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70270">
      <w:pPr>
        <w:spacing w:line="360" w:lineRule="auto"/>
        <w:jc w:val="center"/>
        <w:rPr>
          <w:rFonts w:ascii="宋体" w:hAnsi="宋体" w:cs="宋体"/>
          <w:b/>
          <w:color w:val="auto"/>
          <w:sz w:val="40"/>
          <w:szCs w:val="40"/>
          <w:u w:val="single"/>
        </w:rPr>
      </w:pPr>
    </w:p>
    <w:p w14:paraId="698951F2">
      <w:pPr>
        <w:jc w:val="center"/>
        <w:rPr>
          <w:rFonts w:hint="eastAsia" w:ascii="宋体" w:hAnsi="宋体" w:eastAsia="宋体" w:cs="宋体"/>
          <w:b/>
          <w:color w:val="auto"/>
          <w:sz w:val="44"/>
          <w:szCs w:val="44"/>
          <w:lang w:eastAsia="zh-CN"/>
        </w:rPr>
      </w:pPr>
      <w:bookmarkStart w:id="0" w:name="_Hlt67893495"/>
      <w:bookmarkEnd w:id="0"/>
      <w:r>
        <w:rPr>
          <w:rFonts w:hint="eastAsia" w:ascii="宋体" w:hAnsi="宋体" w:cs="宋体"/>
          <w:b/>
          <w:color w:val="auto"/>
          <w:sz w:val="44"/>
          <w:szCs w:val="44"/>
          <w:lang w:eastAsia="zh-CN"/>
        </w:rPr>
        <w:t>上虞区崧厦街道新下湖村墓套采购项目</w:t>
      </w:r>
    </w:p>
    <w:p w14:paraId="56A9EE5E">
      <w:pPr>
        <w:spacing w:line="360" w:lineRule="auto"/>
        <w:jc w:val="center"/>
        <w:rPr>
          <w:rFonts w:hint="eastAsia" w:ascii="宋体" w:hAnsi="宋体" w:cs="宋体"/>
          <w:b/>
          <w:color w:val="auto"/>
          <w:sz w:val="48"/>
          <w:szCs w:val="48"/>
          <w:u w:val="single"/>
        </w:rPr>
      </w:pPr>
    </w:p>
    <w:p w14:paraId="387890FD">
      <w:pPr>
        <w:jc w:val="center"/>
        <w:rPr>
          <w:rFonts w:hint="eastAsia" w:ascii="宋体" w:hAnsi="宋体" w:cs="宋体"/>
          <w:b/>
          <w:color w:val="auto"/>
          <w:sz w:val="44"/>
          <w:szCs w:val="44"/>
        </w:rPr>
      </w:pPr>
    </w:p>
    <w:p w14:paraId="56ABD2DC">
      <w:pPr>
        <w:pStyle w:val="6"/>
        <w:rPr>
          <w:rFonts w:hint="eastAsia" w:ascii="宋体" w:hAnsi="宋体" w:cs="宋体"/>
          <w:b/>
          <w:color w:val="auto"/>
          <w:sz w:val="44"/>
          <w:szCs w:val="44"/>
        </w:rPr>
      </w:pPr>
    </w:p>
    <w:p w14:paraId="1896DA00">
      <w:pPr>
        <w:rPr>
          <w:rFonts w:hint="eastAsia"/>
        </w:rPr>
      </w:pPr>
    </w:p>
    <w:p w14:paraId="51A3DFA7">
      <w:pPr>
        <w:jc w:val="center"/>
        <w:rPr>
          <w:rFonts w:hint="eastAsia" w:ascii="宋体" w:hAnsi="宋体" w:cs="宋体"/>
          <w:b/>
          <w:color w:val="auto"/>
          <w:sz w:val="44"/>
          <w:szCs w:val="44"/>
        </w:rPr>
      </w:pPr>
    </w:p>
    <w:p w14:paraId="67AE1848">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72"/>
          <w:szCs w:val="72"/>
          <w:lang w:eastAsia="zh-CN"/>
        </w:rPr>
        <w:t>公开招标</w:t>
      </w:r>
    </w:p>
    <w:p w14:paraId="309A7CD6">
      <w:pPr>
        <w:spacing w:line="360" w:lineRule="auto"/>
        <w:jc w:val="center"/>
        <w:rPr>
          <w:rFonts w:hint="eastAsia" w:ascii="宋体" w:hAnsi="宋体" w:cs="宋体"/>
          <w:b/>
          <w:color w:val="auto"/>
          <w:sz w:val="24"/>
        </w:rPr>
      </w:pPr>
    </w:p>
    <w:p w14:paraId="16D89C56">
      <w:pPr>
        <w:snapToGrid w:val="0"/>
        <w:spacing w:line="360" w:lineRule="auto"/>
        <w:jc w:val="center"/>
        <w:rPr>
          <w:rFonts w:hint="default" w:ascii="宋体" w:hAnsi="宋体" w:eastAsia="宋体" w:cs="宋体"/>
          <w:color w:val="auto"/>
          <w:sz w:val="30"/>
          <w:szCs w:val="30"/>
          <w:lang w:val="en-US" w:eastAsia="zh-CN"/>
        </w:rPr>
      </w:pPr>
      <w:r>
        <w:rPr>
          <w:rFonts w:hint="eastAsia" w:ascii="宋体" w:hAnsi="宋体" w:cs="宋体"/>
          <w:color w:val="auto"/>
          <w:sz w:val="30"/>
          <w:szCs w:val="30"/>
        </w:rPr>
        <w:t>招标编号：</w:t>
      </w:r>
      <w:r>
        <w:rPr>
          <w:rFonts w:hint="eastAsia" w:ascii="宋体" w:hAnsi="宋体" w:cs="宋体"/>
          <w:color w:val="auto"/>
          <w:sz w:val="30"/>
          <w:szCs w:val="30"/>
          <w:lang w:val="en-US" w:eastAsia="zh-CN"/>
        </w:rPr>
        <w:t>SXMC20250617</w:t>
      </w:r>
    </w:p>
    <w:p w14:paraId="1A69AF27">
      <w:pPr>
        <w:snapToGrid w:val="0"/>
        <w:spacing w:line="360" w:lineRule="auto"/>
        <w:jc w:val="center"/>
        <w:rPr>
          <w:rFonts w:hint="eastAsia" w:ascii="宋体" w:hAnsi="宋体" w:cs="宋体"/>
          <w:color w:val="auto"/>
          <w:sz w:val="30"/>
          <w:szCs w:val="30"/>
        </w:rPr>
      </w:pPr>
    </w:p>
    <w:p w14:paraId="72F2DBEF">
      <w:pPr>
        <w:spacing w:line="360" w:lineRule="auto"/>
        <w:rPr>
          <w:rFonts w:hint="eastAsia" w:ascii="宋体" w:hAnsi="宋体" w:cs="宋体"/>
          <w:color w:val="auto"/>
          <w:sz w:val="28"/>
          <w:szCs w:val="20"/>
        </w:rPr>
      </w:pPr>
    </w:p>
    <w:p w14:paraId="6D14EA2A">
      <w:pPr>
        <w:spacing w:line="360" w:lineRule="auto"/>
        <w:jc w:val="center"/>
        <w:rPr>
          <w:rFonts w:hint="eastAsia" w:ascii="宋体" w:hAnsi="宋体" w:cs="宋体"/>
          <w:color w:val="auto"/>
          <w:sz w:val="24"/>
        </w:rPr>
      </w:pPr>
    </w:p>
    <w:p w14:paraId="183A9B78">
      <w:pPr>
        <w:spacing w:line="360" w:lineRule="auto"/>
        <w:jc w:val="center"/>
        <w:rPr>
          <w:rFonts w:hint="eastAsia" w:ascii="宋体" w:hAnsi="宋体" w:cs="宋体"/>
          <w:color w:val="auto"/>
          <w:sz w:val="24"/>
        </w:rPr>
      </w:pPr>
    </w:p>
    <w:p w14:paraId="40CB4CF1">
      <w:pPr>
        <w:spacing w:line="360" w:lineRule="auto"/>
        <w:jc w:val="center"/>
        <w:rPr>
          <w:rFonts w:hint="eastAsia" w:ascii="宋体" w:hAnsi="宋体" w:cs="宋体"/>
          <w:color w:val="auto"/>
          <w:sz w:val="24"/>
        </w:rPr>
      </w:pPr>
    </w:p>
    <w:p w14:paraId="67721688">
      <w:pPr>
        <w:spacing w:line="360" w:lineRule="auto"/>
        <w:jc w:val="center"/>
        <w:rPr>
          <w:rFonts w:hint="eastAsia" w:ascii="宋体" w:hAnsi="宋体" w:cs="宋体"/>
          <w:color w:val="auto"/>
          <w:sz w:val="24"/>
        </w:rPr>
      </w:pPr>
    </w:p>
    <w:p w14:paraId="2D198B57">
      <w:pPr>
        <w:spacing w:line="360" w:lineRule="auto"/>
        <w:jc w:val="center"/>
        <w:rPr>
          <w:rFonts w:hint="eastAsia" w:ascii="宋体" w:hAnsi="宋体" w:cs="宋体"/>
          <w:color w:val="auto"/>
          <w:sz w:val="24"/>
        </w:rPr>
      </w:pPr>
    </w:p>
    <w:p w14:paraId="6A6B4A1C">
      <w:pPr>
        <w:spacing w:line="360" w:lineRule="auto"/>
        <w:jc w:val="center"/>
        <w:rPr>
          <w:rFonts w:hint="eastAsia" w:ascii="宋体" w:hAnsi="宋体" w:cs="宋体"/>
          <w:color w:val="auto"/>
          <w:sz w:val="24"/>
        </w:rPr>
      </w:pPr>
    </w:p>
    <w:p w14:paraId="0EFBF5BC">
      <w:pPr>
        <w:spacing w:line="360" w:lineRule="auto"/>
        <w:rPr>
          <w:rFonts w:hint="eastAsia" w:ascii="宋体" w:hAnsi="宋体" w:cs="宋体"/>
          <w:color w:val="auto"/>
          <w:sz w:val="24"/>
        </w:rPr>
      </w:pPr>
    </w:p>
    <w:p w14:paraId="32693802">
      <w:pPr>
        <w:spacing w:line="360" w:lineRule="auto"/>
        <w:jc w:val="center"/>
        <w:rPr>
          <w:rFonts w:hint="eastAsia" w:ascii="宋体" w:hAnsi="宋体" w:cs="宋体"/>
          <w:color w:val="auto"/>
          <w:sz w:val="24"/>
        </w:rPr>
      </w:pPr>
    </w:p>
    <w:p w14:paraId="7A3CF340">
      <w:pPr>
        <w:snapToGrid w:val="0"/>
        <w:spacing w:line="360" w:lineRule="auto"/>
        <w:jc w:val="center"/>
        <w:rPr>
          <w:rFonts w:hint="eastAsia" w:ascii="宋体" w:hAnsi="宋体" w:eastAsia="宋体" w:cs="宋体"/>
          <w:color w:val="auto"/>
          <w:sz w:val="30"/>
          <w:lang w:eastAsia="zh-CN"/>
        </w:rPr>
      </w:pPr>
      <w:r>
        <w:rPr>
          <w:rFonts w:hint="eastAsia" w:ascii="宋体" w:hAnsi="宋体" w:cs="宋体"/>
          <w:color w:val="auto"/>
          <w:sz w:val="30"/>
        </w:rPr>
        <w:t>采购人：</w:t>
      </w:r>
      <w:r>
        <w:rPr>
          <w:rFonts w:hint="eastAsia" w:ascii="宋体" w:hAnsi="宋体" w:cs="宋体"/>
          <w:color w:val="auto"/>
          <w:sz w:val="30"/>
          <w:lang w:eastAsia="zh-CN"/>
        </w:rPr>
        <w:t>绍兴市上虞区崧厦街道新下湖村股份经济合作社</w:t>
      </w:r>
    </w:p>
    <w:p w14:paraId="41A80C17">
      <w:pPr>
        <w:snapToGrid w:val="0"/>
        <w:spacing w:line="360" w:lineRule="auto"/>
        <w:jc w:val="center"/>
        <w:rPr>
          <w:rFonts w:hint="eastAsia" w:ascii="宋体" w:hAnsi="宋体" w:eastAsia="宋体" w:cs="宋体"/>
          <w:color w:val="auto"/>
          <w:sz w:val="30"/>
          <w:lang w:eastAsia="zh-CN"/>
        </w:rPr>
      </w:pPr>
      <w:r>
        <w:rPr>
          <w:rFonts w:hint="eastAsia" w:ascii="宋体" w:hAnsi="宋体" w:cs="宋体"/>
          <w:color w:val="auto"/>
          <w:sz w:val="30"/>
        </w:rPr>
        <w:t>采购代理机构：</w:t>
      </w:r>
      <w:r>
        <w:rPr>
          <w:rFonts w:hint="eastAsia" w:ascii="宋体" w:hAnsi="宋体" w:cs="宋体"/>
          <w:color w:val="auto"/>
          <w:sz w:val="30"/>
          <w:lang w:eastAsia="zh-CN"/>
        </w:rPr>
        <w:t xml:space="preserve">绍兴明晨建设项目管理有限公司  </w:t>
      </w:r>
    </w:p>
    <w:p w14:paraId="3AA8A0D2">
      <w:pPr>
        <w:snapToGrid w:val="0"/>
        <w:spacing w:line="360" w:lineRule="auto"/>
        <w:jc w:val="center"/>
        <w:rPr>
          <w:rFonts w:ascii="宋体" w:hAnsi="宋体" w:cs="宋体"/>
          <w:color w:val="auto"/>
          <w:sz w:val="24"/>
        </w:rPr>
      </w:pPr>
    </w:p>
    <w:p w14:paraId="08ECF46C">
      <w:pPr>
        <w:spacing w:line="360" w:lineRule="auto"/>
        <w:jc w:val="center"/>
        <w:rPr>
          <w:rFonts w:ascii="宋体" w:hAnsi="宋体" w:cs="宋体"/>
          <w:b/>
          <w:color w:val="auto"/>
          <w:sz w:val="48"/>
          <w:szCs w:val="4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234ED609">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0BE46EEB">
      <w:pPr>
        <w:spacing w:line="360" w:lineRule="auto"/>
        <w:rPr>
          <w:rFonts w:ascii="宋体" w:hAnsi="宋体" w:cs="宋体"/>
          <w:color w:val="auto"/>
          <w:sz w:val="32"/>
          <w:szCs w:val="32"/>
        </w:rPr>
      </w:pPr>
    </w:p>
    <w:p w14:paraId="4D011371">
      <w:pPr>
        <w:pStyle w:val="21"/>
        <w:tabs>
          <w:tab w:val="right" w:leader="dot" w:pos="8306"/>
        </w:tabs>
        <w:spacing w:line="360" w:lineRule="auto"/>
        <w:rPr>
          <w:color w:val="auto"/>
          <w:sz w:val="24"/>
        </w:rPr>
      </w:pPr>
      <w:bookmarkStart w:id="1" w:name="_Hlt91233176"/>
      <w:bookmarkEnd w:id="1"/>
      <w:bookmarkStart w:id="2" w:name="_Toc91899869"/>
      <w:r>
        <w:rPr>
          <w:rFonts w:hint="eastAsia" w:ascii="宋体" w:hAnsi="宋体" w:cs="宋体"/>
          <w:b/>
          <w:snapToGrid w:val="0"/>
          <w:color w:val="auto"/>
          <w:kern w:val="0"/>
          <w:sz w:val="24"/>
        </w:rPr>
        <w:fldChar w:fldCharType="begin"/>
      </w:r>
      <w:r>
        <w:rPr>
          <w:rFonts w:hint="eastAsia" w:ascii="宋体" w:hAnsi="宋体" w:cs="宋体"/>
          <w:b/>
          <w:snapToGrid w:val="0"/>
          <w:color w:val="auto"/>
          <w:kern w:val="0"/>
          <w:sz w:val="24"/>
        </w:rPr>
        <w:instrText xml:space="preserve"> TOC \o "1-1" \h \z \u </w:instrText>
      </w:r>
      <w:r>
        <w:rPr>
          <w:rFonts w:hint="eastAsia" w:ascii="宋体" w:hAnsi="宋体" w:cs="宋体"/>
          <w:b/>
          <w:snapToGrid w:val="0"/>
          <w:color w:val="auto"/>
          <w:kern w:val="0"/>
          <w:sz w:val="24"/>
        </w:rPr>
        <w:fldChar w:fldCharType="separate"/>
      </w:r>
      <w:r>
        <w:rPr>
          <w:color w:val="auto"/>
        </w:rPr>
        <w:fldChar w:fldCharType="begin"/>
      </w:r>
      <w:r>
        <w:rPr>
          <w:color w:val="auto"/>
        </w:rPr>
        <w:instrText xml:space="preserve"> HYPERLINK \l "_Toc20075" </w:instrText>
      </w:r>
      <w:r>
        <w:rPr>
          <w:color w:val="auto"/>
        </w:rPr>
        <w:fldChar w:fldCharType="separate"/>
      </w:r>
      <w:r>
        <w:rPr>
          <w:rFonts w:hint="eastAsia" w:ascii="宋体" w:hAnsi="宋体" w:cs="宋体"/>
          <w:color w:val="auto"/>
          <w:sz w:val="24"/>
        </w:rPr>
        <w:t>第一部分 招标公告</w:t>
      </w:r>
      <w:r>
        <w:rPr>
          <w:color w:val="auto"/>
          <w:sz w:val="24"/>
        </w:rPr>
        <w:tab/>
      </w:r>
      <w:r>
        <w:rPr>
          <w:color w:val="auto"/>
          <w:sz w:val="24"/>
        </w:rPr>
        <w:fldChar w:fldCharType="begin"/>
      </w:r>
      <w:r>
        <w:rPr>
          <w:color w:val="auto"/>
          <w:sz w:val="24"/>
        </w:rPr>
        <w:instrText xml:space="preserve"> PAGEREF _Toc20075 \h </w:instrText>
      </w:r>
      <w:r>
        <w:rPr>
          <w:color w:val="auto"/>
          <w:sz w:val="24"/>
        </w:rPr>
        <w:fldChar w:fldCharType="separate"/>
      </w:r>
      <w:r>
        <w:rPr>
          <w:color w:val="auto"/>
          <w:sz w:val="24"/>
        </w:rPr>
        <w:t>3</w:t>
      </w:r>
      <w:r>
        <w:rPr>
          <w:color w:val="auto"/>
          <w:sz w:val="24"/>
        </w:rPr>
        <w:fldChar w:fldCharType="end"/>
      </w:r>
      <w:r>
        <w:rPr>
          <w:color w:val="auto"/>
          <w:sz w:val="24"/>
        </w:rPr>
        <w:fldChar w:fldCharType="end"/>
      </w:r>
    </w:p>
    <w:p w14:paraId="159C5751">
      <w:pPr>
        <w:pStyle w:val="21"/>
        <w:tabs>
          <w:tab w:val="right" w:leader="dot" w:pos="8306"/>
        </w:tabs>
        <w:spacing w:line="360" w:lineRule="auto"/>
        <w:rPr>
          <w:color w:val="auto"/>
          <w:sz w:val="24"/>
        </w:rPr>
      </w:pPr>
      <w:r>
        <w:rPr>
          <w:color w:val="auto"/>
        </w:rPr>
        <w:fldChar w:fldCharType="begin"/>
      </w:r>
      <w:r>
        <w:rPr>
          <w:color w:val="auto"/>
        </w:rPr>
        <w:instrText xml:space="preserve"> HYPERLINK \l "_Toc1242" </w:instrText>
      </w:r>
      <w:r>
        <w:rPr>
          <w:color w:val="auto"/>
        </w:rPr>
        <w:fldChar w:fldCharType="separate"/>
      </w:r>
      <w:r>
        <w:rPr>
          <w:rFonts w:hint="eastAsia" w:ascii="宋体" w:hAnsi="宋体" w:cs="宋体"/>
          <w:color w:val="auto"/>
          <w:sz w:val="24"/>
        </w:rPr>
        <w:t>第二部分 投标须知</w:t>
      </w:r>
      <w:r>
        <w:rPr>
          <w:color w:val="auto"/>
          <w:sz w:val="24"/>
        </w:rPr>
        <w:tab/>
      </w:r>
      <w:r>
        <w:rPr>
          <w:color w:val="auto"/>
          <w:sz w:val="24"/>
        </w:rPr>
        <w:fldChar w:fldCharType="begin"/>
      </w:r>
      <w:r>
        <w:rPr>
          <w:color w:val="auto"/>
          <w:sz w:val="24"/>
        </w:rPr>
        <w:instrText xml:space="preserve"> PAGEREF _Toc1242 \h </w:instrText>
      </w:r>
      <w:r>
        <w:rPr>
          <w:color w:val="auto"/>
          <w:sz w:val="24"/>
        </w:rPr>
        <w:fldChar w:fldCharType="separate"/>
      </w:r>
      <w:r>
        <w:rPr>
          <w:color w:val="auto"/>
          <w:sz w:val="24"/>
        </w:rPr>
        <w:t>7</w:t>
      </w:r>
      <w:r>
        <w:rPr>
          <w:color w:val="auto"/>
          <w:sz w:val="24"/>
        </w:rPr>
        <w:fldChar w:fldCharType="end"/>
      </w:r>
      <w:r>
        <w:rPr>
          <w:color w:val="auto"/>
          <w:sz w:val="24"/>
        </w:rPr>
        <w:fldChar w:fldCharType="end"/>
      </w:r>
    </w:p>
    <w:p w14:paraId="1828C5EC">
      <w:pPr>
        <w:pStyle w:val="21"/>
        <w:tabs>
          <w:tab w:val="right" w:leader="dot" w:pos="8306"/>
        </w:tabs>
        <w:spacing w:line="360" w:lineRule="auto"/>
        <w:rPr>
          <w:color w:val="auto"/>
          <w:sz w:val="24"/>
        </w:rPr>
      </w:pPr>
      <w:r>
        <w:rPr>
          <w:color w:val="auto"/>
        </w:rPr>
        <w:fldChar w:fldCharType="begin"/>
      </w:r>
      <w:r>
        <w:rPr>
          <w:color w:val="auto"/>
        </w:rPr>
        <w:instrText xml:space="preserve"> HYPERLINK \l "_Toc10200" </w:instrText>
      </w:r>
      <w:r>
        <w:rPr>
          <w:color w:val="auto"/>
        </w:rPr>
        <w:fldChar w:fldCharType="separate"/>
      </w:r>
      <w:r>
        <w:rPr>
          <w:rFonts w:hint="eastAsia" w:ascii="宋体" w:hAnsi="宋体" w:cs="宋体"/>
          <w:color w:val="auto"/>
          <w:sz w:val="24"/>
        </w:rPr>
        <w:t>一、总则</w:t>
      </w:r>
      <w:r>
        <w:rPr>
          <w:color w:val="auto"/>
          <w:sz w:val="24"/>
        </w:rPr>
        <w:tab/>
      </w:r>
      <w:r>
        <w:rPr>
          <w:color w:val="auto"/>
          <w:sz w:val="24"/>
        </w:rPr>
        <w:fldChar w:fldCharType="begin"/>
      </w:r>
      <w:r>
        <w:rPr>
          <w:color w:val="auto"/>
          <w:sz w:val="24"/>
        </w:rPr>
        <w:instrText xml:space="preserve"> PAGEREF _Toc10200 \h </w:instrText>
      </w:r>
      <w:r>
        <w:rPr>
          <w:color w:val="auto"/>
          <w:sz w:val="24"/>
        </w:rPr>
        <w:fldChar w:fldCharType="separate"/>
      </w:r>
      <w:r>
        <w:rPr>
          <w:color w:val="auto"/>
          <w:sz w:val="24"/>
        </w:rPr>
        <w:t>10</w:t>
      </w:r>
      <w:r>
        <w:rPr>
          <w:color w:val="auto"/>
          <w:sz w:val="24"/>
        </w:rPr>
        <w:fldChar w:fldCharType="end"/>
      </w:r>
      <w:r>
        <w:rPr>
          <w:color w:val="auto"/>
          <w:sz w:val="24"/>
        </w:rPr>
        <w:fldChar w:fldCharType="end"/>
      </w:r>
    </w:p>
    <w:p w14:paraId="1B44A95E">
      <w:pPr>
        <w:pStyle w:val="21"/>
        <w:tabs>
          <w:tab w:val="right" w:leader="dot" w:pos="8306"/>
        </w:tabs>
        <w:spacing w:line="360" w:lineRule="auto"/>
        <w:rPr>
          <w:color w:val="auto"/>
          <w:sz w:val="24"/>
        </w:rPr>
      </w:pPr>
      <w:r>
        <w:rPr>
          <w:color w:val="auto"/>
        </w:rPr>
        <w:fldChar w:fldCharType="begin"/>
      </w:r>
      <w:r>
        <w:rPr>
          <w:color w:val="auto"/>
        </w:rPr>
        <w:instrText xml:space="preserve"> HYPERLINK \l "_Toc30571" </w:instrText>
      </w:r>
      <w:r>
        <w:rPr>
          <w:color w:val="auto"/>
        </w:rPr>
        <w:fldChar w:fldCharType="separate"/>
      </w:r>
      <w:r>
        <w:rPr>
          <w:rFonts w:hint="eastAsia" w:ascii="宋体" w:hAnsi="宋体" w:cs="宋体"/>
          <w:color w:val="auto"/>
          <w:sz w:val="24"/>
        </w:rPr>
        <w:t>二、招标文件</w:t>
      </w:r>
      <w:r>
        <w:rPr>
          <w:color w:val="auto"/>
          <w:sz w:val="24"/>
        </w:rPr>
        <w:tab/>
      </w:r>
      <w:r>
        <w:rPr>
          <w:color w:val="auto"/>
          <w:sz w:val="24"/>
        </w:rPr>
        <w:fldChar w:fldCharType="begin"/>
      </w:r>
      <w:r>
        <w:rPr>
          <w:color w:val="auto"/>
          <w:sz w:val="24"/>
        </w:rPr>
        <w:instrText xml:space="preserve"> PAGEREF _Toc30571 \h </w:instrText>
      </w:r>
      <w:r>
        <w:rPr>
          <w:color w:val="auto"/>
          <w:sz w:val="24"/>
        </w:rPr>
        <w:fldChar w:fldCharType="separate"/>
      </w:r>
      <w:r>
        <w:rPr>
          <w:color w:val="auto"/>
          <w:sz w:val="24"/>
        </w:rPr>
        <w:t>10</w:t>
      </w:r>
      <w:r>
        <w:rPr>
          <w:color w:val="auto"/>
          <w:sz w:val="24"/>
        </w:rPr>
        <w:fldChar w:fldCharType="end"/>
      </w:r>
      <w:r>
        <w:rPr>
          <w:color w:val="auto"/>
          <w:sz w:val="24"/>
        </w:rPr>
        <w:fldChar w:fldCharType="end"/>
      </w:r>
    </w:p>
    <w:p w14:paraId="780D28C7">
      <w:pPr>
        <w:pStyle w:val="21"/>
        <w:tabs>
          <w:tab w:val="right" w:leader="dot" w:pos="8306"/>
        </w:tabs>
        <w:spacing w:line="360" w:lineRule="auto"/>
        <w:rPr>
          <w:color w:val="auto"/>
          <w:sz w:val="24"/>
        </w:rPr>
      </w:pPr>
      <w:r>
        <w:rPr>
          <w:color w:val="auto"/>
        </w:rPr>
        <w:fldChar w:fldCharType="begin"/>
      </w:r>
      <w:r>
        <w:rPr>
          <w:color w:val="auto"/>
        </w:rPr>
        <w:instrText xml:space="preserve"> HYPERLINK \l "_Toc31934" </w:instrText>
      </w:r>
      <w:r>
        <w:rPr>
          <w:color w:val="auto"/>
        </w:rPr>
        <w:fldChar w:fldCharType="separate"/>
      </w:r>
      <w:r>
        <w:rPr>
          <w:rFonts w:hint="eastAsia" w:ascii="宋体" w:hAnsi="宋体" w:cs="宋体"/>
          <w:color w:val="auto"/>
          <w:sz w:val="24"/>
        </w:rPr>
        <w:t>三、投标文件的编制</w:t>
      </w:r>
      <w:r>
        <w:rPr>
          <w:color w:val="auto"/>
          <w:sz w:val="24"/>
        </w:rPr>
        <w:tab/>
      </w:r>
      <w:r>
        <w:rPr>
          <w:color w:val="auto"/>
          <w:sz w:val="24"/>
        </w:rPr>
        <w:fldChar w:fldCharType="begin"/>
      </w:r>
      <w:r>
        <w:rPr>
          <w:color w:val="auto"/>
          <w:sz w:val="24"/>
        </w:rPr>
        <w:instrText xml:space="preserve"> PAGEREF _Toc31934 \h </w:instrText>
      </w:r>
      <w:r>
        <w:rPr>
          <w:color w:val="auto"/>
          <w:sz w:val="24"/>
        </w:rPr>
        <w:fldChar w:fldCharType="separate"/>
      </w:r>
      <w:r>
        <w:rPr>
          <w:color w:val="auto"/>
          <w:sz w:val="24"/>
        </w:rPr>
        <w:t>12</w:t>
      </w:r>
      <w:r>
        <w:rPr>
          <w:color w:val="auto"/>
          <w:sz w:val="24"/>
        </w:rPr>
        <w:fldChar w:fldCharType="end"/>
      </w:r>
      <w:r>
        <w:rPr>
          <w:color w:val="auto"/>
          <w:sz w:val="24"/>
        </w:rPr>
        <w:fldChar w:fldCharType="end"/>
      </w:r>
    </w:p>
    <w:p w14:paraId="38DB2FAF">
      <w:pPr>
        <w:pStyle w:val="21"/>
        <w:tabs>
          <w:tab w:val="right" w:leader="dot" w:pos="8306"/>
        </w:tabs>
        <w:spacing w:line="360" w:lineRule="auto"/>
        <w:rPr>
          <w:color w:val="auto"/>
          <w:sz w:val="24"/>
        </w:rPr>
      </w:pPr>
      <w:r>
        <w:rPr>
          <w:color w:val="auto"/>
        </w:rPr>
        <w:fldChar w:fldCharType="begin"/>
      </w:r>
      <w:r>
        <w:rPr>
          <w:color w:val="auto"/>
        </w:rPr>
        <w:instrText xml:space="preserve"> HYPERLINK \l "_Toc30606" </w:instrText>
      </w:r>
      <w:r>
        <w:rPr>
          <w:color w:val="auto"/>
        </w:rPr>
        <w:fldChar w:fldCharType="separate"/>
      </w:r>
      <w:r>
        <w:rPr>
          <w:rFonts w:hint="eastAsia" w:ascii="宋体" w:hAnsi="宋体" w:cs="宋体"/>
          <w:color w:val="auto"/>
          <w:sz w:val="24"/>
        </w:rPr>
        <w:t>四、投标文件的递交</w:t>
      </w:r>
      <w:r>
        <w:rPr>
          <w:color w:val="auto"/>
          <w:sz w:val="24"/>
        </w:rPr>
        <w:tab/>
      </w:r>
      <w:r>
        <w:rPr>
          <w:color w:val="auto"/>
          <w:sz w:val="24"/>
        </w:rPr>
        <w:fldChar w:fldCharType="begin"/>
      </w:r>
      <w:r>
        <w:rPr>
          <w:color w:val="auto"/>
          <w:sz w:val="24"/>
        </w:rPr>
        <w:instrText xml:space="preserve"> PAGEREF _Toc30606 \h </w:instrText>
      </w:r>
      <w:r>
        <w:rPr>
          <w:color w:val="auto"/>
          <w:sz w:val="24"/>
        </w:rPr>
        <w:fldChar w:fldCharType="separate"/>
      </w:r>
      <w:r>
        <w:rPr>
          <w:color w:val="auto"/>
          <w:sz w:val="24"/>
        </w:rPr>
        <w:t>15</w:t>
      </w:r>
      <w:r>
        <w:rPr>
          <w:color w:val="auto"/>
          <w:sz w:val="24"/>
        </w:rPr>
        <w:fldChar w:fldCharType="end"/>
      </w:r>
      <w:r>
        <w:rPr>
          <w:color w:val="auto"/>
          <w:sz w:val="24"/>
        </w:rPr>
        <w:fldChar w:fldCharType="end"/>
      </w:r>
    </w:p>
    <w:p w14:paraId="1E5213BA">
      <w:pPr>
        <w:pStyle w:val="21"/>
        <w:tabs>
          <w:tab w:val="right" w:leader="dot" w:pos="8306"/>
        </w:tabs>
        <w:spacing w:line="360" w:lineRule="auto"/>
        <w:rPr>
          <w:color w:val="auto"/>
          <w:sz w:val="24"/>
        </w:rPr>
      </w:pPr>
      <w:r>
        <w:rPr>
          <w:color w:val="auto"/>
        </w:rPr>
        <w:fldChar w:fldCharType="begin"/>
      </w:r>
      <w:r>
        <w:rPr>
          <w:color w:val="auto"/>
        </w:rPr>
        <w:instrText xml:space="preserve"> HYPERLINK \l "_Toc29172" </w:instrText>
      </w:r>
      <w:r>
        <w:rPr>
          <w:color w:val="auto"/>
        </w:rPr>
        <w:fldChar w:fldCharType="separate"/>
      </w:r>
      <w:r>
        <w:rPr>
          <w:rFonts w:hint="eastAsia" w:ascii="宋体" w:hAnsi="宋体" w:cs="宋体"/>
          <w:color w:val="auto"/>
          <w:sz w:val="24"/>
        </w:rPr>
        <w:t>五、开标</w:t>
      </w:r>
      <w:r>
        <w:rPr>
          <w:color w:val="auto"/>
          <w:sz w:val="24"/>
        </w:rPr>
        <w:tab/>
      </w:r>
      <w:r>
        <w:rPr>
          <w:color w:val="auto"/>
          <w:sz w:val="24"/>
        </w:rPr>
        <w:fldChar w:fldCharType="begin"/>
      </w:r>
      <w:r>
        <w:rPr>
          <w:color w:val="auto"/>
          <w:sz w:val="24"/>
        </w:rPr>
        <w:instrText xml:space="preserve"> PAGEREF _Toc29172 \h </w:instrText>
      </w:r>
      <w:r>
        <w:rPr>
          <w:color w:val="auto"/>
          <w:sz w:val="24"/>
        </w:rPr>
        <w:fldChar w:fldCharType="separate"/>
      </w:r>
      <w:r>
        <w:rPr>
          <w:color w:val="auto"/>
          <w:sz w:val="24"/>
        </w:rPr>
        <w:t>15</w:t>
      </w:r>
      <w:r>
        <w:rPr>
          <w:color w:val="auto"/>
          <w:sz w:val="24"/>
        </w:rPr>
        <w:fldChar w:fldCharType="end"/>
      </w:r>
      <w:r>
        <w:rPr>
          <w:color w:val="auto"/>
          <w:sz w:val="24"/>
        </w:rPr>
        <w:fldChar w:fldCharType="end"/>
      </w:r>
    </w:p>
    <w:p w14:paraId="6F1C1ADE">
      <w:pPr>
        <w:pStyle w:val="21"/>
        <w:tabs>
          <w:tab w:val="right" w:leader="dot" w:pos="8306"/>
        </w:tabs>
        <w:spacing w:line="360" w:lineRule="auto"/>
        <w:rPr>
          <w:color w:val="auto"/>
          <w:sz w:val="24"/>
        </w:rPr>
      </w:pPr>
      <w:r>
        <w:rPr>
          <w:color w:val="auto"/>
        </w:rPr>
        <w:fldChar w:fldCharType="begin"/>
      </w:r>
      <w:r>
        <w:rPr>
          <w:color w:val="auto"/>
        </w:rPr>
        <w:instrText xml:space="preserve"> HYPERLINK \l "_Toc24755" </w:instrText>
      </w:r>
      <w:r>
        <w:rPr>
          <w:color w:val="auto"/>
        </w:rPr>
        <w:fldChar w:fldCharType="separate"/>
      </w:r>
      <w:r>
        <w:rPr>
          <w:rFonts w:hint="eastAsia" w:ascii="宋体" w:hAnsi="宋体" w:cs="宋体"/>
          <w:color w:val="auto"/>
          <w:sz w:val="24"/>
        </w:rPr>
        <w:t>六、资格审查</w:t>
      </w:r>
      <w:r>
        <w:rPr>
          <w:color w:val="auto"/>
          <w:sz w:val="24"/>
        </w:rPr>
        <w:tab/>
      </w:r>
      <w:r>
        <w:rPr>
          <w:color w:val="auto"/>
          <w:sz w:val="24"/>
        </w:rPr>
        <w:fldChar w:fldCharType="begin"/>
      </w:r>
      <w:r>
        <w:rPr>
          <w:color w:val="auto"/>
          <w:sz w:val="24"/>
        </w:rPr>
        <w:instrText xml:space="preserve"> PAGEREF _Toc24755 \h </w:instrText>
      </w:r>
      <w:r>
        <w:rPr>
          <w:color w:val="auto"/>
          <w:sz w:val="24"/>
        </w:rPr>
        <w:fldChar w:fldCharType="separate"/>
      </w:r>
      <w:r>
        <w:rPr>
          <w:color w:val="auto"/>
          <w:sz w:val="24"/>
        </w:rPr>
        <w:t>16</w:t>
      </w:r>
      <w:r>
        <w:rPr>
          <w:color w:val="auto"/>
          <w:sz w:val="24"/>
        </w:rPr>
        <w:fldChar w:fldCharType="end"/>
      </w:r>
      <w:r>
        <w:rPr>
          <w:color w:val="auto"/>
          <w:sz w:val="24"/>
        </w:rPr>
        <w:fldChar w:fldCharType="end"/>
      </w:r>
    </w:p>
    <w:p w14:paraId="0716A83B">
      <w:pPr>
        <w:pStyle w:val="21"/>
        <w:tabs>
          <w:tab w:val="right" w:leader="dot" w:pos="8306"/>
        </w:tabs>
        <w:spacing w:line="360" w:lineRule="auto"/>
        <w:rPr>
          <w:color w:val="auto"/>
          <w:sz w:val="24"/>
        </w:rPr>
      </w:pPr>
      <w:r>
        <w:rPr>
          <w:color w:val="auto"/>
        </w:rPr>
        <w:fldChar w:fldCharType="begin"/>
      </w:r>
      <w:r>
        <w:rPr>
          <w:color w:val="auto"/>
        </w:rPr>
        <w:instrText xml:space="preserve"> HYPERLINK \l "_Toc24401" </w:instrText>
      </w:r>
      <w:r>
        <w:rPr>
          <w:color w:val="auto"/>
        </w:rPr>
        <w:fldChar w:fldCharType="separate"/>
      </w:r>
      <w:r>
        <w:rPr>
          <w:rFonts w:hint="eastAsia" w:ascii="宋体" w:hAnsi="宋体" w:cs="宋体"/>
          <w:color w:val="auto"/>
          <w:sz w:val="24"/>
        </w:rPr>
        <w:t>七、评标</w:t>
      </w:r>
      <w:r>
        <w:rPr>
          <w:color w:val="auto"/>
          <w:sz w:val="24"/>
        </w:rPr>
        <w:tab/>
      </w:r>
      <w:r>
        <w:rPr>
          <w:color w:val="auto"/>
          <w:sz w:val="24"/>
        </w:rPr>
        <w:fldChar w:fldCharType="begin"/>
      </w:r>
      <w:r>
        <w:rPr>
          <w:color w:val="auto"/>
          <w:sz w:val="24"/>
        </w:rPr>
        <w:instrText xml:space="preserve"> PAGEREF _Toc24401 \h </w:instrText>
      </w:r>
      <w:r>
        <w:rPr>
          <w:color w:val="auto"/>
          <w:sz w:val="24"/>
        </w:rPr>
        <w:fldChar w:fldCharType="separate"/>
      </w:r>
      <w:r>
        <w:rPr>
          <w:color w:val="auto"/>
          <w:sz w:val="24"/>
        </w:rPr>
        <w:t>16</w:t>
      </w:r>
      <w:r>
        <w:rPr>
          <w:color w:val="auto"/>
          <w:sz w:val="24"/>
        </w:rPr>
        <w:fldChar w:fldCharType="end"/>
      </w:r>
      <w:r>
        <w:rPr>
          <w:color w:val="auto"/>
          <w:sz w:val="24"/>
        </w:rPr>
        <w:fldChar w:fldCharType="end"/>
      </w:r>
    </w:p>
    <w:p w14:paraId="02DC7653">
      <w:pPr>
        <w:pStyle w:val="21"/>
        <w:tabs>
          <w:tab w:val="right" w:leader="dot" w:pos="8306"/>
        </w:tabs>
        <w:spacing w:line="360" w:lineRule="auto"/>
        <w:rPr>
          <w:color w:val="auto"/>
          <w:sz w:val="24"/>
        </w:rPr>
      </w:pPr>
      <w:r>
        <w:rPr>
          <w:color w:val="auto"/>
        </w:rPr>
        <w:fldChar w:fldCharType="begin"/>
      </w:r>
      <w:r>
        <w:rPr>
          <w:color w:val="auto"/>
        </w:rPr>
        <w:instrText xml:space="preserve"> HYPERLINK \l "_Toc5331" </w:instrText>
      </w:r>
      <w:r>
        <w:rPr>
          <w:color w:val="auto"/>
        </w:rPr>
        <w:fldChar w:fldCharType="separate"/>
      </w:r>
      <w:r>
        <w:rPr>
          <w:rFonts w:hint="eastAsia" w:ascii="宋体" w:hAnsi="宋体" w:cs="宋体"/>
          <w:color w:val="auto"/>
          <w:sz w:val="24"/>
        </w:rPr>
        <w:t>八、定 标</w:t>
      </w:r>
      <w:r>
        <w:rPr>
          <w:color w:val="auto"/>
          <w:sz w:val="24"/>
        </w:rPr>
        <w:tab/>
      </w:r>
      <w:r>
        <w:rPr>
          <w:color w:val="auto"/>
          <w:sz w:val="24"/>
        </w:rPr>
        <w:fldChar w:fldCharType="begin"/>
      </w:r>
      <w:r>
        <w:rPr>
          <w:color w:val="auto"/>
          <w:sz w:val="24"/>
        </w:rPr>
        <w:instrText xml:space="preserve"> PAGEREF _Toc5331 \h </w:instrText>
      </w:r>
      <w:r>
        <w:rPr>
          <w:color w:val="auto"/>
          <w:sz w:val="24"/>
        </w:rPr>
        <w:fldChar w:fldCharType="separate"/>
      </w:r>
      <w:r>
        <w:rPr>
          <w:color w:val="auto"/>
          <w:sz w:val="24"/>
        </w:rPr>
        <w:t>21</w:t>
      </w:r>
      <w:r>
        <w:rPr>
          <w:color w:val="auto"/>
          <w:sz w:val="24"/>
        </w:rPr>
        <w:fldChar w:fldCharType="end"/>
      </w:r>
      <w:r>
        <w:rPr>
          <w:color w:val="auto"/>
          <w:sz w:val="24"/>
        </w:rPr>
        <w:fldChar w:fldCharType="end"/>
      </w:r>
    </w:p>
    <w:p w14:paraId="402FC9D4">
      <w:pPr>
        <w:pStyle w:val="21"/>
        <w:tabs>
          <w:tab w:val="right" w:leader="dot" w:pos="8306"/>
        </w:tabs>
        <w:spacing w:line="360" w:lineRule="auto"/>
        <w:rPr>
          <w:color w:val="auto"/>
          <w:sz w:val="24"/>
        </w:rPr>
      </w:pPr>
      <w:r>
        <w:rPr>
          <w:color w:val="auto"/>
        </w:rPr>
        <w:fldChar w:fldCharType="begin"/>
      </w:r>
      <w:r>
        <w:rPr>
          <w:color w:val="auto"/>
        </w:rPr>
        <w:instrText xml:space="preserve"> HYPERLINK \l "_Toc10448" </w:instrText>
      </w:r>
      <w:r>
        <w:rPr>
          <w:color w:val="auto"/>
        </w:rPr>
        <w:fldChar w:fldCharType="separate"/>
      </w:r>
      <w:r>
        <w:rPr>
          <w:rFonts w:hint="eastAsia" w:ascii="宋体" w:hAnsi="宋体" w:cs="宋体"/>
          <w:color w:val="auto"/>
          <w:sz w:val="24"/>
        </w:rPr>
        <w:t>九、合同签订及其他</w:t>
      </w:r>
      <w:r>
        <w:rPr>
          <w:color w:val="auto"/>
          <w:sz w:val="24"/>
        </w:rPr>
        <w:tab/>
      </w:r>
      <w:r>
        <w:rPr>
          <w:color w:val="auto"/>
          <w:sz w:val="24"/>
        </w:rPr>
        <w:fldChar w:fldCharType="begin"/>
      </w:r>
      <w:r>
        <w:rPr>
          <w:color w:val="auto"/>
          <w:sz w:val="24"/>
        </w:rPr>
        <w:instrText xml:space="preserve"> PAGEREF _Toc10448 \h </w:instrText>
      </w:r>
      <w:r>
        <w:rPr>
          <w:color w:val="auto"/>
          <w:sz w:val="24"/>
        </w:rPr>
        <w:fldChar w:fldCharType="separate"/>
      </w:r>
      <w:r>
        <w:rPr>
          <w:color w:val="auto"/>
          <w:sz w:val="24"/>
        </w:rPr>
        <w:t>21</w:t>
      </w:r>
      <w:r>
        <w:rPr>
          <w:color w:val="auto"/>
          <w:sz w:val="24"/>
        </w:rPr>
        <w:fldChar w:fldCharType="end"/>
      </w:r>
      <w:r>
        <w:rPr>
          <w:color w:val="auto"/>
          <w:sz w:val="24"/>
        </w:rPr>
        <w:fldChar w:fldCharType="end"/>
      </w:r>
    </w:p>
    <w:p w14:paraId="54DB05AD">
      <w:pPr>
        <w:pStyle w:val="21"/>
        <w:tabs>
          <w:tab w:val="right" w:leader="dot" w:pos="8306"/>
        </w:tabs>
        <w:spacing w:line="360" w:lineRule="auto"/>
        <w:rPr>
          <w:color w:val="auto"/>
          <w:sz w:val="24"/>
        </w:rPr>
      </w:pPr>
      <w:r>
        <w:rPr>
          <w:color w:val="auto"/>
        </w:rPr>
        <w:fldChar w:fldCharType="begin"/>
      </w:r>
      <w:r>
        <w:rPr>
          <w:color w:val="auto"/>
        </w:rPr>
        <w:instrText xml:space="preserve"> HYPERLINK \l "_Toc3034" </w:instrText>
      </w:r>
      <w:r>
        <w:rPr>
          <w:color w:val="auto"/>
        </w:rPr>
        <w:fldChar w:fldCharType="separate"/>
      </w:r>
      <w:r>
        <w:rPr>
          <w:rFonts w:hint="eastAsia" w:ascii="宋体" w:hAnsi="宋体" w:cs="宋体"/>
          <w:color w:val="auto"/>
          <w:sz w:val="24"/>
        </w:rPr>
        <w:t>十、质疑与投诉</w:t>
      </w:r>
      <w:r>
        <w:rPr>
          <w:color w:val="auto"/>
          <w:sz w:val="24"/>
        </w:rPr>
        <w:tab/>
      </w:r>
      <w:r>
        <w:rPr>
          <w:color w:val="auto"/>
          <w:sz w:val="24"/>
        </w:rPr>
        <w:fldChar w:fldCharType="begin"/>
      </w:r>
      <w:r>
        <w:rPr>
          <w:color w:val="auto"/>
          <w:sz w:val="24"/>
        </w:rPr>
        <w:instrText xml:space="preserve"> PAGEREF _Toc3034 \h </w:instrText>
      </w:r>
      <w:r>
        <w:rPr>
          <w:color w:val="auto"/>
          <w:sz w:val="24"/>
        </w:rPr>
        <w:fldChar w:fldCharType="separate"/>
      </w:r>
      <w:r>
        <w:rPr>
          <w:color w:val="auto"/>
          <w:sz w:val="24"/>
        </w:rPr>
        <w:t>22</w:t>
      </w:r>
      <w:r>
        <w:rPr>
          <w:color w:val="auto"/>
          <w:sz w:val="24"/>
        </w:rPr>
        <w:fldChar w:fldCharType="end"/>
      </w:r>
      <w:r>
        <w:rPr>
          <w:color w:val="auto"/>
          <w:sz w:val="24"/>
        </w:rPr>
        <w:fldChar w:fldCharType="end"/>
      </w:r>
    </w:p>
    <w:p w14:paraId="3FA122E6">
      <w:pPr>
        <w:pStyle w:val="21"/>
        <w:tabs>
          <w:tab w:val="right" w:leader="dot" w:pos="8306"/>
        </w:tabs>
        <w:spacing w:line="360" w:lineRule="auto"/>
        <w:rPr>
          <w:color w:val="auto"/>
          <w:sz w:val="24"/>
        </w:rPr>
      </w:pPr>
      <w:r>
        <w:rPr>
          <w:color w:val="auto"/>
        </w:rPr>
        <w:fldChar w:fldCharType="begin"/>
      </w:r>
      <w:r>
        <w:rPr>
          <w:color w:val="auto"/>
        </w:rPr>
        <w:instrText xml:space="preserve"> HYPERLINK \l "_Toc13529" </w:instrText>
      </w:r>
      <w:r>
        <w:rPr>
          <w:color w:val="auto"/>
        </w:rPr>
        <w:fldChar w:fldCharType="separate"/>
      </w:r>
      <w:r>
        <w:rPr>
          <w:rFonts w:hint="eastAsia" w:ascii="宋体" w:hAnsi="宋体" w:cs="宋体"/>
          <w:color w:val="auto"/>
          <w:sz w:val="24"/>
        </w:rPr>
        <w:t>第三部分   评标办法及评分标准</w:t>
      </w:r>
      <w:r>
        <w:rPr>
          <w:color w:val="auto"/>
          <w:sz w:val="24"/>
        </w:rPr>
        <w:tab/>
      </w:r>
      <w:r>
        <w:rPr>
          <w:color w:val="auto"/>
          <w:sz w:val="24"/>
        </w:rPr>
        <w:fldChar w:fldCharType="begin"/>
      </w:r>
      <w:r>
        <w:rPr>
          <w:color w:val="auto"/>
          <w:sz w:val="24"/>
        </w:rPr>
        <w:instrText xml:space="preserve"> PAGEREF _Toc13529 \h </w:instrText>
      </w:r>
      <w:r>
        <w:rPr>
          <w:color w:val="auto"/>
          <w:sz w:val="24"/>
        </w:rPr>
        <w:fldChar w:fldCharType="separate"/>
      </w:r>
      <w:r>
        <w:rPr>
          <w:color w:val="auto"/>
          <w:sz w:val="24"/>
        </w:rPr>
        <w:t>24</w:t>
      </w:r>
      <w:r>
        <w:rPr>
          <w:color w:val="auto"/>
          <w:sz w:val="24"/>
        </w:rPr>
        <w:fldChar w:fldCharType="end"/>
      </w:r>
      <w:r>
        <w:rPr>
          <w:color w:val="auto"/>
          <w:sz w:val="24"/>
        </w:rPr>
        <w:fldChar w:fldCharType="end"/>
      </w:r>
    </w:p>
    <w:p w14:paraId="0F95F876">
      <w:pPr>
        <w:pStyle w:val="21"/>
        <w:tabs>
          <w:tab w:val="right" w:leader="dot" w:pos="8306"/>
        </w:tabs>
        <w:spacing w:line="360" w:lineRule="auto"/>
        <w:rPr>
          <w:color w:val="auto"/>
          <w:sz w:val="24"/>
        </w:rPr>
      </w:pPr>
      <w:r>
        <w:rPr>
          <w:color w:val="auto"/>
        </w:rPr>
        <w:fldChar w:fldCharType="begin"/>
      </w:r>
      <w:r>
        <w:rPr>
          <w:color w:val="auto"/>
        </w:rPr>
        <w:instrText xml:space="preserve"> HYPERLINK \l "_Toc31927" </w:instrText>
      </w:r>
      <w:r>
        <w:rPr>
          <w:color w:val="auto"/>
        </w:rPr>
        <w:fldChar w:fldCharType="separate"/>
      </w:r>
      <w:r>
        <w:rPr>
          <w:rFonts w:hint="eastAsia" w:ascii="宋体" w:hAnsi="宋体" w:cs="宋体"/>
          <w:color w:val="auto"/>
          <w:sz w:val="24"/>
        </w:rPr>
        <w:t>第四部分   采购需求</w:t>
      </w:r>
      <w:r>
        <w:rPr>
          <w:color w:val="auto"/>
          <w:sz w:val="24"/>
        </w:rPr>
        <w:tab/>
      </w:r>
      <w:r>
        <w:rPr>
          <w:color w:val="auto"/>
          <w:sz w:val="24"/>
        </w:rPr>
        <w:fldChar w:fldCharType="begin"/>
      </w:r>
      <w:r>
        <w:rPr>
          <w:color w:val="auto"/>
          <w:sz w:val="24"/>
        </w:rPr>
        <w:instrText xml:space="preserve"> PAGEREF _Toc31927 \h </w:instrText>
      </w:r>
      <w:r>
        <w:rPr>
          <w:color w:val="auto"/>
          <w:sz w:val="24"/>
        </w:rPr>
        <w:fldChar w:fldCharType="separate"/>
      </w:r>
      <w:r>
        <w:rPr>
          <w:color w:val="auto"/>
          <w:sz w:val="24"/>
        </w:rPr>
        <w:t>26</w:t>
      </w:r>
      <w:r>
        <w:rPr>
          <w:color w:val="auto"/>
          <w:sz w:val="24"/>
        </w:rPr>
        <w:fldChar w:fldCharType="end"/>
      </w:r>
      <w:r>
        <w:rPr>
          <w:color w:val="auto"/>
          <w:sz w:val="24"/>
        </w:rPr>
        <w:fldChar w:fldCharType="end"/>
      </w:r>
    </w:p>
    <w:p w14:paraId="2D80C96C">
      <w:pPr>
        <w:pStyle w:val="21"/>
        <w:tabs>
          <w:tab w:val="right" w:leader="dot" w:pos="8306"/>
        </w:tabs>
        <w:spacing w:line="360" w:lineRule="auto"/>
        <w:rPr>
          <w:color w:val="auto"/>
          <w:sz w:val="24"/>
        </w:rPr>
      </w:pPr>
      <w:r>
        <w:rPr>
          <w:color w:val="auto"/>
        </w:rPr>
        <w:fldChar w:fldCharType="begin"/>
      </w:r>
      <w:r>
        <w:rPr>
          <w:color w:val="auto"/>
        </w:rPr>
        <w:instrText xml:space="preserve"> HYPERLINK \l "_Toc28926" </w:instrText>
      </w:r>
      <w:r>
        <w:rPr>
          <w:color w:val="auto"/>
        </w:rPr>
        <w:fldChar w:fldCharType="separate"/>
      </w:r>
      <w:r>
        <w:rPr>
          <w:rFonts w:hint="eastAsia" w:ascii="宋体" w:hAnsi="宋体" w:cs="宋体"/>
          <w:color w:val="auto"/>
          <w:sz w:val="24"/>
        </w:rPr>
        <w:t>第五部分 采购合同</w:t>
      </w:r>
      <w:r>
        <w:rPr>
          <w:color w:val="auto"/>
          <w:sz w:val="24"/>
        </w:rPr>
        <w:tab/>
      </w:r>
      <w:r>
        <w:rPr>
          <w:color w:val="auto"/>
          <w:sz w:val="24"/>
        </w:rPr>
        <w:fldChar w:fldCharType="begin"/>
      </w:r>
      <w:r>
        <w:rPr>
          <w:color w:val="auto"/>
          <w:sz w:val="24"/>
        </w:rPr>
        <w:instrText xml:space="preserve"> PAGEREF _Toc28926 \h </w:instrText>
      </w:r>
      <w:r>
        <w:rPr>
          <w:color w:val="auto"/>
          <w:sz w:val="24"/>
        </w:rPr>
        <w:fldChar w:fldCharType="separate"/>
      </w:r>
      <w:r>
        <w:rPr>
          <w:color w:val="auto"/>
          <w:sz w:val="24"/>
        </w:rPr>
        <w:t>26</w:t>
      </w:r>
      <w:r>
        <w:rPr>
          <w:color w:val="auto"/>
          <w:sz w:val="24"/>
        </w:rPr>
        <w:fldChar w:fldCharType="end"/>
      </w:r>
      <w:r>
        <w:rPr>
          <w:color w:val="auto"/>
          <w:sz w:val="24"/>
        </w:rPr>
        <w:fldChar w:fldCharType="end"/>
      </w:r>
    </w:p>
    <w:p w14:paraId="13AEF9A4">
      <w:pPr>
        <w:pStyle w:val="21"/>
        <w:tabs>
          <w:tab w:val="right" w:leader="dot" w:pos="8306"/>
        </w:tabs>
        <w:spacing w:line="360" w:lineRule="auto"/>
        <w:rPr>
          <w:color w:val="auto"/>
          <w:sz w:val="24"/>
        </w:rPr>
      </w:pPr>
      <w:r>
        <w:rPr>
          <w:color w:val="auto"/>
        </w:rPr>
        <w:fldChar w:fldCharType="begin"/>
      </w:r>
      <w:r>
        <w:rPr>
          <w:color w:val="auto"/>
        </w:rPr>
        <w:instrText xml:space="preserve"> HYPERLINK \l "_Toc13109" </w:instrText>
      </w:r>
      <w:r>
        <w:rPr>
          <w:color w:val="auto"/>
        </w:rPr>
        <w:fldChar w:fldCharType="separate"/>
      </w:r>
      <w:r>
        <w:rPr>
          <w:rFonts w:hint="eastAsia" w:ascii="宋体" w:hAnsi="宋体" w:cs="宋体"/>
          <w:color w:val="auto"/>
          <w:sz w:val="24"/>
        </w:rPr>
        <w:t>第六部分 应提交的有关格式范例</w:t>
      </w:r>
      <w:r>
        <w:rPr>
          <w:color w:val="auto"/>
          <w:sz w:val="24"/>
        </w:rPr>
        <w:tab/>
      </w:r>
      <w:r>
        <w:rPr>
          <w:color w:val="auto"/>
          <w:sz w:val="24"/>
        </w:rPr>
        <w:fldChar w:fldCharType="begin"/>
      </w:r>
      <w:r>
        <w:rPr>
          <w:color w:val="auto"/>
          <w:sz w:val="24"/>
        </w:rPr>
        <w:instrText xml:space="preserve"> PAGEREF _Toc13109 \h </w:instrText>
      </w:r>
      <w:r>
        <w:rPr>
          <w:color w:val="auto"/>
          <w:sz w:val="24"/>
        </w:rPr>
        <w:fldChar w:fldCharType="separate"/>
      </w:r>
      <w:r>
        <w:rPr>
          <w:color w:val="auto"/>
          <w:sz w:val="24"/>
        </w:rPr>
        <w:t>38</w:t>
      </w:r>
      <w:r>
        <w:rPr>
          <w:color w:val="auto"/>
          <w:sz w:val="24"/>
        </w:rPr>
        <w:fldChar w:fldCharType="end"/>
      </w:r>
      <w:r>
        <w:rPr>
          <w:color w:val="auto"/>
          <w:sz w:val="24"/>
        </w:rPr>
        <w:fldChar w:fldCharType="end"/>
      </w:r>
    </w:p>
    <w:p w14:paraId="312EE04C">
      <w:pPr>
        <w:spacing w:line="360" w:lineRule="auto"/>
        <w:ind w:firstLine="549" w:firstLineChars="229"/>
        <w:rPr>
          <w:rFonts w:ascii="宋体" w:hAnsi="宋体" w:cs="宋体"/>
          <w:color w:val="auto"/>
          <w:sz w:val="24"/>
        </w:rPr>
      </w:pPr>
      <w:r>
        <w:rPr>
          <w:rFonts w:hint="eastAsia" w:ascii="宋体" w:hAnsi="宋体" w:cs="宋体"/>
          <w:snapToGrid w:val="0"/>
          <w:color w:val="auto"/>
          <w:kern w:val="0"/>
          <w:sz w:val="24"/>
        </w:rPr>
        <w:fldChar w:fldCharType="end"/>
      </w:r>
    </w:p>
    <w:p w14:paraId="7C2FF1F2">
      <w:pPr>
        <w:spacing w:line="360" w:lineRule="auto"/>
        <w:ind w:firstLine="549" w:firstLineChars="229"/>
        <w:rPr>
          <w:rFonts w:ascii="宋体" w:hAnsi="宋体" w:cs="宋体"/>
          <w:color w:val="auto"/>
          <w:sz w:val="24"/>
        </w:rPr>
      </w:pPr>
    </w:p>
    <w:bookmarkEnd w:id="2"/>
    <w:p w14:paraId="592819B2">
      <w:pPr>
        <w:spacing w:line="360" w:lineRule="auto"/>
        <w:rPr>
          <w:rFonts w:ascii="宋体" w:hAnsi="宋体" w:cs="宋体"/>
          <w:color w:val="auto"/>
          <w:sz w:val="24"/>
        </w:rPr>
      </w:pPr>
      <w:bookmarkStart w:id="3" w:name="_Hlt74707423"/>
      <w:bookmarkEnd w:id="3"/>
      <w:bookmarkStart w:id="4" w:name="_Hlt74728647"/>
      <w:bookmarkEnd w:id="4"/>
      <w:bookmarkStart w:id="5" w:name="_Hlt74649545"/>
      <w:bookmarkEnd w:id="5"/>
      <w:bookmarkStart w:id="6" w:name="_Hlt74729822"/>
      <w:bookmarkEnd w:id="6"/>
      <w:bookmarkStart w:id="7" w:name="_Toc91899870"/>
      <w:bookmarkStart w:id="8" w:name="第二部分"/>
      <w:bookmarkStart w:id="9" w:name="_Toc91899871"/>
    </w:p>
    <w:p w14:paraId="521939FB">
      <w:pPr>
        <w:spacing w:line="360" w:lineRule="auto"/>
        <w:jc w:val="center"/>
        <w:outlineLvl w:val="0"/>
        <w:rPr>
          <w:rFonts w:ascii="宋体" w:hAnsi="宋体" w:cs="宋体"/>
          <w:b/>
          <w:color w:val="auto"/>
          <w:sz w:val="36"/>
          <w:szCs w:val="20"/>
        </w:rPr>
      </w:pPr>
      <w:bookmarkStart w:id="10" w:name="第一部分"/>
      <w:r>
        <w:rPr>
          <w:rFonts w:hint="eastAsia" w:ascii="宋体" w:hAnsi="宋体" w:cs="宋体"/>
          <w:b/>
          <w:color w:val="auto"/>
          <w:sz w:val="36"/>
          <w:szCs w:val="36"/>
        </w:rPr>
        <w:br w:type="page"/>
      </w:r>
      <w:bookmarkEnd w:id="10"/>
      <w:bookmarkStart w:id="11" w:name="_Toc20075"/>
      <w:r>
        <w:rPr>
          <w:rFonts w:hint="eastAsia" w:ascii="宋体" w:hAnsi="宋体" w:cs="宋体"/>
          <w:b/>
          <w:color w:val="auto"/>
          <w:sz w:val="36"/>
          <w:szCs w:val="20"/>
        </w:rPr>
        <w:t>第一部分 招标公告</w:t>
      </w:r>
      <w:bookmarkEnd w:id="11"/>
    </w:p>
    <w:p w14:paraId="06108666">
      <w:pPr>
        <w:adjustRightInd w:val="0"/>
        <w:spacing w:line="440" w:lineRule="exact"/>
        <w:jc w:val="center"/>
        <w:rPr>
          <w:rFonts w:ascii="宋体" w:hAnsi="宋体" w:cs="宋体"/>
          <w:b/>
          <w:color w:val="auto"/>
          <w:sz w:val="24"/>
        </w:rPr>
      </w:pPr>
      <w:r>
        <w:rPr>
          <w:rFonts w:hint="eastAsia" w:ascii="宋体" w:hAnsi="宋体" w:cs="宋体"/>
          <w:b/>
          <w:color w:val="auto"/>
          <w:sz w:val="24"/>
          <w:lang w:eastAsia="zh-CN"/>
        </w:rPr>
        <w:t>绍兴明晨建设项目管理有限公司</w:t>
      </w:r>
      <w:r>
        <w:rPr>
          <w:rFonts w:hint="eastAsia" w:ascii="宋体" w:hAnsi="宋体" w:cs="宋体"/>
          <w:b/>
          <w:color w:val="auto"/>
          <w:sz w:val="24"/>
        </w:rPr>
        <w:t>关于</w:t>
      </w:r>
      <w:r>
        <w:rPr>
          <w:rFonts w:hint="eastAsia" w:ascii="宋体" w:hAnsi="宋体" w:cs="宋体"/>
          <w:b/>
          <w:color w:val="auto"/>
          <w:sz w:val="24"/>
          <w:lang w:eastAsia="zh-CN"/>
        </w:rPr>
        <w:t>绍兴市上虞区崧厦街道新下湖村股份经济合作社上虞区崧厦街道新下湖村墓套采购项目</w:t>
      </w:r>
      <w:r>
        <w:rPr>
          <w:rFonts w:hint="eastAsia" w:ascii="宋体" w:hAnsi="宋体" w:cs="宋体"/>
          <w:b/>
          <w:color w:val="auto"/>
          <w:sz w:val="24"/>
        </w:rPr>
        <w:t>的非政府采购</w:t>
      </w:r>
    </w:p>
    <w:p w14:paraId="16C7C740">
      <w:pPr>
        <w:adjustRightInd w:val="0"/>
        <w:spacing w:line="440" w:lineRule="exact"/>
        <w:jc w:val="center"/>
        <w:rPr>
          <w:rFonts w:ascii="宋体" w:hAnsi="宋体" w:cs="宋体"/>
          <w:color w:val="auto"/>
          <w:sz w:val="28"/>
          <w:szCs w:val="28"/>
        </w:rPr>
      </w:pPr>
      <w:r>
        <w:rPr>
          <w:rFonts w:hint="eastAsia" w:ascii="宋体" w:hAnsi="宋体" w:cs="宋体"/>
          <w:b/>
          <w:color w:val="auto"/>
          <w:sz w:val="24"/>
        </w:rPr>
        <w:t>招标公告</w:t>
      </w:r>
    </w:p>
    <w:p w14:paraId="3E9512DF">
      <w:pPr>
        <w:adjustRightInd w:val="0"/>
        <w:spacing w:line="440" w:lineRule="exact"/>
        <w:jc w:val="center"/>
        <w:rPr>
          <w:rFonts w:ascii="宋体" w:hAnsi="宋体" w:cs="宋体"/>
          <w:color w:val="auto"/>
          <w:sz w:val="28"/>
          <w:szCs w:val="28"/>
        </w:rPr>
      </w:pPr>
      <w:bookmarkStart w:id="12" w:name="OLE_LINK1"/>
      <w:r>
        <w:rPr>
          <w:rFonts w:hint="eastAsia" w:ascii="宋体" w:hAnsi="宋体" w:cs="宋体"/>
          <w:color w:val="auto"/>
          <w:sz w:val="28"/>
          <w:szCs w:val="28"/>
        </w:rPr>
        <w:t>公告日期：202</w:t>
      </w:r>
      <w:r>
        <w:rPr>
          <w:rFonts w:hint="eastAsia" w:ascii="宋体" w:hAnsi="宋体" w:cs="宋体"/>
          <w:color w:val="auto"/>
          <w:sz w:val="28"/>
          <w:szCs w:val="28"/>
          <w:lang w:val="en-US" w:eastAsia="zh-CN"/>
        </w:rPr>
        <w:t>5</w:t>
      </w:r>
      <w:r>
        <w:rPr>
          <w:rFonts w:hint="eastAsia" w:ascii="宋体" w:hAnsi="宋体" w:cs="宋体"/>
          <w:color w:val="auto"/>
          <w:sz w:val="28"/>
          <w:szCs w:val="28"/>
        </w:rPr>
        <w:t>年</w:t>
      </w:r>
      <w:r>
        <w:rPr>
          <w:rFonts w:hint="eastAsia" w:ascii="宋体" w:hAnsi="宋体" w:cs="宋体"/>
          <w:color w:val="auto"/>
          <w:sz w:val="28"/>
          <w:szCs w:val="28"/>
          <w:lang w:val="en-US" w:eastAsia="zh-CN"/>
        </w:rPr>
        <w:t>6</w:t>
      </w:r>
      <w:r>
        <w:rPr>
          <w:rFonts w:hint="eastAsia" w:ascii="宋体" w:hAnsi="宋体" w:cs="宋体"/>
          <w:color w:val="auto"/>
          <w:sz w:val="28"/>
          <w:szCs w:val="28"/>
        </w:rPr>
        <w:t>月</w:t>
      </w:r>
      <w:r>
        <w:rPr>
          <w:rFonts w:hint="eastAsia" w:ascii="宋体" w:hAnsi="宋体" w:cs="宋体"/>
          <w:color w:val="auto"/>
          <w:sz w:val="28"/>
          <w:szCs w:val="28"/>
          <w:lang w:val="en-US" w:eastAsia="zh-CN"/>
        </w:rPr>
        <w:t>27</w:t>
      </w:r>
      <w:r>
        <w:rPr>
          <w:rFonts w:hint="eastAsia" w:ascii="宋体" w:hAnsi="宋体" w:cs="宋体"/>
          <w:color w:val="auto"/>
          <w:sz w:val="28"/>
          <w:szCs w:val="28"/>
        </w:rPr>
        <w:t>日</w:t>
      </w:r>
    </w:p>
    <w:p w14:paraId="490BFB02">
      <w:pPr>
        <w:adjustRightInd w:val="0"/>
        <w:spacing w:line="360" w:lineRule="auto"/>
        <w:ind w:firstLine="480" w:firstLineChars="200"/>
        <w:rPr>
          <w:color w:val="auto"/>
        </w:rPr>
      </w:pPr>
      <w:r>
        <w:rPr>
          <w:rFonts w:hint="eastAsia" w:ascii="宋体" w:hAnsi="宋体" w:cs="宋体"/>
          <w:color w:val="auto"/>
          <w:sz w:val="24"/>
        </w:rPr>
        <w:t>根据有关规定，</w:t>
      </w:r>
      <w:r>
        <w:rPr>
          <w:rFonts w:hint="eastAsia" w:ascii="宋体" w:hAnsi="宋体" w:cs="宋体"/>
          <w:color w:val="auto"/>
          <w:sz w:val="24"/>
          <w:u w:val="single"/>
          <w:lang w:eastAsia="zh-CN"/>
        </w:rPr>
        <w:t>绍兴明晨建设项目管理有限公司</w:t>
      </w:r>
      <w:r>
        <w:rPr>
          <w:rFonts w:hint="eastAsia" w:ascii="宋体" w:hAnsi="宋体" w:cs="宋体"/>
          <w:color w:val="auto"/>
          <w:sz w:val="24"/>
        </w:rPr>
        <w:t>受</w:t>
      </w:r>
      <w:r>
        <w:rPr>
          <w:rFonts w:hint="eastAsia" w:ascii="宋体" w:hAnsi="宋体" w:cs="宋体"/>
          <w:color w:val="auto"/>
          <w:sz w:val="24"/>
          <w:u w:val="single"/>
          <w:lang w:eastAsia="zh-CN"/>
        </w:rPr>
        <w:t>绍兴市上虞区崧厦街道新下湖村股份经济合作社</w:t>
      </w:r>
      <w:r>
        <w:rPr>
          <w:rFonts w:hint="eastAsia" w:ascii="宋体" w:hAnsi="宋体" w:cs="宋体"/>
          <w:color w:val="auto"/>
          <w:sz w:val="24"/>
        </w:rPr>
        <w:t>委托，现就</w:t>
      </w:r>
      <w:r>
        <w:rPr>
          <w:rFonts w:hint="eastAsia" w:ascii="宋体" w:hAnsi="宋体" w:cs="宋体"/>
          <w:color w:val="auto"/>
          <w:sz w:val="24"/>
          <w:u w:val="single"/>
          <w:lang w:eastAsia="zh-CN"/>
        </w:rPr>
        <w:t>上虞区崧厦街道新下湖村墓套采购项目</w:t>
      </w:r>
      <w:r>
        <w:rPr>
          <w:rFonts w:hint="eastAsia" w:ascii="宋体" w:hAnsi="宋体" w:cs="宋体"/>
          <w:color w:val="auto"/>
          <w:sz w:val="24"/>
        </w:rPr>
        <w:t>进行公开招标，欢迎国内合格的供应商参加本次采购活动。</w:t>
      </w:r>
    </w:p>
    <w:p w14:paraId="26FD011D">
      <w:pPr>
        <w:adjustRightInd w:val="0"/>
        <w:spacing w:line="440" w:lineRule="exact"/>
        <w:ind w:firstLine="482" w:firstLineChars="200"/>
        <w:rPr>
          <w:rFonts w:hint="default" w:ascii="宋体" w:hAnsi="宋体" w:eastAsia="宋体" w:cs="宋体"/>
          <w:color w:val="auto"/>
          <w:sz w:val="24"/>
          <w:u w:val="single"/>
          <w:lang w:val="en-US" w:eastAsia="zh-CN"/>
        </w:rPr>
      </w:pPr>
      <w:r>
        <w:rPr>
          <w:rFonts w:hint="eastAsia" w:ascii="宋体" w:hAnsi="宋体" w:cs="宋体"/>
          <w:b/>
          <w:bCs/>
          <w:color w:val="auto"/>
          <w:sz w:val="24"/>
        </w:rPr>
        <w:t>一． 招标项目编号：</w:t>
      </w:r>
      <w:r>
        <w:rPr>
          <w:rFonts w:hint="eastAsia" w:ascii="宋体" w:hAnsi="宋体" w:cs="宋体"/>
          <w:color w:val="auto"/>
          <w:kern w:val="0"/>
          <w:sz w:val="24"/>
          <w:lang w:eastAsia="zh-CN"/>
        </w:rPr>
        <w:t>SXMC20250617</w:t>
      </w:r>
    </w:p>
    <w:p w14:paraId="60DE4F57">
      <w:pPr>
        <w:adjustRightInd w:val="0"/>
        <w:spacing w:line="440" w:lineRule="exact"/>
        <w:ind w:firstLine="482" w:firstLineChars="200"/>
        <w:rPr>
          <w:rFonts w:hint="eastAsia" w:ascii="宋体" w:hAnsi="宋体" w:eastAsia="宋体" w:cs="宋体"/>
          <w:color w:val="auto"/>
          <w:sz w:val="24"/>
          <w:lang w:eastAsia="zh-CN"/>
        </w:rPr>
      </w:pPr>
      <w:r>
        <w:rPr>
          <w:rFonts w:hint="eastAsia" w:ascii="宋体" w:hAnsi="宋体" w:cs="宋体"/>
          <w:b/>
          <w:bCs/>
          <w:color w:val="auto"/>
          <w:sz w:val="24"/>
        </w:rPr>
        <w:t>二． 招标项目名称：</w:t>
      </w:r>
      <w:r>
        <w:rPr>
          <w:rFonts w:hint="eastAsia" w:ascii="宋体" w:hAnsi="宋体" w:cs="宋体"/>
          <w:b/>
          <w:bCs/>
          <w:color w:val="auto"/>
          <w:sz w:val="24"/>
          <w:lang w:eastAsia="zh-CN"/>
        </w:rPr>
        <w:t>上虞区崧厦街道新下湖村墓套采购项目</w:t>
      </w:r>
    </w:p>
    <w:p w14:paraId="33C8A6CB">
      <w:pPr>
        <w:adjustRightInd w:val="0"/>
        <w:spacing w:line="440" w:lineRule="exact"/>
        <w:ind w:firstLine="482" w:firstLineChars="200"/>
        <w:rPr>
          <w:rFonts w:ascii="宋体" w:hAnsi="宋体" w:cs="宋体"/>
          <w:b/>
          <w:bCs/>
          <w:color w:val="auto"/>
          <w:sz w:val="24"/>
        </w:rPr>
      </w:pPr>
      <w:r>
        <w:rPr>
          <w:rFonts w:hint="eastAsia" w:ascii="宋体" w:hAnsi="宋体" w:cs="宋体"/>
          <w:b/>
          <w:bCs/>
          <w:color w:val="auto"/>
          <w:sz w:val="24"/>
        </w:rPr>
        <w:t>三． 招标项目概况:</w:t>
      </w:r>
    </w:p>
    <w:tbl>
      <w:tblPr>
        <w:tblStyle w:val="30"/>
        <w:tblW w:w="10643"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423"/>
        <w:gridCol w:w="1882"/>
        <w:gridCol w:w="722"/>
        <w:gridCol w:w="682"/>
        <w:gridCol w:w="553"/>
        <w:gridCol w:w="1254"/>
        <w:gridCol w:w="1254"/>
        <w:gridCol w:w="2127"/>
        <w:gridCol w:w="1122"/>
        <w:gridCol w:w="624"/>
      </w:tblGrid>
      <w:tr w14:paraId="5E0C5C6C">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423" w:type="dxa"/>
            <w:noWrap/>
            <w:vAlign w:val="center"/>
          </w:tcPr>
          <w:p w14:paraId="10308713">
            <w:pPr>
              <w:adjustRightInd w:val="0"/>
              <w:spacing w:line="440" w:lineRule="exact"/>
              <w:jc w:val="center"/>
              <w:rPr>
                <w:rFonts w:ascii="宋体" w:hAnsi="宋体" w:cs="宋体"/>
                <w:color w:val="auto"/>
                <w:sz w:val="24"/>
              </w:rPr>
            </w:pPr>
            <w:r>
              <w:rPr>
                <w:rFonts w:hint="eastAsia" w:ascii="宋体" w:hAnsi="宋体" w:cs="宋体"/>
                <w:color w:val="auto"/>
                <w:sz w:val="24"/>
              </w:rPr>
              <w:t>序号</w:t>
            </w:r>
          </w:p>
        </w:tc>
        <w:tc>
          <w:tcPr>
            <w:tcW w:w="1882" w:type="dxa"/>
            <w:noWrap/>
            <w:vAlign w:val="center"/>
          </w:tcPr>
          <w:p w14:paraId="3432DFE2">
            <w:pPr>
              <w:adjustRightInd w:val="0"/>
              <w:spacing w:line="440" w:lineRule="exact"/>
              <w:jc w:val="center"/>
              <w:rPr>
                <w:rFonts w:ascii="宋体" w:hAnsi="宋体" w:cs="宋体"/>
                <w:color w:val="auto"/>
                <w:sz w:val="24"/>
              </w:rPr>
            </w:pPr>
            <w:r>
              <w:rPr>
                <w:rFonts w:hint="eastAsia" w:ascii="宋体" w:hAnsi="宋体" w:cs="宋体"/>
                <w:color w:val="auto"/>
                <w:sz w:val="24"/>
              </w:rPr>
              <w:t>项目名称</w:t>
            </w:r>
          </w:p>
        </w:tc>
        <w:tc>
          <w:tcPr>
            <w:tcW w:w="722" w:type="dxa"/>
            <w:noWrap/>
            <w:vAlign w:val="center"/>
          </w:tcPr>
          <w:p w14:paraId="30710DAA">
            <w:pPr>
              <w:adjustRightInd w:val="0"/>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eastAsia="zh-CN"/>
              </w:rPr>
              <w:t>规格</w:t>
            </w:r>
          </w:p>
        </w:tc>
        <w:tc>
          <w:tcPr>
            <w:tcW w:w="682" w:type="dxa"/>
            <w:noWrap/>
            <w:vAlign w:val="center"/>
          </w:tcPr>
          <w:p w14:paraId="55B61BCE">
            <w:pPr>
              <w:adjustRightInd w:val="0"/>
              <w:spacing w:line="440" w:lineRule="exact"/>
              <w:jc w:val="center"/>
              <w:rPr>
                <w:rFonts w:ascii="宋体" w:hAnsi="宋体" w:cs="宋体"/>
                <w:color w:val="auto"/>
                <w:sz w:val="24"/>
              </w:rPr>
            </w:pPr>
            <w:r>
              <w:rPr>
                <w:rFonts w:hint="eastAsia" w:ascii="宋体" w:hAnsi="宋体" w:cs="宋体"/>
                <w:color w:val="auto"/>
                <w:sz w:val="24"/>
              </w:rPr>
              <w:t>数量</w:t>
            </w:r>
          </w:p>
        </w:tc>
        <w:tc>
          <w:tcPr>
            <w:tcW w:w="553" w:type="dxa"/>
            <w:noWrap/>
            <w:vAlign w:val="center"/>
          </w:tcPr>
          <w:p w14:paraId="30620881">
            <w:pPr>
              <w:adjustRightInd w:val="0"/>
              <w:spacing w:line="440" w:lineRule="exact"/>
              <w:jc w:val="center"/>
              <w:rPr>
                <w:rFonts w:ascii="宋体" w:hAnsi="宋体" w:cs="宋体"/>
                <w:color w:val="auto"/>
                <w:sz w:val="24"/>
              </w:rPr>
            </w:pPr>
            <w:r>
              <w:rPr>
                <w:rFonts w:hint="eastAsia" w:ascii="宋体" w:hAnsi="宋体" w:cs="宋体"/>
                <w:color w:val="auto"/>
                <w:sz w:val="24"/>
              </w:rPr>
              <w:t>单位</w:t>
            </w:r>
          </w:p>
        </w:tc>
        <w:tc>
          <w:tcPr>
            <w:tcW w:w="1254" w:type="dxa"/>
            <w:noWrap/>
            <w:vAlign w:val="center"/>
          </w:tcPr>
          <w:p w14:paraId="64D4F5B4">
            <w:pPr>
              <w:adjustRightInd w:val="0"/>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eastAsia="zh-CN"/>
              </w:rPr>
              <w:t>单价最高限价</w:t>
            </w:r>
            <w:r>
              <w:rPr>
                <w:rFonts w:hint="eastAsia" w:ascii="宋体" w:hAnsi="宋体" w:cs="宋体"/>
                <w:color w:val="auto"/>
                <w:sz w:val="24"/>
              </w:rPr>
              <w:t>(元)</w:t>
            </w:r>
          </w:p>
        </w:tc>
        <w:tc>
          <w:tcPr>
            <w:tcW w:w="1254" w:type="dxa"/>
            <w:noWrap/>
            <w:vAlign w:val="center"/>
          </w:tcPr>
          <w:p w14:paraId="094ACDC4">
            <w:pPr>
              <w:adjustRightInd w:val="0"/>
              <w:spacing w:line="440" w:lineRule="exact"/>
              <w:jc w:val="center"/>
              <w:rPr>
                <w:rFonts w:ascii="宋体" w:hAnsi="宋体" w:cs="宋体"/>
                <w:color w:val="auto"/>
                <w:sz w:val="24"/>
              </w:rPr>
            </w:pPr>
            <w:r>
              <w:rPr>
                <w:rFonts w:hint="eastAsia" w:ascii="宋体" w:hAnsi="宋体" w:cs="宋体"/>
                <w:color w:val="auto"/>
                <w:sz w:val="24"/>
              </w:rPr>
              <w:t>预算金额(元)</w:t>
            </w:r>
          </w:p>
        </w:tc>
        <w:tc>
          <w:tcPr>
            <w:tcW w:w="2127" w:type="dxa"/>
            <w:noWrap/>
            <w:vAlign w:val="center"/>
          </w:tcPr>
          <w:p w14:paraId="053260C2">
            <w:pPr>
              <w:adjustRightInd w:val="0"/>
              <w:spacing w:line="440" w:lineRule="exact"/>
              <w:jc w:val="center"/>
              <w:rPr>
                <w:rFonts w:ascii="宋体" w:hAnsi="宋体" w:cs="宋体"/>
                <w:color w:val="auto"/>
                <w:sz w:val="24"/>
              </w:rPr>
            </w:pPr>
            <w:r>
              <w:rPr>
                <w:rFonts w:hint="eastAsia" w:ascii="宋体" w:hAnsi="宋体" w:cs="宋体"/>
                <w:color w:val="auto"/>
                <w:sz w:val="24"/>
              </w:rPr>
              <w:t>简要规格描述或标项基本概况介绍</w:t>
            </w:r>
          </w:p>
        </w:tc>
        <w:tc>
          <w:tcPr>
            <w:tcW w:w="1122" w:type="dxa"/>
            <w:noWrap/>
            <w:vAlign w:val="center"/>
          </w:tcPr>
          <w:p w14:paraId="7353F3DD">
            <w:pPr>
              <w:adjustRightInd w:val="0"/>
              <w:spacing w:line="440" w:lineRule="exact"/>
              <w:jc w:val="center"/>
              <w:rPr>
                <w:rFonts w:ascii="宋体" w:hAnsi="宋体" w:cs="宋体"/>
                <w:color w:val="auto"/>
                <w:sz w:val="24"/>
              </w:rPr>
            </w:pPr>
            <w:r>
              <w:rPr>
                <w:rFonts w:hint="eastAsia" w:ascii="宋体" w:hAnsi="宋体" w:cs="宋体"/>
                <w:color w:val="auto"/>
                <w:sz w:val="24"/>
              </w:rPr>
              <w:t>最高限价（元）</w:t>
            </w:r>
          </w:p>
        </w:tc>
        <w:tc>
          <w:tcPr>
            <w:tcW w:w="624" w:type="dxa"/>
            <w:noWrap/>
            <w:vAlign w:val="center"/>
          </w:tcPr>
          <w:p w14:paraId="1A44C2A2">
            <w:pPr>
              <w:adjustRightInd w:val="0"/>
              <w:spacing w:line="440" w:lineRule="exact"/>
              <w:jc w:val="center"/>
              <w:rPr>
                <w:rFonts w:ascii="宋体" w:hAnsi="宋体" w:cs="宋体"/>
                <w:color w:val="auto"/>
                <w:sz w:val="24"/>
              </w:rPr>
            </w:pPr>
            <w:r>
              <w:rPr>
                <w:rFonts w:hint="eastAsia" w:ascii="宋体" w:hAnsi="宋体" w:cs="宋体"/>
                <w:color w:val="auto"/>
                <w:sz w:val="24"/>
              </w:rPr>
              <w:t>备注</w:t>
            </w:r>
          </w:p>
        </w:tc>
      </w:tr>
      <w:tr w14:paraId="1ED2049E">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660" w:hRule="atLeast"/>
          <w:jc w:val="center"/>
        </w:trPr>
        <w:tc>
          <w:tcPr>
            <w:tcW w:w="423" w:type="dxa"/>
            <w:vMerge w:val="restart"/>
            <w:noWrap/>
            <w:vAlign w:val="center"/>
          </w:tcPr>
          <w:p w14:paraId="087FA714">
            <w:pPr>
              <w:adjustRightInd w:val="0"/>
              <w:spacing w:line="440" w:lineRule="exact"/>
              <w:jc w:val="center"/>
              <w:rPr>
                <w:rFonts w:ascii="宋体" w:hAnsi="宋体" w:cs="宋体"/>
                <w:color w:val="auto"/>
                <w:sz w:val="24"/>
              </w:rPr>
            </w:pPr>
            <w:r>
              <w:rPr>
                <w:rFonts w:hint="eastAsia" w:ascii="宋体" w:hAnsi="宋体" w:cs="宋体"/>
                <w:color w:val="auto"/>
                <w:sz w:val="24"/>
              </w:rPr>
              <w:t>1</w:t>
            </w:r>
          </w:p>
        </w:tc>
        <w:tc>
          <w:tcPr>
            <w:tcW w:w="1882" w:type="dxa"/>
            <w:vMerge w:val="restart"/>
            <w:noWrap/>
            <w:vAlign w:val="center"/>
          </w:tcPr>
          <w:p w14:paraId="76046062">
            <w:pPr>
              <w:adjustRightInd w:val="0"/>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eastAsia="zh-CN"/>
              </w:rPr>
              <w:t>上虞区崧厦街道新下湖村墓套采购项目</w:t>
            </w:r>
          </w:p>
        </w:tc>
        <w:tc>
          <w:tcPr>
            <w:tcW w:w="722" w:type="dxa"/>
            <w:noWrap/>
            <w:vAlign w:val="center"/>
          </w:tcPr>
          <w:p w14:paraId="40F76148">
            <w:pPr>
              <w:adjustRightInd w:val="0"/>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双穴</w:t>
            </w:r>
          </w:p>
        </w:tc>
        <w:tc>
          <w:tcPr>
            <w:tcW w:w="682" w:type="dxa"/>
            <w:noWrap/>
            <w:vAlign w:val="center"/>
          </w:tcPr>
          <w:p w14:paraId="0C686844">
            <w:pPr>
              <w:adjustRightInd w:val="0"/>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252</w:t>
            </w:r>
          </w:p>
        </w:tc>
        <w:tc>
          <w:tcPr>
            <w:tcW w:w="553" w:type="dxa"/>
            <w:vMerge w:val="restart"/>
            <w:noWrap/>
            <w:vAlign w:val="center"/>
          </w:tcPr>
          <w:p w14:paraId="36180D7C">
            <w:pPr>
              <w:adjustRightInd w:val="0"/>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套</w:t>
            </w:r>
          </w:p>
        </w:tc>
        <w:tc>
          <w:tcPr>
            <w:tcW w:w="1254" w:type="dxa"/>
            <w:noWrap/>
            <w:vAlign w:val="center"/>
          </w:tcPr>
          <w:p w14:paraId="3F6635A7">
            <w:pPr>
              <w:adjustRightInd w:val="0"/>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3000</w:t>
            </w:r>
          </w:p>
        </w:tc>
        <w:tc>
          <w:tcPr>
            <w:tcW w:w="1254" w:type="dxa"/>
            <w:vMerge w:val="restart"/>
            <w:noWrap/>
            <w:vAlign w:val="center"/>
          </w:tcPr>
          <w:p w14:paraId="6752A3E4">
            <w:pPr>
              <w:adjustRightInd w:val="0"/>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1116000</w:t>
            </w:r>
          </w:p>
        </w:tc>
        <w:tc>
          <w:tcPr>
            <w:tcW w:w="2127" w:type="dxa"/>
            <w:vMerge w:val="restart"/>
            <w:noWrap/>
            <w:vAlign w:val="center"/>
          </w:tcPr>
          <w:p w14:paraId="00F6DC5E">
            <w:pPr>
              <w:adjustRightInd w:val="0"/>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双穴墓套及单穴墓套采购</w:t>
            </w:r>
          </w:p>
        </w:tc>
        <w:tc>
          <w:tcPr>
            <w:tcW w:w="1122" w:type="dxa"/>
            <w:vMerge w:val="restart"/>
            <w:noWrap/>
            <w:vAlign w:val="center"/>
          </w:tcPr>
          <w:p w14:paraId="34B86C07">
            <w:pPr>
              <w:adjustRightInd w:val="0"/>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1116000</w:t>
            </w:r>
          </w:p>
        </w:tc>
        <w:tc>
          <w:tcPr>
            <w:tcW w:w="624" w:type="dxa"/>
            <w:vMerge w:val="restart"/>
            <w:noWrap/>
            <w:vAlign w:val="center"/>
          </w:tcPr>
          <w:p w14:paraId="6C04DE83">
            <w:pPr>
              <w:adjustRightInd w:val="0"/>
              <w:spacing w:line="440" w:lineRule="exact"/>
              <w:jc w:val="center"/>
              <w:rPr>
                <w:rFonts w:ascii="宋体" w:hAnsi="宋体" w:cs="宋体"/>
                <w:color w:val="auto"/>
                <w:sz w:val="24"/>
              </w:rPr>
            </w:pPr>
          </w:p>
        </w:tc>
      </w:tr>
      <w:tr w14:paraId="1186A1D5">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660" w:hRule="atLeast"/>
          <w:jc w:val="center"/>
        </w:trPr>
        <w:tc>
          <w:tcPr>
            <w:tcW w:w="423" w:type="dxa"/>
            <w:vMerge w:val="continue"/>
            <w:noWrap/>
            <w:vAlign w:val="center"/>
          </w:tcPr>
          <w:p w14:paraId="72566750">
            <w:pPr>
              <w:adjustRightInd w:val="0"/>
              <w:spacing w:line="440" w:lineRule="exact"/>
              <w:jc w:val="center"/>
            </w:pPr>
          </w:p>
        </w:tc>
        <w:tc>
          <w:tcPr>
            <w:tcW w:w="1882" w:type="dxa"/>
            <w:vMerge w:val="continue"/>
            <w:noWrap/>
            <w:vAlign w:val="center"/>
          </w:tcPr>
          <w:p w14:paraId="26D04121">
            <w:pPr>
              <w:adjustRightInd w:val="0"/>
              <w:spacing w:line="440" w:lineRule="exact"/>
              <w:jc w:val="center"/>
              <w:rPr>
                <w:color w:val="auto"/>
              </w:rPr>
            </w:pPr>
          </w:p>
        </w:tc>
        <w:tc>
          <w:tcPr>
            <w:tcW w:w="722" w:type="dxa"/>
            <w:noWrap/>
            <w:vAlign w:val="center"/>
          </w:tcPr>
          <w:p w14:paraId="282CC60B">
            <w:pPr>
              <w:adjustRightInd w:val="0"/>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单穴</w:t>
            </w:r>
          </w:p>
        </w:tc>
        <w:tc>
          <w:tcPr>
            <w:tcW w:w="682" w:type="dxa"/>
            <w:noWrap/>
            <w:vAlign w:val="center"/>
          </w:tcPr>
          <w:p w14:paraId="4FC33E6A">
            <w:pPr>
              <w:adjustRightInd w:val="0"/>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180</w:t>
            </w:r>
          </w:p>
        </w:tc>
        <w:tc>
          <w:tcPr>
            <w:tcW w:w="553" w:type="dxa"/>
            <w:vMerge w:val="continue"/>
            <w:noWrap/>
            <w:vAlign w:val="center"/>
          </w:tcPr>
          <w:p w14:paraId="553716CB">
            <w:pPr>
              <w:adjustRightInd w:val="0"/>
              <w:spacing w:line="440" w:lineRule="exact"/>
              <w:jc w:val="center"/>
              <w:rPr>
                <w:rFonts w:hint="eastAsia" w:ascii="宋体" w:hAnsi="宋体" w:cs="宋体"/>
                <w:color w:val="auto"/>
                <w:sz w:val="24"/>
                <w:lang w:val="en-US" w:eastAsia="zh-CN"/>
              </w:rPr>
            </w:pPr>
          </w:p>
        </w:tc>
        <w:tc>
          <w:tcPr>
            <w:tcW w:w="1254" w:type="dxa"/>
            <w:noWrap/>
            <w:vAlign w:val="center"/>
          </w:tcPr>
          <w:p w14:paraId="2F780748">
            <w:pPr>
              <w:adjustRightInd w:val="0"/>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2000</w:t>
            </w:r>
          </w:p>
        </w:tc>
        <w:tc>
          <w:tcPr>
            <w:tcW w:w="1254" w:type="dxa"/>
            <w:vMerge w:val="continue"/>
            <w:noWrap/>
            <w:vAlign w:val="center"/>
          </w:tcPr>
          <w:p w14:paraId="2000F8D7">
            <w:pPr>
              <w:adjustRightInd w:val="0"/>
              <w:spacing w:line="440" w:lineRule="exact"/>
              <w:jc w:val="center"/>
              <w:rPr>
                <w:rFonts w:hint="eastAsia" w:ascii="宋体" w:hAnsi="宋体" w:cs="宋体"/>
                <w:color w:val="0000FF"/>
                <w:sz w:val="24"/>
                <w:lang w:val="en-US" w:eastAsia="zh-CN"/>
              </w:rPr>
            </w:pPr>
          </w:p>
        </w:tc>
        <w:tc>
          <w:tcPr>
            <w:tcW w:w="2127" w:type="dxa"/>
            <w:vMerge w:val="continue"/>
            <w:noWrap/>
            <w:vAlign w:val="center"/>
          </w:tcPr>
          <w:p w14:paraId="4F09D6BB">
            <w:pPr>
              <w:adjustRightInd w:val="0"/>
              <w:spacing w:line="440" w:lineRule="exact"/>
              <w:jc w:val="center"/>
              <w:rPr>
                <w:rFonts w:hint="eastAsia" w:ascii="宋体" w:hAnsi="宋体" w:cs="宋体"/>
                <w:color w:val="0000FF"/>
                <w:sz w:val="24"/>
                <w:lang w:val="en-US" w:eastAsia="zh-CN"/>
              </w:rPr>
            </w:pPr>
          </w:p>
        </w:tc>
        <w:tc>
          <w:tcPr>
            <w:tcW w:w="1122" w:type="dxa"/>
            <w:vMerge w:val="continue"/>
            <w:noWrap/>
            <w:vAlign w:val="center"/>
          </w:tcPr>
          <w:p w14:paraId="59A74525">
            <w:pPr>
              <w:adjustRightInd w:val="0"/>
              <w:spacing w:line="440" w:lineRule="exact"/>
              <w:jc w:val="center"/>
              <w:rPr>
                <w:rFonts w:hint="eastAsia" w:ascii="宋体" w:hAnsi="宋体" w:cs="宋体"/>
                <w:color w:val="0000FF"/>
                <w:sz w:val="24"/>
                <w:lang w:val="en-US" w:eastAsia="zh-CN"/>
              </w:rPr>
            </w:pPr>
          </w:p>
        </w:tc>
        <w:tc>
          <w:tcPr>
            <w:tcW w:w="624" w:type="dxa"/>
            <w:vMerge w:val="continue"/>
            <w:noWrap/>
            <w:vAlign w:val="center"/>
          </w:tcPr>
          <w:p w14:paraId="58048DFC">
            <w:pPr>
              <w:adjustRightInd w:val="0"/>
              <w:spacing w:line="440" w:lineRule="exact"/>
              <w:jc w:val="center"/>
              <w:rPr>
                <w:rFonts w:hint="eastAsia" w:ascii="宋体" w:hAnsi="宋体" w:cs="宋体"/>
                <w:color w:val="0000FF"/>
                <w:sz w:val="24"/>
                <w:lang w:val="en-US" w:eastAsia="zh-CN"/>
              </w:rPr>
            </w:pPr>
          </w:p>
        </w:tc>
      </w:tr>
    </w:tbl>
    <w:p w14:paraId="1194A654">
      <w:pPr>
        <w:adjustRightInd w:val="0"/>
        <w:spacing w:line="440" w:lineRule="exact"/>
        <w:ind w:firstLine="482" w:firstLineChars="200"/>
        <w:rPr>
          <w:rFonts w:ascii="宋体" w:hAnsi="宋体" w:cs="宋体"/>
          <w:b/>
          <w:bCs/>
          <w:color w:val="auto"/>
          <w:sz w:val="24"/>
        </w:rPr>
      </w:pPr>
      <w:r>
        <w:rPr>
          <w:rFonts w:hint="eastAsia" w:ascii="宋体" w:hAnsi="宋体" w:cs="宋体"/>
          <w:b/>
          <w:bCs/>
          <w:color w:val="auto"/>
          <w:sz w:val="24"/>
        </w:rPr>
        <w:t>四． 投标供应商资格要求:</w:t>
      </w:r>
    </w:p>
    <w:p w14:paraId="49F3ECF6">
      <w:pPr>
        <w:pStyle w:val="27"/>
        <w:numPr>
          <w:ilvl w:val="0"/>
          <w:numId w:val="3"/>
        </w:numPr>
        <w:tabs>
          <w:tab w:val="left" w:pos="567"/>
        </w:tabs>
        <w:spacing w:before="0" w:beforeAutospacing="0" w:after="0" w:afterAutospacing="0" w:line="440" w:lineRule="exact"/>
        <w:ind w:firstLine="403"/>
        <w:rPr>
          <w:color w:val="auto"/>
        </w:rPr>
      </w:pPr>
      <w:r>
        <w:rPr>
          <w:rFonts w:hint="eastAsia"/>
          <w:color w:val="auto"/>
        </w:rPr>
        <w:t>具有独立承担民事责任的能力；</w:t>
      </w:r>
    </w:p>
    <w:p w14:paraId="2FAD69A2">
      <w:pPr>
        <w:pStyle w:val="27"/>
        <w:numPr>
          <w:ilvl w:val="0"/>
          <w:numId w:val="3"/>
        </w:numPr>
        <w:tabs>
          <w:tab w:val="left" w:pos="567"/>
        </w:tabs>
        <w:spacing w:before="0" w:beforeAutospacing="0" w:after="0" w:afterAutospacing="0" w:line="440" w:lineRule="exact"/>
        <w:ind w:firstLine="403"/>
        <w:rPr>
          <w:color w:val="auto"/>
        </w:rPr>
      </w:pPr>
      <w:r>
        <w:rPr>
          <w:rFonts w:hint="eastAsia"/>
          <w:color w:val="auto"/>
        </w:rPr>
        <w:t>具有良好的商业信誉和健全的财务会计财务制度；</w:t>
      </w:r>
    </w:p>
    <w:p w14:paraId="10E814E2">
      <w:pPr>
        <w:pStyle w:val="27"/>
        <w:numPr>
          <w:ilvl w:val="0"/>
          <w:numId w:val="3"/>
        </w:numPr>
        <w:tabs>
          <w:tab w:val="left" w:pos="567"/>
        </w:tabs>
        <w:spacing w:before="0" w:beforeAutospacing="0" w:after="0" w:afterAutospacing="0" w:line="440" w:lineRule="exact"/>
        <w:ind w:firstLine="403"/>
        <w:rPr>
          <w:color w:val="auto"/>
        </w:rPr>
      </w:pPr>
      <w:r>
        <w:rPr>
          <w:rFonts w:hint="eastAsia"/>
          <w:color w:val="auto"/>
        </w:rPr>
        <w:t>具有履行合同所必需的设备和专业技术、售后保障等能力；</w:t>
      </w:r>
    </w:p>
    <w:p w14:paraId="6D1479EC">
      <w:pPr>
        <w:pStyle w:val="27"/>
        <w:numPr>
          <w:ilvl w:val="0"/>
          <w:numId w:val="3"/>
        </w:numPr>
        <w:tabs>
          <w:tab w:val="left" w:pos="567"/>
        </w:tabs>
        <w:spacing w:before="0" w:beforeAutospacing="0" w:after="0" w:afterAutospacing="0" w:line="440" w:lineRule="exact"/>
        <w:ind w:firstLine="403"/>
        <w:rPr>
          <w:color w:val="auto"/>
        </w:rPr>
      </w:pPr>
      <w:r>
        <w:rPr>
          <w:rFonts w:hint="eastAsia"/>
          <w:color w:val="auto"/>
        </w:rPr>
        <w:t>有依法缴纳税收和社会保障资金的良好记录；</w:t>
      </w:r>
    </w:p>
    <w:p w14:paraId="5C96E786">
      <w:pPr>
        <w:pStyle w:val="27"/>
        <w:numPr>
          <w:ilvl w:val="0"/>
          <w:numId w:val="3"/>
        </w:numPr>
        <w:tabs>
          <w:tab w:val="left" w:pos="567"/>
        </w:tabs>
        <w:spacing w:before="0" w:beforeAutospacing="0" w:after="0" w:afterAutospacing="0" w:line="440" w:lineRule="exact"/>
        <w:ind w:firstLine="403"/>
        <w:rPr>
          <w:color w:val="auto"/>
        </w:rPr>
      </w:pPr>
      <w:r>
        <w:rPr>
          <w:rFonts w:hint="eastAsia"/>
          <w:color w:val="auto"/>
        </w:rPr>
        <w:t>参加采购、招投标等活动前三年内，在经营活动中没有重大违法记录和行贿记录；</w:t>
      </w:r>
    </w:p>
    <w:p w14:paraId="160B19D5">
      <w:pPr>
        <w:pStyle w:val="27"/>
        <w:numPr>
          <w:ilvl w:val="0"/>
          <w:numId w:val="3"/>
        </w:numPr>
        <w:tabs>
          <w:tab w:val="left" w:pos="567"/>
        </w:tabs>
        <w:spacing w:before="0" w:beforeAutospacing="0" w:after="0" w:afterAutospacing="0" w:line="440" w:lineRule="exact"/>
        <w:ind w:firstLine="403"/>
        <w:rPr>
          <w:color w:val="auto"/>
        </w:rPr>
      </w:pPr>
      <w:r>
        <w:rPr>
          <w:rFonts w:hint="eastAsia"/>
          <w:color w:val="auto"/>
        </w:rPr>
        <w:t>本次招标不接受联合体投标；</w:t>
      </w:r>
    </w:p>
    <w:p w14:paraId="14C75064">
      <w:pPr>
        <w:pStyle w:val="27"/>
        <w:numPr>
          <w:ilvl w:val="0"/>
          <w:numId w:val="3"/>
        </w:numPr>
        <w:tabs>
          <w:tab w:val="left" w:pos="567"/>
        </w:tabs>
        <w:spacing w:before="0" w:beforeAutospacing="0" w:after="0" w:afterAutospacing="0" w:line="440" w:lineRule="exact"/>
        <w:ind w:firstLine="403"/>
        <w:rPr>
          <w:color w:val="auto"/>
        </w:rPr>
      </w:pPr>
      <w:r>
        <w:rPr>
          <w:rFonts w:hint="eastAsia"/>
          <w:color w:val="auto"/>
        </w:rPr>
        <w:t>本次招标采用资格后审的审查方式，由采购人负责审查。</w:t>
      </w:r>
    </w:p>
    <w:p w14:paraId="201FE41C">
      <w:pPr>
        <w:adjustRightInd w:val="0"/>
        <w:spacing w:line="440" w:lineRule="exact"/>
        <w:ind w:firstLine="482" w:firstLineChars="200"/>
        <w:rPr>
          <w:rFonts w:ascii="宋体" w:hAnsi="宋体" w:cs="宋体"/>
          <w:b/>
          <w:bCs/>
          <w:color w:val="auto"/>
          <w:sz w:val="24"/>
        </w:rPr>
      </w:pPr>
      <w:r>
        <w:rPr>
          <w:rFonts w:hint="eastAsia" w:ascii="宋体" w:hAnsi="宋体" w:cs="宋体"/>
          <w:b/>
          <w:bCs/>
          <w:color w:val="auto"/>
          <w:sz w:val="24"/>
        </w:rPr>
        <w:t>五．投标获取采购文件</w:t>
      </w:r>
    </w:p>
    <w:p w14:paraId="11B0E823">
      <w:pPr>
        <w:numPr>
          <w:ilvl w:val="0"/>
          <w:numId w:val="4"/>
        </w:numPr>
        <w:adjustRightInd w:val="0"/>
        <w:spacing w:line="440" w:lineRule="exact"/>
        <w:ind w:firstLine="480" w:firstLineChars="200"/>
        <w:rPr>
          <w:rFonts w:ascii="宋体" w:hAnsi="宋体" w:cs="宋体"/>
          <w:color w:val="auto"/>
          <w:sz w:val="24"/>
        </w:rPr>
      </w:pPr>
      <w:bookmarkStart w:id="13" w:name="报名开始时间1"/>
      <w:r>
        <w:rPr>
          <w:rFonts w:hint="eastAsia" w:ascii="宋体" w:hAnsi="宋体" w:cs="宋体"/>
          <w:color w:val="auto"/>
          <w:sz w:val="24"/>
        </w:rPr>
        <w:t>获取采购文件时间:</w:t>
      </w:r>
      <w:bookmarkEnd w:id="13"/>
      <w:r>
        <w:rPr>
          <w:rFonts w:hint="eastAsia" w:ascii="宋体" w:hAnsi="宋体" w:cs="宋体"/>
          <w:color w:val="auto"/>
          <w:sz w:val="24"/>
        </w:rPr>
        <w:t>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17</w:t>
      </w:r>
      <w:r>
        <w:rPr>
          <w:rFonts w:hint="eastAsia" w:ascii="宋体" w:hAnsi="宋体" w:cs="宋体"/>
          <w:color w:val="auto"/>
          <w:sz w:val="24"/>
        </w:rPr>
        <w:t>日</w:t>
      </w:r>
      <w:r>
        <w:rPr>
          <w:rFonts w:hint="eastAsia" w:ascii="宋体" w:hAnsi="宋体" w:cs="宋体"/>
          <w:color w:val="auto"/>
          <w:sz w:val="24"/>
          <w:lang w:val="en-US" w:eastAsia="zh-CN"/>
        </w:rPr>
        <w:t>09:30</w:t>
      </w:r>
      <w:r>
        <w:rPr>
          <w:rFonts w:hint="eastAsia" w:ascii="宋体" w:hAnsi="宋体" w:cs="宋体"/>
          <w:color w:val="auto"/>
          <w:sz w:val="24"/>
        </w:rPr>
        <w:t>之前获取。</w:t>
      </w:r>
    </w:p>
    <w:p w14:paraId="732D1ECC">
      <w:pPr>
        <w:numPr>
          <w:ilvl w:val="0"/>
          <w:numId w:val="4"/>
        </w:numPr>
        <w:adjustRightInd w:val="0"/>
        <w:spacing w:line="440" w:lineRule="exact"/>
        <w:ind w:firstLine="480" w:firstLineChars="200"/>
        <w:rPr>
          <w:rFonts w:ascii="宋体" w:hAnsi="宋体" w:cs="宋体"/>
          <w:color w:val="auto"/>
          <w:sz w:val="24"/>
        </w:rPr>
      </w:pPr>
      <w:r>
        <w:rPr>
          <w:rFonts w:hint="eastAsia" w:ascii="宋体" w:hAnsi="宋体" w:cs="宋体"/>
          <w:color w:val="auto"/>
          <w:sz w:val="24"/>
        </w:rPr>
        <w:t>获取采购文件方式：供应商登陆</w:t>
      </w:r>
      <w:r>
        <w:rPr>
          <w:rFonts w:hint="eastAsia" w:ascii="宋体" w:hAnsi="宋体" w:cs="宋体"/>
          <w:color w:val="auto"/>
          <w:sz w:val="24"/>
          <w:lang w:eastAsia="zh-CN"/>
        </w:rPr>
        <w:t>村采云</w:t>
      </w:r>
      <w:r>
        <w:rPr>
          <w:rFonts w:hint="eastAsia" w:ascii="宋体" w:hAnsi="宋体" w:cs="宋体"/>
          <w:color w:val="auto"/>
          <w:sz w:val="24"/>
        </w:rPr>
        <w:t>平台https://synbsc.zhengcaiyun.cn/，在线申请获取采购文件（进入“项目采购”应用，在获取采购文件菜单中选择项目，申请获取采购文件）。</w:t>
      </w:r>
    </w:p>
    <w:p w14:paraId="62E7B0E7">
      <w:pPr>
        <w:numPr>
          <w:ilvl w:val="0"/>
          <w:numId w:val="4"/>
        </w:numPr>
        <w:adjustRightInd w:val="0"/>
        <w:spacing w:line="440" w:lineRule="exact"/>
        <w:ind w:firstLine="480" w:firstLineChars="200"/>
        <w:rPr>
          <w:rFonts w:ascii="宋体" w:hAnsi="宋体" w:cs="宋体"/>
          <w:color w:val="auto"/>
          <w:sz w:val="24"/>
        </w:rPr>
      </w:pPr>
      <w:r>
        <w:rPr>
          <w:rFonts w:hint="eastAsia" w:ascii="宋体" w:hAnsi="宋体" w:cs="宋体"/>
          <w:color w:val="auto"/>
          <w:sz w:val="24"/>
        </w:rPr>
        <w:t>提示：</w:t>
      </w:r>
    </w:p>
    <w:p w14:paraId="41F95000">
      <w:pPr>
        <w:numPr>
          <w:ilvl w:val="0"/>
          <w:numId w:val="5"/>
        </w:numPr>
        <w:adjustRightInd w:val="0"/>
        <w:spacing w:line="440" w:lineRule="exact"/>
        <w:ind w:firstLine="480" w:firstLineChars="200"/>
        <w:rPr>
          <w:rFonts w:ascii="宋体" w:hAnsi="宋体" w:cs="宋体"/>
          <w:color w:val="auto"/>
          <w:sz w:val="24"/>
        </w:rPr>
      </w:pPr>
      <w:r>
        <w:rPr>
          <w:rFonts w:hint="eastAsia" w:ascii="宋体" w:hAnsi="宋体" w:cs="宋体"/>
          <w:color w:val="auto"/>
          <w:sz w:val="24"/>
        </w:rPr>
        <w:t>将拒绝接受未获取采购文件供应商的投标文件。</w:t>
      </w:r>
    </w:p>
    <w:p w14:paraId="3B75EE5D">
      <w:pPr>
        <w:numPr>
          <w:ilvl w:val="0"/>
          <w:numId w:val="5"/>
        </w:numPr>
        <w:adjustRightInd w:val="0"/>
        <w:spacing w:line="440" w:lineRule="exact"/>
        <w:ind w:firstLine="480" w:firstLineChars="200"/>
        <w:rPr>
          <w:rFonts w:ascii="宋体" w:hAnsi="宋体" w:cs="宋体"/>
          <w:color w:val="auto"/>
          <w:sz w:val="24"/>
        </w:rPr>
      </w:pPr>
      <w:r>
        <w:rPr>
          <w:rFonts w:hint="eastAsia" w:ascii="宋体" w:hAnsi="宋体" w:cs="宋体"/>
          <w:color w:val="auto"/>
          <w:sz w:val="24"/>
        </w:rPr>
        <w:t>招标文件及更正补充公告请自行登录浙江政府采购网或绍兴市上虞区公共资源交易中心网站或上虞产权交易网，在采购公告页面中下载。</w:t>
      </w:r>
    </w:p>
    <w:p w14:paraId="0D087423">
      <w:pPr>
        <w:adjustRightInd w:val="0"/>
        <w:spacing w:line="440" w:lineRule="exact"/>
        <w:ind w:firstLine="482" w:firstLineChars="200"/>
        <w:rPr>
          <w:rFonts w:ascii="宋体" w:hAnsi="宋体" w:cs="宋体"/>
          <w:b/>
          <w:bCs/>
          <w:color w:val="auto"/>
          <w:sz w:val="24"/>
        </w:rPr>
      </w:pPr>
      <w:r>
        <w:rPr>
          <w:rFonts w:hint="eastAsia" w:ascii="宋体" w:hAnsi="宋体" w:cs="宋体"/>
          <w:b/>
          <w:bCs/>
          <w:color w:val="auto"/>
          <w:sz w:val="24"/>
        </w:rPr>
        <w:t>六、投标与开标注意事项：</w:t>
      </w:r>
    </w:p>
    <w:p w14:paraId="64F41FEC">
      <w:pPr>
        <w:numPr>
          <w:ilvl w:val="0"/>
          <w:numId w:val="6"/>
        </w:numPr>
        <w:adjustRightInd w:val="0"/>
        <w:spacing w:line="440" w:lineRule="exact"/>
        <w:ind w:firstLine="480" w:firstLineChars="200"/>
        <w:rPr>
          <w:rFonts w:ascii="宋体" w:hAnsi="宋体" w:cs="宋体"/>
          <w:color w:val="auto"/>
          <w:sz w:val="24"/>
        </w:rPr>
      </w:pPr>
      <w:r>
        <w:rPr>
          <w:rFonts w:hint="eastAsia" w:ascii="宋体" w:hAnsi="宋体" w:cs="宋体"/>
          <w:color w:val="auto"/>
          <w:sz w:val="24"/>
        </w:rPr>
        <w:t>本项目实行</w:t>
      </w:r>
      <w:r>
        <w:rPr>
          <w:rFonts w:hint="eastAsia" w:ascii="宋体" w:hAnsi="宋体" w:cs="宋体"/>
          <w:b/>
          <w:bCs/>
          <w:color w:val="auto"/>
          <w:sz w:val="24"/>
        </w:rPr>
        <w:t>网上投标</w:t>
      </w:r>
      <w:r>
        <w:rPr>
          <w:rFonts w:hint="eastAsia" w:ascii="宋体" w:hAnsi="宋体" w:cs="宋体"/>
          <w:color w:val="auto"/>
          <w:sz w:val="24"/>
        </w:rPr>
        <w:t>，采用电子投标文件，若供应商参与投标，自行承担投标一切费用。</w:t>
      </w:r>
    </w:p>
    <w:p w14:paraId="17561722">
      <w:pPr>
        <w:numPr>
          <w:ilvl w:val="0"/>
          <w:numId w:val="6"/>
        </w:numPr>
        <w:wordWrap w:val="0"/>
        <w:adjustRightInd w:val="0"/>
        <w:spacing w:line="440" w:lineRule="exact"/>
        <w:ind w:firstLine="480" w:firstLineChars="200"/>
        <w:rPr>
          <w:rFonts w:ascii="宋体" w:hAnsi="宋体" w:cs="宋体"/>
          <w:color w:val="auto"/>
          <w:sz w:val="24"/>
        </w:rPr>
      </w:pPr>
      <w:r>
        <w:rPr>
          <w:rFonts w:hint="eastAsia" w:ascii="宋体" w:hAnsi="宋体" w:cs="宋体"/>
          <w:color w:val="auto"/>
          <w:sz w:val="24"/>
        </w:rPr>
        <w:t>标前准备：各供应商应在开标前应确保成为浙江省政府采购网正式注册入库供应商，并完成CA数字证书办理。因未注册入库、未办理CA数字证书等原因造成无法投标或投标失败等后果由供应商自行承担。</w:t>
      </w:r>
    </w:p>
    <w:p w14:paraId="1EC943D1">
      <w:pPr>
        <w:autoSpaceDE w:val="0"/>
        <w:autoSpaceDN w:val="0"/>
        <w:spacing w:line="440" w:lineRule="exact"/>
        <w:ind w:firstLine="480" w:firstLineChars="200"/>
        <w:textAlignment w:val="bottom"/>
        <w:rPr>
          <w:rFonts w:ascii="宋体" w:hAnsi="宋体" w:cs="宋体"/>
          <w:color w:val="auto"/>
          <w:sz w:val="24"/>
          <w:szCs w:val="21"/>
        </w:rPr>
      </w:pPr>
      <w:r>
        <w:rPr>
          <w:rFonts w:hint="eastAsia" w:ascii="宋体" w:hAnsi="宋体" w:cs="宋体"/>
          <w:color w:val="auto"/>
          <w:sz w:val="24"/>
          <w:szCs w:val="21"/>
        </w:rPr>
        <w:t>供应商将</w:t>
      </w:r>
      <w:r>
        <w:rPr>
          <w:rFonts w:hint="eastAsia" w:ascii="宋体" w:hAnsi="宋体" w:cs="宋体"/>
          <w:color w:val="auto"/>
          <w:sz w:val="24"/>
          <w:szCs w:val="21"/>
          <w:lang w:eastAsia="zh-CN"/>
        </w:rPr>
        <w:t>村采云</w:t>
      </w:r>
      <w:r>
        <w:rPr>
          <w:rFonts w:hint="eastAsia" w:ascii="宋体" w:hAnsi="宋体" w:cs="宋体"/>
          <w:color w:val="auto"/>
          <w:sz w:val="24"/>
          <w:szCs w:val="21"/>
        </w:rPr>
        <w:t>电子交易客户端下载、安装完成后，可通过账号密码或CA登录客户端进行投标文件制作。在使用</w:t>
      </w:r>
      <w:r>
        <w:rPr>
          <w:rFonts w:hint="eastAsia" w:ascii="宋体" w:hAnsi="宋体" w:cs="宋体"/>
          <w:color w:val="auto"/>
          <w:sz w:val="24"/>
          <w:szCs w:val="21"/>
          <w:lang w:eastAsia="zh-CN"/>
        </w:rPr>
        <w:t>村采云</w:t>
      </w:r>
      <w:r>
        <w:rPr>
          <w:rFonts w:hint="eastAsia" w:ascii="宋体" w:hAnsi="宋体" w:cs="宋体"/>
          <w:color w:val="auto"/>
          <w:sz w:val="24"/>
          <w:szCs w:val="21"/>
        </w:rPr>
        <w:t>投标客户端时，建议使用WIN7及以上操作系统。</w:t>
      </w:r>
    </w:p>
    <w:p w14:paraId="2C070DEE">
      <w:pPr>
        <w:autoSpaceDE w:val="0"/>
        <w:autoSpaceDN w:val="0"/>
        <w:spacing w:line="440" w:lineRule="exact"/>
        <w:ind w:firstLine="480" w:firstLineChars="200"/>
        <w:textAlignment w:val="bottom"/>
        <w:rPr>
          <w:rFonts w:ascii="宋体" w:hAnsi="宋体" w:cs="宋体"/>
          <w:color w:val="auto"/>
          <w:sz w:val="24"/>
          <w:szCs w:val="21"/>
        </w:rPr>
      </w:pPr>
      <w:r>
        <w:rPr>
          <w:rFonts w:hint="eastAsia" w:ascii="宋体" w:hAnsi="宋体" w:cs="宋体"/>
          <w:color w:val="auto"/>
          <w:sz w:val="24"/>
          <w:szCs w:val="21"/>
        </w:rPr>
        <w:t>注：供应商先要申领CA，取得CA后需要在</w:t>
      </w:r>
      <w:r>
        <w:rPr>
          <w:rFonts w:hint="eastAsia" w:ascii="宋体" w:hAnsi="宋体" w:cs="宋体"/>
          <w:color w:val="auto"/>
          <w:sz w:val="24"/>
          <w:szCs w:val="21"/>
          <w:lang w:eastAsia="zh-CN"/>
        </w:rPr>
        <w:t>村采云</w:t>
      </w:r>
      <w:r>
        <w:rPr>
          <w:rFonts w:hint="eastAsia" w:ascii="宋体" w:hAnsi="宋体" w:cs="宋体"/>
          <w:color w:val="auto"/>
          <w:sz w:val="24"/>
          <w:szCs w:val="21"/>
        </w:rPr>
        <w:t>平台进行绑定，CA相关操作可参考《CA管理学习专题》。完成CA数字证书办理在资料齐全的情况下预计7个工作日左右，建议供应商获取招标文件后立即办理。</w:t>
      </w:r>
    </w:p>
    <w:p w14:paraId="6DCF35EA">
      <w:pPr>
        <w:adjustRightInd w:val="0"/>
        <w:spacing w:line="440" w:lineRule="exact"/>
        <w:ind w:left="420" w:leftChars="200"/>
        <w:rPr>
          <w:rFonts w:ascii="宋体" w:hAnsi="宋体" w:cs="宋体"/>
          <w:color w:val="auto"/>
          <w:sz w:val="24"/>
          <w:szCs w:val="21"/>
        </w:rPr>
      </w:pPr>
      <w:r>
        <w:rPr>
          <w:rFonts w:hint="eastAsia" w:ascii="宋体" w:hAnsi="宋体" w:cs="宋体"/>
          <w:color w:val="auto"/>
          <w:sz w:val="24"/>
          <w:szCs w:val="21"/>
        </w:rPr>
        <w:t>《CA管理学习专题》：</w:t>
      </w:r>
    </w:p>
    <w:p w14:paraId="134C9396">
      <w:pPr>
        <w:adjustRightInd w:val="0"/>
        <w:spacing w:line="440" w:lineRule="exact"/>
        <w:ind w:left="420" w:leftChars="200"/>
        <w:rPr>
          <w:rFonts w:ascii="宋体" w:hAnsi="宋体" w:cs="宋体"/>
          <w:color w:val="auto"/>
          <w:sz w:val="24"/>
          <w:szCs w:val="21"/>
        </w:rPr>
      </w:pPr>
      <w:r>
        <w:rPr>
          <w:rFonts w:hint="eastAsia" w:ascii="宋体" w:hAnsi="宋体" w:cs="宋体"/>
          <w:color w:val="auto"/>
          <w:sz w:val="24"/>
          <w:szCs w:val="21"/>
        </w:rPr>
        <w:t>https://edu.zcygov.cn/luban/ca?utm=web-government-front.380aac0a.0.0.fc2b6aa0b6e211ebbdb0dd007730dd44</w:t>
      </w:r>
    </w:p>
    <w:p w14:paraId="03EC8292">
      <w:pPr>
        <w:adjustRightInd w:val="0"/>
        <w:spacing w:line="440" w:lineRule="exact"/>
        <w:ind w:left="420" w:leftChars="200"/>
        <w:rPr>
          <w:rFonts w:ascii="宋体" w:hAnsi="宋体" w:cs="宋体"/>
          <w:color w:val="auto"/>
          <w:sz w:val="24"/>
          <w:szCs w:val="21"/>
        </w:rPr>
      </w:pPr>
      <w:r>
        <w:rPr>
          <w:rFonts w:hint="eastAsia" w:ascii="宋体" w:hAnsi="宋体" w:cs="宋体"/>
          <w:color w:val="auto"/>
          <w:sz w:val="24"/>
          <w:szCs w:val="21"/>
        </w:rPr>
        <w:t>《CA驱动和申领流程》:</w:t>
      </w:r>
    </w:p>
    <w:p w14:paraId="60AAAD8F">
      <w:pPr>
        <w:adjustRightInd w:val="0"/>
        <w:spacing w:line="440" w:lineRule="exact"/>
        <w:ind w:left="420" w:leftChars="200"/>
        <w:rPr>
          <w:rFonts w:ascii="宋体" w:hAnsi="宋体" w:cs="宋体"/>
          <w:color w:val="auto"/>
          <w:sz w:val="24"/>
        </w:rPr>
      </w:pPr>
      <w:r>
        <w:rPr>
          <w:color w:val="auto"/>
        </w:rPr>
        <w:fldChar w:fldCharType="begin"/>
      </w:r>
      <w:r>
        <w:rPr>
          <w:color w:val="auto"/>
        </w:rPr>
        <w:instrText xml:space="preserve"> HYPERLINK "http://zfcg.czt.zj.gov.cn/bidClientTemplate/2019-05-27/12945.html" </w:instrText>
      </w:r>
      <w:r>
        <w:rPr>
          <w:color w:val="auto"/>
        </w:rPr>
        <w:fldChar w:fldCharType="separate"/>
      </w:r>
      <w:r>
        <w:rPr>
          <w:rFonts w:hint="eastAsia" w:ascii="宋体" w:hAnsi="宋体" w:cs="宋体"/>
          <w:color w:val="auto"/>
          <w:sz w:val="24"/>
          <w:szCs w:val="21"/>
        </w:rPr>
        <w:t>http://zfcg.czt.zj.gov.cn/bidClientTemplate/2019-05-27/12945.html</w:t>
      </w:r>
      <w:r>
        <w:rPr>
          <w:rFonts w:hint="eastAsia" w:ascii="宋体" w:hAnsi="宋体" w:cs="宋体"/>
          <w:color w:val="auto"/>
          <w:sz w:val="24"/>
          <w:szCs w:val="21"/>
        </w:rPr>
        <w:fldChar w:fldCharType="end"/>
      </w:r>
    </w:p>
    <w:p w14:paraId="3273A657">
      <w:pPr>
        <w:numPr>
          <w:ilvl w:val="0"/>
          <w:numId w:val="6"/>
        </w:numPr>
        <w:adjustRightInd w:val="0"/>
        <w:spacing w:line="440" w:lineRule="exact"/>
        <w:ind w:firstLine="480" w:firstLineChars="200"/>
        <w:rPr>
          <w:rFonts w:ascii="宋体" w:hAnsi="宋体" w:cs="宋体"/>
          <w:color w:val="auto"/>
          <w:sz w:val="24"/>
        </w:rPr>
      </w:pPr>
      <w:r>
        <w:rPr>
          <w:rFonts w:hint="eastAsia" w:ascii="宋体" w:hAnsi="宋体" w:cs="宋体"/>
          <w:color w:val="auto"/>
          <w:sz w:val="24"/>
        </w:rPr>
        <w:t>投标文件制作：</w:t>
      </w:r>
    </w:p>
    <w:p w14:paraId="39F416DC">
      <w:pPr>
        <w:numPr>
          <w:ilvl w:val="0"/>
          <w:numId w:val="7"/>
        </w:numPr>
        <w:adjustRightInd w:val="0"/>
        <w:spacing w:line="440" w:lineRule="exact"/>
        <w:ind w:firstLine="480" w:firstLineChars="200"/>
        <w:rPr>
          <w:rFonts w:ascii="宋体" w:hAnsi="宋体" w:cs="宋体"/>
          <w:color w:val="auto"/>
          <w:sz w:val="24"/>
        </w:rPr>
      </w:pPr>
      <w:r>
        <w:rPr>
          <w:rFonts w:hint="eastAsia" w:ascii="宋体" w:hAnsi="宋体" w:cs="宋体"/>
          <w:color w:val="auto"/>
          <w:sz w:val="24"/>
        </w:rPr>
        <w:t>应按照本项目招标文件和</w:t>
      </w:r>
      <w:r>
        <w:rPr>
          <w:rFonts w:hint="eastAsia" w:ascii="宋体" w:hAnsi="宋体" w:cs="宋体"/>
          <w:color w:val="auto"/>
          <w:sz w:val="24"/>
          <w:lang w:eastAsia="zh-CN"/>
        </w:rPr>
        <w:t>村采云</w:t>
      </w:r>
      <w:r>
        <w:rPr>
          <w:rFonts w:hint="eastAsia" w:ascii="宋体" w:hAnsi="宋体" w:cs="宋体"/>
          <w:color w:val="auto"/>
          <w:sz w:val="24"/>
        </w:rPr>
        <w:t>平台的要求编制、加密并递交投标文件。供应商在使用系统进行投标的过程中遇到涉及平台使用的任何问题，可致电</w:t>
      </w:r>
      <w:r>
        <w:rPr>
          <w:rFonts w:hint="eastAsia" w:ascii="宋体" w:hAnsi="宋体" w:cs="宋体"/>
          <w:color w:val="auto"/>
          <w:sz w:val="24"/>
          <w:lang w:eastAsia="zh-CN"/>
        </w:rPr>
        <w:t>村采云</w:t>
      </w:r>
      <w:r>
        <w:rPr>
          <w:rFonts w:hint="eastAsia" w:ascii="宋体" w:hAnsi="宋体" w:cs="宋体"/>
          <w:color w:val="auto"/>
          <w:sz w:val="24"/>
        </w:rPr>
        <w:t>平台技术支持热线咨询，联系方式：</w:t>
      </w:r>
      <w:r>
        <w:rPr>
          <w:rFonts w:hint="eastAsia" w:ascii="宋体" w:hAnsi="宋体" w:eastAsia="宋体" w:cs="宋体"/>
          <w:color w:val="auto"/>
          <w:sz w:val="24"/>
        </w:rPr>
        <w:t>95763</w:t>
      </w:r>
      <w:r>
        <w:rPr>
          <w:rFonts w:hint="eastAsia" w:ascii="宋体" w:hAnsi="宋体" w:cs="宋体"/>
          <w:color w:val="auto"/>
          <w:sz w:val="24"/>
        </w:rPr>
        <w:t>。</w:t>
      </w:r>
    </w:p>
    <w:p w14:paraId="27D8C74A">
      <w:pPr>
        <w:numPr>
          <w:ilvl w:val="0"/>
          <w:numId w:val="7"/>
        </w:numPr>
        <w:wordWrap w:val="0"/>
        <w:adjustRightInd w:val="0"/>
        <w:spacing w:line="440" w:lineRule="exact"/>
        <w:ind w:firstLine="480" w:firstLineChars="200"/>
        <w:rPr>
          <w:rFonts w:ascii="宋体" w:hAnsi="宋体" w:cs="宋体"/>
          <w:color w:val="auto"/>
          <w:sz w:val="24"/>
        </w:rPr>
      </w:pPr>
      <w:r>
        <w:rPr>
          <w:rFonts w:hint="eastAsia" w:ascii="宋体" w:hAnsi="宋体" w:cs="宋体"/>
          <w:color w:val="auto"/>
          <w:sz w:val="24"/>
        </w:rPr>
        <w:t>投标人通过“</w:t>
      </w:r>
      <w:r>
        <w:rPr>
          <w:rFonts w:hint="eastAsia" w:ascii="宋体" w:hAnsi="宋体" w:cs="宋体"/>
          <w:color w:val="auto"/>
          <w:sz w:val="24"/>
          <w:lang w:eastAsia="zh-CN"/>
        </w:rPr>
        <w:t>村采云</w:t>
      </w:r>
      <w:r>
        <w:rPr>
          <w:rFonts w:hint="eastAsia" w:ascii="宋体" w:hAnsi="宋体" w:cs="宋体"/>
          <w:color w:val="auto"/>
          <w:sz w:val="24"/>
        </w:rPr>
        <w:t>”平台电子投标工具制作投标文件。</w:t>
      </w:r>
    </w:p>
    <w:p w14:paraId="42013A8D">
      <w:pPr>
        <w:adjustRightInd w:val="0"/>
        <w:spacing w:line="440" w:lineRule="exact"/>
        <w:ind w:firstLine="480" w:firstLineChars="200"/>
        <w:jc w:val="left"/>
        <w:rPr>
          <w:rFonts w:ascii="宋体" w:hAnsi="宋体" w:cs="宋体"/>
          <w:color w:val="auto"/>
          <w:sz w:val="24"/>
        </w:rPr>
      </w:pPr>
      <w:r>
        <w:rPr>
          <w:rFonts w:hint="eastAsia" w:ascii="宋体" w:hAnsi="宋体" w:cs="宋体"/>
          <w:color w:val="auto"/>
          <w:sz w:val="24"/>
        </w:rPr>
        <w:t>《电子投标工具》：</w:t>
      </w:r>
    </w:p>
    <w:p w14:paraId="28CBA8F6">
      <w:pPr>
        <w:adjustRightInd w:val="0"/>
        <w:spacing w:line="440" w:lineRule="exact"/>
        <w:ind w:firstLine="420" w:firstLineChars="200"/>
        <w:jc w:val="left"/>
        <w:rPr>
          <w:rFonts w:ascii="宋体" w:hAnsi="宋体" w:cs="宋体"/>
          <w:color w:val="auto"/>
          <w:sz w:val="24"/>
        </w:rPr>
      </w:pPr>
      <w:r>
        <w:rPr>
          <w:color w:val="auto"/>
        </w:rPr>
        <w:fldChar w:fldCharType="begin"/>
      </w:r>
      <w:r>
        <w:rPr>
          <w:color w:val="auto"/>
        </w:rPr>
        <w:instrText xml:space="preserve"> HYPERLINK "http://zfcg.czt.zj.gov.cn/bidClientTemplate/2019-09-24/12975.html" </w:instrText>
      </w:r>
      <w:r>
        <w:rPr>
          <w:color w:val="auto"/>
        </w:rPr>
        <w:fldChar w:fldCharType="separate"/>
      </w:r>
      <w:r>
        <w:rPr>
          <w:rFonts w:hint="eastAsia" w:ascii="宋体" w:hAnsi="宋体" w:cs="宋体"/>
          <w:color w:val="auto"/>
          <w:sz w:val="24"/>
        </w:rPr>
        <w:t>http://zfcg.czt.zj.gov.cn/bidClientTemplate/2019-09-24/12975.html</w:t>
      </w:r>
      <w:r>
        <w:rPr>
          <w:rFonts w:hint="eastAsia" w:ascii="宋体" w:hAnsi="宋体" w:cs="宋体"/>
          <w:color w:val="auto"/>
          <w:sz w:val="24"/>
        </w:rPr>
        <w:fldChar w:fldCharType="end"/>
      </w:r>
    </w:p>
    <w:p w14:paraId="52309DD6">
      <w:pPr>
        <w:adjustRightInd w:val="0"/>
        <w:spacing w:line="440" w:lineRule="exact"/>
        <w:ind w:firstLine="480" w:firstLineChars="200"/>
        <w:jc w:val="left"/>
        <w:rPr>
          <w:rFonts w:ascii="宋体" w:hAnsi="宋体" w:cs="宋体"/>
          <w:color w:val="auto"/>
          <w:sz w:val="24"/>
        </w:rPr>
      </w:pPr>
      <w:r>
        <w:rPr>
          <w:rFonts w:hint="eastAsia" w:ascii="宋体" w:hAnsi="宋体" w:cs="宋体"/>
          <w:color w:val="auto"/>
          <w:sz w:val="24"/>
        </w:rPr>
        <w:t>《供应商-政府采购项目电子交易操作指南》：(需登录账号后查看)</w:t>
      </w:r>
    </w:p>
    <w:p w14:paraId="4BC8072B">
      <w:pPr>
        <w:adjustRightInd w:val="0"/>
        <w:spacing w:line="440" w:lineRule="exact"/>
        <w:ind w:firstLine="420" w:firstLineChars="200"/>
        <w:jc w:val="left"/>
        <w:rPr>
          <w:rFonts w:ascii="宋体" w:hAnsi="宋体" w:cs="宋体"/>
          <w:color w:val="auto"/>
          <w:sz w:val="24"/>
        </w:rPr>
      </w:pPr>
      <w:r>
        <w:rPr>
          <w:color w:val="auto"/>
        </w:rPr>
        <w:fldChar w:fldCharType="begin"/>
      </w:r>
      <w:r>
        <w:rPr>
          <w:color w:val="auto"/>
        </w:rPr>
        <w:instrText xml:space="preserve"> HYPERLINK "https://service.zcygov.cn/" \l "/knowledges/tree?tag=AG1DtGwBFdiHxlNdhY0r" </w:instrText>
      </w:r>
      <w:r>
        <w:rPr>
          <w:color w:val="auto"/>
        </w:rPr>
        <w:fldChar w:fldCharType="separate"/>
      </w:r>
      <w:r>
        <w:rPr>
          <w:rFonts w:hint="eastAsia" w:ascii="宋体" w:hAnsi="宋体" w:cs="宋体"/>
          <w:color w:val="auto"/>
          <w:sz w:val="24"/>
        </w:rPr>
        <w:t>https://service.zcygov.cn/#/knowledges/tree?tag=AG1DtGwBFdiHxlNdhY0r</w:t>
      </w:r>
      <w:r>
        <w:rPr>
          <w:rFonts w:hint="eastAsia" w:ascii="宋体" w:hAnsi="宋体" w:cs="宋体"/>
          <w:color w:val="auto"/>
          <w:sz w:val="24"/>
        </w:rPr>
        <w:fldChar w:fldCharType="end"/>
      </w:r>
    </w:p>
    <w:p w14:paraId="57904F1D">
      <w:pPr>
        <w:adjustRightInd w:val="0"/>
        <w:spacing w:line="440" w:lineRule="exact"/>
        <w:ind w:left="420" w:leftChars="200"/>
        <w:rPr>
          <w:rFonts w:ascii="宋体" w:hAnsi="宋体" w:cs="宋体"/>
          <w:color w:val="auto"/>
          <w:sz w:val="24"/>
        </w:rPr>
      </w:pPr>
      <w:r>
        <w:rPr>
          <w:rFonts w:hint="eastAsia" w:ascii="宋体" w:hAnsi="宋体" w:cs="宋体"/>
          <w:color w:val="auto"/>
          <w:sz w:val="24"/>
        </w:rPr>
        <w:t>4.供应商在法定质疑期内应一次性提出针对同一采购程序环节的质疑。</w:t>
      </w:r>
      <w:bookmarkStart w:id="14" w:name="B31_其他事项"/>
    </w:p>
    <w:bookmarkEnd w:id="14"/>
    <w:p w14:paraId="31E2F267">
      <w:pPr>
        <w:adjustRightInd w:val="0"/>
        <w:spacing w:line="440" w:lineRule="exact"/>
        <w:ind w:left="420" w:leftChars="200"/>
        <w:rPr>
          <w:rFonts w:ascii="宋体" w:hAnsi="宋体" w:cs="宋体"/>
          <w:color w:val="auto"/>
          <w:sz w:val="24"/>
        </w:rPr>
      </w:pPr>
      <w:r>
        <w:rPr>
          <w:rFonts w:hint="eastAsia" w:ascii="宋体" w:hAnsi="宋体" w:cs="宋体"/>
          <w:color w:val="auto"/>
          <w:sz w:val="24"/>
        </w:rPr>
        <w:t>5.投标人可指派授权代表递交备份文件，授权代表递交备份文件需携带法定代表人授权书原件，于投标截止时间前到达开标地点递交。</w:t>
      </w:r>
    </w:p>
    <w:p w14:paraId="7E868E8E">
      <w:pPr>
        <w:adjustRightInd w:val="0"/>
        <w:spacing w:line="440" w:lineRule="exact"/>
        <w:ind w:left="420" w:leftChars="200"/>
        <w:rPr>
          <w:rFonts w:ascii="宋体" w:hAnsi="宋体" w:cs="宋体"/>
          <w:color w:val="auto"/>
          <w:sz w:val="24"/>
        </w:rPr>
      </w:pPr>
      <w:r>
        <w:rPr>
          <w:rFonts w:hint="eastAsia" w:ascii="宋体" w:hAnsi="宋体" w:cs="宋体"/>
          <w:color w:val="auto"/>
          <w:sz w:val="24"/>
        </w:rPr>
        <w:t>6.特别提醒</w:t>
      </w:r>
    </w:p>
    <w:p w14:paraId="780B7D74">
      <w:pPr>
        <w:numPr>
          <w:ilvl w:val="0"/>
          <w:numId w:val="8"/>
        </w:numPr>
        <w:wordWrap w:val="0"/>
        <w:adjustRightInd w:val="0"/>
        <w:spacing w:line="440" w:lineRule="exact"/>
        <w:ind w:firstLine="480" w:firstLineChars="200"/>
        <w:rPr>
          <w:rFonts w:ascii="宋体" w:hAnsi="宋体" w:cs="宋体"/>
          <w:color w:val="auto"/>
          <w:sz w:val="24"/>
        </w:rPr>
      </w:pPr>
      <w:r>
        <w:rPr>
          <w:rFonts w:hint="eastAsia" w:ascii="宋体" w:hAnsi="宋体" w:cs="宋体"/>
          <w:color w:val="auto"/>
          <w:sz w:val="24"/>
        </w:rPr>
        <w:t>单位负责人为同一人或者存在直接控股、管理关系的不同供应商，不得参加同一合同项下的采购活动。</w:t>
      </w:r>
    </w:p>
    <w:p w14:paraId="0F5D3650">
      <w:pPr>
        <w:numPr>
          <w:ilvl w:val="0"/>
          <w:numId w:val="8"/>
        </w:numPr>
        <w:wordWrap w:val="0"/>
        <w:adjustRightInd w:val="0"/>
        <w:spacing w:line="440" w:lineRule="exact"/>
        <w:ind w:firstLine="480" w:firstLineChars="200"/>
        <w:rPr>
          <w:rFonts w:ascii="宋体" w:hAnsi="宋体" w:cs="宋体"/>
          <w:color w:val="auto"/>
          <w:sz w:val="24"/>
        </w:rPr>
      </w:pPr>
      <w:r>
        <w:rPr>
          <w:rFonts w:hint="eastAsia" w:ascii="宋体" w:hAnsi="宋体" w:cs="宋体"/>
          <w:color w:val="auto"/>
          <w:sz w:val="24"/>
        </w:rPr>
        <w:t>除单一来源采购项目外，为采购项目提供整体设计、规范编制或者项目管理、监理、检测等服务的供应商，不得再参加该采购项目的其他采购活动。</w:t>
      </w:r>
    </w:p>
    <w:p w14:paraId="01C05561">
      <w:pPr>
        <w:adjustRightInd w:val="0"/>
        <w:spacing w:line="440" w:lineRule="exact"/>
        <w:ind w:firstLine="482" w:firstLineChars="200"/>
        <w:jc w:val="left"/>
        <w:rPr>
          <w:rFonts w:ascii="宋体" w:hAnsi="宋体" w:cs="宋体"/>
          <w:color w:val="auto"/>
          <w:sz w:val="24"/>
        </w:rPr>
      </w:pPr>
      <w:r>
        <w:rPr>
          <w:rFonts w:hint="eastAsia" w:ascii="宋体" w:hAnsi="宋体" w:cs="宋体"/>
          <w:b/>
          <w:color w:val="auto"/>
          <w:sz w:val="24"/>
        </w:rPr>
        <w:t>七、投标截止时间及要求：</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 xml:space="preserve">5 </w:t>
      </w:r>
      <w:r>
        <w:rPr>
          <w:rFonts w:hint="eastAsia" w:ascii="宋体" w:hAnsi="宋体" w:cs="宋体"/>
          <w:color w:val="auto"/>
          <w:sz w:val="24"/>
        </w:rPr>
        <w:t>年</w:t>
      </w:r>
      <w:r>
        <w:rPr>
          <w:rFonts w:hint="eastAsia" w:ascii="宋体" w:hAnsi="宋体" w:cs="宋体"/>
          <w:color w:val="auto"/>
          <w:sz w:val="24"/>
          <w:u w:val="single"/>
          <w:lang w:val="en-US" w:eastAsia="zh-CN"/>
        </w:rPr>
        <w:t xml:space="preserve"> 7 </w:t>
      </w:r>
      <w:r>
        <w:rPr>
          <w:rFonts w:hint="eastAsia" w:ascii="宋体" w:hAnsi="宋体" w:cs="宋体"/>
          <w:color w:val="auto"/>
          <w:sz w:val="24"/>
        </w:rPr>
        <w:t>月</w:t>
      </w:r>
      <w:r>
        <w:rPr>
          <w:rFonts w:hint="eastAsia" w:ascii="宋体" w:hAnsi="宋体" w:cs="宋体"/>
          <w:color w:val="auto"/>
          <w:sz w:val="24"/>
          <w:u w:val="single"/>
          <w:lang w:val="en-US" w:eastAsia="zh-CN"/>
        </w:rPr>
        <w:t xml:space="preserve"> 17 </w:t>
      </w:r>
      <w:r>
        <w:rPr>
          <w:rFonts w:hint="eastAsia" w:ascii="宋体" w:hAnsi="宋体" w:cs="宋体"/>
          <w:color w:val="auto"/>
          <w:sz w:val="24"/>
        </w:rPr>
        <w:t>日</w:t>
      </w:r>
      <w:r>
        <w:rPr>
          <w:rFonts w:hint="eastAsia" w:ascii="宋体" w:hAnsi="宋体" w:cs="宋体"/>
          <w:color w:val="auto"/>
          <w:sz w:val="24"/>
          <w:lang w:val="en-US" w:eastAsia="zh-CN"/>
        </w:rPr>
        <w:t xml:space="preserve"> 上</w:t>
      </w:r>
      <w:r>
        <w:rPr>
          <w:rFonts w:hint="eastAsia" w:ascii="宋体" w:hAnsi="宋体" w:cs="宋体"/>
          <w:color w:val="auto"/>
          <w:sz w:val="24"/>
        </w:rPr>
        <w:t>午</w:t>
      </w:r>
      <w:r>
        <w:rPr>
          <w:rFonts w:hint="eastAsia" w:ascii="宋体" w:hAnsi="宋体" w:cs="宋体"/>
          <w:color w:val="auto"/>
          <w:sz w:val="24"/>
          <w:u w:val="single"/>
          <w:lang w:val="en-US" w:eastAsia="zh-CN"/>
        </w:rPr>
        <w:t xml:space="preserve"> 09 </w:t>
      </w:r>
      <w:r>
        <w:rPr>
          <w:rFonts w:hint="eastAsia" w:ascii="宋体" w:hAnsi="宋体" w:cs="宋体"/>
          <w:color w:val="auto"/>
          <w:sz w:val="24"/>
        </w:rPr>
        <w:t>时</w:t>
      </w:r>
      <w:r>
        <w:rPr>
          <w:rFonts w:hint="eastAsia" w:ascii="宋体" w:hAnsi="宋体" w:cs="宋体"/>
          <w:color w:val="auto"/>
          <w:sz w:val="24"/>
          <w:u w:val="single"/>
          <w:lang w:val="en-US" w:eastAsia="zh-CN"/>
        </w:rPr>
        <w:t xml:space="preserve"> 30 </w:t>
      </w:r>
      <w:r>
        <w:rPr>
          <w:rFonts w:hint="eastAsia" w:ascii="宋体" w:hAnsi="宋体" w:cs="宋体"/>
          <w:color w:val="auto"/>
          <w:sz w:val="24"/>
        </w:rPr>
        <w:t>分整</w:t>
      </w:r>
      <w:r>
        <w:rPr>
          <w:rFonts w:hint="eastAsia" w:ascii="宋体" w:hAnsi="宋体" w:cs="宋体"/>
          <w:bCs/>
          <w:color w:val="auto"/>
          <w:kern w:val="0"/>
          <w:sz w:val="24"/>
        </w:rPr>
        <w:t>之前将电子投标文件上传到“</w:t>
      </w:r>
      <w:r>
        <w:rPr>
          <w:rFonts w:hint="eastAsia" w:ascii="宋体" w:hAnsi="宋体" w:cs="宋体"/>
          <w:bCs/>
          <w:color w:val="auto"/>
          <w:kern w:val="0"/>
          <w:sz w:val="24"/>
          <w:lang w:eastAsia="zh-CN"/>
        </w:rPr>
        <w:t>村采云</w:t>
      </w:r>
      <w:r>
        <w:rPr>
          <w:rFonts w:hint="eastAsia" w:ascii="宋体" w:hAnsi="宋体" w:cs="宋体"/>
          <w:bCs/>
          <w:color w:val="auto"/>
          <w:kern w:val="0"/>
          <w:sz w:val="24"/>
        </w:rPr>
        <w:t>”平台。</w:t>
      </w:r>
    </w:p>
    <w:p w14:paraId="159D1E9B">
      <w:pPr>
        <w:adjustRightInd w:val="0"/>
        <w:spacing w:line="440" w:lineRule="exact"/>
        <w:ind w:firstLine="482" w:firstLineChars="200"/>
        <w:jc w:val="left"/>
        <w:rPr>
          <w:rFonts w:hint="eastAsia" w:ascii="宋体" w:hAnsi="宋体" w:cs="宋体"/>
          <w:color w:val="auto"/>
          <w:sz w:val="24"/>
        </w:rPr>
      </w:pPr>
      <w:r>
        <w:rPr>
          <w:rFonts w:hint="eastAsia" w:ascii="宋体" w:hAnsi="宋体" w:cs="宋体"/>
          <w:b/>
          <w:color w:val="auto"/>
          <w:sz w:val="24"/>
        </w:rPr>
        <w:t>八、开标时间及地点：</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 xml:space="preserve">5 </w:t>
      </w:r>
      <w:r>
        <w:rPr>
          <w:rFonts w:hint="eastAsia" w:ascii="宋体" w:hAnsi="宋体" w:cs="宋体"/>
          <w:color w:val="auto"/>
          <w:sz w:val="24"/>
        </w:rPr>
        <w:t>年</w:t>
      </w:r>
      <w:r>
        <w:rPr>
          <w:rFonts w:hint="eastAsia" w:ascii="宋体" w:hAnsi="宋体" w:cs="宋体"/>
          <w:color w:val="auto"/>
          <w:sz w:val="24"/>
          <w:u w:val="single"/>
          <w:lang w:val="en-US" w:eastAsia="zh-CN"/>
        </w:rPr>
        <w:t xml:space="preserve"> 7 </w:t>
      </w:r>
      <w:r>
        <w:rPr>
          <w:rFonts w:hint="eastAsia" w:ascii="宋体" w:hAnsi="宋体" w:cs="宋体"/>
          <w:color w:val="auto"/>
          <w:sz w:val="24"/>
        </w:rPr>
        <w:t>月</w:t>
      </w:r>
      <w:r>
        <w:rPr>
          <w:rFonts w:hint="eastAsia" w:ascii="宋体" w:hAnsi="宋体" w:cs="宋体"/>
          <w:color w:val="auto"/>
          <w:sz w:val="24"/>
          <w:u w:val="single"/>
          <w:lang w:val="en-US" w:eastAsia="zh-CN"/>
        </w:rPr>
        <w:t xml:space="preserve"> 17 </w:t>
      </w:r>
      <w:r>
        <w:rPr>
          <w:rFonts w:hint="eastAsia" w:ascii="宋体" w:hAnsi="宋体" w:cs="宋体"/>
          <w:color w:val="auto"/>
          <w:sz w:val="24"/>
        </w:rPr>
        <w:t>日</w:t>
      </w:r>
      <w:r>
        <w:rPr>
          <w:rFonts w:hint="eastAsia" w:ascii="宋体" w:hAnsi="宋体" w:cs="宋体"/>
          <w:color w:val="auto"/>
          <w:sz w:val="24"/>
          <w:lang w:val="en-US" w:eastAsia="zh-CN"/>
        </w:rPr>
        <w:t>上</w:t>
      </w:r>
      <w:r>
        <w:rPr>
          <w:rFonts w:hint="eastAsia" w:ascii="宋体" w:hAnsi="宋体" w:cs="宋体"/>
          <w:color w:val="auto"/>
          <w:sz w:val="24"/>
        </w:rPr>
        <w:t>午</w:t>
      </w:r>
      <w:bookmarkStart w:id="15" w:name="B30_开标地点"/>
      <w:r>
        <w:rPr>
          <w:rFonts w:hint="eastAsia" w:ascii="宋体" w:hAnsi="宋体" w:cs="宋体"/>
          <w:color w:val="auto"/>
          <w:sz w:val="24"/>
          <w:u w:val="single"/>
          <w:lang w:val="en-US" w:eastAsia="zh-CN"/>
        </w:rPr>
        <w:t xml:space="preserve"> 09 </w:t>
      </w:r>
      <w:r>
        <w:rPr>
          <w:rFonts w:hint="eastAsia" w:ascii="宋体" w:hAnsi="宋体" w:cs="宋体"/>
          <w:color w:val="auto"/>
          <w:sz w:val="24"/>
        </w:rPr>
        <w:t>时</w:t>
      </w:r>
      <w:r>
        <w:rPr>
          <w:rFonts w:hint="eastAsia" w:ascii="宋体" w:hAnsi="宋体" w:cs="宋体"/>
          <w:color w:val="auto"/>
          <w:sz w:val="24"/>
          <w:u w:val="single"/>
          <w:lang w:val="en-US" w:eastAsia="zh-CN"/>
        </w:rPr>
        <w:t xml:space="preserve"> 30 </w:t>
      </w:r>
      <w:r>
        <w:rPr>
          <w:rFonts w:hint="eastAsia" w:ascii="宋体" w:hAnsi="宋体" w:cs="宋体"/>
          <w:color w:val="auto"/>
          <w:sz w:val="24"/>
        </w:rPr>
        <w:t>分整在</w:t>
      </w:r>
      <w:r>
        <w:rPr>
          <w:rFonts w:hint="eastAsia" w:ascii="宋体" w:hAnsi="宋体" w:cs="宋体"/>
          <w:color w:val="auto"/>
          <w:sz w:val="24"/>
          <w:lang w:eastAsia="zh-CN"/>
        </w:rPr>
        <w:t>绍兴市上虞区产权交易中心</w:t>
      </w:r>
      <w:r>
        <w:rPr>
          <w:rFonts w:hint="eastAsia" w:ascii="宋体" w:hAnsi="宋体" w:cs="宋体"/>
          <w:color w:val="auto"/>
          <w:sz w:val="24"/>
        </w:rPr>
        <w:t>开标室。</w:t>
      </w:r>
      <w:bookmarkEnd w:id="15"/>
    </w:p>
    <w:p w14:paraId="5CD7FEF7">
      <w:pPr>
        <w:adjustRightInd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开标时间后30分钟内（ </w:t>
      </w:r>
      <w:r>
        <w:rPr>
          <w:rFonts w:hint="eastAsia" w:ascii="宋体" w:hAnsi="宋体" w:cs="宋体"/>
          <w:color w:val="auto"/>
          <w:sz w:val="24"/>
          <w:lang w:val="en-US" w:eastAsia="zh-CN"/>
        </w:rPr>
        <w:t>10</w:t>
      </w:r>
      <w:r>
        <w:rPr>
          <w:rFonts w:hint="eastAsia" w:ascii="宋体" w:hAnsi="宋体" w:cs="宋体"/>
          <w:color w:val="auto"/>
          <w:sz w:val="24"/>
        </w:rPr>
        <w:t>:</w:t>
      </w:r>
      <w:r>
        <w:rPr>
          <w:rFonts w:hint="eastAsia" w:ascii="宋体" w:hAnsi="宋体" w:cs="宋体"/>
          <w:color w:val="auto"/>
          <w:sz w:val="24"/>
          <w:lang w:val="en-US" w:eastAsia="zh-CN"/>
        </w:rPr>
        <w:t>00</w:t>
      </w:r>
      <w:r>
        <w:rPr>
          <w:rFonts w:hint="eastAsia" w:ascii="宋体" w:hAnsi="宋体" w:cs="宋体"/>
          <w:color w:val="auto"/>
          <w:sz w:val="24"/>
        </w:rPr>
        <w:t>前）供应商可以登录“</w:t>
      </w:r>
      <w:r>
        <w:rPr>
          <w:rFonts w:hint="eastAsia" w:ascii="宋体" w:hAnsi="宋体" w:cs="宋体"/>
          <w:color w:val="auto"/>
          <w:sz w:val="24"/>
          <w:lang w:eastAsia="zh-CN"/>
        </w:rPr>
        <w:t>村采云</w:t>
      </w:r>
      <w:r>
        <w:rPr>
          <w:rFonts w:hint="eastAsia" w:ascii="宋体" w:hAnsi="宋体" w:cs="宋体"/>
          <w:color w:val="auto"/>
          <w:sz w:val="24"/>
        </w:rPr>
        <w:t>”平台，用“项目采购-开标评标”功能进行解密投标文件。若供应商在规定时间内（</w:t>
      </w:r>
      <w:r>
        <w:rPr>
          <w:rFonts w:hint="eastAsia" w:ascii="宋体" w:hAnsi="宋体" w:cs="宋体"/>
          <w:color w:val="auto"/>
          <w:sz w:val="24"/>
          <w:lang w:val="en-US" w:eastAsia="zh-CN"/>
        </w:rPr>
        <w:t>10</w:t>
      </w:r>
      <w:r>
        <w:rPr>
          <w:rFonts w:hint="eastAsia" w:ascii="宋体" w:hAnsi="宋体" w:cs="宋体"/>
          <w:color w:val="auto"/>
          <w:sz w:val="24"/>
        </w:rPr>
        <w:t xml:space="preserve"> : </w:t>
      </w:r>
      <w:r>
        <w:rPr>
          <w:rFonts w:hint="eastAsia" w:ascii="宋体" w:hAnsi="宋体" w:cs="宋体"/>
          <w:color w:val="auto"/>
          <w:sz w:val="24"/>
          <w:lang w:val="en-US" w:eastAsia="zh-CN"/>
        </w:rPr>
        <w:t>00</w:t>
      </w:r>
      <w:r>
        <w:rPr>
          <w:rFonts w:hint="eastAsia" w:ascii="宋体" w:hAnsi="宋体" w:cs="宋体"/>
          <w:color w:val="auto"/>
          <w:sz w:val="24"/>
        </w:rPr>
        <w:t>前）解密失败，则由采购代理机构工作人员上传投标人提供的备份文件。备份文件</w:t>
      </w:r>
      <w:r>
        <w:rPr>
          <w:rFonts w:hint="eastAsia" w:hAnsi="宋体" w:cs="宋体"/>
          <w:color w:val="auto"/>
          <w:sz w:val="24"/>
        </w:rPr>
        <w:t>（后缀名为</w:t>
      </w:r>
      <w:r>
        <w:rPr>
          <w:rFonts w:hint="eastAsia" w:ascii="宋体" w:hAnsi="宋体" w:cs="宋体"/>
          <w:color w:val="auto"/>
          <w:sz w:val="24"/>
        </w:rPr>
        <w:t>.bfbs</w:t>
      </w:r>
      <w:r>
        <w:rPr>
          <w:rFonts w:hint="eastAsia" w:hAnsi="宋体" w:cs="宋体"/>
          <w:color w:val="auto"/>
          <w:sz w:val="24"/>
        </w:rPr>
        <w:t>）</w:t>
      </w:r>
      <w:r>
        <w:rPr>
          <w:rFonts w:hint="eastAsia" w:ascii="宋体" w:hAnsi="宋体" w:cs="宋体"/>
          <w:color w:val="auto"/>
          <w:sz w:val="24"/>
        </w:rPr>
        <w:t>须存储在U盘中，与上传的电子投标文件一致，用信封进行密封并盖章</w:t>
      </w:r>
      <w:r>
        <w:rPr>
          <w:rFonts w:hint="eastAsia" w:hAnsi="宋体" w:cs="宋体"/>
          <w:color w:val="auto"/>
          <w:sz w:val="24"/>
        </w:rPr>
        <w:t>，由授权代表在投标截止时间前递交至开标地点。</w:t>
      </w:r>
      <w:r>
        <w:rPr>
          <w:rFonts w:hint="eastAsia" w:ascii="宋体" w:hAnsi="宋体" w:cs="宋体"/>
          <w:color w:val="auto"/>
          <w:sz w:val="24"/>
        </w:rPr>
        <w:t>若电子投标文件正常解锁，则U盘退还给供应商；若解锁失败，则由采购代理机构将U盘中的备份文件上传，该U盘将由采购代理机构保存。</w:t>
      </w:r>
    </w:p>
    <w:p w14:paraId="5471FCC6">
      <w:pPr>
        <w:adjustRightInd w:val="0"/>
        <w:spacing w:line="440" w:lineRule="exact"/>
        <w:ind w:firstLine="480" w:firstLineChars="200"/>
        <w:rPr>
          <w:rFonts w:ascii="宋体" w:hAnsi="宋体" w:cs="宋体"/>
          <w:bCs/>
          <w:color w:val="auto"/>
          <w:kern w:val="0"/>
          <w:sz w:val="24"/>
        </w:rPr>
      </w:pPr>
      <w:r>
        <w:rPr>
          <w:rFonts w:hint="eastAsia" w:ascii="宋体" w:hAnsi="宋体" w:cs="宋体"/>
          <w:color w:val="auto"/>
          <w:sz w:val="24"/>
        </w:rPr>
        <w:t>本次开标（不）提供现场视频。</w:t>
      </w:r>
    </w:p>
    <w:p w14:paraId="72041E3C">
      <w:pPr>
        <w:adjustRightInd w:val="0"/>
        <w:spacing w:line="440" w:lineRule="exact"/>
        <w:ind w:firstLine="482" w:firstLineChars="200"/>
        <w:rPr>
          <w:rFonts w:ascii="宋体" w:hAnsi="宋体" w:cs="宋体"/>
          <w:color w:val="auto"/>
          <w:sz w:val="24"/>
        </w:rPr>
      </w:pPr>
      <w:r>
        <w:rPr>
          <w:rFonts w:hint="eastAsia" w:ascii="宋体" w:hAnsi="宋体" w:cs="宋体"/>
          <w:b/>
          <w:bCs/>
          <w:color w:val="auto"/>
          <w:sz w:val="24"/>
        </w:rPr>
        <w:t>九． 投标保证金：</w:t>
      </w:r>
      <w:r>
        <w:rPr>
          <w:rFonts w:hint="eastAsia" w:ascii="宋体" w:hAnsi="宋体" w:cs="宋体"/>
          <w:color w:val="auto"/>
          <w:sz w:val="24"/>
        </w:rPr>
        <w:t>无</w:t>
      </w:r>
    </w:p>
    <w:p w14:paraId="47F43E5B">
      <w:pPr>
        <w:adjustRightInd w:val="0"/>
        <w:spacing w:line="440" w:lineRule="exact"/>
        <w:ind w:firstLine="482" w:firstLineChars="200"/>
        <w:rPr>
          <w:rFonts w:ascii="宋体" w:hAnsi="宋体" w:cs="宋体"/>
          <w:color w:val="auto"/>
          <w:sz w:val="24"/>
        </w:rPr>
      </w:pPr>
      <w:r>
        <w:rPr>
          <w:rFonts w:hint="eastAsia" w:ascii="宋体" w:hAnsi="宋体" w:cs="宋体"/>
          <w:b/>
          <w:bCs/>
          <w:color w:val="auto"/>
          <w:sz w:val="24"/>
        </w:rPr>
        <w:t>十．公告期限：</w:t>
      </w:r>
      <w:r>
        <w:rPr>
          <w:rFonts w:hint="eastAsia" w:ascii="宋体" w:hAnsi="宋体" w:cs="宋体"/>
          <w:color w:val="auto"/>
          <w:sz w:val="24"/>
        </w:rPr>
        <w:t>5个工作日</w:t>
      </w:r>
    </w:p>
    <w:p w14:paraId="658AE114">
      <w:pPr>
        <w:pStyle w:val="27"/>
        <w:shd w:val="clear" w:color="auto" w:fill="FFFFFF"/>
        <w:spacing w:beforeAutospacing="0" w:afterAutospacing="0" w:line="435" w:lineRule="atLeast"/>
        <w:ind w:firstLine="540"/>
        <w:rPr>
          <w:b/>
          <w:bCs/>
          <w:color w:val="auto"/>
          <w:kern w:val="2"/>
        </w:rPr>
      </w:pPr>
      <w:r>
        <w:rPr>
          <w:rFonts w:hint="eastAsia"/>
          <w:b/>
          <w:bCs/>
          <w:color w:val="auto"/>
          <w:kern w:val="2"/>
        </w:rPr>
        <w:t>十一.其他事项：</w:t>
      </w:r>
    </w:p>
    <w:p w14:paraId="1B1035DA">
      <w:pPr>
        <w:pStyle w:val="27"/>
        <w:shd w:val="clear" w:color="auto" w:fill="FFFFFF"/>
        <w:spacing w:beforeAutospacing="0" w:afterAutospacing="0" w:line="435" w:lineRule="atLeast"/>
        <w:ind w:firstLine="540"/>
        <w:rPr>
          <w:color w:val="auto"/>
          <w:kern w:val="2"/>
        </w:rPr>
      </w:pPr>
      <w:r>
        <w:rPr>
          <w:rFonts w:hint="eastAsia"/>
          <w:color w:val="auto"/>
          <w:kern w:val="2"/>
        </w:rPr>
        <w:t>1、供应商认为采购文件使自己的权益受到损害的，可以自收到采购文件之日（发售截止日之后收到采购文件的，以发售截止日为准）或者采购文件公告期限届满之日（招标公告为公告发布后至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72A2159D">
      <w:pPr>
        <w:adjustRightInd w:val="0"/>
        <w:spacing w:line="440" w:lineRule="exact"/>
        <w:ind w:firstLine="482" w:firstLineChars="200"/>
        <w:rPr>
          <w:rFonts w:ascii="宋体" w:hAnsi="宋体" w:cs="宋体"/>
          <w:b/>
          <w:bCs/>
          <w:color w:val="auto"/>
          <w:sz w:val="24"/>
        </w:rPr>
      </w:pPr>
      <w:r>
        <w:rPr>
          <w:rFonts w:hint="eastAsia" w:ascii="宋体" w:hAnsi="宋体" w:cs="宋体"/>
          <w:b/>
          <w:bCs/>
          <w:color w:val="auto"/>
          <w:sz w:val="24"/>
        </w:rPr>
        <w:t>十二．联系方式：</w:t>
      </w:r>
    </w:p>
    <w:bookmarkEnd w:id="12"/>
    <w:p w14:paraId="307BA4F5">
      <w:pPr>
        <w:adjustRightInd w:val="0"/>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1、采购代理机构名称：</w:t>
      </w:r>
      <w:r>
        <w:rPr>
          <w:rFonts w:hint="eastAsia" w:ascii="宋体" w:hAnsi="宋体" w:cs="宋体"/>
          <w:color w:val="auto"/>
          <w:sz w:val="24"/>
          <w:highlight w:val="none"/>
          <w:lang w:eastAsia="zh-CN"/>
        </w:rPr>
        <w:t>绍兴明晨建设项目管理有限公司</w:t>
      </w:r>
    </w:p>
    <w:p w14:paraId="59699F2A">
      <w:pPr>
        <w:adjustRightInd w:val="0"/>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 xml:space="preserve">邹章杰 </w:t>
      </w:r>
    </w:p>
    <w:p w14:paraId="799CAB38">
      <w:pPr>
        <w:adjustRightInd w:val="0"/>
        <w:spacing w:line="360" w:lineRule="auto"/>
        <w:ind w:firstLine="480" w:firstLineChars="200"/>
        <w:outlineLvl w:val="1"/>
        <w:rPr>
          <w:rFonts w:hint="default" w:ascii="宋体" w:hAnsi="宋体" w:eastAsia="宋体" w:cs="宋体"/>
          <w:sz w:val="24"/>
          <w:lang w:val="en-US" w:eastAsia="zh-CN"/>
        </w:rPr>
      </w:pPr>
      <w:r>
        <w:rPr>
          <w:rFonts w:hint="eastAsia" w:ascii="宋体" w:hAnsi="宋体" w:cs="宋体"/>
          <w:sz w:val="24"/>
        </w:rPr>
        <w:t>联系电话：</w:t>
      </w:r>
      <w:r>
        <w:rPr>
          <w:rFonts w:hint="eastAsia" w:ascii="宋体" w:hAnsi="宋体" w:cs="宋体"/>
          <w:i w:val="0"/>
          <w:iCs w:val="0"/>
          <w:caps w:val="0"/>
          <w:color w:val="auto"/>
          <w:spacing w:val="0"/>
          <w:sz w:val="24"/>
          <w:szCs w:val="24"/>
          <w:highlight w:val="none"/>
          <w:shd w:val="clear" w:color="auto" w:fill="FFFFFF"/>
          <w:lang w:val="en-US" w:eastAsia="zh-CN"/>
        </w:rPr>
        <w:t>13958328279</w:t>
      </w:r>
    </w:p>
    <w:p w14:paraId="63E9579F">
      <w:pPr>
        <w:adjustRightInd w:val="0"/>
        <w:spacing w:line="360" w:lineRule="auto"/>
        <w:ind w:firstLine="480" w:firstLineChars="200"/>
        <w:outlineLvl w:val="1"/>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地址：</w:t>
      </w:r>
      <w:r>
        <w:rPr>
          <w:rFonts w:hint="eastAsia" w:ascii="宋体" w:hAnsi="宋体" w:cs="宋体"/>
          <w:i w:val="0"/>
          <w:iCs w:val="0"/>
          <w:caps w:val="0"/>
          <w:color w:val="auto"/>
          <w:spacing w:val="0"/>
          <w:sz w:val="24"/>
          <w:szCs w:val="24"/>
          <w:highlight w:val="none"/>
          <w:shd w:val="clear" w:color="auto" w:fill="FFFFFF"/>
          <w:lang w:val="en-US" w:eastAsia="zh-CN"/>
        </w:rPr>
        <w:t>绍兴市上虞区王充路金城大厦18楼</w:t>
      </w:r>
    </w:p>
    <w:p w14:paraId="0A09E9DC">
      <w:pPr>
        <w:numPr>
          <w:ilvl w:val="0"/>
          <w:numId w:val="9"/>
        </w:numPr>
        <w:adjustRightInd w:val="0"/>
        <w:spacing w:line="44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采购人名称：</w:t>
      </w:r>
      <w:r>
        <w:rPr>
          <w:rFonts w:hint="eastAsia" w:ascii="宋体" w:hAnsi="宋体" w:cs="宋体"/>
          <w:color w:val="auto"/>
          <w:sz w:val="24"/>
          <w:highlight w:val="none"/>
          <w:lang w:eastAsia="zh-CN"/>
        </w:rPr>
        <w:t>绍兴市上虞区崧厦街道新下湖村股份经济合作社</w:t>
      </w:r>
    </w:p>
    <w:p w14:paraId="092ADF65">
      <w:pPr>
        <w:numPr>
          <w:ilvl w:val="0"/>
          <w:numId w:val="0"/>
        </w:numPr>
        <w:adjustRightIn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郭</w:t>
      </w:r>
      <w:r>
        <w:rPr>
          <w:rFonts w:hint="eastAsia" w:ascii="宋体" w:hAnsi="宋体" w:cs="宋体"/>
          <w:color w:val="auto"/>
          <w:sz w:val="24"/>
          <w:highlight w:val="none"/>
          <w:lang w:val="en-US" w:eastAsia="zh-CN"/>
        </w:rPr>
        <w:t xml:space="preserve">先生  </w:t>
      </w:r>
    </w:p>
    <w:p w14:paraId="1318D857">
      <w:pPr>
        <w:adjustRightInd w:val="0"/>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联系电话：139</w:t>
      </w:r>
      <w:r>
        <w:rPr>
          <w:rFonts w:hint="eastAsia" w:ascii="宋体" w:hAnsi="宋体" w:cs="宋体"/>
          <w:color w:val="auto"/>
          <w:sz w:val="24"/>
          <w:highlight w:val="none"/>
          <w:lang w:val="en-US" w:eastAsia="zh-CN"/>
        </w:rPr>
        <w:t>67521815</w:t>
      </w:r>
    </w:p>
    <w:p w14:paraId="367C9249">
      <w:pPr>
        <w:adjustRightInd w:val="0"/>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绍兴市上虞区崧厦街道新下湖村</w:t>
      </w:r>
    </w:p>
    <w:p w14:paraId="1B7C806D">
      <w:pPr>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br w:type="page"/>
      </w:r>
      <w:bookmarkStart w:id="16" w:name="_Toc1242"/>
      <w:r>
        <w:rPr>
          <w:rFonts w:hint="eastAsia" w:ascii="宋体" w:hAnsi="宋体" w:cs="宋体"/>
          <w:b/>
          <w:color w:val="auto"/>
          <w:sz w:val="36"/>
          <w:szCs w:val="20"/>
        </w:rPr>
        <w:t>第二部分</w:t>
      </w:r>
      <w:bookmarkEnd w:id="7"/>
      <w:bookmarkEnd w:id="8"/>
      <w:r>
        <w:rPr>
          <w:rFonts w:hint="eastAsia" w:ascii="宋体" w:hAnsi="宋体" w:cs="宋体"/>
          <w:b/>
          <w:color w:val="auto"/>
          <w:sz w:val="36"/>
          <w:szCs w:val="20"/>
        </w:rPr>
        <w:t>投标须知</w:t>
      </w:r>
      <w:bookmarkEnd w:id="16"/>
    </w:p>
    <w:p w14:paraId="5F208B95">
      <w:pPr>
        <w:widowControl/>
        <w:adjustRightInd w:val="0"/>
        <w:snapToGrid w:val="0"/>
        <w:spacing w:line="360" w:lineRule="auto"/>
        <w:jc w:val="center"/>
        <w:rPr>
          <w:rFonts w:ascii="宋体" w:hAnsi="宋体" w:cs="宋体"/>
          <w:b/>
          <w:snapToGrid w:val="0"/>
          <w:color w:val="auto"/>
          <w:kern w:val="0"/>
          <w:sz w:val="32"/>
          <w:szCs w:val="32"/>
        </w:rPr>
      </w:pPr>
      <w:r>
        <w:rPr>
          <w:rFonts w:hint="eastAsia" w:ascii="宋体" w:hAnsi="宋体" w:cs="宋体"/>
          <w:b/>
          <w:snapToGrid w:val="0"/>
          <w:color w:val="auto"/>
          <w:kern w:val="0"/>
          <w:sz w:val="30"/>
          <w:szCs w:val="30"/>
        </w:rPr>
        <w:t>前附表</w:t>
      </w:r>
    </w:p>
    <w:tbl>
      <w:tblPr>
        <w:tblStyle w:val="30"/>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3F4DB5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noWrap/>
            <w:vAlign w:val="center"/>
          </w:tcPr>
          <w:p w14:paraId="65387AB0">
            <w:pPr>
              <w:snapToGrid w:val="0"/>
              <w:spacing w:line="36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序号</w:t>
            </w:r>
          </w:p>
        </w:tc>
        <w:tc>
          <w:tcPr>
            <w:tcW w:w="1800" w:type="dxa"/>
            <w:noWrap/>
            <w:vAlign w:val="center"/>
          </w:tcPr>
          <w:p w14:paraId="1F3620FF">
            <w:pPr>
              <w:snapToGrid w:val="0"/>
              <w:spacing w:line="36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项目</w:t>
            </w:r>
          </w:p>
        </w:tc>
        <w:tc>
          <w:tcPr>
            <w:tcW w:w="6682" w:type="dxa"/>
            <w:noWrap/>
            <w:vAlign w:val="center"/>
          </w:tcPr>
          <w:p w14:paraId="357290D0">
            <w:pPr>
              <w:snapToGrid w:val="0"/>
              <w:spacing w:line="36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内容</w:t>
            </w:r>
          </w:p>
        </w:tc>
      </w:tr>
      <w:tr w14:paraId="76D846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14:paraId="0B1E60FE">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1</w:t>
            </w:r>
          </w:p>
        </w:tc>
        <w:tc>
          <w:tcPr>
            <w:tcW w:w="1800" w:type="dxa"/>
            <w:noWrap/>
            <w:vAlign w:val="center"/>
          </w:tcPr>
          <w:p w14:paraId="4C8CED68">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项目名称</w:t>
            </w:r>
          </w:p>
        </w:tc>
        <w:tc>
          <w:tcPr>
            <w:tcW w:w="6682" w:type="dxa"/>
            <w:noWrap/>
            <w:vAlign w:val="center"/>
          </w:tcPr>
          <w:p w14:paraId="7CF03EA1">
            <w:pPr>
              <w:snapToGrid w:val="0"/>
              <w:spacing w:line="360" w:lineRule="exact"/>
              <w:ind w:firstLine="420" w:firstLineChars="200"/>
              <w:rPr>
                <w:rFonts w:hint="eastAsia" w:ascii="宋体" w:hAnsi="宋体" w:eastAsia="宋体" w:cs="宋体"/>
                <w:snapToGrid w:val="0"/>
                <w:color w:val="auto"/>
                <w:kern w:val="0"/>
                <w:szCs w:val="21"/>
                <w:lang w:eastAsia="zh-CN"/>
              </w:rPr>
            </w:pPr>
            <w:r>
              <w:rPr>
                <w:rFonts w:hint="eastAsia" w:ascii="宋体" w:hAnsi="宋体" w:cs="宋体"/>
                <w:snapToGrid w:val="0"/>
                <w:color w:val="auto"/>
                <w:kern w:val="0"/>
                <w:szCs w:val="21"/>
                <w:lang w:eastAsia="zh-CN"/>
              </w:rPr>
              <w:t>上虞区崧厦街道新下湖村墓套采购项目</w:t>
            </w:r>
          </w:p>
        </w:tc>
      </w:tr>
      <w:tr w14:paraId="576D67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14:paraId="3BDF1B20">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2</w:t>
            </w:r>
          </w:p>
        </w:tc>
        <w:tc>
          <w:tcPr>
            <w:tcW w:w="1800" w:type="dxa"/>
            <w:noWrap/>
            <w:vAlign w:val="center"/>
          </w:tcPr>
          <w:p w14:paraId="654F8A54">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项目实施时间</w:t>
            </w:r>
          </w:p>
        </w:tc>
        <w:tc>
          <w:tcPr>
            <w:tcW w:w="6682" w:type="dxa"/>
            <w:noWrap/>
            <w:vAlign w:val="center"/>
          </w:tcPr>
          <w:p w14:paraId="07517EB5">
            <w:pPr>
              <w:spacing w:line="36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合同签订之日起至履约完成</w:t>
            </w:r>
          </w:p>
        </w:tc>
      </w:tr>
      <w:tr w14:paraId="0211DE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14:paraId="0C3E3B80">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3</w:t>
            </w:r>
          </w:p>
        </w:tc>
        <w:tc>
          <w:tcPr>
            <w:tcW w:w="1800" w:type="dxa"/>
            <w:noWrap/>
            <w:vAlign w:val="center"/>
          </w:tcPr>
          <w:p w14:paraId="1A302AA7">
            <w:pPr>
              <w:snapToGrid w:val="0"/>
              <w:spacing w:line="36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最高限价</w:t>
            </w:r>
          </w:p>
        </w:tc>
        <w:tc>
          <w:tcPr>
            <w:tcW w:w="6682" w:type="dxa"/>
            <w:noWrap/>
            <w:vAlign w:val="center"/>
          </w:tcPr>
          <w:p w14:paraId="24A77286">
            <w:pPr>
              <w:snapToGrid w:val="0"/>
              <w:spacing w:line="360" w:lineRule="exact"/>
              <w:ind w:firstLine="420" w:firstLineChars="200"/>
              <w:rPr>
                <w:rFonts w:ascii="宋体" w:hAnsi="宋体" w:cs="宋体"/>
                <w:b/>
                <w:snapToGrid w:val="0"/>
                <w:color w:val="auto"/>
                <w:kern w:val="0"/>
                <w:szCs w:val="21"/>
              </w:rPr>
            </w:pPr>
            <w:r>
              <w:rPr>
                <w:rFonts w:hint="eastAsia" w:ascii="宋体" w:hAnsi="宋体" w:cs="宋体"/>
                <w:color w:val="auto"/>
                <w:szCs w:val="21"/>
              </w:rPr>
              <w:t>本项目最高限价为人</w:t>
            </w:r>
            <w:r>
              <w:rPr>
                <w:rFonts w:hint="eastAsia" w:ascii="宋体" w:hAnsi="宋体" w:eastAsia="宋体" w:cs="宋体"/>
                <w:color w:val="auto"/>
                <w:szCs w:val="21"/>
              </w:rPr>
              <w:t>民币</w:t>
            </w:r>
            <w:r>
              <w:rPr>
                <w:rFonts w:hint="eastAsia" w:ascii="宋体" w:hAnsi="宋体" w:cs="宋体"/>
                <w:color w:val="auto"/>
                <w:szCs w:val="21"/>
                <w:lang w:val="en-US" w:eastAsia="zh-CN"/>
              </w:rPr>
              <w:t>1116000</w:t>
            </w:r>
            <w:r>
              <w:rPr>
                <w:rFonts w:hint="eastAsia" w:ascii="宋体" w:hAnsi="宋体" w:eastAsia="宋体" w:cs="宋体"/>
                <w:color w:val="auto"/>
                <w:szCs w:val="21"/>
              </w:rPr>
              <w:t>元。</w:t>
            </w:r>
          </w:p>
        </w:tc>
      </w:tr>
      <w:tr w14:paraId="2DDC4C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14:paraId="2E115130">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 xml:space="preserve">                                                                                                   4</w:t>
            </w:r>
          </w:p>
        </w:tc>
        <w:tc>
          <w:tcPr>
            <w:tcW w:w="1800" w:type="dxa"/>
            <w:noWrap/>
            <w:vAlign w:val="center"/>
          </w:tcPr>
          <w:p w14:paraId="017B56C9">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资格审查方式</w:t>
            </w:r>
          </w:p>
        </w:tc>
        <w:tc>
          <w:tcPr>
            <w:tcW w:w="6682" w:type="dxa"/>
            <w:noWrap/>
            <w:vAlign w:val="center"/>
          </w:tcPr>
          <w:p w14:paraId="1B85A137">
            <w:pPr>
              <w:snapToGrid w:val="0"/>
              <w:spacing w:line="36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资格审查是指开标后，采购人或采购代理机构将依据法律法规和招标文件的规定对投标人的资格进行审查。</w:t>
            </w:r>
          </w:p>
        </w:tc>
      </w:tr>
      <w:tr w14:paraId="557DCE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14:paraId="723D40A2">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5</w:t>
            </w:r>
          </w:p>
        </w:tc>
        <w:tc>
          <w:tcPr>
            <w:tcW w:w="1800" w:type="dxa"/>
            <w:noWrap/>
            <w:vAlign w:val="center"/>
          </w:tcPr>
          <w:p w14:paraId="728F9E0C">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踏勘现场</w:t>
            </w:r>
          </w:p>
        </w:tc>
        <w:tc>
          <w:tcPr>
            <w:tcW w:w="6682" w:type="dxa"/>
            <w:noWrap/>
            <w:vAlign w:val="center"/>
          </w:tcPr>
          <w:p w14:paraId="6EB4ED3A">
            <w:pPr>
              <w:snapToGrid w:val="0"/>
              <w:spacing w:line="360" w:lineRule="exact"/>
              <w:ind w:firstLine="422" w:firstLineChars="200"/>
              <w:rPr>
                <w:rFonts w:ascii="宋体" w:hAnsi="宋体" w:cs="宋体"/>
                <w:snapToGrid w:val="0"/>
                <w:color w:val="auto"/>
                <w:kern w:val="0"/>
                <w:szCs w:val="21"/>
              </w:rPr>
            </w:pPr>
            <w:r>
              <w:rPr>
                <w:rFonts w:hint="eastAsia" w:ascii="宋体" w:hAnsi="宋体" w:cs="宋体"/>
                <w:b/>
                <w:snapToGrid w:val="0"/>
                <w:color w:val="auto"/>
                <w:kern w:val="0"/>
                <w:szCs w:val="21"/>
              </w:rPr>
              <w:t>本项目不组织现场踏勘</w:t>
            </w:r>
          </w:p>
        </w:tc>
      </w:tr>
      <w:tr w14:paraId="761458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14:paraId="35052340">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6</w:t>
            </w:r>
          </w:p>
        </w:tc>
        <w:tc>
          <w:tcPr>
            <w:tcW w:w="1800" w:type="dxa"/>
            <w:noWrap/>
            <w:vAlign w:val="center"/>
          </w:tcPr>
          <w:p w14:paraId="12A56727">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询问</w:t>
            </w:r>
          </w:p>
        </w:tc>
        <w:tc>
          <w:tcPr>
            <w:tcW w:w="6682" w:type="dxa"/>
            <w:noWrap/>
            <w:vAlign w:val="center"/>
          </w:tcPr>
          <w:p w14:paraId="172E67FD">
            <w:pPr>
              <w:snapToGrid w:val="0"/>
              <w:spacing w:line="36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供应商对采购活动事项有疑问的，可以按疑问内容向采购人、采购代理机构、乡镇（街道）招投标部门、“</w:t>
            </w:r>
            <w:r>
              <w:rPr>
                <w:rFonts w:hint="eastAsia" w:ascii="宋体" w:hAnsi="宋体" w:cs="宋体"/>
                <w:snapToGrid w:val="0"/>
                <w:color w:val="auto"/>
                <w:kern w:val="0"/>
                <w:szCs w:val="21"/>
                <w:lang w:eastAsia="zh-CN"/>
              </w:rPr>
              <w:t>村采云</w:t>
            </w:r>
            <w:r>
              <w:rPr>
                <w:rFonts w:hint="eastAsia" w:ascii="宋体" w:hAnsi="宋体" w:cs="宋体"/>
                <w:snapToGrid w:val="0"/>
                <w:color w:val="auto"/>
                <w:kern w:val="0"/>
                <w:szCs w:val="21"/>
              </w:rPr>
              <w:t>”平台等提出询问，采购人等应当在 7 个工作日内作出答复，但答复的内容不得涉及商业秘密。</w:t>
            </w:r>
          </w:p>
        </w:tc>
      </w:tr>
      <w:tr w14:paraId="029B7F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14:paraId="55FACC96">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7</w:t>
            </w:r>
          </w:p>
        </w:tc>
        <w:tc>
          <w:tcPr>
            <w:tcW w:w="1800" w:type="dxa"/>
            <w:noWrap/>
            <w:vAlign w:val="center"/>
          </w:tcPr>
          <w:p w14:paraId="0D82A786">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招标文件的澄清与修改</w:t>
            </w:r>
          </w:p>
        </w:tc>
        <w:tc>
          <w:tcPr>
            <w:tcW w:w="6682" w:type="dxa"/>
            <w:noWrap/>
            <w:vAlign w:val="center"/>
          </w:tcPr>
          <w:p w14:paraId="14C39F2C">
            <w:pPr>
              <w:snapToGrid w:val="0"/>
              <w:spacing w:line="36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招标采购单位可以对已发出的招标文件进行必要澄清或者修改，澄清或者修改的内容可能影响投标文件编制的，应当在招标文件要求提交投标文件截止时间十五日前，在招标公告发布的媒体上发布更正公告，该澄清或者修改的内容为招标文件的组成部分。本项目招标文件和补充（答疑、澄清）、修改文件等请自行登录浙江政府采购网或绍兴市上虞区公共资源交易中心查看。</w:t>
            </w:r>
          </w:p>
        </w:tc>
      </w:tr>
      <w:tr w14:paraId="11AA6A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14:paraId="4D163385">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8</w:t>
            </w:r>
          </w:p>
        </w:tc>
        <w:tc>
          <w:tcPr>
            <w:tcW w:w="1800" w:type="dxa"/>
            <w:noWrap/>
            <w:vAlign w:val="center"/>
          </w:tcPr>
          <w:p w14:paraId="2748902E">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投标文件组成</w:t>
            </w:r>
          </w:p>
        </w:tc>
        <w:tc>
          <w:tcPr>
            <w:tcW w:w="6682" w:type="dxa"/>
            <w:noWrap/>
            <w:vAlign w:val="center"/>
          </w:tcPr>
          <w:p w14:paraId="32FDED9C">
            <w:pPr>
              <w:snapToGrid w:val="0"/>
              <w:spacing w:line="36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投标人向采购人递交的投标文件由资格文件、商务技术文件、报价文件三部分组成。</w:t>
            </w:r>
          </w:p>
        </w:tc>
      </w:tr>
      <w:tr w14:paraId="5E0AEF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14:paraId="1DC2B900">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9</w:t>
            </w:r>
          </w:p>
        </w:tc>
        <w:tc>
          <w:tcPr>
            <w:tcW w:w="1800" w:type="dxa"/>
            <w:noWrap/>
            <w:vAlign w:val="center"/>
          </w:tcPr>
          <w:p w14:paraId="4E59FE3E">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评标办法</w:t>
            </w:r>
          </w:p>
        </w:tc>
        <w:tc>
          <w:tcPr>
            <w:tcW w:w="6682" w:type="dxa"/>
            <w:noWrap/>
            <w:vAlign w:val="center"/>
          </w:tcPr>
          <w:p w14:paraId="24E56BB9">
            <w:pPr>
              <w:snapToGrid w:val="0"/>
              <w:spacing w:line="36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综合评分法</w:t>
            </w:r>
          </w:p>
        </w:tc>
      </w:tr>
      <w:tr w14:paraId="6AD0DF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14:paraId="02E65B72">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10</w:t>
            </w:r>
          </w:p>
        </w:tc>
        <w:tc>
          <w:tcPr>
            <w:tcW w:w="1800" w:type="dxa"/>
            <w:noWrap/>
            <w:vAlign w:val="center"/>
          </w:tcPr>
          <w:p w14:paraId="7BCE448D">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投标文件递交地址及截止时间</w:t>
            </w:r>
          </w:p>
        </w:tc>
        <w:tc>
          <w:tcPr>
            <w:tcW w:w="6682" w:type="dxa"/>
            <w:noWrap/>
            <w:vAlign w:val="center"/>
          </w:tcPr>
          <w:p w14:paraId="16DCC3E1">
            <w:pPr>
              <w:snapToGrid w:val="0"/>
              <w:spacing w:line="360" w:lineRule="exact"/>
              <w:ind w:firstLine="420" w:firstLineChars="200"/>
              <w:rPr>
                <w:rFonts w:ascii="宋体" w:hAnsi="宋体" w:cs="宋体"/>
                <w:color w:val="auto"/>
                <w:kern w:val="0"/>
                <w:szCs w:val="21"/>
              </w:rPr>
            </w:pPr>
            <w:r>
              <w:rPr>
                <w:rFonts w:hint="eastAsia" w:ascii="宋体" w:hAnsi="宋体" w:cs="宋体"/>
                <w:snapToGrid w:val="0"/>
                <w:color w:val="auto"/>
                <w:kern w:val="0"/>
                <w:szCs w:val="21"/>
              </w:rPr>
              <w:t>详见招标公告</w:t>
            </w:r>
          </w:p>
        </w:tc>
      </w:tr>
      <w:tr w14:paraId="1B1507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14:paraId="4B33209A">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11</w:t>
            </w:r>
          </w:p>
        </w:tc>
        <w:tc>
          <w:tcPr>
            <w:tcW w:w="1800" w:type="dxa"/>
            <w:noWrap/>
            <w:vAlign w:val="center"/>
          </w:tcPr>
          <w:p w14:paraId="1D65B50D">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开标时间、地点</w:t>
            </w:r>
          </w:p>
        </w:tc>
        <w:tc>
          <w:tcPr>
            <w:tcW w:w="6682" w:type="dxa"/>
            <w:noWrap/>
            <w:vAlign w:val="center"/>
          </w:tcPr>
          <w:p w14:paraId="66951A7F">
            <w:pPr>
              <w:snapToGrid w:val="0"/>
              <w:spacing w:line="36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开标时间：</w:t>
            </w:r>
            <w:r>
              <w:rPr>
                <w:rFonts w:hint="eastAsia" w:ascii="宋体" w:hAnsi="宋体" w:cs="宋体"/>
                <w:color w:val="auto"/>
                <w:kern w:val="0"/>
                <w:szCs w:val="21"/>
              </w:rPr>
              <w:t>详见招标公告</w:t>
            </w:r>
          </w:p>
          <w:p w14:paraId="4476A874">
            <w:pPr>
              <w:snapToGrid w:val="0"/>
              <w:spacing w:line="360" w:lineRule="exact"/>
              <w:ind w:firstLine="420" w:firstLineChars="200"/>
              <w:rPr>
                <w:rFonts w:ascii="宋体" w:hAnsi="宋体" w:cs="宋体"/>
                <w:color w:val="auto"/>
                <w:kern w:val="0"/>
                <w:szCs w:val="21"/>
              </w:rPr>
            </w:pPr>
            <w:r>
              <w:rPr>
                <w:rFonts w:hint="eastAsia" w:ascii="宋体" w:hAnsi="宋体" w:cs="宋体"/>
                <w:snapToGrid w:val="0"/>
                <w:color w:val="auto"/>
                <w:kern w:val="0"/>
                <w:szCs w:val="21"/>
              </w:rPr>
              <w:t>开标地点：</w:t>
            </w:r>
            <w:r>
              <w:rPr>
                <w:rFonts w:hint="eastAsia" w:ascii="宋体" w:hAnsi="宋体" w:cs="宋体"/>
                <w:color w:val="auto"/>
                <w:kern w:val="0"/>
                <w:szCs w:val="21"/>
              </w:rPr>
              <w:t>详见招标公告</w:t>
            </w:r>
          </w:p>
        </w:tc>
      </w:tr>
      <w:tr w14:paraId="26FF60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14:paraId="49C7CC65">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12</w:t>
            </w:r>
          </w:p>
        </w:tc>
        <w:tc>
          <w:tcPr>
            <w:tcW w:w="1800" w:type="dxa"/>
            <w:noWrap/>
            <w:vAlign w:val="center"/>
          </w:tcPr>
          <w:p w14:paraId="08FF4794">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投标有效期</w:t>
            </w:r>
          </w:p>
        </w:tc>
        <w:tc>
          <w:tcPr>
            <w:tcW w:w="6682" w:type="dxa"/>
            <w:noWrap/>
            <w:vAlign w:val="center"/>
          </w:tcPr>
          <w:p w14:paraId="22D44ECA">
            <w:pPr>
              <w:snapToGrid w:val="0"/>
              <w:spacing w:line="36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投标有效期为从提交投标文件的截止之日起90天。投标人的投标文件中承诺的投标有效期少于招标文件中载明的投标有效期的，投标无效。</w:t>
            </w:r>
          </w:p>
        </w:tc>
      </w:tr>
      <w:tr w14:paraId="49A219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14:paraId="6138F7C0">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13</w:t>
            </w:r>
          </w:p>
        </w:tc>
        <w:tc>
          <w:tcPr>
            <w:tcW w:w="1800" w:type="dxa"/>
            <w:noWrap/>
            <w:vAlign w:val="center"/>
          </w:tcPr>
          <w:p w14:paraId="7E0B2E2C">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履约保证金</w:t>
            </w:r>
          </w:p>
        </w:tc>
        <w:tc>
          <w:tcPr>
            <w:tcW w:w="6682" w:type="dxa"/>
            <w:noWrap/>
            <w:vAlign w:val="center"/>
          </w:tcPr>
          <w:p w14:paraId="1AF13F7D">
            <w:pPr>
              <w:pStyle w:val="15"/>
              <w:keepLines w:val="0"/>
              <w:pageBreakBefore w:val="0"/>
              <w:kinsoku/>
              <w:topLinePunct w:val="0"/>
              <w:bidi w:val="0"/>
              <w:snapToGrid w:val="0"/>
              <w:spacing w:line="360" w:lineRule="auto"/>
              <w:ind w:firstLine="420" w:firstLineChars="200"/>
              <w:rPr>
                <w:rFonts w:hint="default" w:ascii="宋体" w:hAnsi="宋体" w:eastAsia="宋体" w:cs="宋体"/>
                <w:snapToGrid w:val="0"/>
                <w:color w:val="auto"/>
                <w:kern w:val="0"/>
                <w:sz w:val="21"/>
                <w:szCs w:val="21"/>
                <w:lang w:val="en-US" w:eastAsia="zh-CN" w:bidi="ar-SA"/>
              </w:rPr>
            </w:pPr>
            <w:r>
              <w:rPr>
                <w:rFonts w:hint="default" w:ascii="宋体" w:hAnsi="宋体" w:eastAsia="宋体" w:cs="宋体"/>
                <w:snapToGrid w:val="0"/>
                <w:color w:val="auto"/>
                <w:kern w:val="0"/>
                <w:sz w:val="21"/>
                <w:szCs w:val="21"/>
                <w:lang w:val="en-US" w:eastAsia="zh-CN" w:bidi="ar-SA"/>
              </w:rPr>
              <w:t>中标人在收到中标通知书后，需向采购人提供合同总价</w:t>
            </w:r>
            <w:r>
              <w:rPr>
                <w:rFonts w:hint="default" w:ascii="宋体" w:hAnsi="宋体" w:eastAsia="宋体" w:cs="宋体"/>
                <w:snapToGrid w:val="0"/>
                <w:color w:val="auto"/>
                <w:kern w:val="0"/>
                <w:sz w:val="21"/>
                <w:szCs w:val="21"/>
                <w:u w:val="single"/>
                <w:lang w:val="en-US" w:eastAsia="zh-CN" w:bidi="ar-SA"/>
              </w:rPr>
              <w:t>　1%</w:t>
            </w:r>
            <w:r>
              <w:rPr>
                <w:rFonts w:hint="eastAsia" w:ascii="宋体" w:hAnsi="宋体" w:eastAsia="宋体" w:cs="宋体"/>
                <w:snapToGrid w:val="0"/>
                <w:color w:val="auto"/>
                <w:kern w:val="0"/>
                <w:sz w:val="21"/>
                <w:szCs w:val="21"/>
                <w:u w:val="single"/>
                <w:lang w:val="en-US" w:eastAsia="zh-CN" w:bidi="ar-SA"/>
              </w:rPr>
              <w:t xml:space="preserve"> </w:t>
            </w:r>
            <w:r>
              <w:rPr>
                <w:rFonts w:hint="default" w:ascii="宋体" w:hAnsi="宋体" w:eastAsia="宋体" w:cs="宋体"/>
                <w:snapToGrid w:val="0"/>
                <w:color w:val="auto"/>
                <w:kern w:val="0"/>
                <w:sz w:val="21"/>
                <w:szCs w:val="21"/>
                <w:lang w:val="en-US" w:eastAsia="zh-CN" w:bidi="ar-SA"/>
              </w:rPr>
              <w:t>的履约保证金，在中标人与采购人签订合同前递交。</w:t>
            </w:r>
          </w:p>
          <w:p w14:paraId="5D6C2231">
            <w:pPr>
              <w:pStyle w:val="15"/>
              <w:snapToGrid w:val="0"/>
              <w:spacing w:line="360" w:lineRule="exact"/>
              <w:ind w:firstLine="420" w:firstLineChars="200"/>
              <w:rPr>
                <w:rFonts w:hint="eastAsia" w:hAnsi="宋体" w:eastAsia="宋体" w:cs="宋体"/>
                <w:color w:val="auto"/>
                <w:kern w:val="0"/>
                <w:lang w:eastAsia="zh-CN"/>
              </w:rPr>
            </w:pPr>
            <w:r>
              <w:rPr>
                <w:rFonts w:hint="default" w:ascii="宋体" w:hAnsi="宋体" w:eastAsia="宋体" w:cs="宋体"/>
                <w:snapToGrid w:val="0"/>
                <w:color w:val="auto"/>
                <w:kern w:val="0"/>
                <w:sz w:val="21"/>
                <w:szCs w:val="21"/>
                <w:lang w:val="en-US" w:eastAsia="zh-CN" w:bidi="ar-SA"/>
              </w:rPr>
              <w:t>履约保证金在项目合同期满并验收合格后予以无息退还。</w:t>
            </w:r>
          </w:p>
        </w:tc>
      </w:tr>
      <w:tr w14:paraId="32DA6B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14:paraId="210EBF17">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14</w:t>
            </w:r>
          </w:p>
        </w:tc>
        <w:tc>
          <w:tcPr>
            <w:tcW w:w="1800" w:type="dxa"/>
            <w:noWrap/>
            <w:vAlign w:val="center"/>
          </w:tcPr>
          <w:p w14:paraId="7F8D4865">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采购及中标公告发布媒体</w:t>
            </w:r>
          </w:p>
        </w:tc>
        <w:tc>
          <w:tcPr>
            <w:tcW w:w="6682" w:type="dxa"/>
            <w:noWrap/>
            <w:vAlign w:val="center"/>
          </w:tcPr>
          <w:p w14:paraId="33AE6781">
            <w:pPr>
              <w:pStyle w:val="15"/>
              <w:snapToGrid w:val="0"/>
              <w:spacing w:line="360" w:lineRule="exact"/>
              <w:jc w:val="left"/>
              <w:rPr>
                <w:rFonts w:hint="eastAsia" w:hAnsi="宋体" w:eastAsia="宋体" w:cs="宋体"/>
                <w:color w:val="auto"/>
                <w:kern w:val="0"/>
                <w:lang w:val="en-US" w:eastAsia="zh-CN"/>
              </w:rPr>
            </w:pPr>
            <w:r>
              <w:rPr>
                <w:rFonts w:hint="eastAsia" w:hAnsi="宋体" w:cs="宋体"/>
                <w:color w:val="auto"/>
                <w:kern w:val="0"/>
              </w:rPr>
              <w:t>浙江省政府采购网、 绍兴市上虞区公共资源交易中</w:t>
            </w:r>
            <w:r>
              <w:rPr>
                <w:rFonts w:hint="eastAsia" w:ascii="宋体" w:hAnsi="宋体" w:eastAsia="宋体" w:cs="宋体"/>
                <w:color w:val="auto"/>
                <w:kern w:val="0"/>
              </w:rPr>
              <w:t>心</w:t>
            </w:r>
            <w:r>
              <w:rPr>
                <w:rFonts w:hint="eastAsia" w:ascii="宋体" w:hAnsi="宋体" w:eastAsia="宋体" w:cs="宋体"/>
                <w:color w:val="auto"/>
                <w:kern w:val="0"/>
                <w:lang w:val="en-US" w:eastAsia="zh-CN"/>
              </w:rPr>
              <w:t>,</w:t>
            </w:r>
            <w:r>
              <w:rPr>
                <w:rFonts w:hint="eastAsia" w:ascii="宋体" w:hAnsi="宋体" w:eastAsia="宋体" w:cs="宋体"/>
                <w:color w:val="auto"/>
                <w:kern w:val="0"/>
              </w:rPr>
              <w:t>上虞产权交易网</w:t>
            </w:r>
          </w:p>
        </w:tc>
      </w:tr>
      <w:tr w14:paraId="2648EA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14:paraId="3F716EFA">
            <w:pPr>
              <w:snapToGrid w:val="0"/>
              <w:spacing w:line="360" w:lineRule="exact"/>
              <w:jc w:val="center"/>
              <w:rPr>
                <w:rFonts w:ascii="宋体" w:hAnsi="宋体" w:cs="宋体"/>
                <w:color w:val="auto"/>
                <w:szCs w:val="21"/>
              </w:rPr>
            </w:pPr>
            <w:r>
              <w:rPr>
                <w:rFonts w:hint="eastAsia" w:ascii="宋体" w:hAnsi="宋体" w:cs="宋体"/>
                <w:color w:val="auto"/>
                <w:szCs w:val="21"/>
              </w:rPr>
              <w:t>15</w:t>
            </w:r>
          </w:p>
        </w:tc>
        <w:tc>
          <w:tcPr>
            <w:tcW w:w="1800" w:type="dxa"/>
            <w:noWrap/>
            <w:vAlign w:val="center"/>
          </w:tcPr>
          <w:p w14:paraId="0A634748">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质疑</w:t>
            </w:r>
          </w:p>
        </w:tc>
        <w:tc>
          <w:tcPr>
            <w:tcW w:w="6682" w:type="dxa"/>
            <w:noWrap/>
            <w:vAlign w:val="center"/>
          </w:tcPr>
          <w:p w14:paraId="3C2188C0">
            <w:pPr>
              <w:spacing w:line="360" w:lineRule="exact"/>
              <w:ind w:firstLine="420" w:firstLineChars="200"/>
              <w:jc w:val="left"/>
              <w:rPr>
                <w:color w:val="auto"/>
              </w:rPr>
            </w:pPr>
            <w:r>
              <w:rPr>
                <w:rFonts w:hint="eastAsia"/>
                <w:color w:val="auto"/>
              </w:rPr>
              <w:t>供应商认为采购文件、采购过程、中标或者成交结果使自己的权益受到损害的，可以在知道或者应知其权益受到损害之日起7个工作日内，以书面形式实名向采购代理机构或采购人提出质疑，采购代理机构、采购人应在收到书面质疑后7个工作日内作出书面答复，但答复内容不得涉及商业秘密。</w:t>
            </w:r>
          </w:p>
          <w:p w14:paraId="2C8B4C38">
            <w:pPr>
              <w:snapToGrid w:val="0"/>
              <w:spacing w:line="360" w:lineRule="exact"/>
              <w:ind w:firstLine="420" w:firstLineChars="200"/>
              <w:jc w:val="left"/>
              <w:rPr>
                <w:color w:val="auto"/>
              </w:rPr>
            </w:pPr>
            <w:r>
              <w:rPr>
                <w:rFonts w:hint="eastAsia"/>
                <w:color w:val="auto"/>
              </w:rPr>
              <w:t>采购评审专家（评标委员会、采购小组）应当协助采购人或者采购代理机构等答复供应商的询问和质疑，必要时可出具专家意见。</w:t>
            </w:r>
          </w:p>
        </w:tc>
      </w:tr>
      <w:tr w14:paraId="54AB76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14:paraId="5E0513B5">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16</w:t>
            </w:r>
          </w:p>
        </w:tc>
        <w:tc>
          <w:tcPr>
            <w:tcW w:w="1800" w:type="dxa"/>
            <w:noWrap/>
            <w:vAlign w:val="center"/>
          </w:tcPr>
          <w:p w14:paraId="1BFC7F20">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投诉</w:t>
            </w:r>
          </w:p>
        </w:tc>
        <w:tc>
          <w:tcPr>
            <w:tcW w:w="6682" w:type="dxa"/>
            <w:noWrap/>
            <w:vAlign w:val="center"/>
          </w:tcPr>
          <w:p w14:paraId="70EB0403">
            <w:pPr>
              <w:snapToGrid w:val="0"/>
              <w:spacing w:line="360" w:lineRule="exact"/>
              <w:ind w:firstLine="420" w:firstLineChars="200"/>
              <w:jc w:val="left"/>
              <w:rPr>
                <w:rFonts w:ascii="宋体" w:hAnsi="宋体"/>
                <w:color w:val="auto"/>
                <w:kern w:val="0"/>
              </w:rPr>
            </w:pPr>
            <w:r>
              <w:rPr>
                <w:rFonts w:hint="eastAsia" w:ascii="宋体" w:hAnsi="宋体"/>
                <w:color w:val="auto"/>
                <w:kern w:val="0"/>
              </w:rPr>
              <w:t xml:space="preserve">质疑供应商对质疑的答复不满意，或者采购人或采购代理机构未在规定时间内答复的，可以在收到答复之日或者答复期满后15个工作日内依法向采购人所在乡镇（街道）投诉。乡镇（街道）应当在正式受理投诉后30个工作日内作出调查并回复，同时将投诉回复及调查结果通知采购人。区农业农村局督促乡镇（街道）做好投诉件的答复和处 </w:t>
            </w:r>
          </w:p>
          <w:p w14:paraId="5CED13E5">
            <w:pPr>
              <w:snapToGrid w:val="0"/>
              <w:spacing w:line="360" w:lineRule="exact"/>
              <w:jc w:val="left"/>
              <w:rPr>
                <w:rFonts w:ascii="宋体" w:hAnsi="宋体"/>
                <w:color w:val="auto"/>
                <w:kern w:val="0"/>
              </w:rPr>
            </w:pPr>
            <w:r>
              <w:rPr>
                <w:rFonts w:hint="eastAsia" w:ascii="宋体" w:hAnsi="宋体"/>
                <w:color w:val="auto"/>
                <w:kern w:val="0"/>
              </w:rPr>
              <w:t>理。</w:t>
            </w:r>
          </w:p>
          <w:p w14:paraId="72690831">
            <w:pPr>
              <w:snapToGrid w:val="0"/>
              <w:spacing w:line="360" w:lineRule="exact"/>
              <w:ind w:firstLine="420" w:firstLineChars="200"/>
              <w:jc w:val="left"/>
              <w:rPr>
                <w:color w:val="auto"/>
              </w:rPr>
            </w:pPr>
            <w:r>
              <w:rPr>
                <w:rFonts w:hint="eastAsia" w:ascii="宋体" w:hAnsi="宋体"/>
                <w:color w:val="auto"/>
                <w:kern w:val="0"/>
              </w:rPr>
              <w:t>投诉人提交投诉件时，应当提供相关证据、依据和其他有关材料。</w:t>
            </w:r>
          </w:p>
        </w:tc>
      </w:tr>
      <w:tr w14:paraId="279346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14:paraId="01E9D271">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17</w:t>
            </w:r>
          </w:p>
        </w:tc>
        <w:tc>
          <w:tcPr>
            <w:tcW w:w="1800" w:type="dxa"/>
            <w:noWrap/>
            <w:vAlign w:val="center"/>
          </w:tcPr>
          <w:p w14:paraId="4B27EEDC">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特别说明</w:t>
            </w:r>
          </w:p>
        </w:tc>
        <w:tc>
          <w:tcPr>
            <w:tcW w:w="6682" w:type="dxa"/>
            <w:noWrap/>
            <w:vAlign w:val="center"/>
          </w:tcPr>
          <w:p w14:paraId="02AB41DA">
            <w:pPr>
              <w:pStyle w:val="15"/>
              <w:snapToGrid w:val="0"/>
              <w:spacing w:line="360" w:lineRule="exact"/>
              <w:ind w:firstLine="420" w:firstLineChars="200"/>
              <w:jc w:val="left"/>
              <w:rPr>
                <w:rFonts w:hAnsi="宋体" w:cs="宋体"/>
                <w:color w:val="auto"/>
                <w:kern w:val="0"/>
              </w:rPr>
            </w:pPr>
            <w:r>
              <w:rPr>
                <w:rFonts w:hint="eastAsia" w:hAnsi="宋体" w:cs="宋体"/>
                <w:color w:val="auto"/>
                <w:kern w:val="0"/>
              </w:rPr>
              <w:t>投标人应无条件的、认真仔细的阅读本招标文件及其澄清答疑、修改答复的补充文件，严格按照招标文件及补充文件的规定和要求编制投标文件。在编制投标文件过程中，应严格遵循实事求是、诚信投标的原则，针对招标文件中的采购需求、合同条款等各项内容进行确认，如有偏离，应如实填写响应偏离表。</w:t>
            </w:r>
          </w:p>
          <w:p w14:paraId="10C15C10">
            <w:pPr>
              <w:pStyle w:val="15"/>
              <w:snapToGrid w:val="0"/>
              <w:spacing w:line="360" w:lineRule="exact"/>
              <w:ind w:firstLine="420" w:firstLineChars="200"/>
              <w:jc w:val="left"/>
              <w:rPr>
                <w:rFonts w:hAnsi="宋体" w:cs="宋体"/>
                <w:color w:val="auto"/>
                <w:kern w:val="0"/>
              </w:rPr>
            </w:pPr>
            <w:r>
              <w:rPr>
                <w:rFonts w:hint="eastAsia" w:hAnsi="宋体" w:cs="宋体"/>
                <w:color w:val="auto"/>
                <w:kern w:val="0"/>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4952ABB1">
            <w:pPr>
              <w:pStyle w:val="15"/>
              <w:snapToGrid w:val="0"/>
              <w:spacing w:line="360" w:lineRule="exact"/>
              <w:ind w:firstLine="420" w:firstLineChars="200"/>
              <w:jc w:val="left"/>
              <w:rPr>
                <w:rFonts w:hAnsi="宋体" w:cs="宋体"/>
                <w:b/>
                <w:color w:val="auto"/>
                <w:kern w:val="0"/>
              </w:rPr>
            </w:pPr>
            <w:r>
              <w:rPr>
                <w:rFonts w:hint="eastAsia" w:hAnsi="宋体" w:cs="宋体"/>
                <w:color w:val="auto"/>
                <w:kern w:val="0"/>
              </w:rPr>
              <w:t>招标文件中凡标注“</w:t>
            </w:r>
            <w:r>
              <w:rPr>
                <w:rFonts w:hint="eastAsia" w:hAnsi="宋体" w:cs="宋体"/>
                <w:color w:val="auto"/>
              </w:rPr>
              <w:t>★</w:t>
            </w:r>
            <w:r>
              <w:rPr>
                <w:rFonts w:hint="eastAsia" w:hAnsi="宋体" w:cs="宋体"/>
                <w:color w:val="auto"/>
                <w:kern w:val="0"/>
              </w:rPr>
              <w:t>”的条款均为实质性要求，不响应的投标文件将作无效标处理。</w:t>
            </w:r>
          </w:p>
        </w:tc>
      </w:tr>
      <w:tr w14:paraId="367E01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14:paraId="22669BB6">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18</w:t>
            </w:r>
          </w:p>
        </w:tc>
        <w:tc>
          <w:tcPr>
            <w:tcW w:w="1800" w:type="dxa"/>
            <w:noWrap/>
            <w:vAlign w:val="center"/>
          </w:tcPr>
          <w:p w14:paraId="3D2444C4">
            <w:pPr>
              <w:snapToGrid w:val="0"/>
              <w:jc w:val="center"/>
              <w:rPr>
                <w:rFonts w:ascii="宋体" w:hAnsi="宋体" w:cs="宋体"/>
                <w:color w:val="auto"/>
                <w:szCs w:val="21"/>
              </w:rPr>
            </w:pPr>
            <w:r>
              <w:rPr>
                <w:rFonts w:hint="eastAsia" w:ascii="宋体" w:hAnsi="宋体" w:cs="宋体"/>
                <w:color w:val="auto"/>
                <w:szCs w:val="21"/>
              </w:rPr>
              <w:t>是否允许分包</w:t>
            </w:r>
          </w:p>
        </w:tc>
        <w:tc>
          <w:tcPr>
            <w:tcW w:w="6682" w:type="dxa"/>
            <w:noWrap/>
            <w:vAlign w:val="center"/>
          </w:tcPr>
          <w:p w14:paraId="197A7CEE">
            <w:pPr>
              <w:ind w:firstLine="420" w:firstLineChars="200"/>
              <w:rPr>
                <w:rFonts w:ascii="宋体" w:hAnsi="宋体" w:cs="宋体"/>
                <w:color w:val="auto"/>
                <w:szCs w:val="21"/>
              </w:rPr>
            </w:pPr>
            <w:r>
              <w:rPr>
                <w:rFonts w:hint="eastAsia" w:ascii="宋体" w:hAnsi="宋体" w:cs="宋体"/>
                <w:color w:val="auto"/>
                <w:szCs w:val="21"/>
              </w:rPr>
              <w:t>本项目不允许分包</w:t>
            </w:r>
          </w:p>
        </w:tc>
      </w:tr>
      <w:tr w14:paraId="7EA6F1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14:paraId="006B66F4">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19</w:t>
            </w:r>
          </w:p>
        </w:tc>
        <w:tc>
          <w:tcPr>
            <w:tcW w:w="1800" w:type="dxa"/>
            <w:tcBorders>
              <w:top w:val="single" w:color="auto" w:sz="4" w:space="0"/>
            </w:tcBorders>
            <w:noWrap/>
            <w:vAlign w:val="center"/>
          </w:tcPr>
          <w:p w14:paraId="3BC9DFB1">
            <w:pPr>
              <w:keepLines w:val="0"/>
              <w:pageBreakBefore w:val="0"/>
              <w:kinsoku/>
              <w:topLinePunct w:val="0"/>
              <w:bidi w:val="0"/>
              <w:snapToGrid w:val="0"/>
              <w:spacing w:line="360" w:lineRule="auto"/>
              <w:jc w:val="center"/>
              <w:rPr>
                <w:rFonts w:ascii="宋体" w:hAnsi="宋体" w:cs="宋体"/>
                <w:color w:val="auto"/>
                <w:szCs w:val="21"/>
              </w:rPr>
            </w:pPr>
            <w:r>
              <w:rPr>
                <w:rFonts w:hint="eastAsia" w:ascii="宋体" w:hAnsi="宋体" w:eastAsia="宋体" w:cs="宋体"/>
                <w:color w:val="auto"/>
                <w:szCs w:val="21"/>
              </w:rPr>
              <w:t>是否提供样品</w:t>
            </w:r>
          </w:p>
        </w:tc>
        <w:tc>
          <w:tcPr>
            <w:tcW w:w="6682" w:type="dxa"/>
            <w:tcBorders>
              <w:top w:val="single" w:color="auto" w:sz="4" w:space="0"/>
            </w:tcBorders>
            <w:noWrap/>
            <w:vAlign w:val="center"/>
          </w:tcPr>
          <w:p w14:paraId="6E20843C">
            <w:pPr>
              <w:keepLines w:val="0"/>
              <w:pageBreakBefore w:val="0"/>
              <w:kinsoku/>
              <w:topLinePunct w:val="0"/>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本项目需要提供样品。</w:t>
            </w:r>
          </w:p>
          <w:p w14:paraId="7708BB71">
            <w:pPr>
              <w:keepLines w:val="0"/>
              <w:pageBreakBefore w:val="0"/>
              <w:numPr>
                <w:ilvl w:val="0"/>
                <w:numId w:val="10"/>
              </w:numPr>
              <w:kinsoku/>
              <w:wordWrap/>
              <w:topLinePunct w:val="0"/>
              <w:autoSpaceDE w:val="0"/>
              <w:autoSpaceDN w:val="0"/>
              <w:bidi w:val="0"/>
              <w:adjustRightInd w:val="0"/>
              <w:spacing w:line="360" w:lineRule="auto"/>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样品送达时间：</w:t>
            </w:r>
          </w:p>
          <w:p w14:paraId="22AA09B2">
            <w:pPr>
              <w:keepLines w:val="0"/>
              <w:pageBreakBefore w:val="0"/>
              <w:numPr>
                <w:ilvl w:val="1"/>
                <w:numId w:val="11"/>
              </w:numPr>
              <w:kinsoku/>
              <w:wordWrap/>
              <w:topLinePunct w:val="0"/>
              <w:autoSpaceDE w:val="0"/>
              <w:autoSpaceDN w:val="0"/>
              <w:bidi w:val="0"/>
              <w:adjustRightInd w:val="0"/>
              <w:spacing w:line="360" w:lineRule="auto"/>
              <w:jc w:val="left"/>
              <w:rPr>
                <w:rFonts w:hint="eastAsia" w:ascii="宋体" w:hAnsi="宋体" w:cs="宋体"/>
                <w:b w:val="0"/>
                <w:bCs w:val="0"/>
                <w:color w:val="auto"/>
                <w:kern w:val="0"/>
                <w:sz w:val="24"/>
                <w:szCs w:val="24"/>
                <w:highlight w:val="none"/>
                <w:lang w:eastAsia="zh-CN"/>
              </w:rPr>
            </w:pPr>
            <w:r>
              <w:rPr>
                <w:rFonts w:hint="eastAsia" w:ascii="宋体" w:hAnsi="宋体" w:eastAsia="宋体" w:cs="宋体"/>
                <w:b/>
                <w:bCs/>
                <w:color w:val="auto"/>
                <w:kern w:val="0"/>
                <w:sz w:val="24"/>
                <w:szCs w:val="24"/>
                <w:highlight w:val="none"/>
              </w:rPr>
              <w:t>在投标截止时间前</w:t>
            </w:r>
            <w:r>
              <w:rPr>
                <w:rFonts w:hint="eastAsia" w:ascii="宋体" w:hAnsi="宋体" w:cs="宋体"/>
                <w:b/>
                <w:bCs/>
                <w:color w:val="auto"/>
                <w:kern w:val="0"/>
                <w:sz w:val="24"/>
                <w:szCs w:val="24"/>
                <w:highlight w:val="none"/>
                <w:lang w:eastAsia="zh-CN"/>
              </w:rPr>
              <w:t>一个小时</w:t>
            </w:r>
            <w:r>
              <w:rPr>
                <w:rFonts w:hint="eastAsia" w:ascii="宋体" w:hAnsi="宋体" w:eastAsia="宋体" w:cs="宋体"/>
                <w:b/>
                <w:bCs/>
                <w:color w:val="auto"/>
                <w:kern w:val="0"/>
                <w:sz w:val="24"/>
                <w:szCs w:val="24"/>
                <w:highlight w:val="none"/>
                <w:lang w:val="en-US" w:eastAsia="zh-CN"/>
              </w:rPr>
              <w:t>送达</w:t>
            </w:r>
            <w:r>
              <w:rPr>
                <w:rFonts w:hint="eastAsia" w:ascii="宋体" w:hAnsi="宋体" w:eastAsia="宋体" w:cs="宋体"/>
                <w:b/>
                <w:bCs/>
                <w:color w:val="auto"/>
                <w:kern w:val="0"/>
                <w:sz w:val="24"/>
                <w:szCs w:val="24"/>
                <w:highlight w:val="none"/>
              </w:rPr>
              <w:t>至</w:t>
            </w:r>
            <w:r>
              <w:rPr>
                <w:rFonts w:hint="eastAsia" w:ascii="宋体" w:hAnsi="宋体" w:cs="宋体"/>
                <w:b/>
                <w:bCs/>
                <w:color w:val="auto"/>
                <w:kern w:val="0"/>
                <w:sz w:val="24"/>
                <w:szCs w:val="24"/>
                <w:highlight w:val="none"/>
                <w:lang w:val="en-US" w:eastAsia="zh-CN"/>
              </w:rPr>
              <w:t>崧厦街道新下湖村公墓内</w:t>
            </w:r>
            <w:r>
              <w:rPr>
                <w:rFonts w:hint="eastAsia" w:ascii="宋体" w:hAnsi="宋体" w:eastAsia="宋体" w:cs="宋体"/>
                <w:b w:val="0"/>
                <w:bCs w:val="0"/>
                <w:color w:val="auto"/>
                <w:kern w:val="0"/>
                <w:sz w:val="24"/>
                <w:szCs w:val="24"/>
                <w:highlight w:val="none"/>
              </w:rPr>
              <w:t>（请各投标单位准时送达）</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开标时间前送达的样品需供应商自行负责保管工作</w:t>
            </w:r>
            <w:r>
              <w:rPr>
                <w:rFonts w:hint="eastAsia" w:ascii="宋体" w:hAnsi="宋体" w:cs="宋体"/>
                <w:b w:val="0"/>
                <w:bCs w:val="0"/>
                <w:color w:val="auto"/>
                <w:kern w:val="0"/>
                <w:sz w:val="24"/>
                <w:szCs w:val="24"/>
                <w:highlight w:val="none"/>
                <w:lang w:eastAsia="zh-CN"/>
              </w:rPr>
              <w:t>；</w:t>
            </w:r>
          </w:p>
          <w:p w14:paraId="3D3814A3">
            <w:pPr>
              <w:keepLines w:val="0"/>
              <w:pageBreakBefore w:val="0"/>
              <w:numPr>
                <w:ilvl w:val="1"/>
                <w:numId w:val="11"/>
              </w:numPr>
              <w:kinsoku/>
              <w:wordWrap/>
              <w:topLinePunct w:val="0"/>
              <w:autoSpaceDE w:val="0"/>
              <w:autoSpaceDN w:val="0"/>
              <w:bidi w:val="0"/>
              <w:adjustRightInd w:val="0"/>
              <w:spacing w:line="360" w:lineRule="auto"/>
              <w:jc w:val="left"/>
              <w:rPr>
                <w:rFonts w:hint="eastAsia" w:ascii="宋体" w:hAnsi="宋体" w:eastAsia="宋体" w:cs="宋体"/>
                <w:b w:val="0"/>
                <w:bCs w:val="0"/>
                <w:color w:val="auto"/>
                <w:kern w:val="0"/>
                <w:sz w:val="24"/>
                <w:szCs w:val="24"/>
                <w:highlight w:val="none"/>
                <w:lang w:eastAsia="zh-CN"/>
              </w:rPr>
            </w:pPr>
            <w:r>
              <w:rPr>
                <w:rFonts w:hint="eastAsia" w:ascii="宋体" w:hAnsi="宋体" w:cs="宋体"/>
                <w:b w:val="0"/>
                <w:bCs w:val="0"/>
                <w:color w:val="auto"/>
                <w:kern w:val="0"/>
                <w:sz w:val="24"/>
                <w:szCs w:val="24"/>
                <w:highlight w:val="none"/>
                <w:lang w:eastAsia="zh-CN"/>
              </w:rPr>
              <w:t>样品应当密封包装，样品应隐去包括生产厂家名称、地址、商标（品牌）、投标人名称等投标人特有的标识，工作人员将样品按投标人签到顺序进行编号，评委按编号进行打分。</w:t>
            </w:r>
          </w:p>
          <w:p w14:paraId="330B8AA3">
            <w:pPr>
              <w:keepLines w:val="0"/>
              <w:pageBreakBefore w:val="0"/>
              <w:kinsoku/>
              <w:wordWrap/>
              <w:topLinePunct w:val="0"/>
              <w:autoSpaceDE w:val="0"/>
              <w:autoSpaceDN w:val="0"/>
              <w:bidi w:val="0"/>
              <w:adjustRightInd w:val="0"/>
              <w:spacing w:line="360" w:lineRule="auto"/>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（2）样品规格及数量：</w:t>
            </w:r>
            <w:r>
              <w:rPr>
                <w:rFonts w:hint="eastAsia" w:ascii="宋体" w:hAnsi="宋体" w:eastAsia="宋体" w:cs="宋体"/>
                <w:b w:val="0"/>
                <w:bCs w:val="0"/>
                <w:color w:val="auto"/>
                <w:kern w:val="0"/>
                <w:sz w:val="24"/>
                <w:szCs w:val="24"/>
                <w:highlight w:val="none"/>
              </w:rPr>
              <w:t>提供</w:t>
            </w:r>
            <w:r>
              <w:rPr>
                <w:rFonts w:hint="eastAsia" w:ascii="宋体" w:hAnsi="宋体" w:cs="宋体"/>
                <w:b w:val="0"/>
                <w:bCs w:val="0"/>
                <w:color w:val="auto"/>
                <w:kern w:val="0"/>
                <w:sz w:val="24"/>
                <w:szCs w:val="24"/>
                <w:highlight w:val="none"/>
                <w:lang w:val="en-US" w:eastAsia="zh-CN"/>
              </w:rPr>
              <w:t>双穴墓墓套</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lang w:val="en-US" w:eastAsia="zh-CN"/>
              </w:rPr>
              <w:t>单穴</w:t>
            </w:r>
            <w:r>
              <w:rPr>
                <w:rFonts w:hint="eastAsia" w:ascii="宋体" w:hAnsi="宋体" w:eastAsia="宋体" w:cs="宋体"/>
                <w:b w:val="0"/>
                <w:bCs w:val="0"/>
                <w:color w:val="auto"/>
                <w:kern w:val="0"/>
                <w:sz w:val="24"/>
                <w:szCs w:val="24"/>
                <w:highlight w:val="none"/>
                <w:lang w:val="en-US" w:eastAsia="zh-CN"/>
              </w:rPr>
              <w:t>墓</w:t>
            </w:r>
            <w:r>
              <w:rPr>
                <w:rFonts w:hint="eastAsia" w:ascii="宋体" w:hAnsi="宋体" w:cs="宋体"/>
                <w:b w:val="0"/>
                <w:bCs w:val="0"/>
                <w:color w:val="auto"/>
                <w:kern w:val="0"/>
                <w:sz w:val="24"/>
                <w:szCs w:val="24"/>
                <w:highlight w:val="none"/>
                <w:lang w:val="en-US" w:eastAsia="zh-CN"/>
              </w:rPr>
              <w:t>墓套</w:t>
            </w:r>
            <w:r>
              <w:rPr>
                <w:rFonts w:hint="eastAsia" w:ascii="宋体" w:hAnsi="宋体" w:eastAsia="宋体" w:cs="宋体"/>
                <w:b w:val="0"/>
                <w:bCs w:val="0"/>
                <w:color w:val="auto"/>
                <w:kern w:val="0"/>
                <w:sz w:val="24"/>
                <w:szCs w:val="24"/>
                <w:highlight w:val="none"/>
              </w:rPr>
              <w:t>的实物样品</w:t>
            </w:r>
            <w:r>
              <w:rPr>
                <w:rFonts w:hint="eastAsia" w:ascii="宋体" w:hAnsi="宋体" w:eastAsia="宋体" w:cs="宋体"/>
                <w:b w:val="0"/>
                <w:bCs w:val="0"/>
                <w:color w:val="auto"/>
                <w:kern w:val="0"/>
                <w:sz w:val="24"/>
                <w:szCs w:val="24"/>
                <w:highlight w:val="none"/>
                <w:lang w:val="en-US" w:eastAsia="zh-CN"/>
              </w:rPr>
              <w:t>各一套</w:t>
            </w:r>
            <w:r>
              <w:rPr>
                <w:rFonts w:hint="eastAsia" w:ascii="宋体" w:hAnsi="宋体" w:eastAsia="宋体" w:cs="宋体"/>
                <w:b w:val="0"/>
                <w:bCs w:val="0"/>
                <w:color w:val="auto"/>
                <w:kern w:val="0"/>
                <w:sz w:val="24"/>
                <w:szCs w:val="24"/>
                <w:highlight w:val="none"/>
              </w:rPr>
              <w:t>，样品规格参照</w:t>
            </w:r>
            <w:r>
              <w:rPr>
                <w:rFonts w:hint="eastAsia" w:ascii="宋体" w:hAnsi="宋体" w:eastAsia="宋体" w:cs="宋体"/>
                <w:b w:val="0"/>
                <w:bCs w:val="0"/>
                <w:color w:val="auto"/>
                <w:kern w:val="0"/>
                <w:sz w:val="24"/>
                <w:szCs w:val="24"/>
                <w:highlight w:val="none"/>
                <w:lang w:val="en-US" w:eastAsia="zh-CN"/>
              </w:rPr>
              <w:t>采购需求</w:t>
            </w:r>
            <w:r>
              <w:rPr>
                <w:rFonts w:hint="eastAsia" w:ascii="宋体" w:hAnsi="宋体" w:eastAsia="宋体" w:cs="宋体"/>
                <w:b w:val="0"/>
                <w:bCs w:val="0"/>
                <w:color w:val="auto"/>
                <w:kern w:val="0"/>
                <w:sz w:val="24"/>
                <w:szCs w:val="24"/>
                <w:highlight w:val="none"/>
              </w:rPr>
              <w:t>；</w:t>
            </w:r>
          </w:p>
          <w:p w14:paraId="674ABB9B">
            <w:pPr>
              <w:keepLines w:val="0"/>
              <w:pageBreakBefore w:val="0"/>
              <w:kinsoku/>
              <w:wordWrap/>
              <w:topLinePunct w:val="0"/>
              <w:autoSpaceDE w:val="0"/>
              <w:autoSpaceDN w:val="0"/>
              <w:bidi w:val="0"/>
              <w:adjustRightIn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（3）样品送达地点：</w:t>
            </w:r>
            <w:r>
              <w:rPr>
                <w:rFonts w:hint="eastAsia" w:ascii="宋体" w:hAnsi="宋体" w:cs="宋体"/>
                <w:b/>
                <w:bCs/>
                <w:color w:val="auto"/>
                <w:kern w:val="0"/>
                <w:sz w:val="24"/>
                <w:szCs w:val="24"/>
                <w:highlight w:val="none"/>
                <w:lang w:val="en-US" w:eastAsia="zh-CN"/>
              </w:rPr>
              <w:t>崧厦街道新下湖村公墓内；</w:t>
            </w:r>
          </w:p>
          <w:p w14:paraId="74BB4EBA">
            <w:pPr>
              <w:keepLines w:val="0"/>
              <w:pageBreakBefore w:val="0"/>
              <w:kinsoku/>
              <w:wordWrap/>
              <w:topLinePunct w:val="0"/>
              <w:autoSpaceDE w:val="0"/>
              <w:autoSpaceDN w:val="0"/>
              <w:bidi w:val="0"/>
              <w:adjustRightInd w:val="0"/>
              <w:spacing w:line="360" w:lineRule="auto"/>
              <w:ind w:firstLine="482" w:firstLineChars="200"/>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（4）送样联系方式：联系人：</w:t>
            </w:r>
            <w:r>
              <w:rPr>
                <w:rFonts w:hint="eastAsia" w:ascii="宋体" w:hAnsi="宋体" w:cs="宋体"/>
                <w:b/>
                <w:bCs/>
                <w:color w:val="auto"/>
                <w:kern w:val="0"/>
                <w:sz w:val="24"/>
                <w:szCs w:val="24"/>
                <w:highlight w:val="none"/>
                <w:lang w:val="en-US" w:eastAsia="zh-CN"/>
              </w:rPr>
              <w:t>邹章杰</w:t>
            </w:r>
            <w:r>
              <w:rPr>
                <w:rFonts w:hint="eastAsia" w:ascii="宋体" w:hAnsi="宋体" w:eastAsia="宋体" w:cs="宋体"/>
                <w:b/>
                <w:bCs/>
                <w:color w:val="auto"/>
                <w:kern w:val="0"/>
                <w:sz w:val="24"/>
                <w:szCs w:val="24"/>
                <w:highlight w:val="none"/>
              </w:rPr>
              <w:t xml:space="preserve">  联系电话：</w:t>
            </w:r>
            <w:r>
              <w:rPr>
                <w:rFonts w:hint="eastAsia" w:ascii="宋体" w:hAnsi="宋体" w:cs="宋体"/>
                <w:b/>
                <w:bCs/>
                <w:color w:val="auto"/>
                <w:kern w:val="0"/>
                <w:sz w:val="24"/>
                <w:szCs w:val="24"/>
                <w:highlight w:val="none"/>
                <w:lang w:val="en-US" w:eastAsia="zh-CN"/>
              </w:rPr>
              <w:t>13958328279</w:t>
            </w:r>
            <w:r>
              <w:rPr>
                <w:rFonts w:hint="eastAsia" w:ascii="宋体" w:hAnsi="宋体" w:eastAsia="宋体" w:cs="宋体"/>
                <w:b/>
                <w:bCs/>
                <w:color w:val="auto"/>
                <w:kern w:val="0"/>
                <w:sz w:val="24"/>
                <w:szCs w:val="24"/>
                <w:highlight w:val="none"/>
                <w:lang w:val="en-US" w:eastAsia="zh-CN"/>
              </w:rPr>
              <w:t xml:space="preserve"> </w:t>
            </w:r>
          </w:p>
          <w:p w14:paraId="7B8CABA7">
            <w:pPr>
              <w:pStyle w:val="15"/>
              <w:snapToGrid w:val="0"/>
              <w:spacing w:line="360" w:lineRule="exact"/>
              <w:ind w:firstLine="482" w:firstLineChars="20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（5）其他：</w:t>
            </w:r>
            <w:r>
              <w:rPr>
                <w:rFonts w:hint="eastAsia" w:ascii="宋体" w:hAnsi="宋体" w:eastAsia="宋体" w:cs="宋体"/>
                <w:b w:val="0"/>
                <w:bCs w:val="0"/>
                <w:color w:val="auto"/>
                <w:kern w:val="0"/>
                <w:sz w:val="24"/>
                <w:szCs w:val="24"/>
                <w:highlight w:val="none"/>
              </w:rPr>
              <w:t>中标人样品不予退还，由采购人带回作为验收的参考，供货时按照招标文件和合同要求供货，但是根据实际情况样品与所供货物可能会作稍微的调整，但最终根据采购方确认实际需求，未中标人样品开标结束后请自行带回，本采购方不予保管</w:t>
            </w:r>
            <w:r>
              <w:rPr>
                <w:rFonts w:hint="eastAsia" w:ascii="宋体" w:hAnsi="宋体" w:eastAsia="宋体" w:cs="宋体"/>
                <w:b w:val="0"/>
                <w:bCs w:val="0"/>
                <w:color w:val="auto"/>
                <w:kern w:val="0"/>
                <w:sz w:val="24"/>
                <w:szCs w:val="24"/>
                <w:highlight w:val="none"/>
                <w:lang w:eastAsia="zh-CN"/>
              </w:rPr>
              <w:t>。</w:t>
            </w:r>
          </w:p>
          <w:p w14:paraId="7CA8032E">
            <w:pPr>
              <w:pStyle w:val="15"/>
              <w:snapToGrid w:val="0"/>
              <w:spacing w:line="360" w:lineRule="exact"/>
              <w:ind w:firstLine="420" w:firstLineChars="200"/>
              <w:jc w:val="left"/>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注：</w:t>
            </w:r>
          </w:p>
          <w:p w14:paraId="04A2850E">
            <w:pPr>
              <w:pStyle w:val="15"/>
              <w:numPr>
                <w:ilvl w:val="0"/>
                <w:numId w:val="0"/>
              </w:numPr>
              <w:snapToGrid w:val="0"/>
              <w:spacing w:line="360" w:lineRule="exact"/>
              <w:ind w:left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1、</w:t>
            </w:r>
            <w:r>
              <w:rPr>
                <w:rFonts w:hint="eastAsia" w:ascii="宋体" w:hAnsi="宋体" w:eastAsia="宋体" w:cs="宋体"/>
                <w:color w:val="auto"/>
                <w:kern w:val="0"/>
                <w:highlight w:val="none"/>
              </w:rPr>
              <w:t>投标人须在投标文件中提供详细的样品实物照片、技术参数、指标等以便评标委员会进行评审。</w:t>
            </w:r>
          </w:p>
          <w:p w14:paraId="1DA60303">
            <w:pPr>
              <w:pStyle w:val="15"/>
              <w:numPr>
                <w:ilvl w:val="0"/>
                <w:numId w:val="0"/>
              </w:numPr>
              <w:snapToGrid w:val="0"/>
              <w:spacing w:line="360" w:lineRule="exact"/>
              <w:ind w:left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样品提供不齐全或样品参数存在偏离将影响其技术得分，但中标后必须严格按照招标文件要求供货。</w:t>
            </w:r>
          </w:p>
          <w:p w14:paraId="5F35FE6D">
            <w:pPr>
              <w:pStyle w:val="15"/>
              <w:numPr>
                <w:ilvl w:val="0"/>
                <w:numId w:val="0"/>
              </w:numPr>
              <w:snapToGrid w:val="0"/>
              <w:spacing w:line="360" w:lineRule="exact"/>
              <w:ind w:leftChars="200"/>
              <w:jc w:val="left"/>
              <w:rPr>
                <w:rFonts w:hint="default" w:ascii="宋体" w:hAnsi="宋体" w:eastAsia="宋体" w:cs="宋体"/>
                <w:color w:val="auto"/>
                <w:szCs w:val="21"/>
                <w:lang w:val="en-US" w:eastAsia="zh-CN"/>
              </w:rPr>
            </w:pP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rPr>
              <w:t>中标人的样品须按照投标文件中提供的样品实物照片、技术参数及样品展示时的实物款式、数量在</w:t>
            </w:r>
            <w:r>
              <w:rPr>
                <w:rFonts w:hint="eastAsia" w:ascii="宋体" w:hAnsi="宋体" w:eastAsia="宋体" w:cs="宋体"/>
                <w:color w:val="auto"/>
                <w:kern w:val="0"/>
                <w:highlight w:val="none"/>
                <w:lang w:val="en-US" w:eastAsia="zh-CN"/>
              </w:rPr>
              <w:t>合同签订</w:t>
            </w:r>
            <w:r>
              <w:rPr>
                <w:rFonts w:hint="eastAsia" w:ascii="宋体" w:hAnsi="宋体" w:eastAsia="宋体" w:cs="宋体"/>
                <w:color w:val="auto"/>
                <w:kern w:val="0"/>
                <w:highlight w:val="none"/>
              </w:rPr>
              <w:t>前送达招标人处封存，作为供货验收时参照，严禁更换。未中标人提供的样品，招标</w:t>
            </w:r>
            <w:r>
              <w:rPr>
                <w:rFonts w:hint="eastAsia" w:ascii="宋体" w:hAnsi="宋体" w:eastAsia="宋体" w:cs="宋体"/>
                <w:color w:val="auto"/>
                <w:kern w:val="0"/>
                <w:highlight w:val="none"/>
                <w:lang w:val="en-US" w:eastAsia="zh-CN"/>
              </w:rPr>
              <w:t>代理</w:t>
            </w:r>
            <w:r>
              <w:rPr>
                <w:rFonts w:hint="eastAsia" w:ascii="宋体" w:hAnsi="宋体" w:eastAsia="宋体" w:cs="宋体"/>
                <w:color w:val="auto"/>
                <w:kern w:val="0"/>
                <w:highlight w:val="none"/>
              </w:rPr>
              <w:t>机构将通知未中标人在规定的时间内取回，逾期未取回的，招标人、招标</w:t>
            </w:r>
            <w:r>
              <w:rPr>
                <w:rFonts w:hint="eastAsia" w:ascii="宋体" w:hAnsi="宋体" w:eastAsia="宋体" w:cs="宋体"/>
                <w:color w:val="auto"/>
                <w:kern w:val="0"/>
                <w:highlight w:val="none"/>
                <w:lang w:val="en-US" w:eastAsia="zh-CN"/>
              </w:rPr>
              <w:t>代理</w:t>
            </w:r>
            <w:r>
              <w:rPr>
                <w:rFonts w:hint="eastAsia" w:ascii="宋体" w:hAnsi="宋体" w:eastAsia="宋体" w:cs="宋体"/>
                <w:color w:val="auto"/>
                <w:kern w:val="0"/>
                <w:highlight w:val="none"/>
              </w:rPr>
              <w:t>机构不负保管义务。</w:t>
            </w:r>
          </w:p>
        </w:tc>
      </w:tr>
      <w:tr w14:paraId="792CF8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14:paraId="5921407A">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20</w:t>
            </w:r>
          </w:p>
        </w:tc>
        <w:tc>
          <w:tcPr>
            <w:tcW w:w="1800" w:type="dxa"/>
            <w:noWrap/>
            <w:vAlign w:val="center"/>
          </w:tcPr>
          <w:p w14:paraId="5E3DA4FD">
            <w:pPr>
              <w:snapToGrid w:val="0"/>
              <w:jc w:val="center"/>
              <w:rPr>
                <w:rFonts w:ascii="宋体" w:hAnsi="宋体" w:cs="宋体"/>
                <w:color w:val="auto"/>
                <w:szCs w:val="21"/>
              </w:rPr>
            </w:pPr>
            <w:r>
              <w:rPr>
                <w:rFonts w:hint="eastAsia" w:ascii="宋体" w:hAnsi="宋体" w:cs="宋体"/>
                <w:color w:val="auto"/>
                <w:szCs w:val="21"/>
              </w:rPr>
              <w:t>投标人信用信息查询渠道及截止时点、信用信息查询记录和证据留存的具体方式、信用信息的使用规则</w:t>
            </w:r>
          </w:p>
        </w:tc>
        <w:tc>
          <w:tcPr>
            <w:tcW w:w="6682" w:type="dxa"/>
            <w:noWrap/>
            <w:vAlign w:val="center"/>
          </w:tcPr>
          <w:p w14:paraId="77C3D4A7">
            <w:pPr>
              <w:ind w:firstLine="420" w:firstLineChars="200"/>
              <w:rPr>
                <w:rFonts w:ascii="宋体" w:hAnsi="宋体" w:cs="宋体"/>
                <w:color w:val="auto"/>
                <w:szCs w:val="21"/>
              </w:rPr>
            </w:pPr>
            <w:r>
              <w:rPr>
                <w:rFonts w:hint="eastAsia" w:ascii="宋体" w:hAnsi="宋体" w:cs="宋体"/>
                <w:color w:val="auto"/>
                <w:szCs w:val="21"/>
              </w:rPr>
              <w:t>1、查询渠道：信用中国（网址：http://www.creditchina.gov.cn）、中国政府采购网(网址：http://www.ccgp.gov.cn）。</w:t>
            </w:r>
          </w:p>
          <w:p w14:paraId="2CE87434">
            <w:pPr>
              <w:ind w:firstLine="420" w:firstLineChars="200"/>
              <w:rPr>
                <w:rFonts w:ascii="宋体" w:hAnsi="宋体" w:cs="宋体"/>
                <w:color w:val="auto"/>
                <w:szCs w:val="21"/>
              </w:rPr>
            </w:pPr>
            <w:r>
              <w:rPr>
                <w:rFonts w:hint="eastAsia" w:ascii="宋体" w:hAnsi="宋体" w:cs="宋体"/>
                <w:color w:val="auto"/>
                <w:szCs w:val="21"/>
              </w:rPr>
              <w:t>2、截止时点：开标后评标前。</w:t>
            </w:r>
          </w:p>
          <w:p w14:paraId="1A638500">
            <w:pPr>
              <w:ind w:firstLine="420" w:firstLineChars="200"/>
              <w:rPr>
                <w:rFonts w:ascii="宋体" w:hAnsi="宋体" w:cs="宋体"/>
                <w:color w:val="auto"/>
                <w:szCs w:val="21"/>
              </w:rPr>
            </w:pPr>
            <w:r>
              <w:rPr>
                <w:rFonts w:hint="eastAsia" w:ascii="宋体" w:hAnsi="宋体" w:cs="宋体"/>
                <w:color w:val="auto"/>
                <w:szCs w:val="21"/>
              </w:rPr>
              <w:t>3、信用信息查询记录和证据留存的具体方式：由采购组织机构在规定查询时间内打印信用信息查询记录并归入项目档案。</w:t>
            </w:r>
          </w:p>
          <w:p w14:paraId="70912ACB">
            <w:pPr>
              <w:ind w:firstLine="420" w:firstLineChars="200"/>
              <w:rPr>
                <w:rFonts w:ascii="宋体" w:hAnsi="宋体" w:cs="宋体"/>
                <w:color w:val="auto"/>
                <w:szCs w:val="21"/>
              </w:rPr>
            </w:pPr>
            <w:r>
              <w:rPr>
                <w:rFonts w:hint="eastAsia" w:ascii="宋体" w:hAnsi="宋体" w:cs="宋体"/>
                <w:color w:val="auto"/>
                <w:szCs w:val="21"/>
              </w:rPr>
              <w:t>4、使用规则：对列入失信被执行人、重大税收违法案件当事人名单、政府采购严重违法失信行为记录名单及其他不符合《中华人民共和国政府采购法》第二十二条规定条件的供应商，将被拒绝其参与采购活动。</w:t>
            </w:r>
          </w:p>
        </w:tc>
      </w:tr>
      <w:tr w14:paraId="7FC641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14:paraId="1C4BFC24">
            <w:pPr>
              <w:snapToGrid w:val="0"/>
              <w:spacing w:line="360" w:lineRule="exact"/>
              <w:jc w:val="center"/>
              <w:rPr>
                <w:rFonts w:hint="eastAsia" w:ascii="宋体" w:hAnsi="宋体" w:eastAsia="宋体" w:cs="宋体"/>
                <w:snapToGrid w:val="0"/>
                <w:color w:val="auto"/>
                <w:kern w:val="0"/>
                <w:szCs w:val="21"/>
                <w:lang w:val="en-US" w:eastAsia="zh-CN"/>
              </w:rPr>
            </w:pPr>
            <w:r>
              <w:rPr>
                <w:rFonts w:hint="eastAsia" w:ascii="宋体" w:hAnsi="宋体" w:cs="宋体"/>
                <w:snapToGrid w:val="0"/>
                <w:color w:val="auto"/>
                <w:kern w:val="0"/>
                <w:szCs w:val="21"/>
              </w:rPr>
              <w:t>21</w:t>
            </w:r>
          </w:p>
        </w:tc>
        <w:tc>
          <w:tcPr>
            <w:tcW w:w="1800" w:type="dxa"/>
            <w:noWrap/>
            <w:vAlign w:val="center"/>
          </w:tcPr>
          <w:p w14:paraId="43F39336">
            <w:pPr>
              <w:snapToGrid w:val="0"/>
              <w:jc w:val="center"/>
              <w:rPr>
                <w:rFonts w:hint="default" w:ascii="宋体" w:hAnsi="宋体" w:cs="宋体"/>
                <w:color w:val="auto"/>
                <w:szCs w:val="21"/>
                <w:lang w:val="en-US"/>
              </w:rPr>
            </w:pPr>
            <w:r>
              <w:rPr>
                <w:rFonts w:hint="eastAsia" w:ascii="宋体" w:hAnsi="宋体" w:cs="宋体"/>
                <w:color w:val="auto"/>
                <w:szCs w:val="21"/>
              </w:rPr>
              <w:t>招标代理服务费</w:t>
            </w:r>
          </w:p>
        </w:tc>
        <w:tc>
          <w:tcPr>
            <w:tcW w:w="6682" w:type="dxa"/>
            <w:noWrap/>
            <w:vAlign w:val="center"/>
          </w:tcPr>
          <w:p w14:paraId="3E81058F">
            <w:pPr>
              <w:autoSpaceDN w:val="0"/>
              <w:spacing w:line="34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招标代理服务费由中标单位支付，按下列货物招标</w:t>
            </w:r>
            <w:r>
              <w:rPr>
                <w:rFonts w:hint="eastAsia" w:ascii="宋体" w:hAnsi="宋体" w:cs="宋体"/>
                <w:snapToGrid w:val="0"/>
                <w:color w:val="auto"/>
                <w:kern w:val="0"/>
              </w:rPr>
              <w:t>差额定率累进法</w:t>
            </w:r>
            <w:r>
              <w:rPr>
                <w:rFonts w:hint="eastAsia" w:ascii="宋体" w:hAnsi="宋体" w:cs="宋体"/>
                <w:snapToGrid w:val="0"/>
                <w:color w:val="auto"/>
                <w:kern w:val="0"/>
                <w:szCs w:val="21"/>
              </w:rPr>
              <w:t>计算方式计取。</w:t>
            </w:r>
          </w:p>
          <w:tbl>
            <w:tblPr>
              <w:tblStyle w:val="30"/>
              <w:tblW w:w="4741"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2"/>
              <w:gridCol w:w="1007"/>
              <w:gridCol w:w="1007"/>
              <w:gridCol w:w="977"/>
            </w:tblGrid>
            <w:tr w14:paraId="431B9B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noWrap w:val="0"/>
                  <w:vAlign w:val="center"/>
                </w:tcPr>
                <w:p w14:paraId="3F440B5A">
                  <w:pPr>
                    <w:jc w:val="center"/>
                    <w:rPr>
                      <w:rFonts w:ascii="宋体" w:hAnsi="宋体" w:cs="宋体"/>
                      <w:color w:val="auto"/>
                    </w:rPr>
                  </w:pPr>
                  <w:r>
                    <w:rPr>
                      <w:rFonts w:hint="eastAsia" w:ascii="宋体" w:hAnsi="宋体" w:cs="宋体"/>
                      <w:color w:val="auto"/>
                    </w:rPr>
                    <w:t>服务类型 中标金额（万元）</w:t>
                  </w:r>
                </w:p>
              </w:tc>
              <w:tc>
                <w:tcPr>
                  <w:tcW w:w="1300" w:type="dxa"/>
                  <w:tcBorders>
                    <w:top w:val="outset" w:color="auto" w:sz="6" w:space="0"/>
                    <w:left w:val="outset" w:color="auto" w:sz="6" w:space="0"/>
                    <w:bottom w:val="outset" w:color="auto" w:sz="6" w:space="0"/>
                    <w:right w:val="outset" w:color="auto" w:sz="6" w:space="0"/>
                  </w:tcBorders>
                  <w:noWrap w:val="0"/>
                  <w:vAlign w:val="center"/>
                </w:tcPr>
                <w:p w14:paraId="54D2A0A3">
                  <w:pPr>
                    <w:pStyle w:val="27"/>
                    <w:jc w:val="center"/>
                    <w:rPr>
                      <w:color w:val="auto"/>
                      <w:sz w:val="21"/>
                      <w:szCs w:val="21"/>
                    </w:rPr>
                  </w:pPr>
                  <w:r>
                    <w:rPr>
                      <w:rFonts w:hint="eastAsia"/>
                      <w:color w:val="auto"/>
                      <w:sz w:val="21"/>
                      <w:szCs w:val="21"/>
                    </w:rPr>
                    <w:t>货物招标</w:t>
                  </w:r>
                </w:p>
              </w:tc>
              <w:tc>
                <w:tcPr>
                  <w:tcW w:w="1300" w:type="dxa"/>
                  <w:tcBorders>
                    <w:top w:val="outset" w:color="auto" w:sz="6" w:space="0"/>
                    <w:left w:val="outset" w:color="auto" w:sz="6" w:space="0"/>
                    <w:bottom w:val="outset" w:color="auto" w:sz="6" w:space="0"/>
                    <w:right w:val="outset" w:color="auto" w:sz="6" w:space="0"/>
                  </w:tcBorders>
                  <w:noWrap w:val="0"/>
                  <w:vAlign w:val="center"/>
                </w:tcPr>
                <w:p w14:paraId="52DD922B">
                  <w:pPr>
                    <w:jc w:val="center"/>
                    <w:rPr>
                      <w:rFonts w:ascii="宋体" w:hAnsi="宋体" w:cs="宋体"/>
                      <w:color w:val="auto"/>
                    </w:rPr>
                  </w:pPr>
                  <w:r>
                    <w:rPr>
                      <w:rFonts w:hint="eastAsia" w:ascii="宋体" w:hAnsi="宋体" w:cs="宋体"/>
                      <w:color w:val="auto"/>
                    </w:rPr>
                    <w:t>服务招标</w:t>
                  </w:r>
                </w:p>
              </w:tc>
              <w:tc>
                <w:tcPr>
                  <w:tcW w:w="1260" w:type="dxa"/>
                  <w:tcBorders>
                    <w:top w:val="outset" w:color="auto" w:sz="6" w:space="0"/>
                    <w:left w:val="outset" w:color="auto" w:sz="6" w:space="0"/>
                    <w:bottom w:val="outset" w:color="auto" w:sz="6" w:space="0"/>
                    <w:right w:val="outset" w:color="auto" w:sz="6" w:space="0"/>
                  </w:tcBorders>
                  <w:noWrap w:val="0"/>
                  <w:vAlign w:val="center"/>
                </w:tcPr>
                <w:p w14:paraId="43150818">
                  <w:pPr>
                    <w:jc w:val="center"/>
                    <w:rPr>
                      <w:rFonts w:ascii="宋体" w:hAnsi="宋体" w:cs="宋体"/>
                      <w:color w:val="auto"/>
                    </w:rPr>
                  </w:pPr>
                  <w:r>
                    <w:rPr>
                      <w:rFonts w:hint="eastAsia" w:ascii="宋体" w:hAnsi="宋体" w:cs="宋体"/>
                      <w:color w:val="auto"/>
                    </w:rPr>
                    <w:t>工程招标</w:t>
                  </w:r>
                </w:p>
              </w:tc>
            </w:tr>
            <w:tr w14:paraId="198679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noWrap w:val="0"/>
                  <w:vAlign w:val="center"/>
                </w:tcPr>
                <w:p w14:paraId="4466ECF6">
                  <w:pPr>
                    <w:jc w:val="center"/>
                    <w:rPr>
                      <w:rFonts w:ascii="宋体" w:hAnsi="宋体" w:cs="宋体"/>
                      <w:color w:val="auto"/>
                    </w:rPr>
                  </w:pPr>
                  <w:r>
                    <w:rPr>
                      <w:rFonts w:hint="eastAsia" w:ascii="宋体" w:hAnsi="宋体" w:cs="宋体"/>
                      <w:color w:val="auto"/>
                    </w:rPr>
                    <w:t>100以下</w:t>
                  </w:r>
                </w:p>
              </w:tc>
              <w:tc>
                <w:tcPr>
                  <w:tcW w:w="1300" w:type="dxa"/>
                  <w:tcBorders>
                    <w:top w:val="outset" w:color="auto" w:sz="6" w:space="0"/>
                    <w:left w:val="outset" w:color="auto" w:sz="6" w:space="0"/>
                    <w:bottom w:val="outset" w:color="auto" w:sz="6" w:space="0"/>
                    <w:right w:val="outset" w:color="auto" w:sz="6" w:space="0"/>
                  </w:tcBorders>
                  <w:noWrap w:val="0"/>
                  <w:vAlign w:val="center"/>
                </w:tcPr>
                <w:p w14:paraId="48C433FE">
                  <w:pPr>
                    <w:jc w:val="center"/>
                    <w:rPr>
                      <w:rFonts w:ascii="宋体" w:hAnsi="宋体" w:cs="宋体"/>
                      <w:color w:val="auto"/>
                    </w:rPr>
                  </w:pPr>
                  <w:r>
                    <w:rPr>
                      <w:rFonts w:hint="eastAsia" w:ascii="宋体" w:hAnsi="宋体" w:cs="宋体"/>
                      <w:color w:val="auto"/>
                    </w:rPr>
                    <w:t>1.5％</w:t>
                  </w:r>
                </w:p>
              </w:tc>
              <w:tc>
                <w:tcPr>
                  <w:tcW w:w="1300" w:type="dxa"/>
                  <w:tcBorders>
                    <w:top w:val="outset" w:color="auto" w:sz="6" w:space="0"/>
                    <w:left w:val="outset" w:color="auto" w:sz="6" w:space="0"/>
                    <w:bottom w:val="outset" w:color="auto" w:sz="6" w:space="0"/>
                    <w:right w:val="outset" w:color="auto" w:sz="6" w:space="0"/>
                  </w:tcBorders>
                  <w:noWrap w:val="0"/>
                  <w:vAlign w:val="center"/>
                </w:tcPr>
                <w:p w14:paraId="1B0B8ECD">
                  <w:pPr>
                    <w:jc w:val="center"/>
                    <w:rPr>
                      <w:rFonts w:ascii="宋体" w:hAnsi="宋体" w:cs="宋体"/>
                      <w:color w:val="auto"/>
                    </w:rPr>
                  </w:pPr>
                  <w:r>
                    <w:rPr>
                      <w:rFonts w:hint="eastAsia" w:ascii="宋体" w:hAnsi="宋体" w:cs="宋体"/>
                      <w:color w:val="auto"/>
                    </w:rPr>
                    <w:t>1.5％</w:t>
                  </w:r>
                </w:p>
              </w:tc>
              <w:tc>
                <w:tcPr>
                  <w:tcW w:w="1260" w:type="dxa"/>
                  <w:tcBorders>
                    <w:top w:val="outset" w:color="auto" w:sz="6" w:space="0"/>
                    <w:left w:val="outset" w:color="auto" w:sz="6" w:space="0"/>
                    <w:bottom w:val="outset" w:color="auto" w:sz="6" w:space="0"/>
                    <w:right w:val="outset" w:color="auto" w:sz="6" w:space="0"/>
                  </w:tcBorders>
                  <w:noWrap w:val="0"/>
                  <w:vAlign w:val="center"/>
                </w:tcPr>
                <w:p w14:paraId="16B897E1">
                  <w:pPr>
                    <w:jc w:val="center"/>
                    <w:rPr>
                      <w:rFonts w:ascii="宋体" w:hAnsi="宋体" w:cs="宋体"/>
                      <w:color w:val="auto"/>
                    </w:rPr>
                  </w:pPr>
                  <w:r>
                    <w:rPr>
                      <w:rFonts w:hint="eastAsia" w:ascii="宋体" w:hAnsi="宋体" w:cs="宋体"/>
                      <w:color w:val="auto"/>
                    </w:rPr>
                    <w:t>1.0％</w:t>
                  </w:r>
                </w:p>
              </w:tc>
            </w:tr>
            <w:tr w14:paraId="1C1089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noWrap w:val="0"/>
                  <w:vAlign w:val="center"/>
                </w:tcPr>
                <w:p w14:paraId="081BEA48">
                  <w:pPr>
                    <w:jc w:val="center"/>
                    <w:rPr>
                      <w:rFonts w:ascii="宋体" w:hAnsi="宋体" w:cs="宋体"/>
                      <w:color w:val="auto"/>
                    </w:rPr>
                  </w:pPr>
                  <w:r>
                    <w:rPr>
                      <w:rFonts w:hint="eastAsia" w:ascii="宋体" w:hAnsi="宋体" w:cs="宋体"/>
                      <w:color w:val="auto"/>
                    </w:rPr>
                    <w:t>100—500</w:t>
                  </w:r>
                </w:p>
              </w:tc>
              <w:tc>
                <w:tcPr>
                  <w:tcW w:w="1300" w:type="dxa"/>
                  <w:tcBorders>
                    <w:top w:val="outset" w:color="auto" w:sz="6" w:space="0"/>
                    <w:left w:val="outset" w:color="auto" w:sz="6" w:space="0"/>
                    <w:bottom w:val="outset" w:color="auto" w:sz="6" w:space="0"/>
                    <w:right w:val="outset" w:color="auto" w:sz="6" w:space="0"/>
                  </w:tcBorders>
                  <w:noWrap w:val="0"/>
                  <w:vAlign w:val="center"/>
                </w:tcPr>
                <w:p w14:paraId="2E667A31">
                  <w:pPr>
                    <w:jc w:val="center"/>
                    <w:rPr>
                      <w:rFonts w:ascii="宋体" w:hAnsi="宋体" w:cs="宋体"/>
                      <w:color w:val="auto"/>
                    </w:rPr>
                  </w:pPr>
                  <w:r>
                    <w:rPr>
                      <w:rFonts w:hint="eastAsia" w:ascii="宋体" w:hAnsi="宋体" w:cs="宋体"/>
                      <w:color w:val="auto"/>
                    </w:rPr>
                    <w:t>1.1％</w:t>
                  </w:r>
                </w:p>
              </w:tc>
              <w:tc>
                <w:tcPr>
                  <w:tcW w:w="1300" w:type="dxa"/>
                  <w:tcBorders>
                    <w:top w:val="outset" w:color="auto" w:sz="6" w:space="0"/>
                    <w:left w:val="outset" w:color="auto" w:sz="6" w:space="0"/>
                    <w:bottom w:val="outset" w:color="auto" w:sz="6" w:space="0"/>
                    <w:right w:val="outset" w:color="auto" w:sz="6" w:space="0"/>
                  </w:tcBorders>
                  <w:noWrap w:val="0"/>
                  <w:vAlign w:val="center"/>
                </w:tcPr>
                <w:p w14:paraId="1E85DF78">
                  <w:pPr>
                    <w:jc w:val="center"/>
                    <w:rPr>
                      <w:rFonts w:ascii="宋体" w:hAnsi="宋体" w:cs="宋体"/>
                      <w:color w:val="auto"/>
                    </w:rPr>
                  </w:pPr>
                  <w:r>
                    <w:rPr>
                      <w:rFonts w:hint="eastAsia" w:ascii="宋体" w:hAnsi="宋体" w:cs="宋体"/>
                      <w:color w:val="auto"/>
                    </w:rPr>
                    <w:t>0.8％</w:t>
                  </w:r>
                </w:p>
              </w:tc>
              <w:tc>
                <w:tcPr>
                  <w:tcW w:w="1260" w:type="dxa"/>
                  <w:tcBorders>
                    <w:top w:val="outset" w:color="auto" w:sz="6" w:space="0"/>
                    <w:left w:val="outset" w:color="auto" w:sz="6" w:space="0"/>
                    <w:bottom w:val="outset" w:color="auto" w:sz="6" w:space="0"/>
                    <w:right w:val="outset" w:color="auto" w:sz="6" w:space="0"/>
                  </w:tcBorders>
                  <w:noWrap w:val="0"/>
                  <w:vAlign w:val="center"/>
                </w:tcPr>
                <w:p w14:paraId="1C4AA7A2">
                  <w:pPr>
                    <w:jc w:val="center"/>
                    <w:rPr>
                      <w:rFonts w:ascii="宋体" w:hAnsi="宋体" w:cs="宋体"/>
                      <w:color w:val="auto"/>
                    </w:rPr>
                  </w:pPr>
                  <w:r>
                    <w:rPr>
                      <w:rFonts w:hint="eastAsia" w:ascii="宋体" w:hAnsi="宋体" w:cs="宋体"/>
                      <w:color w:val="auto"/>
                    </w:rPr>
                    <w:t>0.7％</w:t>
                  </w:r>
                </w:p>
              </w:tc>
            </w:tr>
            <w:tr w14:paraId="0A9778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noWrap w:val="0"/>
                  <w:vAlign w:val="center"/>
                </w:tcPr>
                <w:p w14:paraId="5AF93F87">
                  <w:pPr>
                    <w:jc w:val="center"/>
                    <w:rPr>
                      <w:rFonts w:ascii="宋体" w:hAnsi="宋体" w:cs="宋体"/>
                      <w:color w:val="auto"/>
                    </w:rPr>
                  </w:pPr>
                  <w:r>
                    <w:rPr>
                      <w:rFonts w:hint="eastAsia" w:ascii="宋体" w:hAnsi="宋体" w:cs="宋体"/>
                      <w:color w:val="auto"/>
                    </w:rPr>
                    <w:t>500—1000</w:t>
                  </w:r>
                </w:p>
              </w:tc>
              <w:tc>
                <w:tcPr>
                  <w:tcW w:w="1300" w:type="dxa"/>
                  <w:tcBorders>
                    <w:top w:val="outset" w:color="auto" w:sz="6" w:space="0"/>
                    <w:left w:val="outset" w:color="auto" w:sz="6" w:space="0"/>
                    <w:bottom w:val="outset" w:color="auto" w:sz="6" w:space="0"/>
                    <w:right w:val="outset" w:color="auto" w:sz="6" w:space="0"/>
                  </w:tcBorders>
                  <w:noWrap w:val="0"/>
                  <w:vAlign w:val="center"/>
                </w:tcPr>
                <w:p w14:paraId="29289692">
                  <w:pPr>
                    <w:jc w:val="center"/>
                    <w:rPr>
                      <w:rFonts w:ascii="宋体" w:hAnsi="宋体" w:cs="宋体"/>
                      <w:color w:val="auto"/>
                    </w:rPr>
                  </w:pPr>
                  <w:r>
                    <w:rPr>
                      <w:rFonts w:hint="eastAsia" w:ascii="宋体" w:hAnsi="宋体" w:cs="宋体"/>
                      <w:color w:val="auto"/>
                    </w:rPr>
                    <w:t>0.8％</w:t>
                  </w:r>
                </w:p>
              </w:tc>
              <w:tc>
                <w:tcPr>
                  <w:tcW w:w="1300" w:type="dxa"/>
                  <w:tcBorders>
                    <w:top w:val="outset" w:color="auto" w:sz="6" w:space="0"/>
                    <w:left w:val="outset" w:color="auto" w:sz="6" w:space="0"/>
                    <w:bottom w:val="outset" w:color="auto" w:sz="6" w:space="0"/>
                    <w:right w:val="outset" w:color="auto" w:sz="6" w:space="0"/>
                  </w:tcBorders>
                  <w:noWrap w:val="0"/>
                  <w:vAlign w:val="center"/>
                </w:tcPr>
                <w:p w14:paraId="3018DF48">
                  <w:pPr>
                    <w:jc w:val="center"/>
                    <w:rPr>
                      <w:rFonts w:ascii="宋体" w:hAnsi="宋体" w:cs="宋体"/>
                      <w:color w:val="auto"/>
                    </w:rPr>
                  </w:pPr>
                  <w:r>
                    <w:rPr>
                      <w:rFonts w:hint="eastAsia" w:ascii="宋体" w:hAnsi="宋体" w:cs="宋体"/>
                      <w:color w:val="auto"/>
                    </w:rPr>
                    <w:t>0.45％</w:t>
                  </w:r>
                </w:p>
              </w:tc>
              <w:tc>
                <w:tcPr>
                  <w:tcW w:w="1260" w:type="dxa"/>
                  <w:tcBorders>
                    <w:top w:val="outset" w:color="auto" w:sz="6" w:space="0"/>
                    <w:left w:val="outset" w:color="auto" w:sz="6" w:space="0"/>
                    <w:bottom w:val="outset" w:color="auto" w:sz="6" w:space="0"/>
                    <w:right w:val="outset" w:color="auto" w:sz="6" w:space="0"/>
                  </w:tcBorders>
                  <w:noWrap w:val="0"/>
                  <w:vAlign w:val="center"/>
                </w:tcPr>
                <w:p w14:paraId="00C31054">
                  <w:pPr>
                    <w:jc w:val="center"/>
                    <w:rPr>
                      <w:rFonts w:ascii="宋体" w:hAnsi="宋体" w:cs="宋体"/>
                      <w:color w:val="auto"/>
                    </w:rPr>
                  </w:pPr>
                  <w:r>
                    <w:rPr>
                      <w:rFonts w:hint="eastAsia" w:ascii="宋体" w:hAnsi="宋体" w:cs="宋体"/>
                      <w:color w:val="auto"/>
                    </w:rPr>
                    <w:t>0.55％</w:t>
                  </w:r>
                </w:p>
              </w:tc>
            </w:tr>
            <w:tr w14:paraId="1BF80D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noWrap w:val="0"/>
                  <w:vAlign w:val="center"/>
                </w:tcPr>
                <w:p w14:paraId="5034E9F5">
                  <w:pPr>
                    <w:jc w:val="center"/>
                    <w:rPr>
                      <w:rFonts w:ascii="宋体" w:hAnsi="宋体" w:cs="宋体"/>
                      <w:color w:val="auto"/>
                    </w:rPr>
                  </w:pPr>
                  <w:r>
                    <w:rPr>
                      <w:rFonts w:hint="eastAsia" w:ascii="宋体" w:hAnsi="宋体" w:cs="宋体"/>
                      <w:color w:val="auto"/>
                    </w:rPr>
                    <w:t>1000—5000</w:t>
                  </w:r>
                </w:p>
              </w:tc>
              <w:tc>
                <w:tcPr>
                  <w:tcW w:w="1300" w:type="dxa"/>
                  <w:tcBorders>
                    <w:top w:val="outset" w:color="auto" w:sz="6" w:space="0"/>
                    <w:left w:val="outset" w:color="auto" w:sz="6" w:space="0"/>
                    <w:bottom w:val="outset" w:color="auto" w:sz="6" w:space="0"/>
                    <w:right w:val="outset" w:color="auto" w:sz="6" w:space="0"/>
                  </w:tcBorders>
                  <w:noWrap w:val="0"/>
                  <w:vAlign w:val="center"/>
                </w:tcPr>
                <w:p w14:paraId="4A8A8B72">
                  <w:pPr>
                    <w:jc w:val="center"/>
                    <w:rPr>
                      <w:rFonts w:ascii="宋体" w:hAnsi="宋体" w:cs="宋体"/>
                      <w:color w:val="auto"/>
                    </w:rPr>
                  </w:pPr>
                  <w:r>
                    <w:rPr>
                      <w:rFonts w:hint="eastAsia" w:ascii="宋体" w:hAnsi="宋体" w:cs="宋体"/>
                      <w:color w:val="auto"/>
                    </w:rPr>
                    <w:t>0.5％</w:t>
                  </w:r>
                </w:p>
              </w:tc>
              <w:tc>
                <w:tcPr>
                  <w:tcW w:w="1300" w:type="dxa"/>
                  <w:tcBorders>
                    <w:top w:val="outset" w:color="auto" w:sz="6" w:space="0"/>
                    <w:left w:val="outset" w:color="auto" w:sz="6" w:space="0"/>
                    <w:bottom w:val="outset" w:color="auto" w:sz="6" w:space="0"/>
                    <w:right w:val="outset" w:color="auto" w:sz="6" w:space="0"/>
                  </w:tcBorders>
                  <w:noWrap w:val="0"/>
                  <w:vAlign w:val="center"/>
                </w:tcPr>
                <w:p w14:paraId="70B1C8B0">
                  <w:pPr>
                    <w:jc w:val="center"/>
                    <w:rPr>
                      <w:rFonts w:ascii="宋体" w:hAnsi="宋体" w:cs="宋体"/>
                      <w:color w:val="auto"/>
                    </w:rPr>
                  </w:pPr>
                  <w:r>
                    <w:rPr>
                      <w:rFonts w:hint="eastAsia" w:ascii="宋体" w:hAnsi="宋体" w:cs="宋体"/>
                      <w:color w:val="auto"/>
                    </w:rPr>
                    <w:t>0.25％</w:t>
                  </w:r>
                </w:p>
              </w:tc>
              <w:tc>
                <w:tcPr>
                  <w:tcW w:w="1260" w:type="dxa"/>
                  <w:tcBorders>
                    <w:top w:val="outset" w:color="auto" w:sz="6" w:space="0"/>
                    <w:left w:val="outset" w:color="auto" w:sz="6" w:space="0"/>
                    <w:bottom w:val="outset" w:color="auto" w:sz="6" w:space="0"/>
                    <w:right w:val="outset" w:color="auto" w:sz="6" w:space="0"/>
                  </w:tcBorders>
                  <w:noWrap w:val="0"/>
                  <w:vAlign w:val="center"/>
                </w:tcPr>
                <w:p w14:paraId="4FE47C01">
                  <w:pPr>
                    <w:jc w:val="center"/>
                    <w:rPr>
                      <w:rFonts w:ascii="宋体" w:hAnsi="宋体" w:cs="宋体"/>
                      <w:color w:val="auto"/>
                    </w:rPr>
                  </w:pPr>
                  <w:r>
                    <w:rPr>
                      <w:rFonts w:hint="eastAsia" w:ascii="宋体" w:hAnsi="宋体" w:cs="宋体"/>
                      <w:color w:val="auto"/>
                    </w:rPr>
                    <w:t>0.35％</w:t>
                  </w:r>
                </w:p>
              </w:tc>
            </w:tr>
            <w:tr w14:paraId="3725AE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noWrap w:val="0"/>
                  <w:vAlign w:val="center"/>
                </w:tcPr>
                <w:p w14:paraId="2E46125C">
                  <w:pPr>
                    <w:jc w:val="center"/>
                    <w:rPr>
                      <w:rFonts w:ascii="宋体" w:hAnsi="宋体" w:cs="宋体"/>
                      <w:color w:val="auto"/>
                    </w:rPr>
                  </w:pPr>
                  <w:r>
                    <w:rPr>
                      <w:rFonts w:hint="eastAsia" w:ascii="宋体" w:hAnsi="宋体" w:cs="宋体"/>
                      <w:color w:val="auto"/>
                    </w:rPr>
                    <w:t>5000—10000</w:t>
                  </w:r>
                </w:p>
              </w:tc>
              <w:tc>
                <w:tcPr>
                  <w:tcW w:w="1300" w:type="dxa"/>
                  <w:tcBorders>
                    <w:top w:val="outset" w:color="auto" w:sz="6" w:space="0"/>
                    <w:left w:val="outset" w:color="auto" w:sz="6" w:space="0"/>
                    <w:bottom w:val="outset" w:color="auto" w:sz="6" w:space="0"/>
                    <w:right w:val="outset" w:color="auto" w:sz="6" w:space="0"/>
                  </w:tcBorders>
                  <w:noWrap w:val="0"/>
                  <w:vAlign w:val="center"/>
                </w:tcPr>
                <w:p w14:paraId="6F2239CA">
                  <w:pPr>
                    <w:jc w:val="center"/>
                    <w:rPr>
                      <w:rFonts w:ascii="宋体" w:hAnsi="宋体" w:cs="宋体"/>
                      <w:color w:val="auto"/>
                    </w:rPr>
                  </w:pPr>
                  <w:r>
                    <w:rPr>
                      <w:rFonts w:hint="eastAsia" w:ascii="宋体" w:hAnsi="宋体" w:cs="宋体"/>
                      <w:color w:val="auto"/>
                    </w:rPr>
                    <w:t>0.25％</w:t>
                  </w:r>
                </w:p>
              </w:tc>
              <w:tc>
                <w:tcPr>
                  <w:tcW w:w="1300" w:type="dxa"/>
                  <w:tcBorders>
                    <w:top w:val="outset" w:color="auto" w:sz="6" w:space="0"/>
                    <w:left w:val="outset" w:color="auto" w:sz="6" w:space="0"/>
                    <w:bottom w:val="outset" w:color="auto" w:sz="6" w:space="0"/>
                    <w:right w:val="outset" w:color="auto" w:sz="6" w:space="0"/>
                  </w:tcBorders>
                  <w:noWrap w:val="0"/>
                  <w:vAlign w:val="center"/>
                </w:tcPr>
                <w:p w14:paraId="5264298A">
                  <w:pPr>
                    <w:jc w:val="center"/>
                    <w:rPr>
                      <w:rFonts w:ascii="宋体" w:hAnsi="宋体" w:cs="宋体"/>
                      <w:color w:val="auto"/>
                    </w:rPr>
                  </w:pPr>
                  <w:r>
                    <w:rPr>
                      <w:rFonts w:hint="eastAsia" w:ascii="宋体" w:hAnsi="宋体" w:cs="宋体"/>
                      <w:color w:val="auto"/>
                    </w:rPr>
                    <w:t>0.1％</w:t>
                  </w:r>
                </w:p>
              </w:tc>
              <w:tc>
                <w:tcPr>
                  <w:tcW w:w="1260" w:type="dxa"/>
                  <w:tcBorders>
                    <w:top w:val="outset" w:color="auto" w:sz="6" w:space="0"/>
                    <w:left w:val="outset" w:color="auto" w:sz="6" w:space="0"/>
                    <w:bottom w:val="outset" w:color="auto" w:sz="6" w:space="0"/>
                    <w:right w:val="outset" w:color="auto" w:sz="6" w:space="0"/>
                  </w:tcBorders>
                  <w:noWrap w:val="0"/>
                  <w:vAlign w:val="center"/>
                </w:tcPr>
                <w:p w14:paraId="3971CADC">
                  <w:pPr>
                    <w:jc w:val="center"/>
                    <w:rPr>
                      <w:rFonts w:ascii="宋体" w:hAnsi="宋体" w:cs="宋体"/>
                      <w:color w:val="auto"/>
                    </w:rPr>
                  </w:pPr>
                  <w:r>
                    <w:rPr>
                      <w:rFonts w:hint="eastAsia" w:ascii="宋体" w:hAnsi="宋体" w:cs="宋体"/>
                      <w:color w:val="auto"/>
                    </w:rPr>
                    <w:t>0.2％</w:t>
                  </w:r>
                </w:p>
              </w:tc>
            </w:tr>
            <w:tr w14:paraId="79BC7E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noWrap w:val="0"/>
                  <w:vAlign w:val="center"/>
                </w:tcPr>
                <w:p w14:paraId="012F4850">
                  <w:pPr>
                    <w:jc w:val="center"/>
                    <w:rPr>
                      <w:rFonts w:ascii="宋体" w:hAnsi="宋体" w:cs="宋体"/>
                      <w:color w:val="auto"/>
                    </w:rPr>
                  </w:pPr>
                  <w:r>
                    <w:rPr>
                      <w:rFonts w:hint="eastAsia" w:ascii="宋体" w:hAnsi="宋体" w:cs="宋体"/>
                      <w:color w:val="auto"/>
                    </w:rPr>
                    <w:t>10000——100000</w:t>
                  </w:r>
                </w:p>
              </w:tc>
              <w:tc>
                <w:tcPr>
                  <w:tcW w:w="1300" w:type="dxa"/>
                  <w:tcBorders>
                    <w:top w:val="outset" w:color="auto" w:sz="6" w:space="0"/>
                    <w:left w:val="outset" w:color="auto" w:sz="6" w:space="0"/>
                    <w:bottom w:val="outset" w:color="auto" w:sz="6" w:space="0"/>
                    <w:right w:val="outset" w:color="auto" w:sz="6" w:space="0"/>
                  </w:tcBorders>
                  <w:noWrap w:val="0"/>
                  <w:vAlign w:val="center"/>
                </w:tcPr>
                <w:p w14:paraId="4C4623B2">
                  <w:pPr>
                    <w:jc w:val="center"/>
                    <w:rPr>
                      <w:rFonts w:ascii="宋体" w:hAnsi="宋体" w:cs="宋体"/>
                      <w:color w:val="auto"/>
                    </w:rPr>
                  </w:pPr>
                  <w:r>
                    <w:rPr>
                      <w:rFonts w:hint="eastAsia" w:ascii="宋体" w:hAnsi="宋体" w:cs="宋体"/>
                      <w:color w:val="auto"/>
                    </w:rPr>
                    <w:t>0.05％</w:t>
                  </w:r>
                </w:p>
              </w:tc>
              <w:tc>
                <w:tcPr>
                  <w:tcW w:w="1300" w:type="dxa"/>
                  <w:tcBorders>
                    <w:top w:val="outset" w:color="auto" w:sz="6" w:space="0"/>
                    <w:left w:val="outset" w:color="auto" w:sz="6" w:space="0"/>
                    <w:bottom w:val="outset" w:color="auto" w:sz="6" w:space="0"/>
                    <w:right w:val="outset" w:color="auto" w:sz="6" w:space="0"/>
                  </w:tcBorders>
                  <w:noWrap w:val="0"/>
                  <w:vAlign w:val="center"/>
                </w:tcPr>
                <w:p w14:paraId="7126BF8A">
                  <w:pPr>
                    <w:jc w:val="center"/>
                    <w:rPr>
                      <w:rFonts w:ascii="宋体" w:hAnsi="宋体" w:cs="宋体"/>
                      <w:color w:val="auto"/>
                    </w:rPr>
                  </w:pPr>
                  <w:r>
                    <w:rPr>
                      <w:rFonts w:hint="eastAsia" w:ascii="宋体" w:hAnsi="宋体" w:cs="宋体"/>
                      <w:color w:val="auto"/>
                    </w:rPr>
                    <w:t>0.05％</w:t>
                  </w:r>
                </w:p>
              </w:tc>
              <w:tc>
                <w:tcPr>
                  <w:tcW w:w="1260" w:type="dxa"/>
                  <w:tcBorders>
                    <w:top w:val="outset" w:color="auto" w:sz="6" w:space="0"/>
                    <w:left w:val="outset" w:color="auto" w:sz="6" w:space="0"/>
                    <w:bottom w:val="outset" w:color="auto" w:sz="6" w:space="0"/>
                    <w:right w:val="outset" w:color="auto" w:sz="6" w:space="0"/>
                  </w:tcBorders>
                  <w:noWrap w:val="0"/>
                  <w:vAlign w:val="center"/>
                </w:tcPr>
                <w:p w14:paraId="29F5F3FE">
                  <w:pPr>
                    <w:jc w:val="center"/>
                    <w:rPr>
                      <w:rFonts w:ascii="宋体" w:hAnsi="宋体" w:cs="宋体"/>
                      <w:color w:val="auto"/>
                    </w:rPr>
                  </w:pPr>
                  <w:r>
                    <w:rPr>
                      <w:rFonts w:hint="eastAsia" w:ascii="宋体" w:hAnsi="宋体" w:cs="宋体"/>
                      <w:color w:val="auto"/>
                    </w:rPr>
                    <w:t>0.05％</w:t>
                  </w:r>
                </w:p>
              </w:tc>
            </w:tr>
            <w:tr w14:paraId="0DDE2D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noWrap w:val="0"/>
                  <w:vAlign w:val="center"/>
                </w:tcPr>
                <w:p w14:paraId="04E7FDA2">
                  <w:pPr>
                    <w:jc w:val="center"/>
                    <w:rPr>
                      <w:rFonts w:ascii="宋体" w:hAnsi="宋体" w:cs="宋体"/>
                      <w:color w:val="auto"/>
                    </w:rPr>
                  </w:pPr>
                  <w:r>
                    <w:rPr>
                      <w:rFonts w:hint="eastAsia" w:ascii="宋体" w:hAnsi="宋体" w:cs="宋体"/>
                      <w:color w:val="auto"/>
                    </w:rPr>
                    <w:t>1000000以上</w:t>
                  </w:r>
                </w:p>
              </w:tc>
              <w:tc>
                <w:tcPr>
                  <w:tcW w:w="1300" w:type="dxa"/>
                  <w:tcBorders>
                    <w:top w:val="outset" w:color="auto" w:sz="6" w:space="0"/>
                    <w:left w:val="outset" w:color="auto" w:sz="6" w:space="0"/>
                    <w:bottom w:val="outset" w:color="auto" w:sz="6" w:space="0"/>
                    <w:right w:val="outset" w:color="auto" w:sz="6" w:space="0"/>
                  </w:tcBorders>
                  <w:noWrap w:val="0"/>
                  <w:vAlign w:val="center"/>
                </w:tcPr>
                <w:p w14:paraId="18C473D2">
                  <w:pPr>
                    <w:jc w:val="center"/>
                    <w:rPr>
                      <w:rFonts w:ascii="宋体" w:hAnsi="宋体" w:cs="宋体"/>
                      <w:color w:val="auto"/>
                    </w:rPr>
                  </w:pPr>
                  <w:r>
                    <w:rPr>
                      <w:rFonts w:hint="eastAsia" w:ascii="宋体" w:hAnsi="宋体" w:cs="宋体"/>
                      <w:color w:val="auto"/>
                    </w:rPr>
                    <w:t>0.01％</w:t>
                  </w:r>
                </w:p>
              </w:tc>
              <w:tc>
                <w:tcPr>
                  <w:tcW w:w="1300" w:type="dxa"/>
                  <w:tcBorders>
                    <w:top w:val="outset" w:color="auto" w:sz="6" w:space="0"/>
                    <w:left w:val="outset" w:color="auto" w:sz="6" w:space="0"/>
                    <w:bottom w:val="outset" w:color="auto" w:sz="6" w:space="0"/>
                    <w:right w:val="outset" w:color="auto" w:sz="6" w:space="0"/>
                  </w:tcBorders>
                  <w:noWrap w:val="0"/>
                  <w:vAlign w:val="center"/>
                </w:tcPr>
                <w:p w14:paraId="39F7BFA1">
                  <w:pPr>
                    <w:jc w:val="center"/>
                    <w:rPr>
                      <w:rFonts w:ascii="宋体" w:hAnsi="宋体" w:cs="宋体"/>
                      <w:color w:val="auto"/>
                    </w:rPr>
                  </w:pPr>
                  <w:r>
                    <w:rPr>
                      <w:rFonts w:hint="eastAsia" w:ascii="宋体" w:hAnsi="宋体" w:cs="宋体"/>
                      <w:color w:val="auto"/>
                    </w:rPr>
                    <w:t>0.01％</w:t>
                  </w:r>
                </w:p>
              </w:tc>
              <w:tc>
                <w:tcPr>
                  <w:tcW w:w="1260" w:type="dxa"/>
                  <w:tcBorders>
                    <w:top w:val="outset" w:color="auto" w:sz="6" w:space="0"/>
                    <w:left w:val="outset" w:color="auto" w:sz="6" w:space="0"/>
                    <w:bottom w:val="outset" w:color="auto" w:sz="6" w:space="0"/>
                    <w:right w:val="outset" w:color="auto" w:sz="6" w:space="0"/>
                  </w:tcBorders>
                  <w:noWrap w:val="0"/>
                  <w:vAlign w:val="center"/>
                </w:tcPr>
                <w:p w14:paraId="6779F6CA">
                  <w:pPr>
                    <w:jc w:val="center"/>
                    <w:rPr>
                      <w:rFonts w:ascii="宋体" w:hAnsi="宋体" w:cs="宋体"/>
                      <w:color w:val="auto"/>
                    </w:rPr>
                  </w:pPr>
                  <w:r>
                    <w:rPr>
                      <w:rFonts w:hint="eastAsia" w:ascii="宋体" w:hAnsi="宋体" w:cs="宋体"/>
                      <w:color w:val="auto"/>
                    </w:rPr>
                    <w:t>0.01％</w:t>
                  </w:r>
                </w:p>
              </w:tc>
            </w:tr>
          </w:tbl>
          <w:p w14:paraId="0294D6F8">
            <w:pPr>
              <w:spacing w:line="340" w:lineRule="exact"/>
              <w:ind w:firstLine="420" w:firstLineChars="200"/>
              <w:rPr>
                <w:rFonts w:hint="default" w:ascii="宋体" w:hAnsi="宋体" w:cs="宋体"/>
                <w:color w:val="auto"/>
                <w:szCs w:val="21"/>
                <w:lang w:val="en-US"/>
              </w:rPr>
            </w:pPr>
            <w:r>
              <w:rPr>
                <w:rFonts w:hint="eastAsia" w:ascii="宋体" w:hAnsi="宋体" w:cs="宋体"/>
                <w:snapToGrid w:val="0"/>
                <w:color w:val="auto"/>
                <w:kern w:val="0"/>
                <w:szCs w:val="21"/>
              </w:rPr>
              <w:t>结算方式及时间为：在领取中标通知书前由中标单位一次性向采购代理机构付清。</w:t>
            </w:r>
          </w:p>
        </w:tc>
      </w:tr>
      <w:tr w14:paraId="64E44B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14:paraId="3B6640FB">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22</w:t>
            </w:r>
          </w:p>
        </w:tc>
        <w:tc>
          <w:tcPr>
            <w:tcW w:w="1800" w:type="dxa"/>
            <w:noWrap/>
            <w:vAlign w:val="center"/>
          </w:tcPr>
          <w:p w14:paraId="13AB0D7E">
            <w:pPr>
              <w:snapToGrid w:val="0"/>
              <w:jc w:val="center"/>
              <w:rPr>
                <w:rFonts w:ascii="宋体" w:hAnsi="宋体" w:cs="宋体"/>
                <w:color w:val="auto"/>
                <w:szCs w:val="21"/>
              </w:rPr>
            </w:pPr>
            <w:r>
              <w:rPr>
                <w:rFonts w:hint="eastAsia" w:ascii="宋体" w:hAnsi="宋体" w:cs="宋体"/>
                <w:color w:val="auto"/>
                <w:szCs w:val="21"/>
              </w:rPr>
              <w:t>其他</w:t>
            </w:r>
          </w:p>
        </w:tc>
        <w:tc>
          <w:tcPr>
            <w:tcW w:w="6682" w:type="dxa"/>
            <w:noWrap/>
            <w:vAlign w:val="center"/>
          </w:tcPr>
          <w:p w14:paraId="373BEF51">
            <w:pPr>
              <w:ind w:firstLine="422" w:firstLineChars="200"/>
              <w:rPr>
                <w:rFonts w:hint="eastAsia" w:ascii="宋体" w:hAnsi="宋体" w:cs="宋体"/>
                <w:b/>
                <w:color w:val="auto"/>
                <w:szCs w:val="21"/>
              </w:rPr>
            </w:pPr>
            <w:r>
              <w:rPr>
                <w:rFonts w:hint="eastAsia" w:ascii="宋体" w:hAnsi="宋体" w:cs="宋体"/>
                <w:b/>
                <w:color w:val="auto"/>
                <w:szCs w:val="21"/>
              </w:rPr>
              <w:t>1、本招标文件要求提供的身份证复印件皆需提供正反面，否则按不提供处理。</w:t>
            </w:r>
          </w:p>
          <w:p w14:paraId="26473B65">
            <w:pPr>
              <w:ind w:firstLine="422" w:firstLineChars="200"/>
              <w:rPr>
                <w:rFonts w:ascii="宋体" w:hAnsi="宋体" w:cs="宋体"/>
                <w:b/>
                <w:color w:val="auto"/>
                <w:szCs w:val="21"/>
              </w:rPr>
            </w:pPr>
            <w:r>
              <w:rPr>
                <w:rFonts w:hint="eastAsia" w:ascii="宋体" w:hAnsi="宋体" w:cs="宋体"/>
                <w:b/>
                <w:color w:val="auto"/>
                <w:szCs w:val="21"/>
              </w:rPr>
              <w:t>2、本项目货物如涉及柴油动力移动源，柴油动力移动源应当符合低排放要求。</w:t>
            </w:r>
          </w:p>
        </w:tc>
      </w:tr>
    </w:tbl>
    <w:p w14:paraId="43A6035A">
      <w:pPr>
        <w:pStyle w:val="44"/>
        <w:spacing w:before="0"/>
        <w:ind w:firstLine="420"/>
        <w:rPr>
          <w:rFonts w:ascii="宋体" w:hAnsi="宋体" w:cs="宋体"/>
          <w:color w:val="auto"/>
          <w:sz w:val="21"/>
          <w:szCs w:val="21"/>
        </w:rPr>
      </w:pPr>
      <w:r>
        <w:rPr>
          <w:rFonts w:hint="eastAsia" w:ascii="宋体" w:hAnsi="宋体" w:cs="宋体"/>
          <w:color w:val="auto"/>
          <w:sz w:val="21"/>
          <w:szCs w:val="21"/>
        </w:rPr>
        <w:t>注：以上内容如有变化将另行通知。如通知其中某一内容发生变化，其余未提及的将不作变动。</w:t>
      </w:r>
    </w:p>
    <w:p w14:paraId="06E07B86">
      <w:pPr>
        <w:snapToGrid w:val="0"/>
        <w:spacing w:line="360" w:lineRule="auto"/>
        <w:jc w:val="center"/>
        <w:outlineLvl w:val="0"/>
        <w:rPr>
          <w:rFonts w:ascii="宋体" w:hAnsi="宋体" w:cs="宋体"/>
          <w:b/>
          <w:color w:val="auto"/>
          <w:sz w:val="32"/>
        </w:rPr>
      </w:pPr>
      <w:r>
        <w:rPr>
          <w:rFonts w:hint="eastAsia" w:ascii="宋体" w:hAnsi="宋体" w:cs="宋体"/>
          <w:b/>
          <w:color w:val="auto"/>
          <w:sz w:val="32"/>
          <w:szCs w:val="20"/>
        </w:rPr>
        <w:br w:type="page"/>
      </w:r>
      <w:bookmarkStart w:id="17" w:name="_Toc10200"/>
      <w:r>
        <w:rPr>
          <w:rFonts w:hint="eastAsia" w:ascii="宋体" w:hAnsi="宋体" w:cs="宋体"/>
          <w:b/>
          <w:color w:val="auto"/>
          <w:sz w:val="32"/>
        </w:rPr>
        <w:t>一、总则</w:t>
      </w:r>
      <w:bookmarkEnd w:id="9"/>
      <w:bookmarkEnd w:id="17"/>
    </w:p>
    <w:p w14:paraId="459360F1">
      <w:pPr>
        <w:pStyle w:val="15"/>
        <w:numPr>
          <w:ilvl w:val="0"/>
          <w:numId w:val="12"/>
        </w:numPr>
        <w:spacing w:line="360" w:lineRule="auto"/>
        <w:ind w:firstLine="482" w:firstLineChars="200"/>
        <w:rPr>
          <w:rFonts w:hAnsi="宋体" w:cs="宋体"/>
          <w:b/>
          <w:color w:val="auto"/>
          <w:sz w:val="24"/>
          <w:szCs w:val="24"/>
        </w:rPr>
      </w:pPr>
      <w:bookmarkStart w:id="18" w:name="_Hlt74730295"/>
      <w:bookmarkEnd w:id="18"/>
      <w:bookmarkStart w:id="19" w:name="_Hlt74714665"/>
      <w:bookmarkEnd w:id="19"/>
      <w:bookmarkStart w:id="20" w:name="_Toc91899872"/>
      <w:bookmarkStart w:id="21" w:name="_Hlt74730112"/>
      <w:bookmarkStart w:id="22" w:name="_Hlt74730208"/>
      <w:r>
        <w:rPr>
          <w:rFonts w:hint="eastAsia" w:hAnsi="宋体" w:cs="宋体"/>
          <w:b/>
          <w:color w:val="auto"/>
          <w:sz w:val="24"/>
          <w:szCs w:val="24"/>
        </w:rPr>
        <w:t>项目说明</w:t>
      </w:r>
      <w:bookmarkEnd w:id="20"/>
    </w:p>
    <w:p w14:paraId="6839D707">
      <w:pPr>
        <w:pStyle w:val="44"/>
        <w:numPr>
          <w:ilvl w:val="0"/>
          <w:numId w:val="13"/>
        </w:numPr>
        <w:tabs>
          <w:tab w:val="left" w:pos="0"/>
        </w:tabs>
        <w:spacing w:before="0"/>
        <w:ind w:firstLine="480"/>
        <w:rPr>
          <w:rFonts w:ascii="宋体" w:hAnsi="宋体" w:cs="宋体"/>
          <w:color w:val="auto"/>
          <w:szCs w:val="24"/>
        </w:rPr>
      </w:pPr>
      <w:r>
        <w:rPr>
          <w:rFonts w:hint="eastAsia" w:ascii="宋体" w:hAnsi="宋体" w:cs="宋体"/>
          <w:color w:val="auto"/>
          <w:szCs w:val="24"/>
        </w:rPr>
        <w:t>项目说明见前附表所述。投标人一旦参与本次招标活动，即被视为接受了本招标文件的所有内容，如有任何异议，均已在法定时间内提出。</w:t>
      </w:r>
    </w:p>
    <w:p w14:paraId="2AB5564E">
      <w:pPr>
        <w:pStyle w:val="44"/>
        <w:numPr>
          <w:ilvl w:val="0"/>
          <w:numId w:val="13"/>
        </w:numPr>
        <w:tabs>
          <w:tab w:val="left" w:pos="0"/>
        </w:tabs>
        <w:spacing w:before="0"/>
        <w:ind w:firstLine="480"/>
        <w:rPr>
          <w:rFonts w:ascii="宋体" w:hAnsi="宋体" w:cs="宋体"/>
          <w:color w:val="auto"/>
          <w:szCs w:val="24"/>
        </w:rPr>
      </w:pPr>
      <w:r>
        <w:rPr>
          <w:rFonts w:hint="eastAsia" w:ascii="宋体" w:hAnsi="宋体" w:cs="宋体"/>
          <w:color w:val="auto"/>
          <w:szCs w:val="24"/>
        </w:rPr>
        <w:t>投标人须对所投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cs="宋体"/>
          <w:color w:val="auto"/>
          <w:szCs w:val="24"/>
          <w:lang w:val="zh-CN"/>
        </w:rPr>
        <w:t>供应商</w:t>
      </w:r>
      <w:r>
        <w:rPr>
          <w:rFonts w:hint="eastAsia" w:ascii="宋体" w:hAnsi="宋体" w:cs="宋体"/>
          <w:color w:val="auto"/>
          <w:szCs w:val="24"/>
        </w:rPr>
        <w:t>应承担相应后果，</w:t>
      </w:r>
      <w:r>
        <w:rPr>
          <w:rFonts w:hint="eastAsia" w:ascii="宋体" w:hAnsi="宋体" w:cs="宋体"/>
          <w:color w:val="auto"/>
          <w:szCs w:val="24"/>
          <w:lang w:val="zh-CN"/>
        </w:rPr>
        <w:t>并负责赔偿。</w:t>
      </w:r>
      <w:r>
        <w:rPr>
          <w:rFonts w:hint="eastAsia" w:ascii="宋体" w:hAnsi="宋体" w:cs="宋体"/>
          <w:color w:val="auto"/>
          <w:szCs w:val="24"/>
        </w:rPr>
        <w:t>供应商为执行本项目合同而提供的技术资料等归采购人所有。</w:t>
      </w:r>
    </w:p>
    <w:p w14:paraId="0B5F622E">
      <w:pPr>
        <w:snapToGrid w:val="0"/>
        <w:spacing w:line="440" w:lineRule="exact"/>
        <w:ind w:firstLine="480" w:firstLineChars="200"/>
        <w:jc w:val="left"/>
        <w:rPr>
          <w:rFonts w:ascii="宋体" w:hAnsi="宋体" w:cs="宋体"/>
          <w:color w:val="auto"/>
          <w:sz w:val="24"/>
        </w:rPr>
      </w:pPr>
      <w:bookmarkStart w:id="23" w:name="_Toc91899873"/>
      <w:r>
        <w:rPr>
          <w:rFonts w:hint="eastAsia" w:ascii="宋体" w:hAnsi="宋体" w:cs="宋体"/>
          <w:color w:val="auto"/>
          <w:sz w:val="24"/>
        </w:rPr>
        <w:t>1.3本招标文件所称公章是指单位法定名称章或者冠以单位法定名称的电子公章。</w:t>
      </w:r>
    </w:p>
    <w:p w14:paraId="7572E4BC">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1.4公开招标数额标准以上的采购项目，投标截止后投标人不足3家或者通过资格审查或符合性审查的投标人不足3家的，除采购任务取消情形外，按照以下方式处理：</w:t>
      </w:r>
    </w:p>
    <w:p w14:paraId="4CFE9929">
      <w:pPr>
        <w:pStyle w:val="44"/>
        <w:numPr>
          <w:ilvl w:val="0"/>
          <w:numId w:val="14"/>
        </w:numPr>
        <w:spacing w:before="0"/>
        <w:ind w:firstLine="480"/>
        <w:rPr>
          <w:rFonts w:ascii="宋体" w:hAnsi="宋体" w:cs="宋体"/>
          <w:color w:val="auto"/>
          <w:szCs w:val="24"/>
        </w:rPr>
      </w:pPr>
      <w:r>
        <w:rPr>
          <w:rFonts w:hint="eastAsia" w:ascii="宋体" w:hAnsi="宋体" w:cs="宋体"/>
          <w:color w:val="auto"/>
          <w:szCs w:val="24"/>
        </w:rPr>
        <w:t>招标文件存在不合理条款或者招标程序不符合规定的，采购人、采购代理机构改正后依法重新招标；</w:t>
      </w:r>
    </w:p>
    <w:p w14:paraId="4D1CDF27">
      <w:pPr>
        <w:pStyle w:val="44"/>
        <w:numPr>
          <w:ilvl w:val="0"/>
          <w:numId w:val="14"/>
        </w:numPr>
        <w:spacing w:before="0"/>
        <w:ind w:firstLine="480"/>
        <w:rPr>
          <w:rFonts w:ascii="宋体" w:hAnsi="宋体" w:cs="宋体"/>
          <w:color w:val="auto"/>
          <w:szCs w:val="24"/>
        </w:rPr>
      </w:pPr>
      <w:r>
        <w:rPr>
          <w:rFonts w:hint="eastAsia" w:ascii="宋体" w:hAnsi="宋体" w:cs="宋体"/>
          <w:color w:val="auto"/>
          <w:szCs w:val="24"/>
        </w:rPr>
        <w:t>招标文件没有不合理条款、招标程序符合规定，需要采用其他采购方式采购的，采购人应当依法报</w:t>
      </w:r>
      <w:r>
        <w:rPr>
          <w:rFonts w:hint="eastAsia" w:ascii="宋体" w:hAnsi="宋体"/>
          <w:color w:val="auto"/>
          <w:kern w:val="0"/>
        </w:rPr>
        <w:t>乡镇（街道）</w:t>
      </w:r>
      <w:r>
        <w:rPr>
          <w:rFonts w:hint="eastAsia" w:ascii="宋体" w:hAnsi="宋体" w:cs="宋体"/>
          <w:color w:val="auto"/>
          <w:szCs w:val="24"/>
        </w:rPr>
        <w:t>批准。</w:t>
      </w:r>
    </w:p>
    <w:p w14:paraId="5D7CACF9">
      <w:pPr>
        <w:pStyle w:val="15"/>
        <w:numPr>
          <w:ilvl w:val="0"/>
          <w:numId w:val="12"/>
        </w:numPr>
        <w:spacing w:line="360" w:lineRule="auto"/>
        <w:ind w:firstLine="482" w:firstLineChars="200"/>
        <w:rPr>
          <w:rFonts w:hAnsi="宋体" w:cs="宋体"/>
          <w:b/>
          <w:color w:val="auto"/>
          <w:sz w:val="24"/>
          <w:szCs w:val="24"/>
        </w:rPr>
      </w:pPr>
      <w:r>
        <w:rPr>
          <w:rFonts w:hint="eastAsia" w:hAnsi="宋体" w:cs="宋体"/>
          <w:b/>
          <w:color w:val="auto"/>
          <w:sz w:val="24"/>
          <w:szCs w:val="24"/>
        </w:rPr>
        <w:t>采购方式</w:t>
      </w:r>
      <w:bookmarkEnd w:id="23"/>
    </w:p>
    <w:p w14:paraId="7CF00192">
      <w:pPr>
        <w:tabs>
          <w:tab w:val="left" w:pos="3780"/>
        </w:tabs>
        <w:spacing w:line="360" w:lineRule="auto"/>
        <w:ind w:firstLine="480" w:firstLineChars="200"/>
        <w:rPr>
          <w:rFonts w:ascii="宋体" w:hAnsi="宋体" w:cs="宋体"/>
          <w:color w:val="auto"/>
          <w:sz w:val="24"/>
        </w:rPr>
      </w:pPr>
      <w:r>
        <w:rPr>
          <w:rFonts w:hint="eastAsia" w:ascii="宋体" w:hAnsi="宋体" w:cs="宋体"/>
          <w:color w:val="auto"/>
          <w:sz w:val="24"/>
        </w:rPr>
        <w:t>公开招标。</w:t>
      </w:r>
      <w:bookmarkEnd w:id="21"/>
      <w:bookmarkEnd w:id="22"/>
      <w:bookmarkStart w:id="24" w:name="_Hlt74388212"/>
      <w:bookmarkEnd w:id="24"/>
      <w:bookmarkStart w:id="25" w:name="_Hlt68516771"/>
      <w:bookmarkEnd w:id="25"/>
    </w:p>
    <w:p w14:paraId="3A8C07ED">
      <w:pPr>
        <w:pStyle w:val="15"/>
        <w:numPr>
          <w:ilvl w:val="0"/>
          <w:numId w:val="12"/>
        </w:numPr>
        <w:spacing w:line="360" w:lineRule="auto"/>
        <w:ind w:firstLine="482" w:firstLineChars="200"/>
        <w:rPr>
          <w:rFonts w:hAnsi="宋体" w:cs="宋体"/>
          <w:b/>
          <w:color w:val="auto"/>
          <w:sz w:val="24"/>
          <w:szCs w:val="24"/>
        </w:rPr>
      </w:pPr>
      <w:bookmarkStart w:id="26" w:name="_Toc91899877"/>
      <w:bookmarkStart w:id="27" w:name="_Hlt74730303"/>
      <w:r>
        <w:rPr>
          <w:rFonts w:hint="eastAsia" w:hAnsi="宋体" w:cs="宋体"/>
          <w:b/>
          <w:color w:val="auto"/>
          <w:sz w:val="24"/>
          <w:szCs w:val="24"/>
        </w:rPr>
        <w:t>投标费用</w:t>
      </w:r>
      <w:bookmarkEnd w:id="26"/>
    </w:p>
    <w:bookmarkEnd w:id="27"/>
    <w:p w14:paraId="4BEE72E9">
      <w:pPr>
        <w:autoSpaceDE w:val="0"/>
        <w:autoSpaceDN w:val="0"/>
        <w:spacing w:line="360" w:lineRule="auto"/>
        <w:ind w:firstLine="523" w:firstLineChars="218"/>
        <w:rPr>
          <w:rFonts w:ascii="宋体" w:hAnsi="宋体" w:cs="宋体"/>
          <w:color w:val="auto"/>
          <w:sz w:val="24"/>
          <w:lang w:val="zh-CN"/>
        </w:rPr>
      </w:pPr>
      <w:r>
        <w:rPr>
          <w:rFonts w:hint="eastAsia" w:ascii="宋体" w:hAnsi="宋体" w:cs="宋体"/>
          <w:color w:val="auto"/>
          <w:sz w:val="24"/>
        </w:rPr>
        <w:t>投标人需自行承担涉及投标的一切费用（招标文件有其他相反规定除外）。</w:t>
      </w:r>
    </w:p>
    <w:p w14:paraId="1F1DC4AC">
      <w:pPr>
        <w:spacing w:line="360" w:lineRule="auto"/>
        <w:jc w:val="center"/>
        <w:rPr>
          <w:rFonts w:ascii="宋体" w:hAnsi="宋体" w:cs="宋体"/>
          <w:b/>
          <w:color w:val="auto"/>
          <w:sz w:val="24"/>
        </w:rPr>
      </w:pPr>
      <w:bookmarkStart w:id="28" w:name="_Hlt74729768"/>
      <w:bookmarkEnd w:id="28"/>
      <w:bookmarkStart w:id="29" w:name="_Hlt68072990"/>
      <w:bookmarkEnd w:id="29"/>
      <w:bookmarkStart w:id="30" w:name="_Hlt68057669"/>
      <w:bookmarkEnd w:id="30"/>
      <w:bookmarkStart w:id="31" w:name="_Hlt74707468"/>
      <w:bookmarkEnd w:id="31"/>
      <w:bookmarkStart w:id="32" w:name="_Hlt75236290"/>
      <w:bookmarkEnd w:id="32"/>
      <w:bookmarkStart w:id="33" w:name="_Toc91899879"/>
    </w:p>
    <w:p w14:paraId="77D4A37A">
      <w:pPr>
        <w:snapToGrid w:val="0"/>
        <w:spacing w:line="360" w:lineRule="auto"/>
        <w:jc w:val="center"/>
        <w:outlineLvl w:val="0"/>
        <w:rPr>
          <w:rFonts w:ascii="宋体" w:hAnsi="宋体" w:cs="宋体"/>
          <w:b/>
          <w:color w:val="auto"/>
          <w:sz w:val="32"/>
        </w:rPr>
      </w:pPr>
      <w:bookmarkStart w:id="34" w:name="_Toc30571"/>
      <w:r>
        <w:rPr>
          <w:rFonts w:hint="eastAsia" w:ascii="宋体" w:hAnsi="宋体" w:cs="宋体"/>
          <w:b/>
          <w:color w:val="auto"/>
          <w:sz w:val="32"/>
        </w:rPr>
        <w:t>二、招标文件</w:t>
      </w:r>
      <w:bookmarkEnd w:id="33"/>
      <w:bookmarkEnd w:id="34"/>
    </w:p>
    <w:p w14:paraId="21D2C101">
      <w:pPr>
        <w:pStyle w:val="15"/>
        <w:numPr>
          <w:ilvl w:val="0"/>
          <w:numId w:val="12"/>
        </w:numPr>
        <w:spacing w:line="360" w:lineRule="auto"/>
        <w:ind w:firstLine="482" w:firstLineChars="200"/>
        <w:rPr>
          <w:rFonts w:hAnsi="宋体" w:cs="宋体"/>
          <w:b/>
          <w:color w:val="auto"/>
          <w:sz w:val="24"/>
          <w:szCs w:val="24"/>
        </w:rPr>
      </w:pPr>
      <w:bookmarkStart w:id="35" w:name="_Toc91899880"/>
      <w:bookmarkStart w:id="36" w:name="_Hlt74730307"/>
      <w:r>
        <w:rPr>
          <w:rFonts w:hint="eastAsia" w:hAnsi="宋体" w:cs="宋体"/>
          <w:b/>
          <w:color w:val="auto"/>
          <w:sz w:val="24"/>
          <w:szCs w:val="24"/>
        </w:rPr>
        <w:t>招标文件的构成</w:t>
      </w:r>
      <w:bookmarkEnd w:id="35"/>
    </w:p>
    <w:bookmarkEnd w:id="36"/>
    <w:p w14:paraId="52FC5C5A">
      <w:pPr>
        <w:pStyle w:val="44"/>
        <w:numPr>
          <w:ilvl w:val="0"/>
          <w:numId w:val="15"/>
        </w:numPr>
        <w:ind w:firstLine="480"/>
        <w:rPr>
          <w:rFonts w:ascii="宋体" w:hAnsi="宋体" w:cs="宋体"/>
          <w:color w:val="auto"/>
          <w:szCs w:val="24"/>
        </w:rPr>
      </w:pPr>
      <w:r>
        <w:rPr>
          <w:rFonts w:hint="eastAsia" w:ascii="宋体" w:hAnsi="宋体" w:cs="宋体"/>
          <w:color w:val="auto"/>
          <w:szCs w:val="24"/>
        </w:rPr>
        <w:t>招标文件包括下列文件及附件</w:t>
      </w:r>
    </w:p>
    <w:p w14:paraId="499ED169">
      <w:pPr>
        <w:pStyle w:val="44"/>
        <w:numPr>
          <w:ilvl w:val="0"/>
          <w:numId w:val="16"/>
        </w:numPr>
        <w:spacing w:before="0"/>
        <w:ind w:firstLine="480"/>
        <w:rPr>
          <w:rFonts w:ascii="宋体" w:hAnsi="宋体" w:cs="宋体"/>
          <w:color w:val="auto"/>
          <w:szCs w:val="24"/>
        </w:rPr>
      </w:pPr>
      <w:r>
        <w:rPr>
          <w:rFonts w:hint="eastAsia" w:ascii="宋体" w:hAnsi="宋体" w:cs="宋体"/>
          <w:color w:val="auto"/>
          <w:szCs w:val="24"/>
        </w:rPr>
        <w:t>第一部分 招标公告</w:t>
      </w:r>
    </w:p>
    <w:p w14:paraId="147F736D">
      <w:pPr>
        <w:pStyle w:val="44"/>
        <w:numPr>
          <w:ilvl w:val="0"/>
          <w:numId w:val="16"/>
        </w:numPr>
        <w:spacing w:before="0"/>
        <w:ind w:firstLine="480"/>
        <w:rPr>
          <w:rFonts w:ascii="宋体" w:hAnsi="宋体" w:cs="宋体"/>
          <w:color w:val="auto"/>
          <w:szCs w:val="24"/>
        </w:rPr>
      </w:pPr>
      <w:r>
        <w:rPr>
          <w:rFonts w:hint="eastAsia" w:ascii="宋体" w:hAnsi="宋体" w:cs="宋体"/>
          <w:color w:val="auto"/>
          <w:szCs w:val="24"/>
        </w:rPr>
        <w:t>第二部分投标须知</w:t>
      </w:r>
    </w:p>
    <w:p w14:paraId="4D764C9F">
      <w:pPr>
        <w:pStyle w:val="44"/>
        <w:numPr>
          <w:ilvl w:val="0"/>
          <w:numId w:val="16"/>
        </w:numPr>
        <w:spacing w:before="0"/>
        <w:ind w:firstLine="480"/>
        <w:rPr>
          <w:rFonts w:ascii="宋体" w:hAnsi="宋体" w:cs="宋体"/>
          <w:color w:val="auto"/>
          <w:szCs w:val="24"/>
        </w:rPr>
      </w:pPr>
      <w:r>
        <w:rPr>
          <w:rFonts w:hint="eastAsia" w:ascii="宋体" w:hAnsi="宋体" w:cs="宋体"/>
          <w:color w:val="auto"/>
          <w:szCs w:val="24"/>
        </w:rPr>
        <w:t>第三部分 评标办法及评分标准</w:t>
      </w:r>
    </w:p>
    <w:p w14:paraId="33F5CC30">
      <w:pPr>
        <w:pStyle w:val="44"/>
        <w:numPr>
          <w:ilvl w:val="0"/>
          <w:numId w:val="16"/>
        </w:numPr>
        <w:spacing w:before="0"/>
        <w:ind w:firstLine="480"/>
        <w:rPr>
          <w:rFonts w:ascii="宋体" w:hAnsi="宋体" w:cs="宋体"/>
          <w:color w:val="auto"/>
          <w:szCs w:val="24"/>
        </w:rPr>
      </w:pPr>
      <w:r>
        <w:rPr>
          <w:rFonts w:hint="eastAsia" w:ascii="宋体" w:hAnsi="宋体" w:cs="宋体"/>
          <w:color w:val="auto"/>
          <w:szCs w:val="24"/>
        </w:rPr>
        <w:t>第四部分 采购需求</w:t>
      </w:r>
    </w:p>
    <w:p w14:paraId="54B65197">
      <w:pPr>
        <w:pStyle w:val="44"/>
        <w:numPr>
          <w:ilvl w:val="0"/>
          <w:numId w:val="16"/>
        </w:numPr>
        <w:spacing w:before="0"/>
        <w:ind w:firstLine="480"/>
        <w:rPr>
          <w:rFonts w:ascii="宋体" w:hAnsi="宋体" w:cs="宋体"/>
          <w:color w:val="auto"/>
          <w:szCs w:val="24"/>
        </w:rPr>
      </w:pPr>
      <w:r>
        <w:rPr>
          <w:rFonts w:hint="eastAsia" w:ascii="宋体" w:hAnsi="宋体" w:cs="宋体"/>
          <w:color w:val="auto"/>
          <w:szCs w:val="24"/>
        </w:rPr>
        <w:t>第五部分 采购合同的一般和特殊条款</w:t>
      </w:r>
    </w:p>
    <w:p w14:paraId="10FE56F3">
      <w:pPr>
        <w:pStyle w:val="44"/>
        <w:numPr>
          <w:ilvl w:val="0"/>
          <w:numId w:val="16"/>
        </w:numPr>
        <w:spacing w:before="0"/>
        <w:ind w:firstLine="480"/>
        <w:rPr>
          <w:rFonts w:ascii="宋体" w:hAnsi="宋体" w:cs="宋体"/>
          <w:color w:val="auto"/>
          <w:szCs w:val="24"/>
        </w:rPr>
      </w:pPr>
      <w:r>
        <w:rPr>
          <w:rFonts w:hint="eastAsia" w:ascii="宋体" w:hAnsi="宋体" w:cs="宋体"/>
          <w:color w:val="auto"/>
          <w:szCs w:val="24"/>
        </w:rPr>
        <w:t>第六部分 应提交的有关格式范例</w:t>
      </w:r>
    </w:p>
    <w:p w14:paraId="47EB4581">
      <w:pPr>
        <w:pStyle w:val="44"/>
        <w:numPr>
          <w:ilvl w:val="0"/>
          <w:numId w:val="15"/>
        </w:numPr>
        <w:spacing w:before="0"/>
        <w:ind w:firstLine="480"/>
        <w:rPr>
          <w:rFonts w:ascii="宋体" w:hAnsi="宋体" w:cs="宋体"/>
          <w:color w:val="auto"/>
          <w:szCs w:val="24"/>
        </w:rPr>
      </w:pPr>
      <w:r>
        <w:rPr>
          <w:rFonts w:hint="eastAsia" w:ascii="宋体" w:hAnsi="宋体" w:cs="宋体"/>
          <w:color w:val="auto"/>
          <w:szCs w:val="24"/>
        </w:rPr>
        <w:t>投标人应认真审阅招标文件中所有的内容，包括编制和提交采购响应文件须知、评标办法及评分标准、项目技术规范和服务要求、采购合同的一般和特殊条款、应提交的有关格式范例等。</w:t>
      </w:r>
    </w:p>
    <w:p w14:paraId="7C908DFB">
      <w:pPr>
        <w:pStyle w:val="15"/>
        <w:numPr>
          <w:ilvl w:val="0"/>
          <w:numId w:val="12"/>
        </w:numPr>
        <w:spacing w:line="360" w:lineRule="auto"/>
        <w:ind w:firstLine="482" w:firstLineChars="200"/>
        <w:rPr>
          <w:rFonts w:hAnsi="宋体" w:cs="宋体"/>
          <w:b/>
          <w:color w:val="auto"/>
          <w:sz w:val="24"/>
          <w:szCs w:val="24"/>
        </w:rPr>
      </w:pPr>
      <w:r>
        <w:rPr>
          <w:rFonts w:hint="eastAsia" w:hAnsi="宋体" w:cs="宋体"/>
          <w:b/>
          <w:color w:val="auto"/>
          <w:sz w:val="24"/>
          <w:szCs w:val="24"/>
        </w:rPr>
        <w:t>招标文件的解释</w:t>
      </w:r>
    </w:p>
    <w:p w14:paraId="51B131D9">
      <w:pPr>
        <w:pStyle w:val="44"/>
        <w:numPr>
          <w:ilvl w:val="0"/>
          <w:numId w:val="17"/>
        </w:numPr>
        <w:spacing w:before="0"/>
        <w:ind w:firstLine="480"/>
        <w:rPr>
          <w:rFonts w:ascii="宋体" w:hAnsi="宋体" w:cs="宋体"/>
          <w:color w:val="auto"/>
          <w:szCs w:val="24"/>
        </w:rPr>
      </w:pPr>
      <w:r>
        <w:rPr>
          <w:rFonts w:hint="eastAsia" w:ascii="宋体" w:hAnsi="宋体" w:cs="宋体"/>
          <w:color w:val="auto"/>
          <w:szCs w:val="24"/>
        </w:rPr>
        <w:t>已获取招标文件的潜在投标人，若有问题需要澄清，应于投标截止时间前，以书面形式向采购代理机构提出，采购代理机构与采购人研究后，对认为有必要回答的问题，将通过招标公告发布网站通知所有招标文件收受人。</w:t>
      </w:r>
    </w:p>
    <w:p w14:paraId="7B57349B">
      <w:pPr>
        <w:pStyle w:val="44"/>
        <w:numPr>
          <w:ilvl w:val="0"/>
          <w:numId w:val="17"/>
        </w:numPr>
        <w:spacing w:before="0"/>
        <w:ind w:firstLine="480"/>
        <w:rPr>
          <w:rFonts w:ascii="宋体" w:hAnsi="宋体" w:cs="宋体"/>
          <w:color w:val="auto"/>
          <w:szCs w:val="24"/>
        </w:rPr>
      </w:pPr>
      <w:r>
        <w:rPr>
          <w:rFonts w:hint="eastAsia" w:ascii="宋体" w:hAnsi="宋体" w:cs="宋体"/>
          <w:color w:val="auto"/>
          <w:szCs w:val="24"/>
        </w:rPr>
        <w:t>采购代理机构如对已发出的招标文件进行必要澄清或者修改的，将在发布招标公告的网站上发布更正公告，同时视情况延长投标截止时间和开标时间。该澄清或者修改的内容为招标文件的组成部分。</w:t>
      </w:r>
    </w:p>
    <w:p w14:paraId="592617E5">
      <w:pPr>
        <w:pStyle w:val="44"/>
        <w:numPr>
          <w:ilvl w:val="0"/>
          <w:numId w:val="17"/>
        </w:numPr>
        <w:spacing w:before="0"/>
        <w:ind w:firstLine="480"/>
        <w:rPr>
          <w:rFonts w:ascii="宋体" w:hAnsi="宋体" w:cs="宋体"/>
          <w:color w:val="auto"/>
          <w:szCs w:val="24"/>
        </w:rPr>
      </w:pPr>
      <w:r>
        <w:rPr>
          <w:rFonts w:hint="eastAsia" w:ascii="宋体" w:hAnsi="宋体" w:cs="宋体"/>
          <w:color w:val="auto"/>
          <w:szCs w:val="24"/>
        </w:rPr>
        <w:t>不论采购代理机构向投标人发送的资料文件，还是投标人提出的问题，均采用书面形式。</w:t>
      </w:r>
    </w:p>
    <w:p w14:paraId="2BAF67D7">
      <w:pPr>
        <w:pStyle w:val="15"/>
        <w:numPr>
          <w:ilvl w:val="0"/>
          <w:numId w:val="12"/>
        </w:numPr>
        <w:spacing w:line="360" w:lineRule="auto"/>
        <w:ind w:firstLine="482" w:firstLineChars="200"/>
        <w:rPr>
          <w:rFonts w:hAnsi="宋体" w:cs="宋体"/>
          <w:b/>
          <w:color w:val="auto"/>
          <w:sz w:val="24"/>
          <w:szCs w:val="24"/>
        </w:rPr>
      </w:pPr>
      <w:r>
        <w:rPr>
          <w:rFonts w:hint="eastAsia" w:hAnsi="宋体" w:cs="宋体"/>
          <w:b/>
          <w:color w:val="auto"/>
          <w:sz w:val="24"/>
          <w:szCs w:val="24"/>
        </w:rPr>
        <w:t>招标文件的修改、澄清</w:t>
      </w:r>
    </w:p>
    <w:p w14:paraId="5A0C85B2">
      <w:pPr>
        <w:pStyle w:val="44"/>
        <w:numPr>
          <w:ilvl w:val="0"/>
          <w:numId w:val="18"/>
        </w:numPr>
        <w:spacing w:before="0"/>
        <w:ind w:firstLine="480"/>
        <w:rPr>
          <w:rFonts w:ascii="宋体" w:hAnsi="宋体" w:cs="宋体"/>
          <w:color w:val="auto"/>
          <w:szCs w:val="24"/>
        </w:rPr>
      </w:pPr>
      <w:r>
        <w:rPr>
          <w:rFonts w:hint="eastAsia" w:ascii="宋体" w:hAnsi="宋体" w:cs="宋体"/>
          <w:color w:val="auto"/>
          <w:szCs w:val="24"/>
        </w:rPr>
        <w:t>从招标文件发出至投标截止时间前，采购代理机构可能会以补充通知的方式修改招标文件。补充通知作为招标文件的组成部分，各潜在投标人应自行在公告发布网站查看。若有必要，采购代理机构将酌情延长递交投标文件的截止日期。</w:t>
      </w:r>
    </w:p>
    <w:p w14:paraId="494D07B5">
      <w:pPr>
        <w:pStyle w:val="44"/>
        <w:numPr>
          <w:ilvl w:val="0"/>
          <w:numId w:val="18"/>
        </w:numPr>
        <w:spacing w:before="0"/>
        <w:ind w:firstLine="480"/>
        <w:rPr>
          <w:rFonts w:ascii="宋体" w:hAnsi="宋体" w:cs="宋体"/>
          <w:color w:val="auto"/>
          <w:szCs w:val="24"/>
        </w:rPr>
      </w:pPr>
      <w:r>
        <w:rPr>
          <w:rFonts w:hint="eastAsia" w:ascii="宋体" w:hAnsi="宋体" w:cs="宋体"/>
          <w:color w:val="auto"/>
          <w:szCs w:val="24"/>
        </w:rPr>
        <w:t>对投标文件中含义不明、表述不一致或有明显计算错误等内容，评标委员会将对投标人进行询标，并要求投标人作电子澄清（询标由专家在</w:t>
      </w:r>
      <w:r>
        <w:rPr>
          <w:rFonts w:hint="eastAsia" w:cs="宋体"/>
          <w:color w:val="auto"/>
          <w:szCs w:val="24"/>
          <w:lang w:eastAsia="zh-CN"/>
        </w:rPr>
        <w:t>村采云</w:t>
      </w:r>
      <w:r>
        <w:rPr>
          <w:rFonts w:hint="eastAsia" w:ascii="宋体" w:hAnsi="宋体" w:cs="宋体"/>
          <w:color w:val="auto"/>
          <w:szCs w:val="24"/>
        </w:rPr>
        <w:t>系统上发起询标函，投标人在澄清处在规定时间内进行答复）；投标人的电子澄清，应由法定代表人进行电子签章（也可由法定代表人或授权代表签字扫描后上传），作为投标文件的补充部分，但澄清的内容不得改变投标文件的实质性内容。</w:t>
      </w:r>
    </w:p>
    <w:p w14:paraId="19D1FAE8">
      <w:pPr>
        <w:pStyle w:val="15"/>
        <w:numPr>
          <w:ilvl w:val="0"/>
          <w:numId w:val="12"/>
        </w:numPr>
        <w:spacing w:line="360" w:lineRule="auto"/>
        <w:ind w:firstLine="482" w:firstLineChars="200"/>
        <w:rPr>
          <w:rFonts w:hAnsi="宋体" w:cs="宋体"/>
          <w:b/>
          <w:color w:val="auto"/>
          <w:sz w:val="24"/>
          <w:szCs w:val="24"/>
        </w:rPr>
      </w:pPr>
      <w:r>
        <w:rPr>
          <w:rFonts w:hint="eastAsia" w:hAnsi="宋体" w:cs="宋体"/>
          <w:b/>
          <w:color w:val="auto"/>
          <w:sz w:val="24"/>
          <w:szCs w:val="24"/>
        </w:rPr>
        <w:t>投标报价</w:t>
      </w:r>
    </w:p>
    <w:p w14:paraId="311C0E32">
      <w:pPr>
        <w:pStyle w:val="44"/>
        <w:numPr>
          <w:ilvl w:val="0"/>
          <w:numId w:val="19"/>
        </w:numPr>
        <w:spacing w:before="0"/>
        <w:ind w:firstLine="480"/>
        <w:rPr>
          <w:rFonts w:ascii="宋体" w:hAnsi="宋体" w:cs="宋体"/>
          <w:color w:val="auto"/>
          <w:szCs w:val="24"/>
        </w:rPr>
      </w:pPr>
      <w:r>
        <w:rPr>
          <w:rFonts w:hint="eastAsia" w:ascii="宋体" w:hAnsi="宋体" w:cs="宋体"/>
          <w:color w:val="auto"/>
          <w:kern w:val="0"/>
        </w:rPr>
        <w:t>投标报价统一为人民币计价，本次报价方式为总价包干，</w:t>
      </w:r>
      <w:r>
        <w:rPr>
          <w:rFonts w:hint="eastAsia" w:ascii="宋体" w:hAnsi="宋体" w:cs="宋体"/>
          <w:color w:val="auto"/>
          <w:sz w:val="24"/>
        </w:rPr>
        <w:t>包括但不仅限于货物、运输、装卸、安装、调试、保险、人工、材料、机械、税金、利润、招标代理费等一切为本项目而产生的所有费用。投标人在编写投标方案时应充分考虑各种风险因素，</w:t>
      </w:r>
      <w:r>
        <w:rPr>
          <w:rFonts w:hint="eastAsia" w:ascii="宋体" w:hAnsi="宋体" w:cs="宋体"/>
          <w:color w:val="auto"/>
          <w:kern w:val="0"/>
        </w:rPr>
        <w:t>凡投标人在报价中未列明但又为本次采购所必须的项目或遗漏项目，采购人将一律视为已包括在合同价中，在合同执行中将不再另行支付。</w:t>
      </w:r>
    </w:p>
    <w:p w14:paraId="46B86D29">
      <w:pPr>
        <w:pStyle w:val="44"/>
        <w:numPr>
          <w:ilvl w:val="0"/>
          <w:numId w:val="19"/>
        </w:numPr>
        <w:spacing w:before="0"/>
        <w:ind w:firstLine="480"/>
        <w:rPr>
          <w:rFonts w:ascii="宋体" w:hAnsi="宋体" w:cs="宋体"/>
          <w:color w:val="auto"/>
          <w:szCs w:val="24"/>
        </w:rPr>
      </w:pPr>
      <w:r>
        <w:rPr>
          <w:rFonts w:hint="eastAsia" w:ascii="宋体" w:hAnsi="宋体" w:cs="宋体"/>
          <w:color w:val="auto"/>
          <w:szCs w:val="24"/>
        </w:rPr>
        <w:t>其它费用处理</w:t>
      </w:r>
    </w:p>
    <w:p w14:paraId="0FB539A1">
      <w:pPr>
        <w:pStyle w:val="44"/>
        <w:tabs>
          <w:tab w:val="left" w:pos="0"/>
        </w:tabs>
        <w:spacing w:before="0"/>
        <w:ind w:left="420" w:leftChars="200" w:firstLine="0" w:firstLineChars="0"/>
        <w:rPr>
          <w:rFonts w:ascii="宋体" w:hAnsi="宋体" w:cs="宋体"/>
          <w:color w:val="auto"/>
          <w:szCs w:val="24"/>
        </w:rPr>
      </w:pPr>
      <w:r>
        <w:rPr>
          <w:rFonts w:hint="eastAsia" w:ascii="宋体" w:hAnsi="宋体" w:cs="宋体"/>
          <w:color w:val="auto"/>
          <w:szCs w:val="24"/>
        </w:rPr>
        <w:t>招标文件未列明，而投标人认为必需的费用也需列入报价。</w:t>
      </w:r>
    </w:p>
    <w:p w14:paraId="5944185C">
      <w:pPr>
        <w:pStyle w:val="44"/>
        <w:numPr>
          <w:ilvl w:val="0"/>
          <w:numId w:val="19"/>
        </w:numPr>
        <w:spacing w:before="0"/>
        <w:ind w:firstLine="480"/>
        <w:rPr>
          <w:rFonts w:ascii="宋体" w:hAnsi="宋体" w:cs="宋体"/>
          <w:color w:val="auto"/>
          <w:szCs w:val="24"/>
        </w:rPr>
      </w:pPr>
      <w:r>
        <w:rPr>
          <w:rFonts w:hint="eastAsia" w:ascii="宋体" w:hAnsi="宋体" w:cs="宋体"/>
          <w:color w:val="auto"/>
          <w:szCs w:val="24"/>
        </w:rPr>
        <w:t>投标货币</w:t>
      </w:r>
    </w:p>
    <w:p w14:paraId="70FB9F0A">
      <w:pPr>
        <w:pStyle w:val="44"/>
        <w:snapToGrid w:val="0"/>
        <w:spacing w:before="0" w:line="500" w:lineRule="exact"/>
        <w:ind w:firstLine="480"/>
        <w:rPr>
          <w:rFonts w:ascii="宋体" w:hAnsi="宋体" w:cs="宋体"/>
          <w:color w:val="auto"/>
          <w:szCs w:val="24"/>
        </w:rPr>
      </w:pPr>
      <w:r>
        <w:rPr>
          <w:rFonts w:hint="eastAsia" w:ascii="宋体" w:hAnsi="宋体" w:cs="宋体"/>
          <w:color w:val="auto"/>
          <w:szCs w:val="24"/>
        </w:rPr>
        <w:t>投标文件中价格全部采用人民币报价。报价应是唯一的, 采购代理机构将不接受有选择的报价。</w:t>
      </w:r>
    </w:p>
    <w:p w14:paraId="091B499E">
      <w:pPr>
        <w:pStyle w:val="12"/>
        <w:snapToGrid w:val="0"/>
        <w:ind w:firstLine="480" w:firstLineChars="200"/>
        <w:rPr>
          <w:rFonts w:hAnsi="宋体" w:cs="宋体"/>
          <w:color w:val="auto"/>
          <w:szCs w:val="24"/>
        </w:rPr>
      </w:pPr>
    </w:p>
    <w:p w14:paraId="623BA585">
      <w:pPr>
        <w:snapToGrid w:val="0"/>
        <w:spacing w:line="360" w:lineRule="auto"/>
        <w:jc w:val="center"/>
        <w:outlineLvl w:val="0"/>
        <w:rPr>
          <w:rFonts w:ascii="宋体" w:hAnsi="宋体" w:cs="宋体"/>
          <w:b/>
          <w:color w:val="auto"/>
          <w:sz w:val="32"/>
        </w:rPr>
      </w:pPr>
      <w:bookmarkStart w:id="37" w:name="_Hlt75236011"/>
      <w:bookmarkEnd w:id="37"/>
      <w:bookmarkStart w:id="38" w:name="_Toc91899884"/>
      <w:bookmarkStart w:id="39" w:name="_Toc31934"/>
      <w:r>
        <w:rPr>
          <w:rFonts w:hint="eastAsia" w:ascii="宋体" w:hAnsi="宋体" w:cs="宋体"/>
          <w:b/>
          <w:color w:val="auto"/>
          <w:sz w:val="32"/>
        </w:rPr>
        <w:t>三、投标文件的编制</w:t>
      </w:r>
      <w:bookmarkEnd w:id="38"/>
      <w:bookmarkEnd w:id="39"/>
    </w:p>
    <w:p w14:paraId="4206B7D4">
      <w:pPr>
        <w:pStyle w:val="15"/>
        <w:numPr>
          <w:ilvl w:val="0"/>
          <w:numId w:val="12"/>
        </w:numPr>
        <w:spacing w:line="360" w:lineRule="auto"/>
        <w:ind w:firstLine="482" w:firstLineChars="200"/>
        <w:rPr>
          <w:rFonts w:hAnsi="宋体" w:cs="宋体"/>
          <w:b/>
          <w:color w:val="auto"/>
          <w:sz w:val="24"/>
          <w:szCs w:val="24"/>
        </w:rPr>
      </w:pPr>
      <w:bookmarkStart w:id="40" w:name="_Toc86216991"/>
      <w:bookmarkStart w:id="41" w:name="_Toc91899892"/>
      <w:r>
        <w:rPr>
          <w:rFonts w:hint="eastAsia" w:hAnsi="宋体" w:cs="宋体"/>
          <w:b/>
          <w:color w:val="auto"/>
          <w:sz w:val="24"/>
          <w:szCs w:val="24"/>
        </w:rPr>
        <w:t>投标文件的语言</w:t>
      </w:r>
    </w:p>
    <w:p w14:paraId="3D1C8E3E">
      <w:pPr>
        <w:pStyle w:val="44"/>
        <w:tabs>
          <w:tab w:val="left" w:pos="0"/>
        </w:tabs>
        <w:spacing w:before="0"/>
        <w:ind w:firstLine="480"/>
        <w:rPr>
          <w:rFonts w:ascii="宋体" w:hAnsi="宋体" w:cs="宋体"/>
          <w:color w:val="auto"/>
          <w:szCs w:val="24"/>
          <w:lang w:val="zh-CN"/>
        </w:rPr>
      </w:pPr>
      <w:r>
        <w:rPr>
          <w:rFonts w:hint="eastAsia" w:ascii="宋体" w:hAnsi="宋体" w:cs="宋体"/>
          <w:color w:val="auto"/>
          <w:szCs w:val="24"/>
        </w:rPr>
        <w:t>投标文件及投标人与采购有关的来往通知、函件和文件均应使用中文。</w:t>
      </w:r>
    </w:p>
    <w:p w14:paraId="18A60C10">
      <w:pPr>
        <w:pStyle w:val="15"/>
        <w:numPr>
          <w:ilvl w:val="0"/>
          <w:numId w:val="12"/>
        </w:numPr>
        <w:spacing w:line="360" w:lineRule="auto"/>
        <w:ind w:firstLine="482" w:firstLineChars="200"/>
        <w:rPr>
          <w:rFonts w:hAnsi="宋体" w:cs="宋体"/>
          <w:b/>
          <w:color w:val="auto"/>
          <w:sz w:val="24"/>
          <w:szCs w:val="24"/>
        </w:rPr>
      </w:pPr>
      <w:r>
        <w:rPr>
          <w:rFonts w:hint="eastAsia" w:hAnsi="宋体" w:cs="宋体"/>
          <w:b/>
          <w:color w:val="auto"/>
          <w:sz w:val="24"/>
          <w:szCs w:val="24"/>
        </w:rPr>
        <w:t>投标文件的组成</w:t>
      </w:r>
    </w:p>
    <w:p w14:paraId="0EF6B4D9">
      <w:pPr>
        <w:pStyle w:val="44"/>
        <w:tabs>
          <w:tab w:val="left" w:pos="0"/>
        </w:tabs>
        <w:spacing w:before="0"/>
        <w:ind w:firstLine="480"/>
        <w:rPr>
          <w:rFonts w:ascii="宋体" w:hAnsi="宋体" w:cs="宋体"/>
          <w:color w:val="auto"/>
          <w:szCs w:val="24"/>
        </w:rPr>
      </w:pPr>
      <w:r>
        <w:rPr>
          <w:rFonts w:hint="eastAsia" w:ascii="宋体" w:hAnsi="宋体" w:cs="宋体"/>
          <w:color w:val="auto"/>
          <w:szCs w:val="24"/>
        </w:rPr>
        <w:t>投标文件应当包括以下主要内容：资格文件、商务技术文件、报价文件。</w:t>
      </w:r>
    </w:p>
    <w:p w14:paraId="760625BD">
      <w:pPr>
        <w:pStyle w:val="44"/>
        <w:numPr>
          <w:ilvl w:val="0"/>
          <w:numId w:val="20"/>
        </w:numPr>
        <w:spacing w:before="0"/>
        <w:ind w:firstLine="480"/>
        <w:rPr>
          <w:rFonts w:ascii="宋体" w:hAnsi="宋体" w:cs="宋体"/>
          <w:color w:val="auto"/>
          <w:szCs w:val="24"/>
        </w:rPr>
      </w:pPr>
      <w:r>
        <w:rPr>
          <w:rFonts w:hint="eastAsia" w:ascii="宋体" w:hAnsi="宋体" w:cs="宋体"/>
          <w:color w:val="auto"/>
          <w:szCs w:val="24"/>
        </w:rPr>
        <w:t>资格文件包括以下内容：</w:t>
      </w:r>
    </w:p>
    <w:p w14:paraId="66AD54B5">
      <w:pPr>
        <w:pStyle w:val="44"/>
        <w:numPr>
          <w:ilvl w:val="0"/>
          <w:numId w:val="21"/>
        </w:numPr>
        <w:spacing w:before="0"/>
        <w:ind w:firstLine="480"/>
        <w:rPr>
          <w:rFonts w:ascii="宋体" w:hAnsi="宋体" w:cs="宋体"/>
          <w:color w:val="auto"/>
          <w:szCs w:val="24"/>
        </w:rPr>
      </w:pPr>
      <w:r>
        <w:rPr>
          <w:rFonts w:hint="eastAsia" w:ascii="宋体" w:hAnsi="宋体" w:cs="宋体"/>
          <w:color w:val="auto"/>
          <w:szCs w:val="24"/>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180D5092">
      <w:pPr>
        <w:pStyle w:val="44"/>
        <w:numPr>
          <w:ilvl w:val="0"/>
          <w:numId w:val="21"/>
        </w:numPr>
        <w:spacing w:before="0"/>
        <w:ind w:firstLine="480"/>
        <w:rPr>
          <w:rFonts w:ascii="宋体" w:hAnsi="宋体" w:cs="宋体"/>
          <w:color w:val="auto"/>
          <w:szCs w:val="24"/>
        </w:rPr>
      </w:pPr>
      <w:r>
        <w:rPr>
          <w:rFonts w:hint="eastAsia" w:ascii="宋体" w:hAnsi="宋体" w:cs="宋体"/>
          <w:color w:val="auto"/>
          <w:szCs w:val="24"/>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4C977077">
      <w:pPr>
        <w:pStyle w:val="44"/>
        <w:spacing w:before="0"/>
        <w:ind w:firstLine="480"/>
        <w:rPr>
          <w:rFonts w:ascii="宋体" w:hAnsi="宋体" w:cs="宋体"/>
          <w:color w:val="auto"/>
          <w:szCs w:val="24"/>
        </w:rPr>
      </w:pPr>
      <w:r>
        <w:rPr>
          <w:rFonts w:hint="eastAsia" w:ascii="宋体" w:hAnsi="宋体" w:cs="宋体"/>
          <w:color w:val="auto"/>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279ACA39">
      <w:pPr>
        <w:pStyle w:val="44"/>
        <w:numPr>
          <w:ilvl w:val="0"/>
          <w:numId w:val="21"/>
        </w:numPr>
        <w:spacing w:before="0"/>
        <w:ind w:firstLine="480"/>
        <w:rPr>
          <w:rFonts w:ascii="宋体" w:hAnsi="宋体" w:cs="宋体"/>
          <w:color w:val="auto"/>
          <w:szCs w:val="24"/>
        </w:rPr>
      </w:pPr>
      <w:r>
        <w:rPr>
          <w:rFonts w:hint="eastAsia" w:ascii="宋体" w:hAnsi="宋体" w:cs="宋体"/>
          <w:color w:val="auto"/>
          <w:szCs w:val="24"/>
        </w:rPr>
        <w:t>具有履行合同所必需的产品和专业技术能力的承诺函；</w:t>
      </w:r>
    </w:p>
    <w:p w14:paraId="5A5FD2D2">
      <w:pPr>
        <w:pStyle w:val="44"/>
        <w:numPr>
          <w:ilvl w:val="0"/>
          <w:numId w:val="21"/>
        </w:numPr>
        <w:spacing w:before="0"/>
        <w:ind w:firstLine="480"/>
        <w:rPr>
          <w:rFonts w:ascii="宋体" w:hAnsi="宋体" w:cs="宋体"/>
          <w:color w:val="auto"/>
          <w:szCs w:val="24"/>
        </w:rPr>
      </w:pPr>
      <w:r>
        <w:rPr>
          <w:rFonts w:hint="eastAsia" w:ascii="宋体" w:hAnsi="宋体" w:cs="宋体"/>
          <w:color w:val="auto"/>
          <w:szCs w:val="24"/>
        </w:rPr>
        <w:t>投标</w:t>
      </w:r>
      <w:r>
        <w:rPr>
          <w:rFonts w:hint="eastAsia" w:ascii="宋体" w:hAnsi="宋体" w:cs="宋体"/>
          <w:color w:val="auto"/>
          <w:szCs w:val="24"/>
          <w:lang w:val="en-US" w:eastAsia="zh-CN"/>
        </w:rPr>
        <w:t>承诺函</w:t>
      </w:r>
      <w:r>
        <w:rPr>
          <w:rFonts w:hint="eastAsia" w:ascii="宋体" w:hAnsi="宋体" w:cs="宋体"/>
          <w:color w:val="auto"/>
          <w:szCs w:val="24"/>
        </w:rPr>
        <w:t>（格式见附件）</w:t>
      </w:r>
    </w:p>
    <w:p w14:paraId="598015C8">
      <w:pPr>
        <w:pStyle w:val="44"/>
        <w:numPr>
          <w:ilvl w:val="0"/>
          <w:numId w:val="20"/>
        </w:numPr>
        <w:spacing w:before="0"/>
        <w:ind w:firstLine="480"/>
        <w:rPr>
          <w:rFonts w:ascii="宋体" w:hAnsi="宋体" w:cs="宋体"/>
          <w:color w:val="auto"/>
          <w:szCs w:val="24"/>
        </w:rPr>
      </w:pPr>
      <w:r>
        <w:rPr>
          <w:rFonts w:hint="eastAsia" w:ascii="宋体" w:hAnsi="宋体" w:cs="宋体"/>
          <w:color w:val="auto"/>
          <w:szCs w:val="24"/>
        </w:rPr>
        <w:t>商务技术文件，本次招标需要投标人提供以下项所列的技术文件：</w:t>
      </w:r>
    </w:p>
    <w:p w14:paraId="231D54A1">
      <w:pPr>
        <w:pStyle w:val="44"/>
        <w:numPr>
          <w:ilvl w:val="0"/>
          <w:numId w:val="22"/>
        </w:numPr>
        <w:tabs>
          <w:tab w:val="left" w:pos="0"/>
        </w:tabs>
        <w:spacing w:before="0"/>
        <w:ind w:left="0" w:leftChars="0" w:firstLine="480" w:firstLineChars="200"/>
        <w:rPr>
          <w:rFonts w:hint="eastAsia" w:ascii="宋体" w:hAnsi="宋体" w:cs="宋体"/>
          <w:color w:val="auto"/>
          <w:szCs w:val="24"/>
          <w:highlight w:val="none"/>
        </w:rPr>
      </w:pPr>
      <w:r>
        <w:rPr>
          <w:rFonts w:hint="eastAsia" w:ascii="宋体" w:hAnsi="宋体" w:cs="宋体"/>
          <w:color w:val="auto"/>
          <w:szCs w:val="24"/>
          <w:highlight w:val="none"/>
        </w:rPr>
        <w:t>评分对应表（格式见附件，主要用于评委对应评分内容）</w:t>
      </w:r>
    </w:p>
    <w:p w14:paraId="7A040AA6">
      <w:pPr>
        <w:pStyle w:val="44"/>
        <w:numPr>
          <w:ilvl w:val="0"/>
          <w:numId w:val="22"/>
        </w:numPr>
        <w:tabs>
          <w:tab w:val="left" w:pos="0"/>
        </w:tabs>
        <w:spacing w:before="0"/>
        <w:ind w:left="0" w:leftChars="0" w:firstLine="480" w:firstLineChars="200"/>
        <w:rPr>
          <w:rFonts w:hint="eastAsia" w:ascii="宋体" w:hAnsi="宋体" w:cs="宋体"/>
          <w:color w:val="auto"/>
          <w:szCs w:val="24"/>
          <w:highlight w:val="none"/>
        </w:rPr>
      </w:pPr>
      <w:r>
        <w:rPr>
          <w:rFonts w:hint="eastAsia" w:ascii="宋体" w:hAnsi="宋体" w:cs="宋体"/>
          <w:color w:val="auto"/>
          <w:szCs w:val="24"/>
          <w:highlight w:val="none"/>
        </w:rPr>
        <w:t>供应商商务技术文件中资信分自评表（格式见附件）；</w:t>
      </w:r>
    </w:p>
    <w:p w14:paraId="499FE279">
      <w:pPr>
        <w:pStyle w:val="44"/>
        <w:numPr>
          <w:ilvl w:val="0"/>
          <w:numId w:val="22"/>
        </w:numPr>
        <w:tabs>
          <w:tab w:val="left" w:pos="0"/>
        </w:tabs>
        <w:spacing w:before="0"/>
        <w:ind w:left="0" w:leftChars="0" w:firstLine="480" w:firstLineChars="200"/>
        <w:rPr>
          <w:rFonts w:hint="eastAsia" w:ascii="宋体" w:hAnsi="宋体" w:cs="宋体"/>
          <w:color w:val="auto"/>
          <w:szCs w:val="24"/>
          <w:highlight w:val="none"/>
        </w:rPr>
      </w:pPr>
      <w:r>
        <w:rPr>
          <w:rFonts w:hint="eastAsia" w:ascii="宋体" w:hAnsi="宋体" w:cs="宋体"/>
          <w:color w:val="auto"/>
          <w:szCs w:val="24"/>
          <w:highlight w:val="none"/>
        </w:rPr>
        <w:t>项目明细清单（格式见附件）；</w:t>
      </w:r>
    </w:p>
    <w:p w14:paraId="43FB8F38">
      <w:pPr>
        <w:pStyle w:val="44"/>
        <w:numPr>
          <w:ilvl w:val="0"/>
          <w:numId w:val="22"/>
        </w:numPr>
        <w:tabs>
          <w:tab w:val="left" w:pos="0"/>
        </w:tabs>
        <w:spacing w:before="0"/>
        <w:ind w:left="0" w:leftChars="0" w:firstLine="480" w:firstLineChars="200"/>
        <w:rPr>
          <w:rFonts w:hint="eastAsia" w:ascii="宋体" w:hAnsi="宋体" w:cs="宋体"/>
          <w:color w:val="auto"/>
          <w:szCs w:val="24"/>
          <w:highlight w:val="none"/>
        </w:rPr>
      </w:pPr>
      <w:r>
        <w:rPr>
          <w:rFonts w:hint="eastAsia" w:ascii="宋体" w:hAnsi="宋体" w:cs="宋体"/>
          <w:color w:val="auto"/>
          <w:szCs w:val="24"/>
          <w:highlight w:val="none"/>
        </w:rPr>
        <w:t>商务响应表（格式见附件）；</w:t>
      </w:r>
    </w:p>
    <w:p w14:paraId="1D4BE067">
      <w:pPr>
        <w:pStyle w:val="44"/>
        <w:numPr>
          <w:ilvl w:val="0"/>
          <w:numId w:val="22"/>
        </w:numPr>
        <w:tabs>
          <w:tab w:val="left" w:pos="0"/>
        </w:tabs>
        <w:spacing w:before="0"/>
        <w:ind w:left="0" w:leftChars="0" w:firstLine="480" w:firstLineChars="200"/>
        <w:rPr>
          <w:rFonts w:hint="eastAsia" w:ascii="宋体" w:hAnsi="宋体" w:cs="宋体"/>
          <w:color w:val="auto"/>
          <w:szCs w:val="24"/>
          <w:highlight w:val="none"/>
        </w:rPr>
      </w:pPr>
      <w:r>
        <w:rPr>
          <w:rFonts w:hint="eastAsia" w:cs="宋体"/>
          <w:color w:val="auto"/>
          <w:szCs w:val="24"/>
          <w:highlight w:val="none"/>
          <w:lang w:eastAsia="zh-CN"/>
        </w:rPr>
        <w:t>样品；</w:t>
      </w:r>
    </w:p>
    <w:p w14:paraId="496FA6FE">
      <w:pPr>
        <w:pStyle w:val="44"/>
        <w:numPr>
          <w:ilvl w:val="0"/>
          <w:numId w:val="22"/>
        </w:numPr>
        <w:tabs>
          <w:tab w:val="left" w:pos="0"/>
        </w:tabs>
        <w:spacing w:before="0"/>
        <w:ind w:left="0" w:leftChars="0" w:firstLine="480" w:firstLineChars="20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项目实施方案</w:t>
      </w:r>
      <w:r>
        <w:rPr>
          <w:rFonts w:hint="eastAsia" w:cs="宋体"/>
          <w:b w:val="0"/>
          <w:bCs w:val="0"/>
          <w:i w:val="0"/>
          <w:iCs w:val="0"/>
          <w:color w:val="000000"/>
          <w:kern w:val="0"/>
          <w:sz w:val="24"/>
          <w:szCs w:val="24"/>
          <w:u w:val="none"/>
          <w:lang w:val="en-US" w:eastAsia="zh-CN" w:bidi="ar"/>
        </w:rPr>
        <w:t>；</w:t>
      </w:r>
    </w:p>
    <w:p w14:paraId="44548ABF">
      <w:pPr>
        <w:pStyle w:val="44"/>
        <w:numPr>
          <w:ilvl w:val="0"/>
          <w:numId w:val="22"/>
        </w:numPr>
        <w:tabs>
          <w:tab w:val="left" w:pos="0"/>
        </w:tabs>
        <w:spacing w:before="0"/>
        <w:ind w:left="0" w:leftChars="0" w:firstLine="480" w:firstLineChars="20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供货方案</w:t>
      </w:r>
      <w:r>
        <w:rPr>
          <w:rFonts w:hint="eastAsia" w:cs="宋体"/>
          <w:b w:val="0"/>
          <w:bCs w:val="0"/>
          <w:i w:val="0"/>
          <w:iCs w:val="0"/>
          <w:color w:val="000000"/>
          <w:kern w:val="0"/>
          <w:sz w:val="24"/>
          <w:szCs w:val="24"/>
          <w:u w:val="none"/>
          <w:lang w:val="en-US" w:eastAsia="zh-CN" w:bidi="ar"/>
        </w:rPr>
        <w:t>；</w:t>
      </w:r>
    </w:p>
    <w:p w14:paraId="77F43E8F">
      <w:pPr>
        <w:pStyle w:val="44"/>
        <w:numPr>
          <w:ilvl w:val="0"/>
          <w:numId w:val="22"/>
        </w:numPr>
        <w:tabs>
          <w:tab w:val="left" w:pos="0"/>
        </w:tabs>
        <w:spacing w:before="0"/>
        <w:ind w:left="0" w:leftChars="0" w:firstLine="480" w:firstLineChars="20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施工及服务质量的保证</w:t>
      </w:r>
      <w:r>
        <w:rPr>
          <w:rFonts w:hint="eastAsia" w:cs="宋体"/>
          <w:b w:val="0"/>
          <w:bCs w:val="0"/>
          <w:i w:val="0"/>
          <w:iCs w:val="0"/>
          <w:color w:val="000000"/>
          <w:kern w:val="0"/>
          <w:sz w:val="24"/>
          <w:szCs w:val="24"/>
          <w:u w:val="none"/>
          <w:lang w:val="en-US" w:eastAsia="zh-CN" w:bidi="ar"/>
        </w:rPr>
        <w:t>；</w:t>
      </w:r>
    </w:p>
    <w:p w14:paraId="6EB7AF95">
      <w:pPr>
        <w:pStyle w:val="44"/>
        <w:numPr>
          <w:ilvl w:val="0"/>
          <w:numId w:val="22"/>
        </w:numPr>
        <w:tabs>
          <w:tab w:val="left" w:pos="0"/>
        </w:tabs>
        <w:spacing w:before="0"/>
        <w:ind w:left="0" w:leftChars="0" w:firstLine="480" w:firstLineChars="20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售后服务方案</w:t>
      </w:r>
      <w:r>
        <w:rPr>
          <w:rFonts w:hint="eastAsia" w:cs="宋体"/>
          <w:b w:val="0"/>
          <w:bCs w:val="0"/>
          <w:i w:val="0"/>
          <w:iCs w:val="0"/>
          <w:color w:val="000000"/>
          <w:kern w:val="0"/>
          <w:sz w:val="24"/>
          <w:szCs w:val="24"/>
          <w:u w:val="none"/>
          <w:lang w:val="en-US" w:eastAsia="zh-CN" w:bidi="ar"/>
        </w:rPr>
        <w:t>；</w:t>
      </w:r>
    </w:p>
    <w:p w14:paraId="68F1C31D">
      <w:pPr>
        <w:pStyle w:val="44"/>
        <w:numPr>
          <w:ilvl w:val="0"/>
          <w:numId w:val="22"/>
        </w:numPr>
        <w:tabs>
          <w:tab w:val="left" w:pos="0"/>
        </w:tabs>
        <w:spacing w:before="0"/>
        <w:ind w:left="0" w:leftChars="0" w:firstLine="480" w:firstLineChars="200"/>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合理化建议；</w:t>
      </w:r>
    </w:p>
    <w:p w14:paraId="24EEEE83">
      <w:pPr>
        <w:pStyle w:val="44"/>
        <w:numPr>
          <w:ilvl w:val="0"/>
          <w:numId w:val="22"/>
        </w:numPr>
        <w:tabs>
          <w:tab w:val="left" w:pos="0"/>
        </w:tabs>
        <w:spacing w:before="0"/>
        <w:ind w:left="0" w:leftChars="0" w:firstLine="480" w:firstLineChars="200"/>
        <w:rPr>
          <w:rFonts w:hint="eastAsia" w:ascii="宋体" w:hAnsi="宋体" w:eastAsia="宋体" w:cs="宋体"/>
          <w:color w:val="auto"/>
          <w:szCs w:val="24"/>
          <w:highlight w:val="none"/>
        </w:rPr>
      </w:pPr>
      <w:r>
        <w:rPr>
          <w:rFonts w:hint="eastAsia" w:ascii="宋体" w:hAnsi="宋体" w:eastAsia="宋体" w:cs="宋体"/>
          <w:b w:val="0"/>
          <w:bCs w:val="0"/>
          <w:i w:val="0"/>
          <w:iCs w:val="0"/>
          <w:color w:val="000000"/>
          <w:kern w:val="0"/>
          <w:sz w:val="24"/>
          <w:szCs w:val="24"/>
          <w:u w:val="none"/>
          <w:lang w:val="en-US" w:eastAsia="zh-CN" w:bidi="ar"/>
        </w:rPr>
        <w:t>证书</w:t>
      </w:r>
      <w:r>
        <w:rPr>
          <w:rFonts w:hint="eastAsia" w:ascii="宋体" w:hAnsi="宋体" w:eastAsia="宋体" w:cs="宋体"/>
          <w:color w:val="auto"/>
          <w:szCs w:val="24"/>
          <w:highlight w:val="none"/>
        </w:rPr>
        <w:t>技术标评分标准中要求的相关文件资料 。</w:t>
      </w:r>
    </w:p>
    <w:p w14:paraId="4B8A1EC1">
      <w:pPr>
        <w:pStyle w:val="44"/>
        <w:tabs>
          <w:tab w:val="left" w:pos="0"/>
        </w:tabs>
        <w:spacing w:before="0"/>
        <w:ind w:firstLine="480"/>
        <w:rPr>
          <w:rFonts w:ascii="宋体" w:hAnsi="宋体" w:cs="宋体"/>
          <w:color w:val="auto"/>
          <w:szCs w:val="24"/>
        </w:rPr>
      </w:pPr>
      <w:r>
        <w:rPr>
          <w:rFonts w:hint="eastAsia" w:ascii="宋体" w:hAnsi="宋体" w:cs="宋体"/>
          <w:color w:val="auto"/>
          <w:szCs w:val="24"/>
        </w:rPr>
        <w:t>注：以上内容应与评标办法中内容具有一致性。</w:t>
      </w:r>
    </w:p>
    <w:p w14:paraId="2A2264D6">
      <w:pPr>
        <w:pStyle w:val="44"/>
        <w:tabs>
          <w:tab w:val="left" w:pos="0"/>
        </w:tabs>
        <w:spacing w:before="0"/>
        <w:ind w:firstLine="480"/>
        <w:rPr>
          <w:rFonts w:ascii="宋体" w:hAnsi="宋体" w:cs="宋体"/>
          <w:color w:val="auto"/>
          <w:szCs w:val="24"/>
        </w:rPr>
      </w:pPr>
      <w:r>
        <w:rPr>
          <w:rFonts w:hint="eastAsia" w:ascii="宋体" w:hAnsi="宋体" w:cs="宋体"/>
          <w:color w:val="auto"/>
          <w:szCs w:val="24"/>
        </w:rPr>
        <w:t>如果本项目涉及软件采购，还需提供相关完整配置方案（软件名称、品牌、规格型号、数量、主要技术参数等），提供主要投标产品的技术参数证明材料（如官网截图、产品彩页、技术说明等），明确表示该项指标所涉及的软件是标准配置还是选择配置。</w:t>
      </w:r>
    </w:p>
    <w:p w14:paraId="2E6104E5">
      <w:pPr>
        <w:pStyle w:val="44"/>
        <w:tabs>
          <w:tab w:val="left" w:pos="0"/>
        </w:tabs>
        <w:spacing w:before="0"/>
        <w:ind w:firstLine="480"/>
        <w:rPr>
          <w:rFonts w:ascii="宋体" w:hAnsi="宋体" w:cs="宋体"/>
          <w:color w:val="auto"/>
          <w:szCs w:val="24"/>
        </w:rPr>
      </w:pPr>
      <w:r>
        <w:rPr>
          <w:rFonts w:hint="eastAsia" w:ascii="宋体" w:hAnsi="宋体" w:cs="宋体"/>
          <w:color w:val="auto"/>
          <w:szCs w:val="24"/>
        </w:rPr>
        <w:t>投标人在投标文件中应对项目技术规范和服务要求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投标。</w:t>
      </w:r>
      <w:r>
        <w:rPr>
          <w:rFonts w:hint="eastAsia" w:ascii="宋体" w:hAnsi="宋体" w:cs="宋体"/>
          <w:b/>
          <w:bCs/>
          <w:color w:val="auto"/>
          <w:szCs w:val="24"/>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3EEB091E">
      <w:pPr>
        <w:pStyle w:val="44"/>
        <w:numPr>
          <w:ilvl w:val="0"/>
          <w:numId w:val="20"/>
        </w:numPr>
        <w:spacing w:before="0"/>
        <w:ind w:firstLine="480"/>
        <w:rPr>
          <w:rFonts w:ascii="宋体" w:hAnsi="宋体" w:cs="宋体"/>
          <w:color w:val="auto"/>
          <w:szCs w:val="24"/>
        </w:rPr>
      </w:pPr>
      <w:r>
        <w:rPr>
          <w:rFonts w:hint="eastAsia" w:ascii="宋体" w:hAnsi="宋体" w:cs="宋体"/>
          <w:color w:val="auto"/>
          <w:szCs w:val="24"/>
        </w:rPr>
        <w:t>报价文件包括以下内容：</w:t>
      </w:r>
    </w:p>
    <w:p w14:paraId="16FB72FC">
      <w:pPr>
        <w:pStyle w:val="44"/>
        <w:numPr>
          <w:ilvl w:val="0"/>
          <w:numId w:val="23"/>
        </w:numPr>
        <w:spacing w:before="0"/>
        <w:ind w:firstLine="480"/>
        <w:rPr>
          <w:rFonts w:ascii="宋体" w:hAnsi="宋体" w:cs="宋体"/>
          <w:color w:val="auto"/>
          <w:szCs w:val="24"/>
        </w:rPr>
      </w:pPr>
      <w:r>
        <w:rPr>
          <w:rFonts w:hint="eastAsia" w:ascii="宋体" w:hAnsi="宋体" w:cs="宋体"/>
          <w:color w:val="auto"/>
          <w:szCs w:val="24"/>
        </w:rPr>
        <w:t>投标函（格式见附件）；</w:t>
      </w:r>
    </w:p>
    <w:p w14:paraId="2608FB07">
      <w:pPr>
        <w:pStyle w:val="44"/>
        <w:numPr>
          <w:ilvl w:val="0"/>
          <w:numId w:val="23"/>
        </w:numPr>
        <w:spacing w:before="0"/>
        <w:ind w:firstLine="480"/>
        <w:rPr>
          <w:rFonts w:ascii="宋体" w:hAnsi="宋体" w:cs="宋体"/>
          <w:color w:val="auto"/>
          <w:szCs w:val="24"/>
        </w:rPr>
      </w:pPr>
      <w:r>
        <w:rPr>
          <w:rFonts w:hint="eastAsia" w:ascii="宋体" w:hAnsi="宋体" w:cs="宋体"/>
          <w:color w:val="auto"/>
          <w:szCs w:val="24"/>
        </w:rPr>
        <w:t>开标一览表（格式见附件）；</w:t>
      </w:r>
    </w:p>
    <w:p w14:paraId="560A5688">
      <w:pPr>
        <w:pStyle w:val="44"/>
        <w:numPr>
          <w:ilvl w:val="0"/>
          <w:numId w:val="23"/>
        </w:numPr>
        <w:spacing w:before="0"/>
        <w:ind w:firstLine="480"/>
        <w:rPr>
          <w:rFonts w:ascii="宋体" w:hAnsi="宋体" w:cs="宋体"/>
          <w:color w:val="auto"/>
          <w:szCs w:val="24"/>
        </w:rPr>
      </w:pPr>
      <w:r>
        <w:rPr>
          <w:rFonts w:hint="eastAsia" w:ascii="宋体" w:hAnsi="宋体" w:cs="宋体"/>
          <w:color w:val="auto"/>
          <w:szCs w:val="24"/>
        </w:rPr>
        <w:t>投标报价明细表（格式见附件）；</w:t>
      </w:r>
    </w:p>
    <w:p w14:paraId="27CDDBF5">
      <w:pPr>
        <w:pStyle w:val="15"/>
        <w:numPr>
          <w:ilvl w:val="0"/>
          <w:numId w:val="12"/>
        </w:numPr>
        <w:spacing w:line="360" w:lineRule="auto"/>
        <w:ind w:firstLine="482" w:firstLineChars="200"/>
        <w:rPr>
          <w:rFonts w:hAnsi="宋体" w:cs="宋体"/>
          <w:b/>
          <w:color w:val="auto"/>
          <w:sz w:val="24"/>
          <w:szCs w:val="24"/>
        </w:rPr>
      </w:pPr>
      <w:bookmarkStart w:id="42" w:name="_Toc91899887"/>
      <w:r>
        <w:rPr>
          <w:rFonts w:hint="eastAsia" w:hAnsi="宋体" w:cs="宋体"/>
          <w:b/>
          <w:color w:val="auto"/>
          <w:sz w:val="24"/>
          <w:szCs w:val="24"/>
        </w:rPr>
        <w:t>投标有效期</w:t>
      </w:r>
    </w:p>
    <w:p w14:paraId="5D51DE16">
      <w:pPr>
        <w:pStyle w:val="44"/>
        <w:numPr>
          <w:ilvl w:val="0"/>
          <w:numId w:val="24"/>
        </w:numPr>
        <w:spacing w:before="0"/>
        <w:ind w:firstLine="480"/>
        <w:rPr>
          <w:rFonts w:ascii="宋体" w:hAnsi="宋体" w:cs="宋体"/>
          <w:color w:val="auto"/>
          <w:szCs w:val="24"/>
        </w:rPr>
      </w:pPr>
      <w:r>
        <w:rPr>
          <w:rFonts w:hint="eastAsia" w:ascii="宋体" w:hAnsi="宋体" w:cs="宋体"/>
          <w:color w:val="auto"/>
        </w:rPr>
        <w:t>投标文件未在投标截止时间前完成传输的或者未按时解密的，视为放弃投标；投标文件解密失败后未提供备份文件或者备份文件也出现异常情况无法进行评审的，亦视为放弃投标。</w:t>
      </w:r>
    </w:p>
    <w:p w14:paraId="291A4B40">
      <w:pPr>
        <w:pStyle w:val="44"/>
        <w:numPr>
          <w:ilvl w:val="0"/>
          <w:numId w:val="24"/>
        </w:numPr>
        <w:spacing w:before="0"/>
        <w:ind w:firstLine="480"/>
        <w:rPr>
          <w:rFonts w:ascii="宋体" w:hAnsi="宋体" w:cs="宋体"/>
          <w:color w:val="auto"/>
          <w:szCs w:val="24"/>
        </w:rPr>
      </w:pPr>
      <w:r>
        <w:rPr>
          <w:rFonts w:hint="eastAsia" w:ascii="宋体" w:hAnsi="宋体" w:cs="宋体"/>
          <w:color w:val="auto"/>
          <w:szCs w:val="24"/>
        </w:rPr>
        <w:t>投标文件上传后，自投标截止日期起，在前附表所列的投标有效期内有效。</w:t>
      </w:r>
    </w:p>
    <w:p w14:paraId="17E0C93C">
      <w:pPr>
        <w:pStyle w:val="44"/>
        <w:numPr>
          <w:ilvl w:val="0"/>
          <w:numId w:val="24"/>
        </w:numPr>
        <w:spacing w:before="0"/>
        <w:ind w:firstLine="480"/>
        <w:rPr>
          <w:rFonts w:ascii="宋体" w:hAnsi="宋体" w:cs="宋体"/>
          <w:color w:val="auto"/>
          <w:szCs w:val="24"/>
        </w:rPr>
      </w:pPr>
      <w:r>
        <w:rPr>
          <w:rFonts w:hint="eastAsia" w:ascii="宋体" w:hAnsi="宋体" w:cs="宋体"/>
          <w:color w:val="auto"/>
          <w:szCs w:val="24"/>
        </w:rPr>
        <w:t>在原定投标有效期满之前，如果出现特殊情况，采购代理机构可以以书面形式通知投标人延长投标有效期。</w:t>
      </w:r>
    </w:p>
    <w:p w14:paraId="09D93630">
      <w:pPr>
        <w:pStyle w:val="15"/>
        <w:numPr>
          <w:ilvl w:val="0"/>
          <w:numId w:val="12"/>
        </w:numPr>
        <w:spacing w:line="360" w:lineRule="auto"/>
        <w:ind w:firstLine="482" w:firstLineChars="200"/>
        <w:rPr>
          <w:rFonts w:hAnsi="宋体" w:cs="宋体"/>
          <w:b/>
          <w:color w:val="auto"/>
          <w:sz w:val="24"/>
          <w:szCs w:val="24"/>
        </w:rPr>
      </w:pPr>
      <w:r>
        <w:rPr>
          <w:rFonts w:hint="eastAsia" w:hAnsi="宋体" w:cs="宋体"/>
          <w:b/>
          <w:color w:val="auto"/>
          <w:sz w:val="24"/>
          <w:szCs w:val="24"/>
        </w:rPr>
        <w:t>投标人如有下列情况之一者列入不良行为记录：</w:t>
      </w:r>
    </w:p>
    <w:p w14:paraId="0B7316EE">
      <w:pPr>
        <w:pStyle w:val="44"/>
        <w:numPr>
          <w:ilvl w:val="0"/>
          <w:numId w:val="25"/>
        </w:numPr>
        <w:spacing w:before="0"/>
        <w:ind w:firstLine="480"/>
        <w:rPr>
          <w:rFonts w:ascii="宋体" w:hAnsi="宋体" w:cs="宋体"/>
          <w:color w:val="auto"/>
          <w:szCs w:val="24"/>
        </w:rPr>
      </w:pPr>
      <w:r>
        <w:rPr>
          <w:rFonts w:hint="eastAsia" w:ascii="宋体" w:hAnsi="宋体" w:cs="宋体"/>
          <w:color w:val="auto"/>
          <w:szCs w:val="24"/>
        </w:rPr>
        <w:t>投标人在投标有效期内撤回投标的；</w:t>
      </w:r>
    </w:p>
    <w:p w14:paraId="67849E04">
      <w:pPr>
        <w:pStyle w:val="44"/>
        <w:numPr>
          <w:ilvl w:val="0"/>
          <w:numId w:val="25"/>
        </w:numPr>
        <w:spacing w:before="0"/>
        <w:ind w:firstLine="480"/>
        <w:rPr>
          <w:rFonts w:ascii="宋体" w:hAnsi="宋体" w:cs="宋体"/>
          <w:color w:val="auto"/>
          <w:szCs w:val="24"/>
        </w:rPr>
      </w:pPr>
      <w:r>
        <w:rPr>
          <w:rFonts w:hint="eastAsia" w:ascii="宋体" w:hAnsi="宋体" w:cs="宋体"/>
          <w:color w:val="auto"/>
          <w:szCs w:val="24"/>
        </w:rPr>
        <w:t>中标人或中标候选人放弃中标或中标候选人资格的；</w:t>
      </w:r>
    </w:p>
    <w:p w14:paraId="4495E23B">
      <w:pPr>
        <w:pStyle w:val="44"/>
        <w:numPr>
          <w:ilvl w:val="0"/>
          <w:numId w:val="25"/>
        </w:numPr>
        <w:spacing w:before="0"/>
        <w:ind w:firstLine="480"/>
        <w:rPr>
          <w:rFonts w:ascii="宋体" w:hAnsi="宋体" w:cs="宋体"/>
          <w:color w:val="auto"/>
          <w:szCs w:val="24"/>
        </w:rPr>
      </w:pPr>
      <w:r>
        <w:rPr>
          <w:rFonts w:hint="eastAsia" w:ascii="宋体" w:hAnsi="宋体" w:cs="宋体"/>
          <w:color w:val="auto"/>
          <w:szCs w:val="24"/>
        </w:rPr>
        <w:t>擅自修改或拒绝接受已经确认的条款；</w:t>
      </w:r>
    </w:p>
    <w:p w14:paraId="2C3A8A4B">
      <w:pPr>
        <w:pStyle w:val="44"/>
        <w:numPr>
          <w:ilvl w:val="0"/>
          <w:numId w:val="25"/>
        </w:numPr>
        <w:spacing w:before="0"/>
        <w:ind w:firstLine="480"/>
        <w:rPr>
          <w:rFonts w:ascii="宋体" w:hAnsi="宋体" w:cs="宋体"/>
          <w:color w:val="auto"/>
          <w:szCs w:val="24"/>
        </w:rPr>
      </w:pPr>
      <w:r>
        <w:rPr>
          <w:rFonts w:hint="eastAsia" w:ascii="宋体" w:hAnsi="宋体" w:cs="宋体"/>
          <w:color w:val="auto"/>
          <w:szCs w:val="24"/>
        </w:rPr>
        <w:t>中标人未按规定与采购人签订合同；</w:t>
      </w:r>
    </w:p>
    <w:p w14:paraId="5155155C">
      <w:pPr>
        <w:pStyle w:val="44"/>
        <w:numPr>
          <w:ilvl w:val="0"/>
          <w:numId w:val="25"/>
        </w:numPr>
        <w:spacing w:before="0"/>
        <w:ind w:firstLine="480"/>
        <w:rPr>
          <w:rFonts w:ascii="宋体" w:hAnsi="宋体" w:cs="宋体"/>
          <w:color w:val="auto"/>
          <w:szCs w:val="24"/>
        </w:rPr>
      </w:pPr>
      <w:r>
        <w:rPr>
          <w:rFonts w:hint="eastAsia" w:ascii="宋体" w:hAnsi="宋体" w:cs="宋体"/>
          <w:color w:val="auto"/>
          <w:szCs w:val="24"/>
        </w:rPr>
        <w:t>未按规定提供履约保证金；</w:t>
      </w:r>
    </w:p>
    <w:p w14:paraId="61F7291E">
      <w:pPr>
        <w:pStyle w:val="44"/>
        <w:numPr>
          <w:ilvl w:val="0"/>
          <w:numId w:val="25"/>
        </w:numPr>
        <w:spacing w:before="0"/>
        <w:ind w:firstLine="480"/>
        <w:rPr>
          <w:rFonts w:ascii="宋体" w:hAnsi="宋体" w:cs="宋体"/>
          <w:color w:val="auto"/>
          <w:szCs w:val="24"/>
        </w:rPr>
      </w:pPr>
      <w:r>
        <w:rPr>
          <w:rFonts w:hint="eastAsia" w:ascii="宋体" w:hAnsi="宋体" w:cs="宋体"/>
          <w:color w:val="auto"/>
          <w:szCs w:val="24"/>
        </w:rPr>
        <w:t>投标人采取提供虚假资料等不正当手段的；</w:t>
      </w:r>
    </w:p>
    <w:p w14:paraId="57FD9AA8">
      <w:pPr>
        <w:pStyle w:val="44"/>
        <w:numPr>
          <w:ilvl w:val="0"/>
          <w:numId w:val="25"/>
        </w:numPr>
        <w:spacing w:before="0"/>
        <w:ind w:firstLine="480"/>
        <w:rPr>
          <w:rFonts w:ascii="宋体" w:hAnsi="宋体" w:cs="宋体"/>
          <w:color w:val="auto"/>
          <w:szCs w:val="24"/>
        </w:rPr>
      </w:pPr>
      <w:r>
        <w:rPr>
          <w:rFonts w:hint="eastAsia" w:ascii="宋体" w:hAnsi="宋体" w:cs="宋体"/>
          <w:color w:val="auto"/>
          <w:szCs w:val="24"/>
        </w:rPr>
        <w:t>投标人在投标过程中串通投标的。</w:t>
      </w:r>
    </w:p>
    <w:p w14:paraId="299C0BEB">
      <w:pPr>
        <w:pStyle w:val="15"/>
        <w:numPr>
          <w:ilvl w:val="0"/>
          <w:numId w:val="12"/>
        </w:numPr>
        <w:spacing w:line="360" w:lineRule="auto"/>
        <w:ind w:firstLine="482" w:firstLineChars="200"/>
        <w:rPr>
          <w:rFonts w:hAnsi="宋体" w:cs="宋体"/>
          <w:b/>
          <w:color w:val="auto"/>
          <w:sz w:val="24"/>
          <w:szCs w:val="24"/>
        </w:rPr>
      </w:pPr>
      <w:r>
        <w:rPr>
          <w:rFonts w:hint="eastAsia" w:hAnsi="宋体" w:cs="宋体"/>
          <w:b/>
          <w:color w:val="auto"/>
          <w:sz w:val="24"/>
          <w:szCs w:val="24"/>
        </w:rPr>
        <w:t>投标文件的编制和签署</w:t>
      </w:r>
    </w:p>
    <w:bookmarkEnd w:id="42"/>
    <w:p w14:paraId="3E451EF1">
      <w:pPr>
        <w:pStyle w:val="44"/>
        <w:numPr>
          <w:ilvl w:val="0"/>
          <w:numId w:val="26"/>
        </w:numPr>
        <w:spacing w:before="0"/>
        <w:ind w:firstLine="480"/>
        <w:rPr>
          <w:rFonts w:ascii="宋体" w:hAnsi="宋体" w:cs="宋体"/>
          <w:color w:val="auto"/>
          <w:szCs w:val="24"/>
        </w:rPr>
      </w:pPr>
      <w:r>
        <w:rPr>
          <w:rFonts w:hint="eastAsia" w:ascii="宋体" w:hAnsi="宋体" w:cs="宋体"/>
          <w:color w:val="auto"/>
        </w:rPr>
        <w:t>按招标文件9.1条、9.2条、9.3条要求提供的各种文件，投标文件分为资格文件、商务技术文件和报价文件三部分。</w:t>
      </w:r>
    </w:p>
    <w:p w14:paraId="6E2FA528">
      <w:pPr>
        <w:pStyle w:val="44"/>
        <w:numPr>
          <w:ilvl w:val="0"/>
          <w:numId w:val="26"/>
        </w:numPr>
        <w:spacing w:before="0"/>
        <w:ind w:firstLine="480"/>
        <w:rPr>
          <w:rFonts w:ascii="宋体" w:hAnsi="宋体" w:cs="宋体"/>
          <w:color w:val="auto"/>
          <w:szCs w:val="24"/>
        </w:rPr>
      </w:pPr>
      <w:r>
        <w:rPr>
          <w:rFonts w:hint="eastAsia" w:ascii="宋体" w:hAnsi="宋体" w:cs="宋体"/>
          <w:color w:val="auto"/>
          <w:szCs w:val="24"/>
        </w:rPr>
        <w:t>投标文件须按附件格式要求进行电子签章，投标人应写全称。（电子投标文件中所须加盖公章部分均应采用电子签章）</w:t>
      </w:r>
    </w:p>
    <w:p w14:paraId="680B8FD3">
      <w:pPr>
        <w:pStyle w:val="44"/>
        <w:numPr>
          <w:ilvl w:val="0"/>
          <w:numId w:val="26"/>
        </w:numPr>
        <w:spacing w:before="0"/>
        <w:ind w:firstLine="480"/>
        <w:rPr>
          <w:rFonts w:ascii="宋体" w:hAnsi="宋体" w:cs="宋体"/>
          <w:color w:val="auto"/>
          <w:szCs w:val="24"/>
        </w:rPr>
      </w:pPr>
      <w:r>
        <w:rPr>
          <w:rFonts w:hint="eastAsia" w:ascii="宋体" w:hAnsi="宋体" w:cs="宋体"/>
          <w:color w:val="auto"/>
          <w:szCs w:val="24"/>
        </w:rPr>
        <w:t>全套投标文件应无涂改和行间插字，除非这些删改是根据采购代理机构要求进行，或者是投标人造成的必须修改的错误。所修改处应由法定代表人或其授权代表签字盖章予以确认。</w:t>
      </w:r>
    </w:p>
    <w:p w14:paraId="3A80E19F">
      <w:pPr>
        <w:pStyle w:val="44"/>
        <w:numPr>
          <w:ilvl w:val="0"/>
          <w:numId w:val="26"/>
        </w:numPr>
        <w:spacing w:before="0"/>
        <w:ind w:firstLine="480"/>
        <w:rPr>
          <w:rFonts w:ascii="宋体" w:hAnsi="宋体" w:cs="宋体"/>
          <w:color w:val="auto"/>
          <w:szCs w:val="24"/>
        </w:rPr>
      </w:pPr>
      <w:r>
        <w:rPr>
          <w:rFonts w:hint="eastAsia" w:ascii="宋体" w:hAnsi="宋体" w:cs="宋体"/>
          <w:color w:val="auto"/>
          <w:szCs w:val="24"/>
        </w:rPr>
        <w:t>由于字迹模糊或表达不清引起的后果由投标人负责。</w:t>
      </w:r>
    </w:p>
    <w:p w14:paraId="781F77D0">
      <w:pPr>
        <w:pStyle w:val="15"/>
        <w:numPr>
          <w:ilvl w:val="0"/>
          <w:numId w:val="12"/>
        </w:numPr>
        <w:spacing w:line="360" w:lineRule="auto"/>
        <w:ind w:firstLine="482" w:firstLineChars="200"/>
        <w:rPr>
          <w:rFonts w:hAnsi="宋体" w:cs="宋体"/>
          <w:b/>
          <w:color w:val="auto"/>
          <w:sz w:val="24"/>
          <w:szCs w:val="24"/>
        </w:rPr>
      </w:pPr>
      <w:r>
        <w:rPr>
          <w:rFonts w:hint="eastAsia" w:hAnsi="宋体" w:cs="宋体"/>
          <w:b/>
          <w:color w:val="auto"/>
          <w:sz w:val="24"/>
          <w:szCs w:val="24"/>
        </w:rPr>
        <w:t xml:space="preserve"> 投标文件的形式</w:t>
      </w:r>
    </w:p>
    <w:p w14:paraId="12AECCE8">
      <w:pPr>
        <w:autoSpaceDE w:val="0"/>
        <w:autoSpaceDN w:val="0"/>
        <w:spacing w:line="360" w:lineRule="auto"/>
        <w:ind w:firstLine="480" w:firstLineChars="200"/>
        <w:textAlignment w:val="bottom"/>
        <w:rPr>
          <w:rFonts w:ascii="宋体" w:hAnsi="宋体" w:cs="宋体"/>
          <w:color w:val="auto"/>
          <w:sz w:val="24"/>
        </w:rPr>
      </w:pPr>
      <w:r>
        <w:rPr>
          <w:rFonts w:hint="eastAsia" w:ascii="宋体" w:hAnsi="宋体" w:cs="宋体"/>
          <w:color w:val="auto"/>
          <w:sz w:val="24"/>
          <w:szCs w:val="21"/>
        </w:rPr>
        <w:t>投标文件为电子投标文件，电子投标文件按“</w:t>
      </w:r>
      <w:r>
        <w:rPr>
          <w:rFonts w:hint="eastAsia" w:ascii="宋体" w:hAnsi="宋体" w:cs="宋体"/>
          <w:color w:val="auto"/>
          <w:sz w:val="24"/>
          <w:szCs w:val="21"/>
          <w:lang w:eastAsia="zh-CN"/>
        </w:rPr>
        <w:t>村采云</w:t>
      </w:r>
      <w:r>
        <w:rPr>
          <w:rFonts w:hint="eastAsia" w:ascii="宋体" w:hAnsi="宋体" w:cs="宋体"/>
          <w:color w:val="auto"/>
          <w:sz w:val="24"/>
          <w:szCs w:val="21"/>
        </w:rPr>
        <w:t>供应商项目采购-电子招投标操作指南”及本招标文件要求制作、加密传输。</w:t>
      </w:r>
    </w:p>
    <w:p w14:paraId="4443A762">
      <w:pPr>
        <w:spacing w:line="360" w:lineRule="auto"/>
        <w:jc w:val="center"/>
        <w:rPr>
          <w:rFonts w:ascii="宋体" w:hAnsi="宋体" w:cs="宋体"/>
          <w:b/>
          <w:color w:val="auto"/>
          <w:sz w:val="24"/>
        </w:rPr>
      </w:pPr>
    </w:p>
    <w:p w14:paraId="61658DD7">
      <w:pPr>
        <w:snapToGrid w:val="0"/>
        <w:spacing w:line="360" w:lineRule="auto"/>
        <w:jc w:val="center"/>
        <w:outlineLvl w:val="0"/>
        <w:rPr>
          <w:rFonts w:ascii="宋体" w:hAnsi="宋体" w:cs="宋体"/>
          <w:b/>
          <w:color w:val="auto"/>
          <w:sz w:val="32"/>
        </w:rPr>
      </w:pPr>
      <w:bookmarkStart w:id="43" w:name="_Toc30606"/>
      <w:r>
        <w:rPr>
          <w:rFonts w:hint="eastAsia" w:ascii="宋体" w:hAnsi="宋体" w:cs="宋体"/>
          <w:b/>
          <w:color w:val="auto"/>
          <w:sz w:val="32"/>
        </w:rPr>
        <w:t>四、投标文件的递交</w:t>
      </w:r>
      <w:bookmarkEnd w:id="40"/>
      <w:bookmarkEnd w:id="43"/>
    </w:p>
    <w:bookmarkEnd w:id="41"/>
    <w:p w14:paraId="20A96657">
      <w:pPr>
        <w:pStyle w:val="15"/>
        <w:numPr>
          <w:ilvl w:val="0"/>
          <w:numId w:val="12"/>
        </w:numPr>
        <w:spacing w:line="360" w:lineRule="auto"/>
        <w:ind w:firstLine="482" w:firstLineChars="200"/>
        <w:rPr>
          <w:rFonts w:hAnsi="宋体" w:cs="宋体"/>
          <w:b/>
          <w:color w:val="auto"/>
          <w:sz w:val="24"/>
          <w:szCs w:val="24"/>
        </w:rPr>
      </w:pPr>
      <w:bookmarkStart w:id="44" w:name="第三部分"/>
      <w:bookmarkStart w:id="45" w:name="_Toc164416483"/>
      <w:r>
        <w:rPr>
          <w:rFonts w:hint="eastAsia" w:hAnsi="宋体" w:cs="宋体"/>
          <w:b/>
          <w:color w:val="auto"/>
          <w:sz w:val="24"/>
          <w:szCs w:val="24"/>
        </w:rPr>
        <w:t>投标截止期</w:t>
      </w:r>
    </w:p>
    <w:p w14:paraId="3DA3A754">
      <w:pPr>
        <w:pStyle w:val="44"/>
        <w:numPr>
          <w:ilvl w:val="0"/>
          <w:numId w:val="27"/>
        </w:numPr>
        <w:spacing w:before="0"/>
        <w:ind w:firstLine="480"/>
        <w:rPr>
          <w:rFonts w:ascii="宋体" w:hAnsi="宋体" w:cs="宋体"/>
          <w:color w:val="auto"/>
          <w:szCs w:val="24"/>
        </w:rPr>
      </w:pPr>
      <w:r>
        <w:rPr>
          <w:rFonts w:hint="eastAsia" w:ascii="宋体" w:hAnsi="宋体" w:cs="宋体"/>
          <w:color w:val="auto"/>
        </w:rPr>
        <w:t>投标文件必须在规定的投标截止时间前在</w:t>
      </w:r>
      <w:r>
        <w:rPr>
          <w:rFonts w:hint="eastAsia" w:cs="宋体"/>
          <w:color w:val="auto"/>
          <w:lang w:eastAsia="zh-CN"/>
        </w:rPr>
        <w:t>村采云</w:t>
      </w:r>
      <w:r>
        <w:rPr>
          <w:rFonts w:hint="eastAsia" w:ascii="宋体" w:hAnsi="宋体" w:cs="宋体"/>
          <w:color w:val="auto"/>
        </w:rPr>
        <w:t>系统内完成传输，以纸质、电报、电话、传真形式的投标概不接受。为应对投标文件解密失败等异常情况，投标人可指派授权代表在投标截止时间之前到达开标地点提交备份文件。</w:t>
      </w:r>
    </w:p>
    <w:p w14:paraId="228371A4">
      <w:pPr>
        <w:pStyle w:val="44"/>
        <w:numPr>
          <w:ilvl w:val="0"/>
          <w:numId w:val="27"/>
        </w:numPr>
        <w:spacing w:before="0"/>
        <w:ind w:firstLine="480"/>
        <w:rPr>
          <w:rFonts w:ascii="宋体" w:hAnsi="宋体" w:cs="宋体"/>
          <w:color w:val="auto"/>
        </w:rPr>
      </w:pPr>
      <w:r>
        <w:rPr>
          <w:rFonts w:hint="eastAsia" w:ascii="宋体" w:hAnsi="宋体" w:cs="宋体"/>
          <w:color w:val="auto"/>
        </w:rPr>
        <w:t>采购人因故推迟投标截止时间，将以公告形式通知。在这种情况下，采购人和投标人的权利和义务将受到新的截止时间的约束。</w:t>
      </w:r>
    </w:p>
    <w:p w14:paraId="58788B93">
      <w:pPr>
        <w:pStyle w:val="15"/>
        <w:numPr>
          <w:ilvl w:val="0"/>
          <w:numId w:val="12"/>
        </w:numPr>
        <w:spacing w:line="360" w:lineRule="auto"/>
        <w:ind w:firstLine="482" w:firstLineChars="200"/>
        <w:rPr>
          <w:rFonts w:hAnsi="宋体" w:cs="宋体"/>
          <w:b/>
          <w:color w:val="auto"/>
          <w:sz w:val="24"/>
          <w:szCs w:val="24"/>
        </w:rPr>
      </w:pPr>
      <w:r>
        <w:rPr>
          <w:rFonts w:hint="eastAsia" w:hAnsi="宋体" w:cs="宋体"/>
          <w:b/>
          <w:color w:val="auto"/>
          <w:sz w:val="24"/>
          <w:szCs w:val="24"/>
        </w:rPr>
        <w:t>投标文件的修改、撤销</w:t>
      </w:r>
    </w:p>
    <w:p w14:paraId="153733CE">
      <w:pPr>
        <w:pStyle w:val="15"/>
        <w:spacing w:line="360" w:lineRule="auto"/>
        <w:ind w:firstLine="480" w:firstLineChars="200"/>
        <w:rPr>
          <w:rFonts w:hint="eastAsia"/>
          <w:color w:val="auto"/>
        </w:rPr>
      </w:pPr>
      <w:r>
        <w:rPr>
          <w:rFonts w:hint="eastAsia" w:hAnsi="宋体" w:cs="宋体"/>
          <w:color w:val="auto"/>
          <w:sz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14:paraId="398022AE">
      <w:pPr>
        <w:spacing w:line="360" w:lineRule="auto"/>
        <w:jc w:val="center"/>
        <w:rPr>
          <w:rFonts w:ascii="宋体" w:hAnsi="宋体" w:cs="宋体"/>
          <w:b/>
          <w:color w:val="auto"/>
          <w:sz w:val="24"/>
        </w:rPr>
      </w:pPr>
      <w:bookmarkStart w:id="46" w:name="_Toc91899897"/>
    </w:p>
    <w:p w14:paraId="1EA1AD43">
      <w:pPr>
        <w:snapToGrid w:val="0"/>
        <w:spacing w:line="360" w:lineRule="auto"/>
        <w:jc w:val="center"/>
        <w:outlineLvl w:val="0"/>
        <w:rPr>
          <w:rFonts w:ascii="宋体" w:hAnsi="宋体" w:cs="宋体"/>
          <w:b/>
          <w:color w:val="auto"/>
          <w:sz w:val="32"/>
        </w:rPr>
      </w:pPr>
      <w:bookmarkStart w:id="47" w:name="_Toc29172"/>
      <w:r>
        <w:rPr>
          <w:rFonts w:hint="eastAsia" w:ascii="宋体" w:hAnsi="宋体" w:cs="宋体"/>
          <w:b/>
          <w:color w:val="auto"/>
          <w:sz w:val="32"/>
        </w:rPr>
        <w:t>五、开标</w:t>
      </w:r>
      <w:bookmarkEnd w:id="46"/>
      <w:bookmarkEnd w:id="47"/>
    </w:p>
    <w:p w14:paraId="0661BE6B">
      <w:pPr>
        <w:pStyle w:val="15"/>
        <w:numPr>
          <w:ilvl w:val="0"/>
          <w:numId w:val="12"/>
        </w:numPr>
        <w:spacing w:line="360" w:lineRule="auto"/>
        <w:ind w:firstLine="482" w:firstLineChars="200"/>
        <w:rPr>
          <w:rFonts w:hAnsi="宋体" w:cs="宋体"/>
          <w:b/>
          <w:color w:val="auto"/>
          <w:sz w:val="24"/>
          <w:szCs w:val="24"/>
        </w:rPr>
      </w:pPr>
      <w:r>
        <w:rPr>
          <w:rFonts w:hint="eastAsia" w:hAnsi="宋体" w:cs="宋体"/>
          <w:b/>
          <w:color w:val="auto"/>
          <w:sz w:val="24"/>
          <w:szCs w:val="24"/>
        </w:rPr>
        <w:t>开标</w:t>
      </w:r>
    </w:p>
    <w:p w14:paraId="45C4C199">
      <w:pPr>
        <w:pStyle w:val="15"/>
        <w:numPr>
          <w:ilvl w:val="0"/>
          <w:numId w:val="28"/>
        </w:numPr>
        <w:spacing w:line="360" w:lineRule="auto"/>
        <w:ind w:firstLine="480" w:firstLineChars="200"/>
        <w:rPr>
          <w:rFonts w:hAnsi="宋体" w:cs="宋体"/>
          <w:color w:val="auto"/>
          <w:sz w:val="24"/>
        </w:rPr>
      </w:pPr>
      <w:r>
        <w:rPr>
          <w:rFonts w:hint="eastAsia" w:hAnsi="宋体" w:cs="宋体"/>
          <w:color w:val="auto"/>
          <w:sz w:val="24"/>
        </w:rPr>
        <w:t>在投标截止时间前按规定提交投标文件的投标人在三家（含）以上的，由采购人或采购代理机构组织进行开标。</w:t>
      </w:r>
    </w:p>
    <w:p w14:paraId="19BCE9D1">
      <w:pPr>
        <w:pStyle w:val="15"/>
        <w:numPr>
          <w:ilvl w:val="0"/>
          <w:numId w:val="28"/>
        </w:numPr>
        <w:spacing w:line="360" w:lineRule="auto"/>
        <w:ind w:firstLine="482" w:firstLineChars="200"/>
        <w:rPr>
          <w:rFonts w:hAnsi="宋体" w:cs="宋体"/>
          <w:color w:val="auto"/>
          <w:sz w:val="24"/>
          <w:szCs w:val="24"/>
        </w:rPr>
      </w:pPr>
      <w:r>
        <w:rPr>
          <w:rFonts w:hint="eastAsia" w:hAnsi="宋体" w:cs="宋体"/>
          <w:b/>
          <w:bCs/>
          <w:color w:val="auto"/>
          <w:sz w:val="24"/>
        </w:rPr>
        <w:t>投标人登录</w:t>
      </w:r>
      <w:r>
        <w:rPr>
          <w:rFonts w:hint="eastAsia" w:hAnsi="宋体" w:cs="宋体"/>
          <w:b/>
          <w:bCs/>
          <w:color w:val="auto"/>
          <w:sz w:val="24"/>
          <w:lang w:eastAsia="zh-CN"/>
        </w:rPr>
        <w:t>村采云</w:t>
      </w:r>
      <w:r>
        <w:rPr>
          <w:rFonts w:hint="eastAsia" w:hAnsi="宋体" w:cs="宋体"/>
          <w:b/>
          <w:bCs/>
          <w:color w:val="auto"/>
          <w:sz w:val="24"/>
        </w:rPr>
        <w:t>平台，用“项目采购-开标评标”功能对电子投标文件进行在线解密。在线解密电子投标文件时间为开标时间起30分钟内。若电子投标文件解密失败，则由采购代理机构工作人员上传投标人提供的备份文件。</w:t>
      </w:r>
      <w:r>
        <w:rPr>
          <w:rFonts w:hint="eastAsia" w:hAnsi="宋体" w:cs="宋体"/>
          <w:color w:val="auto"/>
          <w:sz w:val="24"/>
          <w:szCs w:val="24"/>
        </w:rPr>
        <w:t>备份文件（后缀名为.bfbs）须存储在U盘中，与上传的电子投标文件一致，用信封进行密封并盖章，由授权代表在投标截止时间前递交至开标地点。</w:t>
      </w:r>
    </w:p>
    <w:p w14:paraId="0F558D32">
      <w:pPr>
        <w:pStyle w:val="15"/>
        <w:numPr>
          <w:ilvl w:val="0"/>
          <w:numId w:val="28"/>
        </w:numPr>
        <w:spacing w:line="360" w:lineRule="auto"/>
        <w:ind w:firstLine="480" w:firstLineChars="200"/>
        <w:rPr>
          <w:rFonts w:hAnsi="宋体" w:cs="宋体"/>
          <w:color w:val="auto"/>
          <w:sz w:val="24"/>
        </w:rPr>
      </w:pPr>
      <w:r>
        <w:rPr>
          <w:rFonts w:hint="eastAsia" w:hAnsi="宋体" w:cs="宋体"/>
          <w:color w:val="auto"/>
          <w:sz w:val="24"/>
        </w:rPr>
        <w:t>采购人按招标文件规定的时间、地点公开开标。开标仪式由采购人或采购代理机构主持及有关人员参加。</w:t>
      </w:r>
    </w:p>
    <w:p w14:paraId="3F495D68">
      <w:pPr>
        <w:pStyle w:val="44"/>
        <w:numPr>
          <w:ilvl w:val="0"/>
          <w:numId w:val="28"/>
        </w:numPr>
        <w:spacing w:before="0"/>
        <w:ind w:firstLine="480"/>
        <w:rPr>
          <w:rFonts w:ascii="宋体" w:hAnsi="宋体" w:cs="宋体"/>
          <w:color w:val="auto"/>
          <w:szCs w:val="24"/>
        </w:rPr>
      </w:pPr>
      <w:r>
        <w:rPr>
          <w:rFonts w:hint="eastAsia" w:ascii="宋体" w:hAnsi="宋体" w:cs="宋体"/>
          <w:color w:val="auto"/>
          <w:szCs w:val="24"/>
        </w:rPr>
        <w:t>本项目为电子投标项目，投标人一般不需要参加现场投标和开标，若投标人需要指派授权代表递交备份文件，则授权代表应随身携带法定代表人授权书原件于投标截止时间前到达开标地点递交备份文件。若电子投标文件正常解锁，则U盘退还给供应商；若解锁失败，则由采购代理机构将U盘中的备份文件上传，该U盘将由采购代理机构保存。</w:t>
      </w:r>
    </w:p>
    <w:p w14:paraId="3DBB6D95">
      <w:pPr>
        <w:pStyle w:val="44"/>
        <w:numPr>
          <w:ilvl w:val="0"/>
          <w:numId w:val="28"/>
        </w:numPr>
        <w:spacing w:before="0"/>
        <w:ind w:firstLine="480"/>
        <w:rPr>
          <w:rFonts w:ascii="宋体" w:hAnsi="宋体" w:cs="宋体"/>
          <w:color w:val="auto"/>
          <w:szCs w:val="24"/>
        </w:rPr>
      </w:pPr>
      <w:r>
        <w:rPr>
          <w:rFonts w:hint="eastAsia" w:ascii="宋体" w:hAnsi="宋体" w:cs="宋体"/>
          <w:color w:val="auto"/>
          <w:szCs w:val="24"/>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4CBE8D03">
      <w:pPr>
        <w:spacing w:line="360" w:lineRule="auto"/>
        <w:jc w:val="center"/>
        <w:rPr>
          <w:rFonts w:ascii="宋体" w:hAnsi="宋体" w:cs="宋体"/>
          <w:b/>
          <w:color w:val="auto"/>
          <w:sz w:val="24"/>
        </w:rPr>
      </w:pPr>
    </w:p>
    <w:p w14:paraId="7D1CB014">
      <w:pPr>
        <w:snapToGrid w:val="0"/>
        <w:spacing w:line="360" w:lineRule="auto"/>
        <w:jc w:val="center"/>
        <w:outlineLvl w:val="0"/>
        <w:rPr>
          <w:rFonts w:ascii="宋体" w:hAnsi="宋体" w:cs="宋体"/>
          <w:b/>
          <w:color w:val="auto"/>
          <w:sz w:val="32"/>
        </w:rPr>
      </w:pPr>
      <w:bookmarkStart w:id="48" w:name="_Toc24755"/>
      <w:r>
        <w:rPr>
          <w:rFonts w:hint="eastAsia" w:ascii="宋体" w:hAnsi="宋体" w:cs="宋体"/>
          <w:b/>
          <w:color w:val="auto"/>
          <w:sz w:val="32"/>
        </w:rPr>
        <w:t>六、资格审查</w:t>
      </w:r>
      <w:bookmarkEnd w:id="48"/>
    </w:p>
    <w:p w14:paraId="6FBA8744">
      <w:pPr>
        <w:pStyle w:val="15"/>
        <w:numPr>
          <w:ilvl w:val="0"/>
          <w:numId w:val="12"/>
        </w:numPr>
        <w:spacing w:line="360" w:lineRule="auto"/>
        <w:ind w:firstLine="482" w:firstLineChars="200"/>
        <w:rPr>
          <w:rFonts w:hAnsi="宋体" w:cs="宋体"/>
          <w:b/>
          <w:color w:val="auto"/>
          <w:sz w:val="24"/>
          <w:szCs w:val="24"/>
        </w:rPr>
      </w:pPr>
      <w:r>
        <w:rPr>
          <w:rFonts w:hint="eastAsia" w:hAnsi="宋体" w:cs="宋体"/>
          <w:b/>
          <w:color w:val="auto"/>
          <w:sz w:val="24"/>
          <w:szCs w:val="24"/>
        </w:rPr>
        <w:t>资格审查</w:t>
      </w:r>
    </w:p>
    <w:p w14:paraId="7BCE6C33">
      <w:pPr>
        <w:pStyle w:val="44"/>
        <w:numPr>
          <w:ilvl w:val="0"/>
          <w:numId w:val="29"/>
        </w:numPr>
        <w:spacing w:before="0"/>
        <w:ind w:firstLine="480"/>
        <w:rPr>
          <w:rFonts w:ascii="宋体" w:hAnsi="宋体" w:cs="宋体"/>
          <w:color w:val="auto"/>
          <w:szCs w:val="24"/>
        </w:rPr>
      </w:pPr>
      <w:bookmarkStart w:id="49" w:name="_Hlt75236101"/>
      <w:bookmarkEnd w:id="49"/>
      <w:bookmarkStart w:id="50" w:name="_Toc91899902"/>
      <w:r>
        <w:rPr>
          <w:rFonts w:hint="eastAsia" w:ascii="宋体" w:hAnsi="宋体" w:cs="宋体"/>
          <w:color w:val="auto"/>
          <w:szCs w:val="24"/>
        </w:rPr>
        <w:t>开标后，采购人或采购代理机构将依法对投标人的资格进行审查；</w:t>
      </w:r>
    </w:p>
    <w:p w14:paraId="4CDEBF49">
      <w:pPr>
        <w:pStyle w:val="44"/>
        <w:numPr>
          <w:ilvl w:val="0"/>
          <w:numId w:val="29"/>
        </w:numPr>
        <w:spacing w:before="0"/>
        <w:ind w:firstLine="480"/>
        <w:rPr>
          <w:rFonts w:ascii="宋体" w:hAnsi="宋体" w:cs="宋体"/>
          <w:color w:val="auto"/>
          <w:szCs w:val="24"/>
        </w:rPr>
      </w:pPr>
      <w:r>
        <w:rPr>
          <w:rFonts w:hint="eastAsia" w:ascii="宋体" w:hAnsi="宋体" w:cs="宋体"/>
          <w:color w:val="auto"/>
          <w:szCs w:val="24"/>
        </w:rPr>
        <w:t>采购人或采购代理机构依据法律法规和招标文件的规定，对投标人的基本资格条件、特定资格条件进行审查。</w:t>
      </w:r>
    </w:p>
    <w:p w14:paraId="185A2AD3">
      <w:pPr>
        <w:pStyle w:val="44"/>
        <w:numPr>
          <w:ilvl w:val="0"/>
          <w:numId w:val="29"/>
        </w:numPr>
        <w:spacing w:before="0"/>
        <w:ind w:firstLine="480"/>
        <w:rPr>
          <w:rFonts w:ascii="宋体" w:hAnsi="宋体" w:cs="宋体"/>
          <w:color w:val="auto"/>
          <w:szCs w:val="24"/>
        </w:rPr>
      </w:pPr>
      <w:r>
        <w:rPr>
          <w:rFonts w:hint="eastAsia" w:ascii="宋体" w:hAnsi="宋体" w:cs="宋体"/>
          <w:color w:val="auto"/>
          <w:szCs w:val="24"/>
        </w:rPr>
        <w:t>采购人或采购代理机构将通过“信用中国”网站(www.creditchina.gov.cn)、中国政府采购网(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Fonts w:hint="eastAsia" w:ascii="宋体" w:hAnsi="宋体" w:cs="宋体"/>
          <w:color w:val="auto"/>
          <w:szCs w:val="24"/>
        </w:rPr>
        <w:t>www.ccgp.gov.cn</w:t>
      </w:r>
      <w:r>
        <w:rPr>
          <w:rFonts w:hint="eastAsia" w:ascii="宋体" w:hAnsi="宋体" w:cs="宋体"/>
          <w:color w:val="auto"/>
          <w:szCs w:val="24"/>
        </w:rPr>
        <w:fldChar w:fldCharType="end"/>
      </w:r>
      <w:r>
        <w:rPr>
          <w:rFonts w:hint="eastAsia" w:ascii="宋体" w:hAnsi="宋体" w:cs="宋体"/>
          <w:color w:val="auto"/>
          <w:szCs w:val="24"/>
        </w:rPr>
        <w:t>)渠道查询投标人开标后评标前的信用记录，经查询投标人列入失信被执行人名单、重大税收违法案件当事人名单、政府采购严重违法失信行为记录名单的，其投标无效；</w:t>
      </w:r>
    </w:p>
    <w:p w14:paraId="3A229279">
      <w:pPr>
        <w:pStyle w:val="44"/>
        <w:numPr>
          <w:ilvl w:val="0"/>
          <w:numId w:val="29"/>
        </w:numPr>
        <w:spacing w:before="0"/>
        <w:ind w:firstLine="480"/>
        <w:rPr>
          <w:rFonts w:ascii="宋体" w:hAnsi="宋体" w:cs="宋体"/>
          <w:color w:val="auto"/>
          <w:szCs w:val="24"/>
        </w:rPr>
      </w:pPr>
      <w:r>
        <w:rPr>
          <w:rFonts w:hint="eastAsia" w:ascii="宋体" w:hAnsi="宋体" w:cs="宋体"/>
          <w:color w:val="auto"/>
          <w:szCs w:val="24"/>
        </w:rPr>
        <w:t>采购人或采购代理机构出具《投标人资格审查意见表》，投标人未按照招标文件要求提供与基本资格条件、特定资格条件相应的有效资格证明材料的，视为投标人不具备招标文件中规定的资格要求，其投标无效。</w:t>
      </w:r>
    </w:p>
    <w:p w14:paraId="59F3C795">
      <w:pPr>
        <w:spacing w:line="360" w:lineRule="auto"/>
        <w:jc w:val="center"/>
        <w:rPr>
          <w:rFonts w:ascii="宋体" w:hAnsi="宋体" w:cs="宋体"/>
          <w:b/>
          <w:color w:val="auto"/>
          <w:sz w:val="24"/>
        </w:rPr>
      </w:pPr>
    </w:p>
    <w:p w14:paraId="3FD1F27B">
      <w:pPr>
        <w:snapToGrid w:val="0"/>
        <w:spacing w:line="360" w:lineRule="auto"/>
        <w:jc w:val="center"/>
        <w:outlineLvl w:val="0"/>
        <w:rPr>
          <w:rFonts w:ascii="宋体" w:hAnsi="宋体" w:cs="宋体"/>
          <w:b/>
          <w:color w:val="auto"/>
          <w:sz w:val="32"/>
        </w:rPr>
      </w:pPr>
      <w:bookmarkStart w:id="51" w:name="_Toc24401"/>
      <w:r>
        <w:rPr>
          <w:rFonts w:hint="eastAsia" w:ascii="宋体" w:hAnsi="宋体" w:cs="宋体"/>
          <w:b/>
          <w:color w:val="auto"/>
          <w:sz w:val="32"/>
        </w:rPr>
        <w:t>七、评标</w:t>
      </w:r>
      <w:bookmarkEnd w:id="50"/>
      <w:bookmarkEnd w:id="51"/>
    </w:p>
    <w:p w14:paraId="48348489">
      <w:pPr>
        <w:pStyle w:val="15"/>
        <w:numPr>
          <w:ilvl w:val="0"/>
          <w:numId w:val="12"/>
        </w:numPr>
        <w:spacing w:line="360" w:lineRule="auto"/>
        <w:ind w:firstLine="482" w:firstLineChars="200"/>
        <w:rPr>
          <w:rFonts w:hAnsi="宋体" w:cs="宋体"/>
          <w:b/>
          <w:color w:val="auto"/>
          <w:sz w:val="24"/>
          <w:szCs w:val="24"/>
        </w:rPr>
      </w:pPr>
      <w:bookmarkStart w:id="52" w:name="_Toc91899903"/>
      <w:r>
        <w:rPr>
          <w:rFonts w:hint="eastAsia" w:hAnsi="宋体" w:cs="宋体"/>
          <w:b/>
          <w:color w:val="auto"/>
          <w:sz w:val="24"/>
          <w:szCs w:val="24"/>
        </w:rPr>
        <w:t>评标原则</w:t>
      </w:r>
    </w:p>
    <w:p w14:paraId="0353B23F">
      <w:pPr>
        <w:pStyle w:val="44"/>
        <w:numPr>
          <w:ilvl w:val="0"/>
          <w:numId w:val="30"/>
        </w:numPr>
        <w:spacing w:before="0"/>
        <w:ind w:firstLine="480"/>
        <w:rPr>
          <w:rFonts w:ascii="宋体" w:hAnsi="宋体" w:cs="宋体"/>
          <w:color w:val="auto"/>
          <w:szCs w:val="24"/>
        </w:rPr>
      </w:pPr>
      <w:r>
        <w:rPr>
          <w:rFonts w:hint="eastAsia" w:ascii="宋体" w:hAnsi="宋体" w:cs="宋体"/>
          <w:color w:val="auto"/>
          <w:szCs w:val="24"/>
        </w:rPr>
        <w:t>竞争优选；</w:t>
      </w:r>
    </w:p>
    <w:p w14:paraId="5703C88A">
      <w:pPr>
        <w:pStyle w:val="44"/>
        <w:numPr>
          <w:ilvl w:val="0"/>
          <w:numId w:val="30"/>
        </w:numPr>
        <w:spacing w:before="0"/>
        <w:ind w:firstLine="480"/>
        <w:rPr>
          <w:rFonts w:ascii="宋体" w:hAnsi="宋体" w:cs="宋体"/>
          <w:color w:val="auto"/>
          <w:szCs w:val="24"/>
        </w:rPr>
      </w:pPr>
      <w:r>
        <w:rPr>
          <w:rFonts w:hint="eastAsia" w:ascii="宋体" w:hAnsi="宋体" w:cs="宋体"/>
          <w:color w:val="auto"/>
          <w:szCs w:val="24"/>
          <w:lang w:val="zh-CN"/>
        </w:rPr>
        <w:t>坚持公开</w:t>
      </w:r>
      <w:r>
        <w:rPr>
          <w:rFonts w:hint="eastAsia" w:ascii="宋体" w:hAnsi="宋体" w:cs="宋体"/>
          <w:color w:val="auto"/>
          <w:szCs w:val="24"/>
        </w:rPr>
        <w:t>、公平、公正、科学合理</w:t>
      </w:r>
      <w:r>
        <w:rPr>
          <w:rFonts w:hint="eastAsia" w:ascii="宋体" w:hAnsi="宋体" w:cs="宋体"/>
          <w:color w:val="auto"/>
          <w:szCs w:val="24"/>
          <w:lang w:val="zh-CN"/>
        </w:rPr>
        <w:t>的原则；</w:t>
      </w:r>
    </w:p>
    <w:p w14:paraId="60A87D35">
      <w:pPr>
        <w:pStyle w:val="44"/>
        <w:numPr>
          <w:ilvl w:val="0"/>
          <w:numId w:val="30"/>
        </w:numPr>
        <w:spacing w:before="0"/>
        <w:ind w:firstLine="480"/>
        <w:rPr>
          <w:rFonts w:ascii="宋体" w:hAnsi="宋体" w:cs="宋体"/>
          <w:color w:val="auto"/>
          <w:szCs w:val="24"/>
          <w:lang w:val="zh-CN"/>
        </w:rPr>
      </w:pPr>
      <w:r>
        <w:rPr>
          <w:rFonts w:hint="eastAsia" w:ascii="宋体" w:hAnsi="宋体" w:cs="宋体"/>
          <w:color w:val="auto"/>
          <w:szCs w:val="24"/>
        </w:rPr>
        <w:t>价格合理，方案、产品先进可行；</w:t>
      </w:r>
    </w:p>
    <w:p w14:paraId="5308D339">
      <w:pPr>
        <w:pStyle w:val="44"/>
        <w:numPr>
          <w:ilvl w:val="0"/>
          <w:numId w:val="30"/>
        </w:numPr>
        <w:spacing w:before="0"/>
        <w:ind w:firstLine="480"/>
        <w:rPr>
          <w:rFonts w:ascii="宋体" w:hAnsi="宋体" w:cs="宋体"/>
          <w:color w:val="auto"/>
          <w:szCs w:val="24"/>
          <w:lang w:val="zh-CN"/>
        </w:rPr>
      </w:pPr>
      <w:r>
        <w:rPr>
          <w:rFonts w:hint="eastAsia" w:ascii="宋体" w:hAnsi="宋体" w:cs="宋体"/>
          <w:color w:val="auto"/>
          <w:szCs w:val="24"/>
          <w:lang w:val="zh-CN"/>
        </w:rPr>
        <w:t>反对不正当竞争。</w:t>
      </w:r>
    </w:p>
    <w:p w14:paraId="3274BC2B">
      <w:pPr>
        <w:pStyle w:val="15"/>
        <w:numPr>
          <w:ilvl w:val="0"/>
          <w:numId w:val="12"/>
        </w:numPr>
        <w:spacing w:line="360" w:lineRule="auto"/>
        <w:ind w:firstLine="482" w:firstLineChars="200"/>
        <w:rPr>
          <w:rFonts w:hAnsi="宋体" w:cs="宋体"/>
          <w:b/>
          <w:color w:val="auto"/>
          <w:sz w:val="24"/>
          <w:szCs w:val="24"/>
        </w:rPr>
      </w:pPr>
      <w:r>
        <w:rPr>
          <w:rFonts w:hint="eastAsia" w:hAnsi="宋体" w:cs="宋体"/>
          <w:b/>
          <w:color w:val="auto"/>
          <w:sz w:val="24"/>
          <w:szCs w:val="24"/>
        </w:rPr>
        <w:t>评标组织</w:t>
      </w:r>
    </w:p>
    <w:p w14:paraId="538FE830">
      <w:pPr>
        <w:pStyle w:val="44"/>
        <w:numPr>
          <w:ilvl w:val="0"/>
          <w:numId w:val="31"/>
        </w:numPr>
        <w:spacing w:before="0"/>
        <w:ind w:firstLine="480"/>
        <w:rPr>
          <w:rFonts w:ascii="宋体" w:hAnsi="宋体" w:cs="宋体"/>
          <w:color w:val="auto"/>
          <w:szCs w:val="24"/>
          <w:lang w:val="zh-CN"/>
        </w:rPr>
      </w:pPr>
      <w:r>
        <w:rPr>
          <w:rFonts w:hint="eastAsia" w:ascii="宋体" w:hAnsi="宋体" w:cs="宋体"/>
          <w:color w:val="auto"/>
          <w:szCs w:val="24"/>
          <w:lang w:val="zh-CN"/>
        </w:rPr>
        <w:t>评标委员会由采购人代表和评审专家组成，成员人数应当为5人以上单数，其中评审专家不得少于成员总数的三分之二；</w:t>
      </w:r>
    </w:p>
    <w:p w14:paraId="2D618ADE">
      <w:pPr>
        <w:pStyle w:val="44"/>
        <w:numPr>
          <w:ilvl w:val="0"/>
          <w:numId w:val="31"/>
        </w:numPr>
        <w:spacing w:before="0"/>
        <w:ind w:firstLine="480"/>
        <w:rPr>
          <w:rFonts w:ascii="宋体" w:hAnsi="宋体" w:cs="宋体"/>
          <w:color w:val="auto"/>
          <w:szCs w:val="24"/>
          <w:lang w:val="zh-CN"/>
        </w:rPr>
      </w:pPr>
      <w:r>
        <w:rPr>
          <w:rFonts w:hint="eastAsia" w:ascii="宋体" w:hAnsi="宋体" w:cs="宋体"/>
          <w:color w:val="auto"/>
          <w:szCs w:val="24"/>
          <w:lang w:val="zh-CN"/>
        </w:rPr>
        <w:t>评标工作由评标委员会负责，并推选产生的组长主持；</w:t>
      </w:r>
    </w:p>
    <w:p w14:paraId="0B61612A">
      <w:pPr>
        <w:pStyle w:val="44"/>
        <w:numPr>
          <w:ilvl w:val="0"/>
          <w:numId w:val="31"/>
        </w:numPr>
        <w:spacing w:before="0"/>
        <w:ind w:firstLine="480"/>
        <w:rPr>
          <w:rFonts w:ascii="宋体" w:hAnsi="宋体" w:cs="宋体"/>
          <w:color w:val="auto"/>
          <w:szCs w:val="24"/>
          <w:lang w:val="zh-CN"/>
        </w:rPr>
      </w:pPr>
      <w:r>
        <w:rPr>
          <w:rFonts w:hint="eastAsia" w:ascii="宋体" w:hAnsi="宋体" w:cs="宋体"/>
          <w:color w:val="auto"/>
          <w:szCs w:val="24"/>
          <w:lang w:val="zh-CN"/>
        </w:rPr>
        <w:t>本次评标为在线评标。</w:t>
      </w:r>
    </w:p>
    <w:p w14:paraId="1F3A6B98">
      <w:pPr>
        <w:pStyle w:val="15"/>
        <w:numPr>
          <w:ilvl w:val="0"/>
          <w:numId w:val="12"/>
        </w:numPr>
        <w:spacing w:line="360" w:lineRule="auto"/>
        <w:ind w:firstLine="482" w:firstLineChars="200"/>
        <w:rPr>
          <w:rFonts w:hAnsi="宋体" w:cs="宋体"/>
          <w:b/>
          <w:color w:val="auto"/>
          <w:sz w:val="24"/>
          <w:szCs w:val="24"/>
        </w:rPr>
      </w:pPr>
      <w:r>
        <w:rPr>
          <w:rFonts w:hint="eastAsia" w:hAnsi="宋体" w:cs="宋体"/>
          <w:b/>
          <w:color w:val="auto"/>
          <w:sz w:val="24"/>
          <w:szCs w:val="24"/>
        </w:rPr>
        <w:t>评标办法</w:t>
      </w:r>
    </w:p>
    <w:p w14:paraId="2294D195">
      <w:pPr>
        <w:spacing w:line="360" w:lineRule="auto"/>
        <w:ind w:firstLine="467" w:firstLineChars="194"/>
        <w:rPr>
          <w:rFonts w:ascii="宋体" w:hAnsi="宋体" w:cs="宋体"/>
          <w:b/>
          <w:color w:val="auto"/>
          <w:kern w:val="0"/>
          <w:sz w:val="24"/>
          <w:szCs w:val="20"/>
        </w:rPr>
      </w:pPr>
      <w:r>
        <w:rPr>
          <w:rFonts w:hint="eastAsia" w:ascii="宋体" w:hAnsi="宋体" w:cs="宋体"/>
          <w:b/>
          <w:color w:val="auto"/>
          <w:kern w:val="0"/>
          <w:sz w:val="24"/>
          <w:szCs w:val="20"/>
        </w:rPr>
        <w:t>本项目评标办法是综合评分法，具体评标内容及评分标准等详见招标文件第三部分。</w:t>
      </w:r>
    </w:p>
    <w:p w14:paraId="402D6EBC">
      <w:pPr>
        <w:pStyle w:val="15"/>
        <w:numPr>
          <w:ilvl w:val="0"/>
          <w:numId w:val="12"/>
        </w:numPr>
        <w:spacing w:line="360" w:lineRule="auto"/>
        <w:ind w:firstLine="482" w:firstLineChars="200"/>
        <w:rPr>
          <w:rFonts w:hAnsi="宋体" w:cs="宋体"/>
          <w:b/>
          <w:color w:val="auto"/>
          <w:sz w:val="24"/>
          <w:szCs w:val="24"/>
        </w:rPr>
      </w:pPr>
      <w:r>
        <w:rPr>
          <w:rFonts w:hint="eastAsia" w:hAnsi="宋体" w:cs="宋体"/>
          <w:b/>
          <w:color w:val="auto"/>
          <w:sz w:val="24"/>
          <w:szCs w:val="24"/>
        </w:rPr>
        <w:t>投标文件符合性审查</w:t>
      </w:r>
    </w:p>
    <w:p w14:paraId="50635906">
      <w:pPr>
        <w:pStyle w:val="44"/>
        <w:numPr>
          <w:ilvl w:val="0"/>
          <w:numId w:val="32"/>
        </w:numPr>
        <w:spacing w:before="0"/>
        <w:ind w:firstLine="480"/>
        <w:rPr>
          <w:rFonts w:ascii="宋体" w:hAnsi="宋体" w:cs="宋体"/>
          <w:color w:val="auto"/>
          <w:szCs w:val="24"/>
          <w:lang w:val="zh-CN"/>
        </w:rPr>
      </w:pPr>
      <w:r>
        <w:rPr>
          <w:rFonts w:hint="eastAsia" w:ascii="宋体" w:hAnsi="宋体" w:cs="宋体"/>
          <w:color w:val="auto"/>
          <w:szCs w:val="24"/>
          <w:lang w:val="zh-CN"/>
        </w:rPr>
        <w:t>投标文件符合性审查：评标委员会依据招标文件的规定，从投标文件的有效性、完整性和对招标文件的响应程度进行审查，以确定是否对招标文件的要求作出实质性响应。</w:t>
      </w:r>
    </w:p>
    <w:p w14:paraId="0A1F4D43">
      <w:pPr>
        <w:pStyle w:val="44"/>
        <w:numPr>
          <w:ilvl w:val="0"/>
          <w:numId w:val="32"/>
        </w:numPr>
        <w:spacing w:before="0"/>
        <w:ind w:firstLine="480"/>
        <w:rPr>
          <w:rFonts w:ascii="宋体" w:hAnsi="宋体" w:cs="宋体"/>
          <w:color w:val="auto"/>
          <w:szCs w:val="24"/>
          <w:lang w:val="zh-CN"/>
        </w:rPr>
      </w:pPr>
      <w:r>
        <w:rPr>
          <w:rFonts w:hint="eastAsia" w:ascii="宋体" w:hAnsi="宋体" w:cs="宋体"/>
          <w:color w:val="auto"/>
          <w:szCs w:val="24"/>
          <w:lang w:val="zh-CN"/>
        </w:rPr>
        <w:t>实质性响应的投标应该是与招标文件要求的主要条款相符，没有重大偏离或保留的投标。所谓重大偏离或保留是指影响合同的内容、项目建设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14:paraId="33079E48">
      <w:pPr>
        <w:pStyle w:val="44"/>
        <w:numPr>
          <w:ilvl w:val="0"/>
          <w:numId w:val="32"/>
        </w:numPr>
        <w:spacing w:before="0"/>
        <w:ind w:firstLine="480"/>
        <w:rPr>
          <w:rFonts w:ascii="宋体" w:hAnsi="宋体" w:cs="宋体"/>
          <w:color w:val="auto"/>
          <w:szCs w:val="24"/>
          <w:lang w:val="zh-CN"/>
        </w:rPr>
      </w:pPr>
      <w:r>
        <w:rPr>
          <w:rFonts w:hint="eastAsia" w:ascii="宋体" w:hAnsi="宋体" w:cs="宋体"/>
          <w:color w:val="auto"/>
          <w:szCs w:val="24"/>
          <w:lang w:val="zh-CN"/>
        </w:rPr>
        <w:t xml:space="preserve">如果投标文件没有实质上响应招标文件的要求，评标委员会将判定无效投标，投标人不得通过修改或撤销不合要求的偏离或保留而使其投标成为实质性响应的投标。 </w:t>
      </w:r>
    </w:p>
    <w:p w14:paraId="0820F506">
      <w:pPr>
        <w:pStyle w:val="44"/>
        <w:numPr>
          <w:ilvl w:val="0"/>
          <w:numId w:val="32"/>
        </w:numPr>
        <w:spacing w:before="0"/>
        <w:ind w:firstLine="480"/>
        <w:rPr>
          <w:rFonts w:ascii="宋体" w:hAnsi="宋体" w:cs="宋体"/>
          <w:color w:val="auto"/>
          <w:szCs w:val="24"/>
          <w:lang w:val="zh-CN"/>
        </w:rPr>
      </w:pPr>
      <w:r>
        <w:rPr>
          <w:rFonts w:hint="eastAsia" w:ascii="宋体" w:hAnsi="宋体" w:cs="宋体"/>
          <w:color w:val="auto"/>
          <w:szCs w:val="24"/>
          <w:lang w:val="zh-CN"/>
        </w:rPr>
        <w:t>即按《评分标准》确定的标准，以经审查合格的投标文件进行资信、技术和商务评估，并综合进行比较与评价。根据《浙江省政府采购活动现场组织管理办法》的通知（浙财采监{2015}13号）规定，“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14:paraId="061F8769">
      <w:pPr>
        <w:pStyle w:val="15"/>
        <w:numPr>
          <w:ilvl w:val="0"/>
          <w:numId w:val="12"/>
        </w:numPr>
        <w:spacing w:line="360" w:lineRule="auto"/>
        <w:ind w:firstLine="482" w:firstLineChars="200"/>
        <w:rPr>
          <w:rFonts w:hAnsi="宋体" w:cs="宋体"/>
          <w:b/>
          <w:color w:val="auto"/>
          <w:sz w:val="24"/>
          <w:szCs w:val="24"/>
        </w:rPr>
      </w:pPr>
      <w:r>
        <w:rPr>
          <w:rFonts w:hint="eastAsia" w:hAnsi="宋体" w:cs="宋体"/>
          <w:b/>
          <w:color w:val="auto"/>
          <w:sz w:val="24"/>
          <w:szCs w:val="24"/>
        </w:rPr>
        <w:t>修正原则</w:t>
      </w:r>
    </w:p>
    <w:p w14:paraId="79B2A628">
      <w:pPr>
        <w:pStyle w:val="44"/>
        <w:spacing w:before="0"/>
        <w:ind w:left="420" w:leftChars="200" w:firstLine="0" w:firstLineChars="0"/>
        <w:rPr>
          <w:rFonts w:ascii="宋体" w:hAnsi="宋体" w:cs="宋体"/>
          <w:color w:val="auto"/>
          <w:szCs w:val="24"/>
          <w:lang w:val="zh-CN"/>
        </w:rPr>
      </w:pPr>
      <w:r>
        <w:rPr>
          <w:rFonts w:hint="eastAsia" w:ascii="宋体" w:hAnsi="宋体" w:cs="宋体"/>
          <w:color w:val="auto"/>
          <w:szCs w:val="24"/>
          <w:lang w:val="zh-CN"/>
        </w:rPr>
        <w:t>投标文件报价出现前后不一致的，按照下列规定修正：</w:t>
      </w:r>
    </w:p>
    <w:p w14:paraId="07F0E5CE">
      <w:pPr>
        <w:pStyle w:val="44"/>
        <w:numPr>
          <w:ilvl w:val="0"/>
          <w:numId w:val="33"/>
        </w:numPr>
        <w:spacing w:before="0"/>
        <w:ind w:firstLine="480"/>
        <w:rPr>
          <w:rFonts w:ascii="宋体" w:hAnsi="宋体" w:cs="宋体"/>
          <w:color w:val="auto"/>
          <w:szCs w:val="24"/>
          <w:lang w:val="zh-CN"/>
        </w:rPr>
      </w:pPr>
      <w:r>
        <w:rPr>
          <w:rFonts w:hint="eastAsia" w:ascii="宋体" w:hAnsi="宋体" w:cs="宋体"/>
          <w:color w:val="auto"/>
          <w:szCs w:val="24"/>
          <w:lang w:val="zh-CN"/>
        </w:rPr>
        <w:t>投标文件中投标（开标）一览表内容与投标文件中相应内容不一致的，以投标（开标）一览表为准；</w:t>
      </w:r>
    </w:p>
    <w:p w14:paraId="68A88C83">
      <w:pPr>
        <w:pStyle w:val="44"/>
        <w:numPr>
          <w:ilvl w:val="0"/>
          <w:numId w:val="33"/>
        </w:numPr>
        <w:spacing w:before="0"/>
        <w:ind w:firstLine="480"/>
        <w:rPr>
          <w:rFonts w:ascii="宋体" w:hAnsi="宋体" w:cs="宋体"/>
          <w:color w:val="auto"/>
          <w:szCs w:val="24"/>
          <w:lang w:val="zh-CN"/>
        </w:rPr>
      </w:pPr>
      <w:r>
        <w:rPr>
          <w:rFonts w:hint="eastAsia" w:ascii="宋体" w:hAnsi="宋体" w:cs="宋体"/>
          <w:color w:val="auto"/>
          <w:szCs w:val="24"/>
          <w:lang w:val="zh-CN"/>
        </w:rPr>
        <w:t>大写金额和小写金额不一致的，以大写金额为准；</w:t>
      </w:r>
    </w:p>
    <w:p w14:paraId="668F0563">
      <w:pPr>
        <w:pStyle w:val="44"/>
        <w:numPr>
          <w:ilvl w:val="0"/>
          <w:numId w:val="33"/>
        </w:numPr>
        <w:spacing w:before="0"/>
        <w:ind w:firstLine="480"/>
        <w:rPr>
          <w:rFonts w:ascii="宋体" w:hAnsi="宋体" w:cs="宋体"/>
          <w:color w:val="auto"/>
          <w:szCs w:val="24"/>
          <w:lang w:val="zh-CN"/>
        </w:rPr>
      </w:pPr>
      <w:r>
        <w:rPr>
          <w:rFonts w:hint="eastAsia" w:ascii="宋体" w:hAnsi="宋体" w:cs="宋体"/>
          <w:color w:val="auto"/>
          <w:szCs w:val="24"/>
          <w:lang w:val="zh-CN"/>
        </w:rPr>
        <w:t>单价金额小数点或者百分比有明显错位的，以投标（开标）一览表的总价为准，并修改单价；</w:t>
      </w:r>
    </w:p>
    <w:p w14:paraId="0A427115">
      <w:pPr>
        <w:pStyle w:val="44"/>
        <w:numPr>
          <w:ilvl w:val="0"/>
          <w:numId w:val="33"/>
        </w:numPr>
        <w:spacing w:before="0"/>
        <w:ind w:firstLine="480"/>
        <w:rPr>
          <w:rFonts w:ascii="宋体" w:hAnsi="宋体" w:cs="宋体"/>
          <w:color w:val="auto"/>
          <w:szCs w:val="24"/>
          <w:lang w:val="zh-CN"/>
        </w:rPr>
      </w:pPr>
      <w:r>
        <w:rPr>
          <w:rFonts w:hint="eastAsia" w:ascii="宋体" w:hAnsi="宋体" w:cs="宋体"/>
          <w:color w:val="auto"/>
          <w:szCs w:val="24"/>
          <w:lang w:val="zh-CN"/>
        </w:rPr>
        <w:t>总价金额与按单价汇总金额不一致的，以单价金额计算结果为准。</w:t>
      </w:r>
    </w:p>
    <w:p w14:paraId="7CA99778">
      <w:pPr>
        <w:pStyle w:val="44"/>
        <w:spacing w:before="0"/>
        <w:ind w:firstLine="480"/>
        <w:rPr>
          <w:rFonts w:ascii="宋体" w:hAnsi="宋体" w:cs="宋体"/>
          <w:color w:val="auto"/>
          <w:szCs w:val="24"/>
          <w:lang w:val="zh-CN"/>
        </w:rPr>
      </w:pPr>
      <w:r>
        <w:rPr>
          <w:rFonts w:hint="eastAsia" w:ascii="宋体" w:hAnsi="宋体" w:cs="宋体"/>
          <w:color w:val="auto"/>
          <w:szCs w:val="24"/>
          <w:lang w:val="zh-CN"/>
        </w:rPr>
        <w:t>同时出现两种以上不一致的，按照前款规定的顺序修正。修正后的报价按照财政部公布第87号令 《政府采购产品和服务招标投标管理办法》第五十一条第二款的规定经投标人确认后产生约束力，投标人不确认的，其投标无效。</w:t>
      </w:r>
    </w:p>
    <w:p w14:paraId="048F0AF2">
      <w:pPr>
        <w:pStyle w:val="15"/>
        <w:numPr>
          <w:ilvl w:val="0"/>
          <w:numId w:val="12"/>
        </w:numPr>
        <w:spacing w:line="360" w:lineRule="auto"/>
        <w:ind w:firstLine="482" w:firstLineChars="200"/>
        <w:rPr>
          <w:rFonts w:hAnsi="宋体" w:cs="宋体"/>
          <w:b/>
          <w:color w:val="auto"/>
          <w:sz w:val="24"/>
          <w:szCs w:val="24"/>
        </w:rPr>
      </w:pPr>
      <w:r>
        <w:rPr>
          <w:rFonts w:hint="eastAsia" w:hAnsi="宋体" w:cs="宋体"/>
          <w:b/>
          <w:color w:val="auto"/>
          <w:sz w:val="24"/>
          <w:szCs w:val="24"/>
        </w:rPr>
        <w:t>投标文件的澄清</w:t>
      </w:r>
    </w:p>
    <w:p w14:paraId="30CA515D">
      <w:pPr>
        <w:pStyle w:val="44"/>
        <w:numPr>
          <w:ilvl w:val="0"/>
          <w:numId w:val="34"/>
        </w:numPr>
        <w:spacing w:before="0"/>
        <w:ind w:firstLine="480"/>
        <w:rPr>
          <w:rFonts w:ascii="宋体" w:hAnsi="宋体" w:cs="宋体"/>
          <w:color w:val="auto"/>
          <w:szCs w:val="24"/>
          <w:lang w:val="zh-CN"/>
        </w:rPr>
      </w:pPr>
      <w:r>
        <w:rPr>
          <w:rFonts w:hint="eastAsia" w:ascii="宋体" w:hAnsi="宋体" w:cs="宋体"/>
          <w:color w:val="auto"/>
          <w:szCs w:val="24"/>
          <w:lang w:val="zh-CN"/>
        </w:rPr>
        <w:t>评审中因投标文件含义不明、表述不一致或有明显计算错误等内容需要供应商作出澄清、说明或者补正的，评标委员会和供应商应当通过</w:t>
      </w:r>
      <w:r>
        <w:rPr>
          <w:rFonts w:hint="eastAsia" w:cs="宋体"/>
          <w:color w:val="auto"/>
          <w:szCs w:val="24"/>
          <w:lang w:val="zh-CN"/>
        </w:rPr>
        <w:t>村采云</w:t>
      </w:r>
      <w:r>
        <w:rPr>
          <w:rFonts w:hint="eastAsia" w:ascii="宋体" w:hAnsi="宋体" w:cs="宋体"/>
          <w:color w:val="auto"/>
          <w:szCs w:val="24"/>
          <w:lang w:val="zh-CN"/>
        </w:rPr>
        <w:t>平台交换数据电文，给予供应商提交澄清说明或补正的时间不少于半小时，供应商已经明确表示澄清说明或补正完毕的除外。</w:t>
      </w:r>
    </w:p>
    <w:p w14:paraId="4A629457">
      <w:pPr>
        <w:pStyle w:val="44"/>
        <w:numPr>
          <w:ilvl w:val="0"/>
          <w:numId w:val="34"/>
        </w:numPr>
        <w:spacing w:before="0"/>
        <w:ind w:firstLine="480"/>
        <w:rPr>
          <w:rFonts w:ascii="宋体" w:hAnsi="宋体" w:cs="宋体"/>
          <w:color w:val="auto"/>
          <w:szCs w:val="24"/>
          <w:lang w:val="zh-CN"/>
        </w:rPr>
      </w:pPr>
      <w:r>
        <w:rPr>
          <w:rFonts w:hint="eastAsia" w:ascii="宋体" w:hAnsi="宋体" w:cs="宋体"/>
          <w:color w:val="auto"/>
          <w:szCs w:val="24"/>
          <w:lang w:val="zh-CN"/>
        </w:rPr>
        <w:t>供应商通过</w:t>
      </w:r>
      <w:r>
        <w:rPr>
          <w:rFonts w:hint="eastAsia" w:cs="宋体"/>
          <w:color w:val="auto"/>
          <w:szCs w:val="24"/>
          <w:lang w:val="zh-CN"/>
        </w:rPr>
        <w:t>村采云</w:t>
      </w:r>
      <w:r>
        <w:rPr>
          <w:rFonts w:hint="eastAsia" w:ascii="宋体" w:hAnsi="宋体" w:cs="宋体"/>
          <w:color w:val="auto"/>
          <w:szCs w:val="24"/>
          <w:lang w:val="zh-CN"/>
        </w:rPr>
        <w:t>平台交换的数据电文必须进行电子签章。</w:t>
      </w:r>
    </w:p>
    <w:p w14:paraId="4803E27C">
      <w:pPr>
        <w:pStyle w:val="15"/>
        <w:numPr>
          <w:ilvl w:val="0"/>
          <w:numId w:val="12"/>
        </w:numPr>
        <w:spacing w:line="360" w:lineRule="auto"/>
        <w:ind w:firstLine="482" w:firstLineChars="200"/>
        <w:rPr>
          <w:rFonts w:hAnsi="宋体" w:cs="宋体"/>
          <w:b/>
          <w:color w:val="auto"/>
          <w:sz w:val="24"/>
          <w:szCs w:val="24"/>
        </w:rPr>
      </w:pPr>
      <w:r>
        <w:rPr>
          <w:rFonts w:hint="eastAsia" w:hAnsi="宋体" w:cs="宋体"/>
          <w:b/>
          <w:color w:val="auto"/>
          <w:sz w:val="24"/>
          <w:szCs w:val="24"/>
        </w:rPr>
        <w:t>无效投标</w:t>
      </w:r>
    </w:p>
    <w:p w14:paraId="6CA8B798">
      <w:pPr>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经过审查，凡不符合有关规定，不响应招标文件的实质性条款，存在以下重大偏离之一的，经评标委员会认定，将因未通过资格性或符合性审查而被作为无效投标处理：</w:t>
      </w:r>
    </w:p>
    <w:p w14:paraId="06599802">
      <w:pPr>
        <w:numPr>
          <w:ilvl w:val="0"/>
          <w:numId w:val="35"/>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未按照招标文件规定要求签署、盖章的；</w:t>
      </w:r>
    </w:p>
    <w:p w14:paraId="3410B8B0">
      <w:pPr>
        <w:numPr>
          <w:ilvl w:val="0"/>
          <w:numId w:val="35"/>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 xml:space="preserve">《法定代表人授权书》填写不全、错误、未加盖投标人公章（公章和签字或盖章缺一不可）； </w:t>
      </w:r>
    </w:p>
    <w:p w14:paraId="369110E1">
      <w:pPr>
        <w:numPr>
          <w:ilvl w:val="0"/>
          <w:numId w:val="35"/>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个体工商户的身份证明与营业执照不一致的；</w:t>
      </w:r>
    </w:p>
    <w:p w14:paraId="17D31769">
      <w:pPr>
        <w:numPr>
          <w:ilvl w:val="0"/>
          <w:numId w:val="35"/>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投标文件中的投标函未加盖投标人的企业公章或填写不全的；</w:t>
      </w:r>
    </w:p>
    <w:p w14:paraId="040B94B2">
      <w:pPr>
        <w:numPr>
          <w:ilvl w:val="0"/>
          <w:numId w:val="35"/>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报价一经涂改，未在涂改处加盖投标单位公章或者未经法定代表人或其授权代表签字或盖章的；</w:t>
      </w:r>
    </w:p>
    <w:p w14:paraId="1831D81A">
      <w:pPr>
        <w:numPr>
          <w:ilvl w:val="0"/>
          <w:numId w:val="35"/>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因未按规定的格式填写，内容不全或主要实质性内容字迹模糊辨认不清,经评标委员会认定为无法评审的；</w:t>
      </w:r>
    </w:p>
    <w:p w14:paraId="20330D9E">
      <w:pPr>
        <w:numPr>
          <w:ilvl w:val="0"/>
          <w:numId w:val="35"/>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出现同一标的物或本次招标产品(服务)内的主要产品(重要组成部分)出现技术、商务描述不一致或前后描述不一致，经评标委员会认定后为无法评审的；</w:t>
      </w:r>
    </w:p>
    <w:p w14:paraId="5620B97C">
      <w:pPr>
        <w:numPr>
          <w:ilvl w:val="0"/>
          <w:numId w:val="35"/>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投标详细配置清单响应表不真实填写或弄虚作假的；改变招标文件提供的清单中的计量单位、工程数量；</w:t>
      </w:r>
    </w:p>
    <w:p w14:paraId="7366EB65">
      <w:pPr>
        <w:numPr>
          <w:ilvl w:val="0"/>
          <w:numId w:val="35"/>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对招标产品技术规格未详细应答，致使其技术文件无法评审的；</w:t>
      </w:r>
    </w:p>
    <w:p w14:paraId="22BA6592">
      <w:pPr>
        <w:numPr>
          <w:ilvl w:val="0"/>
          <w:numId w:val="35"/>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投标文件有招标方不能接受的条件；</w:t>
      </w:r>
    </w:p>
    <w:p w14:paraId="4D68989E">
      <w:pPr>
        <w:numPr>
          <w:ilvl w:val="0"/>
          <w:numId w:val="35"/>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评标委员会认为投标人的报价明显低于其他通过符合性审查投标人的报价，有可能影响产品质量或者不能诚信履约的，应当要求其在评标现场合理的时间内通过</w:t>
      </w:r>
      <w:r>
        <w:rPr>
          <w:rFonts w:hint="eastAsia" w:ascii="宋体" w:hAnsi="宋体" w:cs="宋体"/>
          <w:b/>
          <w:bCs/>
          <w:color w:val="auto"/>
          <w:sz w:val="24"/>
          <w:szCs w:val="21"/>
          <w:lang w:eastAsia="zh-CN"/>
        </w:rPr>
        <w:t>村采云</w:t>
      </w:r>
      <w:r>
        <w:rPr>
          <w:rFonts w:hint="eastAsia" w:ascii="宋体" w:hAnsi="宋体" w:cs="宋体"/>
          <w:b/>
          <w:bCs/>
          <w:color w:val="auto"/>
          <w:sz w:val="24"/>
          <w:szCs w:val="21"/>
        </w:rPr>
        <w:t>平台提供线上说明，必要时提交相关证明材料。</w:t>
      </w:r>
    </w:p>
    <w:p w14:paraId="73C355C1">
      <w:pPr>
        <w:numPr>
          <w:ilvl w:val="0"/>
          <w:numId w:val="35"/>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投标报价超过预算金额或最高限价的；</w:t>
      </w:r>
    </w:p>
    <w:p w14:paraId="1FA219E3">
      <w:pPr>
        <w:numPr>
          <w:ilvl w:val="0"/>
          <w:numId w:val="35"/>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投标文件“商务技术文件资料”部分中出现《开标一览表》或《投标报价明细表》相关内容的；</w:t>
      </w:r>
    </w:p>
    <w:p w14:paraId="285BE11C">
      <w:pPr>
        <w:numPr>
          <w:ilvl w:val="0"/>
          <w:numId w:val="35"/>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评标委员会认定有重大偏差或实质性不响应招标文件要求的，即“★”的关键性指标及技术参数要求负偏离或缺漏；</w:t>
      </w:r>
    </w:p>
    <w:p w14:paraId="54727A55">
      <w:pPr>
        <w:numPr>
          <w:ilvl w:val="0"/>
          <w:numId w:val="35"/>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员工工资标准低于绍兴市最低工资标准的；</w:t>
      </w:r>
    </w:p>
    <w:p w14:paraId="3AA49546">
      <w:pPr>
        <w:numPr>
          <w:ilvl w:val="0"/>
          <w:numId w:val="35"/>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投标人拒绝按招标文件规定的修正原则对投标文件进行修改的；</w:t>
      </w:r>
    </w:p>
    <w:p w14:paraId="424C2933">
      <w:pPr>
        <w:numPr>
          <w:ilvl w:val="0"/>
          <w:numId w:val="35"/>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有下列情形之一的，视为投标人串通投标，其投标无效：</w:t>
      </w:r>
    </w:p>
    <w:p w14:paraId="2CD4FAA2">
      <w:pPr>
        <w:numPr>
          <w:ilvl w:val="0"/>
          <w:numId w:val="36"/>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不同投标人的投标文件由同一单位或者个人编制；</w:t>
      </w:r>
    </w:p>
    <w:p w14:paraId="3EA75F25">
      <w:pPr>
        <w:numPr>
          <w:ilvl w:val="0"/>
          <w:numId w:val="36"/>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不同投标人委托同一单位或者个人办理投标事宜；</w:t>
      </w:r>
    </w:p>
    <w:p w14:paraId="294125E2">
      <w:pPr>
        <w:numPr>
          <w:ilvl w:val="0"/>
          <w:numId w:val="36"/>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不同投标人的投标文件载明的项目管理成员或者联系人员为同一人；</w:t>
      </w:r>
    </w:p>
    <w:p w14:paraId="12B259A9">
      <w:pPr>
        <w:numPr>
          <w:ilvl w:val="0"/>
          <w:numId w:val="36"/>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不同投标人的投标文件异常一致或者投标报价呈规律性差异；</w:t>
      </w:r>
    </w:p>
    <w:p w14:paraId="65999DAF">
      <w:pPr>
        <w:numPr>
          <w:ilvl w:val="0"/>
          <w:numId w:val="36"/>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不同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14:paraId="3346568C">
      <w:pPr>
        <w:tabs>
          <w:tab w:val="left" w:pos="0"/>
        </w:tabs>
        <w:spacing w:line="360" w:lineRule="auto"/>
        <w:ind w:firstLine="482" w:firstLineChars="200"/>
        <w:rPr>
          <w:rFonts w:hint="default" w:eastAsia="宋体"/>
          <w:lang w:val="en-US" w:eastAsia="zh-CN"/>
        </w:rPr>
      </w:pPr>
      <w:r>
        <w:rPr>
          <w:rFonts w:hint="eastAsia" w:ascii="宋体" w:hAnsi="宋体" w:cs="宋体"/>
          <w:b/>
          <w:bCs/>
          <w:color w:val="auto"/>
          <w:sz w:val="24"/>
          <w:szCs w:val="21"/>
          <w:lang w:val="en-US" w:eastAsia="zh-CN"/>
        </w:rPr>
        <w:t xml:space="preserve">24.18 </w:t>
      </w:r>
      <w:r>
        <w:rPr>
          <w:rFonts w:hint="eastAsia" w:ascii="宋体" w:hAnsi="宋体" w:eastAsia="宋体" w:cs="宋体"/>
          <w:b/>
          <w:bCs/>
          <w:color w:val="auto"/>
          <w:sz w:val="24"/>
          <w:szCs w:val="21"/>
        </w:rPr>
        <w:t>其他违反法律、法规的情形。</w:t>
      </w:r>
    </w:p>
    <w:p w14:paraId="5682D979">
      <w:pPr>
        <w:pStyle w:val="15"/>
        <w:numPr>
          <w:ilvl w:val="0"/>
          <w:numId w:val="12"/>
        </w:numPr>
        <w:spacing w:line="360" w:lineRule="auto"/>
        <w:ind w:firstLine="482" w:firstLineChars="200"/>
        <w:rPr>
          <w:rFonts w:hAnsi="宋体" w:cs="宋体"/>
          <w:b/>
          <w:color w:val="auto"/>
          <w:sz w:val="24"/>
          <w:szCs w:val="24"/>
        </w:rPr>
      </w:pPr>
      <w:r>
        <w:rPr>
          <w:rFonts w:hint="eastAsia" w:hAnsi="宋体" w:cs="宋体"/>
          <w:b/>
          <w:color w:val="auto"/>
          <w:sz w:val="24"/>
          <w:szCs w:val="24"/>
        </w:rPr>
        <w:t>废标</w:t>
      </w:r>
    </w:p>
    <w:p w14:paraId="57C56052">
      <w:pPr>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根据《中华人民共和国政府采购法》第三十六条之规定，在采购中，出现下列情形之一的，应予废标：</w:t>
      </w:r>
    </w:p>
    <w:p w14:paraId="48936464">
      <w:pPr>
        <w:pStyle w:val="44"/>
        <w:numPr>
          <w:ilvl w:val="0"/>
          <w:numId w:val="37"/>
        </w:numPr>
        <w:spacing w:before="0"/>
        <w:ind w:firstLine="480"/>
        <w:rPr>
          <w:rFonts w:ascii="宋体" w:hAnsi="宋体" w:cs="宋体"/>
          <w:color w:val="auto"/>
          <w:szCs w:val="24"/>
          <w:lang w:val="zh-CN"/>
        </w:rPr>
      </w:pPr>
      <w:r>
        <w:rPr>
          <w:rFonts w:hint="eastAsia" w:ascii="宋体" w:hAnsi="宋体" w:cs="宋体"/>
          <w:color w:val="auto"/>
          <w:szCs w:val="24"/>
          <w:lang w:val="zh-CN"/>
        </w:rPr>
        <w:t>符合专业条件的供应商或者对招标文件作实质响应的供应商不足3家的；</w:t>
      </w:r>
    </w:p>
    <w:p w14:paraId="3DC36CFB">
      <w:pPr>
        <w:pStyle w:val="44"/>
        <w:numPr>
          <w:ilvl w:val="0"/>
          <w:numId w:val="37"/>
        </w:numPr>
        <w:spacing w:before="0"/>
        <w:ind w:firstLine="480"/>
        <w:rPr>
          <w:rFonts w:ascii="宋体" w:hAnsi="宋体" w:cs="宋体"/>
          <w:color w:val="auto"/>
          <w:szCs w:val="24"/>
          <w:lang w:val="zh-CN"/>
        </w:rPr>
      </w:pPr>
      <w:r>
        <w:rPr>
          <w:rFonts w:hint="eastAsia" w:ascii="宋体" w:hAnsi="宋体" w:cs="宋体"/>
          <w:color w:val="auto"/>
          <w:szCs w:val="24"/>
          <w:lang w:val="zh-CN"/>
        </w:rPr>
        <w:t>出现影响采购公正的违法、违规行为的；</w:t>
      </w:r>
    </w:p>
    <w:p w14:paraId="54356559">
      <w:pPr>
        <w:pStyle w:val="44"/>
        <w:numPr>
          <w:ilvl w:val="0"/>
          <w:numId w:val="37"/>
        </w:numPr>
        <w:spacing w:before="0"/>
        <w:ind w:firstLine="480"/>
        <w:rPr>
          <w:rFonts w:ascii="宋体" w:hAnsi="宋体" w:cs="宋体"/>
          <w:color w:val="auto"/>
          <w:szCs w:val="24"/>
          <w:lang w:val="zh-CN"/>
        </w:rPr>
      </w:pPr>
      <w:r>
        <w:rPr>
          <w:rFonts w:hint="eastAsia" w:ascii="宋体" w:hAnsi="宋体" w:cs="宋体"/>
          <w:color w:val="auto"/>
          <w:szCs w:val="24"/>
          <w:lang w:val="zh-CN"/>
        </w:rPr>
        <w:t>投标人的报价均超过了采购预算，采购人不能支付的；</w:t>
      </w:r>
    </w:p>
    <w:p w14:paraId="355F2D56">
      <w:pPr>
        <w:pStyle w:val="44"/>
        <w:numPr>
          <w:ilvl w:val="0"/>
          <w:numId w:val="37"/>
        </w:numPr>
        <w:spacing w:before="0"/>
        <w:ind w:firstLine="480"/>
        <w:rPr>
          <w:rFonts w:ascii="宋体" w:hAnsi="宋体" w:cs="宋体"/>
          <w:color w:val="auto"/>
          <w:szCs w:val="24"/>
          <w:lang w:val="zh-CN"/>
        </w:rPr>
      </w:pPr>
      <w:r>
        <w:rPr>
          <w:rFonts w:hint="eastAsia" w:ascii="宋体" w:hAnsi="宋体" w:cs="宋体"/>
          <w:color w:val="auto"/>
          <w:szCs w:val="24"/>
          <w:lang w:val="zh-CN"/>
        </w:rPr>
        <w:t>因重大变故，采购任务取消的。</w:t>
      </w:r>
    </w:p>
    <w:p w14:paraId="121DD7B1">
      <w:pPr>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废标后，采购代理机构应当将废标理由通知所有投标人。</w:t>
      </w:r>
    </w:p>
    <w:p w14:paraId="0C463976">
      <w:pPr>
        <w:pStyle w:val="15"/>
        <w:numPr>
          <w:ilvl w:val="0"/>
          <w:numId w:val="12"/>
        </w:numPr>
        <w:spacing w:line="360" w:lineRule="auto"/>
        <w:ind w:firstLine="482" w:firstLineChars="200"/>
        <w:rPr>
          <w:rFonts w:hAnsi="宋体" w:cs="宋体"/>
          <w:b/>
          <w:color w:val="auto"/>
          <w:sz w:val="24"/>
          <w:szCs w:val="24"/>
        </w:rPr>
      </w:pPr>
      <w:r>
        <w:rPr>
          <w:rFonts w:hint="eastAsia" w:hAnsi="宋体" w:cs="宋体"/>
          <w:b/>
          <w:bCs/>
          <w:color w:val="auto"/>
          <w:sz w:val="24"/>
          <w:szCs w:val="24"/>
          <w:lang w:val="zh-CN"/>
        </w:rPr>
        <w:t>中止电子交易活动和</w:t>
      </w:r>
      <w:r>
        <w:rPr>
          <w:rFonts w:hint="eastAsia" w:hAnsi="宋体" w:cs="宋体"/>
          <w:b/>
          <w:color w:val="auto"/>
          <w:sz w:val="24"/>
          <w:szCs w:val="24"/>
        </w:rPr>
        <w:t>重新组织采购</w:t>
      </w:r>
    </w:p>
    <w:p w14:paraId="2493A5FD">
      <w:pPr>
        <w:pStyle w:val="44"/>
        <w:tabs>
          <w:tab w:val="left" w:pos="0"/>
        </w:tabs>
        <w:spacing w:before="0"/>
        <w:ind w:left="420" w:leftChars="200" w:firstLine="0" w:firstLineChars="0"/>
        <w:rPr>
          <w:rFonts w:ascii="宋体" w:hAnsi="宋体" w:cs="宋体"/>
          <w:color w:val="auto"/>
          <w:szCs w:val="24"/>
          <w:lang w:val="zh-CN"/>
        </w:rPr>
      </w:pPr>
      <w:r>
        <w:rPr>
          <w:rFonts w:hint="eastAsia" w:ascii="宋体" w:hAnsi="宋体" w:cs="宋体"/>
          <w:color w:val="auto"/>
          <w:szCs w:val="24"/>
        </w:rPr>
        <w:t>26.1</w:t>
      </w:r>
      <w:r>
        <w:rPr>
          <w:rFonts w:hint="eastAsia" w:ascii="宋体" w:hAnsi="宋体" w:cs="宋体"/>
          <w:color w:val="auto"/>
          <w:szCs w:val="24"/>
          <w:lang w:val="zh-CN"/>
        </w:rPr>
        <w:t>采购过程中出现以下情形，导致电子交易平台无法正常运行，或者无法保证电子交易的公平、公正和安全时，采购组织机构可中止电子交易活动：</w:t>
      </w:r>
    </w:p>
    <w:p w14:paraId="586E9ECE">
      <w:pPr>
        <w:numPr>
          <w:ilvl w:val="0"/>
          <w:numId w:val="38"/>
        </w:numPr>
        <w:tabs>
          <w:tab w:val="left" w:pos="0"/>
        </w:tabs>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 xml:space="preserve">电子交易平台发生故障而无法登录访问的； </w:t>
      </w:r>
    </w:p>
    <w:p w14:paraId="60917561">
      <w:pPr>
        <w:numPr>
          <w:ilvl w:val="0"/>
          <w:numId w:val="38"/>
        </w:numPr>
        <w:tabs>
          <w:tab w:val="left" w:pos="0"/>
        </w:tabs>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电子交易平台应用或数据库出现错误，不能进行正常操作的；</w:t>
      </w:r>
    </w:p>
    <w:p w14:paraId="37D37A4D">
      <w:pPr>
        <w:numPr>
          <w:ilvl w:val="0"/>
          <w:numId w:val="38"/>
        </w:numPr>
        <w:tabs>
          <w:tab w:val="left" w:pos="0"/>
        </w:tabs>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电子交易平台发现严重安全漏洞，有潜在泄密危险的；</w:t>
      </w:r>
    </w:p>
    <w:p w14:paraId="09FE7277">
      <w:pPr>
        <w:numPr>
          <w:ilvl w:val="0"/>
          <w:numId w:val="38"/>
        </w:numPr>
        <w:tabs>
          <w:tab w:val="left" w:pos="0"/>
        </w:tabs>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 xml:space="preserve">病毒发作导致不能进行正常操作的； </w:t>
      </w:r>
    </w:p>
    <w:p w14:paraId="25B0C18E">
      <w:pPr>
        <w:numPr>
          <w:ilvl w:val="0"/>
          <w:numId w:val="38"/>
        </w:numPr>
        <w:tabs>
          <w:tab w:val="left" w:pos="0"/>
        </w:tabs>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其他无法保证电子交易的公平、公正和安全的情况。</w:t>
      </w:r>
    </w:p>
    <w:p w14:paraId="1EA4C332">
      <w:pPr>
        <w:pStyle w:val="44"/>
        <w:tabs>
          <w:tab w:val="left" w:pos="0"/>
        </w:tabs>
        <w:spacing w:before="0"/>
        <w:ind w:firstLine="480"/>
        <w:rPr>
          <w:rFonts w:ascii="宋体" w:hAnsi="宋体" w:cs="宋体"/>
          <w:color w:val="auto"/>
          <w:szCs w:val="24"/>
        </w:rPr>
      </w:pPr>
      <w:r>
        <w:rPr>
          <w:rFonts w:hint="eastAsia" w:ascii="宋体" w:hAnsi="宋体" w:cs="宋体"/>
          <w:color w:val="auto"/>
          <w:szCs w:val="24"/>
        </w:rPr>
        <w:t>26.2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56FF3C1">
      <w:pPr>
        <w:pStyle w:val="15"/>
        <w:numPr>
          <w:ilvl w:val="0"/>
          <w:numId w:val="12"/>
        </w:numPr>
        <w:spacing w:line="360" w:lineRule="auto"/>
        <w:ind w:firstLine="482" w:firstLineChars="200"/>
        <w:rPr>
          <w:rFonts w:hAnsi="宋体" w:cs="宋体"/>
          <w:b/>
          <w:color w:val="auto"/>
          <w:sz w:val="24"/>
          <w:szCs w:val="24"/>
        </w:rPr>
      </w:pPr>
      <w:r>
        <w:rPr>
          <w:rFonts w:hint="eastAsia" w:hAnsi="宋体" w:cs="宋体"/>
          <w:b/>
          <w:color w:val="auto"/>
          <w:sz w:val="24"/>
          <w:szCs w:val="24"/>
        </w:rPr>
        <w:t>保密及其它注意事项</w:t>
      </w:r>
    </w:p>
    <w:p w14:paraId="1BA9EE5A">
      <w:pPr>
        <w:pStyle w:val="44"/>
        <w:numPr>
          <w:ilvl w:val="0"/>
          <w:numId w:val="39"/>
        </w:numPr>
        <w:spacing w:before="0"/>
        <w:ind w:firstLine="480"/>
        <w:rPr>
          <w:rFonts w:ascii="宋体" w:hAnsi="宋体" w:cs="宋体"/>
          <w:color w:val="auto"/>
          <w:szCs w:val="24"/>
        </w:rPr>
      </w:pPr>
      <w:r>
        <w:rPr>
          <w:rFonts w:hint="eastAsia" w:ascii="宋体" w:hAnsi="宋体" w:cs="宋体"/>
          <w:color w:val="auto"/>
          <w:szCs w:val="24"/>
        </w:rPr>
        <w:t>评标是招标工作的重要环节，评标工作由评标委员会独立进行。评标委员会将遵照评标原则，公正、平等地对待所有投标人；</w:t>
      </w:r>
    </w:p>
    <w:p w14:paraId="79299196">
      <w:pPr>
        <w:pStyle w:val="44"/>
        <w:numPr>
          <w:ilvl w:val="0"/>
          <w:numId w:val="39"/>
        </w:numPr>
        <w:spacing w:before="0"/>
        <w:ind w:firstLine="480"/>
        <w:rPr>
          <w:rFonts w:ascii="宋体" w:hAnsi="宋体" w:cs="宋体"/>
          <w:color w:val="auto"/>
          <w:szCs w:val="24"/>
        </w:rPr>
      </w:pPr>
      <w:r>
        <w:rPr>
          <w:rFonts w:hint="eastAsia" w:ascii="宋体" w:hAnsi="宋体" w:cs="宋体"/>
          <w:color w:val="auto"/>
          <w:szCs w:val="24"/>
        </w:rPr>
        <w:t>在开标、投标期间，投标人不得向评委询问评标情况，不得进行旨在影响评标结果的活动。采购人不得在中标人确定前，与投标人就投标价格、投标方案等实质性内容进行谈判；</w:t>
      </w:r>
    </w:p>
    <w:p w14:paraId="02E516A7">
      <w:pPr>
        <w:pStyle w:val="44"/>
        <w:numPr>
          <w:ilvl w:val="0"/>
          <w:numId w:val="39"/>
        </w:numPr>
        <w:spacing w:before="0"/>
        <w:ind w:firstLine="480"/>
        <w:rPr>
          <w:rFonts w:ascii="宋体" w:hAnsi="宋体" w:cs="宋体"/>
          <w:color w:val="auto"/>
          <w:szCs w:val="24"/>
        </w:rPr>
      </w:pPr>
      <w:r>
        <w:rPr>
          <w:rFonts w:hint="eastAsia" w:ascii="宋体" w:hAnsi="宋体" w:cs="宋体"/>
          <w:color w:val="auto"/>
          <w:szCs w:val="24"/>
        </w:rPr>
        <w:t>为保证定标的公正性，在评标过程中，评委不得与投标人私下交换意见。在招标工作结束后，凡与评标情况有接触的任何人，不得也不应将评标情况扩散出评委人员之外；</w:t>
      </w:r>
    </w:p>
    <w:p w14:paraId="464D7553">
      <w:pPr>
        <w:pStyle w:val="44"/>
        <w:numPr>
          <w:ilvl w:val="0"/>
          <w:numId w:val="39"/>
        </w:numPr>
        <w:spacing w:before="0"/>
        <w:ind w:firstLine="480"/>
        <w:rPr>
          <w:rFonts w:ascii="宋体" w:hAnsi="宋体" w:cs="宋体"/>
          <w:color w:val="auto"/>
          <w:szCs w:val="24"/>
        </w:rPr>
      </w:pPr>
      <w:r>
        <w:rPr>
          <w:rFonts w:hint="eastAsia" w:ascii="宋体" w:hAnsi="宋体" w:cs="宋体"/>
          <w:color w:val="auto"/>
          <w:szCs w:val="24"/>
        </w:rPr>
        <w:t>投标人相互之间，或与采购人相互不得串通投标，不得排挤其他投标人的公平竞争，损害采购人或者其他投标人的合法权益；</w:t>
      </w:r>
    </w:p>
    <w:p w14:paraId="59DD519E">
      <w:pPr>
        <w:pStyle w:val="44"/>
        <w:numPr>
          <w:ilvl w:val="0"/>
          <w:numId w:val="39"/>
        </w:numPr>
        <w:spacing w:before="0"/>
        <w:ind w:firstLine="480"/>
        <w:rPr>
          <w:rFonts w:ascii="宋体" w:hAnsi="宋体" w:cs="宋体"/>
          <w:color w:val="auto"/>
          <w:szCs w:val="24"/>
        </w:rPr>
      </w:pPr>
      <w:r>
        <w:rPr>
          <w:rFonts w:hint="eastAsia" w:ascii="宋体" w:hAnsi="宋体" w:cs="宋体"/>
          <w:color w:val="auto"/>
          <w:szCs w:val="24"/>
        </w:rPr>
        <w:t>评标委员会不向投标人解释未中标的原因；</w:t>
      </w:r>
    </w:p>
    <w:p w14:paraId="05F39B3C">
      <w:pPr>
        <w:pStyle w:val="44"/>
        <w:numPr>
          <w:ilvl w:val="0"/>
          <w:numId w:val="39"/>
        </w:numPr>
        <w:spacing w:before="0"/>
        <w:ind w:firstLine="480"/>
        <w:rPr>
          <w:rFonts w:ascii="宋体" w:hAnsi="宋体" w:cs="宋体"/>
          <w:color w:val="auto"/>
          <w:szCs w:val="24"/>
        </w:rPr>
      </w:pPr>
      <w:r>
        <w:rPr>
          <w:rFonts w:hint="eastAsia" w:ascii="宋体" w:hAnsi="宋体" w:cs="宋体"/>
          <w:color w:val="auto"/>
          <w:szCs w:val="24"/>
        </w:rPr>
        <w:t>特别说明：</w:t>
      </w:r>
      <w:r>
        <w:rPr>
          <w:rFonts w:hint="eastAsia" w:cs="宋体"/>
          <w:color w:val="auto"/>
          <w:szCs w:val="24"/>
          <w:lang w:eastAsia="zh-CN"/>
        </w:rPr>
        <w:t>村采云</w:t>
      </w:r>
      <w:r>
        <w:rPr>
          <w:rFonts w:hint="eastAsia" w:ascii="宋体" w:hAnsi="宋体" w:cs="宋体"/>
          <w:color w:val="auto"/>
          <w:szCs w:val="24"/>
        </w:rPr>
        <w:t>公司如对电子化开标及评审程序有调整的，按调整后的程序操作。</w:t>
      </w:r>
    </w:p>
    <w:p w14:paraId="4ED3B748">
      <w:pPr>
        <w:spacing w:line="360" w:lineRule="auto"/>
        <w:ind w:firstLine="420"/>
        <w:jc w:val="center"/>
        <w:rPr>
          <w:rFonts w:ascii="宋体" w:hAnsi="宋体" w:cs="宋体"/>
          <w:b/>
          <w:color w:val="auto"/>
          <w:sz w:val="24"/>
        </w:rPr>
      </w:pPr>
    </w:p>
    <w:p w14:paraId="239F97E1">
      <w:pPr>
        <w:snapToGrid w:val="0"/>
        <w:spacing w:line="360" w:lineRule="auto"/>
        <w:jc w:val="center"/>
        <w:outlineLvl w:val="0"/>
        <w:rPr>
          <w:rFonts w:ascii="宋体" w:hAnsi="宋体" w:cs="宋体"/>
          <w:b/>
          <w:color w:val="auto"/>
          <w:sz w:val="32"/>
        </w:rPr>
      </w:pPr>
      <w:bookmarkStart w:id="53" w:name="_Toc5331"/>
      <w:bookmarkStart w:id="54" w:name="_Toc19547"/>
      <w:r>
        <w:rPr>
          <w:rFonts w:hint="eastAsia" w:ascii="宋体" w:hAnsi="宋体" w:cs="宋体"/>
          <w:b/>
          <w:color w:val="auto"/>
          <w:sz w:val="32"/>
        </w:rPr>
        <w:t>八、定 标</w:t>
      </w:r>
      <w:bookmarkEnd w:id="53"/>
      <w:bookmarkEnd w:id="54"/>
    </w:p>
    <w:p w14:paraId="31DE7BB5">
      <w:pPr>
        <w:pStyle w:val="44"/>
        <w:tabs>
          <w:tab w:val="left" w:pos="0"/>
        </w:tabs>
        <w:spacing w:before="0"/>
        <w:ind w:firstLine="480"/>
        <w:rPr>
          <w:rFonts w:ascii="宋体" w:hAnsi="宋体" w:cs="宋体"/>
          <w:color w:val="auto"/>
          <w:szCs w:val="24"/>
        </w:rPr>
      </w:pPr>
      <w:bookmarkStart w:id="55" w:name="_Toc15760"/>
      <w:r>
        <w:rPr>
          <w:rFonts w:hint="eastAsia" w:ascii="宋体" w:hAnsi="宋体" w:cs="宋体"/>
          <w:color w:val="auto"/>
          <w:szCs w:val="24"/>
        </w:rPr>
        <w:t>28.1项目由评标委员会根据第三章《评标办法与评分标准》规定提出中标候选人排序。</w:t>
      </w:r>
    </w:p>
    <w:p w14:paraId="0D859089">
      <w:pPr>
        <w:pStyle w:val="44"/>
        <w:tabs>
          <w:tab w:val="left" w:pos="0"/>
        </w:tabs>
        <w:spacing w:before="0"/>
        <w:ind w:firstLine="480"/>
        <w:rPr>
          <w:rFonts w:ascii="宋体" w:hAnsi="宋体" w:cs="宋体"/>
          <w:color w:val="auto"/>
          <w:szCs w:val="24"/>
        </w:rPr>
      </w:pPr>
      <w:r>
        <w:rPr>
          <w:rFonts w:hint="eastAsia" w:ascii="宋体" w:hAnsi="宋体" w:cs="宋体"/>
          <w:color w:val="auto"/>
          <w:szCs w:val="24"/>
        </w:rPr>
        <w:t>28.2采购代理机构应当在评标结束后2个工作日内将评标报告送采购人。</w:t>
      </w:r>
    </w:p>
    <w:p w14:paraId="10587A9B">
      <w:pPr>
        <w:pStyle w:val="44"/>
        <w:tabs>
          <w:tab w:val="left" w:pos="0"/>
        </w:tabs>
        <w:spacing w:before="0"/>
        <w:ind w:firstLine="480"/>
        <w:rPr>
          <w:rFonts w:ascii="宋体" w:hAnsi="宋体" w:cs="宋体"/>
          <w:color w:val="auto"/>
          <w:szCs w:val="24"/>
        </w:rPr>
      </w:pPr>
      <w:r>
        <w:rPr>
          <w:rFonts w:hint="eastAsia" w:ascii="宋体" w:hAnsi="宋体" w:cs="宋体"/>
          <w:color w:val="auto"/>
          <w:szCs w:val="24"/>
        </w:rPr>
        <w:t>28.3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2D0DB979">
      <w:pPr>
        <w:pStyle w:val="44"/>
        <w:tabs>
          <w:tab w:val="left" w:pos="0"/>
        </w:tabs>
        <w:spacing w:before="0"/>
        <w:ind w:firstLine="480"/>
        <w:rPr>
          <w:rFonts w:ascii="宋体" w:hAnsi="宋体" w:cs="宋体"/>
          <w:color w:val="auto"/>
          <w:szCs w:val="24"/>
        </w:rPr>
      </w:pPr>
      <w:r>
        <w:rPr>
          <w:rFonts w:hint="eastAsia" w:ascii="宋体" w:hAnsi="宋体" w:cs="宋体"/>
          <w:color w:val="auto"/>
          <w:szCs w:val="24"/>
        </w:rPr>
        <w:t>28.4采购人或者采购代理机构应当自中标人确定之日起2个工作日内，在发布招标公告的网站上公告中标结果，公告期限为7个工作日。在公告中标结果的同时，采购人或者采购代理机构应当向中标人发出中标通知书；</w:t>
      </w:r>
    </w:p>
    <w:p w14:paraId="6AD838B7">
      <w:pPr>
        <w:pStyle w:val="44"/>
        <w:tabs>
          <w:tab w:val="left" w:pos="0"/>
        </w:tabs>
        <w:spacing w:before="0"/>
        <w:ind w:firstLine="480"/>
        <w:rPr>
          <w:rFonts w:ascii="宋体" w:hAnsi="宋体" w:cs="宋体"/>
          <w:color w:val="auto"/>
          <w:szCs w:val="24"/>
        </w:rPr>
      </w:pPr>
      <w:r>
        <w:rPr>
          <w:rFonts w:hint="eastAsia" w:ascii="宋体" w:hAnsi="宋体" w:cs="宋体"/>
          <w:color w:val="auto"/>
          <w:szCs w:val="24"/>
        </w:rPr>
        <w:t>28.5中标人应携带介绍信自行前往采购代理机构领取中标通知书。</w:t>
      </w:r>
    </w:p>
    <w:p w14:paraId="22C473FE">
      <w:pPr>
        <w:snapToGrid w:val="0"/>
        <w:spacing w:line="360" w:lineRule="auto"/>
        <w:ind w:firstLine="480" w:firstLineChars="200"/>
        <w:jc w:val="left"/>
        <w:outlineLvl w:val="0"/>
        <w:rPr>
          <w:rFonts w:hint="eastAsia" w:ascii="宋体" w:hAnsi="宋体" w:cs="宋体"/>
          <w:b/>
          <w:color w:val="auto"/>
          <w:sz w:val="24"/>
        </w:rPr>
      </w:pPr>
      <w:bookmarkStart w:id="56" w:name="_Toc23365"/>
      <w:bookmarkStart w:id="57" w:name="_Toc27239"/>
      <w:bookmarkStart w:id="58" w:name="_Toc27357"/>
      <w:r>
        <w:rPr>
          <w:rFonts w:hint="eastAsia" w:ascii="宋体" w:hAnsi="宋体" w:cs="宋体"/>
          <w:color w:val="auto"/>
          <w:sz w:val="24"/>
        </w:rPr>
        <w:t>28.6</w:t>
      </w:r>
      <w:bookmarkEnd w:id="56"/>
      <w:bookmarkEnd w:id="57"/>
      <w:bookmarkEnd w:id="58"/>
      <w:r>
        <w:rPr>
          <w:rFonts w:hint="eastAsia" w:ascii="宋体" w:hAnsi="宋体" w:cs="宋体"/>
          <w:color w:val="auto"/>
          <w:sz w:val="24"/>
        </w:rPr>
        <w:t>中标通知书发出后，采购人不得违法改变中标结果，中标人无正当理由不得放弃中标。中标人无正当理由放弃中标的，不得参加对该项目重新开展的采购活动，采购人及采购人主管部门保留对其依法追究责任的权利。</w:t>
      </w:r>
    </w:p>
    <w:p w14:paraId="429A8662">
      <w:pPr>
        <w:snapToGrid w:val="0"/>
        <w:spacing w:line="360" w:lineRule="auto"/>
        <w:jc w:val="center"/>
        <w:outlineLvl w:val="0"/>
        <w:rPr>
          <w:rFonts w:ascii="宋体" w:hAnsi="宋体" w:cs="宋体"/>
          <w:b/>
          <w:color w:val="auto"/>
          <w:sz w:val="32"/>
        </w:rPr>
      </w:pPr>
    </w:p>
    <w:p w14:paraId="0F883D36">
      <w:pPr>
        <w:snapToGrid w:val="0"/>
        <w:spacing w:line="360" w:lineRule="auto"/>
        <w:jc w:val="center"/>
        <w:outlineLvl w:val="0"/>
        <w:rPr>
          <w:rFonts w:ascii="宋体" w:hAnsi="宋体" w:cs="宋体"/>
          <w:b/>
          <w:color w:val="auto"/>
          <w:sz w:val="32"/>
        </w:rPr>
      </w:pPr>
      <w:bookmarkStart w:id="59" w:name="_Toc10448"/>
      <w:r>
        <w:rPr>
          <w:rFonts w:hint="eastAsia" w:ascii="宋体" w:hAnsi="宋体" w:cs="宋体"/>
          <w:b/>
          <w:color w:val="auto"/>
          <w:sz w:val="32"/>
        </w:rPr>
        <w:t>九、合同签订及其他</w:t>
      </w:r>
      <w:bookmarkEnd w:id="55"/>
      <w:bookmarkEnd w:id="59"/>
    </w:p>
    <w:p w14:paraId="2451AC9A">
      <w:pPr>
        <w:pStyle w:val="44"/>
        <w:tabs>
          <w:tab w:val="left" w:pos="0"/>
        </w:tabs>
        <w:spacing w:before="0"/>
        <w:ind w:firstLine="480"/>
        <w:rPr>
          <w:rFonts w:ascii="宋体" w:hAnsi="宋体" w:cs="宋体"/>
          <w:color w:val="auto"/>
          <w:szCs w:val="24"/>
        </w:rPr>
      </w:pPr>
      <w:r>
        <w:rPr>
          <w:rFonts w:hint="eastAsia" w:ascii="宋体" w:hAnsi="宋体" w:cs="宋体"/>
          <w:color w:val="auto"/>
          <w:szCs w:val="24"/>
        </w:rPr>
        <w:t>29.1 采购人应当自中标通知书发出之日起30日内，按照招标文件和中标人投标文件的规定，与中标人签订书面合同。所签订的合同不得对招标文件确定的事项和中标人投标文件作实质性修改。</w:t>
      </w:r>
    </w:p>
    <w:p w14:paraId="5EB1FE97">
      <w:pPr>
        <w:pStyle w:val="44"/>
        <w:tabs>
          <w:tab w:val="left" w:pos="0"/>
        </w:tabs>
        <w:spacing w:before="0"/>
        <w:ind w:firstLine="480"/>
        <w:rPr>
          <w:rFonts w:hint="eastAsia" w:ascii="宋体" w:hAnsi="宋体" w:cs="宋体"/>
          <w:color w:val="auto"/>
          <w:szCs w:val="24"/>
        </w:rPr>
      </w:pPr>
      <w:r>
        <w:rPr>
          <w:rFonts w:hint="eastAsia" w:ascii="宋体" w:hAnsi="宋体" w:cs="宋体"/>
          <w:color w:val="auto"/>
          <w:szCs w:val="24"/>
        </w:rPr>
        <w:t>29.2 中标或者成交供应商拒绝与采购人签订合同的，采购人可以按照评审报告推荐的中标或者成交候选人名单排序，确定下一候选人为中标或者成交供应商，也可以重新开展采购活动。拒绝签订合同的中标或者成交供应商不得参加对该项目重新开展的采购活动，并承担相应法律责任。</w:t>
      </w:r>
    </w:p>
    <w:p w14:paraId="54B1794A">
      <w:pPr>
        <w:pStyle w:val="15"/>
        <w:spacing w:line="360" w:lineRule="auto"/>
        <w:ind w:left="420" w:leftChars="200"/>
        <w:rPr>
          <w:rFonts w:hAnsi="宋体" w:cs="宋体"/>
          <w:b/>
          <w:color w:val="auto"/>
          <w:sz w:val="24"/>
          <w:szCs w:val="24"/>
        </w:rPr>
      </w:pPr>
      <w:r>
        <w:rPr>
          <w:rFonts w:hint="eastAsia" w:hAnsi="宋体" w:cs="宋体"/>
          <w:b/>
          <w:color w:val="auto"/>
          <w:sz w:val="24"/>
          <w:szCs w:val="24"/>
        </w:rPr>
        <w:t>30.履约保证金</w:t>
      </w:r>
    </w:p>
    <w:p w14:paraId="38273F86">
      <w:pPr>
        <w:pStyle w:val="44"/>
        <w:tabs>
          <w:tab w:val="left" w:pos="0"/>
        </w:tabs>
        <w:spacing w:before="0"/>
        <w:ind w:firstLine="480"/>
        <w:rPr>
          <w:rFonts w:ascii="宋体" w:hAnsi="宋体" w:cs="宋体"/>
          <w:color w:val="auto"/>
          <w:szCs w:val="24"/>
        </w:rPr>
      </w:pPr>
      <w:r>
        <w:rPr>
          <w:rFonts w:hint="eastAsia" w:ascii="宋体" w:hAnsi="宋体" w:cs="宋体"/>
          <w:color w:val="auto"/>
          <w:szCs w:val="24"/>
        </w:rPr>
        <w:t>采购合同条款要求中标供应商提交履约保证金的，供应商应当以支票、汇票、本票或者金融机构、保险公司、担保机构出具的保函等非现金形式提交。</w:t>
      </w:r>
    </w:p>
    <w:p w14:paraId="2B082C87">
      <w:pPr>
        <w:pStyle w:val="15"/>
        <w:spacing w:line="360" w:lineRule="auto"/>
        <w:ind w:left="420" w:leftChars="200"/>
        <w:rPr>
          <w:rFonts w:hAnsi="宋体" w:cs="宋体"/>
          <w:b/>
          <w:color w:val="auto"/>
          <w:sz w:val="24"/>
          <w:szCs w:val="24"/>
        </w:rPr>
      </w:pPr>
      <w:r>
        <w:rPr>
          <w:rFonts w:hint="eastAsia" w:hAnsi="宋体" w:cs="宋体"/>
          <w:b/>
          <w:color w:val="auto"/>
          <w:sz w:val="24"/>
          <w:szCs w:val="24"/>
        </w:rPr>
        <w:t>31.验收</w:t>
      </w:r>
    </w:p>
    <w:p w14:paraId="1E7F3CE8">
      <w:pPr>
        <w:pStyle w:val="44"/>
        <w:tabs>
          <w:tab w:val="left" w:pos="0"/>
        </w:tabs>
        <w:spacing w:before="0"/>
        <w:ind w:firstLine="480"/>
        <w:rPr>
          <w:rFonts w:ascii="宋体" w:hAnsi="宋体" w:cs="宋体"/>
          <w:color w:val="auto"/>
          <w:szCs w:val="24"/>
        </w:rPr>
      </w:pPr>
      <w:r>
        <w:rPr>
          <w:rFonts w:hint="eastAsia" w:ascii="宋体" w:hAnsi="宋体" w:cs="宋体"/>
          <w:color w:val="auto"/>
          <w:szCs w:val="24"/>
        </w:rPr>
        <w:t>31.1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475F55">
      <w:pPr>
        <w:pStyle w:val="44"/>
        <w:tabs>
          <w:tab w:val="left" w:pos="0"/>
        </w:tabs>
        <w:spacing w:before="0"/>
        <w:ind w:firstLine="480"/>
        <w:rPr>
          <w:rFonts w:ascii="宋体" w:hAnsi="宋体" w:cs="宋体"/>
          <w:color w:val="auto"/>
          <w:szCs w:val="24"/>
        </w:rPr>
      </w:pPr>
      <w:r>
        <w:rPr>
          <w:rFonts w:hint="eastAsia" w:ascii="宋体" w:hAnsi="宋体" w:cs="宋体"/>
          <w:color w:val="auto"/>
          <w:szCs w:val="24"/>
        </w:rPr>
        <w:t>31.2采购人应当及时对采购项目进行验收，采购人可以邀请参加本项目的其他投标人或者第三方机构参与验收，参与验收的投标人或者第三方机构的意见作为验收书的参考资料一并存档。</w:t>
      </w:r>
    </w:p>
    <w:p w14:paraId="00A34A0A">
      <w:pPr>
        <w:pStyle w:val="44"/>
        <w:tabs>
          <w:tab w:val="left" w:pos="0"/>
        </w:tabs>
        <w:spacing w:before="0"/>
        <w:ind w:firstLine="480"/>
        <w:rPr>
          <w:rFonts w:ascii="宋体" w:hAnsi="宋体" w:cs="宋体"/>
          <w:color w:val="auto"/>
          <w:szCs w:val="24"/>
        </w:rPr>
      </w:pPr>
      <w:r>
        <w:rPr>
          <w:rFonts w:hint="eastAsia" w:ascii="宋体" w:hAnsi="宋体" w:cs="宋体"/>
          <w:color w:val="auto"/>
          <w:szCs w:val="24"/>
        </w:rPr>
        <w:t>31.3采购人负责加强对中标人的履约管理，并按照采购合同约定，及时向中标人支付采购资金。对于中标人违反采购合同约定的行为，采购人应当及时处理，依法追究其违约责任。</w:t>
      </w:r>
    </w:p>
    <w:p w14:paraId="53D1474D">
      <w:pPr>
        <w:pStyle w:val="15"/>
        <w:spacing w:line="360" w:lineRule="auto"/>
        <w:ind w:left="420" w:leftChars="200"/>
        <w:rPr>
          <w:rFonts w:hAnsi="宋体" w:cs="宋体"/>
          <w:b/>
          <w:color w:val="auto"/>
          <w:sz w:val="24"/>
          <w:szCs w:val="24"/>
        </w:rPr>
      </w:pPr>
      <w:r>
        <w:rPr>
          <w:rFonts w:hint="eastAsia" w:hAnsi="宋体" w:cs="宋体"/>
          <w:b/>
          <w:color w:val="auto"/>
          <w:sz w:val="24"/>
          <w:szCs w:val="24"/>
        </w:rPr>
        <w:t>32.货款结算方式</w:t>
      </w:r>
    </w:p>
    <w:p w14:paraId="15083E85">
      <w:pPr>
        <w:tabs>
          <w:tab w:val="left" w:pos="0"/>
        </w:tabs>
        <w:spacing w:line="360" w:lineRule="auto"/>
        <w:ind w:firstLine="480"/>
        <w:rPr>
          <w:rFonts w:ascii="宋体" w:hAnsi="宋体" w:cs="宋体"/>
          <w:color w:val="auto"/>
          <w:sz w:val="24"/>
        </w:rPr>
      </w:pPr>
      <w:r>
        <w:rPr>
          <w:rFonts w:hint="eastAsia" w:ascii="宋体" w:hAnsi="宋体" w:cs="宋体"/>
          <w:color w:val="auto"/>
          <w:sz w:val="24"/>
        </w:rPr>
        <w:t>付款方式：采购人与中标人依照招标文件规定的付款方式进行项目款项的支付。</w:t>
      </w:r>
    </w:p>
    <w:p w14:paraId="751C7553">
      <w:pPr>
        <w:pStyle w:val="15"/>
        <w:spacing w:line="360" w:lineRule="auto"/>
        <w:ind w:left="420" w:leftChars="200"/>
        <w:rPr>
          <w:rFonts w:hAnsi="宋体" w:cs="宋体"/>
          <w:b/>
          <w:color w:val="auto"/>
          <w:sz w:val="24"/>
          <w:szCs w:val="24"/>
        </w:rPr>
      </w:pPr>
      <w:r>
        <w:rPr>
          <w:rFonts w:hint="eastAsia" w:hAnsi="宋体" w:cs="宋体"/>
          <w:b/>
          <w:color w:val="auto"/>
          <w:sz w:val="24"/>
          <w:szCs w:val="24"/>
        </w:rPr>
        <w:t>33.售后服务考核</w:t>
      </w:r>
    </w:p>
    <w:p w14:paraId="536FB945">
      <w:pPr>
        <w:tabs>
          <w:tab w:val="left" w:pos="0"/>
        </w:tabs>
        <w:spacing w:line="360" w:lineRule="auto"/>
        <w:ind w:firstLine="480"/>
        <w:rPr>
          <w:rFonts w:ascii="宋体" w:hAnsi="宋体" w:cs="宋体"/>
          <w:color w:val="auto"/>
          <w:sz w:val="24"/>
        </w:rPr>
      </w:pPr>
      <w:r>
        <w:rPr>
          <w:rFonts w:hint="eastAsia" w:ascii="宋体" w:hAnsi="宋体" w:cs="宋体"/>
          <w:color w:val="auto"/>
          <w:sz w:val="24"/>
        </w:rPr>
        <w:t>采购代理机构将配合采购监管部门不定期对合同的履约情况进行检查，发现弄虚作假，偷工减料，以次充好，达不到国家、行业有关标准和技术文件规定的，一经查实，由采购监督管理部门给予相应处罚。</w:t>
      </w:r>
    </w:p>
    <w:p w14:paraId="2F2DFE71">
      <w:pPr>
        <w:spacing w:line="360" w:lineRule="auto"/>
        <w:jc w:val="center"/>
        <w:rPr>
          <w:rFonts w:ascii="宋体" w:hAnsi="宋体" w:cs="宋体"/>
          <w:b/>
          <w:color w:val="auto"/>
          <w:sz w:val="24"/>
        </w:rPr>
      </w:pPr>
    </w:p>
    <w:p w14:paraId="57A5B05B">
      <w:pPr>
        <w:snapToGrid w:val="0"/>
        <w:spacing w:line="360" w:lineRule="auto"/>
        <w:jc w:val="center"/>
        <w:outlineLvl w:val="0"/>
        <w:rPr>
          <w:rFonts w:ascii="宋体" w:hAnsi="宋体" w:cs="宋体"/>
          <w:b/>
          <w:color w:val="auto"/>
          <w:sz w:val="32"/>
        </w:rPr>
      </w:pPr>
      <w:bookmarkStart w:id="60" w:name="_Toc10926"/>
      <w:bookmarkStart w:id="61" w:name="_Toc3034"/>
      <w:r>
        <w:rPr>
          <w:rFonts w:hint="eastAsia" w:ascii="宋体" w:hAnsi="宋体" w:cs="宋体"/>
          <w:b/>
          <w:color w:val="auto"/>
          <w:sz w:val="32"/>
        </w:rPr>
        <w:t>十、质疑与投诉</w:t>
      </w:r>
      <w:bookmarkEnd w:id="60"/>
      <w:bookmarkEnd w:id="61"/>
    </w:p>
    <w:p w14:paraId="659A71E6">
      <w:pPr>
        <w:tabs>
          <w:tab w:val="left" w:pos="0"/>
        </w:tabs>
        <w:spacing w:line="360" w:lineRule="auto"/>
        <w:ind w:firstLine="480"/>
        <w:rPr>
          <w:rFonts w:ascii="宋体" w:hAnsi="宋体" w:cs="宋体"/>
          <w:color w:val="auto"/>
          <w:sz w:val="24"/>
        </w:rPr>
      </w:pPr>
      <w:r>
        <w:rPr>
          <w:rFonts w:hint="eastAsia" w:ascii="宋体" w:hAnsi="宋体" w:cs="宋体"/>
          <w:color w:val="auto"/>
          <w:sz w:val="24"/>
        </w:rPr>
        <w:t>参照《</w:t>
      </w:r>
      <w:r>
        <w:rPr>
          <w:rFonts w:hint="eastAsia" w:ascii="宋体" w:hAnsi="宋体" w:cs="宋体"/>
          <w:color w:val="auto"/>
          <w:sz w:val="24"/>
          <w:szCs w:val="21"/>
        </w:rPr>
        <w:t>中华人民共和国政府采购法</w:t>
      </w:r>
      <w:r>
        <w:rPr>
          <w:rFonts w:hint="eastAsia" w:ascii="宋体" w:hAnsi="宋体" w:cs="宋体"/>
          <w:color w:val="auto"/>
          <w:sz w:val="24"/>
        </w:rPr>
        <w:t>》的规定，采购供应商可以依法提起质疑和投诉。</w:t>
      </w:r>
    </w:p>
    <w:p w14:paraId="4DE0026C">
      <w:pPr>
        <w:pStyle w:val="15"/>
        <w:spacing w:line="360" w:lineRule="auto"/>
        <w:ind w:left="420" w:leftChars="200"/>
        <w:rPr>
          <w:rFonts w:hAnsi="宋体" w:cs="宋体"/>
          <w:b/>
          <w:color w:val="auto"/>
          <w:sz w:val="24"/>
          <w:szCs w:val="24"/>
          <w:lang w:val="zh-CN"/>
        </w:rPr>
      </w:pPr>
      <w:r>
        <w:rPr>
          <w:rFonts w:hint="eastAsia" w:hAnsi="宋体" w:cs="宋体"/>
          <w:b/>
          <w:color w:val="auto"/>
          <w:sz w:val="24"/>
          <w:szCs w:val="24"/>
        </w:rPr>
        <w:t>34.</w:t>
      </w:r>
      <w:r>
        <w:rPr>
          <w:rFonts w:hint="eastAsia" w:hAnsi="宋体" w:cs="宋体"/>
          <w:b/>
          <w:color w:val="auto"/>
          <w:sz w:val="24"/>
          <w:szCs w:val="24"/>
          <w:lang w:val="zh-CN"/>
        </w:rPr>
        <w:t>供应商询问</w:t>
      </w:r>
    </w:p>
    <w:p w14:paraId="725F1ECF">
      <w:pPr>
        <w:pStyle w:val="44"/>
        <w:tabs>
          <w:tab w:val="left" w:pos="0"/>
        </w:tabs>
        <w:spacing w:before="0"/>
        <w:ind w:firstLine="480"/>
        <w:rPr>
          <w:rFonts w:ascii="宋体" w:hAnsi="宋体" w:cs="宋体"/>
          <w:color w:val="auto"/>
          <w:szCs w:val="24"/>
        </w:rPr>
      </w:pPr>
      <w:r>
        <w:rPr>
          <w:rFonts w:hint="eastAsia" w:ascii="宋体" w:hAnsi="宋体" w:cs="宋体"/>
          <w:color w:val="auto"/>
          <w:szCs w:val="24"/>
        </w:rPr>
        <w:t>供应商对采购活动事项有疑问的，可以按疑问内容向采购人、采购代理机构、乡镇（街道）招投标部门、“</w:t>
      </w:r>
      <w:r>
        <w:rPr>
          <w:rFonts w:hint="eastAsia" w:cs="宋体"/>
          <w:color w:val="auto"/>
          <w:szCs w:val="24"/>
          <w:lang w:eastAsia="zh-CN"/>
        </w:rPr>
        <w:t>村采云</w:t>
      </w:r>
      <w:r>
        <w:rPr>
          <w:rFonts w:hint="eastAsia" w:ascii="宋体" w:hAnsi="宋体" w:cs="宋体"/>
          <w:color w:val="auto"/>
          <w:szCs w:val="24"/>
        </w:rPr>
        <w:t>”平台等提出询问，采购人等应当在 7 个工作日内作出答复，但答复的内容不得涉及商业秘密。</w:t>
      </w:r>
    </w:p>
    <w:p w14:paraId="27315BD0">
      <w:pPr>
        <w:pStyle w:val="15"/>
        <w:spacing w:line="360" w:lineRule="auto"/>
        <w:ind w:left="420" w:leftChars="200"/>
        <w:rPr>
          <w:rFonts w:hAnsi="宋体" w:cs="宋体"/>
          <w:b/>
          <w:color w:val="auto"/>
          <w:sz w:val="24"/>
          <w:szCs w:val="24"/>
          <w:lang w:val="zh-CN"/>
        </w:rPr>
      </w:pPr>
      <w:r>
        <w:rPr>
          <w:rFonts w:hint="eastAsia" w:hAnsi="宋体" w:cs="宋体"/>
          <w:b/>
          <w:color w:val="auto"/>
          <w:sz w:val="24"/>
          <w:szCs w:val="24"/>
        </w:rPr>
        <w:t>35.</w:t>
      </w:r>
      <w:r>
        <w:rPr>
          <w:rFonts w:hint="eastAsia" w:hAnsi="宋体" w:cs="宋体"/>
          <w:b/>
          <w:color w:val="auto"/>
          <w:sz w:val="24"/>
          <w:szCs w:val="24"/>
          <w:lang w:val="zh-CN"/>
        </w:rPr>
        <w:t>供应商质疑</w:t>
      </w:r>
    </w:p>
    <w:p w14:paraId="13A21CB9">
      <w:pPr>
        <w:pStyle w:val="44"/>
        <w:tabs>
          <w:tab w:val="left" w:pos="0"/>
        </w:tabs>
        <w:spacing w:before="0"/>
        <w:ind w:firstLine="480"/>
        <w:rPr>
          <w:color w:val="auto"/>
        </w:rPr>
      </w:pPr>
      <w:r>
        <w:rPr>
          <w:rFonts w:hint="eastAsia" w:ascii="宋体" w:hAnsi="宋体" w:cs="宋体"/>
          <w:color w:val="auto"/>
          <w:szCs w:val="24"/>
        </w:rPr>
        <w:t>35.1</w:t>
      </w:r>
      <w:r>
        <w:rPr>
          <w:rFonts w:hint="eastAsia"/>
          <w:color w:val="auto"/>
        </w:rPr>
        <w:t>供应商认为采购文件、采购过程、中标或者成交结果使自己的权益受到损害的，可以在知道或者应知其权益受到损害之日起7个工作日内，以书面形式实名向采购代理机构或采购人提出质疑，采购代理机构、采购人应在收到书面质疑后7个工作日内作出书面答复，但答复内容不得涉及商业秘密。</w:t>
      </w:r>
    </w:p>
    <w:p w14:paraId="21920C17">
      <w:pPr>
        <w:pStyle w:val="44"/>
        <w:tabs>
          <w:tab w:val="left" w:pos="0"/>
        </w:tabs>
        <w:spacing w:before="0"/>
        <w:ind w:firstLine="480"/>
        <w:rPr>
          <w:rFonts w:ascii="宋体" w:hAnsi="宋体" w:cs="宋体"/>
          <w:color w:val="auto"/>
          <w:szCs w:val="24"/>
        </w:rPr>
      </w:pPr>
      <w:r>
        <w:rPr>
          <w:rFonts w:hint="eastAsia"/>
          <w:color w:val="auto"/>
        </w:rPr>
        <w:t>采购评审专家（评标委员会、采购小组）应当协助采购人或者采购代理机构等答复供应商的询问和质疑，必要时可出具专家意见。</w:t>
      </w:r>
    </w:p>
    <w:p w14:paraId="585F58E8">
      <w:pPr>
        <w:pStyle w:val="15"/>
        <w:spacing w:line="360" w:lineRule="auto"/>
        <w:ind w:firstLine="482" w:firstLineChars="200"/>
        <w:rPr>
          <w:rFonts w:hAnsi="宋体" w:cs="宋体"/>
          <w:color w:val="auto"/>
          <w:sz w:val="24"/>
        </w:rPr>
      </w:pPr>
      <w:r>
        <w:rPr>
          <w:rFonts w:hint="eastAsia" w:hAnsi="宋体" w:cs="宋体"/>
          <w:b/>
          <w:color w:val="auto"/>
          <w:sz w:val="24"/>
        </w:rPr>
        <w:t>供应商在法定质疑期内应一次性提出针对同一采购程序环节的质疑，否则质疑将不予受理。</w:t>
      </w:r>
    </w:p>
    <w:p w14:paraId="75A8C852">
      <w:pPr>
        <w:pStyle w:val="44"/>
        <w:tabs>
          <w:tab w:val="left" w:pos="0"/>
        </w:tabs>
        <w:spacing w:before="0"/>
        <w:ind w:left="420" w:leftChars="200" w:firstLine="0" w:firstLineChars="0"/>
        <w:rPr>
          <w:rFonts w:ascii="宋体" w:hAnsi="宋体" w:cs="宋体"/>
          <w:color w:val="auto"/>
          <w:szCs w:val="24"/>
        </w:rPr>
      </w:pPr>
      <w:r>
        <w:rPr>
          <w:rFonts w:hint="eastAsia" w:ascii="宋体" w:hAnsi="宋体" w:cs="宋体"/>
          <w:color w:val="auto"/>
          <w:szCs w:val="24"/>
        </w:rPr>
        <w:t>35.2供应商提交的质疑书需一式三份，由法定代表人签字（或盖章）并加盖单位公章。质疑书至少应包括下列主要内容：</w:t>
      </w:r>
    </w:p>
    <w:p w14:paraId="0F32F5ED">
      <w:pPr>
        <w:pStyle w:val="15"/>
        <w:numPr>
          <w:ilvl w:val="0"/>
          <w:numId w:val="40"/>
        </w:numPr>
        <w:spacing w:line="360" w:lineRule="auto"/>
        <w:ind w:firstLine="480" w:firstLineChars="200"/>
        <w:rPr>
          <w:rFonts w:hAnsi="宋体" w:cs="宋体"/>
          <w:color w:val="auto"/>
          <w:sz w:val="24"/>
        </w:rPr>
      </w:pPr>
      <w:r>
        <w:rPr>
          <w:rFonts w:hint="eastAsia" w:hAnsi="宋体" w:cs="宋体"/>
          <w:color w:val="auto"/>
          <w:sz w:val="24"/>
        </w:rPr>
        <w:t>质疑人的名称、地址、邮政编码、联系人、联系电话，以及被质疑人名称及联系方式；</w:t>
      </w:r>
    </w:p>
    <w:p w14:paraId="535907D8">
      <w:pPr>
        <w:pStyle w:val="15"/>
        <w:numPr>
          <w:ilvl w:val="0"/>
          <w:numId w:val="40"/>
        </w:numPr>
        <w:spacing w:line="360" w:lineRule="auto"/>
        <w:ind w:firstLine="480" w:firstLineChars="200"/>
        <w:rPr>
          <w:rFonts w:hAnsi="宋体" w:cs="宋体"/>
          <w:color w:val="auto"/>
          <w:sz w:val="24"/>
        </w:rPr>
      </w:pPr>
      <w:r>
        <w:rPr>
          <w:rFonts w:hint="eastAsia" w:hAnsi="宋体" w:cs="宋体"/>
          <w:color w:val="auto"/>
          <w:sz w:val="24"/>
        </w:rPr>
        <w:t>被质疑采购项目名称、编号及采购内容；</w:t>
      </w:r>
    </w:p>
    <w:p w14:paraId="1C61B371">
      <w:pPr>
        <w:pStyle w:val="15"/>
        <w:numPr>
          <w:ilvl w:val="0"/>
          <w:numId w:val="40"/>
        </w:numPr>
        <w:spacing w:line="360" w:lineRule="auto"/>
        <w:ind w:firstLine="480" w:firstLineChars="200"/>
        <w:rPr>
          <w:rFonts w:hAnsi="宋体" w:cs="宋体"/>
          <w:color w:val="auto"/>
          <w:sz w:val="24"/>
        </w:rPr>
      </w:pPr>
      <w:r>
        <w:rPr>
          <w:rFonts w:hint="eastAsia" w:hAnsi="宋体" w:cs="宋体"/>
          <w:color w:val="auto"/>
          <w:sz w:val="24"/>
        </w:rPr>
        <w:t>具体的质疑事项及事实依据；</w:t>
      </w:r>
    </w:p>
    <w:p w14:paraId="1EE98D7D">
      <w:pPr>
        <w:pStyle w:val="15"/>
        <w:numPr>
          <w:ilvl w:val="0"/>
          <w:numId w:val="40"/>
        </w:numPr>
        <w:spacing w:line="360" w:lineRule="auto"/>
        <w:ind w:firstLine="480" w:firstLineChars="200"/>
        <w:rPr>
          <w:rFonts w:hAnsi="宋体" w:cs="宋体"/>
          <w:color w:val="auto"/>
          <w:sz w:val="24"/>
        </w:rPr>
      </w:pPr>
      <w:r>
        <w:rPr>
          <w:rFonts w:hint="eastAsia" w:hAnsi="宋体" w:cs="宋体"/>
          <w:color w:val="auto"/>
          <w:sz w:val="24"/>
        </w:rPr>
        <w:t>认为自己合法权益受到损害或可能受到损害的相关证据材料；</w:t>
      </w:r>
    </w:p>
    <w:p w14:paraId="30D9F2AD">
      <w:pPr>
        <w:pStyle w:val="15"/>
        <w:numPr>
          <w:ilvl w:val="0"/>
          <w:numId w:val="40"/>
        </w:numPr>
        <w:spacing w:line="360" w:lineRule="auto"/>
        <w:ind w:firstLine="480" w:firstLineChars="200"/>
        <w:rPr>
          <w:rFonts w:hAnsi="宋体" w:cs="宋体"/>
          <w:color w:val="auto"/>
          <w:sz w:val="24"/>
        </w:rPr>
      </w:pPr>
      <w:r>
        <w:rPr>
          <w:rFonts w:hint="eastAsia" w:hAnsi="宋体" w:cs="宋体"/>
          <w:color w:val="auto"/>
          <w:sz w:val="24"/>
        </w:rPr>
        <w:t>提出质疑的日期。</w:t>
      </w:r>
    </w:p>
    <w:p w14:paraId="61AE3A8F">
      <w:pPr>
        <w:pStyle w:val="15"/>
        <w:spacing w:line="360" w:lineRule="auto"/>
        <w:ind w:firstLine="482" w:firstLineChars="200"/>
        <w:rPr>
          <w:rFonts w:hAnsi="宋体" w:cs="宋体"/>
          <w:b/>
          <w:color w:val="auto"/>
          <w:sz w:val="24"/>
        </w:rPr>
      </w:pPr>
      <w:r>
        <w:rPr>
          <w:rFonts w:hint="eastAsia" w:hAnsi="宋体" w:cs="宋体"/>
          <w:b/>
          <w:color w:val="auto"/>
          <w:sz w:val="24"/>
        </w:rPr>
        <w:t>未按上述内容填写的质疑书将不予受理。</w:t>
      </w:r>
    </w:p>
    <w:p w14:paraId="48BC9BDC">
      <w:pPr>
        <w:pStyle w:val="44"/>
        <w:tabs>
          <w:tab w:val="left" w:pos="0"/>
        </w:tabs>
        <w:spacing w:before="0"/>
        <w:ind w:firstLine="480"/>
        <w:rPr>
          <w:rFonts w:ascii="宋体" w:hAnsi="宋体" w:cs="宋体"/>
          <w:color w:val="auto"/>
          <w:szCs w:val="24"/>
        </w:rPr>
      </w:pPr>
      <w:r>
        <w:rPr>
          <w:rFonts w:hint="eastAsia" w:ascii="宋体" w:hAnsi="宋体" w:cs="宋体"/>
          <w:color w:val="auto"/>
          <w:szCs w:val="24"/>
        </w:rPr>
        <w:t>35.3采购代理机构应当在收到供应商的书面质疑后七个工作日内作出答复，并以书面形式通知质疑供应商和其他与质疑处理结果有利害关系的采购当事人，但答复的内容不得涉及商业秘密。</w:t>
      </w:r>
    </w:p>
    <w:p w14:paraId="221F4C75">
      <w:pPr>
        <w:pStyle w:val="44"/>
        <w:tabs>
          <w:tab w:val="left" w:pos="0"/>
        </w:tabs>
        <w:spacing w:before="0"/>
        <w:ind w:firstLine="480"/>
        <w:rPr>
          <w:rFonts w:ascii="宋体" w:hAnsi="宋体" w:cs="宋体"/>
          <w:color w:val="auto"/>
          <w:szCs w:val="24"/>
        </w:rPr>
      </w:pPr>
      <w:r>
        <w:rPr>
          <w:rFonts w:hint="eastAsia" w:ascii="宋体" w:hAnsi="宋体" w:cs="宋体"/>
          <w:color w:val="auto"/>
          <w:szCs w:val="24"/>
        </w:rPr>
        <w:t>35.4询问或者质疑事项可能影响采购结果的，采购人应当暂停签订合同，已经签订合同的，应当中止履行合同。</w:t>
      </w:r>
    </w:p>
    <w:p w14:paraId="1648FD8C">
      <w:pPr>
        <w:pStyle w:val="15"/>
        <w:spacing w:line="360" w:lineRule="auto"/>
        <w:ind w:left="420" w:leftChars="200"/>
        <w:rPr>
          <w:rFonts w:hAnsi="宋体" w:cs="宋体"/>
          <w:b/>
          <w:color w:val="auto"/>
          <w:sz w:val="24"/>
          <w:szCs w:val="24"/>
          <w:lang w:val="zh-CN"/>
        </w:rPr>
      </w:pPr>
      <w:r>
        <w:rPr>
          <w:rFonts w:hint="eastAsia" w:hAnsi="宋体" w:cs="宋体"/>
          <w:b/>
          <w:color w:val="auto"/>
          <w:sz w:val="24"/>
          <w:szCs w:val="24"/>
        </w:rPr>
        <w:t>36</w:t>
      </w:r>
      <w:r>
        <w:rPr>
          <w:rFonts w:hint="eastAsia" w:hAnsi="宋体" w:cs="宋体"/>
          <w:b/>
          <w:color w:val="auto"/>
          <w:sz w:val="24"/>
          <w:szCs w:val="24"/>
          <w:lang w:val="zh-CN"/>
        </w:rPr>
        <w:t>供应商投诉</w:t>
      </w:r>
    </w:p>
    <w:p w14:paraId="6CD7259B">
      <w:pPr>
        <w:pStyle w:val="44"/>
        <w:tabs>
          <w:tab w:val="left" w:pos="0"/>
        </w:tabs>
        <w:spacing w:before="0"/>
        <w:ind w:firstLine="480"/>
        <w:rPr>
          <w:rFonts w:ascii="宋体" w:hAnsi="宋体" w:cs="宋体"/>
          <w:color w:val="auto"/>
          <w:szCs w:val="24"/>
        </w:rPr>
      </w:pPr>
      <w:r>
        <w:rPr>
          <w:rFonts w:hint="eastAsia" w:ascii="宋体" w:hAnsi="宋体" w:cs="宋体"/>
          <w:color w:val="auto"/>
          <w:szCs w:val="24"/>
        </w:rPr>
        <w:t>36.1供应商质疑、投诉应当有明确的请求和必要的证明材料，供应商投诉的事项不得超出已质疑事项的范围，不符合上述要求的投诉将不予受理。</w:t>
      </w:r>
    </w:p>
    <w:p w14:paraId="0B420D53">
      <w:pPr>
        <w:snapToGrid w:val="0"/>
        <w:spacing w:line="360" w:lineRule="exact"/>
        <w:ind w:firstLine="420" w:firstLineChars="200"/>
        <w:jc w:val="left"/>
        <w:rPr>
          <w:rFonts w:ascii="宋体" w:hAnsi="宋体" w:cs="宋体"/>
          <w:color w:val="auto"/>
          <w:sz w:val="24"/>
        </w:rPr>
      </w:pPr>
      <w:r>
        <w:rPr>
          <w:rFonts w:hint="eastAsia" w:ascii="宋体" w:hAnsi="宋体" w:cs="宋体"/>
          <w:color w:val="auto"/>
        </w:rPr>
        <w:t>36.2</w:t>
      </w:r>
      <w:r>
        <w:rPr>
          <w:rFonts w:hint="eastAsia" w:ascii="宋体" w:hAnsi="宋体" w:cs="宋体"/>
          <w:color w:val="auto"/>
          <w:sz w:val="24"/>
        </w:rPr>
        <w:t>质疑供应商对质疑的答复不满意，或者采购人或采购代理机构未在规定时间内答复的，可以在收到答复之日或者答复期满后15个工作日内依法向采购人所在乡镇（街道）投诉。乡镇（街道）应当在正式受理投诉后30个工作日内作出调查并回复，同时将投诉回复及调查结果通知采购人。区农业农村局督促乡镇（街道）做好投诉件的答复和处理。</w:t>
      </w:r>
    </w:p>
    <w:p w14:paraId="27842B07">
      <w:pPr>
        <w:pStyle w:val="44"/>
        <w:tabs>
          <w:tab w:val="left" w:pos="0"/>
        </w:tabs>
        <w:spacing w:before="0"/>
        <w:ind w:firstLine="480"/>
        <w:rPr>
          <w:rFonts w:ascii="宋体" w:hAnsi="宋体" w:cs="宋体"/>
          <w:color w:val="auto"/>
          <w:szCs w:val="24"/>
        </w:rPr>
      </w:pPr>
      <w:r>
        <w:rPr>
          <w:rFonts w:hint="eastAsia" w:ascii="宋体" w:hAnsi="宋体" w:cs="宋体"/>
          <w:color w:val="auto"/>
          <w:szCs w:val="24"/>
        </w:rPr>
        <w:t>投诉人提交投诉件时，应当提供相关证据、依据和其他有关材料。</w:t>
      </w:r>
      <w:bookmarkEnd w:id="52"/>
      <w:r>
        <w:rPr>
          <w:rFonts w:hint="eastAsia" w:ascii="宋体" w:hAnsi="宋体" w:cs="宋体"/>
          <w:color w:val="auto"/>
        </w:rPr>
        <w:br w:type="page"/>
      </w:r>
      <w:bookmarkStart w:id="62" w:name="_Toc13529"/>
      <w:r>
        <w:rPr>
          <w:rFonts w:hint="eastAsia" w:ascii="宋体" w:hAnsi="宋体" w:cs="宋体"/>
          <w:color w:val="auto"/>
        </w:rPr>
        <w:t xml:space="preserve">         </w:t>
      </w:r>
      <w:r>
        <w:rPr>
          <w:rFonts w:hint="eastAsia" w:ascii="宋体" w:hAnsi="宋体" w:cs="宋体"/>
          <w:b/>
          <w:color w:val="auto"/>
          <w:sz w:val="36"/>
          <w:szCs w:val="36"/>
        </w:rPr>
        <w:t xml:space="preserve">第三部分   </w:t>
      </w:r>
      <w:bookmarkEnd w:id="44"/>
      <w:bookmarkEnd w:id="45"/>
      <w:bookmarkStart w:id="63" w:name="_Toc184314421"/>
      <w:bookmarkEnd w:id="63"/>
      <w:bookmarkStart w:id="64" w:name="_Toc184310300"/>
      <w:bookmarkEnd w:id="64"/>
      <w:bookmarkStart w:id="65" w:name="_Toc184312079"/>
      <w:bookmarkEnd w:id="65"/>
      <w:bookmarkStart w:id="66" w:name="_Toc184308049"/>
      <w:bookmarkEnd w:id="66"/>
      <w:bookmarkStart w:id="67" w:name="_Toc184313251"/>
      <w:bookmarkEnd w:id="67"/>
      <w:bookmarkStart w:id="68" w:name="_Toc184310338"/>
      <w:bookmarkEnd w:id="68"/>
      <w:bookmarkStart w:id="69" w:name="_Toc184313270"/>
      <w:bookmarkEnd w:id="69"/>
      <w:bookmarkStart w:id="70" w:name="_Toc184310308"/>
      <w:bookmarkEnd w:id="70"/>
      <w:bookmarkStart w:id="71" w:name="_Toc184313244"/>
      <w:bookmarkEnd w:id="71"/>
      <w:bookmarkStart w:id="72" w:name="_Toc184313295"/>
      <w:bookmarkEnd w:id="72"/>
      <w:bookmarkStart w:id="73" w:name="_Toc184310324"/>
      <w:bookmarkEnd w:id="73"/>
      <w:bookmarkStart w:id="74" w:name="_Toc184314432"/>
      <w:bookmarkEnd w:id="74"/>
      <w:bookmarkStart w:id="75" w:name="_Toc184308067"/>
      <w:bookmarkEnd w:id="75"/>
      <w:bookmarkStart w:id="76" w:name="_Toc184310305"/>
      <w:bookmarkEnd w:id="76"/>
      <w:bookmarkStart w:id="77" w:name="_Toc184313275"/>
      <w:bookmarkEnd w:id="77"/>
      <w:bookmarkStart w:id="78" w:name="_Toc184314419"/>
      <w:bookmarkEnd w:id="78"/>
      <w:bookmarkStart w:id="79" w:name="_Toc184308062"/>
      <w:bookmarkEnd w:id="79"/>
      <w:bookmarkStart w:id="80" w:name="_Toc184314461"/>
      <w:bookmarkEnd w:id="80"/>
      <w:bookmarkStart w:id="81" w:name="_Toc184313305"/>
      <w:bookmarkEnd w:id="81"/>
      <w:bookmarkStart w:id="82" w:name="_Toc184313277"/>
      <w:bookmarkEnd w:id="82"/>
      <w:bookmarkStart w:id="83" w:name="_Toc184313255"/>
      <w:bookmarkEnd w:id="83"/>
      <w:bookmarkStart w:id="84" w:name="_Toc184310278"/>
      <w:bookmarkEnd w:id="84"/>
      <w:bookmarkStart w:id="85" w:name="_Toc184308077"/>
      <w:bookmarkEnd w:id="85"/>
      <w:bookmarkStart w:id="86" w:name="_Toc184308046"/>
      <w:bookmarkEnd w:id="86"/>
      <w:bookmarkStart w:id="87" w:name="_Toc184312067"/>
      <w:bookmarkEnd w:id="87"/>
      <w:bookmarkStart w:id="88" w:name="_Toc184310326"/>
      <w:bookmarkEnd w:id="88"/>
      <w:bookmarkStart w:id="89" w:name="_Toc184314458"/>
      <w:bookmarkEnd w:id="89"/>
      <w:bookmarkStart w:id="90" w:name="_Toc184313268"/>
      <w:bookmarkEnd w:id="90"/>
      <w:bookmarkStart w:id="91" w:name="_Toc184313253"/>
      <w:bookmarkEnd w:id="91"/>
      <w:bookmarkStart w:id="92" w:name="_Toc184314414"/>
      <w:bookmarkEnd w:id="92"/>
      <w:bookmarkStart w:id="93" w:name="_Toc184310295"/>
      <w:bookmarkEnd w:id="93"/>
      <w:bookmarkStart w:id="94" w:name="_Toc184312085"/>
      <w:bookmarkEnd w:id="94"/>
      <w:bookmarkStart w:id="95" w:name="_Toc184314424"/>
      <w:bookmarkEnd w:id="95"/>
      <w:bookmarkStart w:id="96" w:name="_Toc184312070"/>
      <w:bookmarkEnd w:id="96"/>
      <w:bookmarkStart w:id="97" w:name="_Toc184308037"/>
      <w:bookmarkEnd w:id="97"/>
      <w:bookmarkStart w:id="98" w:name="_Toc184308088"/>
      <w:bookmarkEnd w:id="98"/>
      <w:bookmarkStart w:id="99" w:name="_Toc184314416"/>
      <w:bookmarkEnd w:id="99"/>
      <w:bookmarkStart w:id="100" w:name="_Toc184312080"/>
      <w:bookmarkEnd w:id="100"/>
      <w:bookmarkStart w:id="101" w:name="_Toc184314438"/>
      <w:bookmarkEnd w:id="101"/>
      <w:bookmarkStart w:id="102" w:name="_Toc184312130"/>
      <w:bookmarkEnd w:id="102"/>
      <w:bookmarkStart w:id="103" w:name="_Toc184313300"/>
      <w:bookmarkEnd w:id="103"/>
      <w:bookmarkStart w:id="104" w:name="_Toc184312118"/>
      <w:bookmarkEnd w:id="104"/>
      <w:bookmarkStart w:id="105" w:name="_Toc184313287"/>
      <w:bookmarkEnd w:id="105"/>
      <w:bookmarkStart w:id="106" w:name="_Toc184312116"/>
      <w:bookmarkEnd w:id="106"/>
      <w:bookmarkStart w:id="107" w:name="_Toc184308044"/>
      <w:bookmarkEnd w:id="107"/>
      <w:bookmarkStart w:id="108" w:name="_Toc184314410"/>
      <w:bookmarkEnd w:id="108"/>
      <w:bookmarkStart w:id="109" w:name="_Toc184308065"/>
      <w:bookmarkEnd w:id="109"/>
      <w:bookmarkStart w:id="110" w:name="_Toc184310306"/>
      <w:bookmarkEnd w:id="110"/>
      <w:bookmarkStart w:id="111" w:name="_Toc184314479"/>
      <w:bookmarkEnd w:id="111"/>
      <w:bookmarkStart w:id="112" w:name="_Toc184310277"/>
      <w:bookmarkEnd w:id="112"/>
      <w:bookmarkStart w:id="113" w:name="_Toc184310297"/>
      <w:bookmarkEnd w:id="113"/>
      <w:bookmarkStart w:id="114" w:name="_Toc184313303"/>
      <w:bookmarkEnd w:id="114"/>
      <w:bookmarkStart w:id="115" w:name="_Toc184313289"/>
      <w:bookmarkEnd w:id="115"/>
      <w:bookmarkStart w:id="116" w:name="_Toc184308073"/>
      <w:bookmarkEnd w:id="116"/>
      <w:bookmarkStart w:id="117" w:name="_Toc184310275"/>
      <w:bookmarkEnd w:id="117"/>
      <w:bookmarkStart w:id="118" w:name="_Toc184308076"/>
      <w:bookmarkEnd w:id="118"/>
      <w:bookmarkStart w:id="119" w:name="_Toc184313256"/>
      <w:bookmarkEnd w:id="119"/>
      <w:bookmarkStart w:id="120" w:name="_Toc184310288"/>
      <w:bookmarkEnd w:id="120"/>
      <w:bookmarkStart w:id="121" w:name="_Toc184308107"/>
      <w:bookmarkEnd w:id="121"/>
      <w:bookmarkStart w:id="122" w:name="_Toc184308093"/>
      <w:bookmarkEnd w:id="122"/>
      <w:bookmarkStart w:id="123" w:name="_Toc184314474"/>
      <w:bookmarkEnd w:id="123"/>
      <w:bookmarkStart w:id="124" w:name="_Toc184310342"/>
      <w:bookmarkEnd w:id="124"/>
      <w:bookmarkStart w:id="125" w:name="_Toc184312134"/>
      <w:bookmarkEnd w:id="125"/>
      <w:bookmarkStart w:id="126" w:name="_Toc184310273"/>
      <w:bookmarkEnd w:id="126"/>
      <w:bookmarkStart w:id="127" w:name="_Toc184312131"/>
      <w:bookmarkEnd w:id="127"/>
      <w:bookmarkStart w:id="128" w:name="_Toc184312112"/>
      <w:bookmarkEnd w:id="128"/>
      <w:bookmarkStart w:id="129" w:name="_Toc184314469"/>
      <w:bookmarkEnd w:id="129"/>
      <w:bookmarkStart w:id="130" w:name="_Toc184313267"/>
      <w:bookmarkEnd w:id="130"/>
      <w:bookmarkStart w:id="131" w:name="_Toc184312089"/>
      <w:bookmarkEnd w:id="131"/>
      <w:bookmarkStart w:id="132" w:name="_Toc184313266"/>
      <w:bookmarkEnd w:id="132"/>
      <w:bookmarkStart w:id="133" w:name="_Toc184314427"/>
      <w:bookmarkEnd w:id="133"/>
      <w:bookmarkStart w:id="134" w:name="_Toc184312111"/>
      <w:bookmarkEnd w:id="134"/>
      <w:bookmarkStart w:id="135" w:name="_Toc184310330"/>
      <w:bookmarkEnd w:id="135"/>
      <w:bookmarkStart w:id="136" w:name="_Toc184312120"/>
      <w:bookmarkEnd w:id="136"/>
      <w:bookmarkStart w:id="137" w:name="_Toc184313301"/>
      <w:bookmarkEnd w:id="137"/>
      <w:bookmarkStart w:id="138" w:name="_Toc184310337"/>
      <w:bookmarkEnd w:id="138"/>
      <w:bookmarkStart w:id="139" w:name="_Toc184312100"/>
      <w:bookmarkEnd w:id="139"/>
      <w:bookmarkStart w:id="140" w:name="_Toc184313284"/>
      <w:bookmarkEnd w:id="140"/>
      <w:bookmarkStart w:id="141" w:name="_Toc184313293"/>
      <w:bookmarkEnd w:id="141"/>
      <w:bookmarkStart w:id="142" w:name="_Toc184314471"/>
      <w:bookmarkEnd w:id="142"/>
      <w:bookmarkStart w:id="143" w:name="_Toc184313254"/>
      <w:bookmarkEnd w:id="143"/>
      <w:bookmarkStart w:id="144" w:name="_Toc184310301"/>
      <w:bookmarkEnd w:id="144"/>
      <w:bookmarkStart w:id="145" w:name="_Toc184308058"/>
      <w:bookmarkEnd w:id="145"/>
      <w:bookmarkStart w:id="146" w:name="_Toc184314437"/>
      <w:bookmarkEnd w:id="146"/>
      <w:bookmarkStart w:id="147" w:name="_Toc184314455"/>
      <w:bookmarkEnd w:id="147"/>
      <w:bookmarkStart w:id="148" w:name="_Toc184314431"/>
      <w:bookmarkEnd w:id="148"/>
      <w:bookmarkStart w:id="149" w:name="_Toc184314473"/>
      <w:bookmarkEnd w:id="149"/>
      <w:bookmarkStart w:id="150" w:name="_Toc184310316"/>
      <w:bookmarkEnd w:id="150"/>
      <w:bookmarkStart w:id="151" w:name="_Toc184312129"/>
      <w:bookmarkEnd w:id="151"/>
      <w:bookmarkStart w:id="152" w:name="_Toc184314463"/>
      <w:bookmarkEnd w:id="152"/>
      <w:bookmarkStart w:id="153" w:name="_Toc184313294"/>
      <w:bookmarkEnd w:id="153"/>
      <w:bookmarkStart w:id="154" w:name="_Toc184313259"/>
      <w:bookmarkEnd w:id="154"/>
      <w:bookmarkStart w:id="155" w:name="_Toc184308089"/>
      <w:bookmarkEnd w:id="155"/>
      <w:bookmarkStart w:id="156" w:name="_Toc184313291"/>
      <w:bookmarkEnd w:id="156"/>
      <w:bookmarkStart w:id="157" w:name="_Toc184312102"/>
      <w:bookmarkEnd w:id="157"/>
      <w:bookmarkStart w:id="158" w:name="_Toc184310341"/>
      <w:bookmarkEnd w:id="158"/>
      <w:bookmarkStart w:id="159" w:name="_Toc184314481"/>
      <w:bookmarkEnd w:id="159"/>
      <w:bookmarkStart w:id="160" w:name="_Toc184313292"/>
      <w:bookmarkEnd w:id="160"/>
      <w:bookmarkStart w:id="161" w:name="_Toc184314457"/>
      <w:bookmarkEnd w:id="161"/>
      <w:bookmarkStart w:id="162" w:name="_Toc184308087"/>
      <w:bookmarkEnd w:id="162"/>
      <w:bookmarkStart w:id="163" w:name="_Toc184313264"/>
      <w:bookmarkEnd w:id="163"/>
      <w:bookmarkStart w:id="164" w:name="_Toc184308095"/>
      <w:bookmarkEnd w:id="164"/>
      <w:bookmarkStart w:id="165" w:name="_Toc184310299"/>
      <w:bookmarkEnd w:id="165"/>
      <w:bookmarkStart w:id="166" w:name="_Toc184308043"/>
      <w:bookmarkEnd w:id="166"/>
      <w:bookmarkStart w:id="167" w:name="_Toc184310339"/>
      <w:bookmarkEnd w:id="167"/>
      <w:bookmarkStart w:id="168" w:name="_Toc184308081"/>
      <w:bookmarkEnd w:id="168"/>
      <w:bookmarkStart w:id="169" w:name="_Toc184314413"/>
      <w:bookmarkEnd w:id="169"/>
      <w:bookmarkStart w:id="170" w:name="_Toc184308052"/>
      <w:bookmarkEnd w:id="170"/>
      <w:bookmarkStart w:id="171" w:name="_Toc184312127"/>
      <w:bookmarkEnd w:id="171"/>
      <w:bookmarkStart w:id="172" w:name="_Toc184312101"/>
      <w:bookmarkEnd w:id="172"/>
      <w:bookmarkStart w:id="173" w:name="_Toc184308053"/>
      <w:bookmarkEnd w:id="173"/>
      <w:bookmarkStart w:id="174" w:name="_Toc184314422"/>
      <w:bookmarkEnd w:id="174"/>
      <w:bookmarkStart w:id="175" w:name="_Toc184312069"/>
      <w:bookmarkEnd w:id="175"/>
      <w:bookmarkStart w:id="176" w:name="_Toc184310327"/>
      <w:bookmarkEnd w:id="176"/>
      <w:bookmarkStart w:id="177" w:name="_Toc184308064"/>
      <w:bookmarkEnd w:id="177"/>
      <w:bookmarkStart w:id="178" w:name="_Toc184312095"/>
      <w:bookmarkEnd w:id="178"/>
      <w:bookmarkStart w:id="179" w:name="_Toc184312113"/>
      <w:bookmarkEnd w:id="179"/>
      <w:bookmarkStart w:id="180" w:name="_Toc184314475"/>
      <w:bookmarkEnd w:id="180"/>
      <w:bookmarkStart w:id="181" w:name="_Toc184313263"/>
      <w:bookmarkEnd w:id="181"/>
      <w:bookmarkStart w:id="182" w:name="_Toc184308059"/>
      <w:bookmarkEnd w:id="182"/>
      <w:bookmarkStart w:id="183" w:name="_Toc184312109"/>
      <w:bookmarkEnd w:id="183"/>
      <w:bookmarkStart w:id="184" w:name="_Toc184313240"/>
      <w:bookmarkEnd w:id="184"/>
      <w:bookmarkStart w:id="185" w:name="_Toc184314418"/>
      <w:bookmarkEnd w:id="185"/>
      <w:bookmarkStart w:id="186" w:name="_Toc184310293"/>
      <w:bookmarkEnd w:id="186"/>
      <w:bookmarkStart w:id="187" w:name="_Toc184312096"/>
      <w:bookmarkEnd w:id="187"/>
      <w:bookmarkStart w:id="188" w:name="_Toc184314477"/>
      <w:bookmarkEnd w:id="188"/>
      <w:bookmarkStart w:id="189" w:name="_Toc184314435"/>
      <w:bookmarkEnd w:id="189"/>
      <w:bookmarkStart w:id="190" w:name="_Toc184312098"/>
      <w:bookmarkEnd w:id="190"/>
      <w:bookmarkStart w:id="191" w:name="_Toc184308038"/>
      <w:bookmarkEnd w:id="191"/>
      <w:bookmarkStart w:id="192" w:name="_Toc184312077"/>
      <w:bookmarkEnd w:id="192"/>
      <w:bookmarkStart w:id="193" w:name="_Toc184310335"/>
      <w:bookmarkEnd w:id="193"/>
      <w:bookmarkStart w:id="194" w:name="_Toc184308042"/>
      <w:bookmarkEnd w:id="194"/>
      <w:bookmarkStart w:id="195" w:name="_Toc184312108"/>
      <w:bookmarkEnd w:id="195"/>
      <w:bookmarkStart w:id="196" w:name="_Toc184314441"/>
      <w:bookmarkEnd w:id="196"/>
      <w:bookmarkStart w:id="197" w:name="_Toc184312093"/>
      <w:bookmarkEnd w:id="197"/>
      <w:bookmarkStart w:id="198" w:name="_Toc184314443"/>
      <w:bookmarkEnd w:id="198"/>
      <w:bookmarkStart w:id="199" w:name="_Toc184308096"/>
      <w:bookmarkEnd w:id="199"/>
      <w:bookmarkStart w:id="200" w:name="_Toc184314439"/>
      <w:bookmarkEnd w:id="200"/>
      <w:bookmarkStart w:id="201" w:name="_Toc184314423"/>
      <w:bookmarkEnd w:id="201"/>
      <w:bookmarkStart w:id="202" w:name="_Toc184310320"/>
      <w:bookmarkEnd w:id="202"/>
      <w:bookmarkStart w:id="203" w:name="_Toc184314452"/>
      <w:bookmarkEnd w:id="203"/>
      <w:bookmarkStart w:id="204" w:name="_Toc184312139"/>
      <w:bookmarkEnd w:id="204"/>
      <w:bookmarkStart w:id="205" w:name="_Toc184310292"/>
      <w:bookmarkEnd w:id="205"/>
      <w:bookmarkStart w:id="206" w:name="_Toc184312133"/>
      <w:bookmarkEnd w:id="206"/>
      <w:bookmarkStart w:id="207" w:name="_Toc184308091"/>
      <w:bookmarkEnd w:id="207"/>
      <w:bookmarkStart w:id="208" w:name="_Toc184310282"/>
      <w:bookmarkEnd w:id="208"/>
      <w:bookmarkStart w:id="209" w:name="_Toc184308079"/>
      <w:bookmarkEnd w:id="209"/>
      <w:bookmarkStart w:id="210" w:name="_Toc184310279"/>
      <w:bookmarkEnd w:id="210"/>
      <w:bookmarkStart w:id="211" w:name="_Toc184314465"/>
      <w:bookmarkEnd w:id="211"/>
      <w:bookmarkStart w:id="212" w:name="_Toc184308075"/>
      <w:bookmarkEnd w:id="212"/>
      <w:bookmarkStart w:id="213" w:name="_Toc184313307"/>
      <w:bookmarkEnd w:id="213"/>
      <w:bookmarkStart w:id="214" w:name="_Toc184313306"/>
      <w:bookmarkEnd w:id="214"/>
      <w:bookmarkStart w:id="215" w:name="_Toc184310328"/>
      <w:bookmarkEnd w:id="215"/>
      <w:bookmarkStart w:id="216" w:name="_Toc184308056"/>
      <w:bookmarkEnd w:id="216"/>
      <w:bookmarkStart w:id="217" w:name="_Toc184308051"/>
      <w:bookmarkEnd w:id="217"/>
      <w:bookmarkStart w:id="218" w:name="_Toc184308099"/>
      <w:bookmarkEnd w:id="218"/>
      <w:bookmarkStart w:id="219" w:name="_Toc184310286"/>
      <w:bookmarkEnd w:id="219"/>
      <w:bookmarkStart w:id="220" w:name="_Toc184314451"/>
      <w:bookmarkEnd w:id="220"/>
      <w:bookmarkStart w:id="221" w:name="_Toc184312123"/>
      <w:bookmarkEnd w:id="221"/>
      <w:bookmarkStart w:id="222" w:name="_Toc184312083"/>
      <w:bookmarkEnd w:id="222"/>
      <w:bookmarkStart w:id="223" w:name="_Toc184310329"/>
      <w:bookmarkEnd w:id="223"/>
      <w:bookmarkStart w:id="224" w:name="_Toc184314478"/>
      <w:bookmarkEnd w:id="224"/>
      <w:bookmarkStart w:id="225" w:name="_Toc184308092"/>
      <w:bookmarkEnd w:id="225"/>
      <w:bookmarkStart w:id="226" w:name="_Toc184310272"/>
      <w:bookmarkEnd w:id="226"/>
      <w:bookmarkStart w:id="227" w:name="_Toc184314436"/>
      <w:bookmarkEnd w:id="227"/>
      <w:bookmarkStart w:id="228" w:name="_Toc184310336"/>
      <w:bookmarkEnd w:id="228"/>
      <w:bookmarkStart w:id="229" w:name="_Toc184310322"/>
      <w:bookmarkEnd w:id="229"/>
      <w:bookmarkStart w:id="230" w:name="_Toc184314460"/>
      <w:bookmarkEnd w:id="230"/>
      <w:bookmarkStart w:id="231" w:name="_Toc184310281"/>
      <w:bookmarkEnd w:id="231"/>
      <w:bookmarkStart w:id="232" w:name="_Toc184313282"/>
      <w:bookmarkEnd w:id="232"/>
      <w:bookmarkStart w:id="233" w:name="_Toc184310280"/>
      <w:bookmarkEnd w:id="233"/>
      <w:bookmarkStart w:id="234" w:name="_Toc184308070"/>
      <w:bookmarkEnd w:id="234"/>
      <w:bookmarkStart w:id="235" w:name="_Toc184312075"/>
      <w:bookmarkEnd w:id="235"/>
      <w:bookmarkStart w:id="236" w:name="_Toc184312068"/>
      <w:bookmarkEnd w:id="236"/>
      <w:bookmarkStart w:id="237" w:name="_Toc184314449"/>
      <w:bookmarkEnd w:id="237"/>
      <w:bookmarkStart w:id="238" w:name="_Toc184313308"/>
      <w:bookmarkEnd w:id="238"/>
      <w:bookmarkStart w:id="239" w:name="_Toc184312106"/>
      <w:bookmarkEnd w:id="239"/>
      <w:bookmarkStart w:id="240" w:name="_Toc184313278"/>
      <w:bookmarkEnd w:id="240"/>
      <w:bookmarkStart w:id="241" w:name="_Toc184308101"/>
      <w:bookmarkEnd w:id="241"/>
      <w:bookmarkStart w:id="242" w:name="_Toc184312119"/>
      <w:bookmarkEnd w:id="242"/>
      <w:bookmarkStart w:id="243" w:name="_Toc184310319"/>
      <w:bookmarkEnd w:id="243"/>
      <w:bookmarkStart w:id="244" w:name="_Toc184313290"/>
      <w:bookmarkEnd w:id="244"/>
      <w:bookmarkStart w:id="245" w:name="_Toc184308041"/>
      <w:bookmarkEnd w:id="245"/>
      <w:bookmarkStart w:id="246" w:name="_Toc184312110"/>
      <w:bookmarkEnd w:id="246"/>
      <w:bookmarkStart w:id="247" w:name="_Toc184313252"/>
      <w:bookmarkEnd w:id="247"/>
      <w:bookmarkStart w:id="248" w:name="_Toc184314448"/>
      <w:bookmarkEnd w:id="248"/>
      <w:bookmarkStart w:id="249" w:name="_Toc184310285"/>
      <w:bookmarkEnd w:id="249"/>
      <w:bookmarkStart w:id="250" w:name="_Toc184308054"/>
      <w:bookmarkEnd w:id="250"/>
      <w:bookmarkStart w:id="251" w:name="_Toc184310343"/>
      <w:bookmarkEnd w:id="251"/>
      <w:bookmarkStart w:id="252" w:name="_Toc184313281"/>
      <w:bookmarkEnd w:id="252"/>
      <w:bookmarkStart w:id="253" w:name="_Toc184308106"/>
      <w:bookmarkEnd w:id="253"/>
      <w:bookmarkStart w:id="254" w:name="_Toc184313260"/>
      <w:bookmarkEnd w:id="254"/>
      <w:bookmarkStart w:id="255" w:name="_Toc184312087"/>
      <w:bookmarkEnd w:id="255"/>
      <w:bookmarkStart w:id="256" w:name="_Toc184313271"/>
      <w:bookmarkEnd w:id="256"/>
      <w:bookmarkStart w:id="257" w:name="_Toc184310307"/>
      <w:bookmarkEnd w:id="257"/>
      <w:bookmarkStart w:id="258" w:name="_Toc184310332"/>
      <w:bookmarkEnd w:id="258"/>
      <w:bookmarkStart w:id="259" w:name="_Toc184310314"/>
      <w:bookmarkEnd w:id="259"/>
      <w:bookmarkStart w:id="260" w:name="_Toc184310318"/>
      <w:bookmarkEnd w:id="260"/>
      <w:bookmarkStart w:id="261" w:name="_Toc184312124"/>
      <w:bookmarkEnd w:id="261"/>
      <w:bookmarkStart w:id="262" w:name="_Toc184310296"/>
      <w:bookmarkEnd w:id="262"/>
      <w:bookmarkStart w:id="263" w:name="_Toc184313302"/>
      <w:bookmarkEnd w:id="263"/>
      <w:bookmarkStart w:id="264" w:name="_Toc184314412"/>
      <w:bookmarkEnd w:id="264"/>
      <w:bookmarkStart w:id="265" w:name="_Toc184313245"/>
      <w:bookmarkEnd w:id="265"/>
      <w:bookmarkStart w:id="266" w:name="_Toc184313273"/>
      <w:bookmarkEnd w:id="266"/>
      <w:bookmarkStart w:id="267" w:name="_Toc184314459"/>
      <w:bookmarkEnd w:id="267"/>
      <w:bookmarkStart w:id="268" w:name="_Toc184308040"/>
      <w:bookmarkEnd w:id="268"/>
      <w:bookmarkStart w:id="269" w:name="_Toc184313297"/>
      <w:bookmarkEnd w:id="269"/>
      <w:bookmarkStart w:id="270" w:name="_Toc184308090"/>
      <w:bookmarkEnd w:id="270"/>
      <w:bookmarkStart w:id="271" w:name="_Toc184312138"/>
      <w:bookmarkEnd w:id="271"/>
      <w:bookmarkStart w:id="272" w:name="_Toc184310284"/>
      <w:bookmarkEnd w:id="272"/>
      <w:bookmarkStart w:id="273" w:name="_Toc184314434"/>
      <w:bookmarkEnd w:id="273"/>
      <w:bookmarkStart w:id="274" w:name="_Toc184310317"/>
      <w:bookmarkEnd w:id="274"/>
      <w:bookmarkStart w:id="275" w:name="_Toc184310323"/>
      <w:bookmarkEnd w:id="275"/>
      <w:bookmarkStart w:id="276" w:name="_Toc184310331"/>
      <w:bookmarkEnd w:id="276"/>
      <w:bookmarkStart w:id="277" w:name="_Toc184308085"/>
      <w:bookmarkEnd w:id="277"/>
      <w:bookmarkStart w:id="278" w:name="_Toc184313246"/>
      <w:bookmarkEnd w:id="278"/>
      <w:bookmarkStart w:id="279" w:name="_Toc184314415"/>
      <w:bookmarkEnd w:id="279"/>
      <w:bookmarkStart w:id="280" w:name="_Toc184312128"/>
      <w:bookmarkEnd w:id="280"/>
      <w:bookmarkStart w:id="281" w:name="_Toc184313280"/>
      <w:bookmarkEnd w:id="281"/>
      <w:bookmarkStart w:id="282" w:name="_Toc184313250"/>
      <w:bookmarkEnd w:id="282"/>
      <w:bookmarkStart w:id="283" w:name="_Toc184312082"/>
      <w:bookmarkEnd w:id="283"/>
      <w:bookmarkStart w:id="284" w:name="_Toc184313272"/>
      <w:bookmarkEnd w:id="284"/>
      <w:bookmarkStart w:id="285" w:name="_Toc184313249"/>
      <w:bookmarkEnd w:id="285"/>
      <w:bookmarkStart w:id="286" w:name="_Toc184312099"/>
      <w:bookmarkEnd w:id="286"/>
      <w:bookmarkStart w:id="287" w:name="_Toc184314425"/>
      <w:bookmarkEnd w:id="287"/>
      <w:bookmarkStart w:id="288" w:name="_Toc184310311"/>
      <w:bookmarkEnd w:id="288"/>
      <w:bookmarkStart w:id="289" w:name="_Toc184313299"/>
      <w:bookmarkEnd w:id="289"/>
      <w:bookmarkStart w:id="290" w:name="_Toc184314446"/>
      <w:bookmarkEnd w:id="290"/>
      <w:bookmarkStart w:id="291" w:name="_Toc184308071"/>
      <w:bookmarkEnd w:id="291"/>
      <w:bookmarkStart w:id="292" w:name="_Toc184308102"/>
      <w:bookmarkEnd w:id="292"/>
      <w:bookmarkStart w:id="293" w:name="_Toc184314466"/>
      <w:bookmarkEnd w:id="293"/>
      <w:bookmarkStart w:id="294" w:name="_Toc184312073"/>
      <w:bookmarkEnd w:id="294"/>
      <w:bookmarkStart w:id="295" w:name="_Toc184308084"/>
      <w:bookmarkEnd w:id="295"/>
      <w:bookmarkStart w:id="296" w:name="_Toc184314433"/>
      <w:bookmarkEnd w:id="296"/>
      <w:bookmarkStart w:id="297" w:name="_Toc184314464"/>
      <w:bookmarkEnd w:id="297"/>
      <w:bookmarkStart w:id="298" w:name="_Toc184313276"/>
      <w:bookmarkEnd w:id="298"/>
      <w:bookmarkStart w:id="299" w:name="_Toc184308094"/>
      <w:bookmarkEnd w:id="299"/>
      <w:bookmarkStart w:id="300" w:name="_Toc184308061"/>
      <w:bookmarkEnd w:id="300"/>
      <w:bookmarkStart w:id="301" w:name="_Toc184310276"/>
      <w:bookmarkEnd w:id="301"/>
      <w:bookmarkStart w:id="302" w:name="_Toc184308069"/>
      <w:bookmarkEnd w:id="302"/>
      <w:bookmarkStart w:id="303" w:name="_Toc184312132"/>
      <w:bookmarkEnd w:id="303"/>
      <w:bookmarkStart w:id="304" w:name="_Toc184314420"/>
      <w:bookmarkEnd w:id="304"/>
      <w:bookmarkStart w:id="305" w:name="_Toc184312097"/>
      <w:bookmarkEnd w:id="305"/>
      <w:bookmarkStart w:id="306" w:name="_Toc184312091"/>
      <w:bookmarkEnd w:id="306"/>
      <w:bookmarkStart w:id="307" w:name="_Toc184314462"/>
      <w:bookmarkEnd w:id="307"/>
      <w:bookmarkStart w:id="308" w:name="_Toc184314445"/>
      <w:bookmarkEnd w:id="308"/>
      <w:bookmarkStart w:id="309" w:name="_Toc184308066"/>
      <w:bookmarkEnd w:id="309"/>
      <w:bookmarkStart w:id="310" w:name="_Toc184310325"/>
      <w:bookmarkEnd w:id="310"/>
      <w:bookmarkStart w:id="311" w:name="_Toc184308063"/>
      <w:bookmarkEnd w:id="311"/>
      <w:bookmarkStart w:id="312" w:name="_Toc184308047"/>
      <w:bookmarkEnd w:id="312"/>
      <w:bookmarkStart w:id="313" w:name="_Toc184310334"/>
      <w:bookmarkEnd w:id="313"/>
      <w:bookmarkStart w:id="314" w:name="_Toc184314444"/>
      <w:bookmarkEnd w:id="314"/>
      <w:bookmarkStart w:id="315" w:name="_Toc184312117"/>
      <w:bookmarkEnd w:id="315"/>
      <w:bookmarkStart w:id="316" w:name="_Toc184312072"/>
      <w:bookmarkEnd w:id="316"/>
      <w:bookmarkStart w:id="317" w:name="_Toc184314440"/>
      <w:bookmarkEnd w:id="317"/>
      <w:bookmarkStart w:id="318" w:name="_Toc184310333"/>
      <w:bookmarkEnd w:id="318"/>
      <w:bookmarkStart w:id="319" w:name="_Toc184308050"/>
      <w:bookmarkEnd w:id="319"/>
      <w:bookmarkStart w:id="320" w:name="_Toc184310340"/>
      <w:bookmarkEnd w:id="320"/>
      <w:bookmarkStart w:id="321" w:name="_Toc184313285"/>
      <w:bookmarkEnd w:id="321"/>
      <w:bookmarkStart w:id="322" w:name="_Toc184314472"/>
      <w:bookmarkEnd w:id="322"/>
      <w:bookmarkStart w:id="323" w:name="_Toc184312126"/>
      <w:bookmarkEnd w:id="323"/>
      <w:bookmarkStart w:id="324" w:name="_Toc184308078"/>
      <w:bookmarkEnd w:id="324"/>
      <w:bookmarkStart w:id="325" w:name="_Toc184313257"/>
      <w:bookmarkEnd w:id="325"/>
      <w:bookmarkStart w:id="326" w:name="_Toc184308045"/>
      <w:bookmarkEnd w:id="326"/>
      <w:bookmarkStart w:id="327" w:name="_Toc184308097"/>
      <w:bookmarkEnd w:id="327"/>
      <w:bookmarkStart w:id="328" w:name="_Toc184314442"/>
      <w:bookmarkEnd w:id="328"/>
      <w:bookmarkStart w:id="329" w:name="_Toc184312094"/>
      <w:bookmarkEnd w:id="329"/>
      <w:bookmarkStart w:id="330" w:name="_Toc184313286"/>
      <w:bookmarkEnd w:id="330"/>
      <w:bookmarkStart w:id="331" w:name="_Toc184313279"/>
      <w:bookmarkEnd w:id="331"/>
      <w:bookmarkStart w:id="332" w:name="_Toc184310313"/>
      <w:bookmarkEnd w:id="332"/>
      <w:bookmarkStart w:id="333" w:name="_Toc184314470"/>
      <w:bookmarkEnd w:id="333"/>
      <w:bookmarkStart w:id="334" w:name="_Toc184310309"/>
      <w:bookmarkEnd w:id="334"/>
      <w:bookmarkStart w:id="335" w:name="_Toc184308039"/>
      <w:bookmarkEnd w:id="335"/>
      <w:bookmarkStart w:id="336" w:name="_Toc184312122"/>
      <w:bookmarkEnd w:id="336"/>
      <w:bookmarkStart w:id="337" w:name="_Toc184310283"/>
      <w:bookmarkEnd w:id="337"/>
      <w:bookmarkStart w:id="338" w:name="_Toc184310290"/>
      <w:bookmarkEnd w:id="338"/>
      <w:bookmarkStart w:id="339" w:name="_Toc184314417"/>
      <w:bookmarkEnd w:id="339"/>
      <w:bookmarkStart w:id="340" w:name="_Toc184310303"/>
      <w:bookmarkEnd w:id="340"/>
      <w:bookmarkStart w:id="341" w:name="_Toc184310302"/>
      <w:bookmarkEnd w:id="341"/>
      <w:bookmarkStart w:id="342" w:name="_Toc184308068"/>
      <w:bookmarkEnd w:id="342"/>
      <w:bookmarkStart w:id="343" w:name="_Toc184308100"/>
      <w:bookmarkEnd w:id="343"/>
      <w:bookmarkStart w:id="344" w:name="_Toc184310321"/>
      <w:bookmarkEnd w:id="344"/>
      <w:bookmarkStart w:id="345" w:name="_Toc184308108"/>
      <w:bookmarkEnd w:id="345"/>
      <w:bookmarkStart w:id="346" w:name="_Toc184314480"/>
      <w:bookmarkEnd w:id="346"/>
      <w:bookmarkStart w:id="347" w:name="_Toc184313248"/>
      <w:bookmarkEnd w:id="347"/>
      <w:bookmarkStart w:id="348" w:name="_Toc184312092"/>
      <w:bookmarkEnd w:id="348"/>
      <w:bookmarkStart w:id="349" w:name="_Toc184314468"/>
      <w:bookmarkEnd w:id="349"/>
      <w:bookmarkStart w:id="350" w:name="_Toc184313283"/>
      <w:bookmarkEnd w:id="350"/>
      <w:bookmarkStart w:id="351" w:name="_Toc184313309"/>
      <w:bookmarkEnd w:id="351"/>
      <w:bookmarkStart w:id="352" w:name="_Toc184313296"/>
      <w:bookmarkEnd w:id="352"/>
      <w:bookmarkStart w:id="353" w:name="_Toc184312135"/>
      <w:bookmarkEnd w:id="353"/>
      <w:bookmarkStart w:id="354" w:name="_Toc184310287"/>
      <w:bookmarkEnd w:id="354"/>
      <w:bookmarkStart w:id="355" w:name="_Toc184310294"/>
      <w:bookmarkEnd w:id="355"/>
      <w:bookmarkStart w:id="356" w:name="_Toc184312105"/>
      <w:bookmarkEnd w:id="356"/>
      <w:bookmarkStart w:id="357" w:name="_Toc184313262"/>
      <w:bookmarkEnd w:id="357"/>
      <w:bookmarkStart w:id="358" w:name="_Toc184314476"/>
      <w:bookmarkEnd w:id="358"/>
      <w:bookmarkStart w:id="359" w:name="_Toc184314411"/>
      <w:bookmarkEnd w:id="359"/>
      <w:bookmarkStart w:id="360" w:name="_Toc184314453"/>
      <w:bookmarkEnd w:id="360"/>
      <w:bookmarkStart w:id="361" w:name="_Toc184314447"/>
      <w:bookmarkEnd w:id="361"/>
      <w:bookmarkStart w:id="362" w:name="_Toc184312136"/>
      <w:bookmarkEnd w:id="362"/>
      <w:bookmarkStart w:id="363" w:name="_Toc184308098"/>
      <w:bookmarkEnd w:id="363"/>
      <w:bookmarkStart w:id="364" w:name="_Toc184310344"/>
      <w:bookmarkEnd w:id="364"/>
      <w:bookmarkStart w:id="365" w:name="_Toc184312086"/>
      <w:bookmarkEnd w:id="365"/>
      <w:bookmarkStart w:id="366" w:name="_Toc184312114"/>
      <w:bookmarkEnd w:id="366"/>
      <w:bookmarkStart w:id="367" w:name="_Toc184312084"/>
      <w:bookmarkEnd w:id="367"/>
      <w:bookmarkStart w:id="368" w:name="_Toc184308082"/>
      <w:bookmarkEnd w:id="368"/>
      <w:bookmarkStart w:id="369" w:name="_Toc184314428"/>
      <w:bookmarkEnd w:id="369"/>
      <w:bookmarkStart w:id="370" w:name="_Toc184313304"/>
      <w:bookmarkEnd w:id="370"/>
      <w:bookmarkStart w:id="371" w:name="_Toc184312103"/>
      <w:bookmarkEnd w:id="371"/>
      <w:bookmarkStart w:id="372" w:name="_Toc184312071"/>
      <w:bookmarkEnd w:id="372"/>
      <w:bookmarkStart w:id="373" w:name="_Toc184308083"/>
      <w:bookmarkEnd w:id="373"/>
      <w:bookmarkStart w:id="374" w:name="_Toc184310312"/>
      <w:bookmarkEnd w:id="374"/>
      <w:bookmarkStart w:id="375" w:name="_Toc184313243"/>
      <w:bookmarkEnd w:id="375"/>
      <w:bookmarkStart w:id="376" w:name="_Toc184314429"/>
      <w:bookmarkEnd w:id="376"/>
      <w:bookmarkStart w:id="377" w:name="_Toc184313298"/>
      <w:bookmarkEnd w:id="377"/>
      <w:bookmarkStart w:id="378" w:name="_Toc184313247"/>
      <w:bookmarkEnd w:id="378"/>
      <w:bookmarkStart w:id="379" w:name="_Toc184312088"/>
      <w:bookmarkEnd w:id="379"/>
      <w:bookmarkStart w:id="380" w:name="_Toc184314456"/>
      <w:bookmarkEnd w:id="380"/>
      <w:bookmarkStart w:id="381" w:name="_Toc184308074"/>
      <w:bookmarkEnd w:id="381"/>
      <w:bookmarkStart w:id="382" w:name="_Toc184308057"/>
      <w:bookmarkEnd w:id="382"/>
      <w:bookmarkStart w:id="383" w:name="_Toc184312121"/>
      <w:bookmarkEnd w:id="383"/>
      <w:bookmarkStart w:id="384" w:name="_Toc184312078"/>
      <w:bookmarkEnd w:id="384"/>
      <w:bookmarkStart w:id="385" w:name="_Toc184313238"/>
      <w:bookmarkEnd w:id="385"/>
      <w:bookmarkStart w:id="386" w:name="_Toc184312107"/>
      <w:bookmarkEnd w:id="386"/>
      <w:bookmarkStart w:id="387" w:name="_Toc184308086"/>
      <w:bookmarkEnd w:id="387"/>
      <w:bookmarkStart w:id="388" w:name="_Toc184308036"/>
      <w:bookmarkEnd w:id="388"/>
      <w:bookmarkStart w:id="389" w:name="_Toc184310289"/>
      <w:bookmarkEnd w:id="389"/>
      <w:bookmarkStart w:id="390" w:name="_Toc184314482"/>
      <w:bookmarkEnd w:id="390"/>
      <w:bookmarkStart w:id="391" w:name="_Toc184308072"/>
      <w:bookmarkEnd w:id="391"/>
      <w:bookmarkStart w:id="392" w:name="_Toc184313261"/>
      <w:bookmarkEnd w:id="392"/>
      <w:bookmarkStart w:id="393" w:name="_Toc184312076"/>
      <w:bookmarkEnd w:id="393"/>
      <w:bookmarkStart w:id="394" w:name="_Toc184313288"/>
      <w:bookmarkEnd w:id="394"/>
      <w:bookmarkStart w:id="395" w:name="_Toc184314454"/>
      <w:bookmarkEnd w:id="395"/>
      <w:bookmarkStart w:id="396" w:name="_Toc184312125"/>
      <w:bookmarkEnd w:id="396"/>
      <w:bookmarkStart w:id="397" w:name="_Toc184313241"/>
      <w:bookmarkEnd w:id="397"/>
      <w:bookmarkStart w:id="398" w:name="_Toc184310304"/>
      <w:bookmarkEnd w:id="398"/>
      <w:bookmarkStart w:id="399" w:name="_Toc184310298"/>
      <w:bookmarkEnd w:id="399"/>
      <w:bookmarkStart w:id="400" w:name="_Toc184310291"/>
      <w:bookmarkEnd w:id="400"/>
      <w:bookmarkStart w:id="401" w:name="_Toc184312074"/>
      <w:bookmarkEnd w:id="401"/>
      <w:bookmarkStart w:id="402" w:name="_Toc184308080"/>
      <w:bookmarkEnd w:id="402"/>
      <w:bookmarkStart w:id="403" w:name="_Toc184314467"/>
      <w:bookmarkEnd w:id="403"/>
      <w:bookmarkStart w:id="404" w:name="_Toc184308055"/>
      <w:bookmarkEnd w:id="404"/>
      <w:bookmarkStart w:id="405" w:name="_Toc184312115"/>
      <w:bookmarkEnd w:id="405"/>
      <w:bookmarkStart w:id="406" w:name="_Toc184310310"/>
      <w:bookmarkEnd w:id="406"/>
      <w:bookmarkStart w:id="407" w:name="_Toc184310274"/>
      <w:bookmarkEnd w:id="407"/>
      <w:bookmarkStart w:id="408" w:name="_Toc184314426"/>
      <w:bookmarkEnd w:id="408"/>
      <w:bookmarkStart w:id="409" w:name="_Toc184308105"/>
      <w:bookmarkEnd w:id="409"/>
      <w:bookmarkStart w:id="410" w:name="_Toc184312137"/>
      <w:bookmarkEnd w:id="410"/>
      <w:bookmarkStart w:id="411" w:name="_Toc184313239"/>
      <w:bookmarkEnd w:id="411"/>
      <w:bookmarkStart w:id="412" w:name="_Toc184312090"/>
      <w:bookmarkEnd w:id="412"/>
      <w:bookmarkStart w:id="413" w:name="_Toc184312081"/>
      <w:bookmarkEnd w:id="413"/>
      <w:bookmarkStart w:id="414" w:name="_Toc184313310"/>
      <w:bookmarkEnd w:id="414"/>
      <w:bookmarkStart w:id="415" w:name="_Toc184313269"/>
      <w:bookmarkEnd w:id="415"/>
      <w:bookmarkStart w:id="416" w:name="_Toc184313242"/>
      <w:bookmarkEnd w:id="416"/>
      <w:bookmarkStart w:id="417" w:name="_Toc184308048"/>
      <w:bookmarkEnd w:id="417"/>
      <w:bookmarkStart w:id="418" w:name="_Toc184310315"/>
      <w:bookmarkEnd w:id="418"/>
      <w:bookmarkStart w:id="419" w:name="_Toc184314450"/>
      <w:bookmarkEnd w:id="419"/>
      <w:bookmarkStart w:id="420" w:name="_Toc184308103"/>
      <w:bookmarkEnd w:id="420"/>
      <w:bookmarkStart w:id="421" w:name="_Toc184308060"/>
      <w:bookmarkEnd w:id="421"/>
      <w:bookmarkStart w:id="422" w:name="_Toc184313258"/>
      <w:bookmarkEnd w:id="422"/>
      <w:bookmarkStart w:id="423" w:name="_Toc184314430"/>
      <w:bookmarkEnd w:id="423"/>
      <w:bookmarkStart w:id="424" w:name="_Toc184313274"/>
      <w:bookmarkEnd w:id="424"/>
      <w:bookmarkStart w:id="425" w:name="_Toc184313265"/>
      <w:bookmarkEnd w:id="425"/>
      <w:bookmarkStart w:id="426" w:name="_Toc184308104"/>
      <w:bookmarkEnd w:id="426"/>
      <w:bookmarkStart w:id="427" w:name="_Toc184312104"/>
      <w:bookmarkEnd w:id="427"/>
      <w:bookmarkStart w:id="428" w:name="第四部分"/>
      <w:r>
        <w:rPr>
          <w:rFonts w:hint="eastAsia" w:ascii="宋体" w:hAnsi="宋体" w:cs="宋体"/>
          <w:b/>
          <w:color w:val="auto"/>
          <w:sz w:val="36"/>
          <w:szCs w:val="36"/>
        </w:rPr>
        <w:t>评标办法及评分标准</w:t>
      </w:r>
      <w:bookmarkEnd w:id="62"/>
    </w:p>
    <w:p w14:paraId="7D9E4A40">
      <w:pPr>
        <w:pStyle w:val="5"/>
        <w:spacing w:line="360" w:lineRule="auto"/>
        <w:jc w:val="center"/>
        <w:rPr>
          <w:rFonts w:hAnsi="宋体" w:cs="宋体"/>
          <w:bCs/>
          <w:color w:val="auto"/>
        </w:rPr>
      </w:pPr>
      <w:bookmarkStart w:id="429" w:name="_Toc1764"/>
      <w:r>
        <w:rPr>
          <w:rFonts w:hint="eastAsia" w:hAnsi="宋体" w:cs="宋体"/>
          <w:bCs/>
          <w:color w:val="auto"/>
        </w:rPr>
        <w:t>第一章　评标办法</w:t>
      </w:r>
      <w:bookmarkEnd w:id="429"/>
    </w:p>
    <w:p w14:paraId="7898B8B0">
      <w:p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一、本次招标将按下列第</w:t>
      </w:r>
      <w:r>
        <w:rPr>
          <w:rFonts w:hint="eastAsia" w:ascii="宋体" w:hAnsi="宋体" w:cs="宋体"/>
          <w:b/>
          <w:bCs/>
          <w:color w:val="auto"/>
          <w:sz w:val="24"/>
          <w:szCs w:val="21"/>
          <w:u w:val="single"/>
        </w:rPr>
        <w:t>　1　</w:t>
      </w:r>
      <w:r>
        <w:rPr>
          <w:rFonts w:hint="eastAsia" w:ascii="宋体" w:hAnsi="宋体" w:cs="宋体"/>
          <w:b/>
          <w:bCs/>
          <w:color w:val="auto"/>
          <w:sz w:val="24"/>
          <w:szCs w:val="21"/>
        </w:rPr>
        <w:t>种评标办法进行评标：</w:t>
      </w:r>
    </w:p>
    <w:p w14:paraId="2E73D726">
      <w:pPr>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综合评分法。即在最大限度地满足招标文件实质性要求的前提下，按照《评分标准》规定的评分因素对各投标人的投标文件进行综合评审，以技术分、资信分、商务分总得分最高的投标人作为中标候选人。如最高总得分相同的，以报价低者作为中标候选人。如最高总得分且报价相同的，以技术指标优者作为中标候选人；无法确定技术指标优劣的，则抽签确定中标候选人。</w:t>
      </w:r>
    </w:p>
    <w:p w14:paraId="67E37EBC">
      <w:pPr>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最低评标价法。即在全部满足招标文件实质性要求的前提下，以评审后最低评标价的投标人作为中标候选人。如最低报价相同的，以技术指标优者作为中标候选人；无法确定技术指标优劣的，则抽签确定中标候选人。</w:t>
      </w:r>
    </w:p>
    <w:p w14:paraId="48D1A1C0">
      <w:pPr>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本次评标采用百分制计分，计算时四舍五入保留到小数点后两位。</w:t>
      </w:r>
    </w:p>
    <w:p w14:paraId="3F9BE790">
      <w:pPr>
        <w:spacing w:line="360" w:lineRule="auto"/>
        <w:ind w:firstLine="480" w:firstLineChars="200"/>
        <w:rPr>
          <w:rFonts w:ascii="宋体" w:hAnsi="宋体" w:cs="宋体"/>
          <w:color w:val="auto"/>
          <w:sz w:val="24"/>
          <w:szCs w:val="21"/>
        </w:rPr>
      </w:pPr>
    </w:p>
    <w:p w14:paraId="7BFB3987">
      <w:pPr>
        <w:pStyle w:val="5"/>
        <w:spacing w:line="360" w:lineRule="auto"/>
        <w:jc w:val="center"/>
        <w:rPr>
          <w:rFonts w:hAnsi="宋体" w:cs="宋体"/>
          <w:color w:val="auto"/>
        </w:rPr>
      </w:pPr>
      <w:r>
        <w:rPr>
          <w:rFonts w:hint="eastAsia" w:hAnsi="宋体" w:cs="宋体"/>
          <w:color w:val="auto"/>
        </w:rPr>
        <w:t>第二章　评分标准</w:t>
      </w:r>
    </w:p>
    <w:p w14:paraId="1488088B">
      <w:pPr>
        <w:spacing w:line="360" w:lineRule="auto"/>
        <w:ind w:firstLine="482" w:firstLineChars="200"/>
        <w:rPr>
          <w:rFonts w:ascii="宋体" w:hAnsi="宋体"/>
          <w:b/>
          <w:bCs/>
          <w:color w:val="auto"/>
          <w:sz w:val="24"/>
          <w:szCs w:val="21"/>
        </w:rPr>
      </w:pPr>
      <w:r>
        <w:rPr>
          <w:rFonts w:hint="eastAsia" w:ascii="宋体" w:hAnsi="宋体"/>
          <w:b/>
          <w:bCs/>
          <w:color w:val="auto"/>
          <w:sz w:val="24"/>
          <w:szCs w:val="21"/>
        </w:rPr>
        <w:t>一、报价文件评分标准（</w:t>
      </w:r>
      <w:r>
        <w:rPr>
          <w:rFonts w:hint="eastAsia" w:ascii="宋体" w:hAnsi="宋体"/>
          <w:b/>
          <w:bCs/>
          <w:color w:val="auto"/>
          <w:sz w:val="24"/>
          <w:szCs w:val="21"/>
          <w:lang w:val="en-US" w:eastAsia="zh-CN"/>
        </w:rPr>
        <w:t>3</w:t>
      </w:r>
      <w:r>
        <w:rPr>
          <w:rFonts w:hint="eastAsia" w:ascii="宋体" w:hAnsi="宋体"/>
          <w:b/>
          <w:bCs/>
          <w:color w:val="auto"/>
          <w:sz w:val="24"/>
          <w:szCs w:val="21"/>
        </w:rPr>
        <w:t>0分）</w:t>
      </w:r>
    </w:p>
    <w:p w14:paraId="56A2B814">
      <w:pPr>
        <w:spacing w:line="360" w:lineRule="auto"/>
        <w:ind w:firstLine="480" w:firstLineChars="200"/>
        <w:rPr>
          <w:rFonts w:ascii="宋体" w:hAnsi="宋体"/>
          <w:color w:val="auto"/>
          <w:sz w:val="24"/>
          <w:szCs w:val="21"/>
        </w:rPr>
      </w:pPr>
      <w:r>
        <w:rPr>
          <w:rFonts w:hint="eastAsia" w:ascii="宋体" w:hAnsi="宋体"/>
          <w:color w:val="auto"/>
          <w:sz w:val="24"/>
          <w:szCs w:val="21"/>
        </w:rPr>
        <w:t>报价文件主要是对投标人的有效报价进行评议，其评分标准及分值设置规则如下：</w:t>
      </w:r>
    </w:p>
    <w:p w14:paraId="36DD71A9">
      <w:pPr>
        <w:spacing w:line="360" w:lineRule="auto"/>
        <w:ind w:firstLine="480" w:firstLineChars="200"/>
        <w:rPr>
          <w:rFonts w:ascii="宋体" w:hAnsi="宋体"/>
          <w:color w:val="auto"/>
          <w:sz w:val="24"/>
          <w:szCs w:val="21"/>
        </w:rPr>
      </w:pPr>
      <w:r>
        <w:rPr>
          <w:rFonts w:hint="eastAsia" w:ascii="宋体" w:hAnsi="宋体"/>
          <w:color w:val="auto"/>
          <w:sz w:val="24"/>
          <w:szCs w:val="21"/>
        </w:rPr>
        <w:t>1、本次招标最高限价规定如下：</w:t>
      </w:r>
    </w:p>
    <w:p w14:paraId="2E520DEC">
      <w:pPr>
        <w:spacing w:line="360" w:lineRule="auto"/>
        <w:ind w:firstLine="480" w:firstLineChars="200"/>
        <w:rPr>
          <w:rFonts w:hint="eastAsia" w:ascii="宋体" w:cs="宋体"/>
          <w:b/>
          <w:bCs/>
          <w:color w:val="auto"/>
          <w:sz w:val="24"/>
          <w:highlight w:val="none"/>
          <w:lang w:val="en-US" w:eastAsia="zh-CN"/>
        </w:rPr>
      </w:pPr>
      <w:r>
        <w:rPr>
          <w:rFonts w:hint="eastAsia" w:ascii="宋体" w:hAnsi="宋体"/>
          <w:color w:val="auto"/>
          <w:sz w:val="24"/>
          <w:szCs w:val="21"/>
        </w:rPr>
        <w:t>本项目投标报价的最高限价</w:t>
      </w:r>
      <w:r>
        <w:rPr>
          <w:rFonts w:hint="eastAsia" w:ascii="宋体" w:hAnsi="宋体"/>
          <w:b/>
          <w:color w:val="auto"/>
          <w:sz w:val="24"/>
          <w:szCs w:val="21"/>
        </w:rPr>
        <w:t>为人民币</w:t>
      </w:r>
      <w:r>
        <w:rPr>
          <w:rFonts w:hint="eastAsia" w:ascii="宋体" w:hAnsi="宋体" w:cs="Times New Roman"/>
          <w:b/>
          <w:bCs/>
          <w:color w:val="auto"/>
          <w:sz w:val="24"/>
          <w:szCs w:val="21"/>
          <w:u w:val="single"/>
          <w:lang w:val="en-US" w:eastAsia="zh-CN"/>
        </w:rPr>
        <w:t>壹佰壹拾壹万陆仟</w:t>
      </w:r>
      <w:r>
        <w:rPr>
          <w:rFonts w:hint="eastAsia" w:ascii="宋体" w:hAnsi="宋体" w:eastAsia="宋体" w:cs="Times New Roman"/>
          <w:b/>
          <w:bCs/>
          <w:color w:val="auto"/>
          <w:sz w:val="24"/>
          <w:szCs w:val="21"/>
          <w:u w:val="single"/>
        </w:rPr>
        <w:t>元整（</w:t>
      </w:r>
      <w:r>
        <w:rPr>
          <w:rFonts w:hint="eastAsia" w:ascii="宋体" w:hAnsi="宋体"/>
          <w:b/>
          <w:color w:val="auto"/>
          <w:sz w:val="24"/>
          <w:szCs w:val="21"/>
          <w:u w:val="single"/>
        </w:rPr>
        <w:t>小</w:t>
      </w:r>
      <w:r>
        <w:rPr>
          <w:rFonts w:hint="eastAsia" w:ascii="宋体" w:hAnsi="宋体" w:eastAsia="宋体" w:cs="Times New Roman"/>
          <w:b/>
          <w:color w:val="auto"/>
          <w:sz w:val="24"/>
          <w:szCs w:val="21"/>
          <w:u w:val="single"/>
          <w:lang w:val="en-US" w:eastAsia="zh-CN"/>
        </w:rPr>
        <w:t>写</w:t>
      </w:r>
      <w:r>
        <w:rPr>
          <w:rFonts w:hint="eastAsia" w:ascii="宋体" w:hAnsi="宋体" w:cs="Times New Roman"/>
          <w:b/>
          <w:color w:val="auto"/>
          <w:sz w:val="24"/>
          <w:szCs w:val="21"/>
          <w:u w:val="single"/>
          <w:lang w:val="en-US" w:eastAsia="zh-CN"/>
        </w:rPr>
        <w:t>1116000</w:t>
      </w:r>
      <w:r>
        <w:rPr>
          <w:rFonts w:hint="eastAsia" w:ascii="宋体" w:hAnsi="宋体" w:eastAsia="宋体" w:cs="Times New Roman"/>
          <w:b/>
          <w:color w:val="auto"/>
          <w:sz w:val="24"/>
          <w:szCs w:val="21"/>
          <w:u w:val="single"/>
          <w:lang w:val="en-US" w:eastAsia="zh-CN"/>
        </w:rPr>
        <w:t>元</w:t>
      </w:r>
      <w:r>
        <w:rPr>
          <w:rFonts w:hint="eastAsia" w:ascii="宋体" w:hAnsi="宋体" w:eastAsia="宋体" w:cs="Times New Roman"/>
          <w:b/>
          <w:color w:val="auto"/>
          <w:sz w:val="24"/>
          <w:szCs w:val="21"/>
          <w:u w:val="single"/>
        </w:rPr>
        <w:t>）</w:t>
      </w:r>
      <w:r>
        <w:rPr>
          <w:rFonts w:hint="eastAsia" w:ascii="宋体" w:hAnsi="宋体"/>
          <w:b/>
          <w:color w:val="auto"/>
          <w:sz w:val="24"/>
          <w:szCs w:val="21"/>
        </w:rPr>
        <w:t>。</w:t>
      </w:r>
      <w:r>
        <w:rPr>
          <w:rFonts w:hint="eastAsia" w:ascii="宋体" w:cs="宋体"/>
          <w:b/>
          <w:bCs/>
          <w:color w:val="auto"/>
          <w:sz w:val="24"/>
          <w:highlight w:val="none"/>
          <w:lang w:val="en-US" w:eastAsia="zh-CN"/>
        </w:rPr>
        <w:t>其中双穴墓套单价最高限价</w:t>
      </w:r>
      <w:r>
        <w:rPr>
          <w:rFonts w:hint="eastAsia" w:ascii="宋体" w:cs="宋体"/>
          <w:b/>
          <w:bCs/>
          <w:color w:val="auto"/>
          <w:sz w:val="24"/>
          <w:highlight w:val="none"/>
        </w:rPr>
        <w:t>为人民币</w:t>
      </w:r>
      <w:r>
        <w:rPr>
          <w:rFonts w:hint="eastAsia" w:ascii="宋体" w:cs="宋体"/>
          <w:b/>
          <w:bCs/>
          <w:color w:val="auto"/>
          <w:sz w:val="24"/>
          <w:highlight w:val="none"/>
          <w:u w:val="single"/>
        </w:rPr>
        <w:t xml:space="preserve"> </w:t>
      </w:r>
      <w:r>
        <w:rPr>
          <w:rFonts w:hint="eastAsia" w:ascii="宋体" w:cs="宋体"/>
          <w:b/>
          <w:bCs/>
          <w:color w:val="auto"/>
          <w:sz w:val="24"/>
          <w:highlight w:val="none"/>
          <w:u w:val="single"/>
          <w:lang w:val="en-US" w:eastAsia="zh-CN"/>
        </w:rPr>
        <w:t>叁仟</w:t>
      </w:r>
      <w:r>
        <w:rPr>
          <w:rFonts w:hint="eastAsia" w:ascii="宋体" w:hAnsi="Times New Roman" w:eastAsia="宋体" w:cs="宋体"/>
          <w:b/>
          <w:bCs/>
          <w:color w:val="auto"/>
          <w:sz w:val="24"/>
          <w:highlight w:val="none"/>
          <w:u w:val="single"/>
          <w:lang w:val="en-US" w:eastAsia="zh-CN"/>
        </w:rPr>
        <w:t>元整/套</w:t>
      </w:r>
      <w:r>
        <w:rPr>
          <w:rFonts w:hint="eastAsia" w:ascii="宋体" w:cs="宋体"/>
          <w:b/>
          <w:bCs/>
          <w:color w:val="auto"/>
          <w:sz w:val="24"/>
          <w:highlight w:val="none"/>
        </w:rPr>
        <w:t>（小写</w:t>
      </w:r>
      <w:r>
        <w:rPr>
          <w:rFonts w:hint="eastAsia" w:ascii="宋体" w:cs="宋体"/>
          <w:b/>
          <w:bCs/>
          <w:color w:val="auto"/>
          <w:sz w:val="24"/>
          <w:highlight w:val="none"/>
          <w:u w:val="single"/>
          <w:lang w:val="en-US" w:eastAsia="zh-CN"/>
        </w:rPr>
        <w:t>3000</w:t>
      </w:r>
      <w:r>
        <w:rPr>
          <w:rFonts w:hint="eastAsia" w:ascii="宋体" w:cs="宋体"/>
          <w:b/>
          <w:bCs/>
          <w:color w:val="auto"/>
          <w:sz w:val="24"/>
          <w:highlight w:val="none"/>
        </w:rPr>
        <w:t>元</w:t>
      </w:r>
      <w:r>
        <w:rPr>
          <w:rFonts w:hint="eastAsia" w:ascii="宋体" w:cs="宋体"/>
          <w:b/>
          <w:bCs/>
          <w:color w:val="auto"/>
          <w:sz w:val="24"/>
          <w:highlight w:val="none"/>
          <w:lang w:val="en-US" w:eastAsia="zh-CN"/>
        </w:rPr>
        <w:t>/套</w:t>
      </w:r>
      <w:r>
        <w:rPr>
          <w:rFonts w:hint="eastAsia" w:ascii="宋体" w:cs="宋体"/>
          <w:b/>
          <w:bCs/>
          <w:color w:val="auto"/>
          <w:sz w:val="24"/>
          <w:highlight w:val="none"/>
        </w:rPr>
        <w:t>）</w:t>
      </w:r>
      <w:r>
        <w:rPr>
          <w:rFonts w:hint="eastAsia" w:ascii="宋体" w:cs="宋体"/>
          <w:b/>
          <w:bCs/>
          <w:color w:val="auto"/>
          <w:sz w:val="24"/>
          <w:highlight w:val="none"/>
          <w:lang w:eastAsia="zh-CN"/>
        </w:rPr>
        <w:t>，</w:t>
      </w:r>
      <w:r>
        <w:rPr>
          <w:rFonts w:hint="eastAsia" w:ascii="宋体" w:cs="宋体"/>
          <w:b/>
          <w:bCs/>
          <w:color w:val="auto"/>
          <w:sz w:val="24"/>
          <w:highlight w:val="none"/>
          <w:lang w:val="en-US" w:eastAsia="zh-CN"/>
        </w:rPr>
        <w:t>单穴墓墓套单价最高限价</w:t>
      </w:r>
      <w:r>
        <w:rPr>
          <w:rFonts w:hint="eastAsia" w:ascii="宋体" w:cs="宋体"/>
          <w:b/>
          <w:bCs/>
          <w:color w:val="auto"/>
          <w:sz w:val="24"/>
          <w:highlight w:val="none"/>
        </w:rPr>
        <w:t>为人民币</w:t>
      </w:r>
      <w:r>
        <w:rPr>
          <w:rFonts w:hint="eastAsia" w:ascii="宋体" w:cs="宋体"/>
          <w:b/>
          <w:bCs/>
          <w:color w:val="auto"/>
          <w:sz w:val="24"/>
          <w:highlight w:val="none"/>
          <w:u w:val="single"/>
        </w:rPr>
        <w:t xml:space="preserve"> </w:t>
      </w:r>
      <w:r>
        <w:rPr>
          <w:rFonts w:hint="eastAsia" w:ascii="宋体" w:cs="宋体"/>
          <w:b/>
          <w:bCs/>
          <w:color w:val="auto"/>
          <w:sz w:val="24"/>
          <w:highlight w:val="none"/>
          <w:u w:val="single"/>
          <w:lang w:val="en-US" w:eastAsia="zh-CN"/>
        </w:rPr>
        <w:t>贰仟</w:t>
      </w:r>
      <w:r>
        <w:rPr>
          <w:rFonts w:hint="eastAsia" w:ascii="宋体" w:hAnsi="Times New Roman" w:eastAsia="宋体" w:cs="宋体"/>
          <w:b/>
          <w:bCs/>
          <w:color w:val="auto"/>
          <w:sz w:val="24"/>
          <w:highlight w:val="none"/>
          <w:u w:val="single"/>
          <w:lang w:val="en-US" w:eastAsia="zh-CN"/>
        </w:rPr>
        <w:t>元整/套</w:t>
      </w:r>
      <w:r>
        <w:rPr>
          <w:rFonts w:hint="eastAsia" w:ascii="宋体" w:cs="宋体"/>
          <w:b/>
          <w:bCs/>
          <w:color w:val="auto"/>
          <w:sz w:val="24"/>
          <w:highlight w:val="none"/>
        </w:rPr>
        <w:t>（小写</w:t>
      </w:r>
      <w:r>
        <w:rPr>
          <w:rFonts w:hint="eastAsia" w:ascii="宋体" w:cs="宋体"/>
          <w:b/>
          <w:bCs/>
          <w:color w:val="auto"/>
          <w:sz w:val="24"/>
          <w:highlight w:val="none"/>
          <w:u w:val="single"/>
          <w:lang w:val="en-US" w:eastAsia="zh-CN"/>
        </w:rPr>
        <w:t>2000</w:t>
      </w:r>
      <w:r>
        <w:rPr>
          <w:rFonts w:hint="eastAsia" w:ascii="宋体" w:cs="宋体"/>
          <w:b/>
          <w:bCs/>
          <w:color w:val="auto"/>
          <w:sz w:val="24"/>
          <w:highlight w:val="none"/>
        </w:rPr>
        <w:t>元</w:t>
      </w:r>
      <w:r>
        <w:rPr>
          <w:rFonts w:hint="eastAsia" w:ascii="宋体" w:cs="宋体"/>
          <w:b/>
          <w:bCs/>
          <w:color w:val="auto"/>
          <w:sz w:val="24"/>
          <w:highlight w:val="none"/>
          <w:lang w:val="en-US" w:eastAsia="zh-CN"/>
        </w:rPr>
        <w:t>/套</w:t>
      </w:r>
      <w:r>
        <w:rPr>
          <w:rFonts w:hint="eastAsia" w:ascii="宋体" w:cs="宋体"/>
          <w:b/>
          <w:bCs/>
          <w:color w:val="auto"/>
          <w:sz w:val="24"/>
          <w:highlight w:val="none"/>
        </w:rPr>
        <w:t>）</w:t>
      </w:r>
      <w:r>
        <w:rPr>
          <w:rFonts w:hint="eastAsia" w:ascii="宋体" w:cs="宋体"/>
          <w:b/>
          <w:bCs/>
          <w:color w:val="auto"/>
          <w:sz w:val="24"/>
          <w:highlight w:val="none"/>
          <w:lang w:val="en-US" w:eastAsia="zh-CN"/>
        </w:rPr>
        <w:t>。</w:t>
      </w:r>
    </w:p>
    <w:p w14:paraId="6A60D0E1">
      <w:pPr>
        <w:spacing w:line="360" w:lineRule="auto"/>
        <w:ind w:firstLine="482" w:firstLineChars="200"/>
        <w:rPr>
          <w:rFonts w:ascii="宋体" w:hAnsi="宋体"/>
          <w:b/>
          <w:color w:val="auto"/>
          <w:sz w:val="24"/>
          <w:szCs w:val="21"/>
        </w:rPr>
      </w:pPr>
      <w:r>
        <w:rPr>
          <w:rFonts w:hint="eastAsia" w:ascii="宋体" w:hAnsi="宋体"/>
          <w:b/>
          <w:color w:val="auto"/>
          <w:sz w:val="24"/>
          <w:szCs w:val="21"/>
        </w:rPr>
        <w:t>最高限价由采购人根据市场价格的调查设定，并且不高于本项目预算。</w:t>
      </w:r>
    </w:p>
    <w:p w14:paraId="6F8E8702">
      <w:pPr>
        <w:spacing w:line="360" w:lineRule="auto"/>
        <w:ind w:firstLine="480" w:firstLineChars="200"/>
        <w:rPr>
          <w:rFonts w:ascii="宋体" w:hAnsi="宋体"/>
          <w:color w:val="auto"/>
          <w:sz w:val="24"/>
          <w:szCs w:val="21"/>
        </w:rPr>
      </w:pPr>
      <w:r>
        <w:rPr>
          <w:rFonts w:hint="eastAsia" w:ascii="宋体" w:hAnsi="宋体"/>
          <w:color w:val="auto"/>
          <w:sz w:val="24"/>
          <w:szCs w:val="21"/>
        </w:rPr>
        <w:t>2、投标人的报价在最高限价内的，为有效报价。</w:t>
      </w:r>
    </w:p>
    <w:p w14:paraId="43FC6FBD">
      <w:pPr>
        <w:spacing w:line="360" w:lineRule="auto"/>
        <w:ind w:firstLine="480" w:firstLineChars="200"/>
        <w:rPr>
          <w:rFonts w:ascii="宋体" w:hAnsi="宋体"/>
          <w:color w:val="auto"/>
          <w:sz w:val="24"/>
          <w:szCs w:val="21"/>
        </w:rPr>
      </w:pPr>
      <w:r>
        <w:rPr>
          <w:rFonts w:hint="eastAsia" w:ascii="宋体" w:hAnsi="宋体"/>
          <w:color w:val="auto"/>
          <w:sz w:val="24"/>
          <w:szCs w:val="21"/>
        </w:rPr>
        <w:t>3、本次评标设有最佳报价。最佳报价确定方式：根据所有入围投标人有效报价中的最低报价作为最佳报价。</w:t>
      </w:r>
    </w:p>
    <w:p w14:paraId="17EB0CBB">
      <w:pPr>
        <w:spacing w:line="360" w:lineRule="auto"/>
        <w:ind w:firstLine="480" w:firstLineChars="200"/>
        <w:rPr>
          <w:rFonts w:ascii="宋体" w:hAnsi="宋体"/>
          <w:color w:val="auto"/>
          <w:sz w:val="24"/>
          <w:szCs w:val="21"/>
        </w:rPr>
      </w:pPr>
      <w:r>
        <w:rPr>
          <w:rFonts w:hint="eastAsia" w:ascii="宋体" w:hAnsi="宋体"/>
          <w:color w:val="auto"/>
          <w:sz w:val="24"/>
          <w:szCs w:val="21"/>
        </w:rPr>
        <w:t>4、最佳报价者的报价分为满分，其他投标人的有效报价与最佳报价相比，按下列方法计算其报价分：</w:t>
      </w:r>
    </w:p>
    <w:p w14:paraId="42DE1E27">
      <w:pPr>
        <w:spacing w:line="360" w:lineRule="auto"/>
        <w:ind w:firstLine="480" w:firstLineChars="200"/>
        <w:rPr>
          <w:rFonts w:ascii="宋体" w:hAnsi="宋体"/>
          <w:color w:val="auto"/>
          <w:sz w:val="24"/>
          <w:szCs w:val="21"/>
        </w:rPr>
      </w:pPr>
      <w:r>
        <w:rPr>
          <w:rFonts w:hint="eastAsia" w:ascii="宋体" w:hAnsi="宋体"/>
          <w:color w:val="auto"/>
          <w:sz w:val="24"/>
          <w:szCs w:val="21"/>
        </w:rPr>
        <w:t>投标价格分=(最佳报价/投标报价)*价格权值*100。</w:t>
      </w:r>
    </w:p>
    <w:p w14:paraId="40653392">
      <w:pPr>
        <w:spacing w:line="360" w:lineRule="auto"/>
        <w:ind w:firstLine="480" w:firstLineChars="200"/>
        <w:rPr>
          <w:rFonts w:ascii="宋体" w:hAnsi="宋体"/>
          <w:color w:val="auto"/>
          <w:sz w:val="24"/>
          <w:szCs w:val="21"/>
        </w:rPr>
      </w:pPr>
      <w:r>
        <w:rPr>
          <w:rFonts w:hint="eastAsia" w:ascii="宋体" w:hAnsi="宋体"/>
          <w:color w:val="auto"/>
          <w:sz w:val="24"/>
          <w:szCs w:val="21"/>
        </w:rPr>
        <w:t>5、当投标（开标）一览表与投标报价明细表报价不一致时，以投标（开标）一览表为准，报价明细表报价予以修正并由授权代表签字确认，拒绝修正或确认的，则做无效标处理。</w:t>
      </w:r>
    </w:p>
    <w:p w14:paraId="3550F8E2">
      <w:pPr>
        <w:spacing w:line="360" w:lineRule="auto"/>
        <w:ind w:firstLine="480" w:firstLineChars="200"/>
        <w:rPr>
          <w:rFonts w:ascii="宋体" w:hAnsi="宋体"/>
          <w:color w:val="auto"/>
          <w:sz w:val="24"/>
          <w:szCs w:val="21"/>
        </w:rPr>
      </w:pPr>
      <w:r>
        <w:rPr>
          <w:rFonts w:hint="eastAsia" w:ascii="宋体" w:hAnsi="宋体"/>
          <w:color w:val="auto"/>
          <w:sz w:val="24"/>
          <w:szCs w:val="21"/>
        </w:rPr>
        <w:t>6、投标文件只允许有一个报价，投标报价应按招标文件中相关附表格式填报，该投标报价应与明细报价汇总相等，且不允许出现报价优惠、赠送等字样（明细出现“0”元，视同赠送）,如出现则做</w:t>
      </w:r>
      <w:r>
        <w:rPr>
          <w:rFonts w:hint="eastAsia" w:ascii="宋体" w:hAnsi="宋体"/>
          <w:b/>
          <w:bCs/>
          <w:color w:val="auto"/>
          <w:sz w:val="24"/>
          <w:szCs w:val="21"/>
        </w:rPr>
        <w:t>无效投标</w:t>
      </w:r>
      <w:r>
        <w:rPr>
          <w:rFonts w:hint="eastAsia" w:ascii="宋体" w:hAnsi="宋体"/>
          <w:color w:val="auto"/>
          <w:sz w:val="24"/>
          <w:szCs w:val="21"/>
        </w:rPr>
        <w:t>处理。</w:t>
      </w:r>
    </w:p>
    <w:p w14:paraId="1234DD88">
      <w:pPr>
        <w:autoSpaceDE w:val="0"/>
        <w:autoSpaceDN w:val="0"/>
        <w:spacing w:line="360" w:lineRule="auto"/>
        <w:ind w:firstLine="482"/>
        <w:rPr>
          <w:rFonts w:ascii="宋体" w:hAnsi="宋体" w:cs="宋体"/>
          <w:color w:val="auto"/>
          <w:sz w:val="24"/>
        </w:rPr>
      </w:pPr>
      <w:r>
        <w:rPr>
          <w:rFonts w:hint="eastAsia" w:ascii="宋体" w:hAnsi="宋体"/>
          <w:color w:val="auto"/>
          <w:sz w:val="24"/>
          <w:szCs w:val="21"/>
        </w:rPr>
        <w:t>7、</w:t>
      </w:r>
      <w:r>
        <w:rPr>
          <w:rFonts w:hint="eastAsia" w:ascii="宋体" w:hAnsi="宋体" w:cs="仿宋_GB2312"/>
          <w:b/>
          <w:color w:val="auto"/>
          <w:sz w:val="24"/>
        </w:rPr>
        <w:t>投标价格的合理性</w:t>
      </w:r>
      <w:r>
        <w:rPr>
          <w:rFonts w:hint="eastAsia" w:ascii="宋体" w:hAnsi="宋体" w:cs="仿宋_GB2312"/>
          <w:color w:val="auto"/>
          <w:sz w:val="24"/>
        </w:rPr>
        <w:t>：</w:t>
      </w:r>
      <w:r>
        <w:rPr>
          <w:rFonts w:ascii="Arial" w:hAnsi="Arial" w:cs="Arial"/>
          <w:color w:val="auto"/>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7559FCB">
      <w:p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二、商务技术文件评标内容及标准（</w:t>
      </w:r>
      <w:r>
        <w:rPr>
          <w:rFonts w:hint="eastAsia" w:ascii="宋体" w:hAnsi="宋体" w:cs="宋体"/>
          <w:b/>
          <w:bCs/>
          <w:color w:val="auto"/>
          <w:sz w:val="24"/>
          <w:szCs w:val="21"/>
          <w:lang w:val="en-US" w:eastAsia="zh-CN"/>
        </w:rPr>
        <w:t>70</w:t>
      </w:r>
      <w:r>
        <w:rPr>
          <w:rFonts w:hint="eastAsia" w:ascii="宋体" w:hAnsi="宋体" w:cs="宋体"/>
          <w:b/>
          <w:bCs/>
          <w:color w:val="auto"/>
          <w:sz w:val="24"/>
          <w:szCs w:val="21"/>
        </w:rPr>
        <w:t>分）</w:t>
      </w:r>
    </w:p>
    <w:p w14:paraId="621F833E">
      <w:pPr>
        <w:spacing w:line="360" w:lineRule="auto"/>
        <w:ind w:firstLine="482" w:firstLineChars="200"/>
        <w:rPr>
          <w:rFonts w:hint="eastAsia" w:ascii="宋体" w:hAnsi="宋体" w:cs="宋体"/>
          <w:b/>
          <w:bCs/>
          <w:color w:val="auto"/>
          <w:sz w:val="24"/>
          <w:szCs w:val="21"/>
        </w:rPr>
      </w:pPr>
      <w:r>
        <w:rPr>
          <w:rFonts w:hint="eastAsia" w:ascii="宋体" w:hAnsi="宋体" w:cs="宋体"/>
          <w:b/>
          <w:bCs/>
          <w:color w:val="auto"/>
          <w:sz w:val="24"/>
          <w:szCs w:val="21"/>
        </w:rPr>
        <w:t>1、评分细则</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0" w:type="dxa"/>
          <w:left w:w="108" w:type="dxa"/>
          <w:bottom w:w="0" w:type="dxa"/>
          <w:right w:w="108" w:type="dxa"/>
        </w:tblCellMar>
      </w:tblPr>
      <w:tblGrid>
        <w:gridCol w:w="661"/>
        <w:gridCol w:w="1663"/>
        <w:gridCol w:w="937"/>
        <w:gridCol w:w="4325"/>
        <w:gridCol w:w="903"/>
      </w:tblGrid>
      <w:tr w14:paraId="5FBB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454" w:hRule="atLeast"/>
          <w:jc w:val="center"/>
        </w:trPr>
        <w:tc>
          <w:tcPr>
            <w:tcW w:w="661" w:type="dxa"/>
            <w:shd w:val="clear" w:color="000000" w:fill="auto"/>
            <w:noWrap w:val="0"/>
            <w:vAlign w:val="center"/>
          </w:tcPr>
          <w:p w14:paraId="75A76C39">
            <w:pPr>
              <w:autoSpaceDE w:val="0"/>
              <w:autoSpaceDN w:val="0"/>
              <w:adjustRightInd w:val="0"/>
              <w:spacing w:line="360" w:lineRule="auto"/>
              <w:jc w:val="center"/>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eastAsia="zh-CN"/>
              </w:rPr>
              <w:t>序号</w:t>
            </w:r>
          </w:p>
        </w:tc>
        <w:tc>
          <w:tcPr>
            <w:tcW w:w="2600" w:type="dxa"/>
            <w:gridSpan w:val="2"/>
            <w:shd w:val="clear" w:color="000000" w:fill="auto"/>
            <w:noWrap w:val="0"/>
            <w:vAlign w:val="center"/>
          </w:tcPr>
          <w:p w14:paraId="35ADE010">
            <w:pPr>
              <w:autoSpaceDE w:val="0"/>
              <w:autoSpaceDN w:val="0"/>
              <w:adjustRightInd w:val="0"/>
              <w:spacing w:line="360" w:lineRule="auto"/>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评审项目</w:t>
            </w:r>
          </w:p>
        </w:tc>
        <w:tc>
          <w:tcPr>
            <w:tcW w:w="4325" w:type="dxa"/>
            <w:shd w:val="clear" w:color="000000" w:fill="auto"/>
            <w:noWrap w:val="0"/>
            <w:vAlign w:val="center"/>
          </w:tcPr>
          <w:p w14:paraId="1B5063A5">
            <w:pPr>
              <w:autoSpaceDE w:val="0"/>
              <w:autoSpaceDN w:val="0"/>
              <w:adjustRightInd w:val="0"/>
              <w:spacing w:line="360" w:lineRule="auto"/>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评分标准</w:t>
            </w:r>
          </w:p>
        </w:tc>
        <w:tc>
          <w:tcPr>
            <w:tcW w:w="903" w:type="dxa"/>
            <w:shd w:val="clear" w:color="000000" w:fill="auto"/>
            <w:noWrap w:val="0"/>
            <w:vAlign w:val="center"/>
          </w:tcPr>
          <w:p w14:paraId="0D8EF706">
            <w:pPr>
              <w:autoSpaceDE w:val="0"/>
              <w:autoSpaceDN w:val="0"/>
              <w:adjustRightInd w:val="0"/>
              <w:spacing w:line="360" w:lineRule="auto"/>
              <w:jc w:val="center"/>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eastAsia="zh-CN"/>
              </w:rPr>
              <w:t>得分</w:t>
            </w:r>
          </w:p>
        </w:tc>
      </w:tr>
      <w:tr w14:paraId="0A04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661" w:type="dxa"/>
            <w:vMerge w:val="restart"/>
            <w:shd w:val="clear" w:color="000000" w:fill="auto"/>
            <w:noWrap w:val="0"/>
            <w:vAlign w:val="center"/>
          </w:tcPr>
          <w:p w14:paraId="1CFA05C7">
            <w:pPr>
              <w:autoSpaceDE w:val="0"/>
              <w:autoSpaceDN w:val="0"/>
              <w:adjustRightInd w:val="0"/>
              <w:spacing w:line="360" w:lineRule="auto"/>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w:t>
            </w:r>
          </w:p>
        </w:tc>
        <w:tc>
          <w:tcPr>
            <w:tcW w:w="1663" w:type="dxa"/>
            <w:vMerge w:val="restart"/>
            <w:shd w:val="clear" w:color="000000" w:fill="auto"/>
            <w:noWrap w:val="0"/>
            <w:vAlign w:val="center"/>
          </w:tcPr>
          <w:p w14:paraId="1F71DF0C">
            <w:pPr>
              <w:autoSpaceDE w:val="0"/>
              <w:autoSpaceDN w:val="0"/>
              <w:adjustRightInd w:val="0"/>
              <w:spacing w:line="360" w:lineRule="auto"/>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评委根据以下样品的</w:t>
            </w:r>
            <w:r>
              <w:rPr>
                <w:rFonts w:hint="eastAsia" w:ascii="宋体" w:hAnsi="宋体" w:eastAsia="宋体" w:cs="宋体"/>
                <w:color w:val="000000"/>
                <w:kern w:val="0"/>
                <w:sz w:val="24"/>
                <w:lang w:val="zh-TW" w:eastAsia="zh-CN"/>
              </w:rPr>
              <w:t>材质、规格、工艺、设计</w:t>
            </w:r>
            <w:r>
              <w:rPr>
                <w:rFonts w:hint="eastAsia" w:ascii="宋体" w:hAnsi="宋体" w:eastAsia="宋体" w:cs="宋体"/>
                <w:color w:val="000000"/>
                <w:kern w:val="0"/>
                <w:sz w:val="24"/>
                <w:lang w:val="en-US" w:eastAsia="zh-CN"/>
              </w:rPr>
              <w:t>等情况进行打分。</w:t>
            </w:r>
          </w:p>
          <w:p w14:paraId="3A4539BE">
            <w:pPr>
              <w:autoSpaceDE w:val="0"/>
              <w:autoSpaceDN w:val="0"/>
              <w:adjustRightInd w:val="0"/>
              <w:spacing w:line="360" w:lineRule="auto"/>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样品应隐去包括生产厂家名称、地址、商标（品牌）、投标人名称等投标人特有的标识，工作人员将样品按投标人签到顺序进行编号，评委按编号进行打分。</w:t>
            </w:r>
          </w:p>
        </w:tc>
        <w:tc>
          <w:tcPr>
            <w:tcW w:w="937" w:type="dxa"/>
            <w:shd w:val="clear" w:color="000000" w:fill="auto"/>
            <w:noWrap w:val="0"/>
            <w:vAlign w:val="center"/>
          </w:tcPr>
          <w:p w14:paraId="44507104">
            <w:pPr>
              <w:autoSpaceDE w:val="0"/>
              <w:autoSpaceDN w:val="0"/>
              <w:adjustRightInd w:val="0"/>
              <w:spacing w:line="360" w:lineRule="auto"/>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样品</w:t>
            </w:r>
            <w:r>
              <w:rPr>
                <w:rFonts w:hint="eastAsia" w:ascii="宋体" w:hAnsi="宋体" w:eastAsia="宋体" w:cs="宋体"/>
                <w:color w:val="000000"/>
                <w:kern w:val="0"/>
                <w:sz w:val="24"/>
                <w:lang w:val="zh-TW" w:eastAsia="zh-CN"/>
              </w:rPr>
              <w:t>材质</w:t>
            </w:r>
          </w:p>
        </w:tc>
        <w:tc>
          <w:tcPr>
            <w:tcW w:w="4325" w:type="dxa"/>
            <w:shd w:val="clear" w:color="000000" w:fill="auto"/>
            <w:noWrap w:val="0"/>
            <w:vAlign w:val="center"/>
          </w:tcPr>
          <w:p w14:paraId="63716CFF">
            <w:pPr>
              <w:autoSpaceDE w:val="0"/>
              <w:autoSpaceDN w:val="0"/>
              <w:adjustRightInd w:val="0"/>
              <w:spacing w:line="360" w:lineRule="auto"/>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评委根据投标人提供的样品</w:t>
            </w:r>
            <w:r>
              <w:rPr>
                <w:rFonts w:hint="eastAsia" w:ascii="宋体" w:hAnsi="宋体" w:eastAsia="宋体" w:cs="宋体"/>
                <w:color w:val="000000"/>
                <w:kern w:val="0"/>
                <w:sz w:val="24"/>
                <w:lang w:val="zh-TW" w:eastAsia="zh-CN"/>
              </w:rPr>
              <w:t>材质优劣</w:t>
            </w:r>
            <w:r>
              <w:rPr>
                <w:rFonts w:hint="eastAsia" w:ascii="宋体" w:hAnsi="宋体" w:eastAsia="宋体" w:cs="宋体"/>
                <w:color w:val="000000"/>
                <w:kern w:val="0"/>
                <w:sz w:val="24"/>
                <w:lang w:val="en-US" w:eastAsia="zh-CN"/>
              </w:rPr>
              <w:t>进行综合打分。</w:t>
            </w:r>
          </w:p>
        </w:tc>
        <w:tc>
          <w:tcPr>
            <w:tcW w:w="903" w:type="dxa"/>
            <w:shd w:val="clear" w:color="000000" w:fill="auto"/>
            <w:noWrap w:val="0"/>
            <w:vAlign w:val="center"/>
          </w:tcPr>
          <w:p w14:paraId="776A727F">
            <w:pPr>
              <w:autoSpaceDE w:val="0"/>
              <w:autoSpaceDN w:val="0"/>
              <w:adjustRightInd w:val="0"/>
              <w:spacing w:line="360" w:lineRule="auto"/>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5分</w:t>
            </w:r>
          </w:p>
        </w:tc>
      </w:tr>
      <w:tr w14:paraId="59A9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661" w:type="dxa"/>
            <w:vMerge w:val="continue"/>
            <w:shd w:val="clear" w:color="000000" w:fill="auto"/>
            <w:noWrap w:val="0"/>
            <w:vAlign w:val="center"/>
          </w:tcPr>
          <w:p w14:paraId="34C40DCD">
            <w:pPr>
              <w:autoSpaceDE w:val="0"/>
              <w:autoSpaceDN w:val="0"/>
              <w:adjustRightInd w:val="0"/>
              <w:spacing w:line="360" w:lineRule="auto"/>
              <w:jc w:val="left"/>
              <w:rPr>
                <w:rFonts w:hint="eastAsia" w:ascii="宋体" w:hAnsi="宋体" w:eastAsia="宋体" w:cs="宋体"/>
                <w:color w:val="000000"/>
                <w:kern w:val="0"/>
                <w:sz w:val="24"/>
                <w:lang w:val="en-US" w:eastAsia="zh-CN"/>
              </w:rPr>
            </w:pPr>
          </w:p>
        </w:tc>
        <w:tc>
          <w:tcPr>
            <w:tcW w:w="1663" w:type="dxa"/>
            <w:vMerge w:val="continue"/>
            <w:shd w:val="clear" w:color="000000" w:fill="auto"/>
            <w:noWrap w:val="0"/>
            <w:vAlign w:val="center"/>
          </w:tcPr>
          <w:p w14:paraId="67B2E7C6">
            <w:pPr>
              <w:autoSpaceDE w:val="0"/>
              <w:autoSpaceDN w:val="0"/>
              <w:adjustRightInd w:val="0"/>
              <w:spacing w:line="360" w:lineRule="auto"/>
              <w:jc w:val="center"/>
              <w:rPr>
                <w:rFonts w:hint="eastAsia" w:ascii="宋体" w:hAnsi="宋体" w:eastAsia="宋体" w:cs="宋体"/>
                <w:color w:val="000000"/>
                <w:kern w:val="0"/>
                <w:sz w:val="24"/>
                <w:lang w:val="en-US" w:eastAsia="zh-CN"/>
              </w:rPr>
            </w:pPr>
          </w:p>
        </w:tc>
        <w:tc>
          <w:tcPr>
            <w:tcW w:w="937" w:type="dxa"/>
            <w:shd w:val="clear" w:color="000000" w:fill="auto"/>
            <w:noWrap w:val="0"/>
            <w:vAlign w:val="center"/>
          </w:tcPr>
          <w:p w14:paraId="155C0187">
            <w:pPr>
              <w:autoSpaceDE w:val="0"/>
              <w:autoSpaceDN w:val="0"/>
              <w:adjustRightInd w:val="0"/>
              <w:spacing w:line="360" w:lineRule="auto"/>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样品</w:t>
            </w:r>
            <w:r>
              <w:rPr>
                <w:rFonts w:hint="eastAsia" w:ascii="宋体" w:hAnsi="宋体" w:eastAsia="宋体" w:cs="宋体"/>
                <w:color w:val="000000"/>
                <w:kern w:val="0"/>
                <w:sz w:val="24"/>
                <w:lang w:val="zh-TW" w:eastAsia="zh-CN"/>
              </w:rPr>
              <w:t>规格</w:t>
            </w:r>
          </w:p>
        </w:tc>
        <w:tc>
          <w:tcPr>
            <w:tcW w:w="4325" w:type="dxa"/>
            <w:shd w:val="clear" w:color="000000" w:fill="auto"/>
            <w:noWrap w:val="0"/>
            <w:vAlign w:val="center"/>
          </w:tcPr>
          <w:p w14:paraId="509F1463">
            <w:pPr>
              <w:autoSpaceDE w:val="0"/>
              <w:autoSpaceDN w:val="0"/>
              <w:adjustRightInd w:val="0"/>
              <w:spacing w:line="360" w:lineRule="auto"/>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评委根据投标人提供的样品</w:t>
            </w:r>
            <w:r>
              <w:rPr>
                <w:rFonts w:hint="eastAsia" w:ascii="宋体" w:hAnsi="宋体" w:eastAsia="宋体" w:cs="宋体"/>
                <w:color w:val="000000"/>
                <w:kern w:val="0"/>
                <w:sz w:val="24"/>
                <w:lang w:val="zh-TW" w:eastAsia="zh-CN"/>
              </w:rPr>
              <w:t>规格是否符合采购要求</w:t>
            </w:r>
            <w:r>
              <w:rPr>
                <w:rFonts w:hint="eastAsia" w:ascii="宋体" w:hAnsi="宋体" w:eastAsia="宋体" w:cs="宋体"/>
                <w:color w:val="000000"/>
                <w:kern w:val="0"/>
                <w:sz w:val="24"/>
                <w:lang w:val="en-US" w:eastAsia="zh-CN"/>
              </w:rPr>
              <w:t>进行综合打分。</w:t>
            </w:r>
          </w:p>
        </w:tc>
        <w:tc>
          <w:tcPr>
            <w:tcW w:w="903" w:type="dxa"/>
            <w:shd w:val="clear" w:color="000000" w:fill="auto"/>
            <w:noWrap w:val="0"/>
            <w:vAlign w:val="center"/>
          </w:tcPr>
          <w:p w14:paraId="645227D9">
            <w:pPr>
              <w:autoSpaceDE w:val="0"/>
              <w:autoSpaceDN w:val="0"/>
              <w:adjustRightInd w:val="0"/>
              <w:spacing w:line="360" w:lineRule="auto"/>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5分</w:t>
            </w:r>
          </w:p>
        </w:tc>
      </w:tr>
      <w:tr w14:paraId="5F18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661" w:type="dxa"/>
            <w:vMerge w:val="continue"/>
            <w:shd w:val="clear" w:color="000000" w:fill="auto"/>
            <w:noWrap w:val="0"/>
            <w:vAlign w:val="center"/>
          </w:tcPr>
          <w:p w14:paraId="5F0A22DF">
            <w:pPr>
              <w:autoSpaceDE w:val="0"/>
              <w:autoSpaceDN w:val="0"/>
              <w:adjustRightInd w:val="0"/>
              <w:spacing w:line="360" w:lineRule="auto"/>
              <w:jc w:val="left"/>
              <w:rPr>
                <w:rFonts w:hint="eastAsia" w:ascii="宋体" w:hAnsi="宋体" w:eastAsia="宋体" w:cs="宋体"/>
                <w:color w:val="000000"/>
                <w:kern w:val="0"/>
                <w:sz w:val="24"/>
                <w:lang w:val="en-US" w:eastAsia="zh-CN"/>
              </w:rPr>
            </w:pPr>
          </w:p>
        </w:tc>
        <w:tc>
          <w:tcPr>
            <w:tcW w:w="1663" w:type="dxa"/>
            <w:vMerge w:val="continue"/>
            <w:shd w:val="clear" w:color="000000" w:fill="auto"/>
            <w:noWrap w:val="0"/>
            <w:vAlign w:val="center"/>
          </w:tcPr>
          <w:p w14:paraId="7815BE72">
            <w:pPr>
              <w:autoSpaceDE w:val="0"/>
              <w:autoSpaceDN w:val="0"/>
              <w:adjustRightInd w:val="0"/>
              <w:spacing w:line="360" w:lineRule="auto"/>
              <w:jc w:val="center"/>
              <w:rPr>
                <w:rFonts w:hint="eastAsia" w:ascii="宋体" w:hAnsi="宋体" w:eastAsia="宋体" w:cs="宋体"/>
                <w:color w:val="000000"/>
                <w:kern w:val="0"/>
                <w:sz w:val="24"/>
                <w:lang w:val="en-US" w:eastAsia="zh-CN"/>
              </w:rPr>
            </w:pPr>
          </w:p>
        </w:tc>
        <w:tc>
          <w:tcPr>
            <w:tcW w:w="937" w:type="dxa"/>
            <w:shd w:val="clear" w:color="000000" w:fill="auto"/>
            <w:noWrap w:val="0"/>
            <w:vAlign w:val="center"/>
          </w:tcPr>
          <w:p w14:paraId="4A2B355D">
            <w:pPr>
              <w:autoSpaceDE w:val="0"/>
              <w:autoSpaceDN w:val="0"/>
              <w:adjustRightInd w:val="0"/>
              <w:spacing w:line="360" w:lineRule="auto"/>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样品</w:t>
            </w:r>
            <w:r>
              <w:rPr>
                <w:rFonts w:hint="eastAsia" w:ascii="宋体" w:hAnsi="宋体" w:eastAsia="宋体" w:cs="宋体"/>
                <w:color w:val="000000"/>
                <w:kern w:val="0"/>
                <w:sz w:val="24"/>
                <w:lang w:val="zh-TW" w:eastAsia="zh-CN"/>
              </w:rPr>
              <w:t>工艺</w:t>
            </w:r>
          </w:p>
        </w:tc>
        <w:tc>
          <w:tcPr>
            <w:tcW w:w="4325" w:type="dxa"/>
            <w:shd w:val="clear" w:color="000000" w:fill="auto"/>
            <w:noWrap w:val="0"/>
            <w:vAlign w:val="center"/>
          </w:tcPr>
          <w:p w14:paraId="3944612E">
            <w:pPr>
              <w:autoSpaceDE w:val="0"/>
              <w:autoSpaceDN w:val="0"/>
              <w:adjustRightInd w:val="0"/>
              <w:spacing w:line="360" w:lineRule="auto"/>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评委根据投标人提供的样品</w:t>
            </w:r>
            <w:r>
              <w:rPr>
                <w:rFonts w:hint="eastAsia" w:ascii="宋体" w:hAnsi="宋体" w:eastAsia="宋体" w:cs="宋体"/>
                <w:color w:val="000000"/>
                <w:kern w:val="0"/>
                <w:sz w:val="24"/>
                <w:lang w:val="zh-TW" w:eastAsia="zh-CN"/>
              </w:rPr>
              <w:t>工艺精细程度</w:t>
            </w:r>
            <w:r>
              <w:rPr>
                <w:rFonts w:hint="eastAsia" w:ascii="宋体" w:hAnsi="宋体" w:eastAsia="宋体" w:cs="宋体"/>
                <w:color w:val="000000"/>
                <w:kern w:val="0"/>
                <w:sz w:val="24"/>
                <w:lang w:val="en-US" w:eastAsia="zh-CN"/>
              </w:rPr>
              <w:t>进行综合打分。</w:t>
            </w:r>
          </w:p>
        </w:tc>
        <w:tc>
          <w:tcPr>
            <w:tcW w:w="903" w:type="dxa"/>
            <w:shd w:val="clear" w:color="000000" w:fill="auto"/>
            <w:noWrap w:val="0"/>
            <w:vAlign w:val="center"/>
          </w:tcPr>
          <w:p w14:paraId="180A03EA">
            <w:pPr>
              <w:autoSpaceDE w:val="0"/>
              <w:autoSpaceDN w:val="0"/>
              <w:adjustRightInd w:val="0"/>
              <w:spacing w:line="360" w:lineRule="auto"/>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5分</w:t>
            </w:r>
          </w:p>
        </w:tc>
      </w:tr>
      <w:tr w14:paraId="03F3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61" w:type="dxa"/>
            <w:vMerge w:val="continue"/>
            <w:shd w:val="clear" w:color="000000" w:fill="auto"/>
            <w:noWrap w:val="0"/>
            <w:vAlign w:val="center"/>
          </w:tcPr>
          <w:p w14:paraId="14060BD5">
            <w:pPr>
              <w:autoSpaceDE w:val="0"/>
              <w:autoSpaceDN w:val="0"/>
              <w:adjustRightInd w:val="0"/>
              <w:spacing w:line="360" w:lineRule="auto"/>
              <w:jc w:val="left"/>
              <w:rPr>
                <w:rFonts w:hint="eastAsia" w:ascii="宋体" w:hAnsi="宋体" w:eastAsia="宋体" w:cs="宋体"/>
                <w:color w:val="000000"/>
                <w:kern w:val="0"/>
                <w:sz w:val="24"/>
                <w:lang w:val="en-US" w:eastAsia="zh-CN"/>
              </w:rPr>
            </w:pPr>
          </w:p>
        </w:tc>
        <w:tc>
          <w:tcPr>
            <w:tcW w:w="1663" w:type="dxa"/>
            <w:vMerge w:val="continue"/>
            <w:shd w:val="clear" w:color="000000" w:fill="auto"/>
            <w:noWrap w:val="0"/>
            <w:vAlign w:val="center"/>
          </w:tcPr>
          <w:p w14:paraId="351244A6">
            <w:pPr>
              <w:autoSpaceDE w:val="0"/>
              <w:autoSpaceDN w:val="0"/>
              <w:adjustRightInd w:val="0"/>
              <w:spacing w:line="360" w:lineRule="auto"/>
              <w:jc w:val="center"/>
              <w:rPr>
                <w:rFonts w:hint="eastAsia" w:ascii="宋体" w:hAnsi="宋体" w:eastAsia="宋体" w:cs="宋体"/>
                <w:color w:val="000000"/>
                <w:kern w:val="0"/>
                <w:sz w:val="24"/>
                <w:lang w:val="en-US" w:eastAsia="zh-CN"/>
              </w:rPr>
            </w:pPr>
          </w:p>
        </w:tc>
        <w:tc>
          <w:tcPr>
            <w:tcW w:w="937" w:type="dxa"/>
            <w:shd w:val="clear" w:color="000000" w:fill="auto"/>
            <w:noWrap w:val="0"/>
            <w:vAlign w:val="center"/>
          </w:tcPr>
          <w:p w14:paraId="6B5BB5C8">
            <w:pPr>
              <w:autoSpaceDE w:val="0"/>
              <w:autoSpaceDN w:val="0"/>
              <w:adjustRightInd w:val="0"/>
              <w:spacing w:line="360" w:lineRule="auto"/>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样品</w:t>
            </w:r>
            <w:r>
              <w:rPr>
                <w:rFonts w:hint="eastAsia" w:ascii="宋体" w:hAnsi="宋体" w:eastAsia="宋体" w:cs="宋体"/>
                <w:color w:val="000000"/>
                <w:kern w:val="0"/>
                <w:sz w:val="24"/>
                <w:lang w:val="zh-TW" w:eastAsia="zh-CN"/>
              </w:rPr>
              <w:t>设计</w:t>
            </w:r>
          </w:p>
        </w:tc>
        <w:tc>
          <w:tcPr>
            <w:tcW w:w="4325" w:type="dxa"/>
            <w:shd w:val="clear" w:color="000000" w:fill="auto"/>
            <w:noWrap w:val="0"/>
            <w:vAlign w:val="center"/>
          </w:tcPr>
          <w:p w14:paraId="4B69EF6C">
            <w:pPr>
              <w:autoSpaceDE w:val="0"/>
              <w:autoSpaceDN w:val="0"/>
              <w:adjustRightInd w:val="0"/>
              <w:spacing w:line="360" w:lineRule="auto"/>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评委根据投标人提供的样品</w:t>
            </w:r>
            <w:r>
              <w:rPr>
                <w:rFonts w:hint="eastAsia" w:ascii="宋体" w:hAnsi="宋体" w:eastAsia="宋体" w:cs="宋体"/>
                <w:color w:val="000000"/>
                <w:kern w:val="0"/>
                <w:sz w:val="24"/>
                <w:lang w:val="zh-TW" w:eastAsia="zh-CN"/>
              </w:rPr>
              <w:t>设计合理性</w:t>
            </w:r>
            <w:r>
              <w:rPr>
                <w:rFonts w:hint="eastAsia" w:ascii="宋体" w:hAnsi="宋体" w:eastAsia="宋体" w:cs="宋体"/>
                <w:color w:val="000000"/>
                <w:kern w:val="0"/>
                <w:sz w:val="24"/>
                <w:lang w:val="en-US" w:eastAsia="zh-CN"/>
              </w:rPr>
              <w:t>进行综合打分。</w:t>
            </w:r>
          </w:p>
        </w:tc>
        <w:tc>
          <w:tcPr>
            <w:tcW w:w="903" w:type="dxa"/>
            <w:shd w:val="clear" w:color="000000" w:fill="auto"/>
            <w:noWrap w:val="0"/>
            <w:vAlign w:val="center"/>
          </w:tcPr>
          <w:p w14:paraId="3507FD3B">
            <w:pPr>
              <w:autoSpaceDE w:val="0"/>
              <w:autoSpaceDN w:val="0"/>
              <w:adjustRightInd w:val="0"/>
              <w:spacing w:line="360" w:lineRule="auto"/>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5分</w:t>
            </w:r>
          </w:p>
        </w:tc>
      </w:tr>
      <w:tr w14:paraId="2487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1" w:type="dxa"/>
            <w:shd w:val="clear" w:color="000000" w:fill="auto"/>
            <w:noWrap w:val="0"/>
            <w:vAlign w:val="center"/>
          </w:tcPr>
          <w:p w14:paraId="47D2E53E">
            <w:pPr>
              <w:autoSpaceDE w:val="0"/>
              <w:autoSpaceDN w:val="0"/>
              <w:adjustRightInd w:val="0"/>
              <w:spacing w:line="360" w:lineRule="auto"/>
              <w:jc w:val="left"/>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eastAsia="zh-CN"/>
              </w:rPr>
              <w:t>2</w:t>
            </w:r>
          </w:p>
        </w:tc>
        <w:tc>
          <w:tcPr>
            <w:tcW w:w="2600" w:type="dxa"/>
            <w:gridSpan w:val="2"/>
            <w:shd w:val="clear" w:color="000000" w:fill="auto"/>
            <w:noWrap w:val="0"/>
            <w:vAlign w:val="center"/>
          </w:tcPr>
          <w:p w14:paraId="00FD05F6">
            <w:pPr>
              <w:autoSpaceDE w:val="0"/>
              <w:autoSpaceDN w:val="0"/>
              <w:adjustRightInd w:val="0"/>
              <w:spacing w:line="360" w:lineRule="auto"/>
              <w:jc w:val="center"/>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eastAsia="zh-CN"/>
              </w:rPr>
              <w:t>项目实施方案</w:t>
            </w:r>
          </w:p>
        </w:tc>
        <w:tc>
          <w:tcPr>
            <w:tcW w:w="4325" w:type="dxa"/>
            <w:shd w:val="clear" w:color="000000" w:fill="auto"/>
            <w:noWrap w:val="0"/>
            <w:vAlign w:val="center"/>
          </w:tcPr>
          <w:p w14:paraId="1B804597">
            <w:pPr>
              <w:autoSpaceDE w:val="0"/>
              <w:autoSpaceDN w:val="0"/>
              <w:adjustRightInd w:val="0"/>
              <w:spacing w:line="360" w:lineRule="auto"/>
              <w:jc w:val="left"/>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eastAsia="zh-CN"/>
              </w:rPr>
              <w:t>投标人对本项目所有服务内容所采取实施方案的科学性、合理性、科学性评委进行</w:t>
            </w:r>
            <w:r>
              <w:rPr>
                <w:rFonts w:hint="eastAsia" w:ascii="宋体" w:hAnsi="宋体" w:eastAsia="宋体" w:cs="宋体"/>
                <w:color w:val="000000"/>
                <w:kern w:val="0"/>
                <w:sz w:val="24"/>
                <w:lang w:val="en-US" w:eastAsia="zh-CN"/>
              </w:rPr>
              <w:t>综合打分；</w:t>
            </w:r>
          </w:p>
        </w:tc>
        <w:tc>
          <w:tcPr>
            <w:tcW w:w="903" w:type="dxa"/>
            <w:shd w:val="clear" w:color="000000" w:fill="auto"/>
            <w:noWrap w:val="0"/>
            <w:vAlign w:val="center"/>
          </w:tcPr>
          <w:p w14:paraId="0D0BF14A">
            <w:pPr>
              <w:autoSpaceDE w:val="0"/>
              <w:autoSpaceDN w:val="0"/>
              <w:adjustRightInd w:val="0"/>
              <w:spacing w:line="360" w:lineRule="auto"/>
              <w:jc w:val="center"/>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en-US" w:eastAsia="zh-CN"/>
              </w:rPr>
              <w:t>6</w:t>
            </w:r>
            <w:r>
              <w:rPr>
                <w:rFonts w:hint="eastAsia" w:ascii="宋体" w:hAnsi="宋体" w:eastAsia="宋体" w:cs="宋体"/>
                <w:color w:val="000000"/>
                <w:kern w:val="0"/>
                <w:sz w:val="24"/>
                <w:lang w:val="zh-CN" w:eastAsia="zh-CN"/>
              </w:rPr>
              <w:t>分</w:t>
            </w:r>
          </w:p>
        </w:tc>
      </w:tr>
      <w:tr w14:paraId="4F8A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1" w:type="dxa"/>
            <w:vMerge w:val="restart"/>
            <w:shd w:val="clear" w:color="000000" w:fill="auto"/>
            <w:noWrap w:val="0"/>
            <w:vAlign w:val="center"/>
          </w:tcPr>
          <w:p w14:paraId="318FA3EB">
            <w:pPr>
              <w:autoSpaceDE w:val="0"/>
              <w:autoSpaceDN w:val="0"/>
              <w:adjustRightInd w:val="0"/>
              <w:spacing w:line="360" w:lineRule="auto"/>
              <w:jc w:val="left"/>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eastAsia="zh-CN"/>
              </w:rPr>
              <w:t>3</w:t>
            </w:r>
          </w:p>
        </w:tc>
        <w:tc>
          <w:tcPr>
            <w:tcW w:w="2600" w:type="dxa"/>
            <w:gridSpan w:val="2"/>
            <w:vMerge w:val="restart"/>
            <w:shd w:val="clear" w:color="000000" w:fill="auto"/>
            <w:noWrap w:val="0"/>
            <w:vAlign w:val="center"/>
          </w:tcPr>
          <w:p w14:paraId="40838A30">
            <w:pPr>
              <w:autoSpaceDE w:val="0"/>
              <w:autoSpaceDN w:val="0"/>
              <w:adjustRightInd w:val="0"/>
              <w:spacing w:line="360" w:lineRule="auto"/>
              <w:jc w:val="center"/>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eastAsia="zh-CN"/>
              </w:rPr>
              <w:t>供货方案</w:t>
            </w:r>
          </w:p>
        </w:tc>
        <w:tc>
          <w:tcPr>
            <w:tcW w:w="4325" w:type="dxa"/>
            <w:shd w:val="clear" w:color="000000" w:fill="auto"/>
            <w:noWrap w:val="0"/>
            <w:vAlign w:val="center"/>
          </w:tcPr>
          <w:p w14:paraId="07DB6381">
            <w:pPr>
              <w:autoSpaceDE w:val="0"/>
              <w:autoSpaceDN w:val="0"/>
              <w:adjustRightInd w:val="0"/>
              <w:spacing w:line="360" w:lineRule="auto"/>
              <w:jc w:val="left"/>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eastAsia="zh-CN"/>
              </w:rPr>
              <w:t>根据响应供应商提供的供货方案（包括整个项目实际安排、响应时间、包装运输等）进行综合打分：</w:t>
            </w:r>
          </w:p>
        </w:tc>
        <w:tc>
          <w:tcPr>
            <w:tcW w:w="903" w:type="dxa"/>
            <w:shd w:val="clear" w:color="000000" w:fill="auto"/>
            <w:noWrap w:val="0"/>
            <w:vAlign w:val="center"/>
          </w:tcPr>
          <w:p w14:paraId="1BAC06DB">
            <w:pPr>
              <w:autoSpaceDE w:val="0"/>
              <w:autoSpaceDN w:val="0"/>
              <w:adjustRightInd w:val="0"/>
              <w:spacing w:line="360" w:lineRule="auto"/>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6分</w:t>
            </w:r>
          </w:p>
        </w:tc>
      </w:tr>
      <w:tr w14:paraId="6D58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1" w:type="dxa"/>
            <w:vMerge w:val="continue"/>
            <w:shd w:val="clear" w:color="000000" w:fill="auto"/>
            <w:noWrap w:val="0"/>
            <w:vAlign w:val="center"/>
          </w:tcPr>
          <w:p w14:paraId="19CBFD0F">
            <w:pPr>
              <w:autoSpaceDE w:val="0"/>
              <w:autoSpaceDN w:val="0"/>
              <w:adjustRightInd w:val="0"/>
              <w:spacing w:line="360" w:lineRule="auto"/>
              <w:jc w:val="left"/>
              <w:rPr>
                <w:rFonts w:hint="eastAsia" w:ascii="宋体" w:hAnsi="宋体" w:eastAsia="宋体" w:cs="宋体"/>
                <w:color w:val="000000"/>
                <w:kern w:val="0"/>
                <w:sz w:val="24"/>
                <w:lang w:val="zh-CN" w:eastAsia="zh-CN"/>
              </w:rPr>
            </w:pPr>
          </w:p>
        </w:tc>
        <w:tc>
          <w:tcPr>
            <w:tcW w:w="2600" w:type="dxa"/>
            <w:gridSpan w:val="2"/>
            <w:vMerge w:val="continue"/>
            <w:shd w:val="clear" w:color="000000" w:fill="auto"/>
            <w:noWrap w:val="0"/>
            <w:vAlign w:val="center"/>
          </w:tcPr>
          <w:p w14:paraId="586C2EA3">
            <w:pPr>
              <w:autoSpaceDE w:val="0"/>
              <w:autoSpaceDN w:val="0"/>
              <w:adjustRightInd w:val="0"/>
              <w:spacing w:line="360" w:lineRule="auto"/>
              <w:jc w:val="center"/>
              <w:rPr>
                <w:rFonts w:hint="eastAsia" w:ascii="宋体" w:hAnsi="宋体" w:eastAsia="宋体" w:cs="宋体"/>
                <w:color w:val="000000"/>
                <w:kern w:val="0"/>
                <w:sz w:val="24"/>
                <w:lang w:val="zh-CN" w:eastAsia="zh-CN"/>
              </w:rPr>
            </w:pPr>
          </w:p>
        </w:tc>
        <w:tc>
          <w:tcPr>
            <w:tcW w:w="4325" w:type="dxa"/>
            <w:shd w:val="clear" w:color="000000" w:fill="auto"/>
            <w:noWrap w:val="0"/>
            <w:vAlign w:val="center"/>
          </w:tcPr>
          <w:p w14:paraId="62C42E43">
            <w:pPr>
              <w:autoSpaceDE w:val="0"/>
              <w:autoSpaceDN w:val="0"/>
              <w:adjustRightInd w:val="0"/>
              <w:spacing w:line="360" w:lineRule="auto"/>
              <w:jc w:val="left"/>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eastAsia="zh-CN"/>
              </w:rPr>
              <w:t>评委根据供应商提供的供货、安装过程中现场安全措施方案的可行性、合理性及科学性进行打分。</w:t>
            </w:r>
          </w:p>
        </w:tc>
        <w:tc>
          <w:tcPr>
            <w:tcW w:w="903" w:type="dxa"/>
            <w:shd w:val="clear" w:color="000000" w:fill="auto"/>
            <w:noWrap w:val="0"/>
            <w:vAlign w:val="center"/>
          </w:tcPr>
          <w:p w14:paraId="2EF5D928">
            <w:pPr>
              <w:autoSpaceDE w:val="0"/>
              <w:autoSpaceDN w:val="0"/>
              <w:adjustRightInd w:val="0"/>
              <w:spacing w:line="360" w:lineRule="auto"/>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6分</w:t>
            </w:r>
          </w:p>
        </w:tc>
      </w:tr>
      <w:tr w14:paraId="1C9C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dxa"/>
            <w:vMerge w:val="restart"/>
            <w:shd w:val="clear" w:color="000000" w:fill="auto"/>
            <w:noWrap w:val="0"/>
            <w:vAlign w:val="center"/>
          </w:tcPr>
          <w:p w14:paraId="3D075C0B">
            <w:pPr>
              <w:autoSpaceDE w:val="0"/>
              <w:autoSpaceDN w:val="0"/>
              <w:adjustRightInd w:val="0"/>
              <w:spacing w:line="360" w:lineRule="auto"/>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w:t>
            </w:r>
          </w:p>
        </w:tc>
        <w:tc>
          <w:tcPr>
            <w:tcW w:w="2600" w:type="dxa"/>
            <w:gridSpan w:val="2"/>
            <w:vMerge w:val="restart"/>
            <w:shd w:val="clear" w:color="000000" w:fill="auto"/>
            <w:noWrap w:val="0"/>
            <w:vAlign w:val="center"/>
          </w:tcPr>
          <w:p w14:paraId="74AFC482">
            <w:pPr>
              <w:autoSpaceDE w:val="0"/>
              <w:autoSpaceDN w:val="0"/>
              <w:adjustRightInd w:val="0"/>
              <w:spacing w:line="360" w:lineRule="auto"/>
              <w:jc w:val="center"/>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eastAsia="zh-CN"/>
              </w:rPr>
              <w:t>施工及服务质量的保证</w:t>
            </w:r>
          </w:p>
        </w:tc>
        <w:tc>
          <w:tcPr>
            <w:tcW w:w="4325" w:type="dxa"/>
            <w:shd w:val="clear" w:color="000000" w:fill="auto"/>
            <w:noWrap w:val="0"/>
            <w:vAlign w:val="center"/>
          </w:tcPr>
          <w:p w14:paraId="50AF6FD4">
            <w:pPr>
              <w:autoSpaceDE w:val="0"/>
              <w:autoSpaceDN w:val="0"/>
              <w:adjustRightInd w:val="0"/>
              <w:spacing w:line="360" w:lineRule="auto"/>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质量保障措施与服务计划承诺，石材的来源及质量要求、生产工艺的质量控制措施，材质的环保性、及配套服务计划等；</w:t>
            </w:r>
            <w:r>
              <w:rPr>
                <w:rFonts w:hint="eastAsia" w:ascii="宋体" w:hAnsi="宋体" w:eastAsia="宋体" w:cs="宋体"/>
                <w:color w:val="000000"/>
                <w:kern w:val="0"/>
                <w:sz w:val="24"/>
                <w:lang w:val="zh-CN" w:eastAsia="zh-CN"/>
              </w:rPr>
              <w:t>评委进行</w:t>
            </w:r>
            <w:r>
              <w:rPr>
                <w:rFonts w:hint="eastAsia" w:ascii="宋体" w:hAnsi="宋体" w:eastAsia="宋体" w:cs="宋体"/>
                <w:color w:val="000000"/>
                <w:kern w:val="0"/>
                <w:sz w:val="24"/>
                <w:lang w:val="en-US" w:eastAsia="zh-CN"/>
              </w:rPr>
              <w:t>综合打分</w:t>
            </w:r>
            <w:r>
              <w:rPr>
                <w:rFonts w:hint="eastAsia" w:ascii="宋体" w:hAnsi="宋体" w:eastAsia="宋体" w:cs="宋体"/>
                <w:color w:val="000000"/>
                <w:kern w:val="0"/>
                <w:sz w:val="24"/>
                <w:lang w:val="zh-CN" w:eastAsia="zh-CN"/>
              </w:rPr>
              <w:t>。</w:t>
            </w:r>
          </w:p>
        </w:tc>
        <w:tc>
          <w:tcPr>
            <w:tcW w:w="903" w:type="dxa"/>
            <w:shd w:val="clear" w:color="000000" w:fill="auto"/>
            <w:noWrap w:val="0"/>
            <w:vAlign w:val="center"/>
          </w:tcPr>
          <w:p w14:paraId="11375F8E">
            <w:pPr>
              <w:autoSpaceDE w:val="0"/>
              <w:autoSpaceDN w:val="0"/>
              <w:adjustRightInd w:val="0"/>
              <w:spacing w:line="360" w:lineRule="auto"/>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w:t>
            </w:r>
            <w:r>
              <w:rPr>
                <w:rFonts w:hint="eastAsia" w:ascii="宋体" w:hAnsi="宋体" w:eastAsia="宋体" w:cs="宋体"/>
                <w:color w:val="000000"/>
                <w:kern w:val="0"/>
                <w:sz w:val="24"/>
                <w:lang w:val="en-US" w:eastAsia="zh-CN"/>
              </w:rPr>
              <w:t>分</w:t>
            </w:r>
          </w:p>
        </w:tc>
      </w:tr>
      <w:tr w14:paraId="6CF6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dxa"/>
            <w:vMerge w:val="continue"/>
            <w:shd w:val="clear" w:color="000000" w:fill="auto"/>
            <w:noWrap w:val="0"/>
            <w:vAlign w:val="center"/>
          </w:tcPr>
          <w:p w14:paraId="6E92C18E">
            <w:pPr>
              <w:autoSpaceDE w:val="0"/>
              <w:autoSpaceDN w:val="0"/>
              <w:adjustRightInd w:val="0"/>
              <w:spacing w:line="360" w:lineRule="auto"/>
              <w:jc w:val="left"/>
              <w:rPr>
                <w:rFonts w:hint="eastAsia" w:ascii="宋体" w:hAnsi="宋体" w:eastAsia="宋体" w:cs="宋体"/>
                <w:color w:val="000000"/>
                <w:kern w:val="0"/>
                <w:sz w:val="24"/>
                <w:lang w:val="en-US" w:eastAsia="zh-CN"/>
              </w:rPr>
            </w:pPr>
          </w:p>
        </w:tc>
        <w:tc>
          <w:tcPr>
            <w:tcW w:w="2600" w:type="dxa"/>
            <w:gridSpan w:val="2"/>
            <w:vMerge w:val="continue"/>
            <w:shd w:val="clear" w:color="000000" w:fill="auto"/>
            <w:noWrap w:val="0"/>
            <w:vAlign w:val="center"/>
          </w:tcPr>
          <w:p w14:paraId="18BFD565">
            <w:pPr>
              <w:autoSpaceDE w:val="0"/>
              <w:autoSpaceDN w:val="0"/>
              <w:adjustRightInd w:val="0"/>
              <w:spacing w:line="360" w:lineRule="auto"/>
              <w:jc w:val="center"/>
              <w:rPr>
                <w:rFonts w:hint="eastAsia" w:ascii="宋体" w:hAnsi="宋体" w:eastAsia="宋体" w:cs="宋体"/>
                <w:color w:val="000000"/>
                <w:kern w:val="0"/>
                <w:sz w:val="24"/>
                <w:lang w:val="zh-CN" w:eastAsia="zh-CN"/>
              </w:rPr>
            </w:pPr>
          </w:p>
        </w:tc>
        <w:tc>
          <w:tcPr>
            <w:tcW w:w="4325" w:type="dxa"/>
            <w:shd w:val="clear" w:color="000000" w:fill="auto"/>
            <w:noWrap w:val="0"/>
            <w:vAlign w:val="center"/>
          </w:tcPr>
          <w:p w14:paraId="55886870">
            <w:pPr>
              <w:autoSpaceDE w:val="0"/>
              <w:autoSpaceDN w:val="0"/>
              <w:adjustRightInd w:val="0"/>
              <w:spacing w:line="360" w:lineRule="auto"/>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投标人对施工过程中产生的现场垃圾、场地清理措施服务承诺；</w:t>
            </w:r>
            <w:r>
              <w:rPr>
                <w:rFonts w:hint="eastAsia" w:ascii="宋体" w:hAnsi="宋体" w:eastAsia="宋体" w:cs="宋体"/>
                <w:color w:val="000000"/>
                <w:kern w:val="0"/>
                <w:sz w:val="24"/>
                <w:lang w:val="zh-CN" w:eastAsia="zh-CN"/>
              </w:rPr>
              <w:t>评委进行</w:t>
            </w:r>
            <w:r>
              <w:rPr>
                <w:rFonts w:hint="eastAsia" w:ascii="宋体" w:hAnsi="宋体" w:eastAsia="宋体" w:cs="宋体"/>
                <w:color w:val="000000"/>
                <w:kern w:val="0"/>
                <w:sz w:val="24"/>
                <w:lang w:val="en-US" w:eastAsia="zh-CN"/>
              </w:rPr>
              <w:t>综合打分</w:t>
            </w:r>
            <w:r>
              <w:rPr>
                <w:rFonts w:hint="eastAsia" w:ascii="宋体" w:hAnsi="宋体" w:eastAsia="宋体" w:cs="宋体"/>
                <w:color w:val="000000"/>
                <w:kern w:val="0"/>
                <w:sz w:val="24"/>
                <w:lang w:val="zh-CN" w:eastAsia="zh-CN"/>
              </w:rPr>
              <w:t>。</w:t>
            </w:r>
          </w:p>
        </w:tc>
        <w:tc>
          <w:tcPr>
            <w:tcW w:w="903" w:type="dxa"/>
            <w:shd w:val="clear" w:color="000000" w:fill="auto"/>
            <w:noWrap w:val="0"/>
            <w:vAlign w:val="center"/>
          </w:tcPr>
          <w:p w14:paraId="2B409BE9">
            <w:pPr>
              <w:autoSpaceDE w:val="0"/>
              <w:autoSpaceDN w:val="0"/>
              <w:adjustRightInd w:val="0"/>
              <w:spacing w:line="360" w:lineRule="auto"/>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w:t>
            </w:r>
            <w:r>
              <w:rPr>
                <w:rFonts w:hint="eastAsia" w:ascii="宋体" w:hAnsi="宋体" w:eastAsia="宋体" w:cs="宋体"/>
                <w:color w:val="000000"/>
                <w:kern w:val="0"/>
                <w:sz w:val="24"/>
                <w:lang w:val="en-US" w:eastAsia="zh-CN"/>
              </w:rPr>
              <w:t>分</w:t>
            </w:r>
          </w:p>
        </w:tc>
      </w:tr>
      <w:tr w14:paraId="4F2A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dxa"/>
            <w:vMerge w:val="continue"/>
            <w:shd w:val="clear" w:color="000000" w:fill="auto"/>
            <w:noWrap w:val="0"/>
            <w:vAlign w:val="center"/>
          </w:tcPr>
          <w:p w14:paraId="55B87DF2">
            <w:pPr>
              <w:autoSpaceDE w:val="0"/>
              <w:autoSpaceDN w:val="0"/>
              <w:adjustRightInd w:val="0"/>
              <w:spacing w:line="360" w:lineRule="auto"/>
              <w:jc w:val="left"/>
              <w:rPr>
                <w:rFonts w:hint="eastAsia" w:ascii="宋体" w:hAnsi="宋体" w:eastAsia="宋体" w:cs="宋体"/>
                <w:color w:val="000000"/>
                <w:kern w:val="0"/>
                <w:sz w:val="24"/>
                <w:lang w:val="en-US" w:eastAsia="zh-CN"/>
              </w:rPr>
            </w:pPr>
          </w:p>
        </w:tc>
        <w:tc>
          <w:tcPr>
            <w:tcW w:w="2600" w:type="dxa"/>
            <w:gridSpan w:val="2"/>
            <w:vMerge w:val="continue"/>
            <w:shd w:val="clear" w:color="000000" w:fill="auto"/>
            <w:noWrap w:val="0"/>
            <w:vAlign w:val="center"/>
          </w:tcPr>
          <w:p w14:paraId="108CDD4A">
            <w:pPr>
              <w:autoSpaceDE w:val="0"/>
              <w:autoSpaceDN w:val="0"/>
              <w:adjustRightInd w:val="0"/>
              <w:spacing w:line="360" w:lineRule="auto"/>
              <w:jc w:val="center"/>
              <w:rPr>
                <w:rFonts w:hint="eastAsia" w:ascii="宋体" w:hAnsi="宋体" w:eastAsia="宋体" w:cs="宋体"/>
                <w:color w:val="000000"/>
                <w:kern w:val="0"/>
                <w:sz w:val="24"/>
                <w:lang w:val="zh-CN" w:eastAsia="zh-CN"/>
              </w:rPr>
            </w:pPr>
          </w:p>
        </w:tc>
        <w:tc>
          <w:tcPr>
            <w:tcW w:w="4325" w:type="dxa"/>
            <w:shd w:val="clear" w:color="000000" w:fill="auto"/>
            <w:noWrap w:val="0"/>
            <w:vAlign w:val="center"/>
          </w:tcPr>
          <w:p w14:paraId="204D2292">
            <w:pPr>
              <w:autoSpaceDE w:val="0"/>
              <w:autoSpaceDN w:val="0"/>
              <w:adjustRightInd w:val="0"/>
              <w:spacing w:line="360" w:lineRule="auto"/>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承诺投入本项目队伍的技术及管理水平实力，劳动力保证制度，及安全措施的服务承诺等；</w:t>
            </w:r>
            <w:r>
              <w:rPr>
                <w:rFonts w:hint="eastAsia" w:ascii="宋体" w:hAnsi="宋体" w:eastAsia="宋体" w:cs="宋体"/>
                <w:color w:val="000000"/>
                <w:kern w:val="0"/>
                <w:sz w:val="24"/>
                <w:lang w:val="zh-CN" w:eastAsia="zh-CN"/>
              </w:rPr>
              <w:t>评委进行</w:t>
            </w:r>
            <w:r>
              <w:rPr>
                <w:rFonts w:hint="eastAsia" w:ascii="宋体" w:hAnsi="宋体" w:eastAsia="宋体" w:cs="宋体"/>
                <w:color w:val="000000"/>
                <w:kern w:val="0"/>
                <w:sz w:val="24"/>
                <w:lang w:val="en-US" w:eastAsia="zh-CN"/>
              </w:rPr>
              <w:t>综合打分</w:t>
            </w:r>
            <w:r>
              <w:rPr>
                <w:rFonts w:hint="eastAsia" w:ascii="宋体" w:hAnsi="宋体" w:eastAsia="宋体" w:cs="宋体"/>
                <w:color w:val="000000"/>
                <w:kern w:val="0"/>
                <w:sz w:val="24"/>
                <w:lang w:val="zh-CN" w:eastAsia="zh-CN"/>
              </w:rPr>
              <w:t>。</w:t>
            </w:r>
          </w:p>
        </w:tc>
        <w:tc>
          <w:tcPr>
            <w:tcW w:w="903" w:type="dxa"/>
            <w:shd w:val="clear" w:color="000000" w:fill="auto"/>
            <w:noWrap w:val="0"/>
            <w:vAlign w:val="center"/>
          </w:tcPr>
          <w:p w14:paraId="6598BE22">
            <w:pPr>
              <w:autoSpaceDE w:val="0"/>
              <w:autoSpaceDN w:val="0"/>
              <w:adjustRightInd w:val="0"/>
              <w:spacing w:line="360" w:lineRule="auto"/>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w:t>
            </w:r>
            <w:r>
              <w:rPr>
                <w:rFonts w:hint="eastAsia" w:ascii="宋体" w:hAnsi="宋体" w:eastAsia="宋体" w:cs="宋体"/>
                <w:color w:val="000000"/>
                <w:kern w:val="0"/>
                <w:sz w:val="24"/>
                <w:lang w:val="en-US" w:eastAsia="zh-CN"/>
              </w:rPr>
              <w:t>分</w:t>
            </w:r>
          </w:p>
        </w:tc>
      </w:tr>
      <w:tr w14:paraId="57E5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dxa"/>
            <w:vMerge w:val="continue"/>
            <w:shd w:val="clear" w:color="000000" w:fill="auto"/>
            <w:noWrap w:val="0"/>
            <w:vAlign w:val="center"/>
          </w:tcPr>
          <w:p w14:paraId="70686C6D">
            <w:pPr>
              <w:autoSpaceDE w:val="0"/>
              <w:autoSpaceDN w:val="0"/>
              <w:adjustRightInd w:val="0"/>
              <w:spacing w:line="360" w:lineRule="auto"/>
              <w:jc w:val="left"/>
              <w:rPr>
                <w:rFonts w:hint="eastAsia" w:ascii="宋体" w:hAnsi="宋体" w:eastAsia="宋体" w:cs="宋体"/>
                <w:color w:val="000000"/>
                <w:kern w:val="0"/>
                <w:sz w:val="24"/>
                <w:lang w:val="en-US" w:eastAsia="zh-CN"/>
              </w:rPr>
            </w:pPr>
          </w:p>
        </w:tc>
        <w:tc>
          <w:tcPr>
            <w:tcW w:w="2600" w:type="dxa"/>
            <w:gridSpan w:val="2"/>
            <w:vMerge w:val="continue"/>
            <w:shd w:val="clear" w:color="000000" w:fill="auto"/>
            <w:noWrap w:val="0"/>
            <w:vAlign w:val="center"/>
          </w:tcPr>
          <w:p w14:paraId="1326F610">
            <w:pPr>
              <w:autoSpaceDE w:val="0"/>
              <w:autoSpaceDN w:val="0"/>
              <w:adjustRightInd w:val="0"/>
              <w:spacing w:line="360" w:lineRule="auto"/>
              <w:jc w:val="center"/>
              <w:rPr>
                <w:rFonts w:hint="eastAsia" w:ascii="宋体" w:hAnsi="宋体" w:eastAsia="宋体" w:cs="宋体"/>
                <w:color w:val="000000"/>
                <w:kern w:val="0"/>
                <w:sz w:val="24"/>
                <w:lang w:val="zh-CN" w:eastAsia="zh-CN"/>
              </w:rPr>
            </w:pPr>
          </w:p>
        </w:tc>
        <w:tc>
          <w:tcPr>
            <w:tcW w:w="4325" w:type="dxa"/>
            <w:shd w:val="clear" w:color="000000" w:fill="auto"/>
            <w:noWrap w:val="0"/>
            <w:vAlign w:val="center"/>
          </w:tcPr>
          <w:p w14:paraId="60ADA8CD">
            <w:pPr>
              <w:autoSpaceDE w:val="0"/>
              <w:autoSpaceDN w:val="0"/>
              <w:adjustRightInd w:val="0"/>
              <w:spacing w:line="360" w:lineRule="auto"/>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施工项目时间进度安排合理，是否按业主要求完成等。</w:t>
            </w:r>
            <w:r>
              <w:rPr>
                <w:rFonts w:hint="eastAsia" w:ascii="宋体" w:hAnsi="宋体" w:eastAsia="宋体" w:cs="宋体"/>
                <w:color w:val="000000"/>
                <w:kern w:val="0"/>
                <w:sz w:val="24"/>
                <w:lang w:val="zh-CN" w:eastAsia="zh-CN"/>
              </w:rPr>
              <w:t>评委进行</w:t>
            </w:r>
            <w:r>
              <w:rPr>
                <w:rFonts w:hint="eastAsia" w:ascii="宋体" w:hAnsi="宋体" w:eastAsia="宋体" w:cs="宋体"/>
                <w:color w:val="000000"/>
                <w:kern w:val="0"/>
                <w:sz w:val="24"/>
                <w:lang w:val="en-US" w:eastAsia="zh-CN"/>
              </w:rPr>
              <w:t>综合打分</w:t>
            </w:r>
            <w:r>
              <w:rPr>
                <w:rFonts w:hint="eastAsia" w:ascii="宋体" w:hAnsi="宋体" w:eastAsia="宋体" w:cs="宋体"/>
                <w:color w:val="000000"/>
                <w:kern w:val="0"/>
                <w:sz w:val="24"/>
                <w:lang w:val="zh-CN" w:eastAsia="zh-CN"/>
              </w:rPr>
              <w:t>。</w:t>
            </w:r>
          </w:p>
        </w:tc>
        <w:tc>
          <w:tcPr>
            <w:tcW w:w="903" w:type="dxa"/>
            <w:shd w:val="clear" w:color="000000" w:fill="auto"/>
            <w:noWrap w:val="0"/>
            <w:vAlign w:val="center"/>
          </w:tcPr>
          <w:p w14:paraId="2FC6BE4F">
            <w:pPr>
              <w:autoSpaceDE w:val="0"/>
              <w:autoSpaceDN w:val="0"/>
              <w:adjustRightInd w:val="0"/>
              <w:spacing w:line="360" w:lineRule="auto"/>
              <w:jc w:val="center"/>
              <w:rPr>
                <w:rFonts w:hint="eastAsia" w:ascii="宋体" w:hAnsi="宋体" w:eastAsia="宋体" w:cs="宋体"/>
                <w:color w:val="000000"/>
                <w:kern w:val="0"/>
                <w:sz w:val="24"/>
                <w:lang w:val="zh-CN" w:eastAsia="zh-CN"/>
              </w:rPr>
            </w:pPr>
            <w:r>
              <w:rPr>
                <w:rFonts w:hint="eastAsia" w:ascii="宋体" w:hAnsi="宋体" w:cs="宋体"/>
                <w:color w:val="000000"/>
                <w:kern w:val="0"/>
                <w:sz w:val="24"/>
                <w:lang w:val="en-US" w:eastAsia="zh-CN"/>
              </w:rPr>
              <w:t>6</w:t>
            </w:r>
            <w:r>
              <w:rPr>
                <w:rFonts w:hint="eastAsia" w:ascii="宋体" w:hAnsi="宋体" w:eastAsia="宋体" w:cs="宋体"/>
                <w:color w:val="000000"/>
                <w:kern w:val="0"/>
                <w:sz w:val="24"/>
                <w:lang w:val="zh-CN" w:eastAsia="zh-CN"/>
              </w:rPr>
              <w:t>分</w:t>
            </w:r>
          </w:p>
        </w:tc>
      </w:tr>
      <w:tr w14:paraId="7D1F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dxa"/>
            <w:shd w:val="clear" w:color="000000" w:fill="auto"/>
            <w:noWrap w:val="0"/>
            <w:vAlign w:val="center"/>
          </w:tcPr>
          <w:p w14:paraId="3FE83921">
            <w:pPr>
              <w:autoSpaceDE w:val="0"/>
              <w:autoSpaceDN w:val="0"/>
              <w:adjustRightInd w:val="0"/>
              <w:spacing w:line="360" w:lineRule="auto"/>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5</w:t>
            </w:r>
          </w:p>
        </w:tc>
        <w:tc>
          <w:tcPr>
            <w:tcW w:w="2600" w:type="dxa"/>
            <w:gridSpan w:val="2"/>
            <w:shd w:val="clear" w:color="000000" w:fill="auto"/>
            <w:noWrap w:val="0"/>
            <w:vAlign w:val="center"/>
          </w:tcPr>
          <w:p w14:paraId="0DD95DAD">
            <w:pPr>
              <w:autoSpaceDE w:val="0"/>
              <w:autoSpaceDN w:val="0"/>
              <w:adjustRightInd w:val="0"/>
              <w:spacing w:line="360" w:lineRule="auto"/>
              <w:jc w:val="center"/>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eastAsia="zh-CN"/>
              </w:rPr>
              <w:t>售后服务方案</w:t>
            </w:r>
          </w:p>
        </w:tc>
        <w:tc>
          <w:tcPr>
            <w:tcW w:w="4325" w:type="dxa"/>
            <w:shd w:val="clear" w:color="000000" w:fill="auto"/>
            <w:noWrap w:val="0"/>
            <w:vAlign w:val="center"/>
          </w:tcPr>
          <w:p w14:paraId="3F1C8B23">
            <w:pPr>
              <w:autoSpaceDE w:val="0"/>
              <w:autoSpaceDN w:val="0"/>
              <w:adjustRightInd w:val="0"/>
              <w:spacing w:line="360" w:lineRule="auto"/>
              <w:jc w:val="left"/>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en-US" w:eastAsia="zh-CN"/>
              </w:rPr>
              <w:t>评委对各投标人售后服务措施和质量保证的可行性进行评议，售后服务体系完善性和真实性等内容打分。</w:t>
            </w:r>
          </w:p>
        </w:tc>
        <w:tc>
          <w:tcPr>
            <w:tcW w:w="903" w:type="dxa"/>
            <w:shd w:val="clear" w:color="000000" w:fill="auto"/>
            <w:noWrap w:val="0"/>
            <w:vAlign w:val="center"/>
          </w:tcPr>
          <w:p w14:paraId="0B9B5E53">
            <w:pPr>
              <w:autoSpaceDE w:val="0"/>
              <w:autoSpaceDN w:val="0"/>
              <w:adjustRightInd w:val="0"/>
              <w:spacing w:line="360" w:lineRule="auto"/>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6分</w:t>
            </w:r>
          </w:p>
        </w:tc>
      </w:tr>
      <w:tr w14:paraId="4B08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61" w:type="dxa"/>
            <w:shd w:val="clear" w:color="000000" w:fill="auto"/>
            <w:noWrap w:val="0"/>
            <w:vAlign w:val="center"/>
          </w:tcPr>
          <w:p w14:paraId="45DE06FB">
            <w:pPr>
              <w:autoSpaceDE w:val="0"/>
              <w:autoSpaceDN w:val="0"/>
              <w:adjustRightInd w:val="0"/>
              <w:spacing w:line="360" w:lineRule="auto"/>
              <w:jc w:val="both"/>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6</w:t>
            </w:r>
          </w:p>
        </w:tc>
        <w:tc>
          <w:tcPr>
            <w:tcW w:w="2600" w:type="dxa"/>
            <w:gridSpan w:val="2"/>
            <w:shd w:val="clear" w:color="000000" w:fill="auto"/>
            <w:noWrap w:val="0"/>
            <w:vAlign w:val="center"/>
          </w:tcPr>
          <w:p w14:paraId="2B7C6DB9">
            <w:pPr>
              <w:autoSpaceDE w:val="0"/>
              <w:autoSpaceDN w:val="0"/>
              <w:adjustRightInd w:val="0"/>
              <w:spacing w:line="360" w:lineRule="auto"/>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合理化建议</w:t>
            </w:r>
          </w:p>
        </w:tc>
        <w:tc>
          <w:tcPr>
            <w:tcW w:w="4325" w:type="dxa"/>
            <w:shd w:val="clear" w:color="000000" w:fill="auto"/>
            <w:noWrap w:val="0"/>
            <w:vAlign w:val="center"/>
          </w:tcPr>
          <w:p w14:paraId="50A571C2">
            <w:pPr>
              <w:autoSpaceDE w:val="0"/>
              <w:autoSpaceDN w:val="0"/>
              <w:adjustRightInd w:val="0"/>
              <w:spacing w:line="360" w:lineRule="auto"/>
              <w:jc w:val="left"/>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en-US" w:eastAsia="zh-CN"/>
              </w:rPr>
              <w:t>评委对投标人提供的合理化建议的科学性、完整性、合理性进行评分。</w:t>
            </w:r>
          </w:p>
        </w:tc>
        <w:tc>
          <w:tcPr>
            <w:tcW w:w="903" w:type="dxa"/>
            <w:shd w:val="clear" w:color="000000" w:fill="auto"/>
            <w:noWrap w:val="0"/>
            <w:vAlign w:val="center"/>
          </w:tcPr>
          <w:p w14:paraId="40A12049">
            <w:pPr>
              <w:autoSpaceDE w:val="0"/>
              <w:autoSpaceDN w:val="0"/>
              <w:adjustRightInd w:val="0"/>
              <w:spacing w:line="360" w:lineRule="auto"/>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r>
              <w:rPr>
                <w:rFonts w:hint="eastAsia" w:ascii="宋体" w:hAnsi="宋体" w:eastAsia="宋体" w:cs="宋体"/>
                <w:color w:val="000000"/>
                <w:kern w:val="0"/>
                <w:sz w:val="24"/>
                <w:lang w:val="en-US" w:eastAsia="zh-CN"/>
              </w:rPr>
              <w:t>分</w:t>
            </w:r>
          </w:p>
        </w:tc>
      </w:tr>
    </w:tbl>
    <w:p w14:paraId="4D4ED4C4">
      <w:pPr>
        <w:pStyle w:val="48"/>
        <w:rPr>
          <w:rFonts w:hint="eastAsia" w:eastAsia="宋体"/>
          <w:color w:val="auto"/>
          <w:lang w:eastAsia="zh-CN"/>
        </w:rPr>
      </w:pPr>
      <w:r>
        <w:rPr>
          <w:rFonts w:hint="eastAsia"/>
          <w:color w:val="auto"/>
          <w:lang w:eastAsia="zh-CN"/>
        </w:rPr>
        <w:t xml:space="preserve"> </w:t>
      </w:r>
    </w:p>
    <w:p w14:paraId="474F1DC6">
      <w:pPr>
        <w:spacing w:line="360" w:lineRule="auto"/>
        <w:rPr>
          <w:rFonts w:ascii="宋体" w:hAnsi="宋体" w:cs="宋体"/>
          <w:color w:val="auto"/>
          <w:sz w:val="24"/>
          <w:szCs w:val="21"/>
        </w:rPr>
      </w:pPr>
      <w:r>
        <w:rPr>
          <w:rFonts w:hint="eastAsia" w:ascii="宋体" w:hAnsi="宋体" w:cs="宋体"/>
          <w:color w:val="auto"/>
          <w:sz w:val="24"/>
          <w:szCs w:val="21"/>
        </w:rPr>
        <w:t xml:space="preserve"> 注：</w:t>
      </w:r>
    </w:p>
    <w:p w14:paraId="47B12DF9">
      <w:pPr>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1、评标委员会各成员应当独立对每个投标人的投标文件进行评价，并汇总每个投标人的得分。资信分为客观分，也需独立进行评价并核对分值，最终分值需一致。</w:t>
      </w:r>
    </w:p>
    <w:p w14:paraId="2B1BCFEA">
      <w:pPr>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2、所有文件、合同、证书、资质等需要真实有效。</w:t>
      </w:r>
      <w:r>
        <w:rPr>
          <w:rFonts w:hint="eastAsia" w:ascii="宋体" w:hAnsi="宋体" w:cs="宋体"/>
          <w:b/>
          <w:bCs/>
          <w:color w:val="auto"/>
          <w:sz w:val="24"/>
          <w:szCs w:val="21"/>
        </w:rPr>
        <w:t>中标人在中标后签订合同时需提供以上证明文件原件，若发现资料作假的取消中标资格</w:t>
      </w:r>
      <w:r>
        <w:rPr>
          <w:rFonts w:hint="eastAsia" w:ascii="宋体" w:hAnsi="宋体" w:cs="宋体"/>
          <w:color w:val="auto"/>
          <w:sz w:val="24"/>
          <w:szCs w:val="21"/>
        </w:rPr>
        <w:t>。</w:t>
      </w:r>
    </w:p>
    <w:p w14:paraId="5AA598AF">
      <w:pPr>
        <w:spacing w:line="360" w:lineRule="auto"/>
        <w:ind w:firstLine="480" w:firstLineChars="200"/>
        <w:rPr>
          <w:rFonts w:ascii="宋体" w:hAnsi="宋体" w:cs="宋体"/>
          <w:color w:val="auto"/>
          <w:sz w:val="24"/>
          <w:szCs w:val="21"/>
        </w:rPr>
      </w:pPr>
    </w:p>
    <w:p w14:paraId="4A18B01B">
      <w:pPr>
        <w:spacing w:afterLines="50" w:line="360" w:lineRule="auto"/>
        <w:jc w:val="center"/>
        <w:outlineLvl w:val="0"/>
        <w:rPr>
          <w:rFonts w:ascii="宋体" w:hAnsi="宋体" w:cs="宋体"/>
          <w:b/>
          <w:color w:val="auto"/>
          <w:sz w:val="36"/>
          <w:szCs w:val="36"/>
        </w:rPr>
      </w:pPr>
      <w:r>
        <w:rPr>
          <w:rFonts w:hint="eastAsia" w:ascii="宋体" w:hAnsi="宋体" w:cs="宋体"/>
          <w:color w:val="auto"/>
          <w:sz w:val="24"/>
        </w:rPr>
        <w:br w:type="page"/>
      </w:r>
      <w:bookmarkStart w:id="430" w:name="_Toc31927"/>
      <w:bookmarkStart w:id="431" w:name="_Toc9728"/>
      <w:bookmarkStart w:id="432" w:name="_Toc25576"/>
      <w:bookmarkStart w:id="433" w:name="_Toc15553"/>
      <w:bookmarkStart w:id="434" w:name="_Toc13598"/>
      <w:r>
        <w:rPr>
          <w:rFonts w:hint="eastAsia" w:ascii="宋体" w:hAnsi="宋体" w:cs="宋体"/>
          <w:b/>
          <w:color w:val="auto"/>
          <w:sz w:val="36"/>
          <w:szCs w:val="36"/>
        </w:rPr>
        <w:t>第四部分   采购需求</w:t>
      </w:r>
      <w:bookmarkEnd w:id="430"/>
    </w:p>
    <w:bookmarkEnd w:id="428"/>
    <w:bookmarkEnd w:id="431"/>
    <w:bookmarkEnd w:id="432"/>
    <w:bookmarkEnd w:id="433"/>
    <w:bookmarkEnd w:id="434"/>
    <w:p w14:paraId="082F3255">
      <w:pPr>
        <w:pStyle w:val="5"/>
        <w:numPr>
          <w:ilvl w:val="0"/>
          <w:numId w:val="0"/>
        </w:numPr>
        <w:jc w:val="center"/>
        <w:rPr>
          <w:rFonts w:hint="eastAsia" w:ascii="宋体" w:hAnsi="宋体" w:eastAsia="宋体" w:cs="宋体"/>
          <w:color w:val="auto"/>
        </w:rPr>
      </w:pPr>
      <w:bookmarkStart w:id="435" w:name="_Toc25073"/>
      <w:bookmarkStart w:id="436" w:name="_Toc18419"/>
      <w:bookmarkStart w:id="437" w:name="_Toc14572"/>
      <w:bookmarkStart w:id="438" w:name="_Toc4631"/>
      <w:bookmarkStart w:id="439" w:name="_Toc28926"/>
      <w:bookmarkStart w:id="440" w:name="_Toc19804"/>
      <w:r>
        <w:rPr>
          <w:rFonts w:hint="eastAsia" w:ascii="宋体" w:hAnsi="宋体" w:eastAsia="宋体" w:cs="宋体"/>
          <w:color w:val="auto"/>
        </w:rPr>
        <w:t xml:space="preserve">第一章 </w:t>
      </w:r>
      <w:bookmarkEnd w:id="435"/>
      <w:bookmarkEnd w:id="436"/>
      <w:bookmarkEnd w:id="437"/>
      <w:bookmarkEnd w:id="438"/>
      <w:r>
        <w:rPr>
          <w:rFonts w:hint="eastAsia" w:hAnsi="宋体"/>
          <w:color w:val="auto"/>
          <w:kern w:val="0"/>
        </w:rPr>
        <w:t>技术规范及要求</w:t>
      </w:r>
    </w:p>
    <w:bookmarkEnd w:id="439"/>
    <w:bookmarkEnd w:id="440"/>
    <w:p w14:paraId="7CC83C50">
      <w:pPr>
        <w:widowControl/>
        <w:spacing w:line="276" w:lineRule="auto"/>
        <w:textAlignment w:val="baseline"/>
        <w:rPr>
          <w:rFonts w:hint="eastAsia"/>
        </w:rPr>
      </w:pPr>
      <w:r>
        <w:rPr>
          <w:rFonts w:hint="eastAsia" w:ascii="仿宋" w:hAnsi="仿宋" w:eastAsia="仿宋"/>
          <w:b/>
          <w:sz w:val="28"/>
          <w:szCs w:val="22"/>
          <w:lang w:eastAsia="zh-CN"/>
        </w:rPr>
        <w:t>一</w:t>
      </w:r>
      <w:r>
        <w:rPr>
          <w:rFonts w:hint="eastAsia" w:ascii="仿宋" w:hAnsi="仿宋" w:eastAsia="仿宋"/>
          <w:b/>
          <w:sz w:val="28"/>
          <w:szCs w:val="22"/>
        </w:rPr>
        <w:t>、</w:t>
      </w:r>
      <w:r>
        <w:rPr>
          <w:rFonts w:hint="eastAsia" w:ascii="仿宋" w:hAnsi="仿宋" w:eastAsia="仿宋"/>
          <w:b/>
          <w:sz w:val="28"/>
          <w:szCs w:val="22"/>
          <w:lang w:eastAsia="zh-CN"/>
        </w:rPr>
        <w:t>双穴</w:t>
      </w:r>
      <w:r>
        <w:rPr>
          <w:rFonts w:hint="eastAsia" w:ascii="仿宋" w:hAnsi="仿宋" w:eastAsia="仿宋"/>
          <w:b/>
          <w:sz w:val="28"/>
          <w:szCs w:val="22"/>
          <w:lang w:val="en-US" w:eastAsia="zh-CN"/>
        </w:rPr>
        <w:t>墓墓套参数及样式</w:t>
      </w:r>
    </w:p>
    <w:p w14:paraId="3F0952B3">
      <w:pPr>
        <w:pStyle w:val="35"/>
        <w:ind w:left="0" w:leftChars="0" w:firstLine="0" w:firstLineChars="0"/>
        <w:rPr>
          <w:rFonts w:hint="eastAsia" w:eastAsia="仿宋_GB2312"/>
          <w:lang w:eastAsia="zh-CN"/>
        </w:rPr>
      </w:pPr>
      <w:r>
        <w:rPr>
          <w:rFonts w:hint="eastAsia" w:eastAsia="仿宋_GB2312"/>
          <w:lang w:eastAsia="zh-CN"/>
        </w:rPr>
        <w:drawing>
          <wp:inline distT="0" distB="0" distL="114300" distR="114300">
            <wp:extent cx="5271135" cy="3690620"/>
            <wp:effectExtent l="0" t="0" r="5715" b="5080"/>
            <wp:docPr id="1" name="图片 1" descr="c83d8e757019fb8f980b474c68e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83d8e757019fb8f980b474c68e1619"/>
                    <pic:cNvPicPr>
                      <a:picLocks noChangeAspect="1"/>
                    </pic:cNvPicPr>
                  </pic:nvPicPr>
                  <pic:blipFill>
                    <a:blip r:embed="rId8"/>
                    <a:stretch>
                      <a:fillRect/>
                    </a:stretch>
                  </pic:blipFill>
                  <pic:spPr>
                    <a:xfrm>
                      <a:off x="0" y="0"/>
                      <a:ext cx="5271135" cy="3690620"/>
                    </a:xfrm>
                    <a:prstGeom prst="rect">
                      <a:avLst/>
                    </a:prstGeom>
                  </pic:spPr>
                </pic:pic>
              </a:graphicData>
            </a:graphic>
          </wp:inline>
        </w:drawing>
      </w:r>
    </w:p>
    <w:p w14:paraId="6132D31E">
      <w:pPr>
        <w:pStyle w:val="35"/>
        <w:ind w:left="0" w:leftChars="0" w:firstLine="0" w:firstLineChars="0"/>
        <w:rPr>
          <w:rFonts w:hint="eastAsia" w:eastAsia="仿宋_GB2312"/>
          <w:lang w:eastAsia="zh-CN"/>
        </w:rPr>
      </w:pPr>
      <w:r>
        <w:rPr>
          <w:rFonts w:hint="eastAsia" w:eastAsia="仿宋_GB2312"/>
          <w:lang w:eastAsia="zh-CN"/>
        </w:rPr>
        <w:drawing>
          <wp:inline distT="0" distB="0" distL="114300" distR="114300">
            <wp:extent cx="5266690" cy="3627120"/>
            <wp:effectExtent l="0" t="0" r="10160" b="11430"/>
            <wp:docPr id="3" name="图片 3" descr="6f8989e37da80d654575fea09102d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f8989e37da80d654575fea09102d0b"/>
                    <pic:cNvPicPr>
                      <a:picLocks noChangeAspect="1"/>
                    </pic:cNvPicPr>
                  </pic:nvPicPr>
                  <pic:blipFill>
                    <a:blip r:embed="rId9"/>
                    <a:stretch>
                      <a:fillRect/>
                    </a:stretch>
                  </pic:blipFill>
                  <pic:spPr>
                    <a:xfrm>
                      <a:off x="0" y="0"/>
                      <a:ext cx="5266690" cy="3627120"/>
                    </a:xfrm>
                    <a:prstGeom prst="rect">
                      <a:avLst/>
                    </a:prstGeom>
                  </pic:spPr>
                </pic:pic>
              </a:graphicData>
            </a:graphic>
          </wp:inline>
        </w:drawing>
      </w:r>
    </w:p>
    <w:p w14:paraId="261A2F94">
      <w:pPr>
        <w:pStyle w:val="35"/>
        <w:ind w:left="0" w:leftChars="0" w:firstLine="0" w:firstLineChars="0"/>
        <w:jc w:val="both"/>
      </w:pPr>
      <w:r>
        <w:drawing>
          <wp:inline distT="0" distB="0" distL="114300" distR="114300">
            <wp:extent cx="5266055" cy="3637280"/>
            <wp:effectExtent l="0" t="0" r="10795" b="1270"/>
            <wp:docPr id="6" name="图片 6" descr="321895fcffce2de80027f140a8f82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21895fcffce2de80027f140a8f826f"/>
                    <pic:cNvPicPr>
                      <a:picLocks noChangeAspect="1"/>
                    </pic:cNvPicPr>
                  </pic:nvPicPr>
                  <pic:blipFill>
                    <a:blip r:embed="rId10"/>
                    <a:stretch>
                      <a:fillRect/>
                    </a:stretch>
                  </pic:blipFill>
                  <pic:spPr>
                    <a:xfrm>
                      <a:off x="0" y="0"/>
                      <a:ext cx="5266055" cy="3637280"/>
                    </a:xfrm>
                    <a:prstGeom prst="rect">
                      <a:avLst/>
                    </a:prstGeom>
                  </pic:spPr>
                </pic:pic>
              </a:graphicData>
            </a:graphic>
          </wp:inline>
        </w:drawing>
      </w:r>
      <w:r>
        <w:drawing>
          <wp:inline distT="0" distB="0" distL="114300" distR="114300">
            <wp:extent cx="5274310" cy="3646805"/>
            <wp:effectExtent l="0" t="0" r="2540" b="10795"/>
            <wp:docPr id="7" name="图片 7" descr="ab11d521942bdf5c39d6839e78a2c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b11d521942bdf5c39d6839e78a2c5b"/>
                    <pic:cNvPicPr>
                      <a:picLocks noChangeAspect="1"/>
                    </pic:cNvPicPr>
                  </pic:nvPicPr>
                  <pic:blipFill>
                    <a:blip r:embed="rId11"/>
                    <a:stretch>
                      <a:fillRect/>
                    </a:stretch>
                  </pic:blipFill>
                  <pic:spPr>
                    <a:xfrm>
                      <a:off x="0" y="0"/>
                      <a:ext cx="5274310" cy="3646805"/>
                    </a:xfrm>
                    <a:prstGeom prst="rect">
                      <a:avLst/>
                    </a:prstGeom>
                  </pic:spPr>
                </pic:pic>
              </a:graphicData>
            </a:graphic>
          </wp:inline>
        </w:drawing>
      </w:r>
    </w:p>
    <w:p w14:paraId="79C1C153">
      <w:pPr>
        <w:pStyle w:val="35"/>
        <w:rPr>
          <w:rFonts w:hint="eastAsia"/>
        </w:rPr>
      </w:pPr>
    </w:p>
    <w:p w14:paraId="038D2276">
      <w:pPr>
        <w:autoSpaceDE w:val="0"/>
        <w:autoSpaceDN w:val="0"/>
        <w:adjustRightInd w:val="0"/>
        <w:spacing w:line="500" w:lineRule="exact"/>
        <w:jc w:val="left"/>
        <w:rPr>
          <w:rFonts w:hint="eastAsia" w:ascii="宋体" w:hAnsi="宋体"/>
          <w:b/>
          <w:kern w:val="0"/>
          <w:sz w:val="28"/>
          <w:szCs w:val="20"/>
        </w:rPr>
      </w:pPr>
      <w:r>
        <w:rPr>
          <w:rFonts w:hint="eastAsia" w:ascii="宋体" w:hAnsi="宋体"/>
          <w:b/>
          <w:kern w:val="0"/>
          <w:sz w:val="28"/>
          <w:szCs w:val="20"/>
        </w:rPr>
        <w:br w:type="page"/>
      </w:r>
    </w:p>
    <w:p w14:paraId="3BC8530D">
      <w:pPr>
        <w:widowControl/>
        <w:spacing w:line="276" w:lineRule="auto"/>
        <w:textAlignment w:val="baseline"/>
        <w:rPr>
          <w:rFonts w:hint="eastAsia" w:ascii="仿宋" w:hAnsi="仿宋" w:eastAsia="仿宋"/>
          <w:b/>
          <w:sz w:val="28"/>
          <w:szCs w:val="22"/>
          <w:lang w:eastAsia="zh-CN"/>
        </w:rPr>
      </w:pPr>
      <w:r>
        <w:rPr>
          <w:rFonts w:hint="eastAsia" w:ascii="仿宋" w:hAnsi="仿宋" w:eastAsia="仿宋"/>
          <w:b/>
          <w:sz w:val="28"/>
          <w:szCs w:val="22"/>
          <w:lang w:eastAsia="zh-CN"/>
        </w:rPr>
        <w:t>二、单穴</w:t>
      </w:r>
      <w:r>
        <w:rPr>
          <w:rFonts w:hint="eastAsia" w:ascii="仿宋" w:hAnsi="仿宋" w:eastAsia="仿宋"/>
          <w:b/>
          <w:sz w:val="28"/>
          <w:szCs w:val="22"/>
          <w:lang w:val="en-US" w:eastAsia="zh-CN"/>
        </w:rPr>
        <w:t>墓墓套参数及样式</w:t>
      </w:r>
    </w:p>
    <w:p w14:paraId="73A219B6">
      <w:pPr>
        <w:pStyle w:val="2"/>
        <w:ind w:left="0" w:leftChars="0" w:firstLine="0" w:firstLineChars="0"/>
        <w:rPr>
          <w:rFonts w:hint="eastAsia" w:ascii="宋体" w:hAnsi="宋体"/>
          <w:b/>
          <w:kern w:val="0"/>
          <w:sz w:val="28"/>
          <w:szCs w:val="20"/>
        </w:rPr>
      </w:pPr>
      <w:r>
        <w:rPr>
          <w:rFonts w:hint="eastAsia" w:ascii="宋体" w:hAnsi="宋体" w:eastAsia="宋体"/>
          <w:b/>
          <w:kern w:val="0"/>
          <w:sz w:val="28"/>
          <w:szCs w:val="20"/>
          <w:lang w:eastAsia="zh-CN"/>
        </w:rPr>
        <w:drawing>
          <wp:inline distT="0" distB="0" distL="114300" distR="114300">
            <wp:extent cx="5271135" cy="3644265"/>
            <wp:effectExtent l="0" t="0" r="5715" b="13335"/>
            <wp:docPr id="5" name="图片 5" descr="e3c8cb6efd3133f5a911631e775a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3c8cb6efd3133f5a911631e775adad"/>
                    <pic:cNvPicPr>
                      <a:picLocks noChangeAspect="1"/>
                    </pic:cNvPicPr>
                  </pic:nvPicPr>
                  <pic:blipFill>
                    <a:blip r:embed="rId12"/>
                    <a:stretch>
                      <a:fillRect/>
                    </a:stretch>
                  </pic:blipFill>
                  <pic:spPr>
                    <a:xfrm>
                      <a:off x="0" y="0"/>
                      <a:ext cx="5271135" cy="3644265"/>
                    </a:xfrm>
                    <a:prstGeom prst="rect">
                      <a:avLst/>
                    </a:prstGeom>
                  </pic:spPr>
                </pic:pic>
              </a:graphicData>
            </a:graphic>
          </wp:inline>
        </w:drawing>
      </w:r>
    </w:p>
    <w:p w14:paraId="4B00919D">
      <w:pPr>
        <w:pStyle w:val="2"/>
        <w:ind w:left="0" w:leftChars="0" w:firstLine="0" w:firstLineChars="0"/>
        <w:rPr>
          <w:rFonts w:hint="eastAsia" w:ascii="宋体" w:hAnsi="宋体"/>
          <w:b/>
          <w:kern w:val="0"/>
          <w:sz w:val="28"/>
          <w:szCs w:val="20"/>
        </w:rPr>
      </w:pPr>
    </w:p>
    <w:p w14:paraId="31760D66">
      <w:pPr>
        <w:autoSpaceDE w:val="0"/>
        <w:autoSpaceDN w:val="0"/>
        <w:adjustRightInd w:val="0"/>
        <w:spacing w:line="500" w:lineRule="exact"/>
        <w:jc w:val="left"/>
        <w:rPr>
          <w:rFonts w:hint="eastAsia" w:ascii="宋体"/>
          <w:kern w:val="0"/>
          <w:sz w:val="24"/>
          <w:szCs w:val="24"/>
        </w:rPr>
      </w:pPr>
      <w:r>
        <w:rPr>
          <w:rFonts w:hint="eastAsia" w:ascii="仿宋" w:hAnsi="仿宋" w:eastAsia="仿宋"/>
          <w:b/>
          <w:sz w:val="28"/>
          <w:szCs w:val="22"/>
          <w:lang w:val="en-US" w:eastAsia="zh-CN"/>
        </w:rPr>
        <w:t>三、技术参数要求</w:t>
      </w:r>
    </w:p>
    <w:p w14:paraId="706EF5C7">
      <w:pPr>
        <w:autoSpaceDE w:val="0"/>
        <w:autoSpaceDN w:val="0"/>
        <w:adjustRightInd w:val="0"/>
        <w:spacing w:line="500" w:lineRule="exact"/>
        <w:ind w:firstLine="480" w:firstLineChars="200"/>
        <w:jc w:val="left"/>
        <w:rPr>
          <w:rFonts w:hint="eastAsia" w:ascii="宋体"/>
          <w:kern w:val="0"/>
          <w:sz w:val="24"/>
          <w:szCs w:val="24"/>
        </w:rPr>
      </w:pPr>
      <w:r>
        <w:rPr>
          <w:rFonts w:hint="eastAsia" w:ascii="宋体"/>
          <w:kern w:val="0"/>
          <w:sz w:val="24"/>
          <w:szCs w:val="24"/>
        </w:rPr>
        <w:t xml:space="preserve"> 1、墓穴种类：墓穴型的规格具体详见效果图（墓型的规格及图片仅供参考，具体以实际现场为准）</w:t>
      </w:r>
    </w:p>
    <w:p w14:paraId="098FD4C8">
      <w:pPr>
        <w:autoSpaceDE w:val="0"/>
        <w:autoSpaceDN w:val="0"/>
        <w:adjustRightInd w:val="0"/>
        <w:spacing w:line="500" w:lineRule="exact"/>
        <w:ind w:firstLine="480" w:firstLineChars="200"/>
        <w:jc w:val="left"/>
        <w:rPr>
          <w:rFonts w:hint="eastAsia" w:ascii="宋体"/>
          <w:color w:val="auto"/>
          <w:kern w:val="0"/>
          <w:sz w:val="24"/>
          <w:szCs w:val="24"/>
        </w:rPr>
      </w:pPr>
      <w:r>
        <w:rPr>
          <w:rFonts w:hint="eastAsia" w:ascii="宋体"/>
          <w:kern w:val="0"/>
          <w:sz w:val="24"/>
          <w:szCs w:val="24"/>
        </w:rPr>
        <w:t xml:space="preserve"> 2、墓</w:t>
      </w:r>
      <w:r>
        <w:rPr>
          <w:rFonts w:hint="eastAsia" w:ascii="宋体"/>
          <w:color w:val="auto"/>
          <w:kern w:val="0"/>
          <w:sz w:val="24"/>
          <w:szCs w:val="24"/>
        </w:rPr>
        <w:t>穴石材、制作质量要求：</w:t>
      </w:r>
    </w:p>
    <w:p w14:paraId="43B854CC">
      <w:pPr>
        <w:autoSpaceDE w:val="0"/>
        <w:autoSpaceDN w:val="0"/>
        <w:adjustRightInd w:val="0"/>
        <w:spacing w:line="500" w:lineRule="exact"/>
        <w:ind w:firstLine="480" w:firstLineChars="200"/>
        <w:jc w:val="left"/>
        <w:rPr>
          <w:rFonts w:hint="eastAsia" w:ascii="宋体"/>
          <w:color w:val="auto"/>
          <w:kern w:val="0"/>
          <w:sz w:val="24"/>
          <w:szCs w:val="24"/>
        </w:rPr>
      </w:pPr>
      <w:r>
        <w:rPr>
          <w:rFonts w:hint="eastAsia" w:ascii="宋体"/>
          <w:color w:val="auto"/>
          <w:kern w:val="0"/>
          <w:sz w:val="24"/>
          <w:szCs w:val="24"/>
        </w:rPr>
        <w:t>（1）制作墓穴的石材</w:t>
      </w:r>
      <w:r>
        <w:rPr>
          <w:rFonts w:hint="eastAsia" w:ascii="宋体"/>
          <w:color w:val="auto"/>
          <w:kern w:val="0"/>
          <w:sz w:val="24"/>
          <w:szCs w:val="24"/>
          <w:lang w:eastAsia="zh-CN"/>
        </w:rPr>
        <w:t>采用福建</w:t>
      </w:r>
      <w:r>
        <w:rPr>
          <w:rFonts w:hint="eastAsia" w:ascii="宋体"/>
          <w:color w:val="auto"/>
          <w:kern w:val="0"/>
          <w:sz w:val="24"/>
          <w:szCs w:val="24"/>
          <w:lang w:val="en-US" w:eastAsia="zh-CN"/>
        </w:rPr>
        <w:t>654，</w:t>
      </w:r>
      <w:r>
        <w:rPr>
          <w:rFonts w:hint="eastAsia" w:ascii="宋体"/>
          <w:color w:val="auto"/>
          <w:kern w:val="0"/>
          <w:sz w:val="24"/>
          <w:szCs w:val="24"/>
        </w:rPr>
        <w:t>质量及规格等应符合相关质量标准要求，等级必须达到合格。</w:t>
      </w:r>
    </w:p>
    <w:p w14:paraId="07224884">
      <w:pPr>
        <w:autoSpaceDE w:val="0"/>
        <w:autoSpaceDN w:val="0"/>
        <w:adjustRightInd w:val="0"/>
        <w:spacing w:line="500" w:lineRule="exact"/>
        <w:ind w:firstLine="480" w:firstLineChars="200"/>
        <w:jc w:val="left"/>
        <w:rPr>
          <w:rFonts w:hint="eastAsia" w:ascii="宋体"/>
          <w:kern w:val="0"/>
          <w:sz w:val="24"/>
          <w:szCs w:val="24"/>
        </w:rPr>
      </w:pPr>
      <w:r>
        <w:rPr>
          <w:rFonts w:hint="eastAsia" w:ascii="宋体"/>
          <w:kern w:val="0"/>
          <w:sz w:val="24"/>
          <w:szCs w:val="24"/>
        </w:rPr>
        <w:t>（2）形状尺寸标准：正方形的各边长宽一致，长方形的对边要一致，允许范围在负公差为零，正公差为5mm以内。</w:t>
      </w:r>
    </w:p>
    <w:p w14:paraId="380A1A4A">
      <w:pPr>
        <w:autoSpaceDE w:val="0"/>
        <w:autoSpaceDN w:val="0"/>
        <w:adjustRightInd w:val="0"/>
        <w:spacing w:line="500" w:lineRule="exact"/>
        <w:jc w:val="left"/>
        <w:rPr>
          <w:rFonts w:hint="eastAsia" w:ascii="宋体"/>
          <w:kern w:val="0"/>
          <w:sz w:val="24"/>
          <w:szCs w:val="24"/>
        </w:rPr>
      </w:pPr>
      <w:r>
        <w:rPr>
          <w:rFonts w:hint="eastAsia" w:ascii="宋体"/>
          <w:kern w:val="0"/>
          <w:sz w:val="24"/>
          <w:szCs w:val="24"/>
        </w:rPr>
        <w:t xml:space="preserve">   </w:t>
      </w:r>
      <w:r>
        <w:rPr>
          <w:rFonts w:hint="eastAsia" w:ascii="宋体"/>
          <w:kern w:val="0"/>
          <w:sz w:val="24"/>
          <w:szCs w:val="24"/>
          <w:lang w:val="en-US" w:eastAsia="zh-CN"/>
        </w:rPr>
        <w:t xml:space="preserve"> </w:t>
      </w:r>
      <w:r>
        <w:rPr>
          <w:rFonts w:hint="eastAsia" w:ascii="宋体"/>
          <w:kern w:val="0"/>
          <w:sz w:val="24"/>
          <w:szCs w:val="24"/>
        </w:rPr>
        <w:t>（3）石质要求：不能有白斑、黑斑（石胆）及色纹（水线）瑕疵。</w:t>
      </w:r>
    </w:p>
    <w:p w14:paraId="4B2E71E6">
      <w:pPr>
        <w:autoSpaceDE w:val="0"/>
        <w:autoSpaceDN w:val="0"/>
        <w:adjustRightInd w:val="0"/>
        <w:spacing w:line="500" w:lineRule="exact"/>
        <w:jc w:val="left"/>
        <w:rPr>
          <w:rFonts w:hint="eastAsia" w:ascii="宋体"/>
          <w:kern w:val="0"/>
          <w:sz w:val="24"/>
          <w:szCs w:val="24"/>
        </w:rPr>
      </w:pPr>
      <w:r>
        <w:rPr>
          <w:rFonts w:hint="eastAsia" w:ascii="宋体"/>
          <w:kern w:val="0"/>
          <w:sz w:val="24"/>
          <w:szCs w:val="24"/>
        </w:rPr>
        <w:t xml:space="preserve">   </w:t>
      </w:r>
      <w:r>
        <w:rPr>
          <w:rFonts w:hint="eastAsia" w:ascii="宋体"/>
          <w:kern w:val="0"/>
          <w:sz w:val="24"/>
          <w:szCs w:val="24"/>
          <w:lang w:val="en-US" w:eastAsia="zh-CN"/>
        </w:rPr>
        <w:t xml:space="preserve"> </w:t>
      </w:r>
      <w:r>
        <w:rPr>
          <w:rFonts w:hint="eastAsia" w:ascii="宋体"/>
          <w:kern w:val="0"/>
          <w:sz w:val="24"/>
          <w:szCs w:val="24"/>
        </w:rPr>
        <w:t>（4）石材表面要干净，不得带有油斑、锈迹。</w:t>
      </w:r>
    </w:p>
    <w:p w14:paraId="47592DAC">
      <w:pPr>
        <w:autoSpaceDE w:val="0"/>
        <w:autoSpaceDN w:val="0"/>
        <w:adjustRightInd w:val="0"/>
        <w:spacing w:line="500" w:lineRule="exact"/>
        <w:jc w:val="left"/>
        <w:rPr>
          <w:rFonts w:hint="eastAsia" w:ascii="宋体"/>
          <w:kern w:val="0"/>
          <w:sz w:val="24"/>
          <w:szCs w:val="24"/>
        </w:rPr>
      </w:pPr>
      <w:r>
        <w:rPr>
          <w:rFonts w:hint="eastAsia" w:ascii="宋体"/>
          <w:kern w:val="0"/>
          <w:sz w:val="24"/>
          <w:szCs w:val="24"/>
        </w:rPr>
        <w:t xml:space="preserve">   </w:t>
      </w:r>
      <w:r>
        <w:rPr>
          <w:rFonts w:hint="eastAsia" w:ascii="宋体"/>
          <w:kern w:val="0"/>
          <w:sz w:val="24"/>
          <w:szCs w:val="24"/>
          <w:lang w:val="en-US" w:eastAsia="zh-CN"/>
        </w:rPr>
        <w:t xml:space="preserve"> </w:t>
      </w:r>
      <w:r>
        <w:rPr>
          <w:rFonts w:hint="eastAsia" w:ascii="宋体"/>
          <w:kern w:val="0"/>
          <w:sz w:val="24"/>
          <w:szCs w:val="24"/>
        </w:rPr>
        <w:t>（5）角度要求：直角为90度，部件上下、左右直角对线误差在3mm以内。</w:t>
      </w:r>
    </w:p>
    <w:p w14:paraId="4D672E57">
      <w:pPr>
        <w:autoSpaceDE w:val="0"/>
        <w:autoSpaceDN w:val="0"/>
        <w:adjustRightInd w:val="0"/>
        <w:spacing w:line="500" w:lineRule="exact"/>
        <w:jc w:val="left"/>
        <w:rPr>
          <w:rFonts w:hint="eastAsia" w:ascii="宋体"/>
          <w:kern w:val="0"/>
          <w:sz w:val="24"/>
          <w:szCs w:val="24"/>
        </w:rPr>
      </w:pPr>
      <w:r>
        <w:rPr>
          <w:rFonts w:hint="eastAsia" w:ascii="宋体"/>
          <w:kern w:val="0"/>
          <w:sz w:val="24"/>
          <w:szCs w:val="24"/>
        </w:rPr>
        <w:t xml:space="preserve">   </w:t>
      </w:r>
      <w:r>
        <w:rPr>
          <w:rFonts w:hint="eastAsia" w:ascii="宋体"/>
          <w:kern w:val="0"/>
          <w:sz w:val="24"/>
          <w:szCs w:val="24"/>
          <w:lang w:val="en-US" w:eastAsia="zh-CN"/>
        </w:rPr>
        <w:t xml:space="preserve"> </w:t>
      </w:r>
      <w:r>
        <w:rPr>
          <w:rFonts w:hint="eastAsia" w:ascii="宋体"/>
          <w:kern w:val="0"/>
          <w:sz w:val="24"/>
          <w:szCs w:val="24"/>
        </w:rPr>
        <w:t>（6）整套墓石组合尺寸、角度必须按图制作，表面平整，高度一致，相同尺寸的工件必须一致，四个工作接面必须成90度角，上下左右对称，全套色泽要与设计一致。</w:t>
      </w:r>
    </w:p>
    <w:p w14:paraId="6EBDD932">
      <w:pPr>
        <w:autoSpaceDE w:val="0"/>
        <w:autoSpaceDN w:val="0"/>
        <w:adjustRightInd w:val="0"/>
        <w:spacing w:line="500" w:lineRule="exact"/>
        <w:jc w:val="left"/>
        <w:rPr>
          <w:rFonts w:hint="eastAsia" w:ascii="宋体"/>
          <w:kern w:val="0"/>
          <w:sz w:val="24"/>
          <w:szCs w:val="24"/>
        </w:rPr>
      </w:pPr>
      <w:r>
        <w:rPr>
          <w:rFonts w:hint="eastAsia" w:ascii="宋体"/>
          <w:kern w:val="0"/>
          <w:sz w:val="24"/>
          <w:szCs w:val="24"/>
        </w:rPr>
        <w:t xml:space="preserve">   </w:t>
      </w:r>
      <w:r>
        <w:rPr>
          <w:rFonts w:hint="eastAsia" w:ascii="宋体"/>
          <w:kern w:val="0"/>
          <w:sz w:val="24"/>
          <w:szCs w:val="24"/>
          <w:lang w:val="en-US" w:eastAsia="zh-CN"/>
        </w:rPr>
        <w:t xml:space="preserve"> </w:t>
      </w:r>
      <w:r>
        <w:rPr>
          <w:rFonts w:hint="eastAsia" w:ascii="宋体"/>
          <w:kern w:val="0"/>
          <w:sz w:val="24"/>
          <w:szCs w:val="24"/>
        </w:rPr>
        <w:t>（7）倒边必须上下平行，大小宽窄一致，手感平滑，不得有沟痕感觉，倒边的大小要严格要求倒边，一般边与磨面成45度。</w:t>
      </w:r>
    </w:p>
    <w:p w14:paraId="14E46CEA">
      <w:pPr>
        <w:autoSpaceDE w:val="0"/>
        <w:autoSpaceDN w:val="0"/>
        <w:adjustRightInd w:val="0"/>
        <w:spacing w:line="500" w:lineRule="exact"/>
        <w:jc w:val="left"/>
        <w:rPr>
          <w:rFonts w:hint="eastAsia" w:ascii="宋体"/>
          <w:kern w:val="0"/>
          <w:sz w:val="24"/>
          <w:szCs w:val="24"/>
        </w:rPr>
      </w:pPr>
      <w:r>
        <w:rPr>
          <w:rFonts w:hint="eastAsia" w:ascii="宋体"/>
          <w:kern w:val="0"/>
          <w:sz w:val="24"/>
          <w:szCs w:val="24"/>
        </w:rPr>
        <w:t xml:space="preserve">   </w:t>
      </w:r>
      <w:r>
        <w:rPr>
          <w:rFonts w:hint="eastAsia" w:ascii="宋体"/>
          <w:kern w:val="0"/>
          <w:sz w:val="24"/>
          <w:szCs w:val="24"/>
          <w:lang w:val="en-US" w:eastAsia="zh-CN"/>
        </w:rPr>
        <w:t xml:space="preserve"> </w:t>
      </w:r>
      <w:r>
        <w:rPr>
          <w:rFonts w:hint="eastAsia" w:ascii="宋体"/>
          <w:kern w:val="0"/>
          <w:sz w:val="24"/>
          <w:szCs w:val="24"/>
        </w:rPr>
        <w:t>（8）磨面光泽平整，不能有凹凸不平现象和缺角，要充分磨出最佳光泽度，对角线和水平线要成一直线。磨面光泽度必须达到90度以上。</w:t>
      </w:r>
    </w:p>
    <w:p w14:paraId="3BED288D">
      <w:pPr>
        <w:autoSpaceDE w:val="0"/>
        <w:autoSpaceDN w:val="0"/>
        <w:adjustRightInd w:val="0"/>
        <w:spacing w:line="500" w:lineRule="exact"/>
        <w:jc w:val="left"/>
        <w:rPr>
          <w:rFonts w:hint="eastAsia" w:ascii="宋体"/>
          <w:kern w:val="0"/>
          <w:sz w:val="24"/>
          <w:szCs w:val="24"/>
        </w:rPr>
      </w:pPr>
      <w:r>
        <w:rPr>
          <w:rFonts w:hint="eastAsia" w:ascii="宋体"/>
          <w:kern w:val="0"/>
          <w:sz w:val="24"/>
          <w:szCs w:val="24"/>
        </w:rPr>
        <w:t xml:space="preserve">   </w:t>
      </w:r>
      <w:r>
        <w:rPr>
          <w:rFonts w:hint="eastAsia" w:ascii="宋体"/>
          <w:kern w:val="0"/>
          <w:sz w:val="24"/>
          <w:szCs w:val="24"/>
          <w:lang w:val="en-US" w:eastAsia="zh-CN"/>
        </w:rPr>
        <w:t xml:space="preserve"> </w:t>
      </w:r>
      <w:r>
        <w:rPr>
          <w:rFonts w:hint="eastAsia" w:ascii="宋体"/>
          <w:kern w:val="0"/>
          <w:sz w:val="24"/>
          <w:szCs w:val="24"/>
        </w:rPr>
        <w:t>（9）严格按图纸造型，加工表面平整，要求线条突出，棱角分明，弧度自然，主题感强</w:t>
      </w:r>
    </w:p>
    <w:p w14:paraId="3CAED793">
      <w:pPr>
        <w:autoSpaceDE w:val="0"/>
        <w:autoSpaceDN w:val="0"/>
        <w:adjustRightInd w:val="0"/>
        <w:spacing w:line="500" w:lineRule="exact"/>
        <w:jc w:val="left"/>
        <w:rPr>
          <w:rFonts w:hint="eastAsia" w:ascii="宋体"/>
          <w:kern w:val="0"/>
          <w:sz w:val="24"/>
          <w:szCs w:val="24"/>
        </w:rPr>
      </w:pPr>
      <w:r>
        <w:rPr>
          <w:rFonts w:hint="eastAsia" w:ascii="宋体"/>
          <w:kern w:val="0"/>
          <w:sz w:val="24"/>
          <w:szCs w:val="24"/>
        </w:rPr>
        <w:t xml:space="preserve">  </w:t>
      </w:r>
      <w:r>
        <w:rPr>
          <w:rFonts w:hint="eastAsia" w:ascii="宋体"/>
          <w:kern w:val="0"/>
          <w:sz w:val="24"/>
          <w:szCs w:val="24"/>
          <w:lang w:val="en-US" w:eastAsia="zh-CN"/>
        </w:rPr>
        <w:t xml:space="preserve"> </w:t>
      </w:r>
      <w:r>
        <w:rPr>
          <w:rFonts w:hint="eastAsia" w:ascii="宋体"/>
          <w:kern w:val="0"/>
          <w:sz w:val="24"/>
          <w:szCs w:val="24"/>
        </w:rPr>
        <w:t>（10）手工磨要求和研磨一致，光泽度符合规定要求，线条感强，角度正确，棱边不能磨平，三遍交汇点要求尖棱角存在，尺角光滑流畅，不以波浪状出现，这部分尽量磨成直角。</w:t>
      </w:r>
    </w:p>
    <w:p w14:paraId="73AB635D">
      <w:pPr>
        <w:autoSpaceDE w:val="0"/>
        <w:autoSpaceDN w:val="0"/>
        <w:adjustRightInd w:val="0"/>
        <w:spacing w:line="500" w:lineRule="exact"/>
        <w:jc w:val="left"/>
        <w:rPr>
          <w:rFonts w:hint="eastAsia" w:ascii="宋体"/>
          <w:kern w:val="0"/>
          <w:sz w:val="24"/>
          <w:szCs w:val="24"/>
        </w:rPr>
      </w:pPr>
      <w:r>
        <w:rPr>
          <w:rFonts w:hint="eastAsia" w:ascii="宋体"/>
          <w:kern w:val="0"/>
          <w:sz w:val="24"/>
          <w:szCs w:val="24"/>
        </w:rPr>
        <w:t xml:space="preserve">  </w:t>
      </w:r>
      <w:r>
        <w:rPr>
          <w:rFonts w:hint="eastAsia" w:ascii="宋体"/>
          <w:kern w:val="0"/>
          <w:sz w:val="24"/>
          <w:szCs w:val="24"/>
          <w:lang w:val="en-US" w:eastAsia="zh-CN"/>
        </w:rPr>
        <w:t xml:space="preserve"> </w:t>
      </w:r>
      <w:r>
        <w:rPr>
          <w:rFonts w:hint="eastAsia" w:ascii="宋体"/>
          <w:kern w:val="0"/>
          <w:sz w:val="24"/>
          <w:szCs w:val="24"/>
        </w:rPr>
        <w:t>（11）安装墓碑石料时采用石胶或1：3沙浆拼装，并负责合同期及保修期内墓碑石料的维修、维护。</w:t>
      </w:r>
    </w:p>
    <w:p w14:paraId="667C87B0">
      <w:pPr>
        <w:autoSpaceDE w:val="0"/>
        <w:autoSpaceDN w:val="0"/>
        <w:adjustRightInd w:val="0"/>
        <w:spacing w:line="500" w:lineRule="exact"/>
        <w:jc w:val="left"/>
        <w:rPr>
          <w:rFonts w:hint="eastAsia" w:ascii="宋体"/>
          <w:kern w:val="0"/>
          <w:sz w:val="24"/>
          <w:szCs w:val="24"/>
        </w:rPr>
      </w:pPr>
      <w:r>
        <w:rPr>
          <w:rFonts w:hint="eastAsia" w:ascii="宋体"/>
          <w:kern w:val="0"/>
          <w:sz w:val="24"/>
          <w:szCs w:val="24"/>
        </w:rPr>
        <w:t xml:space="preserve">  </w:t>
      </w:r>
      <w:r>
        <w:rPr>
          <w:rFonts w:hint="eastAsia" w:ascii="宋体"/>
          <w:kern w:val="0"/>
          <w:sz w:val="24"/>
          <w:szCs w:val="24"/>
          <w:lang w:val="en-US" w:eastAsia="zh-CN"/>
        </w:rPr>
        <w:t xml:space="preserve"> </w:t>
      </w:r>
      <w:r>
        <w:rPr>
          <w:rFonts w:hint="eastAsia" w:ascii="宋体"/>
          <w:kern w:val="0"/>
          <w:sz w:val="24"/>
          <w:szCs w:val="24"/>
        </w:rPr>
        <w:t>（12）效果图及施工图上所有标明的石材材质都按照招标人要求采购。</w:t>
      </w:r>
    </w:p>
    <w:p w14:paraId="30C3E4F4">
      <w:pPr>
        <w:autoSpaceDE w:val="0"/>
        <w:autoSpaceDN w:val="0"/>
        <w:adjustRightInd w:val="0"/>
        <w:spacing w:line="500" w:lineRule="exact"/>
        <w:jc w:val="left"/>
        <w:rPr>
          <w:rFonts w:hint="eastAsia"/>
          <w:sz w:val="24"/>
          <w:szCs w:val="32"/>
        </w:rPr>
      </w:pPr>
      <w:r>
        <w:rPr>
          <w:rFonts w:hint="eastAsia" w:ascii="宋体"/>
          <w:kern w:val="0"/>
          <w:sz w:val="24"/>
          <w:szCs w:val="24"/>
        </w:rPr>
        <w:t xml:space="preserve">  </w:t>
      </w:r>
      <w:r>
        <w:rPr>
          <w:rFonts w:hint="eastAsia" w:ascii="宋体"/>
          <w:kern w:val="0"/>
          <w:sz w:val="24"/>
          <w:szCs w:val="24"/>
          <w:lang w:val="en-US" w:eastAsia="zh-CN"/>
        </w:rPr>
        <w:t xml:space="preserve"> </w:t>
      </w:r>
      <w:r>
        <w:rPr>
          <w:rFonts w:hint="eastAsia" w:ascii="宋体"/>
          <w:kern w:val="0"/>
          <w:sz w:val="24"/>
          <w:szCs w:val="24"/>
        </w:rPr>
        <w:t>（13）</w:t>
      </w:r>
      <w:r>
        <w:rPr>
          <w:rFonts w:hint="eastAsia"/>
          <w:sz w:val="24"/>
          <w:szCs w:val="24"/>
        </w:rPr>
        <w:t>供应商按采购单位提供的墓型照片及规格进行生产加工，</w:t>
      </w:r>
      <w:r>
        <w:rPr>
          <w:rFonts w:hint="eastAsia"/>
          <w:sz w:val="24"/>
          <w:szCs w:val="32"/>
        </w:rPr>
        <w:t>个别墓具如有尺寸变动，必须按照采购单位要求进行。</w:t>
      </w:r>
    </w:p>
    <w:p w14:paraId="4217B4DB">
      <w:pPr>
        <w:autoSpaceDE w:val="0"/>
        <w:autoSpaceDN w:val="0"/>
        <w:adjustRightInd w:val="0"/>
        <w:spacing w:line="500" w:lineRule="exact"/>
        <w:ind w:firstLine="480" w:firstLineChars="200"/>
        <w:jc w:val="left"/>
        <w:rPr>
          <w:rFonts w:hint="eastAsia" w:ascii="宋体" w:hAnsi="Times New Roman" w:eastAsia="宋体" w:cs="Times New Roman"/>
          <w:kern w:val="0"/>
          <w:sz w:val="24"/>
          <w:szCs w:val="24"/>
        </w:rPr>
      </w:pPr>
      <w:r>
        <w:rPr>
          <w:rFonts w:hint="eastAsia" w:ascii="宋体" w:hAnsi="Times New Roman" w:eastAsia="宋体" w:cs="Times New Roman"/>
          <w:kern w:val="0"/>
          <w:sz w:val="24"/>
          <w:szCs w:val="24"/>
        </w:rPr>
        <w:t>（14）墓碑文字根据采购人所提供的信息由供应商负责刻字，然后送至采购人制定地点，费用包含在投标报价中。</w:t>
      </w:r>
    </w:p>
    <w:p w14:paraId="2C66A484">
      <w:pPr>
        <w:jc w:val="center"/>
        <w:rPr>
          <w:rFonts w:hint="eastAsia"/>
          <w:color w:val="auto"/>
          <w:sz w:val="32"/>
          <w:szCs w:val="40"/>
        </w:rPr>
      </w:pPr>
    </w:p>
    <w:p w14:paraId="01292F66">
      <w:pPr>
        <w:pStyle w:val="5"/>
        <w:spacing w:line="360" w:lineRule="auto"/>
        <w:jc w:val="center"/>
        <w:rPr>
          <w:rFonts w:hint="eastAsia" w:ascii="宋体" w:hAnsi="Times New Roman" w:eastAsia="宋体" w:cs="Times New Roman"/>
        </w:rPr>
      </w:pPr>
      <w:r>
        <w:rPr>
          <w:rFonts w:hint="eastAsia" w:ascii="仿宋" w:hAnsi="仿宋" w:eastAsia="仿宋" w:cs="Times New Roman"/>
          <w:b/>
          <w:sz w:val="28"/>
          <w:szCs w:val="22"/>
        </w:rPr>
        <w:br w:type="page"/>
      </w:r>
      <w:r>
        <w:rPr>
          <w:rFonts w:hint="eastAsia" w:ascii="宋体" w:hAnsi="Times New Roman" w:eastAsia="宋体" w:cs="Times New Roman"/>
        </w:rPr>
        <w:t>第二章　供货范围及要求</w:t>
      </w:r>
    </w:p>
    <w:p w14:paraId="2A653E52">
      <w:pPr>
        <w:keepLines w:val="0"/>
        <w:pageBreakBefore w:val="0"/>
        <w:kinsoku/>
        <w:wordWrap/>
        <w:topLinePunct w:val="0"/>
        <w:autoSpaceDE w:val="0"/>
        <w:autoSpaceDN w:val="0"/>
        <w:bidi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　一般要求</w:t>
      </w:r>
    </w:p>
    <w:p w14:paraId="609C1707">
      <w:pPr>
        <w:keepLines w:val="0"/>
        <w:pageBreakBefore w:val="0"/>
        <w:kinsoku/>
        <w:wordWrap/>
        <w:topLinePunct w:val="0"/>
        <w:autoSpaceDE w:val="0"/>
        <w:autoSpaceDN w:val="0"/>
        <w:bidi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.1　中标人须保证提供货物为全新的、先进的、成熟的、完整的和安全可靠的，且货物的技术经济性能符合本部分第一章规定的要求。</w:t>
      </w:r>
    </w:p>
    <w:p w14:paraId="517A3D34">
      <w:pPr>
        <w:keepLines w:val="0"/>
        <w:pageBreakBefore w:val="0"/>
        <w:kinsoku/>
        <w:wordWrap/>
        <w:topLinePunct w:val="0"/>
        <w:autoSpaceDE w:val="0"/>
        <w:autoSpaceDN w:val="0"/>
        <w:bidi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.2　中标人应提供详细供货清单，清单中依次说明型号、数量、产地、生产厂家等内容。</w:t>
      </w:r>
    </w:p>
    <w:p w14:paraId="0A8B2154">
      <w:pPr>
        <w:keepLines w:val="0"/>
        <w:pageBreakBefore w:val="0"/>
        <w:kinsoku/>
        <w:wordWrap/>
        <w:topLinePunct w:val="0"/>
        <w:autoSpaceDE w:val="0"/>
        <w:autoSpaceDN w:val="0"/>
        <w:bidi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.3　除有特别注明外，所列数量均为一套（台）所需。对于属于整套货物运行和施工所必需的部件，即使在本部分第一章中未列出或数目不足，中标人仍须在执行合同时补足。</w:t>
      </w:r>
    </w:p>
    <w:p w14:paraId="516C212F">
      <w:pPr>
        <w:keepLines w:val="0"/>
        <w:pageBreakBefore w:val="0"/>
        <w:kinsoku/>
        <w:wordWrap/>
        <w:topLinePunct w:val="0"/>
        <w:autoSpaceDE w:val="0"/>
        <w:autoSpaceDN w:val="0"/>
        <w:bidi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.4　中标人应提供所有安装和检修所需专用工具和消耗材料等，并提供详细供货清单。</w:t>
      </w:r>
    </w:p>
    <w:p w14:paraId="79FD1175">
      <w:pPr>
        <w:keepLines w:val="0"/>
        <w:pageBreakBefore w:val="0"/>
        <w:kinsoku/>
        <w:wordWrap/>
        <w:topLinePunct w:val="0"/>
        <w:autoSpaceDE w:val="0"/>
        <w:autoSpaceDN w:val="0"/>
        <w:bidi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供货范围</w:t>
      </w:r>
    </w:p>
    <w:p w14:paraId="528A9944">
      <w:pPr>
        <w:keepLines w:val="0"/>
        <w:pageBreakBefore w:val="0"/>
        <w:kinsoku/>
        <w:wordWrap/>
        <w:topLinePunct w:val="0"/>
        <w:autoSpaceDE w:val="0"/>
        <w:autoSpaceDN w:val="0"/>
        <w:bidi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.1　货物范围（详见下表）：</w:t>
      </w:r>
    </w:p>
    <w:tbl>
      <w:tblPr>
        <w:tblStyle w:val="30"/>
        <w:tblW w:w="8970" w:type="dxa"/>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
      <w:tblGrid>
        <w:gridCol w:w="1129"/>
        <w:gridCol w:w="2223"/>
        <w:gridCol w:w="2018"/>
        <w:gridCol w:w="1882"/>
        <w:gridCol w:w="1718"/>
      </w:tblGrid>
      <w:tr w14:paraId="43DA8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54" w:hRule="atLeast"/>
        </w:trPr>
        <w:tc>
          <w:tcPr>
            <w:tcW w:w="1129" w:type="dxa"/>
            <w:noWrap w:val="0"/>
            <w:vAlign w:val="center"/>
          </w:tcPr>
          <w:p w14:paraId="7F41EDFA">
            <w:pPr>
              <w:keepLines w:val="0"/>
              <w:pageBreakBefore w:val="0"/>
              <w:widowControl/>
              <w:kinsoku/>
              <w:wordWrap/>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223" w:type="dxa"/>
            <w:noWrap w:val="0"/>
            <w:vAlign w:val="top"/>
          </w:tcPr>
          <w:p w14:paraId="3E7B14AE">
            <w:pPr>
              <w:pStyle w:val="74"/>
              <w:keepLines w:val="0"/>
              <w:pageBreakBefore w:val="0"/>
              <w:kinsoku/>
              <w:wordWrap/>
              <w:topLinePunct w:val="0"/>
              <w:bidi w:val="0"/>
              <w:spacing w:after="0" w:afterLines="0"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采购内容</w:t>
            </w:r>
          </w:p>
        </w:tc>
        <w:tc>
          <w:tcPr>
            <w:tcW w:w="2018" w:type="dxa"/>
            <w:tcBorders>
              <w:left w:val="single" w:color="auto" w:sz="4" w:space="0"/>
              <w:right w:val="single" w:color="auto" w:sz="4" w:space="0"/>
            </w:tcBorders>
            <w:noWrap w:val="0"/>
            <w:vAlign w:val="center"/>
          </w:tcPr>
          <w:p w14:paraId="09BFA51C">
            <w:pPr>
              <w:keepLines w:val="0"/>
              <w:pageBreakBefore w:val="0"/>
              <w:widowControl/>
              <w:kinsoku/>
              <w:wordWrap/>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tc>
        <w:tc>
          <w:tcPr>
            <w:tcW w:w="1882" w:type="dxa"/>
            <w:tcBorders>
              <w:left w:val="single" w:color="auto" w:sz="4" w:space="0"/>
              <w:right w:val="single" w:color="auto" w:sz="4" w:space="0"/>
            </w:tcBorders>
            <w:noWrap w:val="0"/>
            <w:vAlign w:val="center"/>
          </w:tcPr>
          <w:p w14:paraId="04D93BD9">
            <w:pPr>
              <w:keepLines w:val="0"/>
              <w:pageBreakBefore w:val="0"/>
              <w:widowControl/>
              <w:kinsoku/>
              <w:wordWrap/>
              <w:topLinePunct w:val="0"/>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套</w:t>
            </w:r>
            <w:r>
              <w:rPr>
                <w:rFonts w:hint="eastAsia" w:ascii="宋体" w:hAnsi="宋体" w:eastAsia="宋体" w:cs="宋体"/>
                <w:color w:val="auto"/>
                <w:sz w:val="24"/>
                <w:szCs w:val="24"/>
                <w:highlight w:val="none"/>
                <w:lang w:eastAsia="zh-CN"/>
              </w:rPr>
              <w:t>）</w:t>
            </w:r>
          </w:p>
        </w:tc>
        <w:tc>
          <w:tcPr>
            <w:tcW w:w="1718" w:type="dxa"/>
            <w:tcBorders>
              <w:left w:val="single" w:color="auto" w:sz="4" w:space="0"/>
              <w:right w:val="single" w:color="auto" w:sz="4" w:space="0"/>
            </w:tcBorders>
            <w:noWrap w:val="0"/>
            <w:vAlign w:val="center"/>
          </w:tcPr>
          <w:p w14:paraId="7CEBB04D">
            <w:pPr>
              <w:keepLines w:val="0"/>
              <w:pageBreakBefore w:val="0"/>
              <w:widowControl/>
              <w:kinsoku/>
              <w:wordWrap/>
              <w:topLinePunct w:val="0"/>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材料</w:t>
            </w:r>
          </w:p>
        </w:tc>
      </w:tr>
      <w:tr w14:paraId="0C23F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54" w:hRule="atLeast"/>
        </w:trPr>
        <w:tc>
          <w:tcPr>
            <w:tcW w:w="1129" w:type="dxa"/>
            <w:noWrap w:val="0"/>
            <w:vAlign w:val="center"/>
          </w:tcPr>
          <w:p w14:paraId="674B6C91">
            <w:pPr>
              <w:keepLines w:val="0"/>
              <w:pageBreakBefore w:val="0"/>
              <w:kinsoku/>
              <w:wordWrap/>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23" w:type="dxa"/>
            <w:noWrap w:val="0"/>
            <w:vAlign w:val="center"/>
          </w:tcPr>
          <w:p w14:paraId="0B37E66B">
            <w:pPr>
              <w:keepLines w:val="0"/>
              <w:pageBreakBefore w:val="0"/>
              <w:widowControl/>
              <w:kinsoku/>
              <w:wordWrap/>
              <w:topLinePunct w:val="0"/>
              <w:bidi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lang w:val="en-US" w:eastAsia="zh-CN"/>
              </w:rPr>
              <w:t>墓套</w:t>
            </w:r>
          </w:p>
        </w:tc>
        <w:tc>
          <w:tcPr>
            <w:tcW w:w="2018" w:type="dxa"/>
            <w:tcBorders>
              <w:left w:val="single" w:color="auto" w:sz="4" w:space="0"/>
              <w:right w:val="single" w:color="auto" w:sz="4" w:space="0"/>
            </w:tcBorders>
            <w:noWrap w:val="0"/>
            <w:vAlign w:val="center"/>
          </w:tcPr>
          <w:p w14:paraId="5F28F0C5">
            <w:pPr>
              <w:keepLines w:val="0"/>
              <w:pageBreakBefore w:val="0"/>
              <w:widowControl/>
              <w:kinsoku/>
              <w:wordWrap/>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双穴</w:t>
            </w:r>
          </w:p>
        </w:tc>
        <w:tc>
          <w:tcPr>
            <w:tcW w:w="1882" w:type="dxa"/>
            <w:tcBorders>
              <w:left w:val="single" w:color="auto" w:sz="4" w:space="0"/>
              <w:right w:val="single" w:color="auto" w:sz="4" w:space="0"/>
            </w:tcBorders>
            <w:noWrap w:val="0"/>
            <w:vAlign w:val="center"/>
          </w:tcPr>
          <w:p w14:paraId="0216847B">
            <w:pPr>
              <w:pStyle w:val="5"/>
              <w:keepLines w:val="0"/>
              <w:pageBreakBefore w:val="0"/>
              <w:kinsoku/>
              <w:wordWrap/>
              <w:topLinePunct w:val="0"/>
              <w:bidi w:val="0"/>
              <w:spacing w:line="360" w:lineRule="auto"/>
              <w:jc w:val="center"/>
              <w:rPr>
                <w:rFonts w:hint="default" w:ascii="宋体" w:hAnsi="宋体" w:eastAsia="宋体" w:cs="宋体"/>
                <w:b w:val="0"/>
                <w:color w:val="auto"/>
                <w:kern w:val="0"/>
                <w:sz w:val="24"/>
                <w:szCs w:val="24"/>
                <w:highlight w:val="none"/>
                <w:lang w:val="en-US" w:eastAsia="zh-CN" w:bidi="ar-SA"/>
              </w:rPr>
            </w:pPr>
            <w:r>
              <w:rPr>
                <w:rFonts w:hint="eastAsia" w:hAnsi="宋体" w:cs="宋体"/>
                <w:b w:val="0"/>
                <w:color w:val="auto"/>
                <w:kern w:val="0"/>
                <w:sz w:val="24"/>
                <w:szCs w:val="24"/>
                <w:highlight w:val="none"/>
                <w:lang w:val="en-US" w:eastAsia="zh-CN" w:bidi="ar-SA"/>
              </w:rPr>
              <w:t>252</w:t>
            </w:r>
          </w:p>
        </w:tc>
        <w:tc>
          <w:tcPr>
            <w:tcW w:w="1718" w:type="dxa"/>
            <w:tcBorders>
              <w:left w:val="single" w:color="auto" w:sz="4" w:space="0"/>
              <w:right w:val="single" w:color="auto" w:sz="4" w:space="0"/>
            </w:tcBorders>
            <w:noWrap w:val="0"/>
            <w:vAlign w:val="center"/>
          </w:tcPr>
          <w:p w14:paraId="1B84800D">
            <w:pPr>
              <w:pStyle w:val="5"/>
              <w:keepLines w:val="0"/>
              <w:pageBreakBefore w:val="0"/>
              <w:kinsoku/>
              <w:wordWrap/>
              <w:topLinePunct w:val="0"/>
              <w:bidi w:val="0"/>
              <w:spacing w:line="360" w:lineRule="auto"/>
              <w:jc w:val="center"/>
              <w:rPr>
                <w:rFonts w:hint="default" w:hAnsi="宋体" w:cs="宋体"/>
                <w:b w:val="0"/>
                <w:color w:val="auto"/>
                <w:kern w:val="0"/>
                <w:sz w:val="24"/>
                <w:szCs w:val="24"/>
                <w:highlight w:val="none"/>
                <w:lang w:val="en-US" w:eastAsia="zh-CN" w:bidi="ar-SA"/>
              </w:rPr>
            </w:pPr>
            <w:r>
              <w:rPr>
                <w:rFonts w:hint="eastAsia" w:hAnsi="宋体" w:cs="宋体"/>
                <w:b w:val="0"/>
                <w:color w:val="auto"/>
                <w:kern w:val="0"/>
                <w:sz w:val="24"/>
                <w:szCs w:val="24"/>
                <w:highlight w:val="none"/>
                <w:lang w:val="en-US" w:eastAsia="zh-CN" w:bidi="ar-SA"/>
              </w:rPr>
              <w:t>福建654</w:t>
            </w:r>
          </w:p>
        </w:tc>
      </w:tr>
      <w:tr w14:paraId="678E5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54" w:hRule="atLeast"/>
        </w:trPr>
        <w:tc>
          <w:tcPr>
            <w:tcW w:w="1129" w:type="dxa"/>
            <w:noWrap w:val="0"/>
            <w:vAlign w:val="center"/>
          </w:tcPr>
          <w:p w14:paraId="58565811">
            <w:pPr>
              <w:keepLines w:val="0"/>
              <w:pageBreakBefore w:val="0"/>
              <w:kinsoku/>
              <w:wordWrap/>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2223" w:type="dxa"/>
            <w:noWrap w:val="0"/>
            <w:vAlign w:val="center"/>
          </w:tcPr>
          <w:p w14:paraId="1C77197F">
            <w:pPr>
              <w:keepLines w:val="0"/>
              <w:pageBreakBefore w:val="0"/>
              <w:widowControl/>
              <w:kinsoku/>
              <w:wordWrap/>
              <w:topLinePunct w:val="0"/>
              <w:bidi w:val="0"/>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墓套</w:t>
            </w:r>
          </w:p>
        </w:tc>
        <w:tc>
          <w:tcPr>
            <w:tcW w:w="2018" w:type="dxa"/>
            <w:tcBorders>
              <w:left w:val="single" w:color="auto" w:sz="4" w:space="0"/>
              <w:right w:val="single" w:color="auto" w:sz="4" w:space="0"/>
            </w:tcBorders>
            <w:noWrap w:val="0"/>
            <w:vAlign w:val="center"/>
          </w:tcPr>
          <w:p w14:paraId="34405074">
            <w:pPr>
              <w:keepLines w:val="0"/>
              <w:pageBreakBefore w:val="0"/>
              <w:widowControl/>
              <w:kinsoku/>
              <w:wordWrap/>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单穴</w:t>
            </w:r>
          </w:p>
        </w:tc>
        <w:tc>
          <w:tcPr>
            <w:tcW w:w="1882" w:type="dxa"/>
            <w:tcBorders>
              <w:left w:val="single" w:color="auto" w:sz="4" w:space="0"/>
              <w:right w:val="single" w:color="auto" w:sz="4" w:space="0"/>
            </w:tcBorders>
            <w:noWrap w:val="0"/>
            <w:vAlign w:val="center"/>
          </w:tcPr>
          <w:p w14:paraId="7191E5A7">
            <w:pPr>
              <w:pStyle w:val="5"/>
              <w:keepLines w:val="0"/>
              <w:pageBreakBefore w:val="0"/>
              <w:kinsoku/>
              <w:wordWrap/>
              <w:topLinePunct w:val="0"/>
              <w:bidi w:val="0"/>
              <w:spacing w:line="360" w:lineRule="auto"/>
              <w:jc w:val="center"/>
              <w:rPr>
                <w:rFonts w:hint="default" w:hAnsi="宋体" w:cs="宋体"/>
                <w:b w:val="0"/>
                <w:color w:val="auto"/>
                <w:kern w:val="0"/>
                <w:sz w:val="24"/>
                <w:szCs w:val="24"/>
                <w:highlight w:val="none"/>
                <w:lang w:val="en-US" w:eastAsia="zh-CN" w:bidi="ar-SA"/>
              </w:rPr>
            </w:pPr>
            <w:r>
              <w:rPr>
                <w:rFonts w:hint="eastAsia" w:hAnsi="宋体" w:cs="宋体"/>
                <w:b w:val="0"/>
                <w:color w:val="auto"/>
                <w:kern w:val="0"/>
                <w:sz w:val="24"/>
                <w:szCs w:val="24"/>
                <w:highlight w:val="none"/>
                <w:lang w:val="en-US" w:eastAsia="zh-CN" w:bidi="ar-SA"/>
              </w:rPr>
              <w:t>180</w:t>
            </w:r>
          </w:p>
        </w:tc>
        <w:tc>
          <w:tcPr>
            <w:tcW w:w="1718" w:type="dxa"/>
            <w:tcBorders>
              <w:left w:val="single" w:color="auto" w:sz="4" w:space="0"/>
              <w:right w:val="single" w:color="auto" w:sz="4" w:space="0"/>
            </w:tcBorders>
            <w:noWrap w:val="0"/>
            <w:vAlign w:val="center"/>
          </w:tcPr>
          <w:p w14:paraId="1B31FD55">
            <w:pPr>
              <w:pStyle w:val="5"/>
              <w:keepLines w:val="0"/>
              <w:pageBreakBefore w:val="0"/>
              <w:kinsoku/>
              <w:wordWrap/>
              <w:topLinePunct w:val="0"/>
              <w:bidi w:val="0"/>
              <w:spacing w:line="360" w:lineRule="auto"/>
              <w:jc w:val="center"/>
              <w:rPr>
                <w:rFonts w:hint="eastAsia" w:hAnsi="宋体" w:cs="宋体"/>
                <w:b w:val="0"/>
                <w:color w:val="auto"/>
                <w:kern w:val="0"/>
                <w:sz w:val="24"/>
                <w:szCs w:val="24"/>
                <w:highlight w:val="none"/>
                <w:lang w:val="en-US" w:eastAsia="zh-CN" w:bidi="ar-SA"/>
              </w:rPr>
            </w:pPr>
            <w:r>
              <w:rPr>
                <w:rFonts w:hint="eastAsia" w:hAnsi="宋体" w:cs="宋体"/>
                <w:b w:val="0"/>
                <w:color w:val="auto"/>
                <w:kern w:val="0"/>
                <w:sz w:val="24"/>
                <w:szCs w:val="24"/>
                <w:highlight w:val="none"/>
                <w:lang w:val="en-US" w:eastAsia="zh-CN" w:bidi="ar-SA"/>
              </w:rPr>
              <w:t>福建654</w:t>
            </w:r>
          </w:p>
        </w:tc>
      </w:tr>
    </w:tbl>
    <w:p w14:paraId="2B488E55">
      <w:pPr>
        <w:keepLines w:val="0"/>
        <w:pageBreakBefore w:val="0"/>
        <w:kinsoku/>
        <w:wordWrap/>
        <w:topLinePunct w:val="0"/>
        <w:autoSpaceDE w:val="0"/>
        <w:autoSpaceDN w:val="0"/>
        <w:bidi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中标人要确认本条所列范围，并提供细化清单。</w:t>
      </w:r>
    </w:p>
    <w:p w14:paraId="44C09840">
      <w:pPr>
        <w:keepLines w:val="0"/>
        <w:pageBreakBefore w:val="0"/>
        <w:kinsoku/>
        <w:wordWrap/>
        <w:topLinePunct w:val="0"/>
        <w:autoSpaceDE w:val="0"/>
        <w:autoSpaceDN w:val="0"/>
        <w:bidi w:val="0"/>
        <w:adjustRightIn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2.3 项目实施过程中，采购人有权对所投的货物数量进行调整，按实结算，但最终价格不得超过中标价格。</w:t>
      </w:r>
    </w:p>
    <w:p w14:paraId="5A967640">
      <w:pPr>
        <w:keepLines w:val="0"/>
        <w:pageBreakBefore w:val="0"/>
        <w:kinsoku/>
        <w:wordWrap/>
        <w:topLinePunct w:val="0"/>
        <w:autoSpaceDE w:val="0"/>
        <w:autoSpaceDN w:val="0"/>
        <w:bidi w:val="0"/>
        <w:adjustRightInd w:val="0"/>
        <w:spacing w:line="360" w:lineRule="auto"/>
        <w:ind w:firstLine="48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　特别声明</w:t>
      </w:r>
    </w:p>
    <w:p w14:paraId="6A0023A9">
      <w:pPr>
        <w:keepLines w:val="0"/>
        <w:pageBreakBefore w:val="0"/>
        <w:kinsoku/>
        <w:wordWrap/>
        <w:topLinePunct w:val="0"/>
        <w:autoSpaceDE w:val="0"/>
        <w:autoSpaceDN w:val="0"/>
        <w:bidi w:val="0"/>
        <w:adjustRightIn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.1　在本章中，为了方便起见，可能会采取按某种品牌货物的规格和型号予以表述，但并不因此限制或者拒绝投标人以其他能满足本项目技术需求且性能与所明确品牌相当的货物参加投标。</w:t>
      </w:r>
    </w:p>
    <w:p w14:paraId="44761A1C">
      <w:pPr>
        <w:pStyle w:val="5"/>
        <w:spacing w:line="360" w:lineRule="auto"/>
        <w:jc w:val="center"/>
        <w:rPr>
          <w:rFonts w:hint="eastAsia" w:ascii="宋体" w:hAnsi="Times New Roman" w:eastAsia="宋体" w:cs="Times New Roman"/>
        </w:rPr>
      </w:pPr>
      <w:bookmarkStart w:id="441" w:name="_Toc525216546"/>
      <w:bookmarkStart w:id="442" w:name="_Toc532200029"/>
      <w:r>
        <w:rPr>
          <w:rFonts w:hint="eastAsia" w:ascii="宋体" w:hAnsi="Times New Roman" w:eastAsia="宋体" w:cs="Times New Roman"/>
        </w:rPr>
        <w:t>第</w:t>
      </w:r>
      <w:r>
        <w:rPr>
          <w:rFonts w:hint="eastAsia" w:ascii="宋体" w:hAnsi="Times New Roman" w:eastAsia="宋体" w:cs="Times New Roman"/>
          <w:lang w:val="en-US" w:eastAsia="zh-CN"/>
        </w:rPr>
        <w:t>三</w:t>
      </w:r>
      <w:r>
        <w:rPr>
          <w:rFonts w:hint="eastAsia" w:ascii="宋体" w:hAnsi="Times New Roman" w:eastAsia="宋体" w:cs="Times New Roman"/>
        </w:rPr>
        <w:t>章　交货期限及要求</w:t>
      </w:r>
      <w:bookmarkEnd w:id="441"/>
      <w:bookmarkEnd w:id="442"/>
    </w:p>
    <w:p w14:paraId="08404C29">
      <w:pPr>
        <w:keepLines w:val="0"/>
        <w:pageBreakBefore w:val="0"/>
        <w:kinsoku/>
        <w:wordWrap/>
        <w:topLinePunct w:val="0"/>
        <w:autoSpaceDE w:val="0"/>
        <w:autoSpaceDN w:val="0"/>
        <w:bidi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交货期限及要求</w:t>
      </w:r>
      <w:r>
        <w:rPr>
          <w:rFonts w:hint="eastAsia" w:ascii="宋体" w:hAnsi="宋体" w:eastAsia="宋体" w:cs="宋体"/>
          <w:color w:val="auto"/>
          <w:kern w:val="0"/>
          <w:sz w:val="24"/>
          <w:szCs w:val="24"/>
          <w:highlight w:val="none"/>
        </w:rPr>
        <w:t>：</w:t>
      </w:r>
    </w:p>
    <w:p w14:paraId="6AB0B035">
      <w:pPr>
        <w:keepLines w:val="0"/>
        <w:pageBreakBefore w:val="0"/>
        <w:kinsoku/>
        <w:wordWrap/>
        <w:topLinePunct w:val="0"/>
        <w:autoSpaceDE w:val="0"/>
        <w:autoSpaceDN w:val="0"/>
        <w:bidi w:val="0"/>
        <w:adjustRightInd w:val="0"/>
        <w:spacing w:line="360" w:lineRule="auto"/>
        <w:ind w:firstLine="480" w:firstLineChars="200"/>
        <w:jc w:val="left"/>
        <w:rPr>
          <w:rFonts w:hint="eastAsia" w:ascii="宋体" w:hAnsi="宋体" w:eastAsia="宋体" w:cs="宋体"/>
          <w:b/>
          <w:color w:val="auto"/>
          <w:kern w:val="0"/>
          <w:sz w:val="24"/>
          <w:szCs w:val="24"/>
          <w:highlight w:val="none"/>
          <w:u w:val="singl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　交货期：</w:t>
      </w:r>
      <w:r>
        <w:rPr>
          <w:rFonts w:hint="eastAsia" w:ascii="宋体" w:hAnsi="宋体" w:eastAsia="宋体" w:cs="宋体"/>
          <w:b/>
          <w:color w:val="auto"/>
          <w:kern w:val="0"/>
          <w:sz w:val="24"/>
          <w:szCs w:val="24"/>
          <w:highlight w:val="none"/>
          <w:u w:val="single"/>
          <w:lang w:val="en-US" w:eastAsia="zh-CN"/>
        </w:rPr>
        <w:t>自合同签订之日起</w:t>
      </w:r>
      <w:r>
        <w:rPr>
          <w:rFonts w:hint="eastAsia" w:ascii="宋体" w:hAnsi="宋体" w:cs="宋体"/>
          <w:b/>
          <w:color w:val="auto"/>
          <w:kern w:val="0"/>
          <w:sz w:val="24"/>
          <w:szCs w:val="24"/>
          <w:highlight w:val="none"/>
          <w:u w:val="single"/>
          <w:lang w:val="en-US" w:eastAsia="zh-CN"/>
        </w:rPr>
        <w:t>30</w:t>
      </w:r>
      <w:r>
        <w:rPr>
          <w:rFonts w:hint="eastAsia" w:ascii="宋体" w:hAnsi="宋体" w:eastAsia="宋体" w:cs="宋体"/>
          <w:b/>
          <w:color w:val="auto"/>
          <w:kern w:val="0"/>
          <w:sz w:val="24"/>
          <w:szCs w:val="24"/>
          <w:highlight w:val="none"/>
          <w:u w:val="single"/>
          <w:lang w:val="en-US" w:eastAsia="zh-CN"/>
        </w:rPr>
        <w:t>天内按照甲方所需要的墓套保质保量的安装到位，并通过验收</w:t>
      </w:r>
      <w:r>
        <w:rPr>
          <w:rFonts w:hint="eastAsia" w:ascii="宋体" w:hAnsi="宋体" w:eastAsia="宋体" w:cs="宋体"/>
          <w:b/>
          <w:color w:val="auto"/>
          <w:kern w:val="0"/>
          <w:sz w:val="24"/>
          <w:szCs w:val="24"/>
          <w:highlight w:val="none"/>
          <w:u w:val="single"/>
        </w:rPr>
        <w:t>。</w:t>
      </w:r>
    </w:p>
    <w:p w14:paraId="7A41F9F2">
      <w:pPr>
        <w:keepLines w:val="0"/>
        <w:pageBreakBefore w:val="0"/>
        <w:kinsoku/>
        <w:wordWrap/>
        <w:topLinePunct w:val="0"/>
        <w:autoSpaceDE w:val="0"/>
        <w:autoSpaceDN w:val="0"/>
        <w:bidi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2  </w:t>
      </w:r>
      <w:r>
        <w:rPr>
          <w:rFonts w:hint="eastAsia" w:ascii="宋体" w:hAnsi="宋体" w:eastAsia="宋体" w:cs="宋体"/>
          <w:color w:val="auto"/>
          <w:kern w:val="0"/>
          <w:sz w:val="24"/>
          <w:szCs w:val="24"/>
          <w:highlight w:val="none"/>
        </w:rPr>
        <w:t>交货方式：乙方按照中标的样品（墓型、规格、石材质量要求及价格）向甲方供货，乙方的供货量由甲方确定。</w:t>
      </w:r>
    </w:p>
    <w:p w14:paraId="4BE70A51">
      <w:pPr>
        <w:keepLines w:val="0"/>
        <w:pageBreakBefore w:val="0"/>
        <w:kinsoku/>
        <w:wordWrap/>
        <w:topLinePunct w:val="0"/>
        <w:autoSpaceDE w:val="0"/>
        <w:autoSpaceDN w:val="0"/>
        <w:bidi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1.3  安装要求：</w:t>
      </w:r>
      <w:r>
        <w:rPr>
          <w:rFonts w:hint="eastAsia" w:ascii="宋体" w:hAnsi="宋体" w:cs="宋体"/>
          <w:color w:val="auto"/>
          <w:sz w:val="24"/>
          <w:szCs w:val="24"/>
          <w:highlight w:val="none"/>
          <w:lang w:val="en-US" w:eastAsia="zh-CN"/>
        </w:rPr>
        <w:t>墓套</w:t>
      </w:r>
      <w:r>
        <w:rPr>
          <w:rFonts w:hint="eastAsia" w:ascii="宋体" w:hAnsi="宋体" w:eastAsia="宋体" w:cs="宋体"/>
          <w:color w:val="auto"/>
          <w:kern w:val="0"/>
          <w:sz w:val="24"/>
          <w:szCs w:val="24"/>
          <w:highlight w:val="none"/>
          <w:lang w:val="en-US" w:eastAsia="zh-CN"/>
        </w:rPr>
        <w:t>在安装过程中保护箱需下沉，对原有水泥地进行凿除，费用包含在本次报价中，并且对凿除部分做好底、侧面粉刷工作。并做好垃圾清运工作。</w:t>
      </w:r>
    </w:p>
    <w:p w14:paraId="6D81139C">
      <w:pPr>
        <w:pStyle w:val="5"/>
        <w:keepLines w:val="0"/>
        <w:pageBreakBefore w:val="0"/>
        <w:kinsoku/>
        <w:wordWrap/>
        <w:topLinePunct w:val="0"/>
        <w:bidi w:val="0"/>
        <w:spacing w:line="360" w:lineRule="auto"/>
        <w:jc w:val="center"/>
        <w:rPr>
          <w:rFonts w:hint="eastAsia" w:ascii="宋体" w:hAnsi="宋体" w:eastAsia="宋体" w:cs="宋体"/>
          <w:color w:val="auto"/>
          <w:kern w:val="0"/>
          <w:sz w:val="24"/>
          <w:szCs w:val="24"/>
          <w:highlight w:val="none"/>
        </w:rPr>
      </w:pPr>
      <w:bookmarkStart w:id="443" w:name="_Toc532200031"/>
      <w:bookmarkStart w:id="444" w:name="_Toc525216548"/>
      <w:r>
        <w:rPr>
          <w:rFonts w:hint="eastAsia" w:ascii="宋体" w:hAnsi="宋体" w:eastAsia="宋体" w:cs="宋体"/>
          <w:color w:val="auto"/>
          <w:kern w:val="0"/>
          <w:sz w:val="24"/>
          <w:szCs w:val="24"/>
          <w:highlight w:val="none"/>
        </w:rPr>
        <w:t>第六章　付款方式及要求</w:t>
      </w:r>
      <w:bookmarkEnd w:id="443"/>
      <w:bookmarkEnd w:id="444"/>
    </w:p>
    <w:p w14:paraId="4C1A6022">
      <w:pPr>
        <w:pStyle w:val="6"/>
        <w:keepLines w:val="0"/>
        <w:pageBreakBefore w:val="0"/>
        <w:kinsoku/>
        <w:topLinePunct w:val="0"/>
        <w:bidi w:val="0"/>
        <w:spacing w:line="360" w:lineRule="auto"/>
        <w:ind w:firstLine="480" w:firstLineChars="200"/>
        <w:rPr>
          <w:rFonts w:hint="eastAsia" w:ascii="宋体" w:hAnsi="宋体" w:cs="宋体"/>
          <w:color w:val="0000FF"/>
          <w:sz w:val="24"/>
          <w:szCs w:val="24"/>
          <w:highlight w:val="none"/>
          <w:lang w:val="en-US" w:eastAsia="zh-CN"/>
        </w:rPr>
      </w:pPr>
      <w:r>
        <w:rPr>
          <w:rFonts w:hint="eastAsia" w:ascii="宋体" w:hAnsi="宋体" w:cs="宋体"/>
          <w:color w:val="auto"/>
          <w:sz w:val="24"/>
          <w:szCs w:val="24"/>
          <w:highlight w:val="none"/>
          <w:lang w:val="en-US" w:eastAsia="zh-CN"/>
        </w:rPr>
        <w:t>1、安装完成后经村验收合格后支付合同款的40%，后每年支付15%，分四年付清。</w:t>
      </w:r>
    </w:p>
    <w:p w14:paraId="6800AD65">
      <w:pPr>
        <w:pStyle w:val="6"/>
        <w:keepLines w:val="0"/>
        <w:pageBreakBefore w:val="0"/>
        <w:kinsoku/>
        <w:topLinePunct w:val="0"/>
        <w:bidi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2、供应商在收款之前，应向采购人提供发票，采购人凭发票付款。如供应商未按约定提供发票的，采购人有权拒绝付款，直至收到供应商提交的相应发票为止，在此情况下，采购人不承担逾期付款违约责任。</w:t>
      </w:r>
    </w:p>
    <w:p w14:paraId="116A670F">
      <w:pPr>
        <w:pStyle w:val="6"/>
        <w:keepLines w:val="0"/>
        <w:pageBreakBefore w:val="0"/>
        <w:kinsoku/>
        <w:topLinePunct w:val="0"/>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中标后，中标人所填写的单价在合同实施期间不因市场变化因素而变动。投标人在计算报价时，应考虑一定风险系数。</w:t>
      </w:r>
    </w:p>
    <w:p w14:paraId="1B4EBFA1">
      <w:pPr>
        <w:keepLines w:val="0"/>
        <w:pageBreakBefore w:val="0"/>
        <w:kinsoku/>
        <w:topLinePunct w:val="0"/>
        <w:bidi w:val="0"/>
        <w:spacing w:line="360" w:lineRule="auto"/>
        <w:rPr>
          <w:rFonts w:ascii="宋体" w:hAnsi="宋体" w:cs="宋体"/>
          <w:b/>
          <w:color w:val="auto"/>
          <w:sz w:val="36"/>
          <w:szCs w:val="36"/>
          <w:highlight w:val="none"/>
        </w:rPr>
      </w:pPr>
      <w:r>
        <w:rPr>
          <w:rFonts w:hint="eastAsia" w:ascii="宋体" w:hAnsi="宋体" w:eastAsia="宋体" w:cs="宋体"/>
          <w:color w:val="auto"/>
          <w:kern w:val="2"/>
          <w:sz w:val="24"/>
          <w:szCs w:val="24"/>
          <w:highlight w:val="none"/>
          <w:lang w:val="en-US" w:eastAsia="zh-CN" w:bidi="ar-SA"/>
        </w:rPr>
        <w:br w:type="page"/>
      </w:r>
    </w:p>
    <w:p w14:paraId="2AC27046">
      <w:pPr>
        <w:keepLines w:val="0"/>
        <w:pageBreakBefore w:val="0"/>
        <w:kinsoku/>
        <w:topLinePunct w:val="0"/>
        <w:bidi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采购合同</w:t>
      </w:r>
    </w:p>
    <w:p w14:paraId="5278CBDC">
      <w:pPr>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2D71FB0A">
      <w:pPr>
        <w:pStyle w:val="6"/>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w:t>
      </w:r>
    </w:p>
    <w:p w14:paraId="3D3CB53C">
      <w:pPr>
        <w:pStyle w:val="6"/>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（甲方)</w:t>
      </w:r>
    </w:p>
    <w:p w14:paraId="27C52067">
      <w:pPr>
        <w:pStyle w:val="6"/>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受托方：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（乙方)</w:t>
      </w:r>
    </w:p>
    <w:p w14:paraId="688B1F4E">
      <w:pPr>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甲方经公开、公平、公正招标，乙方中标，根据《中华人民共和国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》、采购编号为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采购文件，签订本合同。</w:t>
      </w:r>
    </w:p>
    <w:p w14:paraId="0A39D567">
      <w:pPr>
        <w:pStyle w:val="15"/>
        <w:keepLines w:val="0"/>
        <w:pageBreakBefore w:val="0"/>
        <w:kinsoku/>
        <w:topLinePunct w:val="0"/>
        <w:bidi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一、货物内容</w:t>
      </w:r>
    </w:p>
    <w:p w14:paraId="1750A771">
      <w:pPr>
        <w:pStyle w:val="15"/>
        <w:keepLines w:val="0"/>
        <w:pageBreakBefore w:val="0"/>
        <w:kinsoku/>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1.货物名称：</w:t>
      </w:r>
    </w:p>
    <w:p w14:paraId="3EC97DEC">
      <w:pPr>
        <w:pStyle w:val="15"/>
        <w:keepLines w:val="0"/>
        <w:pageBreakBefore w:val="0"/>
        <w:kinsoku/>
        <w:topLinePunct w:val="0"/>
        <w:bidi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2.技术参数：</w:t>
      </w:r>
      <w:r>
        <w:rPr>
          <w:rFonts w:hint="eastAsia" w:ascii="宋体" w:hAnsi="宋体" w:eastAsia="宋体" w:cs="宋体"/>
          <w:color w:val="auto"/>
          <w:sz w:val="24"/>
          <w:szCs w:val="24"/>
          <w:highlight w:val="none"/>
          <w:lang w:eastAsia="zh-CN"/>
        </w:rPr>
        <w:t>按招标文件要求</w:t>
      </w:r>
    </w:p>
    <w:p w14:paraId="27610B0C">
      <w:pPr>
        <w:pStyle w:val="15"/>
        <w:keepLines w:val="0"/>
        <w:pageBreakBefore w:val="0"/>
        <w:kinsoku/>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3.数量：</w:t>
      </w:r>
    </w:p>
    <w:tbl>
      <w:tblPr>
        <w:tblStyle w:val="30"/>
        <w:tblW w:w="8970" w:type="dxa"/>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
      <w:tblGrid>
        <w:gridCol w:w="1129"/>
        <w:gridCol w:w="2223"/>
        <w:gridCol w:w="2018"/>
        <w:gridCol w:w="1882"/>
        <w:gridCol w:w="1718"/>
      </w:tblGrid>
      <w:tr w14:paraId="46590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54" w:hRule="atLeast"/>
        </w:trPr>
        <w:tc>
          <w:tcPr>
            <w:tcW w:w="1129" w:type="dxa"/>
            <w:noWrap w:val="0"/>
            <w:vAlign w:val="center"/>
          </w:tcPr>
          <w:p w14:paraId="2FA5A1DE">
            <w:pPr>
              <w:keepLines w:val="0"/>
              <w:pageBreakBefore w:val="0"/>
              <w:widowControl/>
              <w:kinsoku/>
              <w:wordWrap/>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223" w:type="dxa"/>
            <w:noWrap w:val="0"/>
            <w:vAlign w:val="top"/>
          </w:tcPr>
          <w:p w14:paraId="48018255">
            <w:pPr>
              <w:pStyle w:val="74"/>
              <w:keepLines w:val="0"/>
              <w:pageBreakBefore w:val="0"/>
              <w:kinsoku/>
              <w:wordWrap/>
              <w:topLinePunct w:val="0"/>
              <w:bidi w:val="0"/>
              <w:spacing w:after="0" w:afterLines="0"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采购内容</w:t>
            </w:r>
          </w:p>
        </w:tc>
        <w:tc>
          <w:tcPr>
            <w:tcW w:w="2018" w:type="dxa"/>
            <w:tcBorders>
              <w:left w:val="single" w:color="auto" w:sz="4" w:space="0"/>
              <w:right w:val="single" w:color="auto" w:sz="4" w:space="0"/>
            </w:tcBorders>
            <w:noWrap w:val="0"/>
            <w:vAlign w:val="center"/>
          </w:tcPr>
          <w:p w14:paraId="4EBCE60E">
            <w:pPr>
              <w:keepLines w:val="0"/>
              <w:pageBreakBefore w:val="0"/>
              <w:widowControl/>
              <w:kinsoku/>
              <w:wordWrap/>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tc>
        <w:tc>
          <w:tcPr>
            <w:tcW w:w="1882" w:type="dxa"/>
            <w:tcBorders>
              <w:left w:val="single" w:color="auto" w:sz="4" w:space="0"/>
              <w:right w:val="single" w:color="auto" w:sz="4" w:space="0"/>
            </w:tcBorders>
            <w:noWrap w:val="0"/>
            <w:vAlign w:val="center"/>
          </w:tcPr>
          <w:p w14:paraId="4DF1B011">
            <w:pPr>
              <w:keepLines w:val="0"/>
              <w:pageBreakBefore w:val="0"/>
              <w:widowControl/>
              <w:kinsoku/>
              <w:wordWrap/>
              <w:topLinePunct w:val="0"/>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套</w:t>
            </w:r>
            <w:r>
              <w:rPr>
                <w:rFonts w:hint="eastAsia" w:ascii="宋体" w:hAnsi="宋体" w:eastAsia="宋体" w:cs="宋体"/>
                <w:color w:val="auto"/>
                <w:sz w:val="24"/>
                <w:szCs w:val="24"/>
                <w:highlight w:val="none"/>
                <w:lang w:eastAsia="zh-CN"/>
              </w:rPr>
              <w:t>）</w:t>
            </w:r>
          </w:p>
        </w:tc>
        <w:tc>
          <w:tcPr>
            <w:tcW w:w="1718" w:type="dxa"/>
            <w:tcBorders>
              <w:left w:val="single" w:color="auto" w:sz="4" w:space="0"/>
              <w:right w:val="single" w:color="auto" w:sz="4" w:space="0"/>
            </w:tcBorders>
            <w:noWrap w:val="0"/>
            <w:vAlign w:val="center"/>
          </w:tcPr>
          <w:p w14:paraId="0D240570">
            <w:pPr>
              <w:keepLines w:val="0"/>
              <w:pageBreakBefore w:val="0"/>
              <w:widowControl/>
              <w:kinsoku/>
              <w:wordWrap/>
              <w:topLinePunct w:val="0"/>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材料</w:t>
            </w:r>
          </w:p>
        </w:tc>
      </w:tr>
      <w:tr w14:paraId="6456D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54" w:hRule="atLeast"/>
        </w:trPr>
        <w:tc>
          <w:tcPr>
            <w:tcW w:w="1129" w:type="dxa"/>
            <w:noWrap w:val="0"/>
            <w:vAlign w:val="center"/>
          </w:tcPr>
          <w:p w14:paraId="0E025574">
            <w:pPr>
              <w:keepLines w:val="0"/>
              <w:pageBreakBefore w:val="0"/>
              <w:kinsoku/>
              <w:wordWrap/>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23" w:type="dxa"/>
            <w:noWrap w:val="0"/>
            <w:vAlign w:val="center"/>
          </w:tcPr>
          <w:p w14:paraId="57D078F1">
            <w:pPr>
              <w:keepLines w:val="0"/>
              <w:pageBreakBefore w:val="0"/>
              <w:widowControl/>
              <w:kinsoku/>
              <w:wordWrap/>
              <w:topLinePunct w:val="0"/>
              <w:bidi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lang w:val="en-US" w:eastAsia="zh-CN"/>
              </w:rPr>
              <w:t>墓套</w:t>
            </w:r>
          </w:p>
        </w:tc>
        <w:tc>
          <w:tcPr>
            <w:tcW w:w="2018" w:type="dxa"/>
            <w:tcBorders>
              <w:left w:val="single" w:color="auto" w:sz="4" w:space="0"/>
              <w:right w:val="single" w:color="auto" w:sz="4" w:space="0"/>
            </w:tcBorders>
            <w:noWrap w:val="0"/>
            <w:vAlign w:val="center"/>
          </w:tcPr>
          <w:p w14:paraId="716842CB">
            <w:pPr>
              <w:keepLines w:val="0"/>
              <w:pageBreakBefore w:val="0"/>
              <w:widowControl/>
              <w:kinsoku/>
              <w:wordWrap/>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双穴</w:t>
            </w:r>
          </w:p>
        </w:tc>
        <w:tc>
          <w:tcPr>
            <w:tcW w:w="1882" w:type="dxa"/>
            <w:tcBorders>
              <w:left w:val="single" w:color="auto" w:sz="4" w:space="0"/>
              <w:right w:val="single" w:color="auto" w:sz="4" w:space="0"/>
            </w:tcBorders>
            <w:noWrap w:val="0"/>
            <w:vAlign w:val="center"/>
          </w:tcPr>
          <w:p w14:paraId="08782D21">
            <w:pPr>
              <w:pStyle w:val="5"/>
              <w:keepLines w:val="0"/>
              <w:pageBreakBefore w:val="0"/>
              <w:kinsoku/>
              <w:wordWrap/>
              <w:topLinePunct w:val="0"/>
              <w:bidi w:val="0"/>
              <w:spacing w:line="360" w:lineRule="auto"/>
              <w:jc w:val="center"/>
              <w:rPr>
                <w:rFonts w:hint="default" w:ascii="宋体" w:hAnsi="宋体" w:eastAsia="宋体" w:cs="宋体"/>
                <w:b w:val="0"/>
                <w:color w:val="auto"/>
                <w:kern w:val="0"/>
                <w:sz w:val="24"/>
                <w:szCs w:val="24"/>
                <w:highlight w:val="none"/>
                <w:lang w:val="en-US" w:eastAsia="zh-CN" w:bidi="ar-SA"/>
              </w:rPr>
            </w:pPr>
            <w:r>
              <w:rPr>
                <w:rFonts w:hint="eastAsia" w:hAnsi="宋体" w:cs="宋体"/>
                <w:b w:val="0"/>
                <w:color w:val="auto"/>
                <w:kern w:val="0"/>
                <w:sz w:val="24"/>
                <w:szCs w:val="24"/>
                <w:highlight w:val="none"/>
                <w:lang w:val="en-US" w:eastAsia="zh-CN" w:bidi="ar-SA"/>
              </w:rPr>
              <w:t>252</w:t>
            </w:r>
          </w:p>
        </w:tc>
        <w:tc>
          <w:tcPr>
            <w:tcW w:w="1718" w:type="dxa"/>
            <w:tcBorders>
              <w:left w:val="single" w:color="auto" w:sz="4" w:space="0"/>
              <w:right w:val="single" w:color="auto" w:sz="4" w:space="0"/>
            </w:tcBorders>
            <w:noWrap w:val="0"/>
            <w:vAlign w:val="center"/>
          </w:tcPr>
          <w:p w14:paraId="06A2A5BF">
            <w:pPr>
              <w:pStyle w:val="5"/>
              <w:keepLines w:val="0"/>
              <w:pageBreakBefore w:val="0"/>
              <w:kinsoku/>
              <w:wordWrap/>
              <w:topLinePunct w:val="0"/>
              <w:bidi w:val="0"/>
              <w:spacing w:line="360" w:lineRule="auto"/>
              <w:jc w:val="center"/>
              <w:rPr>
                <w:rFonts w:hint="default" w:hAnsi="宋体" w:cs="宋体"/>
                <w:b w:val="0"/>
                <w:color w:val="auto"/>
                <w:kern w:val="0"/>
                <w:sz w:val="24"/>
                <w:szCs w:val="24"/>
                <w:highlight w:val="none"/>
                <w:lang w:val="en-US" w:eastAsia="zh-CN" w:bidi="ar-SA"/>
              </w:rPr>
            </w:pPr>
            <w:r>
              <w:rPr>
                <w:rFonts w:hint="eastAsia" w:hAnsi="宋体" w:cs="宋体"/>
                <w:b w:val="0"/>
                <w:color w:val="auto"/>
                <w:kern w:val="0"/>
                <w:sz w:val="24"/>
                <w:szCs w:val="24"/>
                <w:highlight w:val="none"/>
                <w:lang w:val="en-US" w:eastAsia="zh-CN" w:bidi="ar-SA"/>
              </w:rPr>
              <w:t>福建654</w:t>
            </w:r>
          </w:p>
        </w:tc>
      </w:tr>
      <w:tr w14:paraId="28A7B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54" w:hRule="atLeast"/>
        </w:trPr>
        <w:tc>
          <w:tcPr>
            <w:tcW w:w="1129" w:type="dxa"/>
            <w:noWrap w:val="0"/>
            <w:vAlign w:val="center"/>
          </w:tcPr>
          <w:p w14:paraId="46F94048">
            <w:pPr>
              <w:keepLines w:val="0"/>
              <w:pageBreakBefore w:val="0"/>
              <w:kinsoku/>
              <w:wordWrap/>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2223" w:type="dxa"/>
            <w:noWrap w:val="0"/>
            <w:vAlign w:val="center"/>
          </w:tcPr>
          <w:p w14:paraId="66134F0A">
            <w:pPr>
              <w:keepLines w:val="0"/>
              <w:pageBreakBefore w:val="0"/>
              <w:widowControl/>
              <w:kinsoku/>
              <w:wordWrap/>
              <w:topLinePunct w:val="0"/>
              <w:bidi w:val="0"/>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墓套</w:t>
            </w:r>
          </w:p>
        </w:tc>
        <w:tc>
          <w:tcPr>
            <w:tcW w:w="2018" w:type="dxa"/>
            <w:tcBorders>
              <w:left w:val="single" w:color="auto" w:sz="4" w:space="0"/>
              <w:right w:val="single" w:color="auto" w:sz="4" w:space="0"/>
            </w:tcBorders>
            <w:noWrap w:val="0"/>
            <w:vAlign w:val="center"/>
          </w:tcPr>
          <w:p w14:paraId="2AA29159">
            <w:pPr>
              <w:keepLines w:val="0"/>
              <w:pageBreakBefore w:val="0"/>
              <w:widowControl/>
              <w:kinsoku/>
              <w:wordWrap/>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单穴</w:t>
            </w:r>
          </w:p>
        </w:tc>
        <w:tc>
          <w:tcPr>
            <w:tcW w:w="1882" w:type="dxa"/>
            <w:tcBorders>
              <w:left w:val="single" w:color="auto" w:sz="4" w:space="0"/>
              <w:right w:val="single" w:color="auto" w:sz="4" w:space="0"/>
            </w:tcBorders>
            <w:noWrap w:val="0"/>
            <w:vAlign w:val="center"/>
          </w:tcPr>
          <w:p w14:paraId="66394F59">
            <w:pPr>
              <w:pStyle w:val="5"/>
              <w:keepLines w:val="0"/>
              <w:pageBreakBefore w:val="0"/>
              <w:kinsoku/>
              <w:wordWrap/>
              <w:topLinePunct w:val="0"/>
              <w:bidi w:val="0"/>
              <w:spacing w:line="360" w:lineRule="auto"/>
              <w:jc w:val="center"/>
              <w:rPr>
                <w:rFonts w:hint="default" w:hAnsi="宋体" w:cs="宋体"/>
                <w:b w:val="0"/>
                <w:color w:val="auto"/>
                <w:kern w:val="0"/>
                <w:sz w:val="24"/>
                <w:szCs w:val="24"/>
                <w:highlight w:val="none"/>
                <w:lang w:val="en-US" w:eastAsia="zh-CN" w:bidi="ar-SA"/>
              </w:rPr>
            </w:pPr>
            <w:r>
              <w:rPr>
                <w:rFonts w:hint="eastAsia" w:hAnsi="宋体" w:cs="宋体"/>
                <w:b w:val="0"/>
                <w:color w:val="auto"/>
                <w:kern w:val="0"/>
                <w:sz w:val="24"/>
                <w:szCs w:val="24"/>
                <w:highlight w:val="none"/>
                <w:lang w:val="en-US" w:eastAsia="zh-CN" w:bidi="ar-SA"/>
              </w:rPr>
              <w:t>180</w:t>
            </w:r>
          </w:p>
        </w:tc>
        <w:tc>
          <w:tcPr>
            <w:tcW w:w="1718" w:type="dxa"/>
            <w:tcBorders>
              <w:left w:val="single" w:color="auto" w:sz="4" w:space="0"/>
              <w:right w:val="single" w:color="auto" w:sz="4" w:space="0"/>
            </w:tcBorders>
            <w:noWrap w:val="0"/>
            <w:vAlign w:val="center"/>
          </w:tcPr>
          <w:p w14:paraId="684FA89D">
            <w:pPr>
              <w:pStyle w:val="5"/>
              <w:keepLines w:val="0"/>
              <w:pageBreakBefore w:val="0"/>
              <w:kinsoku/>
              <w:wordWrap/>
              <w:topLinePunct w:val="0"/>
              <w:bidi w:val="0"/>
              <w:spacing w:line="360" w:lineRule="auto"/>
              <w:jc w:val="center"/>
              <w:rPr>
                <w:rFonts w:hint="eastAsia" w:hAnsi="宋体" w:cs="宋体"/>
                <w:b w:val="0"/>
                <w:color w:val="auto"/>
                <w:kern w:val="0"/>
                <w:sz w:val="24"/>
                <w:szCs w:val="24"/>
                <w:highlight w:val="none"/>
                <w:lang w:val="en-US" w:eastAsia="zh-CN" w:bidi="ar-SA"/>
              </w:rPr>
            </w:pPr>
            <w:r>
              <w:rPr>
                <w:rFonts w:hint="eastAsia" w:hAnsi="宋体" w:cs="宋体"/>
                <w:b w:val="0"/>
                <w:color w:val="auto"/>
                <w:kern w:val="0"/>
                <w:sz w:val="24"/>
                <w:szCs w:val="24"/>
                <w:highlight w:val="none"/>
                <w:lang w:val="en-US" w:eastAsia="zh-CN" w:bidi="ar-SA"/>
              </w:rPr>
              <w:t>福建654</w:t>
            </w:r>
          </w:p>
        </w:tc>
      </w:tr>
    </w:tbl>
    <w:p w14:paraId="2C7196BD">
      <w:pPr>
        <w:keepLines w:val="0"/>
        <w:pageBreakBefore w:val="0"/>
        <w:kinsoku/>
        <w:topLinePunct w:val="0"/>
        <w:autoSpaceDE w:val="0"/>
        <w:autoSpaceDN w:val="0"/>
        <w:bidi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　</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要确认本条所列范围，并提供细化清单。</w:t>
      </w:r>
    </w:p>
    <w:p w14:paraId="6A8E6AC6">
      <w:pPr>
        <w:keepLines w:val="0"/>
        <w:pageBreakBefore w:val="0"/>
        <w:kinsoku/>
        <w:topLinePunct w:val="0"/>
        <w:autoSpaceDE w:val="0"/>
        <w:autoSpaceDN w:val="0"/>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3.2 项目实施过程中，</w:t>
      </w:r>
      <w:r>
        <w:rPr>
          <w:rFonts w:hint="eastAsia" w:ascii="宋体" w:hAnsi="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lang w:val="en-US" w:eastAsia="zh-CN"/>
        </w:rPr>
        <w:t>有权对所投的货物数量进行调整，按实结算，但最终价格不得超过中标价格。</w:t>
      </w:r>
    </w:p>
    <w:p w14:paraId="1DC316B9">
      <w:pPr>
        <w:pStyle w:val="15"/>
        <w:keepLines w:val="0"/>
        <w:pageBreakBefore w:val="0"/>
        <w:kinsoku/>
        <w:topLinePunct w:val="0"/>
        <w:bidi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二、合同金额</w:t>
      </w:r>
    </w:p>
    <w:p w14:paraId="2E720607">
      <w:pPr>
        <w:keepLines w:val="0"/>
        <w:pageBreakBefore w:val="0"/>
        <w:numPr>
          <w:ilvl w:val="0"/>
          <w:numId w:val="0"/>
        </w:numPr>
        <w:kinsoku/>
        <w:topLinePunct w:val="0"/>
        <w:bidi w:val="0"/>
        <w:spacing w:line="360" w:lineRule="auto"/>
        <w:ind w:firstLine="480" w:firstLineChars="200"/>
        <w:rPr>
          <w:rFonts w:hint="default" w:ascii="宋体" w:eastAsia="宋体" w:cs="宋体"/>
          <w:b w:val="0"/>
          <w:bCs w:val="0"/>
          <w:color w:val="auto"/>
          <w:sz w:val="24"/>
          <w:highlight w:val="none"/>
          <w:lang w:val="en-US" w:eastAsia="zh-CN"/>
        </w:rPr>
      </w:pPr>
      <w:r>
        <w:rPr>
          <w:rFonts w:hint="eastAsia" w:ascii="宋体" w:hAnsi="宋体" w:eastAsia="宋体" w:cs="宋体"/>
          <w:color w:val="auto"/>
          <w:sz w:val="24"/>
          <w:szCs w:val="24"/>
          <w:highlight w:val="none"/>
        </w:rPr>
        <w:t>1.本合同金额为（大写）：</w:t>
      </w:r>
      <w:r>
        <w:rPr>
          <w:rFonts w:hint="eastAsia" w:ascii="宋体" w:hAnsi="宋体" w:eastAsia="宋体" w:cs="宋体"/>
          <w:color w:val="auto"/>
          <w:sz w:val="24"/>
          <w:szCs w:val="24"/>
          <w:highlight w:val="none"/>
          <w:u w:val="single"/>
        </w:rPr>
        <w:t xml:space="preserve">            元整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r>
        <w:rPr>
          <w:rFonts w:hint="eastAsia" w:hAnsi="宋体" w:cs="宋体"/>
          <w:color w:val="auto"/>
          <w:sz w:val="24"/>
          <w:szCs w:val="24"/>
          <w:highlight w:val="none"/>
          <w:lang w:eastAsia="zh-CN"/>
        </w:rPr>
        <w:t>。</w:t>
      </w:r>
      <w:r>
        <w:rPr>
          <w:rFonts w:hint="eastAsia" w:ascii="宋体" w:cs="宋体"/>
          <w:b w:val="0"/>
          <w:bCs w:val="0"/>
          <w:color w:val="auto"/>
          <w:sz w:val="24"/>
          <w:highlight w:val="none"/>
          <w:lang w:val="en-US" w:eastAsia="zh-CN"/>
        </w:rPr>
        <w:t>其中双穴墓套单价</w:t>
      </w:r>
      <w:r>
        <w:rPr>
          <w:rFonts w:hint="eastAsia" w:ascii="宋体" w:hAnsi="宋体" w:eastAsia="宋体" w:cs="宋体"/>
          <w:b w:val="0"/>
          <w:bCs w:val="0"/>
          <w:color w:val="auto"/>
          <w:sz w:val="24"/>
          <w:szCs w:val="24"/>
          <w:highlight w:val="none"/>
        </w:rPr>
        <w:t>（大写）：</w:t>
      </w:r>
      <w:r>
        <w:rPr>
          <w:rFonts w:hint="eastAsia" w:ascii="宋体" w:hAnsi="宋体" w:eastAsia="宋体" w:cs="宋体"/>
          <w:b w:val="0"/>
          <w:bCs w:val="0"/>
          <w:color w:val="auto"/>
          <w:sz w:val="24"/>
          <w:szCs w:val="24"/>
          <w:highlight w:val="none"/>
          <w:u w:val="single"/>
        </w:rPr>
        <w:t xml:space="preserve">            元整</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cs="宋体"/>
          <w:b w:val="0"/>
          <w:bCs w:val="0"/>
          <w:color w:val="auto"/>
          <w:sz w:val="24"/>
          <w:highlight w:val="none"/>
          <w:lang w:val="en-US" w:eastAsia="zh-CN"/>
        </w:rPr>
        <w:t>单穴墓墓套单价</w:t>
      </w:r>
      <w:r>
        <w:rPr>
          <w:rFonts w:hint="eastAsia" w:ascii="宋体" w:hAnsi="宋体" w:eastAsia="宋体" w:cs="宋体"/>
          <w:b w:val="0"/>
          <w:bCs w:val="0"/>
          <w:color w:val="auto"/>
          <w:sz w:val="24"/>
          <w:szCs w:val="24"/>
          <w:highlight w:val="none"/>
        </w:rPr>
        <w:t>（大写）：</w:t>
      </w:r>
      <w:r>
        <w:rPr>
          <w:rFonts w:hint="eastAsia" w:ascii="宋体" w:hAnsi="宋体" w:eastAsia="宋体" w:cs="宋体"/>
          <w:b w:val="0"/>
          <w:bCs w:val="0"/>
          <w:color w:val="auto"/>
          <w:sz w:val="24"/>
          <w:szCs w:val="24"/>
          <w:highlight w:val="none"/>
          <w:u w:val="single"/>
        </w:rPr>
        <w:t xml:space="preserve">            元整</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p>
    <w:p w14:paraId="2CE2846A">
      <w:pPr>
        <w:pStyle w:val="15"/>
        <w:keepLines w:val="0"/>
        <w:pageBreakBefore w:val="0"/>
        <w:kinsoku/>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2.合同价格</w:t>
      </w:r>
      <w:r>
        <w:rPr>
          <w:rFonts w:hint="eastAsia" w:ascii="宋体" w:eastAsia="宋体"/>
          <w:color w:val="auto"/>
          <w:sz w:val="24"/>
          <w:highlight w:val="none"/>
        </w:rPr>
        <w:t>包括</w:t>
      </w:r>
      <w:r>
        <w:rPr>
          <w:rFonts w:hint="eastAsia" w:ascii="宋体" w:eastAsia="宋体"/>
          <w:color w:val="auto"/>
          <w:sz w:val="24"/>
          <w:highlight w:val="none"/>
          <w:lang w:val="en-US" w:eastAsia="zh-CN"/>
        </w:rPr>
        <w:t>但不限于</w:t>
      </w:r>
      <w:r>
        <w:rPr>
          <w:rFonts w:hint="eastAsia" w:ascii="宋体" w:eastAsia="宋体"/>
          <w:color w:val="auto"/>
          <w:sz w:val="24"/>
          <w:highlight w:val="none"/>
        </w:rPr>
        <w:t>所有</w:t>
      </w:r>
      <w:r>
        <w:rPr>
          <w:rFonts w:hint="eastAsia" w:ascii="宋体" w:eastAsia="宋体"/>
          <w:color w:val="auto"/>
          <w:sz w:val="24"/>
          <w:highlight w:val="none"/>
          <w:lang w:val="en-US" w:eastAsia="zh-CN"/>
        </w:rPr>
        <w:t>材料</w:t>
      </w:r>
      <w:r>
        <w:rPr>
          <w:rFonts w:hint="eastAsia" w:ascii="宋体" w:eastAsia="宋体"/>
          <w:color w:val="auto"/>
          <w:sz w:val="24"/>
          <w:highlight w:val="none"/>
        </w:rPr>
        <w:t>、备品备件、包装费、运输费、装卸费、安装费、安装所用的辅料费、验收、现场可能发生的二次搬运费、</w:t>
      </w:r>
      <w:r>
        <w:rPr>
          <w:rFonts w:hint="eastAsia" w:ascii="宋体" w:eastAsia="宋体"/>
          <w:color w:val="auto"/>
          <w:sz w:val="24"/>
          <w:highlight w:val="none"/>
          <w:lang w:val="en-US" w:eastAsia="zh-CN"/>
        </w:rPr>
        <w:t>垃圾清运费、</w:t>
      </w:r>
      <w:r>
        <w:rPr>
          <w:rFonts w:hint="eastAsia" w:ascii="宋体" w:eastAsia="宋体"/>
          <w:color w:val="auto"/>
          <w:sz w:val="24"/>
          <w:highlight w:val="none"/>
        </w:rPr>
        <w:t>成品保护费、利润、保险、税金、售后服务</w:t>
      </w:r>
      <w:r>
        <w:rPr>
          <w:rFonts w:hint="eastAsia" w:ascii="宋体" w:eastAsia="宋体"/>
          <w:color w:val="auto"/>
          <w:sz w:val="24"/>
          <w:highlight w:val="none"/>
          <w:lang w:eastAsia="zh-CN"/>
        </w:rPr>
        <w:t>、</w:t>
      </w:r>
      <w:r>
        <w:rPr>
          <w:rFonts w:hint="eastAsia" w:ascii="宋体" w:eastAsia="宋体"/>
          <w:color w:val="auto"/>
          <w:sz w:val="24"/>
          <w:highlight w:val="none"/>
          <w:lang w:val="en-US" w:eastAsia="zh-CN"/>
        </w:rPr>
        <w:t>招标代理费</w:t>
      </w:r>
      <w:r>
        <w:rPr>
          <w:rFonts w:hint="eastAsia" w:ascii="宋体" w:eastAsia="宋体"/>
          <w:color w:val="auto"/>
          <w:sz w:val="24"/>
          <w:highlight w:val="none"/>
          <w:lang w:eastAsia="zh-CN"/>
        </w:rPr>
        <w:t>，</w:t>
      </w:r>
      <w:r>
        <w:rPr>
          <w:rFonts w:hint="eastAsia" w:ascii="宋体" w:eastAsia="宋体"/>
          <w:color w:val="auto"/>
          <w:sz w:val="24"/>
          <w:highlight w:val="none"/>
        </w:rPr>
        <w:t>以及其他不可预见的所有费用，如有漏报，视同已包含在其投标报价中。单价固定，按实</w:t>
      </w:r>
      <w:r>
        <w:rPr>
          <w:rFonts w:hint="eastAsia" w:ascii="宋体" w:eastAsia="宋体"/>
          <w:color w:val="auto"/>
          <w:sz w:val="24"/>
          <w:highlight w:val="none"/>
          <w:lang w:val="en-US" w:eastAsia="zh-CN"/>
        </w:rPr>
        <w:t>结算</w:t>
      </w:r>
      <w:r>
        <w:rPr>
          <w:rFonts w:hint="eastAsia" w:ascii="宋体" w:eastAsia="宋体"/>
          <w:color w:val="auto"/>
          <w:sz w:val="24"/>
          <w:highlight w:val="none"/>
        </w:rPr>
        <w:t>。如投标人在编写投标方案时应充分</w:t>
      </w:r>
      <w:r>
        <w:rPr>
          <w:rFonts w:hint="eastAsia"/>
          <w:color w:val="auto"/>
          <w:sz w:val="24"/>
          <w:highlight w:val="none"/>
        </w:rPr>
        <w:t>考虑各种风险因素，凡投标人漏项、漏报均认为已包含在报价中，结算时不再增加。</w:t>
      </w:r>
    </w:p>
    <w:p w14:paraId="5AB5A6B2">
      <w:pPr>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3.履约保证金：在签订合同时，供应商需向采购人缴纳合同总价</w:t>
      </w:r>
      <w:r>
        <w:rPr>
          <w:rFonts w:hint="eastAsia" w:ascii="宋体" w:hAnsi="宋体" w:eastAsia="宋体" w:cs="宋体"/>
          <w:color w:val="auto"/>
          <w:kern w:val="2"/>
          <w:sz w:val="24"/>
          <w:szCs w:val="24"/>
          <w:highlight w:val="none"/>
          <w:u w:val="single"/>
          <w:lang w:val="en-US" w:eastAsia="zh-CN" w:bidi="ar-SA"/>
        </w:rPr>
        <w:t xml:space="preserve"> 1 %</w:t>
      </w:r>
      <w:r>
        <w:rPr>
          <w:rFonts w:hint="eastAsia" w:ascii="宋体" w:hAnsi="宋体" w:eastAsia="宋体" w:cs="宋体"/>
          <w:color w:val="auto"/>
          <w:kern w:val="2"/>
          <w:sz w:val="24"/>
          <w:szCs w:val="24"/>
          <w:highlight w:val="none"/>
          <w:lang w:val="en-US" w:eastAsia="zh-CN" w:bidi="ar-SA"/>
        </w:rPr>
        <w:t>的履约保证金。</w:t>
      </w:r>
    </w:p>
    <w:p w14:paraId="3CF35314">
      <w:pPr>
        <w:rPr>
          <w:rFonts w:hint="default" w:eastAsia="宋体"/>
          <w:color w:val="auto"/>
          <w:lang w:val="en-US" w:eastAsia="zh-CN"/>
        </w:rPr>
      </w:pPr>
    </w:p>
    <w:p w14:paraId="7D023A40">
      <w:pPr>
        <w:pStyle w:val="15"/>
        <w:keepLines w:val="0"/>
        <w:pageBreakBefore w:val="0"/>
        <w:kinsoku/>
        <w:topLinePunct w:val="0"/>
        <w:bidi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三、技术资料</w:t>
      </w:r>
    </w:p>
    <w:p w14:paraId="31EE9DEB">
      <w:pPr>
        <w:pStyle w:val="15"/>
        <w:keepLines w:val="0"/>
        <w:pageBreakBefore w:val="0"/>
        <w:kinsoku/>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1.乙方应按招标文件规定的时间向甲方提供使用货物的有关技术资料。</w:t>
      </w:r>
    </w:p>
    <w:p w14:paraId="56537D70">
      <w:pPr>
        <w:pStyle w:val="15"/>
        <w:keepLines w:val="0"/>
        <w:pageBreakBefore w:val="0"/>
        <w:kinsoku/>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2.没有甲方事先书面同意，乙方不得将由甲方提供的规格、样品或资料提供给与履行本合同无关的任何其他人。即使向履行本合同有关的人员提供，也应注意保密并限于履行合同的必需范围。</w:t>
      </w:r>
    </w:p>
    <w:p w14:paraId="47F26C0F">
      <w:pPr>
        <w:pStyle w:val="15"/>
        <w:keepLines w:val="0"/>
        <w:pageBreakBefore w:val="0"/>
        <w:kinsoku/>
        <w:topLinePunct w:val="0"/>
        <w:bidi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四、知识产权</w:t>
      </w:r>
    </w:p>
    <w:p w14:paraId="20BFDB5E">
      <w:pPr>
        <w:pStyle w:val="15"/>
        <w:keepLines w:val="0"/>
        <w:pageBreakBefore w:val="0"/>
        <w:kinsoku/>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乙方应保证所提供的货物或其任何一部分均不会侵犯任何第三方的知识产权。</w:t>
      </w:r>
    </w:p>
    <w:p w14:paraId="7A03CE49">
      <w:pPr>
        <w:pStyle w:val="15"/>
        <w:keepLines w:val="0"/>
        <w:pageBreakBefore w:val="0"/>
        <w:kinsoku/>
        <w:topLinePunct w:val="0"/>
        <w:bidi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五、产权担保</w:t>
      </w:r>
    </w:p>
    <w:p w14:paraId="12C4E6F0">
      <w:pPr>
        <w:pStyle w:val="15"/>
        <w:keepLines w:val="0"/>
        <w:pageBreakBefore w:val="0"/>
        <w:kinsoku/>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乙方保证所交付的货物的所有权完全属于乙方且无任何抵押、查封等产权瑕疵。</w:t>
      </w:r>
    </w:p>
    <w:p w14:paraId="1121DA7F">
      <w:pPr>
        <w:pStyle w:val="15"/>
        <w:keepLines w:val="0"/>
        <w:pageBreakBefore w:val="0"/>
        <w:kinsoku/>
        <w:topLinePunct w:val="0"/>
        <w:bidi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六、转包或分包</w:t>
      </w:r>
    </w:p>
    <w:p w14:paraId="6B00AF5E">
      <w:pPr>
        <w:pStyle w:val="15"/>
        <w:keepLines w:val="0"/>
        <w:pageBreakBefore w:val="0"/>
        <w:kinsoku/>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1.本合同范围的货物，应由乙方直接供应，不得转让他人供应。</w:t>
      </w:r>
    </w:p>
    <w:p w14:paraId="72C98525">
      <w:pPr>
        <w:pStyle w:val="15"/>
        <w:keepLines w:val="0"/>
        <w:pageBreakBefore w:val="0"/>
        <w:kinsoku/>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2.除非得到甲方的书面同意，乙方不得将本合同范围的货物全部或部分分包给他人供应。</w:t>
      </w:r>
    </w:p>
    <w:p w14:paraId="47FBC051">
      <w:pPr>
        <w:pStyle w:val="15"/>
        <w:keepLines w:val="0"/>
        <w:pageBreakBefore w:val="0"/>
        <w:kinsoku/>
        <w:topLinePunct w:val="0"/>
        <w:bidi w:val="0"/>
        <w:snapToGrid w:val="0"/>
        <w:spacing w:before="120"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3.如有转让和未经甲方同意的分包行为，甲方有权解除合同，没收</w:t>
      </w:r>
      <w:r>
        <w:rPr>
          <w:rFonts w:hint="eastAsia" w:hAnsi="宋体" w:cs="宋体"/>
          <w:color w:val="auto"/>
          <w:sz w:val="24"/>
          <w:szCs w:val="24"/>
          <w:highlight w:val="none"/>
          <w:lang w:val="en-US" w:eastAsia="zh-CN"/>
        </w:rPr>
        <w:t>合同价的1%货款</w:t>
      </w:r>
      <w:r>
        <w:rPr>
          <w:rFonts w:hint="eastAsia" w:ascii="宋体" w:hAnsi="宋体" w:eastAsia="宋体" w:cs="宋体"/>
          <w:color w:val="auto"/>
          <w:sz w:val="24"/>
          <w:szCs w:val="24"/>
          <w:highlight w:val="none"/>
        </w:rPr>
        <w:t>并追究乙方的违约责任。</w:t>
      </w:r>
    </w:p>
    <w:p w14:paraId="0D9E74D4">
      <w:pPr>
        <w:pStyle w:val="15"/>
        <w:keepLines w:val="0"/>
        <w:pageBreakBefore w:val="0"/>
        <w:kinsoku/>
        <w:topLinePunct w:val="0"/>
        <w:bidi w:val="0"/>
        <w:snapToGrid w:val="0"/>
        <w:spacing w:before="120" w:after="120" w:line="360" w:lineRule="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
          <w:bCs/>
          <w:color w:val="auto"/>
          <w:sz w:val="24"/>
          <w:szCs w:val="24"/>
          <w:highlight w:val="none"/>
        </w:rPr>
        <w:t>七、质保期和质保金</w:t>
      </w:r>
    </w:p>
    <w:p w14:paraId="24F9CC53">
      <w:pPr>
        <w:pStyle w:val="15"/>
        <w:keepLines w:val="0"/>
        <w:pageBreakBefore w:val="0"/>
        <w:kinsoku/>
        <w:topLinePunct w:val="0"/>
        <w:bidi w:val="0"/>
        <w:snapToGrid w:val="0"/>
        <w:spacing w:before="120"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1.自交货验收合格之日起质保期</w:t>
      </w:r>
      <w:r>
        <w:rPr>
          <w:rFonts w:hint="eastAsia" w:hAnsi="宋体" w:cs="宋体"/>
          <w:color w:val="auto"/>
          <w:sz w:val="24"/>
          <w:szCs w:val="24"/>
          <w:highlight w:val="none"/>
          <w:lang w:val="en-US" w:eastAsia="zh-CN"/>
        </w:rPr>
        <w:t>四年</w:t>
      </w:r>
      <w:r>
        <w:rPr>
          <w:rFonts w:hint="eastAsia" w:ascii="宋体" w:hAnsi="宋体" w:eastAsia="宋体" w:cs="宋体"/>
          <w:color w:val="auto"/>
          <w:sz w:val="24"/>
          <w:szCs w:val="24"/>
          <w:highlight w:val="none"/>
        </w:rPr>
        <w:t>，在</w:t>
      </w:r>
      <w:r>
        <w:rPr>
          <w:rFonts w:hint="eastAsia" w:hAnsi="宋体" w:cs="宋体"/>
          <w:color w:val="auto"/>
          <w:sz w:val="24"/>
          <w:szCs w:val="24"/>
          <w:highlight w:val="none"/>
          <w:lang w:val="en-US" w:eastAsia="zh-CN"/>
        </w:rPr>
        <w:t>四年</w:t>
      </w:r>
      <w:r>
        <w:rPr>
          <w:rFonts w:hint="eastAsia" w:ascii="宋体" w:hAnsi="宋体" w:eastAsia="宋体" w:cs="宋体"/>
          <w:color w:val="auto"/>
          <w:sz w:val="24"/>
          <w:szCs w:val="24"/>
          <w:highlight w:val="none"/>
        </w:rPr>
        <w:t>的质保期内，如有质量问题，</w:t>
      </w:r>
      <w:r>
        <w:rPr>
          <w:rFonts w:hint="eastAsia" w:ascii="宋体" w:hAnsi="宋体" w:eastAsia="宋体" w:cs="宋体"/>
          <w:bCs/>
          <w:color w:val="auto"/>
          <w:sz w:val="24"/>
          <w:szCs w:val="24"/>
          <w:highlight w:val="none"/>
        </w:rPr>
        <w:t>乙方应负责免费更换或维修</w:t>
      </w:r>
      <w:r>
        <w:rPr>
          <w:rFonts w:hint="eastAsia" w:ascii="宋体" w:hAnsi="宋体" w:eastAsia="宋体" w:cs="宋体"/>
          <w:color w:val="auto"/>
          <w:sz w:val="24"/>
          <w:szCs w:val="24"/>
          <w:highlight w:val="none"/>
        </w:rPr>
        <w:t>（因甲方原因、人为原因或不可抗力造成的原因除外）。</w:t>
      </w:r>
    </w:p>
    <w:p w14:paraId="58233B4C">
      <w:pPr>
        <w:pStyle w:val="15"/>
        <w:keepLines w:val="0"/>
        <w:pageBreakBefore w:val="0"/>
        <w:kinsoku/>
        <w:topLinePunct w:val="0"/>
        <w:bidi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八、交货期、交货方式及交货地点</w:t>
      </w:r>
    </w:p>
    <w:p w14:paraId="1FFE403E">
      <w:pPr>
        <w:keepLines w:val="0"/>
        <w:pageBreakBefore w:val="0"/>
        <w:kinsoku/>
        <w:wordWrap/>
        <w:topLinePunct w:val="0"/>
        <w:autoSpaceDE w:val="0"/>
        <w:autoSpaceDN w:val="0"/>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color w:val="auto"/>
          <w:sz w:val="24"/>
          <w:szCs w:val="24"/>
          <w:highlight w:val="none"/>
        </w:rPr>
        <w:t>.交货期：</w:t>
      </w:r>
      <w:r>
        <w:rPr>
          <w:rFonts w:hint="eastAsia" w:ascii="宋体" w:hAnsi="宋体" w:eastAsia="宋体" w:cs="宋体"/>
          <w:b/>
          <w:color w:val="auto"/>
          <w:kern w:val="0"/>
          <w:sz w:val="24"/>
          <w:szCs w:val="24"/>
          <w:highlight w:val="none"/>
          <w:u w:val="single"/>
          <w:lang w:val="en-US" w:eastAsia="zh-CN"/>
        </w:rPr>
        <w:t>自合同签订之日起</w:t>
      </w:r>
      <w:r>
        <w:rPr>
          <w:rFonts w:hint="eastAsia" w:ascii="宋体" w:hAnsi="宋体" w:cs="宋体"/>
          <w:b/>
          <w:color w:val="auto"/>
          <w:kern w:val="0"/>
          <w:sz w:val="24"/>
          <w:szCs w:val="24"/>
          <w:highlight w:val="none"/>
          <w:u w:val="single"/>
          <w:lang w:val="en-US" w:eastAsia="zh-CN"/>
        </w:rPr>
        <w:t>30</w:t>
      </w:r>
      <w:r>
        <w:rPr>
          <w:rFonts w:hint="eastAsia" w:ascii="宋体" w:hAnsi="宋体" w:eastAsia="宋体" w:cs="宋体"/>
          <w:b/>
          <w:color w:val="auto"/>
          <w:kern w:val="0"/>
          <w:sz w:val="24"/>
          <w:szCs w:val="24"/>
          <w:highlight w:val="none"/>
          <w:u w:val="single"/>
          <w:lang w:val="en-US" w:eastAsia="zh-CN"/>
        </w:rPr>
        <w:t>天内按照甲方所需要的墓套保质保量的安装到位，并通过验收</w:t>
      </w:r>
      <w:r>
        <w:rPr>
          <w:rFonts w:hint="eastAsia" w:ascii="宋体" w:hAnsi="宋体" w:eastAsia="宋体" w:cs="宋体"/>
          <w:b/>
          <w:color w:val="auto"/>
          <w:kern w:val="0"/>
          <w:sz w:val="24"/>
          <w:szCs w:val="24"/>
          <w:highlight w:val="none"/>
          <w:u w:val="single"/>
        </w:rPr>
        <w:t>。</w:t>
      </w:r>
      <w:r>
        <w:rPr>
          <w:rFonts w:hint="eastAsia" w:ascii="宋体" w:hAnsi="宋体" w:eastAsia="宋体" w:cs="宋体"/>
          <w:color w:val="auto"/>
          <w:sz w:val="24"/>
          <w:szCs w:val="24"/>
          <w:highlight w:val="none"/>
        </w:rPr>
        <w:t>货款凭发票（一切税费都有供应商负责承担）。</w:t>
      </w:r>
    </w:p>
    <w:p w14:paraId="1EB83F6F">
      <w:pPr>
        <w:pStyle w:val="15"/>
        <w:keepLines w:val="0"/>
        <w:pageBreakBefore w:val="0"/>
        <w:kinsoku/>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2.交货方式：乙方按照中标的样品（墓型、规格、石材质量要求及价格）向甲方供货，乙方的供货量由甲方确定。</w:t>
      </w:r>
    </w:p>
    <w:p w14:paraId="48585E7C">
      <w:pPr>
        <w:pStyle w:val="15"/>
        <w:keepLines w:val="0"/>
        <w:pageBreakBefore w:val="0"/>
        <w:kinsoku/>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3.交货地点：按</w:t>
      </w:r>
      <w:r>
        <w:rPr>
          <w:rFonts w:hint="eastAsia"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要求。</w:t>
      </w:r>
    </w:p>
    <w:p w14:paraId="17FC2E1B">
      <w:pPr>
        <w:pStyle w:val="15"/>
        <w:keepLines w:val="0"/>
        <w:pageBreakBefore w:val="0"/>
        <w:kinsoku/>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kern w:val="0"/>
          <w:sz w:val="24"/>
          <w:szCs w:val="24"/>
          <w:highlight w:val="none"/>
          <w:lang w:val="en-US" w:eastAsia="zh-CN"/>
        </w:rPr>
        <w:t xml:space="preserve"> 安装要求：</w:t>
      </w:r>
      <w:r>
        <w:rPr>
          <w:rFonts w:hint="eastAsia" w:hAnsi="宋体" w:cs="宋体"/>
          <w:color w:val="auto"/>
          <w:sz w:val="24"/>
          <w:szCs w:val="24"/>
          <w:highlight w:val="none"/>
          <w:lang w:val="en-US" w:eastAsia="zh-CN"/>
        </w:rPr>
        <w:t>墓套</w:t>
      </w:r>
      <w:r>
        <w:rPr>
          <w:rFonts w:hint="eastAsia" w:ascii="宋体" w:hAnsi="宋体" w:eastAsia="宋体" w:cs="宋体"/>
          <w:color w:val="auto"/>
          <w:kern w:val="0"/>
          <w:sz w:val="24"/>
          <w:szCs w:val="24"/>
          <w:highlight w:val="none"/>
          <w:lang w:val="en-US" w:eastAsia="zh-CN"/>
        </w:rPr>
        <w:t>在安装过程中保护箱需下沉，对原有水泥地进行凿除，费用包含在本次报价中，并且对凿除部分做好底、侧面粉刷工作。并做好垃圾清运工作。</w:t>
      </w:r>
    </w:p>
    <w:p w14:paraId="338A0297">
      <w:pPr>
        <w:pStyle w:val="15"/>
        <w:keepLines w:val="0"/>
        <w:pageBreakBefore w:val="0"/>
        <w:kinsoku/>
        <w:topLinePunct w:val="0"/>
        <w:bidi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十、货款支付</w:t>
      </w:r>
    </w:p>
    <w:p w14:paraId="4179F673">
      <w:pPr>
        <w:pStyle w:val="6"/>
        <w:keepLines w:val="0"/>
        <w:pageBreakBefore w:val="0"/>
        <w:kinsoku/>
        <w:topLinePunct w:val="0"/>
        <w:bidi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1.安装完成后经村验收合格后支付合同款的40%，后每年支付15%，分四年付清。</w:t>
      </w:r>
    </w:p>
    <w:p w14:paraId="2B9FEFDC">
      <w:pPr>
        <w:pStyle w:val="6"/>
        <w:keepLines w:val="0"/>
        <w:pageBreakBefore w:val="0"/>
        <w:kinsoku/>
        <w:topLinePunct w:val="0"/>
        <w:bidi w:val="0"/>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2.乙方</w:t>
      </w:r>
      <w:r>
        <w:rPr>
          <w:rFonts w:hint="eastAsia" w:ascii="宋体" w:hAnsi="宋体" w:cs="宋体"/>
          <w:color w:val="auto"/>
          <w:sz w:val="24"/>
          <w:szCs w:val="24"/>
          <w:highlight w:val="none"/>
        </w:rPr>
        <w:t>在收款之前，应向</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提供发票，</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凭发票付款。如</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未按约定提供发票的，</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有权拒绝付款，直至收到</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提交的相应发票为止，在此情况下，</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不承担逾期付款违约责任。</w:t>
      </w:r>
    </w:p>
    <w:p w14:paraId="78FD1897">
      <w:pPr>
        <w:pStyle w:val="15"/>
        <w:keepLines w:val="0"/>
        <w:pageBreakBefore w:val="0"/>
        <w:kinsoku/>
        <w:topLinePunct w:val="0"/>
        <w:bidi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十一、税费</w:t>
      </w:r>
    </w:p>
    <w:p w14:paraId="5ED49AA3">
      <w:pPr>
        <w:pStyle w:val="15"/>
        <w:keepLines w:val="0"/>
        <w:pageBreakBefore w:val="0"/>
        <w:kinsoku/>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177291CF">
      <w:pPr>
        <w:pStyle w:val="15"/>
        <w:keepLines w:val="0"/>
        <w:pageBreakBefore w:val="0"/>
        <w:kinsoku/>
        <w:topLinePunct w:val="0"/>
        <w:bidi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十二、质量保证及售后服务</w:t>
      </w:r>
    </w:p>
    <w:p w14:paraId="09F9048F">
      <w:pPr>
        <w:keepLines w:val="0"/>
        <w:pageBreakBefore w:val="0"/>
        <w:kinsoku/>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1.乙方应按招标文件规定的货物性能、技术要求、质量标准向甲方提供未经使用的全新产品。</w:t>
      </w:r>
    </w:p>
    <w:p w14:paraId="2B29452F">
      <w:pPr>
        <w:keepLines w:val="0"/>
        <w:pageBreakBefore w:val="0"/>
        <w:kinsoku/>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2.乙方提供的货物在质保期内因货物本身的质量问题发生故障，乙方应负责免费更换。对达不到技术要求者，根据实际情况，经双方协商，可按以下办法处理：</w:t>
      </w:r>
    </w:p>
    <w:p w14:paraId="1C4E4DE2">
      <w:pPr>
        <w:keepLines w:val="0"/>
        <w:pageBreakBefore w:val="0"/>
        <w:numPr>
          <w:ilvl w:val="1"/>
          <w:numId w:val="41"/>
        </w:numPr>
        <w:tabs>
          <w:tab w:val="left" w:pos="945"/>
          <w:tab w:val="clear" w:pos="1622"/>
        </w:tabs>
        <w:kinsoku/>
        <w:topLinePunct w:val="0"/>
        <w:bidi w:val="0"/>
        <w:spacing w:line="360" w:lineRule="auto"/>
        <w:ind w:hanging="130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更换：由乙方承担所发生的全部费用。</w:t>
      </w:r>
    </w:p>
    <w:p w14:paraId="767894A6">
      <w:pPr>
        <w:keepLines w:val="0"/>
        <w:pageBreakBefore w:val="0"/>
        <w:numPr>
          <w:ilvl w:val="1"/>
          <w:numId w:val="41"/>
        </w:numPr>
        <w:tabs>
          <w:tab w:val="left" w:pos="945"/>
          <w:tab w:val="clear" w:pos="1622"/>
        </w:tabs>
        <w:kinsoku/>
        <w:topLinePunct w:val="0"/>
        <w:bidi w:val="0"/>
        <w:spacing w:line="360" w:lineRule="auto"/>
        <w:ind w:hanging="130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贬值处理：由甲乙双方合议定价。</w:t>
      </w:r>
    </w:p>
    <w:p w14:paraId="3806096A">
      <w:pPr>
        <w:keepLines w:val="0"/>
        <w:pageBreakBefore w:val="0"/>
        <w:numPr>
          <w:ilvl w:val="1"/>
          <w:numId w:val="41"/>
        </w:numPr>
        <w:tabs>
          <w:tab w:val="left" w:pos="945"/>
          <w:tab w:val="clear" w:pos="1622"/>
        </w:tabs>
        <w:kinsoku/>
        <w:topLinePunct w:val="0"/>
        <w:bidi w:val="0"/>
        <w:spacing w:line="360" w:lineRule="auto"/>
        <w:ind w:left="0" w:firstLine="31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退货处理：乙方应退还甲方支付的合同款，同时应承担该货物的直接费用（运输、保险、检验、货款利息及银行手续费等）。</w:t>
      </w:r>
    </w:p>
    <w:p w14:paraId="22D7A5E3">
      <w:pPr>
        <w:keepLines w:val="0"/>
        <w:pageBreakBefore w:val="0"/>
        <w:kinsoku/>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3.如在使用过程中发生质量问题，乙方在接到甲方通知后在6小时内到达甲方现场。</w:t>
      </w:r>
    </w:p>
    <w:p w14:paraId="241CA3D1">
      <w:pPr>
        <w:keepLines w:val="0"/>
        <w:pageBreakBefore w:val="0"/>
        <w:kinsoku/>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4.在质保期内，乙方应对货物出现的质量及安全问题负责处理解决并承担一切费用。</w:t>
      </w:r>
    </w:p>
    <w:p w14:paraId="2A4AA93E">
      <w:pPr>
        <w:keepLines w:val="0"/>
        <w:pageBreakBefore w:val="0"/>
        <w:kinsoku/>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5.厂家提供安装验收后</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年的质保期。</w:t>
      </w:r>
    </w:p>
    <w:p w14:paraId="670A109D">
      <w:pPr>
        <w:keepLines w:val="0"/>
        <w:pageBreakBefore w:val="0"/>
        <w:kinsoku/>
        <w:topLinePunct w:val="0"/>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十三、验收</w:t>
      </w:r>
    </w:p>
    <w:p w14:paraId="48F34D05">
      <w:pPr>
        <w:keepLines w:val="0"/>
        <w:pageBreakBefore w:val="0"/>
        <w:kinsoku/>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应提供供货产品的有效检验报告和产品合格证，经</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确认，与合同性能指标一起作为产品验收标准；</w:t>
      </w:r>
    </w:p>
    <w:p w14:paraId="4015E3D4">
      <w:pPr>
        <w:keepLines w:val="0"/>
        <w:pageBreakBefore w:val="0"/>
        <w:kinsoku/>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2.验收中发现产品不符合验收标准或合同规定的性能指标，必须及时调整、更换、或增加数量、或扣除货款直至符合为止，同时</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应承担期间产生的相关损失；</w:t>
      </w:r>
    </w:p>
    <w:p w14:paraId="6CC892A9">
      <w:pPr>
        <w:keepLines w:val="0"/>
        <w:pageBreakBefore w:val="0"/>
        <w:kinsoku/>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3.验收时乙方必须在现场，验收完毕后作出验收结果报告；验收费用由乙方负责。</w:t>
      </w:r>
    </w:p>
    <w:p w14:paraId="0A860305">
      <w:pPr>
        <w:pStyle w:val="15"/>
        <w:keepLines w:val="0"/>
        <w:pageBreakBefore w:val="0"/>
        <w:kinsoku/>
        <w:topLinePunct w:val="0"/>
        <w:bidi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十四、货物包装、发运及运输</w:t>
      </w:r>
    </w:p>
    <w:p w14:paraId="3F95F06C">
      <w:pPr>
        <w:pStyle w:val="15"/>
        <w:keepLines w:val="0"/>
        <w:pageBreakBefore w:val="0"/>
        <w:kinsoku/>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1.乙方应在货物发运前对其进行满足运输距离、防潮、防震、防锈和防破损装卸等要求包装，以保证货物安全运达甲方指定地点。</w:t>
      </w:r>
    </w:p>
    <w:p w14:paraId="15C50CF6">
      <w:pPr>
        <w:pStyle w:val="15"/>
        <w:keepLines w:val="0"/>
        <w:pageBreakBefore w:val="0"/>
        <w:kinsoku/>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2.使用说明书、质量检验证明书、随配附件和工具以及清单一并附于货物内。</w:t>
      </w:r>
    </w:p>
    <w:p w14:paraId="26EB1806">
      <w:pPr>
        <w:pStyle w:val="15"/>
        <w:keepLines w:val="0"/>
        <w:pageBreakBefore w:val="0"/>
        <w:kinsoku/>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3.乙方在货物发运手续办理完毕后24小时内或货到甲方48小时前通知甲方，以准备接货。</w:t>
      </w:r>
    </w:p>
    <w:p w14:paraId="54726ED7">
      <w:pPr>
        <w:pStyle w:val="15"/>
        <w:keepLines w:val="0"/>
        <w:pageBreakBefore w:val="0"/>
        <w:kinsoku/>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4.货物在交付甲方前发生的风险均由乙方负责。</w:t>
      </w:r>
    </w:p>
    <w:p w14:paraId="1DCF75E2">
      <w:pPr>
        <w:pStyle w:val="15"/>
        <w:keepLines w:val="0"/>
        <w:pageBreakBefore w:val="0"/>
        <w:kinsoku/>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5.货物在规定的交付期限内由乙方送达甲方指定的地点视为交付，乙方同时需通知甲方货物已送达。</w:t>
      </w:r>
    </w:p>
    <w:p w14:paraId="349FDB3A">
      <w:pPr>
        <w:pStyle w:val="15"/>
        <w:keepLines w:val="0"/>
        <w:pageBreakBefore w:val="0"/>
        <w:kinsoku/>
        <w:topLinePunct w:val="0"/>
        <w:bidi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十五、违约责任</w:t>
      </w:r>
    </w:p>
    <w:p w14:paraId="03FA2F85">
      <w:pPr>
        <w:pStyle w:val="15"/>
        <w:keepLines w:val="0"/>
        <w:pageBreakBefore w:val="0"/>
        <w:kinsoku/>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1.甲方无正当理由拒收货物的，甲方向乙方偿付拒收货款总值的百分之五违约金。</w:t>
      </w:r>
    </w:p>
    <w:p w14:paraId="1745817E">
      <w:pPr>
        <w:pStyle w:val="15"/>
        <w:keepLines w:val="0"/>
        <w:pageBreakBefore w:val="0"/>
        <w:kinsoku/>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2.甲方无故逾期验收和办理货款支付手续的,甲方应按逾期付款总额每日万分之五向乙方支付违约金。</w:t>
      </w:r>
    </w:p>
    <w:p w14:paraId="0250C33F">
      <w:pPr>
        <w:pStyle w:val="15"/>
        <w:keepLines w:val="0"/>
        <w:pageBreakBefore w:val="0"/>
        <w:kinsoku/>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2259DD94">
      <w:pPr>
        <w:pStyle w:val="15"/>
        <w:keepLines w:val="0"/>
        <w:pageBreakBefore w:val="0"/>
        <w:kinsoku/>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8490E91">
      <w:pPr>
        <w:pStyle w:val="15"/>
        <w:keepLines w:val="0"/>
        <w:pageBreakBefore w:val="0"/>
        <w:kinsoku/>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5.接受甲方日常不定期抽检，一经发现质量要求不达标，不符合招标文件要求的，立即取消乙方供货资格，合同终止。</w:t>
      </w:r>
    </w:p>
    <w:p w14:paraId="2F9744E0">
      <w:pPr>
        <w:pStyle w:val="15"/>
        <w:keepLines w:val="0"/>
        <w:pageBreakBefore w:val="0"/>
        <w:kinsoku/>
        <w:topLinePunct w:val="0"/>
        <w:bidi w:val="0"/>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6.本项目货物如涉及柴油动力移动源，柴油动力移动源应当符合低排放要求。</w:t>
      </w:r>
    </w:p>
    <w:p w14:paraId="177A941F">
      <w:pPr>
        <w:pStyle w:val="15"/>
        <w:keepLines w:val="0"/>
        <w:pageBreakBefore w:val="0"/>
        <w:kinsoku/>
        <w:topLinePunct w:val="0"/>
        <w:bidi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十六、不可抗力事件处理</w:t>
      </w:r>
    </w:p>
    <w:p w14:paraId="0AE9F6FA">
      <w:pPr>
        <w:pStyle w:val="15"/>
        <w:keepLines w:val="0"/>
        <w:pageBreakBefore w:val="0"/>
        <w:kinsoku/>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595D549D">
      <w:pPr>
        <w:pStyle w:val="15"/>
        <w:keepLines w:val="0"/>
        <w:pageBreakBefore w:val="0"/>
        <w:kinsoku/>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6267EFAE">
      <w:pPr>
        <w:pStyle w:val="15"/>
        <w:keepLines w:val="0"/>
        <w:pageBreakBefore w:val="0"/>
        <w:kinsoku/>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14:paraId="3A16EB0A">
      <w:pPr>
        <w:pStyle w:val="15"/>
        <w:keepLines w:val="0"/>
        <w:pageBreakBefore w:val="0"/>
        <w:kinsoku/>
        <w:topLinePunct w:val="0"/>
        <w:bidi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十七、诉讼</w:t>
      </w:r>
    </w:p>
    <w:p w14:paraId="2A8F746F">
      <w:pPr>
        <w:pStyle w:val="15"/>
        <w:keepLines w:val="0"/>
        <w:pageBreakBefore w:val="0"/>
        <w:kinsoku/>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双方在执行合同中所发生的一切争议，应通过协商解决。如协商不成，可向甲方所在地法院起诉。</w:t>
      </w:r>
    </w:p>
    <w:p w14:paraId="64770617">
      <w:pPr>
        <w:pStyle w:val="15"/>
        <w:keepLines w:val="0"/>
        <w:pageBreakBefore w:val="0"/>
        <w:kinsoku/>
        <w:topLinePunct w:val="0"/>
        <w:bidi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十八、合同生效及其它</w:t>
      </w:r>
    </w:p>
    <w:p w14:paraId="0C82613B">
      <w:pPr>
        <w:pStyle w:val="15"/>
        <w:keepLines w:val="0"/>
        <w:pageBreakBefore w:val="0"/>
        <w:kinsoku/>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本合同未尽事宜，遵照《中华人民共和国民法典》有关条文执行。</w:t>
      </w:r>
    </w:p>
    <w:p w14:paraId="6800B076">
      <w:pPr>
        <w:pStyle w:val="15"/>
        <w:keepLines w:val="0"/>
        <w:pageBreakBefore w:val="0"/>
        <w:kinsoku/>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本合同经甲方、乙方法定代表人或其委托人签字并加盖双方公章后生效。</w:t>
      </w:r>
    </w:p>
    <w:p w14:paraId="1924A60A">
      <w:pPr>
        <w:pStyle w:val="15"/>
        <w:keepLines w:val="0"/>
        <w:pageBreakBefore w:val="0"/>
        <w:kinsoku/>
        <w:topLinePunct w:val="0"/>
        <w:bidi w:val="0"/>
        <w:snapToGrid w:val="0"/>
        <w:spacing w:line="360" w:lineRule="auto"/>
        <w:ind w:firstLine="480" w:firstLineChars="200"/>
        <w:rPr>
          <w:rFonts w:hAnsi="宋体" w:cs="宋体"/>
          <w:color w:val="auto"/>
          <w:highlight w:val="none"/>
        </w:rPr>
      </w:pPr>
      <w:r>
        <w:rPr>
          <w:rFonts w:hint="eastAsia" w:ascii="宋体" w:hAnsi="宋体" w:eastAsia="宋体" w:cs="宋体"/>
          <w:color w:val="auto"/>
          <w:sz w:val="24"/>
          <w:szCs w:val="24"/>
          <w:highlight w:val="none"/>
        </w:rPr>
        <w:t xml:space="preserve">3. 合同一式四份，具有同等法律效力，甲方执两份、乙方执一份、鉴证方执一份。  </w:t>
      </w:r>
    </w:p>
    <w:p w14:paraId="12BB34C5">
      <w:pPr>
        <w:pStyle w:val="28"/>
        <w:keepLines w:val="0"/>
        <w:pageBreakBefore w:val="0"/>
        <w:kinsoku/>
        <w:topLinePunct w:val="0"/>
        <w:bidi w:val="0"/>
        <w:spacing w:line="360" w:lineRule="auto"/>
        <w:jc w:val="both"/>
        <w:rPr>
          <w:rFonts w:hint="eastAsia"/>
          <w:color w:val="auto"/>
          <w:highlight w:val="none"/>
        </w:rPr>
      </w:pPr>
    </w:p>
    <w:tbl>
      <w:tblPr>
        <w:tblStyle w:val="30"/>
        <w:tblW w:w="830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2397"/>
        <w:gridCol w:w="1661"/>
        <w:gridCol w:w="2767"/>
      </w:tblGrid>
      <w:tr w14:paraId="556B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76" w:type="dxa"/>
            <w:tcBorders>
              <w:top w:val="single" w:color="auto" w:sz="4" w:space="0"/>
              <w:left w:val="single" w:color="auto" w:sz="4" w:space="0"/>
              <w:bottom w:val="single" w:color="auto" w:sz="4" w:space="0"/>
              <w:right w:val="single" w:color="auto" w:sz="4" w:space="0"/>
            </w:tcBorders>
            <w:noWrap w:val="0"/>
            <w:vAlign w:val="center"/>
          </w:tcPr>
          <w:p w14:paraId="0236BC67">
            <w:pPr>
              <w:keepLines w:val="0"/>
              <w:pageBreakBefore w:val="0"/>
              <w:kinsoku/>
              <w:topLinePunct w:val="0"/>
              <w:bidi w:val="0"/>
              <w:spacing w:line="360" w:lineRule="auto"/>
              <w:jc w:val="center"/>
              <w:rPr>
                <w:rFonts w:ascii="宋体" w:hAnsi="宋体"/>
                <w:color w:val="auto"/>
                <w:kern w:val="0"/>
                <w:sz w:val="24"/>
                <w:highlight w:val="none"/>
              </w:rPr>
            </w:pPr>
            <w:r>
              <w:rPr>
                <w:rFonts w:hint="eastAsia" w:ascii="宋体" w:hAnsi="宋体"/>
                <w:color w:val="auto"/>
                <w:kern w:val="0"/>
                <w:sz w:val="24"/>
                <w:highlight w:val="none"/>
              </w:rPr>
              <w:t>甲方单位</w:t>
            </w:r>
          </w:p>
        </w:tc>
        <w:tc>
          <w:tcPr>
            <w:tcW w:w="2397" w:type="dxa"/>
            <w:tcBorders>
              <w:top w:val="single" w:color="auto" w:sz="4" w:space="0"/>
              <w:left w:val="single" w:color="auto" w:sz="4" w:space="0"/>
              <w:bottom w:val="single" w:color="auto" w:sz="4" w:space="0"/>
              <w:right w:val="single" w:color="auto" w:sz="4" w:space="0"/>
            </w:tcBorders>
            <w:noWrap w:val="0"/>
            <w:vAlign w:val="center"/>
          </w:tcPr>
          <w:p w14:paraId="2A110985">
            <w:pPr>
              <w:keepLines w:val="0"/>
              <w:pageBreakBefore w:val="0"/>
              <w:kinsoku/>
              <w:topLinePunct w:val="0"/>
              <w:bidi w:val="0"/>
              <w:spacing w:line="360" w:lineRule="auto"/>
              <w:jc w:val="center"/>
              <w:rPr>
                <w:rFonts w:ascii="宋体" w:hAnsi="宋体"/>
                <w:color w:val="auto"/>
                <w:kern w:val="0"/>
                <w:sz w:val="24"/>
                <w:highlight w:val="none"/>
              </w:rPr>
            </w:pPr>
            <w:r>
              <w:rPr>
                <w:rFonts w:hint="eastAsia" w:ascii="宋体" w:hAnsi="宋体"/>
                <w:color w:val="auto"/>
                <w:kern w:val="0"/>
                <w:sz w:val="24"/>
                <w:highlight w:val="none"/>
              </w:rPr>
              <w:t>（盖章）</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730DC8B5">
            <w:pPr>
              <w:keepLines w:val="0"/>
              <w:pageBreakBefore w:val="0"/>
              <w:kinsoku/>
              <w:topLinePunct w:val="0"/>
              <w:bidi w:val="0"/>
              <w:spacing w:line="360" w:lineRule="auto"/>
              <w:jc w:val="center"/>
              <w:rPr>
                <w:rFonts w:ascii="宋体" w:hAnsi="宋体"/>
                <w:color w:val="auto"/>
                <w:kern w:val="0"/>
                <w:sz w:val="24"/>
                <w:highlight w:val="none"/>
              </w:rPr>
            </w:pPr>
            <w:r>
              <w:rPr>
                <w:rFonts w:hint="eastAsia" w:ascii="宋体" w:hAnsi="宋体"/>
                <w:color w:val="auto"/>
                <w:kern w:val="0"/>
                <w:sz w:val="24"/>
                <w:highlight w:val="none"/>
              </w:rPr>
              <w:t>乙方单位</w:t>
            </w:r>
          </w:p>
        </w:tc>
        <w:tc>
          <w:tcPr>
            <w:tcW w:w="2767" w:type="dxa"/>
            <w:tcBorders>
              <w:top w:val="single" w:color="auto" w:sz="4" w:space="0"/>
              <w:left w:val="single" w:color="auto" w:sz="4" w:space="0"/>
              <w:bottom w:val="single" w:color="auto" w:sz="4" w:space="0"/>
              <w:right w:val="single" w:color="auto" w:sz="4" w:space="0"/>
            </w:tcBorders>
            <w:noWrap w:val="0"/>
            <w:vAlign w:val="center"/>
          </w:tcPr>
          <w:p w14:paraId="3122A55D">
            <w:pPr>
              <w:keepLines w:val="0"/>
              <w:pageBreakBefore w:val="0"/>
              <w:kinsoku/>
              <w:topLinePunct w:val="0"/>
              <w:bidi w:val="0"/>
              <w:spacing w:line="360" w:lineRule="auto"/>
              <w:jc w:val="center"/>
              <w:rPr>
                <w:rFonts w:ascii="宋体" w:hAnsi="宋体"/>
                <w:color w:val="auto"/>
                <w:kern w:val="0"/>
                <w:sz w:val="24"/>
                <w:highlight w:val="none"/>
              </w:rPr>
            </w:pPr>
            <w:r>
              <w:rPr>
                <w:rFonts w:hint="eastAsia" w:ascii="宋体" w:hAnsi="宋体"/>
                <w:color w:val="auto"/>
                <w:kern w:val="0"/>
                <w:sz w:val="24"/>
                <w:highlight w:val="none"/>
              </w:rPr>
              <w:t>（盖章）</w:t>
            </w:r>
          </w:p>
        </w:tc>
      </w:tr>
      <w:tr w14:paraId="28A4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76" w:type="dxa"/>
            <w:tcBorders>
              <w:top w:val="single" w:color="auto" w:sz="4" w:space="0"/>
              <w:left w:val="single" w:color="auto" w:sz="4" w:space="0"/>
              <w:bottom w:val="single" w:color="auto" w:sz="4" w:space="0"/>
              <w:right w:val="single" w:color="auto" w:sz="4" w:space="0"/>
            </w:tcBorders>
            <w:noWrap w:val="0"/>
            <w:vAlign w:val="center"/>
          </w:tcPr>
          <w:p w14:paraId="424CBA90">
            <w:pPr>
              <w:keepLines w:val="0"/>
              <w:pageBreakBefore w:val="0"/>
              <w:kinsoku/>
              <w:topLinePunct w:val="0"/>
              <w:bidi w:val="0"/>
              <w:spacing w:line="360" w:lineRule="auto"/>
              <w:jc w:val="center"/>
              <w:rPr>
                <w:rFonts w:ascii="宋体" w:hAnsi="宋体"/>
                <w:color w:val="auto"/>
                <w:kern w:val="0"/>
                <w:sz w:val="24"/>
                <w:highlight w:val="none"/>
              </w:rPr>
            </w:pPr>
            <w:r>
              <w:rPr>
                <w:rFonts w:hint="eastAsia" w:ascii="宋体" w:hAnsi="宋体"/>
                <w:color w:val="auto"/>
                <w:kern w:val="0"/>
                <w:sz w:val="24"/>
                <w:highlight w:val="none"/>
              </w:rPr>
              <w:t>代表签名</w:t>
            </w:r>
          </w:p>
        </w:tc>
        <w:tc>
          <w:tcPr>
            <w:tcW w:w="2397" w:type="dxa"/>
            <w:tcBorders>
              <w:top w:val="single" w:color="auto" w:sz="4" w:space="0"/>
              <w:left w:val="single" w:color="auto" w:sz="4" w:space="0"/>
              <w:bottom w:val="single" w:color="auto" w:sz="4" w:space="0"/>
              <w:right w:val="single" w:color="auto" w:sz="4" w:space="0"/>
            </w:tcBorders>
            <w:noWrap w:val="0"/>
            <w:vAlign w:val="center"/>
          </w:tcPr>
          <w:p w14:paraId="12A2D5EB">
            <w:pPr>
              <w:keepLines w:val="0"/>
              <w:pageBreakBefore w:val="0"/>
              <w:kinsoku/>
              <w:topLinePunct w:val="0"/>
              <w:bidi w:val="0"/>
              <w:spacing w:line="360" w:lineRule="auto"/>
              <w:jc w:val="center"/>
              <w:rPr>
                <w:rFonts w:ascii="宋体" w:hAnsi="宋体"/>
                <w:color w:val="auto"/>
                <w:kern w:val="0"/>
                <w:sz w:val="24"/>
                <w:highlight w:val="none"/>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14:paraId="6F3F64AF">
            <w:pPr>
              <w:keepLines w:val="0"/>
              <w:pageBreakBefore w:val="0"/>
              <w:kinsoku/>
              <w:topLinePunct w:val="0"/>
              <w:bidi w:val="0"/>
              <w:spacing w:line="360" w:lineRule="auto"/>
              <w:jc w:val="center"/>
              <w:rPr>
                <w:rFonts w:ascii="宋体" w:hAnsi="宋体"/>
                <w:color w:val="auto"/>
                <w:kern w:val="0"/>
                <w:sz w:val="24"/>
                <w:highlight w:val="none"/>
              </w:rPr>
            </w:pPr>
            <w:r>
              <w:rPr>
                <w:rFonts w:hint="eastAsia" w:ascii="宋体" w:hAnsi="宋体"/>
                <w:color w:val="auto"/>
                <w:kern w:val="0"/>
                <w:sz w:val="24"/>
                <w:highlight w:val="none"/>
              </w:rPr>
              <w:t>代表签名</w:t>
            </w:r>
          </w:p>
        </w:tc>
        <w:tc>
          <w:tcPr>
            <w:tcW w:w="2767" w:type="dxa"/>
            <w:tcBorders>
              <w:top w:val="single" w:color="auto" w:sz="4" w:space="0"/>
              <w:left w:val="single" w:color="auto" w:sz="4" w:space="0"/>
              <w:bottom w:val="single" w:color="auto" w:sz="4" w:space="0"/>
              <w:right w:val="single" w:color="auto" w:sz="4" w:space="0"/>
            </w:tcBorders>
            <w:noWrap w:val="0"/>
            <w:vAlign w:val="center"/>
          </w:tcPr>
          <w:p w14:paraId="33C754A0">
            <w:pPr>
              <w:keepLines w:val="0"/>
              <w:pageBreakBefore w:val="0"/>
              <w:kinsoku/>
              <w:topLinePunct w:val="0"/>
              <w:bidi w:val="0"/>
              <w:spacing w:line="360" w:lineRule="auto"/>
              <w:jc w:val="center"/>
              <w:rPr>
                <w:rFonts w:ascii="宋体" w:hAnsi="宋体"/>
                <w:color w:val="auto"/>
                <w:kern w:val="0"/>
                <w:sz w:val="24"/>
                <w:highlight w:val="none"/>
              </w:rPr>
            </w:pPr>
          </w:p>
        </w:tc>
      </w:tr>
      <w:tr w14:paraId="3A15B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76" w:type="dxa"/>
            <w:tcBorders>
              <w:top w:val="single" w:color="auto" w:sz="4" w:space="0"/>
              <w:left w:val="single" w:color="auto" w:sz="4" w:space="0"/>
              <w:bottom w:val="single" w:color="auto" w:sz="4" w:space="0"/>
              <w:right w:val="single" w:color="auto" w:sz="4" w:space="0"/>
            </w:tcBorders>
            <w:noWrap w:val="0"/>
            <w:vAlign w:val="center"/>
          </w:tcPr>
          <w:p w14:paraId="40F8CF00">
            <w:pPr>
              <w:keepLines w:val="0"/>
              <w:pageBreakBefore w:val="0"/>
              <w:kinsoku/>
              <w:topLinePunct w:val="0"/>
              <w:bidi w:val="0"/>
              <w:spacing w:line="360" w:lineRule="auto"/>
              <w:jc w:val="center"/>
              <w:rPr>
                <w:rFonts w:ascii="宋体" w:hAnsi="宋体"/>
                <w:color w:val="auto"/>
                <w:kern w:val="0"/>
                <w:sz w:val="24"/>
                <w:highlight w:val="none"/>
              </w:rPr>
            </w:pPr>
            <w:r>
              <w:rPr>
                <w:rFonts w:hint="eastAsia" w:ascii="宋体" w:hAnsi="宋体"/>
                <w:color w:val="auto"/>
                <w:kern w:val="0"/>
                <w:sz w:val="24"/>
                <w:highlight w:val="none"/>
              </w:rPr>
              <w:t>地址</w:t>
            </w:r>
          </w:p>
        </w:tc>
        <w:tc>
          <w:tcPr>
            <w:tcW w:w="2397" w:type="dxa"/>
            <w:tcBorders>
              <w:top w:val="single" w:color="auto" w:sz="4" w:space="0"/>
              <w:left w:val="single" w:color="auto" w:sz="4" w:space="0"/>
              <w:bottom w:val="single" w:color="auto" w:sz="4" w:space="0"/>
              <w:right w:val="single" w:color="auto" w:sz="4" w:space="0"/>
            </w:tcBorders>
            <w:noWrap w:val="0"/>
            <w:vAlign w:val="center"/>
          </w:tcPr>
          <w:p w14:paraId="5EB3B4F0">
            <w:pPr>
              <w:keepLines w:val="0"/>
              <w:pageBreakBefore w:val="0"/>
              <w:kinsoku/>
              <w:topLinePunct w:val="0"/>
              <w:bidi w:val="0"/>
              <w:spacing w:line="360" w:lineRule="auto"/>
              <w:jc w:val="center"/>
              <w:rPr>
                <w:rFonts w:ascii="宋体" w:hAnsi="宋体"/>
                <w:color w:val="auto"/>
                <w:kern w:val="0"/>
                <w:sz w:val="24"/>
                <w:highlight w:val="none"/>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14:paraId="2F35ED44">
            <w:pPr>
              <w:keepLines w:val="0"/>
              <w:pageBreakBefore w:val="0"/>
              <w:kinsoku/>
              <w:topLinePunct w:val="0"/>
              <w:bidi w:val="0"/>
              <w:spacing w:line="360" w:lineRule="auto"/>
              <w:jc w:val="center"/>
              <w:rPr>
                <w:rFonts w:ascii="宋体" w:hAnsi="宋体"/>
                <w:color w:val="auto"/>
                <w:kern w:val="0"/>
                <w:sz w:val="24"/>
                <w:highlight w:val="none"/>
              </w:rPr>
            </w:pPr>
            <w:r>
              <w:rPr>
                <w:rFonts w:hint="eastAsia" w:ascii="宋体" w:hAnsi="宋体"/>
                <w:color w:val="auto"/>
                <w:kern w:val="0"/>
                <w:sz w:val="24"/>
                <w:highlight w:val="none"/>
              </w:rPr>
              <w:t>地址</w:t>
            </w:r>
          </w:p>
        </w:tc>
        <w:tc>
          <w:tcPr>
            <w:tcW w:w="2767" w:type="dxa"/>
            <w:tcBorders>
              <w:top w:val="single" w:color="auto" w:sz="4" w:space="0"/>
              <w:left w:val="single" w:color="auto" w:sz="4" w:space="0"/>
              <w:bottom w:val="single" w:color="auto" w:sz="4" w:space="0"/>
              <w:right w:val="single" w:color="auto" w:sz="4" w:space="0"/>
            </w:tcBorders>
            <w:noWrap w:val="0"/>
            <w:vAlign w:val="center"/>
          </w:tcPr>
          <w:p w14:paraId="6FFD8981">
            <w:pPr>
              <w:keepLines w:val="0"/>
              <w:pageBreakBefore w:val="0"/>
              <w:kinsoku/>
              <w:topLinePunct w:val="0"/>
              <w:bidi w:val="0"/>
              <w:spacing w:line="360" w:lineRule="auto"/>
              <w:jc w:val="center"/>
              <w:rPr>
                <w:rFonts w:ascii="宋体" w:hAnsi="宋体"/>
                <w:color w:val="auto"/>
                <w:kern w:val="0"/>
                <w:sz w:val="24"/>
                <w:highlight w:val="none"/>
              </w:rPr>
            </w:pPr>
          </w:p>
        </w:tc>
      </w:tr>
      <w:tr w14:paraId="5931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76" w:type="dxa"/>
            <w:tcBorders>
              <w:top w:val="single" w:color="auto" w:sz="4" w:space="0"/>
              <w:left w:val="single" w:color="auto" w:sz="4" w:space="0"/>
              <w:bottom w:val="single" w:color="auto" w:sz="4" w:space="0"/>
              <w:right w:val="single" w:color="auto" w:sz="4" w:space="0"/>
            </w:tcBorders>
            <w:noWrap w:val="0"/>
            <w:vAlign w:val="center"/>
          </w:tcPr>
          <w:p w14:paraId="1BD2F8A8">
            <w:pPr>
              <w:keepLines w:val="0"/>
              <w:pageBreakBefore w:val="0"/>
              <w:kinsoku/>
              <w:topLinePunct w:val="0"/>
              <w:bidi w:val="0"/>
              <w:spacing w:line="360" w:lineRule="auto"/>
              <w:jc w:val="center"/>
              <w:rPr>
                <w:rFonts w:ascii="宋体" w:hAnsi="宋体"/>
                <w:color w:val="auto"/>
                <w:kern w:val="0"/>
                <w:sz w:val="24"/>
                <w:highlight w:val="none"/>
              </w:rPr>
            </w:pPr>
            <w:r>
              <w:rPr>
                <w:rFonts w:hint="eastAsia" w:ascii="宋体" w:hAnsi="宋体"/>
                <w:color w:val="auto"/>
                <w:kern w:val="0"/>
                <w:sz w:val="24"/>
                <w:highlight w:val="none"/>
              </w:rPr>
              <w:t>电话</w:t>
            </w:r>
          </w:p>
        </w:tc>
        <w:tc>
          <w:tcPr>
            <w:tcW w:w="2397" w:type="dxa"/>
            <w:tcBorders>
              <w:top w:val="single" w:color="auto" w:sz="4" w:space="0"/>
              <w:left w:val="single" w:color="auto" w:sz="4" w:space="0"/>
              <w:bottom w:val="single" w:color="auto" w:sz="4" w:space="0"/>
              <w:right w:val="single" w:color="auto" w:sz="4" w:space="0"/>
            </w:tcBorders>
            <w:noWrap w:val="0"/>
            <w:vAlign w:val="center"/>
          </w:tcPr>
          <w:p w14:paraId="0F1A1276">
            <w:pPr>
              <w:keepLines w:val="0"/>
              <w:pageBreakBefore w:val="0"/>
              <w:kinsoku/>
              <w:topLinePunct w:val="0"/>
              <w:bidi w:val="0"/>
              <w:spacing w:line="360" w:lineRule="auto"/>
              <w:jc w:val="center"/>
              <w:rPr>
                <w:rFonts w:ascii="宋体" w:hAnsi="宋体"/>
                <w:color w:val="auto"/>
                <w:kern w:val="0"/>
                <w:sz w:val="24"/>
                <w:highlight w:val="none"/>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14:paraId="55A910B4">
            <w:pPr>
              <w:keepLines w:val="0"/>
              <w:pageBreakBefore w:val="0"/>
              <w:kinsoku/>
              <w:topLinePunct w:val="0"/>
              <w:bidi w:val="0"/>
              <w:spacing w:line="360" w:lineRule="auto"/>
              <w:jc w:val="center"/>
              <w:rPr>
                <w:rFonts w:ascii="宋体" w:hAnsi="宋体"/>
                <w:color w:val="auto"/>
                <w:kern w:val="0"/>
                <w:sz w:val="24"/>
                <w:highlight w:val="none"/>
              </w:rPr>
            </w:pPr>
            <w:r>
              <w:rPr>
                <w:rFonts w:hint="eastAsia" w:ascii="宋体" w:hAnsi="宋体"/>
                <w:color w:val="auto"/>
                <w:kern w:val="0"/>
                <w:sz w:val="24"/>
                <w:highlight w:val="none"/>
              </w:rPr>
              <w:t>电话</w:t>
            </w:r>
          </w:p>
        </w:tc>
        <w:tc>
          <w:tcPr>
            <w:tcW w:w="2767" w:type="dxa"/>
            <w:tcBorders>
              <w:top w:val="single" w:color="auto" w:sz="4" w:space="0"/>
              <w:left w:val="single" w:color="auto" w:sz="4" w:space="0"/>
              <w:bottom w:val="single" w:color="auto" w:sz="4" w:space="0"/>
              <w:right w:val="single" w:color="auto" w:sz="4" w:space="0"/>
            </w:tcBorders>
            <w:noWrap w:val="0"/>
            <w:vAlign w:val="center"/>
          </w:tcPr>
          <w:p w14:paraId="4AF53A04">
            <w:pPr>
              <w:keepLines w:val="0"/>
              <w:pageBreakBefore w:val="0"/>
              <w:kinsoku/>
              <w:topLinePunct w:val="0"/>
              <w:bidi w:val="0"/>
              <w:spacing w:line="360" w:lineRule="auto"/>
              <w:jc w:val="center"/>
              <w:rPr>
                <w:rFonts w:ascii="宋体" w:hAnsi="宋体"/>
                <w:color w:val="auto"/>
                <w:kern w:val="0"/>
                <w:sz w:val="24"/>
                <w:highlight w:val="none"/>
              </w:rPr>
            </w:pPr>
          </w:p>
        </w:tc>
      </w:tr>
      <w:tr w14:paraId="64A6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76" w:type="dxa"/>
            <w:tcBorders>
              <w:top w:val="single" w:color="auto" w:sz="4" w:space="0"/>
              <w:left w:val="single" w:color="auto" w:sz="4" w:space="0"/>
              <w:bottom w:val="single" w:color="auto" w:sz="4" w:space="0"/>
              <w:right w:val="single" w:color="auto" w:sz="4" w:space="0"/>
            </w:tcBorders>
            <w:noWrap w:val="0"/>
            <w:vAlign w:val="center"/>
          </w:tcPr>
          <w:p w14:paraId="197B1A7E">
            <w:pPr>
              <w:keepLines w:val="0"/>
              <w:pageBreakBefore w:val="0"/>
              <w:kinsoku/>
              <w:topLinePunct w:val="0"/>
              <w:bidi w:val="0"/>
              <w:spacing w:line="360" w:lineRule="auto"/>
              <w:jc w:val="center"/>
              <w:rPr>
                <w:rFonts w:ascii="宋体" w:hAnsi="宋体"/>
                <w:color w:val="auto"/>
                <w:kern w:val="0"/>
                <w:sz w:val="24"/>
                <w:highlight w:val="none"/>
              </w:rPr>
            </w:pPr>
            <w:r>
              <w:rPr>
                <w:rFonts w:hint="eastAsia" w:ascii="宋体" w:hAnsi="宋体"/>
                <w:color w:val="auto"/>
                <w:kern w:val="0"/>
                <w:sz w:val="24"/>
                <w:highlight w:val="none"/>
              </w:rPr>
              <w:t>开户银行</w:t>
            </w:r>
          </w:p>
        </w:tc>
        <w:tc>
          <w:tcPr>
            <w:tcW w:w="2397" w:type="dxa"/>
            <w:tcBorders>
              <w:top w:val="single" w:color="auto" w:sz="4" w:space="0"/>
              <w:left w:val="single" w:color="auto" w:sz="4" w:space="0"/>
              <w:bottom w:val="single" w:color="auto" w:sz="4" w:space="0"/>
              <w:right w:val="single" w:color="auto" w:sz="4" w:space="0"/>
            </w:tcBorders>
            <w:noWrap w:val="0"/>
            <w:vAlign w:val="center"/>
          </w:tcPr>
          <w:p w14:paraId="01937124">
            <w:pPr>
              <w:keepLines w:val="0"/>
              <w:pageBreakBefore w:val="0"/>
              <w:kinsoku/>
              <w:topLinePunct w:val="0"/>
              <w:bidi w:val="0"/>
              <w:spacing w:line="360" w:lineRule="auto"/>
              <w:jc w:val="center"/>
              <w:rPr>
                <w:rFonts w:ascii="宋体" w:hAnsi="宋体"/>
                <w:color w:val="auto"/>
                <w:kern w:val="0"/>
                <w:sz w:val="24"/>
                <w:highlight w:val="none"/>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14:paraId="20BD234C">
            <w:pPr>
              <w:keepLines w:val="0"/>
              <w:pageBreakBefore w:val="0"/>
              <w:kinsoku/>
              <w:topLinePunct w:val="0"/>
              <w:bidi w:val="0"/>
              <w:spacing w:line="360" w:lineRule="auto"/>
              <w:jc w:val="center"/>
              <w:rPr>
                <w:rFonts w:ascii="宋体" w:hAnsi="宋体"/>
                <w:color w:val="auto"/>
                <w:kern w:val="0"/>
                <w:sz w:val="24"/>
                <w:highlight w:val="none"/>
              </w:rPr>
            </w:pPr>
            <w:r>
              <w:rPr>
                <w:rFonts w:hint="eastAsia" w:ascii="宋体" w:hAnsi="宋体"/>
                <w:color w:val="auto"/>
                <w:kern w:val="0"/>
                <w:sz w:val="24"/>
                <w:highlight w:val="none"/>
              </w:rPr>
              <w:t>开户银行</w:t>
            </w:r>
          </w:p>
        </w:tc>
        <w:tc>
          <w:tcPr>
            <w:tcW w:w="2767" w:type="dxa"/>
            <w:tcBorders>
              <w:top w:val="single" w:color="auto" w:sz="4" w:space="0"/>
              <w:left w:val="single" w:color="auto" w:sz="4" w:space="0"/>
              <w:bottom w:val="single" w:color="auto" w:sz="4" w:space="0"/>
              <w:right w:val="single" w:color="auto" w:sz="4" w:space="0"/>
            </w:tcBorders>
            <w:noWrap w:val="0"/>
            <w:vAlign w:val="center"/>
          </w:tcPr>
          <w:p w14:paraId="4FF236D0">
            <w:pPr>
              <w:keepLines w:val="0"/>
              <w:pageBreakBefore w:val="0"/>
              <w:kinsoku/>
              <w:topLinePunct w:val="0"/>
              <w:bidi w:val="0"/>
              <w:spacing w:line="360" w:lineRule="auto"/>
              <w:jc w:val="center"/>
              <w:rPr>
                <w:rFonts w:ascii="宋体" w:hAnsi="宋体"/>
                <w:color w:val="auto"/>
                <w:kern w:val="0"/>
                <w:sz w:val="24"/>
                <w:highlight w:val="none"/>
              </w:rPr>
            </w:pPr>
          </w:p>
        </w:tc>
      </w:tr>
      <w:tr w14:paraId="7755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76" w:type="dxa"/>
            <w:tcBorders>
              <w:top w:val="single" w:color="auto" w:sz="4" w:space="0"/>
              <w:left w:val="single" w:color="auto" w:sz="4" w:space="0"/>
              <w:bottom w:val="single" w:color="auto" w:sz="4" w:space="0"/>
              <w:right w:val="single" w:color="auto" w:sz="4" w:space="0"/>
            </w:tcBorders>
            <w:noWrap w:val="0"/>
            <w:vAlign w:val="center"/>
          </w:tcPr>
          <w:p w14:paraId="1328E627">
            <w:pPr>
              <w:keepLines w:val="0"/>
              <w:pageBreakBefore w:val="0"/>
              <w:kinsoku/>
              <w:topLinePunct w:val="0"/>
              <w:bidi w:val="0"/>
              <w:spacing w:line="360" w:lineRule="auto"/>
              <w:jc w:val="center"/>
              <w:rPr>
                <w:rFonts w:ascii="宋体" w:hAnsi="宋体"/>
                <w:color w:val="auto"/>
                <w:kern w:val="0"/>
                <w:sz w:val="24"/>
                <w:highlight w:val="none"/>
              </w:rPr>
            </w:pPr>
            <w:r>
              <w:rPr>
                <w:rFonts w:hint="eastAsia" w:ascii="宋体" w:hAnsi="宋体"/>
                <w:color w:val="auto"/>
                <w:kern w:val="0"/>
                <w:sz w:val="24"/>
                <w:highlight w:val="none"/>
              </w:rPr>
              <w:t>帐号</w:t>
            </w:r>
          </w:p>
        </w:tc>
        <w:tc>
          <w:tcPr>
            <w:tcW w:w="2397" w:type="dxa"/>
            <w:tcBorders>
              <w:top w:val="single" w:color="auto" w:sz="4" w:space="0"/>
              <w:left w:val="single" w:color="auto" w:sz="4" w:space="0"/>
              <w:bottom w:val="single" w:color="auto" w:sz="4" w:space="0"/>
              <w:right w:val="single" w:color="auto" w:sz="4" w:space="0"/>
            </w:tcBorders>
            <w:noWrap w:val="0"/>
            <w:vAlign w:val="center"/>
          </w:tcPr>
          <w:p w14:paraId="17AD0FE0">
            <w:pPr>
              <w:keepLines w:val="0"/>
              <w:pageBreakBefore w:val="0"/>
              <w:kinsoku/>
              <w:topLinePunct w:val="0"/>
              <w:bidi w:val="0"/>
              <w:spacing w:line="360" w:lineRule="auto"/>
              <w:jc w:val="center"/>
              <w:rPr>
                <w:rFonts w:ascii="宋体" w:hAnsi="宋体"/>
                <w:color w:val="auto"/>
                <w:kern w:val="0"/>
                <w:sz w:val="24"/>
                <w:highlight w:val="none"/>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14:paraId="0266EF08">
            <w:pPr>
              <w:keepLines w:val="0"/>
              <w:pageBreakBefore w:val="0"/>
              <w:kinsoku/>
              <w:topLinePunct w:val="0"/>
              <w:bidi w:val="0"/>
              <w:spacing w:line="360" w:lineRule="auto"/>
              <w:jc w:val="center"/>
              <w:rPr>
                <w:rFonts w:ascii="宋体" w:hAnsi="宋体"/>
                <w:color w:val="auto"/>
                <w:kern w:val="0"/>
                <w:sz w:val="24"/>
                <w:highlight w:val="none"/>
              </w:rPr>
            </w:pPr>
            <w:r>
              <w:rPr>
                <w:rFonts w:hint="eastAsia" w:ascii="宋体" w:hAnsi="宋体"/>
                <w:color w:val="auto"/>
                <w:kern w:val="0"/>
                <w:sz w:val="24"/>
                <w:highlight w:val="none"/>
              </w:rPr>
              <w:t>帐号</w:t>
            </w:r>
          </w:p>
        </w:tc>
        <w:tc>
          <w:tcPr>
            <w:tcW w:w="2767" w:type="dxa"/>
            <w:tcBorders>
              <w:top w:val="single" w:color="auto" w:sz="4" w:space="0"/>
              <w:left w:val="single" w:color="auto" w:sz="4" w:space="0"/>
              <w:bottom w:val="single" w:color="auto" w:sz="4" w:space="0"/>
              <w:right w:val="single" w:color="auto" w:sz="4" w:space="0"/>
            </w:tcBorders>
            <w:noWrap w:val="0"/>
            <w:vAlign w:val="center"/>
          </w:tcPr>
          <w:p w14:paraId="3A6B691F">
            <w:pPr>
              <w:keepLines w:val="0"/>
              <w:pageBreakBefore w:val="0"/>
              <w:kinsoku/>
              <w:topLinePunct w:val="0"/>
              <w:bidi w:val="0"/>
              <w:spacing w:line="360" w:lineRule="auto"/>
              <w:jc w:val="center"/>
              <w:rPr>
                <w:rFonts w:ascii="宋体" w:hAnsi="宋体"/>
                <w:color w:val="auto"/>
                <w:kern w:val="0"/>
                <w:sz w:val="24"/>
                <w:highlight w:val="none"/>
              </w:rPr>
            </w:pPr>
          </w:p>
        </w:tc>
      </w:tr>
    </w:tbl>
    <w:p w14:paraId="04C2DFF2">
      <w:pPr>
        <w:spacing w:line="360" w:lineRule="auto"/>
        <w:jc w:val="both"/>
        <w:outlineLvl w:val="0"/>
        <w:rPr>
          <w:rFonts w:hint="eastAsia" w:ascii="宋体" w:hAnsi="宋体" w:cs="宋体"/>
          <w:b/>
          <w:sz w:val="36"/>
          <w:szCs w:val="36"/>
        </w:rPr>
      </w:pPr>
    </w:p>
    <w:p w14:paraId="5624020C">
      <w:pPr>
        <w:pStyle w:val="22"/>
        <w:rPr>
          <w:rFonts w:ascii="宋体" w:hAnsi="宋体" w:cs="宋体"/>
          <w:b/>
          <w:color w:val="auto"/>
          <w:sz w:val="36"/>
          <w:szCs w:val="36"/>
        </w:rPr>
      </w:pPr>
    </w:p>
    <w:p w14:paraId="4F55FA33">
      <w:pPr>
        <w:rPr>
          <w:rFonts w:ascii="宋体" w:hAnsi="宋体" w:cs="宋体"/>
          <w:b/>
          <w:color w:val="auto"/>
          <w:sz w:val="36"/>
          <w:szCs w:val="36"/>
        </w:rPr>
      </w:pPr>
    </w:p>
    <w:p w14:paraId="01279E95">
      <w:pPr>
        <w:pStyle w:val="35"/>
        <w:rPr>
          <w:rFonts w:ascii="宋体" w:hAnsi="宋体" w:cs="宋体"/>
          <w:b/>
          <w:color w:val="auto"/>
          <w:sz w:val="36"/>
          <w:szCs w:val="36"/>
        </w:rPr>
      </w:pPr>
    </w:p>
    <w:p w14:paraId="3129A319">
      <w:pPr>
        <w:pStyle w:val="35"/>
        <w:rPr>
          <w:rFonts w:ascii="宋体" w:hAnsi="宋体" w:cs="宋体"/>
          <w:b/>
          <w:color w:val="auto"/>
          <w:sz w:val="36"/>
          <w:szCs w:val="36"/>
        </w:rPr>
      </w:pPr>
    </w:p>
    <w:p w14:paraId="3626195F">
      <w:pPr>
        <w:pStyle w:val="35"/>
        <w:rPr>
          <w:rFonts w:ascii="宋体" w:hAnsi="宋体" w:cs="宋体"/>
          <w:b/>
          <w:color w:val="auto"/>
          <w:sz w:val="36"/>
          <w:szCs w:val="36"/>
        </w:rPr>
      </w:pPr>
    </w:p>
    <w:p w14:paraId="03ACD572">
      <w:pPr>
        <w:pStyle w:val="35"/>
        <w:rPr>
          <w:rFonts w:ascii="宋体" w:hAnsi="宋体" w:cs="宋体"/>
          <w:b/>
          <w:color w:val="auto"/>
          <w:sz w:val="36"/>
          <w:szCs w:val="36"/>
        </w:rPr>
      </w:pPr>
    </w:p>
    <w:p w14:paraId="3F77EA1D">
      <w:pPr>
        <w:pStyle w:val="35"/>
        <w:rPr>
          <w:rFonts w:ascii="宋体" w:hAnsi="宋体" w:cs="宋体"/>
          <w:b/>
          <w:color w:val="auto"/>
          <w:sz w:val="36"/>
          <w:szCs w:val="36"/>
        </w:rPr>
      </w:pPr>
    </w:p>
    <w:p w14:paraId="08F93FB2">
      <w:pPr>
        <w:pStyle w:val="35"/>
        <w:rPr>
          <w:rFonts w:ascii="宋体" w:hAnsi="宋体" w:cs="宋体"/>
          <w:b/>
          <w:color w:val="auto"/>
          <w:sz w:val="36"/>
          <w:szCs w:val="36"/>
        </w:rPr>
      </w:pPr>
    </w:p>
    <w:p w14:paraId="1C8CC811"/>
    <w:p w14:paraId="64359201">
      <w:pPr>
        <w:spacing w:line="360" w:lineRule="auto"/>
        <w:jc w:val="center"/>
        <w:outlineLvl w:val="0"/>
        <w:rPr>
          <w:rFonts w:ascii="宋体" w:hAnsi="宋体" w:cs="宋体"/>
          <w:b/>
          <w:color w:val="auto"/>
          <w:sz w:val="36"/>
          <w:szCs w:val="36"/>
        </w:rPr>
      </w:pPr>
      <w:bookmarkStart w:id="445" w:name="_Toc13109"/>
      <w:r>
        <w:rPr>
          <w:rFonts w:hint="eastAsia" w:ascii="宋体" w:hAnsi="宋体" w:cs="宋体"/>
          <w:b/>
          <w:color w:val="auto"/>
          <w:sz w:val="36"/>
          <w:szCs w:val="36"/>
        </w:rPr>
        <w:t>第六部分 应提交的有关格式范例</w:t>
      </w:r>
      <w:bookmarkEnd w:id="445"/>
    </w:p>
    <w:p w14:paraId="29978719">
      <w:pPr>
        <w:spacing w:line="360" w:lineRule="auto"/>
        <w:ind w:firstLine="480" w:firstLineChars="200"/>
        <w:outlineLvl w:val="0"/>
        <w:rPr>
          <w:rFonts w:ascii="宋体" w:hAnsi="宋体" w:cs="宋体"/>
          <w:color w:val="auto"/>
          <w:sz w:val="24"/>
        </w:rPr>
      </w:pPr>
    </w:p>
    <w:p w14:paraId="256C35DC">
      <w:pPr>
        <w:spacing w:line="360" w:lineRule="auto"/>
        <w:ind w:firstLine="480" w:firstLineChars="200"/>
        <w:rPr>
          <w:rFonts w:ascii="宋体" w:hAnsi="宋体" w:cs="宋体"/>
          <w:color w:val="auto"/>
          <w:sz w:val="24"/>
        </w:rPr>
      </w:pPr>
      <w:r>
        <w:rPr>
          <w:rFonts w:hint="eastAsia" w:ascii="宋体" w:hAnsi="宋体" w:cs="宋体"/>
          <w:color w:val="auto"/>
          <w:sz w:val="24"/>
        </w:rPr>
        <w:t>投标人按照以下格式编制投标文件，并将资格文件、商务技术文件、报价文件分别上传，并与招标文件的评分要点准确设置关联点。</w:t>
      </w:r>
    </w:p>
    <w:p w14:paraId="301DFA88">
      <w:pPr>
        <w:spacing w:line="360" w:lineRule="auto"/>
        <w:ind w:firstLine="482" w:firstLineChars="200"/>
        <w:rPr>
          <w:rFonts w:ascii="宋体" w:hAnsi="宋体" w:cs="宋体"/>
          <w:b/>
          <w:color w:val="auto"/>
          <w:sz w:val="24"/>
        </w:rPr>
      </w:pPr>
      <w:r>
        <w:rPr>
          <w:rFonts w:hint="eastAsia" w:ascii="宋体" w:hAnsi="宋体" w:cs="宋体"/>
          <w:b/>
          <w:color w:val="auto"/>
          <w:sz w:val="24"/>
        </w:rPr>
        <w:t>此格式内容仅为参考模板，具体内容投标人应根据招标文件要求进行调整。未按以下格式编制投标文件或因格式不规范、页码不清等原因引发的一切后果由投标人自行承担。</w:t>
      </w:r>
    </w:p>
    <w:p w14:paraId="307E3D6F">
      <w:pPr>
        <w:spacing w:line="360" w:lineRule="auto"/>
        <w:jc w:val="center"/>
        <w:rPr>
          <w:rFonts w:ascii="宋体" w:hAnsi="宋体" w:cs="宋体"/>
          <w:b/>
          <w:color w:val="auto"/>
          <w:kern w:val="0"/>
          <w:sz w:val="36"/>
          <w:szCs w:val="36"/>
        </w:rPr>
      </w:pPr>
      <w:r>
        <w:rPr>
          <w:rFonts w:hint="eastAsia" w:ascii="宋体" w:hAnsi="宋体" w:cs="宋体"/>
          <w:b/>
          <w:color w:val="auto"/>
          <w:sz w:val="24"/>
        </w:rPr>
        <w:br w:type="page"/>
      </w:r>
      <w:r>
        <w:rPr>
          <w:rFonts w:hint="eastAsia" w:ascii="宋体" w:hAnsi="宋体" w:cs="宋体"/>
          <w:b/>
          <w:color w:val="auto"/>
          <w:kern w:val="0"/>
          <w:sz w:val="36"/>
          <w:szCs w:val="36"/>
        </w:rPr>
        <w:t>资格文件部分</w:t>
      </w:r>
    </w:p>
    <w:p w14:paraId="4C1D68C8">
      <w:pPr>
        <w:spacing w:line="360" w:lineRule="auto"/>
        <w:jc w:val="center"/>
        <w:rPr>
          <w:rFonts w:ascii="宋体" w:hAnsi="宋体" w:cs="宋体"/>
          <w:b/>
          <w:color w:val="auto"/>
          <w:kern w:val="0"/>
          <w:sz w:val="36"/>
          <w:szCs w:val="36"/>
        </w:rPr>
      </w:pPr>
    </w:p>
    <w:p w14:paraId="018F5095">
      <w:pPr>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目录</w:t>
      </w:r>
    </w:p>
    <w:p w14:paraId="53F71855">
      <w:pPr>
        <w:spacing w:line="360" w:lineRule="auto"/>
        <w:ind w:firstLine="480" w:firstLineChars="200"/>
        <w:rPr>
          <w:rFonts w:ascii="宋体" w:hAnsi="宋体" w:cs="宋体"/>
          <w:color w:val="auto"/>
          <w:sz w:val="24"/>
        </w:rPr>
      </w:pPr>
      <w:r>
        <w:rPr>
          <w:rFonts w:hint="eastAsia" w:ascii="宋体" w:hAnsi="宋体" w:cs="宋体"/>
          <w:color w:val="auto"/>
          <w:sz w:val="24"/>
        </w:rPr>
        <w:t>（1）法定代表人授权书（格式见附件）；如法定代表人直接参加投标并对相应文件签字的（签字是指线下签字扫描后上传或者线上进行电子签章），只需提供其身份证复印件，否则则应提供授权代表身份证复印件；</w:t>
      </w:r>
    </w:p>
    <w:p w14:paraId="089C035A">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132BA253">
      <w:pPr>
        <w:spacing w:line="360" w:lineRule="auto"/>
        <w:ind w:firstLine="480" w:firstLineChars="200"/>
        <w:rPr>
          <w:rFonts w:ascii="宋体" w:hAnsi="宋体" w:cs="宋体"/>
          <w:color w:val="auto"/>
          <w:sz w:val="24"/>
        </w:rPr>
      </w:pPr>
      <w:r>
        <w:rPr>
          <w:rFonts w:hint="eastAsia" w:ascii="宋体" w:hAnsi="宋体" w:cs="宋体"/>
          <w:color w:val="auto"/>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330DC842">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）具有履行合同所必需的产品和专业技术能力的承诺函；</w:t>
      </w:r>
    </w:p>
    <w:p w14:paraId="62D95741">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）投标</w:t>
      </w:r>
      <w:r>
        <w:rPr>
          <w:rFonts w:hint="eastAsia" w:ascii="宋体" w:hAnsi="宋体" w:cs="宋体"/>
          <w:color w:val="auto"/>
          <w:sz w:val="24"/>
          <w:lang w:val="en-US" w:eastAsia="zh-CN"/>
        </w:rPr>
        <w:t>承诺函</w:t>
      </w:r>
      <w:r>
        <w:rPr>
          <w:rFonts w:hint="eastAsia" w:ascii="宋体" w:hAnsi="宋体" w:cs="宋体"/>
          <w:color w:val="auto"/>
          <w:sz w:val="24"/>
        </w:rPr>
        <w:t>（格式见附件）；</w:t>
      </w:r>
    </w:p>
    <w:p w14:paraId="507A19FC">
      <w:pPr>
        <w:pStyle w:val="6"/>
        <w:rPr>
          <w:rFonts w:ascii="宋体" w:hAnsi="宋体" w:cs="宋体"/>
          <w:color w:val="auto"/>
          <w:sz w:val="24"/>
          <w:szCs w:val="24"/>
        </w:rPr>
      </w:pPr>
    </w:p>
    <w:p w14:paraId="34A82F3F">
      <w:pPr>
        <w:pStyle w:val="5"/>
        <w:rPr>
          <w:rFonts w:hAnsi="宋体" w:cs="宋体"/>
          <w:b w:val="0"/>
          <w:color w:val="auto"/>
          <w:sz w:val="24"/>
          <w:szCs w:val="24"/>
        </w:rPr>
      </w:pPr>
      <w:r>
        <w:rPr>
          <w:rFonts w:hAnsi="宋体" w:cs="宋体"/>
          <w:color w:val="auto"/>
          <w:sz w:val="24"/>
          <w:szCs w:val="24"/>
        </w:rPr>
        <w:br w:type="page"/>
      </w:r>
      <w:r>
        <w:rPr>
          <w:rFonts w:hint="eastAsia" w:hAnsi="宋体" w:cs="宋体"/>
          <w:color w:val="auto"/>
          <w:sz w:val="24"/>
          <w:szCs w:val="24"/>
        </w:rPr>
        <w:t>附件一：</w:t>
      </w:r>
    </w:p>
    <w:p w14:paraId="2515C68B">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法定代表人授权书</w:t>
      </w:r>
    </w:p>
    <w:p w14:paraId="5C3ECF44">
      <w:pPr>
        <w:pStyle w:val="6"/>
        <w:spacing w:line="360" w:lineRule="auto"/>
        <w:rPr>
          <w:rFonts w:ascii="宋体" w:hAnsi="宋体" w:cs="宋体"/>
          <w:color w:val="auto"/>
        </w:rPr>
      </w:pPr>
    </w:p>
    <w:p w14:paraId="6667BAE6">
      <w:pPr>
        <w:spacing w:line="360" w:lineRule="auto"/>
        <w:ind w:firstLine="480" w:firstLineChars="200"/>
        <w:rPr>
          <w:rFonts w:ascii="宋体" w:hAnsi="宋体" w:cs="宋体"/>
          <w:color w:val="auto"/>
          <w:sz w:val="24"/>
        </w:rPr>
      </w:pPr>
      <w:r>
        <w:rPr>
          <w:rFonts w:hint="eastAsia" w:ascii="宋体" w:hAnsi="宋体" w:cs="宋体"/>
          <w:color w:val="auto"/>
          <w:sz w:val="24"/>
          <w:u w:val="single"/>
          <w:lang w:eastAsia="zh-CN"/>
        </w:rPr>
        <w:t>绍兴市上虞区崧厦街道新下湖村股份经济合作社</w:t>
      </w:r>
      <w:r>
        <w:rPr>
          <w:rFonts w:hint="eastAsia" w:ascii="宋体" w:hAnsi="宋体" w:cs="宋体"/>
          <w:color w:val="auto"/>
          <w:sz w:val="24"/>
        </w:rPr>
        <w:t>：</w:t>
      </w:r>
    </w:p>
    <w:p w14:paraId="4716B664">
      <w:pPr>
        <w:spacing w:line="360" w:lineRule="auto"/>
        <w:ind w:firstLine="480" w:firstLineChars="200"/>
        <w:rPr>
          <w:rFonts w:ascii="宋体" w:hAnsi="宋体" w:cs="宋体"/>
          <w:color w:val="auto"/>
          <w:sz w:val="24"/>
        </w:rPr>
      </w:pPr>
      <w:r>
        <w:rPr>
          <w:rFonts w:hint="eastAsia" w:ascii="宋体" w:hAnsi="宋体" w:cs="宋体"/>
          <w:color w:val="auto"/>
          <w:sz w:val="24"/>
          <w:u w:val="single"/>
          <w:lang w:eastAsia="zh-CN"/>
        </w:rPr>
        <w:t>绍兴明晨建设项目管理有限公司</w:t>
      </w:r>
      <w:r>
        <w:rPr>
          <w:rFonts w:hint="eastAsia" w:ascii="宋体" w:hAnsi="宋体" w:cs="宋体"/>
          <w:color w:val="auto"/>
          <w:sz w:val="24"/>
        </w:rPr>
        <w:t>：</w:t>
      </w:r>
    </w:p>
    <w:p w14:paraId="44A5BEC8">
      <w:pPr>
        <w:spacing w:line="360" w:lineRule="auto"/>
        <w:ind w:firstLine="480" w:firstLineChars="200"/>
        <w:rPr>
          <w:rFonts w:ascii="宋体" w:hAnsi="宋体" w:cs="宋体"/>
          <w:color w:val="auto"/>
          <w:sz w:val="24"/>
        </w:rPr>
      </w:pPr>
      <w:r>
        <w:rPr>
          <w:rFonts w:hint="eastAsia" w:ascii="宋体" w:hAnsi="宋体" w:cs="宋体"/>
          <w:color w:val="auto"/>
          <w:sz w:val="24"/>
          <w:u w:val="single"/>
        </w:rPr>
        <w:t xml:space="preserve">  （投标人全称）</w:t>
      </w:r>
      <w:r>
        <w:rPr>
          <w:rFonts w:hint="eastAsia" w:ascii="宋体" w:hAnsi="宋体" w:cs="宋体"/>
          <w:color w:val="auto"/>
          <w:sz w:val="24"/>
        </w:rPr>
        <w:t>法定代表人授权</w:t>
      </w:r>
      <w:r>
        <w:rPr>
          <w:rFonts w:hint="eastAsia" w:ascii="宋体" w:hAnsi="宋体" w:cs="宋体"/>
          <w:color w:val="auto"/>
          <w:sz w:val="24"/>
          <w:u w:val="single"/>
        </w:rPr>
        <w:t>（授权代表名称）</w:t>
      </w:r>
      <w:r>
        <w:rPr>
          <w:rFonts w:hint="eastAsia" w:ascii="宋体" w:hAnsi="宋体" w:cs="宋体"/>
          <w:color w:val="auto"/>
          <w:sz w:val="24"/>
        </w:rPr>
        <w:t>为授权代表，参加贵处组织的项目</w:t>
      </w:r>
      <w:r>
        <w:rPr>
          <w:rFonts w:hint="eastAsia" w:ascii="宋体" w:hAnsi="宋体" w:cs="宋体"/>
          <w:color w:val="auto"/>
          <w:sz w:val="24"/>
          <w:u w:val="single"/>
        </w:rPr>
        <w:t>（括号内填写招标编号）</w:t>
      </w:r>
      <w:r>
        <w:rPr>
          <w:rFonts w:hint="eastAsia" w:ascii="宋体" w:hAnsi="宋体" w:cs="宋体"/>
          <w:color w:val="auto"/>
          <w:sz w:val="24"/>
        </w:rPr>
        <w:t>，授权处理招投标活动中的一切事宜。</w:t>
      </w:r>
    </w:p>
    <w:p w14:paraId="298FCAEE">
      <w:pPr>
        <w:spacing w:line="360" w:lineRule="auto"/>
        <w:ind w:firstLine="480" w:firstLineChars="200"/>
        <w:rPr>
          <w:rFonts w:ascii="宋体" w:hAnsi="宋体" w:cs="宋体"/>
          <w:color w:val="auto"/>
          <w:sz w:val="24"/>
        </w:rPr>
      </w:pPr>
    </w:p>
    <w:p w14:paraId="66099EE8">
      <w:pPr>
        <w:spacing w:line="360" w:lineRule="auto"/>
        <w:ind w:firstLine="480" w:firstLineChars="200"/>
        <w:rPr>
          <w:rFonts w:ascii="宋体" w:hAnsi="宋体" w:cs="宋体"/>
          <w:color w:val="auto"/>
          <w:sz w:val="24"/>
        </w:rPr>
      </w:pPr>
      <w:r>
        <w:rPr>
          <w:rFonts w:hint="eastAsia" w:ascii="宋体" w:hAnsi="宋体" w:cs="宋体"/>
          <w:color w:val="auto"/>
          <w:sz w:val="24"/>
        </w:rPr>
        <w:t>法定代表人签字：</w:t>
      </w:r>
    </w:p>
    <w:p w14:paraId="02EB75EB">
      <w:pPr>
        <w:spacing w:line="360" w:lineRule="auto"/>
        <w:ind w:firstLine="480" w:firstLineChars="200"/>
        <w:rPr>
          <w:rFonts w:ascii="宋体" w:hAnsi="宋体" w:cs="宋体"/>
          <w:color w:val="auto"/>
          <w:sz w:val="24"/>
        </w:rPr>
      </w:pPr>
      <w:r>
        <w:rPr>
          <w:rFonts w:hint="eastAsia" w:ascii="宋体" w:hAnsi="宋体" w:cs="宋体"/>
          <w:color w:val="auto"/>
          <w:sz w:val="24"/>
        </w:rPr>
        <w:t>投标人全称：（盖章）</w:t>
      </w:r>
    </w:p>
    <w:p w14:paraId="6C3DBD16">
      <w:pPr>
        <w:spacing w:line="360" w:lineRule="auto"/>
        <w:ind w:firstLine="480" w:firstLineChars="200"/>
        <w:rPr>
          <w:rFonts w:ascii="宋体" w:hAnsi="宋体" w:cs="宋体"/>
          <w:color w:val="auto"/>
          <w:sz w:val="24"/>
        </w:rPr>
      </w:pPr>
      <w:r>
        <w:rPr>
          <w:rFonts w:hint="eastAsia" w:ascii="宋体" w:hAnsi="宋体" w:cs="宋体"/>
          <w:color w:val="auto"/>
          <w:sz w:val="24"/>
        </w:rPr>
        <w:t>日期：</w:t>
      </w:r>
    </w:p>
    <w:p w14:paraId="217CD077">
      <w:pPr>
        <w:spacing w:line="360" w:lineRule="auto"/>
        <w:ind w:firstLine="480" w:firstLineChars="200"/>
        <w:rPr>
          <w:rFonts w:ascii="宋体" w:hAnsi="宋体" w:cs="宋体"/>
          <w:color w:val="auto"/>
          <w:sz w:val="24"/>
        </w:rPr>
      </w:pPr>
      <w:r>
        <w:rPr>
          <w:rFonts w:hint="eastAsia" w:ascii="宋体" w:hAnsi="宋体" w:cs="宋体"/>
          <w:color w:val="auto"/>
          <w:sz w:val="24"/>
        </w:rPr>
        <w:t>附：</w:t>
      </w:r>
    </w:p>
    <w:p w14:paraId="3C6AA9D5">
      <w:pPr>
        <w:spacing w:line="360" w:lineRule="auto"/>
        <w:ind w:firstLine="480" w:firstLineChars="200"/>
        <w:rPr>
          <w:rFonts w:ascii="宋体" w:hAnsi="宋体" w:cs="宋体"/>
          <w:color w:val="auto"/>
          <w:sz w:val="24"/>
        </w:rPr>
      </w:pPr>
      <w:r>
        <w:rPr>
          <w:rFonts w:hint="eastAsia" w:ascii="宋体" w:hAnsi="宋体" w:cs="宋体"/>
          <w:color w:val="auto"/>
          <w:sz w:val="24"/>
        </w:rPr>
        <w:t>授权代表姓名：</w:t>
      </w:r>
    </w:p>
    <w:p w14:paraId="71F4450D">
      <w:pPr>
        <w:spacing w:line="360" w:lineRule="auto"/>
        <w:ind w:firstLine="480" w:firstLineChars="200"/>
        <w:rPr>
          <w:rFonts w:ascii="宋体" w:hAnsi="宋体" w:cs="宋体"/>
          <w:color w:val="auto"/>
          <w:sz w:val="24"/>
        </w:rPr>
      </w:pPr>
      <w:r>
        <w:rPr>
          <w:rFonts w:hint="eastAsia" w:ascii="宋体" w:hAnsi="宋体" w:cs="宋体"/>
          <w:color w:val="auto"/>
          <w:sz w:val="24"/>
        </w:rPr>
        <w:t>职务：</w:t>
      </w:r>
    </w:p>
    <w:p w14:paraId="1EED75D2">
      <w:pPr>
        <w:spacing w:line="360" w:lineRule="auto"/>
        <w:ind w:firstLine="480" w:firstLineChars="200"/>
        <w:rPr>
          <w:rFonts w:ascii="宋体" w:hAnsi="宋体" w:cs="宋体"/>
          <w:color w:val="auto"/>
          <w:sz w:val="24"/>
        </w:rPr>
      </w:pPr>
      <w:r>
        <w:rPr>
          <w:rFonts w:hint="eastAsia" w:ascii="宋体" w:hAnsi="宋体" w:cs="宋体"/>
          <w:color w:val="auto"/>
          <w:sz w:val="24"/>
        </w:rPr>
        <w:t>详细通讯地址：</w:t>
      </w:r>
    </w:p>
    <w:p w14:paraId="560D4587">
      <w:pPr>
        <w:spacing w:line="360" w:lineRule="auto"/>
        <w:ind w:firstLine="480" w:firstLineChars="200"/>
        <w:rPr>
          <w:rFonts w:ascii="宋体" w:hAnsi="宋体" w:cs="宋体"/>
          <w:color w:val="auto"/>
          <w:sz w:val="24"/>
        </w:rPr>
      </w:pPr>
      <w:r>
        <w:rPr>
          <w:rFonts w:hint="eastAsia" w:ascii="宋体" w:hAnsi="宋体" w:cs="宋体"/>
          <w:color w:val="auto"/>
          <w:sz w:val="24"/>
        </w:rPr>
        <w:t>传真：</w:t>
      </w:r>
    </w:p>
    <w:p w14:paraId="77E2BEC2">
      <w:pPr>
        <w:spacing w:line="360" w:lineRule="auto"/>
        <w:ind w:firstLine="480" w:firstLineChars="200"/>
        <w:rPr>
          <w:rFonts w:ascii="宋体" w:hAnsi="宋体" w:cs="宋体"/>
          <w:color w:val="auto"/>
          <w:sz w:val="24"/>
        </w:rPr>
      </w:pPr>
      <w:r>
        <w:rPr>
          <w:rFonts w:hint="eastAsia" w:ascii="宋体" w:hAnsi="宋体" w:cs="宋体"/>
          <w:color w:val="auto"/>
          <w:sz w:val="24"/>
        </w:rPr>
        <w:t>电话：</w:t>
      </w:r>
    </w:p>
    <w:p w14:paraId="1FF06D40">
      <w:pPr>
        <w:spacing w:line="360" w:lineRule="auto"/>
        <w:ind w:firstLine="480" w:firstLineChars="200"/>
        <w:rPr>
          <w:rFonts w:ascii="宋体" w:hAnsi="宋体" w:cs="宋体"/>
          <w:color w:val="auto"/>
          <w:sz w:val="24"/>
        </w:rPr>
      </w:pPr>
      <w:r>
        <w:rPr>
          <w:rFonts w:hint="eastAsia" w:ascii="宋体" w:hAnsi="宋体" w:cs="宋体"/>
          <w:color w:val="auto"/>
          <w:sz w:val="24"/>
        </w:rPr>
        <w:t>邮政编码：</w:t>
      </w:r>
    </w:p>
    <w:p w14:paraId="391B1B79">
      <w:pPr>
        <w:pStyle w:val="15"/>
        <w:snapToGrid w:val="0"/>
        <w:spacing w:line="360" w:lineRule="auto"/>
        <w:rPr>
          <w:rFonts w:hAnsi="宋体" w:cs="宋体"/>
          <w:color w:val="auto"/>
          <w:sz w:val="24"/>
        </w:rPr>
      </w:pPr>
    </w:p>
    <w:p w14:paraId="368C17EA">
      <w:pPr>
        <w:pStyle w:val="15"/>
        <w:snapToGrid w:val="0"/>
        <w:spacing w:line="360" w:lineRule="auto"/>
        <w:rPr>
          <w:rFonts w:hAnsi="宋体" w:cs="宋体"/>
          <w:color w:val="auto"/>
          <w:sz w:val="24"/>
        </w:rPr>
      </w:pPr>
    </w:p>
    <w:p w14:paraId="6F6D877D">
      <w:pPr>
        <w:pStyle w:val="15"/>
        <w:snapToGrid w:val="0"/>
        <w:spacing w:line="360" w:lineRule="auto"/>
        <w:rPr>
          <w:rFonts w:hAnsi="宋体" w:cs="宋体"/>
          <w:color w:val="auto"/>
          <w:sz w:val="24"/>
        </w:rPr>
      </w:pPr>
    </w:p>
    <w:p w14:paraId="71171B12">
      <w:pPr>
        <w:spacing w:line="360" w:lineRule="auto"/>
        <w:rPr>
          <w:rFonts w:ascii="宋体" w:hAnsi="宋体" w:cs="宋体"/>
          <w:b/>
          <w:color w:val="auto"/>
          <w:sz w:val="24"/>
        </w:rPr>
      </w:pPr>
      <w:r>
        <w:rPr>
          <w:rFonts w:hint="eastAsia" w:ascii="宋体" w:hAnsi="宋体" w:cs="宋体"/>
          <w:b/>
          <w:color w:val="auto"/>
          <w:sz w:val="24"/>
        </w:rPr>
        <w:t>附：授权代表身份证复印件（正反面）</w:t>
      </w:r>
    </w:p>
    <w:p w14:paraId="600EFE29">
      <w:pPr>
        <w:spacing w:line="360" w:lineRule="auto"/>
        <w:rPr>
          <w:rFonts w:ascii="宋体" w:hAnsi="宋体" w:cs="宋体"/>
          <w:b/>
          <w:color w:val="auto"/>
          <w:sz w:val="24"/>
        </w:rPr>
      </w:pPr>
    </w:p>
    <w:p w14:paraId="06D83FF7">
      <w:pPr>
        <w:pStyle w:val="3"/>
        <w:ind w:firstLine="486"/>
        <w:rPr>
          <w:rFonts w:ascii="宋体" w:hAnsi="宋体" w:cs="宋体"/>
          <w:color w:val="auto"/>
        </w:rPr>
      </w:pPr>
    </w:p>
    <w:p w14:paraId="48CEA59D">
      <w:pPr>
        <w:snapToGrid w:val="0"/>
        <w:spacing w:before="50" w:afterLines="50"/>
        <w:jc w:val="left"/>
        <w:rPr>
          <w:rFonts w:ascii="宋体" w:hAnsi="宋体" w:cs="宋体"/>
          <w:b/>
          <w:bCs/>
          <w:color w:val="auto"/>
          <w:sz w:val="24"/>
          <w:lang w:val="zh-CN"/>
        </w:rPr>
      </w:pPr>
      <w:r>
        <w:rPr>
          <w:rFonts w:hint="eastAsia" w:ascii="宋体" w:hAnsi="宋体" w:cs="宋体"/>
          <w:b/>
          <w:bCs/>
          <w:color w:val="auto"/>
          <w:sz w:val="24"/>
        </w:rPr>
        <w:br w:type="page"/>
      </w:r>
      <w:r>
        <w:rPr>
          <w:rFonts w:hint="eastAsia" w:ascii="宋体" w:hAnsi="宋体" w:cs="宋体"/>
          <w:b/>
          <w:bCs/>
          <w:color w:val="auto"/>
          <w:sz w:val="24"/>
          <w:lang w:val="zh-CN"/>
        </w:rPr>
        <w:t>附件二：</w:t>
      </w:r>
    </w:p>
    <w:p w14:paraId="2E77318B">
      <w:pPr>
        <w:spacing w:line="360" w:lineRule="auto"/>
        <w:jc w:val="center"/>
        <w:rPr>
          <w:rFonts w:ascii="宋体" w:cs="宋体"/>
          <w:b/>
          <w:bCs/>
          <w:color w:val="auto"/>
          <w:sz w:val="32"/>
          <w:szCs w:val="32"/>
        </w:rPr>
      </w:pPr>
      <w:r>
        <w:rPr>
          <w:rFonts w:hint="eastAsia" w:ascii="宋体" w:hAnsi="宋体" w:cs="宋体"/>
          <w:b/>
          <w:bCs/>
          <w:color w:val="auto"/>
          <w:sz w:val="32"/>
          <w:szCs w:val="32"/>
        </w:rPr>
        <w:t>投</w:t>
      </w:r>
      <w:r>
        <w:rPr>
          <w:rFonts w:ascii="宋体" w:hAnsi="宋体" w:cs="宋体"/>
          <w:b/>
          <w:bCs/>
          <w:color w:val="auto"/>
          <w:sz w:val="32"/>
          <w:szCs w:val="32"/>
        </w:rPr>
        <w:t xml:space="preserve"> </w:t>
      </w:r>
      <w:r>
        <w:rPr>
          <w:rFonts w:hint="eastAsia" w:ascii="宋体" w:hAnsi="宋体" w:cs="宋体"/>
          <w:b/>
          <w:bCs/>
          <w:color w:val="auto"/>
          <w:sz w:val="32"/>
          <w:szCs w:val="32"/>
        </w:rPr>
        <w:t>标</w:t>
      </w:r>
      <w:r>
        <w:rPr>
          <w:rFonts w:ascii="宋体" w:hAnsi="宋体" w:cs="宋体"/>
          <w:b/>
          <w:bCs/>
          <w:color w:val="auto"/>
          <w:sz w:val="32"/>
          <w:szCs w:val="32"/>
        </w:rPr>
        <w:t xml:space="preserve"> </w:t>
      </w:r>
      <w:r>
        <w:rPr>
          <w:rFonts w:hint="eastAsia" w:ascii="宋体" w:hAnsi="宋体" w:cs="宋体"/>
          <w:b/>
          <w:bCs/>
          <w:color w:val="auto"/>
          <w:sz w:val="32"/>
          <w:szCs w:val="32"/>
        </w:rPr>
        <w:t>人</w:t>
      </w:r>
      <w:r>
        <w:rPr>
          <w:rFonts w:ascii="宋体" w:hAnsi="宋体" w:cs="宋体"/>
          <w:b/>
          <w:bCs/>
          <w:color w:val="auto"/>
          <w:sz w:val="32"/>
          <w:szCs w:val="32"/>
        </w:rPr>
        <w:t xml:space="preserve"> </w:t>
      </w:r>
      <w:r>
        <w:rPr>
          <w:rFonts w:hint="eastAsia" w:ascii="宋体" w:hAnsi="宋体" w:cs="宋体"/>
          <w:b/>
          <w:bCs/>
          <w:color w:val="auto"/>
          <w:sz w:val="32"/>
          <w:szCs w:val="32"/>
        </w:rPr>
        <w:t>承</w:t>
      </w:r>
      <w:r>
        <w:rPr>
          <w:rFonts w:ascii="宋体" w:hAnsi="宋体" w:cs="宋体"/>
          <w:b/>
          <w:bCs/>
          <w:color w:val="auto"/>
          <w:sz w:val="32"/>
          <w:szCs w:val="32"/>
        </w:rPr>
        <w:t xml:space="preserve"> </w:t>
      </w:r>
      <w:r>
        <w:rPr>
          <w:rFonts w:hint="eastAsia" w:ascii="宋体" w:hAnsi="宋体" w:cs="宋体"/>
          <w:b/>
          <w:bCs/>
          <w:color w:val="auto"/>
          <w:sz w:val="32"/>
          <w:szCs w:val="32"/>
        </w:rPr>
        <w:t>诺</w:t>
      </w:r>
      <w:r>
        <w:rPr>
          <w:rFonts w:ascii="宋体" w:hAnsi="宋体" w:cs="宋体"/>
          <w:b/>
          <w:bCs/>
          <w:color w:val="auto"/>
          <w:sz w:val="32"/>
          <w:szCs w:val="32"/>
        </w:rPr>
        <w:t xml:space="preserve"> </w:t>
      </w:r>
      <w:r>
        <w:rPr>
          <w:rFonts w:hint="eastAsia" w:ascii="宋体" w:hAnsi="宋体" w:cs="宋体"/>
          <w:b/>
          <w:bCs/>
          <w:color w:val="auto"/>
          <w:sz w:val="32"/>
          <w:szCs w:val="32"/>
        </w:rPr>
        <w:t>函</w:t>
      </w:r>
    </w:p>
    <w:p w14:paraId="77C6AD5B">
      <w:pPr>
        <w:pStyle w:val="23"/>
        <w:rPr>
          <w:color w:val="auto"/>
        </w:rPr>
      </w:pPr>
    </w:p>
    <w:p w14:paraId="2CB82439">
      <w:pPr>
        <w:rPr>
          <w:color w:val="auto"/>
        </w:rPr>
      </w:pPr>
    </w:p>
    <w:p w14:paraId="31282020">
      <w:pPr>
        <w:spacing w:line="360" w:lineRule="auto"/>
        <w:ind w:firstLine="480" w:firstLineChars="200"/>
        <w:rPr>
          <w:rFonts w:ascii="宋体"/>
          <w:color w:val="auto"/>
          <w:sz w:val="24"/>
          <w:szCs w:val="24"/>
        </w:rPr>
      </w:pPr>
      <w:r>
        <w:rPr>
          <w:rFonts w:hint="eastAsia" w:ascii="宋体" w:hAnsi="宋体" w:cs="宋体"/>
          <w:color w:val="auto"/>
          <w:sz w:val="24"/>
          <w:szCs w:val="24"/>
          <w:lang w:eastAsia="zh-CN"/>
        </w:rPr>
        <w:t>绍兴市上虞区崧厦街道新下湖村股份经济合作社</w:t>
      </w:r>
      <w:r>
        <w:rPr>
          <w:rFonts w:hint="eastAsia" w:ascii="宋体" w:hAnsi="宋体" w:cs="宋体"/>
          <w:color w:val="auto"/>
          <w:sz w:val="24"/>
          <w:szCs w:val="24"/>
        </w:rPr>
        <w:t>：</w:t>
      </w:r>
    </w:p>
    <w:p w14:paraId="13CFD12E">
      <w:pPr>
        <w:spacing w:line="360" w:lineRule="auto"/>
        <w:ind w:firstLine="480" w:firstLineChars="200"/>
        <w:rPr>
          <w:rFonts w:ascii="宋体"/>
          <w:color w:val="auto"/>
          <w:sz w:val="24"/>
          <w:szCs w:val="24"/>
        </w:rPr>
      </w:pPr>
      <w:r>
        <w:rPr>
          <w:rFonts w:hint="eastAsia" w:ascii="宋体" w:hAnsi="宋体" w:cs="宋体"/>
          <w:color w:val="auto"/>
          <w:sz w:val="24"/>
          <w:szCs w:val="24"/>
          <w:lang w:eastAsia="zh-CN"/>
        </w:rPr>
        <w:t>绍兴明晨建设项目管理有限公司</w:t>
      </w:r>
      <w:r>
        <w:rPr>
          <w:rFonts w:hint="eastAsia" w:ascii="宋体" w:hAnsi="宋体" w:cs="宋体"/>
          <w:color w:val="auto"/>
          <w:sz w:val="24"/>
          <w:szCs w:val="24"/>
        </w:rPr>
        <w:t>：</w:t>
      </w:r>
    </w:p>
    <w:p w14:paraId="6159988A">
      <w:pPr>
        <w:spacing w:line="360" w:lineRule="auto"/>
        <w:ind w:firstLine="480" w:firstLineChars="200"/>
        <w:rPr>
          <w:rFonts w:ascii="宋体" w:cs="宋体"/>
          <w:color w:val="auto"/>
          <w:sz w:val="24"/>
        </w:rPr>
      </w:pPr>
      <w:r>
        <w:rPr>
          <w:rFonts w:hint="eastAsia" w:ascii="宋体" w:hAnsi="宋体" w:cs="宋体"/>
          <w:color w:val="auto"/>
          <w:sz w:val="24"/>
          <w:u w:val="single"/>
        </w:rPr>
        <w:t>（投标人名称）</w:t>
      </w:r>
      <w:r>
        <w:rPr>
          <w:rFonts w:hint="eastAsia" w:ascii="宋体" w:hAnsi="宋体" w:cs="宋体"/>
          <w:color w:val="auto"/>
          <w:sz w:val="24"/>
        </w:rPr>
        <w:t>系中华人民共和国合法企业，经营地址。</w:t>
      </w:r>
    </w:p>
    <w:p w14:paraId="52959F86">
      <w:pPr>
        <w:spacing w:line="360" w:lineRule="auto"/>
        <w:ind w:firstLine="480" w:firstLineChars="200"/>
        <w:rPr>
          <w:rFonts w:ascii="宋体" w:cs="宋体"/>
          <w:color w:val="auto"/>
          <w:sz w:val="24"/>
        </w:rPr>
      </w:pPr>
      <w:r>
        <w:rPr>
          <w:rFonts w:hint="eastAsia" w:ascii="宋体" w:hAnsi="宋体" w:cs="宋体"/>
          <w:color w:val="auto"/>
          <w:sz w:val="24"/>
        </w:rPr>
        <w:t>我</w:t>
      </w:r>
      <w:r>
        <w:rPr>
          <w:rFonts w:hint="eastAsia" w:ascii="宋体" w:hAnsi="宋体" w:cs="宋体"/>
          <w:color w:val="auto"/>
          <w:sz w:val="24"/>
          <w:u w:val="single"/>
        </w:rPr>
        <w:t>（姓名）</w:t>
      </w:r>
      <w:r>
        <w:rPr>
          <w:rFonts w:hint="eastAsia" w:ascii="宋体" w:hAnsi="宋体" w:cs="宋体"/>
          <w:color w:val="auto"/>
          <w:sz w:val="24"/>
        </w:rPr>
        <w:t>系</w:t>
      </w:r>
      <w:r>
        <w:rPr>
          <w:rFonts w:hint="eastAsia" w:ascii="宋体" w:hAnsi="宋体" w:cs="宋体"/>
          <w:color w:val="auto"/>
          <w:sz w:val="24"/>
          <w:u w:val="single"/>
        </w:rPr>
        <w:t>（投标人名称）</w:t>
      </w:r>
      <w:r>
        <w:rPr>
          <w:rFonts w:hint="eastAsia" w:ascii="宋体" w:hAnsi="宋体" w:cs="宋体"/>
          <w:color w:val="auto"/>
          <w:sz w:val="24"/>
        </w:rPr>
        <w:t>的法定代表人，我方愿意参加贵方组织的</w:t>
      </w:r>
      <w:r>
        <w:rPr>
          <w:rFonts w:hint="eastAsia" w:ascii="宋体" w:hAnsi="宋体" w:cs="宋体"/>
          <w:color w:val="auto"/>
          <w:sz w:val="24"/>
          <w:u w:val="single"/>
        </w:rPr>
        <w:t>（招标项目名称）（编号为）</w:t>
      </w:r>
      <w:r>
        <w:rPr>
          <w:rFonts w:hint="eastAsia" w:ascii="宋体" w:hAnsi="宋体" w:cs="宋体"/>
          <w:color w:val="auto"/>
          <w:sz w:val="24"/>
        </w:rPr>
        <w:t>的投标，为此，我方就本次投标有关事项郑重承诺如下：</w:t>
      </w:r>
    </w:p>
    <w:p w14:paraId="35622AAB">
      <w:pPr>
        <w:spacing w:line="360" w:lineRule="auto"/>
        <w:ind w:firstLine="480" w:firstLineChars="200"/>
        <w:rPr>
          <w:rFonts w:ascii="宋体" w:cs="宋体"/>
          <w:color w:val="auto"/>
          <w:sz w:val="24"/>
        </w:rPr>
      </w:pPr>
      <w:r>
        <w:rPr>
          <w:rFonts w:ascii="宋体" w:hAnsi="宋体" w:cs="宋体"/>
          <w:color w:val="auto"/>
          <w:sz w:val="24"/>
        </w:rPr>
        <w:t>1</w:t>
      </w:r>
      <w:r>
        <w:rPr>
          <w:rFonts w:hint="eastAsia" w:ascii="宋体" w:hAnsi="宋体" w:cs="宋体"/>
          <w:color w:val="auto"/>
          <w:sz w:val="24"/>
        </w:rPr>
        <w:t>、我方已详细审查全部招标文件，同意招标文件的各项要求。</w:t>
      </w:r>
    </w:p>
    <w:p w14:paraId="2B392AFB">
      <w:pPr>
        <w:spacing w:line="360" w:lineRule="auto"/>
        <w:ind w:firstLine="480" w:firstLineChars="200"/>
        <w:rPr>
          <w:rFonts w:ascii="宋体" w:cs="宋体"/>
          <w:color w:val="auto"/>
          <w:sz w:val="24"/>
        </w:rPr>
      </w:pPr>
      <w:r>
        <w:rPr>
          <w:rFonts w:ascii="宋体" w:hAnsi="宋体" w:cs="宋体"/>
          <w:color w:val="auto"/>
          <w:sz w:val="24"/>
        </w:rPr>
        <w:t>2</w:t>
      </w:r>
      <w:r>
        <w:rPr>
          <w:rFonts w:hint="eastAsia" w:ascii="宋体" w:hAnsi="宋体" w:cs="宋体"/>
          <w:color w:val="auto"/>
          <w:sz w:val="24"/>
        </w:rPr>
        <w:t>、我方向贵方提交的所有投标文件、资料都是准确的和真实的。</w:t>
      </w:r>
    </w:p>
    <w:p w14:paraId="7B48ED16">
      <w:pPr>
        <w:spacing w:line="360" w:lineRule="auto"/>
        <w:ind w:firstLine="480" w:firstLineChars="200"/>
        <w:rPr>
          <w:rFonts w:ascii="宋体" w:cs="宋体"/>
          <w:color w:val="auto"/>
          <w:sz w:val="24"/>
        </w:rPr>
      </w:pPr>
      <w:r>
        <w:rPr>
          <w:rFonts w:ascii="宋体" w:hAnsi="宋体" w:cs="宋体"/>
          <w:color w:val="auto"/>
          <w:sz w:val="24"/>
        </w:rPr>
        <w:t>3</w:t>
      </w:r>
      <w:r>
        <w:rPr>
          <w:rFonts w:hint="eastAsia" w:ascii="宋体" w:hAnsi="宋体" w:cs="宋体"/>
          <w:color w:val="auto"/>
          <w:sz w:val="24"/>
        </w:rPr>
        <w:t>、若中标，我方将按招标文件规定履行合同责任和义务。</w:t>
      </w:r>
    </w:p>
    <w:p w14:paraId="4FED97E4">
      <w:pPr>
        <w:spacing w:line="360" w:lineRule="auto"/>
        <w:ind w:firstLine="480" w:firstLineChars="200"/>
        <w:rPr>
          <w:rFonts w:ascii="宋体" w:cs="宋体"/>
          <w:color w:val="auto"/>
          <w:sz w:val="24"/>
        </w:rPr>
      </w:pPr>
      <w:r>
        <w:rPr>
          <w:rFonts w:ascii="宋体" w:hAnsi="宋体" w:cs="宋体"/>
          <w:color w:val="auto"/>
          <w:sz w:val="24"/>
        </w:rPr>
        <w:t>4</w:t>
      </w:r>
      <w:r>
        <w:rPr>
          <w:rFonts w:hint="eastAsia" w:ascii="宋体" w:hAnsi="宋体" w:cs="宋体"/>
          <w:color w:val="auto"/>
          <w:sz w:val="24"/>
        </w:rPr>
        <w:t>、我方不是采购人的附属机构；在获知本项目采购信息后，与采购人聘请的为此项目提供咨询服务的公司及其附属机构没有任何联系。</w:t>
      </w:r>
    </w:p>
    <w:p w14:paraId="6B39D97D">
      <w:pPr>
        <w:spacing w:line="360" w:lineRule="auto"/>
        <w:ind w:firstLine="480" w:firstLineChars="200"/>
        <w:rPr>
          <w:rFonts w:ascii="宋体" w:cs="宋体"/>
          <w:color w:val="auto"/>
          <w:sz w:val="24"/>
        </w:rPr>
      </w:pPr>
      <w:r>
        <w:rPr>
          <w:rFonts w:ascii="宋体" w:hAnsi="宋体" w:cs="宋体"/>
          <w:color w:val="auto"/>
          <w:sz w:val="24"/>
        </w:rPr>
        <w:t>5</w:t>
      </w:r>
      <w:r>
        <w:rPr>
          <w:rFonts w:hint="eastAsia" w:ascii="宋体" w:hAnsi="宋体" w:cs="宋体"/>
          <w:color w:val="auto"/>
          <w:sz w:val="24"/>
        </w:rPr>
        <w:t>、投标文件自开标日起有效期为</w:t>
      </w:r>
      <w:r>
        <w:rPr>
          <w:rFonts w:ascii="宋体" w:hAnsi="宋体" w:cs="宋体"/>
          <w:color w:val="auto"/>
          <w:sz w:val="24"/>
        </w:rPr>
        <w:t>90</w:t>
      </w:r>
      <w:r>
        <w:rPr>
          <w:rFonts w:hint="eastAsia" w:ascii="宋体" w:hAnsi="宋体" w:cs="宋体"/>
          <w:color w:val="auto"/>
          <w:sz w:val="24"/>
        </w:rPr>
        <w:t>天。</w:t>
      </w:r>
    </w:p>
    <w:p w14:paraId="01CF173C">
      <w:pPr>
        <w:spacing w:line="360" w:lineRule="auto"/>
        <w:ind w:firstLine="480" w:firstLineChars="200"/>
        <w:rPr>
          <w:rFonts w:ascii="宋体" w:cs="宋体"/>
          <w:color w:val="auto"/>
          <w:sz w:val="24"/>
        </w:rPr>
      </w:pPr>
      <w:r>
        <w:rPr>
          <w:rFonts w:ascii="宋体" w:hAnsi="宋体" w:cs="宋体"/>
          <w:color w:val="auto"/>
          <w:sz w:val="24"/>
        </w:rPr>
        <w:t>6</w:t>
      </w:r>
      <w:r>
        <w:rPr>
          <w:rFonts w:hint="eastAsia" w:ascii="宋体" w:hAnsi="宋体" w:cs="宋体"/>
          <w:color w:val="auto"/>
          <w:sz w:val="24"/>
        </w:rPr>
        <w:t>、我方参与本项目前</w:t>
      </w:r>
      <w:r>
        <w:rPr>
          <w:rFonts w:ascii="宋体" w:hAnsi="宋体" w:cs="宋体"/>
          <w:color w:val="auto"/>
          <w:sz w:val="24"/>
        </w:rPr>
        <w:t>3</w:t>
      </w:r>
      <w:r>
        <w:rPr>
          <w:rFonts w:hint="eastAsia" w:ascii="宋体" w:hAnsi="宋体" w:cs="宋体"/>
          <w:color w:val="auto"/>
          <w:sz w:val="24"/>
        </w:rPr>
        <w:t>年内的经营活动中没有重大违法记录；</w:t>
      </w:r>
    </w:p>
    <w:p w14:paraId="2270A02C">
      <w:pPr>
        <w:spacing w:line="360" w:lineRule="auto"/>
        <w:ind w:firstLine="480" w:firstLineChars="200"/>
        <w:rPr>
          <w:rFonts w:ascii="宋体" w:cs="宋体"/>
          <w:color w:val="auto"/>
          <w:sz w:val="24"/>
        </w:rPr>
      </w:pPr>
      <w:r>
        <w:rPr>
          <w:rFonts w:ascii="宋体" w:hAnsi="宋体" w:cs="宋体"/>
          <w:color w:val="auto"/>
          <w:sz w:val="24"/>
        </w:rPr>
        <w:t>7</w:t>
      </w:r>
      <w:r>
        <w:rPr>
          <w:rFonts w:hint="eastAsia" w:ascii="宋体" w:hAnsi="宋体" w:cs="宋体"/>
          <w:color w:val="auto"/>
          <w:sz w:val="24"/>
        </w:rPr>
        <w:t>、我方通过“信用中国”网站（</w:t>
      </w:r>
      <w:r>
        <w:rPr>
          <w:rFonts w:ascii="宋体" w:hAnsi="宋体" w:cs="宋体"/>
          <w:color w:val="auto"/>
          <w:sz w:val="24"/>
        </w:rPr>
        <w:t>www.creditchina.gov.cn</w:t>
      </w:r>
      <w:r>
        <w:rPr>
          <w:rFonts w:hint="eastAsia" w:ascii="宋体" w:hAnsi="宋体" w:cs="宋体"/>
          <w:color w:val="auto"/>
          <w:sz w:val="24"/>
        </w:rPr>
        <w:t>）、中国政府采购网（</w:t>
      </w:r>
      <w:r>
        <w:rPr>
          <w:rFonts w:ascii="宋体" w:hAnsi="宋体" w:cs="宋体"/>
          <w:color w:val="auto"/>
          <w:sz w:val="24"/>
        </w:rPr>
        <w:t>www.ccgp.gov.cn</w:t>
      </w:r>
      <w:r>
        <w:rPr>
          <w:rFonts w:hint="eastAsia" w:ascii="宋体" w:hAnsi="宋体" w:cs="宋体"/>
          <w:color w:val="auto"/>
          <w:sz w:val="24"/>
        </w:rPr>
        <w:t>）查询，未被列入失信被执行人、重大税收违法案件当事人名单、政府采购严重违法失信行为记录名单。</w:t>
      </w:r>
    </w:p>
    <w:p w14:paraId="4D30F333">
      <w:pPr>
        <w:pStyle w:val="44"/>
        <w:spacing w:before="0"/>
        <w:ind w:firstLine="480"/>
        <w:jc w:val="left"/>
        <w:rPr>
          <w:rFonts w:ascii="宋体" w:cs="宋体"/>
          <w:color w:val="auto"/>
          <w:szCs w:val="24"/>
        </w:rPr>
      </w:pPr>
      <w:r>
        <w:rPr>
          <w:rFonts w:ascii="宋体" w:hAnsi="宋体" w:cs="宋体"/>
          <w:color w:val="auto"/>
        </w:rPr>
        <w:t>8</w:t>
      </w:r>
      <w:r>
        <w:rPr>
          <w:rFonts w:hint="eastAsia" w:ascii="宋体" w:hAnsi="宋体" w:cs="宋体"/>
          <w:color w:val="auto"/>
        </w:rPr>
        <w:t>、</w:t>
      </w:r>
      <w:r>
        <w:rPr>
          <w:rFonts w:hint="eastAsia" w:ascii="宋体" w:hAnsi="宋体" w:cs="宋体"/>
          <w:color w:val="auto"/>
          <w:szCs w:val="24"/>
        </w:rPr>
        <w:t>具有良好的商业信誉和健全的财务会计制度；</w:t>
      </w:r>
    </w:p>
    <w:p w14:paraId="2FFDA152">
      <w:pPr>
        <w:spacing w:line="360" w:lineRule="auto"/>
        <w:ind w:firstLine="480" w:firstLineChars="200"/>
        <w:rPr>
          <w:rFonts w:ascii="宋体" w:cs="宋体"/>
          <w:color w:val="auto"/>
          <w:sz w:val="24"/>
        </w:rPr>
      </w:pPr>
      <w:r>
        <w:rPr>
          <w:rFonts w:ascii="宋体" w:hAnsi="宋体" w:cs="宋体"/>
          <w:color w:val="auto"/>
          <w:sz w:val="24"/>
        </w:rPr>
        <w:t>9</w:t>
      </w:r>
      <w:r>
        <w:rPr>
          <w:rFonts w:hint="eastAsia" w:ascii="宋体" w:hAnsi="宋体" w:cs="宋体"/>
          <w:color w:val="auto"/>
          <w:sz w:val="24"/>
        </w:rPr>
        <w:t>、具有依法缴纳税收和社会保障资金的良好记录；</w:t>
      </w:r>
    </w:p>
    <w:p w14:paraId="47ECB8AD">
      <w:pPr>
        <w:spacing w:line="360" w:lineRule="auto"/>
        <w:ind w:firstLine="480" w:firstLineChars="200"/>
        <w:rPr>
          <w:rFonts w:ascii="宋体" w:cs="宋体"/>
          <w:color w:val="auto"/>
          <w:sz w:val="24"/>
        </w:rPr>
      </w:pPr>
      <w:r>
        <w:rPr>
          <w:rFonts w:ascii="宋体" w:hAnsi="宋体" w:cs="宋体"/>
          <w:color w:val="auto"/>
          <w:sz w:val="24"/>
        </w:rPr>
        <w:t>10</w:t>
      </w:r>
      <w:r>
        <w:rPr>
          <w:rFonts w:hint="eastAsia" w:ascii="宋体" w:hAnsi="宋体" w:cs="宋体"/>
          <w:color w:val="auto"/>
          <w:sz w:val="24"/>
        </w:rPr>
        <w:t>、以上事项如有虚假或隐瞒，我方愿意承担一切后果，并不再寻求任何旨在减轻或免除法律责任的辩解。</w:t>
      </w:r>
    </w:p>
    <w:p w14:paraId="1FF0D0CD">
      <w:pPr>
        <w:spacing w:line="360" w:lineRule="auto"/>
        <w:ind w:firstLine="480" w:firstLineChars="200"/>
        <w:rPr>
          <w:rFonts w:ascii="宋体" w:cs="宋体"/>
          <w:color w:val="auto"/>
          <w:sz w:val="24"/>
        </w:rPr>
      </w:pPr>
    </w:p>
    <w:p w14:paraId="53A24130">
      <w:pPr>
        <w:pStyle w:val="3"/>
        <w:rPr>
          <w:color w:val="auto"/>
        </w:rPr>
      </w:pPr>
    </w:p>
    <w:p w14:paraId="1DD70F4D">
      <w:pPr>
        <w:spacing w:line="360" w:lineRule="auto"/>
        <w:ind w:left="3780" w:leftChars="1800" w:firstLine="480" w:firstLineChars="200"/>
        <w:rPr>
          <w:rFonts w:ascii="宋体" w:cs="宋体"/>
          <w:color w:val="auto"/>
          <w:sz w:val="24"/>
        </w:rPr>
      </w:pPr>
      <w:r>
        <w:rPr>
          <w:rFonts w:hint="eastAsia" w:ascii="宋体" w:hAnsi="宋体" w:cs="宋体"/>
          <w:color w:val="auto"/>
          <w:sz w:val="24"/>
        </w:rPr>
        <w:t>法定代表人签名（或签名章）：</w:t>
      </w:r>
      <w:r>
        <w:rPr>
          <w:rFonts w:ascii="宋体" w:hAnsi="宋体" w:cs="宋体"/>
          <w:color w:val="auto"/>
          <w:sz w:val="24"/>
        </w:rPr>
        <w:t xml:space="preserve">                       </w:t>
      </w:r>
    </w:p>
    <w:p w14:paraId="1AAC7093">
      <w:pPr>
        <w:spacing w:line="360" w:lineRule="auto"/>
        <w:ind w:left="3780" w:leftChars="1800" w:firstLine="480" w:firstLineChars="200"/>
        <w:rPr>
          <w:rFonts w:ascii="宋体" w:cs="宋体"/>
          <w:color w:val="auto"/>
          <w:sz w:val="24"/>
        </w:rPr>
      </w:pPr>
      <w:r>
        <w:rPr>
          <w:rFonts w:hint="eastAsia" w:ascii="宋体" w:hAnsi="宋体" w:cs="宋体"/>
          <w:color w:val="auto"/>
          <w:sz w:val="24"/>
        </w:rPr>
        <w:t>日</w:t>
      </w:r>
      <w:r>
        <w:rPr>
          <w:rFonts w:ascii="宋体" w:hAnsi="宋体" w:cs="宋体"/>
          <w:color w:val="auto"/>
          <w:sz w:val="24"/>
        </w:rPr>
        <w:t xml:space="preserve"> </w:t>
      </w:r>
      <w:r>
        <w:rPr>
          <w:rFonts w:hint="eastAsia" w:ascii="宋体" w:hAnsi="宋体" w:cs="宋体"/>
          <w:color w:val="auto"/>
          <w:sz w:val="24"/>
        </w:rPr>
        <w:t>期：</w:t>
      </w:r>
    </w:p>
    <w:p w14:paraId="6C46801A">
      <w:pPr>
        <w:spacing w:line="360" w:lineRule="auto"/>
        <w:ind w:left="3780" w:leftChars="1800" w:firstLine="480" w:firstLineChars="200"/>
        <w:rPr>
          <w:rFonts w:ascii="宋体" w:cs="宋体"/>
          <w:color w:val="auto"/>
          <w:sz w:val="24"/>
        </w:rPr>
      </w:pPr>
      <w:r>
        <w:rPr>
          <w:rFonts w:hint="eastAsia" w:ascii="宋体" w:hAnsi="宋体" w:cs="宋体"/>
          <w:color w:val="auto"/>
          <w:sz w:val="24"/>
        </w:rPr>
        <w:t>投标人全称（公章）：</w:t>
      </w:r>
    </w:p>
    <w:p w14:paraId="6BAEBE99">
      <w:pPr>
        <w:pStyle w:val="3"/>
        <w:ind w:firstLine="566"/>
        <w:rPr>
          <w:color w:val="auto"/>
          <w:sz w:val="28"/>
          <w:szCs w:val="28"/>
        </w:rPr>
      </w:pPr>
    </w:p>
    <w:p w14:paraId="7AB422F5">
      <w:pPr>
        <w:pStyle w:val="6"/>
        <w:rPr>
          <w:rFonts w:ascii="宋体" w:hAnsi="宋体" w:cs="宋体"/>
          <w:color w:val="auto"/>
        </w:rPr>
      </w:pPr>
    </w:p>
    <w:p w14:paraId="4BF93E9D">
      <w:pPr>
        <w:spacing w:line="360" w:lineRule="auto"/>
        <w:rPr>
          <w:rFonts w:ascii="宋体" w:hAnsi="宋体" w:cs="宋体"/>
          <w:b/>
          <w:color w:val="auto"/>
          <w:kern w:val="0"/>
          <w:sz w:val="36"/>
          <w:szCs w:val="36"/>
        </w:rPr>
      </w:pPr>
    </w:p>
    <w:p w14:paraId="0BAFEFDE">
      <w:pPr>
        <w:widowControl/>
        <w:jc w:val="left"/>
        <w:rPr>
          <w:rFonts w:ascii="宋体" w:hAnsi="宋体" w:cs="宋体"/>
          <w:b/>
          <w:bCs/>
          <w:color w:val="auto"/>
          <w:sz w:val="24"/>
          <w:lang w:val="zh-CN"/>
        </w:rPr>
      </w:pPr>
    </w:p>
    <w:p w14:paraId="37E5EFFC">
      <w:pPr>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商务技术文件</w:t>
      </w:r>
    </w:p>
    <w:p w14:paraId="436B7F5E">
      <w:pPr>
        <w:spacing w:line="360" w:lineRule="auto"/>
        <w:jc w:val="center"/>
        <w:rPr>
          <w:rFonts w:ascii="宋体" w:hAnsi="宋体" w:cs="宋体"/>
          <w:b/>
          <w:color w:val="auto"/>
          <w:kern w:val="0"/>
          <w:sz w:val="36"/>
          <w:szCs w:val="36"/>
        </w:rPr>
      </w:pPr>
    </w:p>
    <w:p w14:paraId="7951BA99">
      <w:pPr>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目录</w:t>
      </w:r>
    </w:p>
    <w:p w14:paraId="012DC8D3">
      <w:pPr>
        <w:pStyle w:val="44"/>
        <w:numPr>
          <w:ilvl w:val="0"/>
          <w:numId w:val="42"/>
        </w:numPr>
        <w:tabs>
          <w:tab w:val="left" w:pos="0"/>
        </w:tabs>
        <w:spacing w:before="0"/>
        <w:ind w:left="0" w:leftChars="0" w:firstLine="480" w:firstLineChars="200"/>
        <w:rPr>
          <w:rFonts w:hint="eastAsia" w:ascii="宋体" w:hAnsi="宋体" w:cs="宋体"/>
          <w:color w:val="auto"/>
          <w:szCs w:val="24"/>
          <w:highlight w:val="none"/>
        </w:rPr>
      </w:pPr>
      <w:r>
        <w:rPr>
          <w:rFonts w:hint="eastAsia" w:ascii="宋体" w:hAnsi="宋体" w:cs="宋体"/>
          <w:color w:val="auto"/>
          <w:szCs w:val="24"/>
          <w:highlight w:val="none"/>
        </w:rPr>
        <w:t>评分对应表（格式见附件，主要用于评委对应评分内容）</w:t>
      </w:r>
    </w:p>
    <w:p w14:paraId="01A39AE1">
      <w:pPr>
        <w:pStyle w:val="44"/>
        <w:numPr>
          <w:ilvl w:val="0"/>
          <w:numId w:val="42"/>
        </w:numPr>
        <w:tabs>
          <w:tab w:val="left" w:pos="0"/>
        </w:tabs>
        <w:spacing w:before="0"/>
        <w:ind w:left="0" w:leftChars="0" w:firstLine="480" w:firstLineChars="200"/>
        <w:rPr>
          <w:rFonts w:hint="eastAsia" w:ascii="宋体" w:hAnsi="宋体" w:cs="宋体"/>
          <w:color w:val="auto"/>
          <w:szCs w:val="24"/>
          <w:highlight w:val="none"/>
        </w:rPr>
      </w:pPr>
      <w:r>
        <w:rPr>
          <w:rFonts w:hint="eastAsia" w:ascii="宋体" w:hAnsi="宋体" w:cs="宋体"/>
          <w:color w:val="auto"/>
          <w:szCs w:val="24"/>
          <w:highlight w:val="none"/>
        </w:rPr>
        <w:t>供应商商务技术文件中资信分自评表（格式见附件）；</w:t>
      </w:r>
    </w:p>
    <w:p w14:paraId="3503F596">
      <w:pPr>
        <w:pStyle w:val="44"/>
        <w:numPr>
          <w:ilvl w:val="0"/>
          <w:numId w:val="42"/>
        </w:numPr>
        <w:tabs>
          <w:tab w:val="left" w:pos="0"/>
        </w:tabs>
        <w:spacing w:before="0"/>
        <w:ind w:left="0" w:leftChars="0" w:firstLine="480" w:firstLineChars="200"/>
        <w:rPr>
          <w:rFonts w:hint="eastAsia" w:ascii="宋体" w:hAnsi="宋体" w:cs="宋体"/>
          <w:color w:val="auto"/>
          <w:szCs w:val="24"/>
          <w:highlight w:val="none"/>
        </w:rPr>
      </w:pPr>
      <w:r>
        <w:rPr>
          <w:rFonts w:hint="eastAsia" w:ascii="宋体" w:hAnsi="宋体" w:cs="宋体"/>
          <w:color w:val="auto"/>
          <w:szCs w:val="24"/>
          <w:highlight w:val="none"/>
        </w:rPr>
        <w:t>项目明细清单（格式见附件）；</w:t>
      </w:r>
    </w:p>
    <w:p w14:paraId="37ECC215">
      <w:pPr>
        <w:pStyle w:val="44"/>
        <w:numPr>
          <w:ilvl w:val="0"/>
          <w:numId w:val="42"/>
        </w:numPr>
        <w:tabs>
          <w:tab w:val="left" w:pos="0"/>
        </w:tabs>
        <w:spacing w:before="0"/>
        <w:ind w:left="0" w:leftChars="0" w:firstLine="480" w:firstLineChars="200"/>
        <w:rPr>
          <w:rFonts w:hint="eastAsia" w:ascii="宋体" w:hAnsi="宋体" w:cs="宋体"/>
          <w:color w:val="auto"/>
          <w:szCs w:val="24"/>
          <w:highlight w:val="none"/>
        </w:rPr>
      </w:pPr>
      <w:r>
        <w:rPr>
          <w:rFonts w:hint="eastAsia" w:ascii="宋体" w:hAnsi="宋体" w:cs="宋体"/>
          <w:color w:val="auto"/>
          <w:szCs w:val="24"/>
          <w:highlight w:val="none"/>
        </w:rPr>
        <w:t>商务响应表（格式见附件）；</w:t>
      </w:r>
    </w:p>
    <w:p w14:paraId="468064E7">
      <w:pPr>
        <w:pStyle w:val="44"/>
        <w:numPr>
          <w:ilvl w:val="0"/>
          <w:numId w:val="42"/>
        </w:numPr>
        <w:tabs>
          <w:tab w:val="left" w:pos="0"/>
        </w:tabs>
        <w:spacing w:before="0"/>
        <w:ind w:left="0" w:leftChars="0" w:firstLine="480" w:firstLineChars="200"/>
        <w:rPr>
          <w:rFonts w:hint="eastAsia" w:ascii="宋体" w:hAnsi="宋体" w:cs="宋体"/>
          <w:color w:val="auto"/>
          <w:szCs w:val="24"/>
          <w:highlight w:val="none"/>
        </w:rPr>
      </w:pPr>
      <w:r>
        <w:rPr>
          <w:rFonts w:hint="eastAsia" w:cs="宋体"/>
          <w:color w:val="auto"/>
          <w:szCs w:val="24"/>
          <w:highlight w:val="none"/>
          <w:lang w:eastAsia="zh-CN"/>
        </w:rPr>
        <w:t>样品；</w:t>
      </w:r>
    </w:p>
    <w:p w14:paraId="45BDC84F">
      <w:pPr>
        <w:pStyle w:val="44"/>
        <w:numPr>
          <w:ilvl w:val="0"/>
          <w:numId w:val="42"/>
        </w:numPr>
        <w:tabs>
          <w:tab w:val="left" w:pos="0"/>
        </w:tabs>
        <w:spacing w:before="0"/>
        <w:ind w:left="0" w:leftChars="0" w:firstLine="480" w:firstLineChars="20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项目实施方案</w:t>
      </w:r>
      <w:r>
        <w:rPr>
          <w:rFonts w:hint="eastAsia" w:cs="宋体"/>
          <w:b w:val="0"/>
          <w:bCs w:val="0"/>
          <w:i w:val="0"/>
          <w:iCs w:val="0"/>
          <w:color w:val="000000"/>
          <w:kern w:val="0"/>
          <w:sz w:val="24"/>
          <w:szCs w:val="24"/>
          <w:u w:val="none"/>
          <w:lang w:val="en-US" w:eastAsia="zh-CN" w:bidi="ar"/>
        </w:rPr>
        <w:t>；</w:t>
      </w:r>
    </w:p>
    <w:p w14:paraId="3BADFE27">
      <w:pPr>
        <w:pStyle w:val="44"/>
        <w:numPr>
          <w:ilvl w:val="0"/>
          <w:numId w:val="42"/>
        </w:numPr>
        <w:tabs>
          <w:tab w:val="left" w:pos="0"/>
        </w:tabs>
        <w:spacing w:before="0"/>
        <w:ind w:left="0" w:leftChars="0" w:firstLine="480" w:firstLineChars="20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供货方案</w:t>
      </w:r>
      <w:r>
        <w:rPr>
          <w:rFonts w:hint="eastAsia" w:cs="宋体"/>
          <w:b w:val="0"/>
          <w:bCs w:val="0"/>
          <w:i w:val="0"/>
          <w:iCs w:val="0"/>
          <w:color w:val="000000"/>
          <w:kern w:val="0"/>
          <w:sz w:val="24"/>
          <w:szCs w:val="24"/>
          <w:u w:val="none"/>
          <w:lang w:val="en-US" w:eastAsia="zh-CN" w:bidi="ar"/>
        </w:rPr>
        <w:t>；</w:t>
      </w:r>
    </w:p>
    <w:p w14:paraId="4CA9764C">
      <w:pPr>
        <w:pStyle w:val="44"/>
        <w:numPr>
          <w:ilvl w:val="0"/>
          <w:numId w:val="42"/>
        </w:numPr>
        <w:tabs>
          <w:tab w:val="left" w:pos="0"/>
        </w:tabs>
        <w:spacing w:before="0"/>
        <w:ind w:left="0" w:leftChars="0" w:firstLine="480" w:firstLineChars="20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施工及服务质量的保证</w:t>
      </w:r>
      <w:r>
        <w:rPr>
          <w:rFonts w:hint="eastAsia" w:cs="宋体"/>
          <w:b w:val="0"/>
          <w:bCs w:val="0"/>
          <w:i w:val="0"/>
          <w:iCs w:val="0"/>
          <w:color w:val="000000"/>
          <w:kern w:val="0"/>
          <w:sz w:val="24"/>
          <w:szCs w:val="24"/>
          <w:u w:val="none"/>
          <w:lang w:val="en-US" w:eastAsia="zh-CN" w:bidi="ar"/>
        </w:rPr>
        <w:t>；</w:t>
      </w:r>
    </w:p>
    <w:p w14:paraId="1B3F466D">
      <w:pPr>
        <w:pStyle w:val="44"/>
        <w:numPr>
          <w:ilvl w:val="0"/>
          <w:numId w:val="42"/>
        </w:numPr>
        <w:tabs>
          <w:tab w:val="left" w:pos="0"/>
        </w:tabs>
        <w:spacing w:before="0"/>
        <w:ind w:left="0" w:leftChars="0" w:firstLine="480" w:firstLineChars="20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售后服务方案</w:t>
      </w:r>
      <w:r>
        <w:rPr>
          <w:rFonts w:hint="eastAsia" w:cs="宋体"/>
          <w:b w:val="0"/>
          <w:bCs w:val="0"/>
          <w:i w:val="0"/>
          <w:iCs w:val="0"/>
          <w:color w:val="000000"/>
          <w:kern w:val="0"/>
          <w:sz w:val="24"/>
          <w:szCs w:val="24"/>
          <w:u w:val="none"/>
          <w:lang w:val="en-US" w:eastAsia="zh-CN" w:bidi="ar"/>
        </w:rPr>
        <w:t>；</w:t>
      </w:r>
    </w:p>
    <w:p w14:paraId="7988F35A">
      <w:pPr>
        <w:pStyle w:val="44"/>
        <w:numPr>
          <w:ilvl w:val="0"/>
          <w:numId w:val="42"/>
        </w:numPr>
        <w:tabs>
          <w:tab w:val="left" w:pos="0"/>
        </w:tabs>
        <w:spacing w:before="0"/>
        <w:ind w:left="0" w:leftChars="0" w:firstLine="480" w:firstLineChars="200"/>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合理化建议；</w:t>
      </w:r>
    </w:p>
    <w:p w14:paraId="56100DB7">
      <w:pPr>
        <w:pStyle w:val="44"/>
        <w:numPr>
          <w:ilvl w:val="0"/>
          <w:numId w:val="42"/>
        </w:numPr>
        <w:tabs>
          <w:tab w:val="left" w:pos="0"/>
        </w:tabs>
        <w:spacing w:before="0"/>
        <w:ind w:left="0" w:leftChars="0" w:firstLine="480" w:firstLineChars="200"/>
        <w:rPr>
          <w:rFonts w:hint="eastAsia" w:ascii="宋体" w:hAnsi="宋体" w:eastAsia="宋体" w:cs="宋体"/>
          <w:color w:val="auto"/>
          <w:szCs w:val="24"/>
          <w:highlight w:val="none"/>
        </w:rPr>
      </w:pPr>
      <w:r>
        <w:rPr>
          <w:rFonts w:hint="eastAsia" w:ascii="宋体" w:hAnsi="宋体" w:eastAsia="宋体" w:cs="宋体"/>
          <w:b w:val="0"/>
          <w:bCs w:val="0"/>
          <w:i w:val="0"/>
          <w:iCs w:val="0"/>
          <w:color w:val="000000"/>
          <w:kern w:val="0"/>
          <w:sz w:val="24"/>
          <w:szCs w:val="24"/>
          <w:u w:val="none"/>
          <w:lang w:val="en-US" w:eastAsia="zh-CN" w:bidi="ar"/>
        </w:rPr>
        <w:t>证书</w:t>
      </w:r>
      <w:r>
        <w:rPr>
          <w:rFonts w:hint="eastAsia" w:ascii="宋体" w:hAnsi="宋体" w:eastAsia="宋体" w:cs="宋体"/>
          <w:color w:val="auto"/>
          <w:szCs w:val="24"/>
          <w:highlight w:val="none"/>
        </w:rPr>
        <w:t>技术标评分标准中要求的相关文件资料 。</w:t>
      </w:r>
    </w:p>
    <w:p w14:paraId="1D8E4925">
      <w:pPr>
        <w:pStyle w:val="3"/>
        <w:ind w:firstLine="566"/>
        <w:rPr>
          <w:rFonts w:ascii="宋体" w:hAnsi="宋体" w:cs="宋体"/>
          <w:color w:val="auto"/>
          <w:sz w:val="28"/>
          <w:szCs w:val="28"/>
        </w:rPr>
      </w:pPr>
    </w:p>
    <w:p w14:paraId="19B09F7C">
      <w:pPr>
        <w:pStyle w:val="3"/>
        <w:ind w:firstLine="566"/>
        <w:rPr>
          <w:rFonts w:ascii="宋体" w:hAnsi="宋体" w:cs="宋体"/>
          <w:color w:val="auto"/>
          <w:sz w:val="28"/>
          <w:szCs w:val="28"/>
        </w:rPr>
      </w:pPr>
    </w:p>
    <w:p w14:paraId="24AA2C00">
      <w:pPr>
        <w:pStyle w:val="3"/>
        <w:ind w:firstLine="566"/>
        <w:rPr>
          <w:rFonts w:ascii="宋体" w:hAnsi="宋体" w:cs="宋体"/>
          <w:color w:val="auto"/>
          <w:sz w:val="28"/>
          <w:szCs w:val="28"/>
        </w:rPr>
      </w:pPr>
    </w:p>
    <w:p w14:paraId="557C49F2">
      <w:pPr>
        <w:snapToGrid w:val="0"/>
        <w:spacing w:before="50" w:after="50"/>
        <w:jc w:val="left"/>
        <w:rPr>
          <w:rFonts w:ascii="宋体" w:hAnsi="宋体" w:cs="宋体"/>
          <w:b/>
          <w:bCs/>
          <w:color w:val="auto"/>
          <w:sz w:val="24"/>
          <w:lang w:val="zh-CN"/>
        </w:rPr>
      </w:pPr>
      <w:bookmarkStart w:id="446" w:name="_Toc10131"/>
      <w:r>
        <w:rPr>
          <w:rFonts w:ascii="宋体" w:hAnsi="宋体" w:cs="宋体"/>
          <w:b/>
          <w:bCs/>
          <w:color w:val="auto"/>
          <w:sz w:val="24"/>
          <w:lang w:val="zh-CN"/>
        </w:rPr>
        <w:br w:type="page"/>
      </w:r>
      <w:r>
        <w:rPr>
          <w:rFonts w:hint="eastAsia" w:ascii="宋体" w:hAnsi="宋体" w:cs="宋体"/>
          <w:b/>
          <w:bCs/>
          <w:color w:val="auto"/>
          <w:sz w:val="24"/>
          <w:lang w:val="zh-CN"/>
        </w:rPr>
        <w:t>附件三：</w:t>
      </w:r>
    </w:p>
    <w:p w14:paraId="6B41B2A9">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评分对应表</w:t>
      </w:r>
    </w:p>
    <w:p w14:paraId="72B4091E">
      <w:pPr>
        <w:snapToGrid w:val="0"/>
        <w:spacing w:before="50"/>
        <w:jc w:val="center"/>
        <w:rPr>
          <w:rFonts w:ascii="宋体" w:hAnsi="宋体" w:cs="宋体"/>
          <w:b/>
          <w:color w:val="auto"/>
          <w:sz w:val="32"/>
          <w:szCs w:val="32"/>
        </w:rPr>
      </w:pPr>
    </w:p>
    <w:p w14:paraId="7B9D84D3">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14:paraId="27FEEAA2">
      <w:pPr>
        <w:spacing w:line="360" w:lineRule="auto"/>
        <w:ind w:firstLine="480" w:firstLineChars="200"/>
        <w:rPr>
          <w:rFonts w:ascii="宋体" w:hAnsi="宋体" w:cs="宋体"/>
          <w:color w:val="auto"/>
          <w:sz w:val="24"/>
        </w:rPr>
      </w:pPr>
      <w:r>
        <w:rPr>
          <w:rFonts w:hint="eastAsia" w:ascii="宋体" w:hAnsi="宋体" w:cs="宋体"/>
          <w:color w:val="auto"/>
          <w:sz w:val="24"/>
        </w:rPr>
        <w:t>采购编号：</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47325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14:paraId="0D5F6937">
            <w:pPr>
              <w:jc w:val="center"/>
              <w:rPr>
                <w:rFonts w:ascii="宋体" w:hAnsi="宋体" w:cs="宋体"/>
                <w:color w:val="auto"/>
                <w:sz w:val="24"/>
              </w:rPr>
            </w:pPr>
            <w:r>
              <w:rPr>
                <w:rFonts w:hint="eastAsia" w:ascii="宋体" w:hAnsi="宋体" w:cs="宋体"/>
                <w:color w:val="auto"/>
                <w:sz w:val="24"/>
              </w:rPr>
              <w:t>评分项目</w:t>
            </w:r>
          </w:p>
        </w:tc>
        <w:tc>
          <w:tcPr>
            <w:tcW w:w="3060" w:type="dxa"/>
            <w:tcBorders>
              <w:top w:val="single" w:color="auto" w:sz="4" w:space="0"/>
              <w:left w:val="single" w:color="auto" w:sz="4" w:space="0"/>
              <w:bottom w:val="single" w:color="auto" w:sz="4" w:space="0"/>
              <w:right w:val="single" w:color="auto" w:sz="4" w:space="0"/>
            </w:tcBorders>
            <w:noWrap/>
            <w:vAlign w:val="center"/>
          </w:tcPr>
          <w:p w14:paraId="37CB39B8">
            <w:pPr>
              <w:jc w:val="center"/>
              <w:rPr>
                <w:rFonts w:ascii="宋体" w:hAnsi="宋体" w:cs="宋体"/>
                <w:color w:val="auto"/>
                <w:sz w:val="24"/>
              </w:rPr>
            </w:pPr>
            <w:r>
              <w:rPr>
                <w:rFonts w:hint="eastAsia" w:ascii="宋体" w:hAnsi="宋体" w:cs="宋体"/>
                <w:color w:val="auto"/>
                <w:sz w:val="24"/>
              </w:rPr>
              <w:t>投标文件对应资料</w:t>
            </w:r>
          </w:p>
        </w:tc>
        <w:tc>
          <w:tcPr>
            <w:tcW w:w="1977" w:type="dxa"/>
            <w:tcBorders>
              <w:top w:val="single" w:color="auto" w:sz="4" w:space="0"/>
              <w:left w:val="single" w:color="auto" w:sz="4" w:space="0"/>
              <w:bottom w:val="single" w:color="auto" w:sz="4" w:space="0"/>
              <w:right w:val="single" w:color="auto" w:sz="4" w:space="0"/>
            </w:tcBorders>
            <w:noWrap/>
            <w:vAlign w:val="center"/>
          </w:tcPr>
          <w:p w14:paraId="50353508">
            <w:pPr>
              <w:jc w:val="center"/>
              <w:rPr>
                <w:rFonts w:ascii="宋体" w:hAnsi="宋体" w:cs="宋体"/>
                <w:color w:val="auto"/>
                <w:sz w:val="24"/>
              </w:rPr>
            </w:pPr>
            <w:r>
              <w:rPr>
                <w:rFonts w:hint="eastAsia" w:ascii="宋体" w:hAnsi="宋体" w:cs="宋体"/>
                <w:color w:val="auto"/>
                <w:sz w:val="24"/>
              </w:rPr>
              <w:t>投标文件页码</w:t>
            </w:r>
          </w:p>
        </w:tc>
      </w:tr>
      <w:tr w14:paraId="50998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14:paraId="22C29B6B">
            <w:pPr>
              <w:jc w:val="center"/>
              <w:rPr>
                <w:rFonts w:ascii="宋体" w:hAnsi="宋体" w:cs="宋体"/>
                <w:color w:val="auto"/>
                <w:sz w:val="24"/>
              </w:rPr>
            </w:pPr>
            <w:r>
              <w:rPr>
                <w:rFonts w:hint="eastAsia" w:ascii="宋体" w:hAnsi="宋体" w:cs="宋体"/>
                <w:color w:val="auto"/>
                <w:sz w:val="24"/>
              </w:rPr>
              <w:t>对应评分办法及评分标准</w:t>
            </w:r>
          </w:p>
          <w:p w14:paraId="176BD853">
            <w:pPr>
              <w:jc w:val="center"/>
              <w:rPr>
                <w:rFonts w:ascii="宋体" w:hAnsi="宋体" w:cs="宋体"/>
                <w:color w:val="auto"/>
                <w:sz w:val="24"/>
              </w:rPr>
            </w:pPr>
            <w:r>
              <w:rPr>
                <w:rFonts w:hint="eastAsia" w:ascii="宋体" w:hAnsi="宋体" w:cs="宋体"/>
                <w:color w:val="auto"/>
                <w:sz w:val="24"/>
              </w:rPr>
              <w:t>（报价除外）</w:t>
            </w:r>
          </w:p>
        </w:tc>
        <w:tc>
          <w:tcPr>
            <w:tcW w:w="3060" w:type="dxa"/>
            <w:tcBorders>
              <w:top w:val="single" w:color="auto" w:sz="4" w:space="0"/>
              <w:left w:val="single" w:color="auto" w:sz="4" w:space="0"/>
              <w:bottom w:val="single" w:color="auto" w:sz="4" w:space="0"/>
              <w:right w:val="single" w:color="auto" w:sz="4" w:space="0"/>
            </w:tcBorders>
            <w:noWrap/>
            <w:vAlign w:val="center"/>
          </w:tcPr>
          <w:p w14:paraId="4001C482">
            <w:pPr>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14:paraId="683FCFD8">
            <w:pPr>
              <w:jc w:val="center"/>
              <w:rPr>
                <w:rFonts w:ascii="宋体" w:hAnsi="宋体" w:cs="宋体"/>
                <w:color w:val="auto"/>
                <w:sz w:val="24"/>
              </w:rPr>
            </w:pPr>
          </w:p>
        </w:tc>
      </w:tr>
      <w:tr w14:paraId="5760C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14:paraId="259C0110">
            <w:pPr>
              <w:jc w:val="center"/>
              <w:rPr>
                <w:rFonts w:ascii="宋体" w:hAnsi="宋体" w:cs="宋体"/>
                <w:color w:val="auto"/>
                <w:sz w:val="24"/>
              </w:rPr>
            </w:pPr>
            <w:r>
              <w:rPr>
                <w:rFonts w:hint="eastAsia" w:ascii="宋体" w:hAnsi="宋体" w:cs="宋体"/>
                <w:color w:val="auto"/>
                <w:sz w:val="24"/>
              </w:rPr>
              <w:t>……</w:t>
            </w:r>
          </w:p>
        </w:tc>
        <w:tc>
          <w:tcPr>
            <w:tcW w:w="3060" w:type="dxa"/>
            <w:tcBorders>
              <w:top w:val="single" w:color="auto" w:sz="4" w:space="0"/>
              <w:left w:val="single" w:color="auto" w:sz="4" w:space="0"/>
              <w:bottom w:val="single" w:color="auto" w:sz="4" w:space="0"/>
              <w:right w:val="single" w:color="auto" w:sz="4" w:space="0"/>
            </w:tcBorders>
            <w:noWrap/>
            <w:vAlign w:val="center"/>
          </w:tcPr>
          <w:p w14:paraId="53B38AAC">
            <w:pPr>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14:paraId="327D92AD">
            <w:pPr>
              <w:jc w:val="center"/>
              <w:rPr>
                <w:rFonts w:ascii="宋体" w:hAnsi="宋体" w:cs="宋体"/>
                <w:color w:val="auto"/>
                <w:sz w:val="24"/>
              </w:rPr>
            </w:pPr>
          </w:p>
        </w:tc>
      </w:tr>
      <w:tr w14:paraId="58A92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14:paraId="1EA49FE7">
            <w:pPr>
              <w:jc w:val="center"/>
              <w:rPr>
                <w:rFonts w:ascii="宋体" w:hAnsi="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510C3462">
            <w:pPr>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14:paraId="48252E39">
            <w:pPr>
              <w:jc w:val="center"/>
              <w:rPr>
                <w:rFonts w:ascii="宋体" w:hAnsi="宋体" w:cs="宋体"/>
                <w:color w:val="auto"/>
                <w:sz w:val="24"/>
              </w:rPr>
            </w:pPr>
          </w:p>
        </w:tc>
      </w:tr>
      <w:tr w14:paraId="7BA26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14:paraId="760502BB">
            <w:pPr>
              <w:spacing w:line="360" w:lineRule="auto"/>
              <w:ind w:firstLine="480" w:firstLineChars="200"/>
              <w:jc w:val="center"/>
              <w:rPr>
                <w:rFonts w:ascii="宋体" w:hAnsi="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030568EE">
            <w:pPr>
              <w:spacing w:line="360" w:lineRule="auto"/>
              <w:ind w:firstLine="480" w:firstLineChars="200"/>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14:paraId="68E3E3AB">
            <w:pPr>
              <w:spacing w:line="360" w:lineRule="auto"/>
              <w:ind w:firstLine="480" w:firstLineChars="200"/>
              <w:jc w:val="center"/>
              <w:rPr>
                <w:rFonts w:ascii="宋体" w:hAnsi="宋体" w:cs="宋体"/>
                <w:color w:val="auto"/>
                <w:sz w:val="24"/>
              </w:rPr>
            </w:pPr>
          </w:p>
        </w:tc>
      </w:tr>
      <w:tr w14:paraId="5F629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14:paraId="5CBB19AF">
            <w:pPr>
              <w:spacing w:line="360" w:lineRule="auto"/>
              <w:ind w:firstLine="480" w:firstLineChars="200"/>
              <w:jc w:val="center"/>
              <w:rPr>
                <w:rFonts w:ascii="宋体" w:hAnsi="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195C71BF">
            <w:pPr>
              <w:spacing w:line="360" w:lineRule="auto"/>
              <w:ind w:firstLine="480" w:firstLineChars="200"/>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14:paraId="0B9F82D4">
            <w:pPr>
              <w:spacing w:line="360" w:lineRule="auto"/>
              <w:ind w:firstLine="480" w:firstLineChars="200"/>
              <w:jc w:val="center"/>
              <w:rPr>
                <w:rFonts w:ascii="宋体" w:hAnsi="宋体" w:cs="宋体"/>
                <w:color w:val="auto"/>
                <w:sz w:val="24"/>
              </w:rPr>
            </w:pPr>
          </w:p>
        </w:tc>
      </w:tr>
      <w:tr w14:paraId="21490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14:paraId="6655D8FF">
            <w:pPr>
              <w:spacing w:line="360" w:lineRule="auto"/>
              <w:ind w:firstLine="480" w:firstLineChars="200"/>
              <w:jc w:val="center"/>
              <w:rPr>
                <w:rFonts w:ascii="宋体" w:hAnsi="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473EAEBA">
            <w:pPr>
              <w:spacing w:line="360" w:lineRule="auto"/>
              <w:ind w:firstLine="480" w:firstLineChars="200"/>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14:paraId="4DFA2CC1">
            <w:pPr>
              <w:spacing w:line="360" w:lineRule="auto"/>
              <w:ind w:firstLine="480" w:firstLineChars="200"/>
              <w:jc w:val="center"/>
              <w:rPr>
                <w:rFonts w:ascii="宋体" w:hAnsi="宋体" w:cs="宋体"/>
                <w:color w:val="auto"/>
                <w:sz w:val="24"/>
              </w:rPr>
            </w:pPr>
          </w:p>
        </w:tc>
      </w:tr>
      <w:tr w14:paraId="1D751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14:paraId="26D1AF01">
            <w:pPr>
              <w:spacing w:line="360" w:lineRule="auto"/>
              <w:ind w:firstLine="480" w:firstLineChars="200"/>
              <w:jc w:val="center"/>
              <w:rPr>
                <w:rFonts w:ascii="宋体" w:hAnsi="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0C3EC1D5">
            <w:pPr>
              <w:spacing w:line="360" w:lineRule="auto"/>
              <w:ind w:firstLine="480" w:firstLineChars="200"/>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14:paraId="391BB6C1">
            <w:pPr>
              <w:spacing w:line="360" w:lineRule="auto"/>
              <w:ind w:firstLine="480" w:firstLineChars="200"/>
              <w:jc w:val="center"/>
              <w:rPr>
                <w:rFonts w:ascii="宋体" w:hAnsi="宋体" w:cs="宋体"/>
                <w:color w:val="auto"/>
                <w:sz w:val="24"/>
              </w:rPr>
            </w:pPr>
          </w:p>
        </w:tc>
      </w:tr>
      <w:tr w14:paraId="7CF57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14:paraId="760AD73C">
            <w:pPr>
              <w:spacing w:line="360" w:lineRule="auto"/>
              <w:ind w:firstLine="480" w:firstLineChars="200"/>
              <w:jc w:val="center"/>
              <w:rPr>
                <w:rFonts w:ascii="宋体" w:hAnsi="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65BAD330">
            <w:pPr>
              <w:spacing w:line="360" w:lineRule="auto"/>
              <w:ind w:firstLine="480" w:firstLineChars="200"/>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14:paraId="38F10792">
            <w:pPr>
              <w:spacing w:line="360" w:lineRule="auto"/>
              <w:ind w:firstLine="480" w:firstLineChars="200"/>
              <w:jc w:val="center"/>
              <w:rPr>
                <w:rFonts w:ascii="宋体" w:hAnsi="宋体" w:cs="宋体"/>
                <w:color w:val="auto"/>
                <w:sz w:val="24"/>
              </w:rPr>
            </w:pPr>
          </w:p>
        </w:tc>
      </w:tr>
      <w:tr w14:paraId="4B2D6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14:paraId="10A04A20">
            <w:pPr>
              <w:spacing w:line="360" w:lineRule="auto"/>
              <w:ind w:firstLine="480" w:firstLineChars="200"/>
              <w:jc w:val="center"/>
              <w:rPr>
                <w:rFonts w:ascii="宋体" w:hAnsi="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226296FF">
            <w:pPr>
              <w:spacing w:line="360" w:lineRule="auto"/>
              <w:ind w:firstLine="480" w:firstLineChars="200"/>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14:paraId="597AB26B">
            <w:pPr>
              <w:spacing w:line="360" w:lineRule="auto"/>
              <w:ind w:firstLine="480" w:firstLineChars="200"/>
              <w:jc w:val="center"/>
              <w:rPr>
                <w:rFonts w:ascii="宋体" w:hAnsi="宋体" w:cs="宋体"/>
                <w:color w:val="auto"/>
                <w:sz w:val="24"/>
              </w:rPr>
            </w:pPr>
          </w:p>
        </w:tc>
      </w:tr>
    </w:tbl>
    <w:p w14:paraId="3E1C073E">
      <w:pPr>
        <w:spacing w:line="360" w:lineRule="auto"/>
        <w:ind w:firstLine="480" w:firstLineChars="200"/>
        <w:rPr>
          <w:rFonts w:ascii="宋体" w:hAnsi="宋体" w:cs="宋体"/>
          <w:color w:val="auto"/>
          <w:sz w:val="24"/>
        </w:rPr>
      </w:pPr>
    </w:p>
    <w:p w14:paraId="0033651B">
      <w:pPr>
        <w:spacing w:line="360" w:lineRule="auto"/>
        <w:ind w:left="3780" w:leftChars="1800" w:firstLine="480" w:firstLineChars="200"/>
        <w:rPr>
          <w:rFonts w:ascii="宋体" w:hAnsi="宋体" w:cs="宋体"/>
          <w:color w:val="auto"/>
          <w:sz w:val="24"/>
        </w:rPr>
      </w:pPr>
    </w:p>
    <w:p w14:paraId="7526EB06">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14:paraId="4CEDF4C3">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日 期：</w:t>
      </w:r>
    </w:p>
    <w:p w14:paraId="0B3183DA">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投标人全称（公章）：</w:t>
      </w:r>
    </w:p>
    <w:p w14:paraId="7B204862">
      <w:pPr>
        <w:snapToGrid w:val="0"/>
        <w:spacing w:before="50" w:afterLines="50"/>
        <w:jc w:val="left"/>
        <w:rPr>
          <w:rFonts w:ascii="宋体" w:hAnsi="宋体" w:cs="宋体"/>
          <w:color w:val="auto"/>
          <w:sz w:val="30"/>
          <w:szCs w:val="30"/>
        </w:rPr>
      </w:pPr>
    </w:p>
    <w:p w14:paraId="621938F4">
      <w:pPr>
        <w:pStyle w:val="5"/>
        <w:rPr>
          <w:rFonts w:hAnsi="宋体" w:cs="宋体"/>
          <w:bCs/>
          <w:color w:val="auto"/>
          <w:sz w:val="24"/>
          <w:szCs w:val="24"/>
        </w:rPr>
      </w:pPr>
      <w:r>
        <w:rPr>
          <w:rFonts w:hint="eastAsia" w:hAnsi="宋体" w:cs="宋体"/>
          <w:color w:val="auto"/>
          <w:sz w:val="30"/>
          <w:szCs w:val="30"/>
        </w:rPr>
        <w:br w:type="page"/>
      </w:r>
      <w:r>
        <w:rPr>
          <w:rFonts w:hint="eastAsia" w:hAnsi="宋体" w:cs="宋体"/>
          <w:bCs/>
          <w:color w:val="auto"/>
          <w:sz w:val="24"/>
          <w:szCs w:val="24"/>
        </w:rPr>
        <w:t>附件四：</w:t>
      </w:r>
    </w:p>
    <w:p w14:paraId="526E9229">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投标人商务技术文件中资信分自评表</w:t>
      </w:r>
      <w:bookmarkEnd w:id="446"/>
    </w:p>
    <w:p w14:paraId="7EF6CD4D">
      <w:pPr>
        <w:snapToGrid w:val="0"/>
        <w:spacing w:before="50"/>
        <w:jc w:val="center"/>
        <w:rPr>
          <w:rFonts w:ascii="宋体" w:hAnsi="宋体" w:cs="宋体"/>
          <w:b/>
          <w:color w:val="auto"/>
          <w:sz w:val="32"/>
          <w:szCs w:val="32"/>
        </w:rPr>
      </w:pPr>
    </w:p>
    <w:p w14:paraId="07F1FA1F">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14:paraId="182022F7">
      <w:pPr>
        <w:spacing w:line="360" w:lineRule="auto"/>
        <w:ind w:firstLine="480" w:firstLineChars="200"/>
        <w:rPr>
          <w:rFonts w:ascii="宋体" w:hAnsi="宋体" w:cs="宋体"/>
          <w:color w:val="auto"/>
          <w:sz w:val="24"/>
        </w:rPr>
      </w:pPr>
      <w:r>
        <w:rPr>
          <w:rFonts w:hint="eastAsia" w:ascii="宋体" w:hAnsi="宋体" w:cs="宋体"/>
          <w:color w:val="auto"/>
          <w:sz w:val="24"/>
        </w:rPr>
        <w:t>采购编号：</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1BFD7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14:paraId="0322EEFE">
            <w:pPr>
              <w:jc w:val="center"/>
              <w:rPr>
                <w:rFonts w:ascii="宋体" w:hAnsi="宋体" w:cs="宋体"/>
                <w:color w:val="auto"/>
                <w:sz w:val="24"/>
              </w:rPr>
            </w:pPr>
            <w:r>
              <w:rPr>
                <w:rFonts w:hint="eastAsia" w:ascii="宋体" w:hAnsi="宋体" w:cs="宋体"/>
                <w:color w:val="auto"/>
                <w:sz w:val="24"/>
              </w:rPr>
              <w:t>序号</w:t>
            </w:r>
          </w:p>
        </w:tc>
        <w:tc>
          <w:tcPr>
            <w:tcW w:w="2387" w:type="dxa"/>
            <w:noWrap/>
            <w:vAlign w:val="center"/>
          </w:tcPr>
          <w:p w14:paraId="25C2486D">
            <w:pPr>
              <w:jc w:val="center"/>
              <w:rPr>
                <w:rFonts w:ascii="宋体" w:hAnsi="宋体" w:cs="宋体"/>
                <w:color w:val="auto"/>
                <w:sz w:val="24"/>
              </w:rPr>
            </w:pPr>
            <w:r>
              <w:rPr>
                <w:rFonts w:hint="eastAsia" w:ascii="宋体" w:hAnsi="宋体" w:cs="宋体"/>
                <w:color w:val="auto"/>
                <w:sz w:val="24"/>
              </w:rPr>
              <w:t>资信分内容</w:t>
            </w:r>
          </w:p>
        </w:tc>
        <w:tc>
          <w:tcPr>
            <w:tcW w:w="1462" w:type="dxa"/>
            <w:noWrap/>
            <w:vAlign w:val="center"/>
          </w:tcPr>
          <w:p w14:paraId="4F1D4F3B">
            <w:pPr>
              <w:jc w:val="center"/>
              <w:rPr>
                <w:rFonts w:ascii="宋体" w:hAnsi="宋体" w:cs="宋体"/>
                <w:color w:val="auto"/>
                <w:sz w:val="24"/>
              </w:rPr>
            </w:pPr>
            <w:r>
              <w:rPr>
                <w:rFonts w:hint="eastAsia" w:ascii="宋体" w:hAnsi="宋体" w:cs="宋体"/>
                <w:color w:val="auto"/>
                <w:sz w:val="24"/>
              </w:rPr>
              <w:t>自评得分</w:t>
            </w:r>
          </w:p>
        </w:tc>
        <w:tc>
          <w:tcPr>
            <w:tcW w:w="2415" w:type="dxa"/>
            <w:tcBorders>
              <w:right w:val="single" w:color="auto" w:sz="4" w:space="0"/>
            </w:tcBorders>
            <w:noWrap/>
            <w:vAlign w:val="center"/>
          </w:tcPr>
          <w:p w14:paraId="525C15DE">
            <w:pPr>
              <w:jc w:val="center"/>
              <w:rPr>
                <w:rFonts w:ascii="宋体" w:hAnsi="宋体" w:cs="宋体"/>
                <w:color w:val="auto"/>
                <w:sz w:val="24"/>
              </w:rPr>
            </w:pPr>
            <w:r>
              <w:rPr>
                <w:rFonts w:hint="eastAsia" w:ascii="宋体" w:hAnsi="宋体" w:cs="宋体"/>
                <w:color w:val="auto"/>
                <w:sz w:val="24"/>
              </w:rPr>
              <w:t>投标文件对应资料</w:t>
            </w:r>
          </w:p>
        </w:tc>
        <w:tc>
          <w:tcPr>
            <w:tcW w:w="1746" w:type="dxa"/>
            <w:tcBorders>
              <w:left w:val="single" w:color="auto" w:sz="4" w:space="0"/>
            </w:tcBorders>
            <w:noWrap/>
            <w:vAlign w:val="center"/>
          </w:tcPr>
          <w:p w14:paraId="2CCFA21E">
            <w:pPr>
              <w:jc w:val="center"/>
              <w:rPr>
                <w:rFonts w:ascii="宋体" w:hAnsi="宋体" w:cs="宋体"/>
                <w:color w:val="auto"/>
                <w:sz w:val="24"/>
              </w:rPr>
            </w:pPr>
            <w:r>
              <w:rPr>
                <w:rFonts w:hint="eastAsia" w:ascii="宋体" w:hAnsi="宋体" w:cs="宋体"/>
                <w:color w:val="auto"/>
                <w:sz w:val="24"/>
              </w:rPr>
              <w:t>投标文件页码</w:t>
            </w:r>
          </w:p>
        </w:tc>
      </w:tr>
      <w:tr w14:paraId="47C0B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14:paraId="100A729F">
            <w:pPr>
              <w:jc w:val="center"/>
              <w:rPr>
                <w:rFonts w:ascii="宋体" w:hAnsi="宋体" w:cs="宋体"/>
                <w:color w:val="auto"/>
                <w:sz w:val="24"/>
              </w:rPr>
            </w:pPr>
            <w:r>
              <w:rPr>
                <w:rFonts w:hint="eastAsia" w:ascii="宋体" w:hAnsi="宋体" w:cs="宋体"/>
                <w:color w:val="auto"/>
                <w:sz w:val="24"/>
              </w:rPr>
              <w:t>1</w:t>
            </w:r>
          </w:p>
        </w:tc>
        <w:tc>
          <w:tcPr>
            <w:tcW w:w="2387" w:type="dxa"/>
            <w:noWrap/>
          </w:tcPr>
          <w:p w14:paraId="06270363">
            <w:pPr>
              <w:jc w:val="center"/>
              <w:rPr>
                <w:rFonts w:ascii="宋体" w:hAnsi="宋体" w:cs="宋体"/>
                <w:color w:val="auto"/>
                <w:sz w:val="24"/>
              </w:rPr>
            </w:pPr>
          </w:p>
        </w:tc>
        <w:tc>
          <w:tcPr>
            <w:tcW w:w="1462" w:type="dxa"/>
            <w:noWrap/>
          </w:tcPr>
          <w:p w14:paraId="0C70EB66">
            <w:pPr>
              <w:jc w:val="center"/>
              <w:rPr>
                <w:rFonts w:ascii="宋体" w:hAnsi="宋体" w:cs="宋体"/>
                <w:color w:val="auto"/>
                <w:sz w:val="24"/>
              </w:rPr>
            </w:pPr>
          </w:p>
        </w:tc>
        <w:tc>
          <w:tcPr>
            <w:tcW w:w="2415" w:type="dxa"/>
            <w:tcBorders>
              <w:right w:val="single" w:color="auto" w:sz="4" w:space="0"/>
            </w:tcBorders>
            <w:noWrap/>
          </w:tcPr>
          <w:p w14:paraId="308E3A7D">
            <w:pPr>
              <w:jc w:val="center"/>
              <w:rPr>
                <w:rFonts w:ascii="宋体" w:hAnsi="宋体" w:cs="宋体"/>
                <w:color w:val="auto"/>
                <w:sz w:val="24"/>
              </w:rPr>
            </w:pPr>
          </w:p>
        </w:tc>
        <w:tc>
          <w:tcPr>
            <w:tcW w:w="1746" w:type="dxa"/>
            <w:tcBorders>
              <w:left w:val="single" w:color="auto" w:sz="4" w:space="0"/>
            </w:tcBorders>
            <w:noWrap/>
          </w:tcPr>
          <w:p w14:paraId="0E5F10C6">
            <w:pPr>
              <w:jc w:val="center"/>
              <w:rPr>
                <w:rFonts w:ascii="宋体" w:hAnsi="宋体" w:cs="宋体"/>
                <w:color w:val="auto"/>
                <w:sz w:val="24"/>
              </w:rPr>
            </w:pPr>
          </w:p>
        </w:tc>
      </w:tr>
      <w:tr w14:paraId="708C8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14:paraId="10290668">
            <w:pPr>
              <w:jc w:val="center"/>
              <w:rPr>
                <w:rFonts w:ascii="宋体" w:hAnsi="宋体" w:cs="宋体"/>
                <w:color w:val="auto"/>
                <w:sz w:val="24"/>
              </w:rPr>
            </w:pPr>
            <w:r>
              <w:rPr>
                <w:rFonts w:hint="eastAsia" w:ascii="宋体" w:hAnsi="宋体" w:cs="宋体"/>
                <w:color w:val="auto"/>
                <w:sz w:val="24"/>
              </w:rPr>
              <w:t>2</w:t>
            </w:r>
          </w:p>
        </w:tc>
        <w:tc>
          <w:tcPr>
            <w:tcW w:w="2387" w:type="dxa"/>
            <w:noWrap/>
          </w:tcPr>
          <w:p w14:paraId="7B9A43F1">
            <w:pPr>
              <w:jc w:val="center"/>
              <w:rPr>
                <w:rFonts w:ascii="宋体" w:hAnsi="宋体" w:cs="宋体"/>
                <w:color w:val="auto"/>
                <w:sz w:val="24"/>
              </w:rPr>
            </w:pPr>
          </w:p>
        </w:tc>
        <w:tc>
          <w:tcPr>
            <w:tcW w:w="1462" w:type="dxa"/>
            <w:noWrap/>
          </w:tcPr>
          <w:p w14:paraId="25833488">
            <w:pPr>
              <w:jc w:val="center"/>
              <w:rPr>
                <w:rFonts w:ascii="宋体" w:hAnsi="宋体" w:cs="宋体"/>
                <w:color w:val="auto"/>
                <w:sz w:val="24"/>
              </w:rPr>
            </w:pPr>
          </w:p>
        </w:tc>
        <w:tc>
          <w:tcPr>
            <w:tcW w:w="2415" w:type="dxa"/>
            <w:tcBorders>
              <w:right w:val="single" w:color="auto" w:sz="4" w:space="0"/>
            </w:tcBorders>
            <w:noWrap/>
          </w:tcPr>
          <w:p w14:paraId="71EECDA4">
            <w:pPr>
              <w:jc w:val="center"/>
              <w:rPr>
                <w:rFonts w:ascii="宋体" w:hAnsi="宋体" w:cs="宋体"/>
                <w:color w:val="auto"/>
                <w:sz w:val="24"/>
              </w:rPr>
            </w:pPr>
          </w:p>
        </w:tc>
        <w:tc>
          <w:tcPr>
            <w:tcW w:w="1746" w:type="dxa"/>
            <w:tcBorders>
              <w:left w:val="single" w:color="auto" w:sz="4" w:space="0"/>
            </w:tcBorders>
            <w:noWrap/>
          </w:tcPr>
          <w:p w14:paraId="3D20F760">
            <w:pPr>
              <w:jc w:val="center"/>
              <w:rPr>
                <w:rFonts w:ascii="宋体" w:hAnsi="宋体" w:cs="宋体"/>
                <w:color w:val="auto"/>
                <w:sz w:val="24"/>
              </w:rPr>
            </w:pPr>
          </w:p>
        </w:tc>
      </w:tr>
      <w:tr w14:paraId="082D7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14:paraId="4D5DA305">
            <w:pPr>
              <w:jc w:val="center"/>
              <w:rPr>
                <w:rFonts w:ascii="宋体" w:hAnsi="宋体" w:cs="宋体"/>
                <w:color w:val="auto"/>
                <w:sz w:val="24"/>
              </w:rPr>
            </w:pPr>
            <w:r>
              <w:rPr>
                <w:rFonts w:hint="eastAsia" w:ascii="宋体" w:hAnsi="宋体" w:cs="宋体"/>
                <w:color w:val="auto"/>
                <w:sz w:val="24"/>
              </w:rPr>
              <w:t>3</w:t>
            </w:r>
          </w:p>
        </w:tc>
        <w:tc>
          <w:tcPr>
            <w:tcW w:w="2387" w:type="dxa"/>
            <w:noWrap/>
          </w:tcPr>
          <w:p w14:paraId="44585A38">
            <w:pPr>
              <w:jc w:val="center"/>
              <w:rPr>
                <w:rFonts w:ascii="宋体" w:hAnsi="宋体" w:cs="宋体"/>
                <w:color w:val="auto"/>
                <w:sz w:val="24"/>
              </w:rPr>
            </w:pPr>
          </w:p>
        </w:tc>
        <w:tc>
          <w:tcPr>
            <w:tcW w:w="1462" w:type="dxa"/>
            <w:noWrap/>
          </w:tcPr>
          <w:p w14:paraId="6FD2FE09">
            <w:pPr>
              <w:jc w:val="center"/>
              <w:rPr>
                <w:rFonts w:ascii="宋体" w:hAnsi="宋体" w:cs="宋体"/>
                <w:color w:val="auto"/>
                <w:sz w:val="24"/>
              </w:rPr>
            </w:pPr>
          </w:p>
        </w:tc>
        <w:tc>
          <w:tcPr>
            <w:tcW w:w="2415" w:type="dxa"/>
            <w:tcBorders>
              <w:right w:val="single" w:color="auto" w:sz="4" w:space="0"/>
            </w:tcBorders>
            <w:noWrap/>
          </w:tcPr>
          <w:p w14:paraId="2B118B14">
            <w:pPr>
              <w:jc w:val="center"/>
              <w:rPr>
                <w:rFonts w:ascii="宋体" w:hAnsi="宋体" w:cs="宋体"/>
                <w:color w:val="auto"/>
                <w:sz w:val="24"/>
              </w:rPr>
            </w:pPr>
          </w:p>
        </w:tc>
        <w:tc>
          <w:tcPr>
            <w:tcW w:w="1746" w:type="dxa"/>
            <w:tcBorders>
              <w:left w:val="single" w:color="auto" w:sz="4" w:space="0"/>
            </w:tcBorders>
            <w:noWrap/>
          </w:tcPr>
          <w:p w14:paraId="1F826BD5">
            <w:pPr>
              <w:jc w:val="center"/>
              <w:rPr>
                <w:rFonts w:ascii="宋体" w:hAnsi="宋体" w:cs="宋体"/>
                <w:color w:val="auto"/>
                <w:sz w:val="24"/>
              </w:rPr>
            </w:pPr>
          </w:p>
        </w:tc>
      </w:tr>
      <w:tr w14:paraId="63BE0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14:paraId="55D3D066">
            <w:pPr>
              <w:jc w:val="center"/>
              <w:rPr>
                <w:rFonts w:ascii="宋体" w:hAnsi="宋体" w:cs="宋体"/>
                <w:color w:val="auto"/>
                <w:sz w:val="24"/>
              </w:rPr>
            </w:pPr>
            <w:r>
              <w:rPr>
                <w:rFonts w:hint="eastAsia" w:ascii="宋体" w:hAnsi="宋体" w:cs="宋体"/>
                <w:color w:val="auto"/>
                <w:sz w:val="24"/>
              </w:rPr>
              <w:t>4</w:t>
            </w:r>
          </w:p>
        </w:tc>
        <w:tc>
          <w:tcPr>
            <w:tcW w:w="2387" w:type="dxa"/>
            <w:noWrap/>
          </w:tcPr>
          <w:p w14:paraId="39933042">
            <w:pPr>
              <w:jc w:val="center"/>
              <w:rPr>
                <w:rFonts w:ascii="宋体" w:hAnsi="宋体" w:cs="宋体"/>
                <w:color w:val="auto"/>
                <w:sz w:val="24"/>
              </w:rPr>
            </w:pPr>
          </w:p>
        </w:tc>
        <w:tc>
          <w:tcPr>
            <w:tcW w:w="1462" w:type="dxa"/>
            <w:noWrap/>
          </w:tcPr>
          <w:p w14:paraId="5AC8984C">
            <w:pPr>
              <w:jc w:val="center"/>
              <w:rPr>
                <w:rFonts w:ascii="宋体" w:hAnsi="宋体" w:cs="宋体"/>
                <w:color w:val="auto"/>
                <w:sz w:val="24"/>
              </w:rPr>
            </w:pPr>
          </w:p>
        </w:tc>
        <w:tc>
          <w:tcPr>
            <w:tcW w:w="2415" w:type="dxa"/>
            <w:tcBorders>
              <w:right w:val="single" w:color="auto" w:sz="4" w:space="0"/>
            </w:tcBorders>
            <w:noWrap/>
          </w:tcPr>
          <w:p w14:paraId="3540FC69">
            <w:pPr>
              <w:jc w:val="center"/>
              <w:rPr>
                <w:rFonts w:ascii="宋体" w:hAnsi="宋体" w:cs="宋体"/>
                <w:color w:val="auto"/>
                <w:sz w:val="24"/>
              </w:rPr>
            </w:pPr>
          </w:p>
        </w:tc>
        <w:tc>
          <w:tcPr>
            <w:tcW w:w="1746" w:type="dxa"/>
            <w:tcBorders>
              <w:left w:val="single" w:color="auto" w:sz="4" w:space="0"/>
            </w:tcBorders>
            <w:noWrap/>
          </w:tcPr>
          <w:p w14:paraId="511EF3F2">
            <w:pPr>
              <w:jc w:val="center"/>
              <w:rPr>
                <w:rFonts w:ascii="宋体" w:hAnsi="宋体" w:cs="宋体"/>
                <w:color w:val="auto"/>
                <w:sz w:val="24"/>
              </w:rPr>
            </w:pPr>
          </w:p>
        </w:tc>
      </w:tr>
      <w:tr w14:paraId="22DBA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14:paraId="12FE834A">
            <w:pPr>
              <w:jc w:val="center"/>
              <w:rPr>
                <w:rFonts w:ascii="宋体" w:hAnsi="宋体" w:cs="宋体"/>
                <w:color w:val="auto"/>
                <w:sz w:val="24"/>
              </w:rPr>
            </w:pPr>
            <w:r>
              <w:rPr>
                <w:rFonts w:hint="eastAsia" w:ascii="宋体" w:hAnsi="宋体" w:cs="宋体"/>
                <w:color w:val="auto"/>
                <w:sz w:val="24"/>
              </w:rPr>
              <w:t>5</w:t>
            </w:r>
          </w:p>
        </w:tc>
        <w:tc>
          <w:tcPr>
            <w:tcW w:w="2387" w:type="dxa"/>
            <w:noWrap/>
          </w:tcPr>
          <w:p w14:paraId="3E9F5A6E">
            <w:pPr>
              <w:jc w:val="center"/>
              <w:rPr>
                <w:rFonts w:ascii="宋体" w:hAnsi="宋体" w:cs="宋体"/>
                <w:color w:val="auto"/>
                <w:sz w:val="24"/>
              </w:rPr>
            </w:pPr>
          </w:p>
        </w:tc>
        <w:tc>
          <w:tcPr>
            <w:tcW w:w="1462" w:type="dxa"/>
            <w:noWrap/>
          </w:tcPr>
          <w:p w14:paraId="4101B1F6">
            <w:pPr>
              <w:jc w:val="center"/>
              <w:rPr>
                <w:rFonts w:ascii="宋体" w:hAnsi="宋体" w:cs="宋体"/>
                <w:color w:val="auto"/>
                <w:sz w:val="24"/>
              </w:rPr>
            </w:pPr>
          </w:p>
        </w:tc>
        <w:tc>
          <w:tcPr>
            <w:tcW w:w="2415" w:type="dxa"/>
            <w:tcBorders>
              <w:right w:val="single" w:color="auto" w:sz="4" w:space="0"/>
            </w:tcBorders>
            <w:noWrap/>
          </w:tcPr>
          <w:p w14:paraId="33C718F6">
            <w:pPr>
              <w:jc w:val="center"/>
              <w:rPr>
                <w:rFonts w:ascii="宋体" w:hAnsi="宋体" w:cs="宋体"/>
                <w:color w:val="auto"/>
                <w:sz w:val="24"/>
              </w:rPr>
            </w:pPr>
          </w:p>
        </w:tc>
        <w:tc>
          <w:tcPr>
            <w:tcW w:w="1746" w:type="dxa"/>
            <w:tcBorders>
              <w:left w:val="single" w:color="auto" w:sz="4" w:space="0"/>
            </w:tcBorders>
            <w:noWrap/>
          </w:tcPr>
          <w:p w14:paraId="29BCF589">
            <w:pPr>
              <w:jc w:val="center"/>
              <w:rPr>
                <w:rFonts w:ascii="宋体" w:hAnsi="宋体" w:cs="宋体"/>
                <w:color w:val="auto"/>
                <w:sz w:val="24"/>
              </w:rPr>
            </w:pPr>
          </w:p>
        </w:tc>
      </w:tr>
      <w:tr w14:paraId="71C8C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14:paraId="7AE867BB">
            <w:pPr>
              <w:jc w:val="center"/>
              <w:rPr>
                <w:rFonts w:ascii="宋体" w:hAnsi="宋体" w:cs="宋体"/>
                <w:color w:val="auto"/>
                <w:sz w:val="24"/>
              </w:rPr>
            </w:pPr>
            <w:r>
              <w:rPr>
                <w:rFonts w:hint="eastAsia" w:ascii="宋体" w:hAnsi="宋体" w:cs="宋体"/>
                <w:color w:val="auto"/>
                <w:sz w:val="24"/>
              </w:rPr>
              <w:t>6</w:t>
            </w:r>
          </w:p>
        </w:tc>
        <w:tc>
          <w:tcPr>
            <w:tcW w:w="2387" w:type="dxa"/>
            <w:noWrap/>
          </w:tcPr>
          <w:p w14:paraId="608880B9">
            <w:pPr>
              <w:jc w:val="center"/>
              <w:rPr>
                <w:rFonts w:ascii="宋体" w:hAnsi="宋体" w:cs="宋体"/>
                <w:color w:val="auto"/>
                <w:sz w:val="24"/>
              </w:rPr>
            </w:pPr>
          </w:p>
        </w:tc>
        <w:tc>
          <w:tcPr>
            <w:tcW w:w="1462" w:type="dxa"/>
            <w:noWrap/>
          </w:tcPr>
          <w:p w14:paraId="281C63BE">
            <w:pPr>
              <w:jc w:val="center"/>
              <w:rPr>
                <w:rFonts w:ascii="宋体" w:hAnsi="宋体" w:cs="宋体"/>
                <w:color w:val="auto"/>
                <w:sz w:val="24"/>
              </w:rPr>
            </w:pPr>
          </w:p>
        </w:tc>
        <w:tc>
          <w:tcPr>
            <w:tcW w:w="2415" w:type="dxa"/>
            <w:tcBorders>
              <w:right w:val="single" w:color="auto" w:sz="4" w:space="0"/>
            </w:tcBorders>
            <w:noWrap/>
          </w:tcPr>
          <w:p w14:paraId="68F369B3">
            <w:pPr>
              <w:jc w:val="center"/>
              <w:rPr>
                <w:rFonts w:ascii="宋体" w:hAnsi="宋体" w:cs="宋体"/>
                <w:color w:val="auto"/>
                <w:sz w:val="24"/>
              </w:rPr>
            </w:pPr>
          </w:p>
        </w:tc>
        <w:tc>
          <w:tcPr>
            <w:tcW w:w="1746" w:type="dxa"/>
            <w:tcBorders>
              <w:left w:val="single" w:color="auto" w:sz="4" w:space="0"/>
            </w:tcBorders>
            <w:noWrap/>
          </w:tcPr>
          <w:p w14:paraId="15686B43">
            <w:pPr>
              <w:jc w:val="center"/>
              <w:rPr>
                <w:rFonts w:ascii="宋体" w:hAnsi="宋体" w:cs="宋体"/>
                <w:color w:val="auto"/>
                <w:sz w:val="24"/>
              </w:rPr>
            </w:pPr>
          </w:p>
        </w:tc>
      </w:tr>
      <w:tr w14:paraId="6480F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14:paraId="6BB5FEFB">
            <w:pPr>
              <w:jc w:val="center"/>
              <w:rPr>
                <w:rFonts w:ascii="宋体" w:hAnsi="宋体" w:cs="宋体"/>
                <w:color w:val="auto"/>
                <w:sz w:val="24"/>
              </w:rPr>
            </w:pPr>
            <w:r>
              <w:rPr>
                <w:rFonts w:hint="eastAsia" w:ascii="宋体" w:hAnsi="宋体" w:cs="宋体"/>
                <w:color w:val="auto"/>
                <w:sz w:val="24"/>
              </w:rPr>
              <w:t>7</w:t>
            </w:r>
          </w:p>
        </w:tc>
        <w:tc>
          <w:tcPr>
            <w:tcW w:w="2387" w:type="dxa"/>
            <w:noWrap/>
          </w:tcPr>
          <w:p w14:paraId="64865345">
            <w:pPr>
              <w:jc w:val="center"/>
              <w:rPr>
                <w:rFonts w:ascii="宋体" w:hAnsi="宋体" w:cs="宋体"/>
                <w:color w:val="auto"/>
                <w:sz w:val="24"/>
              </w:rPr>
            </w:pPr>
          </w:p>
        </w:tc>
        <w:tc>
          <w:tcPr>
            <w:tcW w:w="1462" w:type="dxa"/>
            <w:noWrap/>
          </w:tcPr>
          <w:p w14:paraId="4D422503">
            <w:pPr>
              <w:jc w:val="center"/>
              <w:rPr>
                <w:rFonts w:ascii="宋体" w:hAnsi="宋体" w:cs="宋体"/>
                <w:color w:val="auto"/>
                <w:sz w:val="24"/>
              </w:rPr>
            </w:pPr>
          </w:p>
        </w:tc>
        <w:tc>
          <w:tcPr>
            <w:tcW w:w="2415" w:type="dxa"/>
            <w:tcBorders>
              <w:right w:val="single" w:color="auto" w:sz="4" w:space="0"/>
            </w:tcBorders>
            <w:noWrap/>
          </w:tcPr>
          <w:p w14:paraId="2FC17926">
            <w:pPr>
              <w:jc w:val="center"/>
              <w:rPr>
                <w:rFonts w:ascii="宋体" w:hAnsi="宋体" w:cs="宋体"/>
                <w:color w:val="auto"/>
                <w:sz w:val="24"/>
              </w:rPr>
            </w:pPr>
          </w:p>
        </w:tc>
        <w:tc>
          <w:tcPr>
            <w:tcW w:w="1746" w:type="dxa"/>
            <w:tcBorders>
              <w:left w:val="single" w:color="auto" w:sz="4" w:space="0"/>
            </w:tcBorders>
            <w:noWrap/>
          </w:tcPr>
          <w:p w14:paraId="2990C3C0">
            <w:pPr>
              <w:jc w:val="center"/>
              <w:rPr>
                <w:rFonts w:ascii="宋体" w:hAnsi="宋体" w:cs="宋体"/>
                <w:color w:val="auto"/>
                <w:sz w:val="24"/>
              </w:rPr>
            </w:pPr>
          </w:p>
        </w:tc>
      </w:tr>
      <w:tr w14:paraId="289C9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14:paraId="37E45E94">
            <w:pPr>
              <w:jc w:val="center"/>
              <w:rPr>
                <w:rFonts w:ascii="宋体" w:hAnsi="宋体" w:cs="宋体"/>
                <w:color w:val="auto"/>
                <w:sz w:val="24"/>
              </w:rPr>
            </w:pPr>
            <w:r>
              <w:rPr>
                <w:rFonts w:hint="eastAsia" w:ascii="宋体" w:hAnsi="宋体" w:cs="宋体"/>
                <w:color w:val="auto"/>
                <w:sz w:val="24"/>
              </w:rPr>
              <w:t>8</w:t>
            </w:r>
          </w:p>
        </w:tc>
        <w:tc>
          <w:tcPr>
            <w:tcW w:w="2387" w:type="dxa"/>
            <w:noWrap/>
          </w:tcPr>
          <w:p w14:paraId="340D06DE">
            <w:pPr>
              <w:jc w:val="center"/>
              <w:rPr>
                <w:rFonts w:ascii="宋体" w:hAnsi="宋体" w:cs="宋体"/>
                <w:color w:val="auto"/>
                <w:sz w:val="24"/>
              </w:rPr>
            </w:pPr>
          </w:p>
        </w:tc>
        <w:tc>
          <w:tcPr>
            <w:tcW w:w="1462" w:type="dxa"/>
            <w:noWrap/>
          </w:tcPr>
          <w:p w14:paraId="63FC9730">
            <w:pPr>
              <w:jc w:val="center"/>
              <w:rPr>
                <w:rFonts w:ascii="宋体" w:hAnsi="宋体" w:cs="宋体"/>
                <w:color w:val="auto"/>
                <w:sz w:val="24"/>
              </w:rPr>
            </w:pPr>
          </w:p>
        </w:tc>
        <w:tc>
          <w:tcPr>
            <w:tcW w:w="2415" w:type="dxa"/>
            <w:tcBorders>
              <w:right w:val="single" w:color="auto" w:sz="4" w:space="0"/>
            </w:tcBorders>
            <w:noWrap/>
          </w:tcPr>
          <w:p w14:paraId="765FA32E">
            <w:pPr>
              <w:jc w:val="center"/>
              <w:rPr>
                <w:rFonts w:ascii="宋体" w:hAnsi="宋体" w:cs="宋体"/>
                <w:color w:val="auto"/>
                <w:sz w:val="24"/>
              </w:rPr>
            </w:pPr>
          </w:p>
        </w:tc>
        <w:tc>
          <w:tcPr>
            <w:tcW w:w="1746" w:type="dxa"/>
            <w:tcBorders>
              <w:left w:val="single" w:color="auto" w:sz="4" w:space="0"/>
            </w:tcBorders>
            <w:noWrap/>
          </w:tcPr>
          <w:p w14:paraId="62DE5467">
            <w:pPr>
              <w:jc w:val="center"/>
              <w:rPr>
                <w:rFonts w:ascii="宋体" w:hAnsi="宋体" w:cs="宋体"/>
                <w:color w:val="auto"/>
                <w:sz w:val="24"/>
              </w:rPr>
            </w:pPr>
          </w:p>
        </w:tc>
      </w:tr>
      <w:tr w14:paraId="1C064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14:paraId="1237744F">
            <w:pPr>
              <w:jc w:val="center"/>
              <w:rPr>
                <w:rFonts w:ascii="宋体" w:hAnsi="宋体" w:cs="宋体"/>
                <w:color w:val="auto"/>
                <w:sz w:val="24"/>
              </w:rPr>
            </w:pPr>
            <w:r>
              <w:rPr>
                <w:rFonts w:hint="eastAsia" w:ascii="宋体" w:hAnsi="宋体" w:cs="宋体"/>
                <w:color w:val="auto"/>
                <w:sz w:val="24"/>
              </w:rPr>
              <w:t>合计</w:t>
            </w:r>
          </w:p>
        </w:tc>
        <w:tc>
          <w:tcPr>
            <w:tcW w:w="2387" w:type="dxa"/>
            <w:noWrap/>
          </w:tcPr>
          <w:p w14:paraId="27276460">
            <w:pPr>
              <w:jc w:val="center"/>
              <w:rPr>
                <w:rFonts w:ascii="宋体" w:hAnsi="宋体" w:cs="宋体"/>
                <w:color w:val="auto"/>
                <w:sz w:val="24"/>
              </w:rPr>
            </w:pPr>
          </w:p>
        </w:tc>
        <w:tc>
          <w:tcPr>
            <w:tcW w:w="1462" w:type="dxa"/>
            <w:noWrap/>
          </w:tcPr>
          <w:p w14:paraId="764E505B">
            <w:pPr>
              <w:jc w:val="center"/>
              <w:rPr>
                <w:rFonts w:ascii="宋体" w:hAnsi="宋体" w:cs="宋体"/>
                <w:color w:val="auto"/>
                <w:sz w:val="24"/>
              </w:rPr>
            </w:pPr>
          </w:p>
        </w:tc>
        <w:tc>
          <w:tcPr>
            <w:tcW w:w="2415" w:type="dxa"/>
            <w:tcBorders>
              <w:right w:val="single" w:color="auto" w:sz="4" w:space="0"/>
            </w:tcBorders>
            <w:noWrap/>
          </w:tcPr>
          <w:p w14:paraId="5AE58C1A">
            <w:pPr>
              <w:jc w:val="center"/>
              <w:rPr>
                <w:rFonts w:ascii="宋体" w:hAnsi="宋体" w:cs="宋体"/>
                <w:color w:val="auto"/>
                <w:sz w:val="24"/>
              </w:rPr>
            </w:pPr>
          </w:p>
        </w:tc>
        <w:tc>
          <w:tcPr>
            <w:tcW w:w="1746" w:type="dxa"/>
            <w:tcBorders>
              <w:left w:val="single" w:color="auto" w:sz="4" w:space="0"/>
            </w:tcBorders>
            <w:noWrap/>
          </w:tcPr>
          <w:p w14:paraId="1C189FC4">
            <w:pPr>
              <w:jc w:val="center"/>
              <w:rPr>
                <w:rFonts w:ascii="宋体" w:hAnsi="宋体" w:cs="宋体"/>
                <w:color w:val="auto"/>
                <w:sz w:val="24"/>
              </w:rPr>
            </w:pPr>
          </w:p>
        </w:tc>
      </w:tr>
    </w:tbl>
    <w:p w14:paraId="72468AB6">
      <w:pPr>
        <w:spacing w:line="360" w:lineRule="auto"/>
        <w:ind w:firstLine="480" w:firstLineChars="200"/>
        <w:rPr>
          <w:rFonts w:ascii="宋体" w:hAnsi="宋体" w:cs="宋体"/>
          <w:color w:val="auto"/>
          <w:sz w:val="24"/>
        </w:rPr>
      </w:pPr>
    </w:p>
    <w:p w14:paraId="1EF77E54">
      <w:pPr>
        <w:spacing w:line="360" w:lineRule="auto"/>
        <w:ind w:left="3780" w:leftChars="1800" w:firstLine="480" w:firstLineChars="200"/>
        <w:rPr>
          <w:rFonts w:ascii="宋体" w:hAnsi="宋体" w:cs="宋体"/>
          <w:color w:val="auto"/>
          <w:sz w:val="24"/>
        </w:rPr>
      </w:pPr>
    </w:p>
    <w:p w14:paraId="679D89D5">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14:paraId="3174EED9">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日 期：</w:t>
      </w:r>
    </w:p>
    <w:p w14:paraId="218AA1C5">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投标人全称（公章）：</w:t>
      </w:r>
    </w:p>
    <w:p w14:paraId="74EFD7C5">
      <w:pPr>
        <w:snapToGrid w:val="0"/>
        <w:spacing w:before="50" w:afterLines="50"/>
        <w:jc w:val="left"/>
        <w:rPr>
          <w:rFonts w:ascii="宋体" w:hAnsi="宋体" w:cs="宋体"/>
          <w:b/>
          <w:bCs/>
          <w:color w:val="auto"/>
          <w:sz w:val="24"/>
          <w:lang w:val="zh-CN"/>
        </w:rPr>
      </w:pPr>
      <w:r>
        <w:rPr>
          <w:rFonts w:hint="eastAsia" w:ascii="宋体" w:hAnsi="宋体" w:cs="宋体"/>
          <w:b/>
          <w:bCs/>
          <w:color w:val="auto"/>
          <w:sz w:val="30"/>
          <w:szCs w:val="30"/>
        </w:rPr>
        <w:br w:type="page"/>
      </w:r>
      <w:r>
        <w:rPr>
          <w:rFonts w:hint="eastAsia" w:ascii="宋体" w:hAnsi="宋体" w:cs="宋体"/>
          <w:b/>
          <w:bCs/>
          <w:color w:val="auto"/>
          <w:sz w:val="24"/>
          <w:lang w:val="zh-CN"/>
        </w:rPr>
        <w:t>附件五：</w:t>
      </w:r>
    </w:p>
    <w:p w14:paraId="506194E8">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投标项目明细清单</w:t>
      </w:r>
    </w:p>
    <w:p w14:paraId="28125D35">
      <w:pPr>
        <w:spacing w:line="360" w:lineRule="auto"/>
        <w:ind w:firstLine="480" w:firstLineChars="200"/>
        <w:rPr>
          <w:rFonts w:ascii="宋体" w:hAnsi="宋体" w:cs="宋体"/>
          <w:color w:val="auto"/>
          <w:sz w:val="24"/>
        </w:rPr>
      </w:pPr>
    </w:p>
    <w:p w14:paraId="17A97011">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14:paraId="22D7842B">
      <w:pPr>
        <w:spacing w:line="360" w:lineRule="auto"/>
        <w:ind w:firstLine="480" w:firstLineChars="200"/>
        <w:rPr>
          <w:rFonts w:ascii="宋体" w:hAnsi="宋体" w:cs="宋体"/>
          <w:color w:val="auto"/>
          <w:sz w:val="24"/>
        </w:rPr>
      </w:pPr>
      <w:r>
        <w:rPr>
          <w:rFonts w:hint="eastAsia" w:ascii="宋体" w:hAnsi="宋体" w:cs="宋体"/>
          <w:color w:val="auto"/>
          <w:sz w:val="24"/>
        </w:rPr>
        <w:t>采购编号：</w:t>
      </w:r>
    </w:p>
    <w:tbl>
      <w:tblPr>
        <w:tblStyle w:val="30"/>
        <w:tblW w:w="98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5"/>
        <w:gridCol w:w="1456"/>
        <w:gridCol w:w="3734"/>
        <w:gridCol w:w="1186"/>
        <w:gridCol w:w="1170"/>
        <w:gridCol w:w="1554"/>
      </w:tblGrid>
      <w:tr w14:paraId="302C9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5" w:type="dxa"/>
            <w:tcBorders>
              <w:top w:val="single" w:color="auto" w:sz="4" w:space="0"/>
              <w:left w:val="single" w:color="auto" w:sz="4" w:space="0"/>
              <w:bottom w:val="single" w:color="auto" w:sz="4" w:space="0"/>
              <w:right w:val="single" w:color="auto" w:sz="4" w:space="0"/>
            </w:tcBorders>
            <w:noWrap/>
            <w:vAlign w:val="center"/>
          </w:tcPr>
          <w:p w14:paraId="1E37CDE1">
            <w:pPr>
              <w:snapToGrid w:val="0"/>
              <w:spacing w:before="50" w:after="50"/>
              <w:jc w:val="center"/>
              <w:rPr>
                <w:rFonts w:ascii="宋体" w:hAnsi="宋体" w:cs="宋体"/>
                <w:color w:val="auto"/>
                <w:sz w:val="24"/>
              </w:rPr>
            </w:pPr>
            <w:r>
              <w:rPr>
                <w:rFonts w:hint="eastAsia" w:ascii="宋体" w:hAnsi="宋体" w:cs="宋体"/>
                <w:color w:val="auto"/>
                <w:sz w:val="24"/>
              </w:rPr>
              <w:t>序号</w:t>
            </w:r>
          </w:p>
        </w:tc>
        <w:tc>
          <w:tcPr>
            <w:tcW w:w="1456" w:type="dxa"/>
            <w:tcBorders>
              <w:top w:val="single" w:color="auto" w:sz="4" w:space="0"/>
              <w:left w:val="single" w:color="auto" w:sz="4" w:space="0"/>
              <w:bottom w:val="single" w:color="auto" w:sz="4" w:space="0"/>
              <w:right w:val="single" w:color="auto" w:sz="4" w:space="0"/>
            </w:tcBorders>
            <w:noWrap/>
            <w:vAlign w:val="center"/>
          </w:tcPr>
          <w:p w14:paraId="5CFFF538">
            <w:pPr>
              <w:snapToGrid w:val="0"/>
              <w:spacing w:before="50" w:after="50"/>
              <w:jc w:val="center"/>
              <w:rPr>
                <w:rFonts w:ascii="宋体" w:hAnsi="宋体" w:cs="宋体"/>
                <w:color w:val="auto"/>
                <w:sz w:val="24"/>
              </w:rPr>
            </w:pPr>
            <w:r>
              <w:rPr>
                <w:rFonts w:hint="eastAsia" w:ascii="宋体" w:hAnsi="宋体" w:cs="宋体"/>
                <w:color w:val="auto"/>
                <w:sz w:val="24"/>
              </w:rPr>
              <w:t>项目名称</w:t>
            </w:r>
          </w:p>
        </w:tc>
        <w:tc>
          <w:tcPr>
            <w:tcW w:w="3734" w:type="dxa"/>
            <w:tcBorders>
              <w:top w:val="single" w:color="auto" w:sz="4" w:space="0"/>
              <w:left w:val="single" w:color="auto" w:sz="4" w:space="0"/>
              <w:bottom w:val="single" w:color="auto" w:sz="4" w:space="0"/>
              <w:right w:val="single" w:color="auto" w:sz="4" w:space="0"/>
            </w:tcBorders>
            <w:noWrap/>
            <w:vAlign w:val="center"/>
          </w:tcPr>
          <w:p w14:paraId="1E9E3D3B">
            <w:pPr>
              <w:snapToGrid w:val="0"/>
              <w:spacing w:before="50" w:after="50"/>
              <w:jc w:val="center"/>
              <w:rPr>
                <w:rFonts w:ascii="宋体" w:hAnsi="宋体" w:cs="宋体"/>
                <w:color w:val="auto"/>
                <w:sz w:val="24"/>
              </w:rPr>
            </w:pPr>
            <w:r>
              <w:rPr>
                <w:rFonts w:hint="eastAsia" w:ascii="宋体" w:hAnsi="宋体" w:cs="宋体"/>
                <w:color w:val="auto"/>
                <w:sz w:val="24"/>
              </w:rPr>
              <w:t>服务内容</w:t>
            </w:r>
          </w:p>
        </w:tc>
        <w:tc>
          <w:tcPr>
            <w:tcW w:w="1186" w:type="dxa"/>
            <w:tcBorders>
              <w:top w:val="single" w:color="auto" w:sz="4" w:space="0"/>
              <w:left w:val="single" w:color="auto" w:sz="4" w:space="0"/>
              <w:bottom w:val="single" w:color="auto" w:sz="4" w:space="0"/>
              <w:right w:val="single" w:color="auto" w:sz="4" w:space="0"/>
            </w:tcBorders>
            <w:noWrap/>
            <w:vAlign w:val="center"/>
          </w:tcPr>
          <w:p w14:paraId="04F7AF85">
            <w:pPr>
              <w:snapToGrid w:val="0"/>
              <w:spacing w:before="50" w:after="50"/>
              <w:jc w:val="center"/>
              <w:rPr>
                <w:rFonts w:ascii="宋体" w:hAnsi="宋体" w:cs="宋体"/>
                <w:color w:val="auto"/>
                <w:sz w:val="24"/>
              </w:rPr>
            </w:pPr>
            <w:r>
              <w:rPr>
                <w:rFonts w:hint="eastAsia" w:ascii="宋体" w:hAnsi="宋体" w:cs="宋体"/>
                <w:color w:val="auto"/>
                <w:sz w:val="24"/>
              </w:rPr>
              <w:t>数量</w:t>
            </w:r>
          </w:p>
        </w:tc>
        <w:tc>
          <w:tcPr>
            <w:tcW w:w="1170" w:type="dxa"/>
            <w:tcBorders>
              <w:top w:val="single" w:color="auto" w:sz="4" w:space="0"/>
              <w:left w:val="single" w:color="auto" w:sz="4" w:space="0"/>
              <w:bottom w:val="single" w:color="auto" w:sz="4" w:space="0"/>
              <w:right w:val="single" w:color="auto" w:sz="4" w:space="0"/>
            </w:tcBorders>
            <w:noWrap/>
            <w:vAlign w:val="center"/>
          </w:tcPr>
          <w:p w14:paraId="0CFD03A9">
            <w:pPr>
              <w:snapToGrid w:val="0"/>
              <w:spacing w:before="50" w:after="50"/>
              <w:jc w:val="center"/>
              <w:rPr>
                <w:rFonts w:ascii="宋体" w:hAnsi="宋体" w:cs="宋体"/>
                <w:color w:val="auto"/>
                <w:sz w:val="24"/>
              </w:rPr>
            </w:pPr>
            <w:r>
              <w:rPr>
                <w:rFonts w:hint="eastAsia" w:ascii="宋体" w:hAnsi="宋体" w:cs="宋体"/>
                <w:color w:val="auto"/>
                <w:sz w:val="24"/>
              </w:rPr>
              <w:t>单位</w:t>
            </w:r>
          </w:p>
        </w:tc>
        <w:tc>
          <w:tcPr>
            <w:tcW w:w="1554" w:type="dxa"/>
            <w:tcBorders>
              <w:top w:val="single" w:color="auto" w:sz="4" w:space="0"/>
              <w:left w:val="single" w:color="auto" w:sz="4" w:space="0"/>
              <w:bottom w:val="single" w:color="auto" w:sz="4" w:space="0"/>
              <w:right w:val="single" w:color="auto" w:sz="4" w:space="0"/>
            </w:tcBorders>
            <w:noWrap/>
            <w:vAlign w:val="center"/>
          </w:tcPr>
          <w:p w14:paraId="36478FCF">
            <w:pPr>
              <w:snapToGrid w:val="0"/>
              <w:spacing w:before="50" w:after="50"/>
              <w:jc w:val="center"/>
              <w:rPr>
                <w:rFonts w:ascii="宋体" w:hAnsi="宋体" w:cs="宋体"/>
                <w:color w:val="auto"/>
                <w:sz w:val="24"/>
              </w:rPr>
            </w:pPr>
            <w:r>
              <w:rPr>
                <w:rFonts w:hint="eastAsia" w:ascii="宋体" w:hAnsi="宋体" w:cs="宋体"/>
                <w:color w:val="auto"/>
                <w:sz w:val="24"/>
              </w:rPr>
              <w:t>备注</w:t>
            </w:r>
          </w:p>
        </w:tc>
      </w:tr>
      <w:tr w14:paraId="5BE54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5" w:type="dxa"/>
            <w:tcBorders>
              <w:top w:val="single" w:color="auto" w:sz="4" w:space="0"/>
              <w:left w:val="single" w:color="auto" w:sz="4" w:space="0"/>
              <w:bottom w:val="single" w:color="auto" w:sz="4" w:space="0"/>
              <w:right w:val="single" w:color="auto" w:sz="4" w:space="0"/>
            </w:tcBorders>
            <w:noWrap/>
            <w:vAlign w:val="center"/>
          </w:tcPr>
          <w:p w14:paraId="6AEEE900">
            <w:pPr>
              <w:snapToGrid w:val="0"/>
              <w:spacing w:before="50" w:after="50"/>
              <w:jc w:val="center"/>
              <w:rPr>
                <w:rFonts w:ascii="宋体" w:hAnsi="宋体" w:cs="宋体"/>
                <w:color w:val="auto"/>
                <w:sz w:val="24"/>
              </w:rPr>
            </w:pPr>
          </w:p>
        </w:tc>
        <w:tc>
          <w:tcPr>
            <w:tcW w:w="1456" w:type="dxa"/>
            <w:tcBorders>
              <w:top w:val="single" w:color="auto" w:sz="4" w:space="0"/>
              <w:left w:val="single" w:color="auto" w:sz="4" w:space="0"/>
              <w:bottom w:val="single" w:color="auto" w:sz="4" w:space="0"/>
              <w:right w:val="single" w:color="auto" w:sz="4" w:space="0"/>
            </w:tcBorders>
            <w:noWrap/>
            <w:vAlign w:val="center"/>
          </w:tcPr>
          <w:p w14:paraId="36C62638">
            <w:pPr>
              <w:snapToGrid w:val="0"/>
              <w:spacing w:before="50" w:after="50"/>
              <w:jc w:val="center"/>
              <w:rPr>
                <w:rFonts w:ascii="宋体" w:hAnsi="宋体" w:cs="宋体"/>
                <w:color w:val="auto"/>
                <w:sz w:val="24"/>
              </w:rPr>
            </w:pPr>
          </w:p>
        </w:tc>
        <w:tc>
          <w:tcPr>
            <w:tcW w:w="3734" w:type="dxa"/>
            <w:tcBorders>
              <w:top w:val="single" w:color="auto" w:sz="4" w:space="0"/>
              <w:left w:val="single" w:color="auto" w:sz="4" w:space="0"/>
              <w:bottom w:val="single" w:color="auto" w:sz="4" w:space="0"/>
              <w:right w:val="single" w:color="auto" w:sz="4" w:space="0"/>
            </w:tcBorders>
            <w:noWrap/>
            <w:vAlign w:val="center"/>
          </w:tcPr>
          <w:p w14:paraId="2B8B8C3F">
            <w:pPr>
              <w:snapToGrid w:val="0"/>
              <w:spacing w:before="50" w:after="50"/>
              <w:jc w:val="center"/>
              <w:rPr>
                <w:rFonts w:ascii="宋体" w:hAnsi="宋体" w:cs="宋体"/>
                <w:color w:val="auto"/>
                <w:sz w:val="24"/>
              </w:rPr>
            </w:pPr>
          </w:p>
        </w:tc>
        <w:tc>
          <w:tcPr>
            <w:tcW w:w="1186" w:type="dxa"/>
            <w:tcBorders>
              <w:top w:val="single" w:color="auto" w:sz="4" w:space="0"/>
              <w:left w:val="single" w:color="auto" w:sz="4" w:space="0"/>
              <w:bottom w:val="single" w:color="auto" w:sz="4" w:space="0"/>
              <w:right w:val="single" w:color="auto" w:sz="4" w:space="0"/>
            </w:tcBorders>
            <w:noWrap/>
            <w:vAlign w:val="center"/>
          </w:tcPr>
          <w:p w14:paraId="15D76B7B">
            <w:pPr>
              <w:snapToGrid w:val="0"/>
              <w:spacing w:before="50" w:after="50"/>
              <w:rPr>
                <w:rFonts w:ascii="宋体" w:hAnsi="宋体" w:cs="宋体"/>
                <w:color w:val="auto"/>
                <w:sz w:val="24"/>
              </w:rPr>
            </w:pPr>
            <w:r>
              <w:rPr>
                <w:rFonts w:hint="eastAsia" w:ascii="宋体" w:hAnsi="宋体" w:cs="宋体"/>
                <w:color w:val="auto"/>
                <w:sz w:val="24"/>
              </w:rPr>
              <w:t>（人员或设备）</w:t>
            </w:r>
          </w:p>
        </w:tc>
        <w:tc>
          <w:tcPr>
            <w:tcW w:w="1170" w:type="dxa"/>
            <w:tcBorders>
              <w:top w:val="single" w:color="auto" w:sz="4" w:space="0"/>
              <w:left w:val="single" w:color="auto" w:sz="4" w:space="0"/>
              <w:bottom w:val="single" w:color="auto" w:sz="4" w:space="0"/>
              <w:right w:val="single" w:color="auto" w:sz="4" w:space="0"/>
            </w:tcBorders>
            <w:noWrap/>
            <w:vAlign w:val="center"/>
          </w:tcPr>
          <w:p w14:paraId="131695F5">
            <w:pPr>
              <w:snapToGrid w:val="0"/>
              <w:spacing w:before="50" w:after="50"/>
              <w:jc w:val="center"/>
              <w:rPr>
                <w:rFonts w:ascii="宋体" w:hAnsi="宋体" w:cs="宋体"/>
                <w:color w:val="auto"/>
                <w:sz w:val="24"/>
              </w:rPr>
            </w:pPr>
          </w:p>
        </w:tc>
        <w:tc>
          <w:tcPr>
            <w:tcW w:w="1554" w:type="dxa"/>
            <w:tcBorders>
              <w:top w:val="single" w:color="auto" w:sz="4" w:space="0"/>
              <w:left w:val="single" w:color="auto" w:sz="4" w:space="0"/>
              <w:bottom w:val="single" w:color="auto" w:sz="4" w:space="0"/>
              <w:right w:val="single" w:color="auto" w:sz="4" w:space="0"/>
            </w:tcBorders>
            <w:noWrap/>
            <w:vAlign w:val="center"/>
          </w:tcPr>
          <w:p w14:paraId="29BBC8C5">
            <w:pPr>
              <w:snapToGrid w:val="0"/>
              <w:spacing w:before="50" w:after="50"/>
              <w:jc w:val="center"/>
              <w:rPr>
                <w:rFonts w:ascii="宋体" w:hAnsi="宋体" w:cs="宋体"/>
                <w:color w:val="auto"/>
                <w:sz w:val="24"/>
              </w:rPr>
            </w:pPr>
          </w:p>
        </w:tc>
      </w:tr>
      <w:tr w14:paraId="1364F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5" w:type="dxa"/>
            <w:tcBorders>
              <w:top w:val="single" w:color="auto" w:sz="4" w:space="0"/>
              <w:left w:val="single" w:color="auto" w:sz="4" w:space="0"/>
              <w:bottom w:val="single" w:color="auto" w:sz="4" w:space="0"/>
              <w:right w:val="single" w:color="auto" w:sz="4" w:space="0"/>
            </w:tcBorders>
            <w:noWrap/>
            <w:vAlign w:val="center"/>
          </w:tcPr>
          <w:p w14:paraId="3014C489">
            <w:pPr>
              <w:snapToGrid w:val="0"/>
              <w:spacing w:before="50" w:after="50"/>
              <w:jc w:val="center"/>
              <w:rPr>
                <w:rFonts w:ascii="宋体" w:hAnsi="宋体" w:cs="宋体"/>
                <w:color w:val="auto"/>
                <w:sz w:val="24"/>
              </w:rPr>
            </w:pPr>
          </w:p>
        </w:tc>
        <w:tc>
          <w:tcPr>
            <w:tcW w:w="1456" w:type="dxa"/>
            <w:tcBorders>
              <w:top w:val="single" w:color="auto" w:sz="4" w:space="0"/>
              <w:left w:val="single" w:color="auto" w:sz="4" w:space="0"/>
              <w:bottom w:val="single" w:color="auto" w:sz="4" w:space="0"/>
              <w:right w:val="single" w:color="auto" w:sz="4" w:space="0"/>
            </w:tcBorders>
            <w:noWrap/>
            <w:vAlign w:val="center"/>
          </w:tcPr>
          <w:p w14:paraId="126FB6CA">
            <w:pPr>
              <w:snapToGrid w:val="0"/>
              <w:spacing w:before="50" w:after="50"/>
              <w:jc w:val="center"/>
              <w:rPr>
                <w:rFonts w:ascii="宋体" w:hAnsi="宋体" w:cs="宋体"/>
                <w:color w:val="auto"/>
                <w:sz w:val="24"/>
              </w:rPr>
            </w:pPr>
          </w:p>
        </w:tc>
        <w:tc>
          <w:tcPr>
            <w:tcW w:w="3734" w:type="dxa"/>
            <w:tcBorders>
              <w:top w:val="single" w:color="auto" w:sz="4" w:space="0"/>
              <w:left w:val="single" w:color="auto" w:sz="4" w:space="0"/>
              <w:bottom w:val="single" w:color="auto" w:sz="4" w:space="0"/>
              <w:right w:val="single" w:color="auto" w:sz="4" w:space="0"/>
            </w:tcBorders>
            <w:noWrap/>
            <w:vAlign w:val="center"/>
          </w:tcPr>
          <w:p w14:paraId="00C2783D">
            <w:pPr>
              <w:snapToGrid w:val="0"/>
              <w:spacing w:before="50" w:after="50"/>
              <w:jc w:val="center"/>
              <w:rPr>
                <w:rFonts w:ascii="宋体" w:hAnsi="宋体" w:cs="宋体"/>
                <w:color w:val="auto"/>
                <w:sz w:val="24"/>
              </w:rPr>
            </w:pPr>
          </w:p>
        </w:tc>
        <w:tc>
          <w:tcPr>
            <w:tcW w:w="1186" w:type="dxa"/>
            <w:tcBorders>
              <w:top w:val="single" w:color="auto" w:sz="4" w:space="0"/>
              <w:left w:val="single" w:color="auto" w:sz="4" w:space="0"/>
              <w:bottom w:val="single" w:color="auto" w:sz="4" w:space="0"/>
              <w:right w:val="single" w:color="auto" w:sz="4" w:space="0"/>
            </w:tcBorders>
            <w:noWrap/>
            <w:vAlign w:val="center"/>
          </w:tcPr>
          <w:p w14:paraId="272D157B">
            <w:pPr>
              <w:snapToGrid w:val="0"/>
              <w:spacing w:before="50" w:after="50"/>
              <w:ind w:left="480" w:hanging="480"/>
              <w:jc w:val="center"/>
              <w:rPr>
                <w:rFonts w:ascii="宋体" w:hAnsi="宋体" w:cs="宋体"/>
                <w:color w:val="auto"/>
                <w:sz w:val="24"/>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1879E645">
            <w:pPr>
              <w:snapToGrid w:val="0"/>
              <w:spacing w:before="50" w:after="50"/>
              <w:jc w:val="center"/>
              <w:rPr>
                <w:rFonts w:ascii="宋体" w:hAnsi="宋体" w:cs="宋体"/>
                <w:color w:val="auto"/>
                <w:sz w:val="24"/>
              </w:rPr>
            </w:pPr>
          </w:p>
        </w:tc>
        <w:tc>
          <w:tcPr>
            <w:tcW w:w="1554" w:type="dxa"/>
            <w:tcBorders>
              <w:top w:val="single" w:color="auto" w:sz="4" w:space="0"/>
              <w:left w:val="single" w:color="auto" w:sz="4" w:space="0"/>
              <w:bottom w:val="single" w:color="auto" w:sz="4" w:space="0"/>
              <w:right w:val="single" w:color="auto" w:sz="4" w:space="0"/>
            </w:tcBorders>
            <w:noWrap/>
            <w:vAlign w:val="center"/>
          </w:tcPr>
          <w:p w14:paraId="190C1428">
            <w:pPr>
              <w:snapToGrid w:val="0"/>
              <w:spacing w:before="50" w:after="50"/>
              <w:jc w:val="center"/>
              <w:rPr>
                <w:rFonts w:ascii="宋体" w:hAnsi="宋体" w:cs="宋体"/>
                <w:color w:val="auto"/>
                <w:sz w:val="24"/>
              </w:rPr>
            </w:pPr>
          </w:p>
        </w:tc>
      </w:tr>
    </w:tbl>
    <w:p w14:paraId="38630150">
      <w:pPr>
        <w:snapToGrid w:val="0"/>
        <w:spacing w:beforeLines="50" w:line="360" w:lineRule="auto"/>
        <w:ind w:firstLine="480" w:firstLineChars="200"/>
        <w:rPr>
          <w:rFonts w:ascii="宋体" w:hAnsi="宋体" w:cs="宋体"/>
          <w:color w:val="auto"/>
          <w:sz w:val="24"/>
        </w:rPr>
      </w:pPr>
      <w:r>
        <w:rPr>
          <w:rFonts w:hint="eastAsia" w:ascii="宋体" w:hAnsi="宋体" w:cs="宋体"/>
          <w:color w:val="auto"/>
          <w:sz w:val="24"/>
        </w:rPr>
        <w:t>注：在填写时，如上表不适合本项目的实际情况，可在确保投标明细内容完整的情况下，根据上表格式自行划表填写。</w:t>
      </w:r>
    </w:p>
    <w:p w14:paraId="0A0561D7">
      <w:pPr>
        <w:pStyle w:val="3"/>
        <w:rPr>
          <w:rFonts w:ascii="宋体" w:hAnsi="宋体" w:cs="宋体"/>
          <w:color w:val="auto"/>
          <w:sz w:val="24"/>
        </w:rPr>
      </w:pPr>
    </w:p>
    <w:p w14:paraId="45F99798">
      <w:pPr>
        <w:pStyle w:val="3"/>
        <w:rPr>
          <w:rFonts w:ascii="宋体" w:hAnsi="宋体" w:cs="宋体"/>
          <w:color w:val="auto"/>
          <w:sz w:val="24"/>
        </w:rPr>
      </w:pPr>
    </w:p>
    <w:p w14:paraId="64A25C6C">
      <w:pPr>
        <w:pStyle w:val="3"/>
        <w:rPr>
          <w:rFonts w:ascii="宋体" w:hAnsi="宋体" w:cs="宋体"/>
          <w:color w:val="auto"/>
          <w:sz w:val="24"/>
        </w:rPr>
      </w:pPr>
    </w:p>
    <w:p w14:paraId="3D0614B3">
      <w:pPr>
        <w:snapToGrid w:val="0"/>
        <w:spacing w:beforeLines="50"/>
        <w:rPr>
          <w:rFonts w:ascii="宋体" w:hAnsi="宋体" w:cs="宋体"/>
          <w:color w:val="auto"/>
          <w:sz w:val="24"/>
        </w:rPr>
      </w:pPr>
    </w:p>
    <w:p w14:paraId="1B116706">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14:paraId="7682D154">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日 期：</w:t>
      </w:r>
    </w:p>
    <w:p w14:paraId="507F78F9">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投标人全称（公章）：</w:t>
      </w:r>
    </w:p>
    <w:p w14:paraId="03E04569">
      <w:pPr>
        <w:snapToGrid w:val="0"/>
        <w:spacing w:before="50" w:after="50"/>
        <w:rPr>
          <w:rFonts w:ascii="宋体" w:hAnsi="宋体" w:cs="宋体"/>
          <w:color w:val="auto"/>
          <w:spacing w:val="20"/>
          <w:sz w:val="24"/>
        </w:rPr>
      </w:pPr>
    </w:p>
    <w:p w14:paraId="5914FA91">
      <w:pPr>
        <w:snapToGrid w:val="0"/>
        <w:spacing w:before="50" w:after="50"/>
        <w:rPr>
          <w:rFonts w:ascii="宋体" w:hAnsi="宋体" w:cs="宋体"/>
          <w:color w:val="auto"/>
          <w:spacing w:val="20"/>
          <w:sz w:val="30"/>
          <w:szCs w:val="30"/>
        </w:rPr>
      </w:pPr>
    </w:p>
    <w:p w14:paraId="21AFA6E3">
      <w:pPr>
        <w:pStyle w:val="3"/>
        <w:ind w:firstLine="686"/>
        <w:rPr>
          <w:rFonts w:ascii="宋体" w:hAnsi="宋体" w:cs="宋体"/>
          <w:color w:val="auto"/>
          <w:spacing w:val="20"/>
          <w:sz w:val="30"/>
          <w:szCs w:val="30"/>
        </w:rPr>
      </w:pPr>
    </w:p>
    <w:p w14:paraId="2EAF2DBC">
      <w:pPr>
        <w:pStyle w:val="3"/>
        <w:ind w:firstLine="686"/>
        <w:rPr>
          <w:rFonts w:ascii="宋体" w:hAnsi="宋体" w:cs="宋体"/>
          <w:color w:val="auto"/>
          <w:spacing w:val="20"/>
          <w:sz w:val="30"/>
          <w:szCs w:val="30"/>
        </w:rPr>
      </w:pPr>
    </w:p>
    <w:p w14:paraId="73253FC1">
      <w:pPr>
        <w:pStyle w:val="3"/>
        <w:ind w:firstLine="686"/>
        <w:rPr>
          <w:rFonts w:ascii="宋体" w:hAnsi="宋体" w:cs="宋体"/>
          <w:color w:val="auto"/>
          <w:spacing w:val="20"/>
          <w:sz w:val="30"/>
          <w:szCs w:val="30"/>
        </w:rPr>
      </w:pPr>
    </w:p>
    <w:p w14:paraId="38D9376C">
      <w:pPr>
        <w:pStyle w:val="3"/>
        <w:ind w:firstLine="686"/>
        <w:rPr>
          <w:rFonts w:ascii="宋体" w:hAnsi="宋体" w:cs="宋体"/>
          <w:color w:val="auto"/>
          <w:spacing w:val="20"/>
          <w:sz w:val="30"/>
          <w:szCs w:val="30"/>
        </w:rPr>
      </w:pPr>
    </w:p>
    <w:p w14:paraId="3F12D4D8">
      <w:pPr>
        <w:pStyle w:val="5"/>
        <w:rPr>
          <w:rFonts w:hAnsi="宋体" w:cs="宋体"/>
          <w:bCs/>
          <w:color w:val="auto"/>
          <w:sz w:val="24"/>
          <w:szCs w:val="24"/>
        </w:rPr>
      </w:pPr>
      <w:bookmarkStart w:id="447" w:name="_Toc2823"/>
      <w:r>
        <w:rPr>
          <w:rFonts w:hint="eastAsia" w:hAnsi="宋体" w:cs="宋体"/>
          <w:bCs/>
          <w:color w:val="auto"/>
          <w:sz w:val="24"/>
          <w:szCs w:val="24"/>
        </w:rPr>
        <w:br w:type="page"/>
      </w:r>
      <w:bookmarkEnd w:id="447"/>
      <w:r>
        <w:rPr>
          <w:rFonts w:hint="eastAsia" w:hAnsi="宋体" w:cs="宋体"/>
          <w:bCs/>
          <w:color w:val="auto"/>
          <w:sz w:val="24"/>
          <w:szCs w:val="24"/>
        </w:rPr>
        <w:t>附件六：</w:t>
      </w:r>
    </w:p>
    <w:p w14:paraId="698582AA">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商务响应表</w:t>
      </w:r>
    </w:p>
    <w:p w14:paraId="72CDFB31">
      <w:pPr>
        <w:snapToGrid w:val="0"/>
        <w:spacing w:before="50"/>
        <w:jc w:val="center"/>
        <w:rPr>
          <w:rFonts w:ascii="宋体" w:hAnsi="宋体" w:cs="宋体"/>
          <w:b/>
          <w:color w:val="auto"/>
          <w:sz w:val="32"/>
          <w:szCs w:val="32"/>
        </w:rPr>
      </w:pPr>
    </w:p>
    <w:p w14:paraId="5EAC189A">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14:paraId="389AED68">
      <w:pPr>
        <w:spacing w:line="360" w:lineRule="auto"/>
        <w:ind w:firstLine="480" w:firstLineChars="200"/>
        <w:rPr>
          <w:rFonts w:ascii="宋体" w:hAnsi="宋体" w:cs="宋体"/>
          <w:color w:val="auto"/>
          <w:sz w:val="24"/>
        </w:rPr>
      </w:pPr>
      <w:r>
        <w:rPr>
          <w:rFonts w:hint="eastAsia" w:ascii="宋体" w:hAnsi="宋体" w:cs="宋体"/>
          <w:color w:val="auto"/>
          <w:sz w:val="24"/>
        </w:rPr>
        <w:t>采购编号：</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48D9F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14:paraId="3B95A0D0">
            <w:pPr>
              <w:snapToGrid w:val="0"/>
              <w:spacing w:before="50" w:after="50"/>
              <w:jc w:val="center"/>
              <w:rPr>
                <w:rFonts w:ascii="宋体" w:hAnsi="宋体" w:cs="宋体"/>
                <w:color w:val="auto"/>
                <w:sz w:val="24"/>
              </w:rPr>
            </w:pPr>
            <w:r>
              <w:rPr>
                <w:rFonts w:hint="eastAsia" w:ascii="宋体" w:hAnsi="宋体" w:cs="宋体"/>
                <w:color w:val="auto"/>
                <w:sz w:val="24"/>
              </w:rPr>
              <w:t>项目</w:t>
            </w:r>
          </w:p>
        </w:tc>
        <w:tc>
          <w:tcPr>
            <w:tcW w:w="2700" w:type="dxa"/>
            <w:tcBorders>
              <w:top w:val="single" w:color="auto" w:sz="4" w:space="0"/>
              <w:left w:val="single" w:color="auto" w:sz="4" w:space="0"/>
              <w:bottom w:val="single" w:color="auto" w:sz="4" w:space="0"/>
              <w:right w:val="single" w:color="auto" w:sz="4" w:space="0"/>
            </w:tcBorders>
            <w:noWrap/>
            <w:vAlign w:val="center"/>
          </w:tcPr>
          <w:p w14:paraId="4067805B">
            <w:pPr>
              <w:snapToGrid w:val="0"/>
              <w:spacing w:before="50" w:after="50"/>
              <w:jc w:val="center"/>
              <w:rPr>
                <w:rFonts w:ascii="宋体" w:hAnsi="宋体" w:cs="宋体"/>
                <w:color w:val="auto"/>
                <w:sz w:val="24"/>
              </w:rPr>
            </w:pPr>
            <w:r>
              <w:rPr>
                <w:rFonts w:hint="eastAsia" w:ascii="宋体" w:hAnsi="宋体" w:cs="宋体"/>
                <w:color w:val="auto"/>
                <w:sz w:val="24"/>
              </w:rPr>
              <w:t>招标文件要求</w:t>
            </w:r>
          </w:p>
        </w:tc>
        <w:tc>
          <w:tcPr>
            <w:tcW w:w="1260" w:type="dxa"/>
            <w:tcBorders>
              <w:top w:val="single" w:color="auto" w:sz="4" w:space="0"/>
              <w:left w:val="single" w:color="auto" w:sz="4" w:space="0"/>
              <w:bottom w:val="single" w:color="auto" w:sz="4" w:space="0"/>
              <w:right w:val="single" w:color="auto" w:sz="4" w:space="0"/>
            </w:tcBorders>
            <w:noWrap/>
            <w:vAlign w:val="center"/>
          </w:tcPr>
          <w:p w14:paraId="70932CF7">
            <w:pPr>
              <w:snapToGrid w:val="0"/>
              <w:spacing w:before="50" w:after="50"/>
              <w:jc w:val="center"/>
              <w:rPr>
                <w:rFonts w:ascii="宋体" w:hAnsi="宋体" w:cs="宋体"/>
                <w:color w:val="auto"/>
                <w:sz w:val="24"/>
              </w:rPr>
            </w:pPr>
            <w:r>
              <w:rPr>
                <w:rFonts w:hint="eastAsia" w:ascii="宋体" w:hAnsi="宋体" w:cs="宋体"/>
                <w:color w:val="auto"/>
                <w:sz w:val="24"/>
              </w:rPr>
              <w:t>是否</w:t>
            </w:r>
          </w:p>
          <w:p w14:paraId="032E7FC1">
            <w:pPr>
              <w:snapToGrid w:val="0"/>
              <w:spacing w:before="50" w:after="50"/>
              <w:jc w:val="center"/>
              <w:rPr>
                <w:rFonts w:ascii="宋体" w:hAnsi="宋体" w:cs="宋体"/>
                <w:color w:val="auto"/>
                <w:sz w:val="24"/>
              </w:rPr>
            </w:pPr>
            <w:r>
              <w:rPr>
                <w:rFonts w:hint="eastAsia" w:ascii="宋体" w:hAnsi="宋体" w:cs="宋体"/>
                <w:color w:val="auto"/>
                <w:sz w:val="24"/>
              </w:rPr>
              <w:t>响应</w:t>
            </w:r>
          </w:p>
        </w:tc>
        <w:tc>
          <w:tcPr>
            <w:tcW w:w="3020" w:type="dxa"/>
            <w:tcBorders>
              <w:top w:val="single" w:color="auto" w:sz="4" w:space="0"/>
              <w:left w:val="single" w:color="auto" w:sz="4" w:space="0"/>
              <w:bottom w:val="single" w:color="auto" w:sz="4" w:space="0"/>
              <w:right w:val="single" w:color="auto" w:sz="4" w:space="0"/>
            </w:tcBorders>
            <w:noWrap/>
            <w:vAlign w:val="center"/>
          </w:tcPr>
          <w:p w14:paraId="4C947755">
            <w:pPr>
              <w:snapToGrid w:val="0"/>
              <w:spacing w:before="50" w:after="50"/>
              <w:jc w:val="center"/>
              <w:rPr>
                <w:rFonts w:ascii="宋体" w:hAnsi="宋体" w:cs="宋体"/>
                <w:color w:val="auto"/>
                <w:sz w:val="24"/>
              </w:rPr>
            </w:pPr>
            <w:r>
              <w:rPr>
                <w:rFonts w:hint="eastAsia" w:ascii="宋体" w:hAnsi="宋体" w:cs="宋体"/>
                <w:color w:val="auto"/>
                <w:sz w:val="24"/>
              </w:rPr>
              <w:t>投标人的承诺或说明</w:t>
            </w:r>
          </w:p>
        </w:tc>
      </w:tr>
      <w:tr w14:paraId="674D5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14:paraId="6083C828">
            <w:pPr>
              <w:snapToGrid w:val="0"/>
              <w:spacing w:before="50" w:after="50"/>
              <w:jc w:val="center"/>
              <w:rPr>
                <w:rFonts w:ascii="宋体" w:hAnsi="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ign w:val="center"/>
          </w:tcPr>
          <w:p w14:paraId="766DF08B">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43F90D15">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14:paraId="7947F59A">
            <w:pPr>
              <w:snapToGrid w:val="0"/>
              <w:spacing w:before="50" w:after="50"/>
              <w:jc w:val="center"/>
              <w:rPr>
                <w:rFonts w:ascii="宋体" w:hAnsi="宋体" w:cs="宋体"/>
                <w:color w:val="auto"/>
                <w:sz w:val="24"/>
              </w:rPr>
            </w:pPr>
          </w:p>
        </w:tc>
      </w:tr>
      <w:tr w14:paraId="2C497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14:paraId="3644CA79">
            <w:pPr>
              <w:snapToGrid w:val="0"/>
              <w:spacing w:before="50" w:after="50"/>
              <w:jc w:val="center"/>
              <w:rPr>
                <w:rFonts w:ascii="宋体" w:hAnsi="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ign w:val="center"/>
          </w:tcPr>
          <w:p w14:paraId="399F7869">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23BB9BD6">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14:paraId="75ADDC83">
            <w:pPr>
              <w:snapToGrid w:val="0"/>
              <w:spacing w:before="50" w:after="50"/>
              <w:jc w:val="center"/>
              <w:rPr>
                <w:rFonts w:ascii="宋体" w:hAnsi="宋体" w:cs="宋体"/>
                <w:color w:val="auto"/>
                <w:sz w:val="24"/>
              </w:rPr>
            </w:pPr>
          </w:p>
        </w:tc>
      </w:tr>
      <w:tr w14:paraId="3C47F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14:paraId="40F20806">
            <w:pPr>
              <w:snapToGrid w:val="0"/>
              <w:spacing w:before="50" w:after="50"/>
              <w:jc w:val="center"/>
              <w:rPr>
                <w:rFonts w:ascii="宋体" w:hAnsi="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ign w:val="center"/>
          </w:tcPr>
          <w:p w14:paraId="20810E70">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2C7A1384">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14:paraId="21B69C7D">
            <w:pPr>
              <w:snapToGrid w:val="0"/>
              <w:spacing w:before="50" w:after="50"/>
              <w:jc w:val="center"/>
              <w:rPr>
                <w:rFonts w:ascii="宋体" w:hAnsi="宋体" w:cs="宋体"/>
                <w:color w:val="auto"/>
                <w:sz w:val="24"/>
              </w:rPr>
            </w:pPr>
          </w:p>
        </w:tc>
      </w:tr>
      <w:tr w14:paraId="294D0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14:paraId="589B09D6">
            <w:pPr>
              <w:snapToGrid w:val="0"/>
              <w:spacing w:before="50" w:after="50"/>
              <w:jc w:val="center"/>
              <w:rPr>
                <w:rFonts w:ascii="宋体" w:hAnsi="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ign w:val="center"/>
          </w:tcPr>
          <w:p w14:paraId="11BAC324">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BFFC6DB">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14:paraId="7CD31EE6">
            <w:pPr>
              <w:snapToGrid w:val="0"/>
              <w:spacing w:before="50" w:after="50"/>
              <w:jc w:val="center"/>
              <w:rPr>
                <w:rFonts w:ascii="宋体" w:hAnsi="宋体" w:cs="宋体"/>
                <w:color w:val="auto"/>
                <w:sz w:val="24"/>
              </w:rPr>
            </w:pPr>
          </w:p>
        </w:tc>
      </w:tr>
      <w:tr w14:paraId="18E22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14:paraId="23E416B3">
            <w:pPr>
              <w:snapToGrid w:val="0"/>
              <w:spacing w:before="50" w:after="50"/>
              <w:jc w:val="center"/>
              <w:rPr>
                <w:rFonts w:ascii="宋体" w:hAnsi="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ign w:val="center"/>
          </w:tcPr>
          <w:p w14:paraId="31937031">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794C3D8C">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14:paraId="35576583">
            <w:pPr>
              <w:snapToGrid w:val="0"/>
              <w:spacing w:before="50" w:after="50"/>
              <w:jc w:val="center"/>
              <w:rPr>
                <w:rFonts w:ascii="宋体" w:hAnsi="宋体" w:cs="宋体"/>
                <w:color w:val="auto"/>
                <w:sz w:val="24"/>
              </w:rPr>
            </w:pPr>
          </w:p>
        </w:tc>
      </w:tr>
      <w:tr w14:paraId="4D2AB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14:paraId="2440F58E">
            <w:pPr>
              <w:snapToGrid w:val="0"/>
              <w:spacing w:before="50" w:after="50"/>
              <w:jc w:val="center"/>
              <w:rPr>
                <w:rFonts w:ascii="宋体" w:hAnsi="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ign w:val="center"/>
          </w:tcPr>
          <w:p w14:paraId="7FFA121C">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B1DE93F">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14:paraId="508E8F6A">
            <w:pPr>
              <w:snapToGrid w:val="0"/>
              <w:spacing w:before="50" w:after="50"/>
              <w:jc w:val="center"/>
              <w:rPr>
                <w:rFonts w:ascii="宋体" w:hAnsi="宋体" w:cs="宋体"/>
                <w:color w:val="auto"/>
                <w:sz w:val="24"/>
              </w:rPr>
            </w:pPr>
          </w:p>
        </w:tc>
      </w:tr>
      <w:tr w14:paraId="593B5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14:paraId="425BC7E4">
            <w:pPr>
              <w:snapToGrid w:val="0"/>
              <w:spacing w:before="50" w:after="50"/>
              <w:jc w:val="center"/>
              <w:rPr>
                <w:rFonts w:ascii="宋体" w:hAnsi="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ign w:val="center"/>
          </w:tcPr>
          <w:p w14:paraId="03628392">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4E83ACCF">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14:paraId="412AC181">
            <w:pPr>
              <w:snapToGrid w:val="0"/>
              <w:spacing w:before="50" w:after="50"/>
              <w:jc w:val="center"/>
              <w:rPr>
                <w:rFonts w:ascii="宋体" w:hAnsi="宋体" w:cs="宋体"/>
                <w:color w:val="auto"/>
                <w:sz w:val="24"/>
              </w:rPr>
            </w:pPr>
          </w:p>
        </w:tc>
      </w:tr>
      <w:tr w14:paraId="5C995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14:paraId="68DE89F3">
            <w:pPr>
              <w:snapToGrid w:val="0"/>
              <w:spacing w:before="50" w:after="50"/>
              <w:jc w:val="center"/>
              <w:rPr>
                <w:rFonts w:ascii="宋体" w:hAnsi="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ign w:val="center"/>
          </w:tcPr>
          <w:p w14:paraId="47C702C3">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0E914F2B">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14:paraId="3D631156">
            <w:pPr>
              <w:snapToGrid w:val="0"/>
              <w:spacing w:before="50" w:after="50"/>
              <w:jc w:val="center"/>
              <w:rPr>
                <w:rFonts w:ascii="宋体" w:hAnsi="宋体" w:cs="宋体"/>
                <w:color w:val="auto"/>
                <w:sz w:val="24"/>
              </w:rPr>
            </w:pPr>
          </w:p>
        </w:tc>
      </w:tr>
      <w:tr w14:paraId="28863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14:paraId="28815379">
            <w:pPr>
              <w:snapToGrid w:val="0"/>
              <w:spacing w:before="50" w:after="50"/>
              <w:jc w:val="center"/>
              <w:rPr>
                <w:rFonts w:ascii="宋体" w:hAnsi="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ign w:val="center"/>
          </w:tcPr>
          <w:p w14:paraId="0FDA970D">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01351D82">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14:paraId="54CAAD98">
            <w:pPr>
              <w:snapToGrid w:val="0"/>
              <w:spacing w:before="50" w:after="50"/>
              <w:jc w:val="center"/>
              <w:rPr>
                <w:rFonts w:ascii="宋体" w:hAnsi="宋体" w:cs="宋体"/>
                <w:color w:val="auto"/>
                <w:sz w:val="24"/>
              </w:rPr>
            </w:pPr>
          </w:p>
        </w:tc>
      </w:tr>
      <w:tr w14:paraId="711E3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14:paraId="485B4C09">
            <w:pPr>
              <w:snapToGrid w:val="0"/>
              <w:spacing w:before="50" w:after="50"/>
              <w:jc w:val="center"/>
              <w:rPr>
                <w:rFonts w:ascii="宋体" w:hAnsi="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ign w:val="center"/>
          </w:tcPr>
          <w:p w14:paraId="72D9122F">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41FA6A2">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14:paraId="78A9EA0B">
            <w:pPr>
              <w:snapToGrid w:val="0"/>
              <w:spacing w:before="50" w:after="50"/>
              <w:jc w:val="center"/>
              <w:rPr>
                <w:rFonts w:ascii="宋体" w:hAnsi="宋体" w:cs="宋体"/>
                <w:color w:val="auto"/>
                <w:sz w:val="24"/>
              </w:rPr>
            </w:pPr>
          </w:p>
        </w:tc>
      </w:tr>
      <w:tr w14:paraId="5F6FC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14:paraId="6E717D56">
            <w:pPr>
              <w:snapToGrid w:val="0"/>
              <w:spacing w:before="50" w:after="50"/>
              <w:jc w:val="center"/>
              <w:rPr>
                <w:rFonts w:ascii="宋体" w:hAnsi="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ign w:val="center"/>
          </w:tcPr>
          <w:p w14:paraId="22023A76">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6A30048">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14:paraId="4BB90E8D">
            <w:pPr>
              <w:snapToGrid w:val="0"/>
              <w:spacing w:before="50" w:after="50"/>
              <w:jc w:val="center"/>
              <w:rPr>
                <w:rFonts w:ascii="宋体" w:hAnsi="宋体" w:cs="宋体"/>
                <w:color w:val="auto"/>
                <w:sz w:val="24"/>
              </w:rPr>
            </w:pPr>
          </w:p>
        </w:tc>
      </w:tr>
    </w:tbl>
    <w:p w14:paraId="42A7134A">
      <w:pPr>
        <w:snapToGrid w:val="0"/>
        <w:spacing w:beforeLines="50" w:line="360" w:lineRule="auto"/>
        <w:rPr>
          <w:rFonts w:ascii="宋体" w:hAnsi="宋体" w:cs="宋体"/>
          <w:color w:val="auto"/>
          <w:sz w:val="24"/>
        </w:rPr>
      </w:pPr>
      <w:r>
        <w:rPr>
          <w:rFonts w:hint="eastAsia" w:ascii="宋体" w:hAnsi="宋体" w:cs="宋体"/>
          <w:color w:val="auto"/>
          <w:sz w:val="24"/>
        </w:rPr>
        <w:t>注：根据商务要求表及投标实际情况自行填写。</w:t>
      </w:r>
    </w:p>
    <w:p w14:paraId="084C4DC5">
      <w:pPr>
        <w:spacing w:line="360" w:lineRule="auto"/>
        <w:ind w:left="3780" w:leftChars="1800" w:firstLine="480" w:firstLineChars="200"/>
        <w:rPr>
          <w:rFonts w:ascii="宋体" w:hAnsi="宋体" w:cs="宋体"/>
          <w:color w:val="auto"/>
          <w:sz w:val="24"/>
        </w:rPr>
      </w:pPr>
    </w:p>
    <w:p w14:paraId="2BE35BD0">
      <w:pPr>
        <w:spacing w:line="360" w:lineRule="auto"/>
        <w:ind w:left="3780" w:leftChars="1800" w:firstLine="480" w:firstLineChars="200"/>
        <w:rPr>
          <w:rFonts w:ascii="宋体" w:hAnsi="宋体" w:cs="宋体"/>
          <w:color w:val="auto"/>
          <w:sz w:val="24"/>
        </w:rPr>
      </w:pPr>
    </w:p>
    <w:p w14:paraId="0865AFA9">
      <w:pPr>
        <w:spacing w:line="360" w:lineRule="auto"/>
        <w:ind w:left="3780" w:leftChars="1800" w:firstLine="480" w:firstLineChars="200"/>
        <w:rPr>
          <w:rFonts w:ascii="宋体" w:hAnsi="宋体" w:cs="宋体"/>
          <w:color w:val="auto"/>
          <w:sz w:val="24"/>
        </w:rPr>
      </w:pPr>
    </w:p>
    <w:p w14:paraId="479A67CC">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14:paraId="65DB66E0">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日 期：</w:t>
      </w:r>
    </w:p>
    <w:p w14:paraId="1D7E68FF">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投标人全称（公章）：</w:t>
      </w:r>
    </w:p>
    <w:p w14:paraId="006ED80F">
      <w:pPr>
        <w:spacing w:line="360" w:lineRule="auto"/>
        <w:ind w:right="420"/>
        <w:jc w:val="center"/>
        <w:rPr>
          <w:rFonts w:ascii="宋体" w:hAnsi="宋体" w:cs="宋体"/>
          <w:b/>
          <w:color w:val="auto"/>
          <w:kern w:val="0"/>
          <w:sz w:val="36"/>
          <w:szCs w:val="36"/>
        </w:rPr>
      </w:pPr>
      <w:r>
        <w:rPr>
          <w:rFonts w:hint="eastAsia" w:ascii="宋体" w:hAnsi="宋体" w:cs="宋体"/>
          <w:color w:val="auto"/>
          <w:spacing w:val="20"/>
          <w:sz w:val="30"/>
          <w:szCs w:val="30"/>
        </w:rPr>
        <w:br w:type="page"/>
      </w:r>
      <w:r>
        <w:rPr>
          <w:rFonts w:hint="eastAsia" w:ascii="宋体" w:hAnsi="宋体" w:cs="宋体"/>
          <w:b/>
          <w:color w:val="auto"/>
          <w:kern w:val="0"/>
          <w:sz w:val="36"/>
          <w:szCs w:val="36"/>
        </w:rPr>
        <w:t>报价文件</w:t>
      </w:r>
    </w:p>
    <w:p w14:paraId="6708A12A">
      <w:pPr>
        <w:spacing w:line="360" w:lineRule="auto"/>
        <w:jc w:val="center"/>
        <w:rPr>
          <w:rFonts w:ascii="宋体" w:hAnsi="宋体" w:cs="宋体"/>
          <w:b/>
          <w:color w:val="auto"/>
          <w:kern w:val="0"/>
          <w:sz w:val="36"/>
          <w:szCs w:val="36"/>
        </w:rPr>
      </w:pPr>
    </w:p>
    <w:p w14:paraId="2F8827D4">
      <w:pPr>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目录</w:t>
      </w:r>
    </w:p>
    <w:p w14:paraId="652B9FDE">
      <w:pPr>
        <w:pStyle w:val="3"/>
        <w:ind w:firstLine="723"/>
        <w:rPr>
          <w:rFonts w:ascii="宋体" w:hAnsi="宋体" w:cs="宋体"/>
          <w:b/>
          <w:color w:val="auto"/>
          <w:kern w:val="0"/>
          <w:sz w:val="36"/>
          <w:szCs w:val="36"/>
        </w:rPr>
      </w:pPr>
    </w:p>
    <w:p w14:paraId="7CD40090">
      <w:pPr>
        <w:tabs>
          <w:tab w:val="left" w:pos="1440"/>
          <w:tab w:val="left" w:pos="1620"/>
          <w:tab w:val="left" w:pos="1800"/>
          <w:tab w:val="left" w:pos="1980"/>
        </w:tabs>
        <w:autoSpaceDE w:val="0"/>
        <w:autoSpaceDN w:val="0"/>
        <w:spacing w:line="360" w:lineRule="auto"/>
        <w:ind w:left="420" w:leftChars="200"/>
        <w:textAlignment w:val="bottom"/>
        <w:rPr>
          <w:rFonts w:ascii="宋体" w:hAnsi="宋体" w:cs="宋体"/>
          <w:color w:val="auto"/>
          <w:sz w:val="24"/>
        </w:rPr>
      </w:pPr>
      <w:r>
        <w:rPr>
          <w:rFonts w:hint="eastAsia" w:ascii="宋体" w:hAnsi="宋体" w:cs="宋体"/>
          <w:color w:val="auto"/>
          <w:sz w:val="24"/>
        </w:rPr>
        <w:t>（1）投标函（格式见附件）；</w:t>
      </w:r>
    </w:p>
    <w:p w14:paraId="388547A4">
      <w:pPr>
        <w:tabs>
          <w:tab w:val="left" w:pos="1440"/>
          <w:tab w:val="left" w:pos="1620"/>
          <w:tab w:val="left" w:pos="1800"/>
          <w:tab w:val="left" w:pos="1980"/>
        </w:tabs>
        <w:autoSpaceDE w:val="0"/>
        <w:autoSpaceDN w:val="0"/>
        <w:spacing w:line="360" w:lineRule="auto"/>
        <w:ind w:left="420" w:leftChars="200"/>
        <w:textAlignment w:val="bottom"/>
        <w:rPr>
          <w:rFonts w:ascii="宋体" w:hAnsi="宋体" w:cs="宋体"/>
          <w:color w:val="auto"/>
          <w:sz w:val="24"/>
        </w:rPr>
      </w:pPr>
      <w:r>
        <w:rPr>
          <w:rFonts w:hint="eastAsia" w:ascii="宋体" w:hAnsi="宋体" w:cs="宋体"/>
          <w:color w:val="auto"/>
          <w:sz w:val="24"/>
        </w:rPr>
        <w:t>（2）开标一览表（格式见附件）；</w:t>
      </w:r>
    </w:p>
    <w:p w14:paraId="00ADA814">
      <w:pPr>
        <w:tabs>
          <w:tab w:val="left" w:pos="1440"/>
          <w:tab w:val="left" w:pos="1620"/>
          <w:tab w:val="left" w:pos="1800"/>
          <w:tab w:val="left" w:pos="1980"/>
        </w:tabs>
        <w:autoSpaceDE w:val="0"/>
        <w:autoSpaceDN w:val="0"/>
        <w:spacing w:line="360" w:lineRule="auto"/>
        <w:ind w:left="420" w:leftChars="200"/>
        <w:textAlignment w:val="bottom"/>
        <w:rPr>
          <w:rFonts w:ascii="宋体" w:hAnsi="宋体" w:cs="宋体"/>
          <w:color w:val="auto"/>
          <w:sz w:val="24"/>
        </w:rPr>
      </w:pPr>
      <w:r>
        <w:rPr>
          <w:rFonts w:hint="eastAsia" w:ascii="宋体" w:hAnsi="宋体" w:cs="宋体"/>
          <w:color w:val="auto"/>
          <w:sz w:val="24"/>
        </w:rPr>
        <w:t>（3）投标报价明细表（格式见附件）；</w:t>
      </w:r>
    </w:p>
    <w:p w14:paraId="5D1D3E8A">
      <w:pPr>
        <w:pStyle w:val="3"/>
        <w:ind w:firstLine="560"/>
        <w:rPr>
          <w:rFonts w:ascii="宋体" w:hAnsi="宋体" w:cs="宋体"/>
          <w:color w:val="auto"/>
          <w:sz w:val="28"/>
          <w:szCs w:val="28"/>
        </w:rPr>
      </w:pPr>
    </w:p>
    <w:p w14:paraId="0D17341D">
      <w:pPr>
        <w:pStyle w:val="3"/>
        <w:ind w:firstLine="560"/>
        <w:rPr>
          <w:rFonts w:ascii="宋体" w:hAnsi="宋体" w:cs="宋体"/>
          <w:color w:val="auto"/>
          <w:sz w:val="28"/>
          <w:szCs w:val="28"/>
        </w:rPr>
      </w:pPr>
    </w:p>
    <w:p w14:paraId="00C44E39">
      <w:pPr>
        <w:pStyle w:val="3"/>
        <w:ind w:firstLine="560"/>
        <w:rPr>
          <w:rFonts w:ascii="宋体" w:hAnsi="宋体" w:cs="宋体"/>
          <w:color w:val="auto"/>
          <w:sz w:val="28"/>
          <w:szCs w:val="28"/>
        </w:rPr>
      </w:pPr>
    </w:p>
    <w:p w14:paraId="3448F092">
      <w:pPr>
        <w:pStyle w:val="3"/>
        <w:ind w:firstLine="560"/>
        <w:rPr>
          <w:rFonts w:ascii="宋体" w:hAnsi="宋体" w:cs="宋体"/>
          <w:color w:val="auto"/>
          <w:sz w:val="28"/>
          <w:szCs w:val="28"/>
        </w:rPr>
      </w:pPr>
    </w:p>
    <w:p w14:paraId="1C3F1DD0">
      <w:pPr>
        <w:pStyle w:val="3"/>
        <w:ind w:firstLine="560"/>
        <w:rPr>
          <w:rFonts w:ascii="宋体" w:hAnsi="宋体" w:cs="宋体"/>
          <w:color w:val="auto"/>
          <w:sz w:val="28"/>
          <w:szCs w:val="28"/>
        </w:rPr>
      </w:pPr>
    </w:p>
    <w:p w14:paraId="4700787C">
      <w:pPr>
        <w:pStyle w:val="3"/>
        <w:ind w:firstLine="560"/>
        <w:rPr>
          <w:rFonts w:ascii="宋体" w:hAnsi="宋体" w:cs="宋体"/>
          <w:color w:val="auto"/>
          <w:sz w:val="28"/>
          <w:szCs w:val="28"/>
        </w:rPr>
      </w:pPr>
    </w:p>
    <w:p w14:paraId="3573911A">
      <w:pPr>
        <w:pStyle w:val="3"/>
        <w:ind w:firstLine="560"/>
        <w:rPr>
          <w:rFonts w:ascii="宋体" w:hAnsi="宋体" w:cs="宋体"/>
          <w:color w:val="auto"/>
          <w:sz w:val="28"/>
          <w:szCs w:val="28"/>
        </w:rPr>
      </w:pPr>
    </w:p>
    <w:p w14:paraId="113F7FDA">
      <w:pPr>
        <w:pStyle w:val="3"/>
        <w:ind w:firstLine="560"/>
        <w:rPr>
          <w:rFonts w:ascii="宋体" w:hAnsi="宋体" w:cs="宋体"/>
          <w:color w:val="auto"/>
          <w:sz w:val="28"/>
          <w:szCs w:val="28"/>
        </w:rPr>
      </w:pPr>
    </w:p>
    <w:p w14:paraId="0B85A6E3">
      <w:pPr>
        <w:pStyle w:val="3"/>
        <w:ind w:firstLine="560"/>
        <w:rPr>
          <w:rFonts w:ascii="宋体" w:hAnsi="宋体" w:cs="宋体"/>
          <w:color w:val="auto"/>
          <w:sz w:val="28"/>
          <w:szCs w:val="28"/>
        </w:rPr>
      </w:pPr>
    </w:p>
    <w:p w14:paraId="511A81F6">
      <w:pPr>
        <w:pStyle w:val="3"/>
        <w:ind w:firstLine="560"/>
        <w:rPr>
          <w:rFonts w:ascii="宋体" w:hAnsi="宋体" w:cs="宋体"/>
          <w:color w:val="auto"/>
          <w:sz w:val="28"/>
          <w:szCs w:val="28"/>
        </w:rPr>
      </w:pPr>
    </w:p>
    <w:p w14:paraId="4CFB115F">
      <w:pPr>
        <w:pStyle w:val="3"/>
        <w:ind w:firstLine="560"/>
        <w:rPr>
          <w:rFonts w:ascii="宋体" w:hAnsi="宋体" w:cs="宋体"/>
          <w:color w:val="auto"/>
          <w:sz w:val="28"/>
          <w:szCs w:val="28"/>
        </w:rPr>
      </w:pPr>
    </w:p>
    <w:p w14:paraId="1E39C58D">
      <w:pPr>
        <w:pStyle w:val="3"/>
        <w:ind w:firstLine="560"/>
        <w:rPr>
          <w:rFonts w:ascii="宋体" w:hAnsi="宋体" w:cs="宋体"/>
          <w:color w:val="auto"/>
          <w:sz w:val="28"/>
          <w:szCs w:val="28"/>
        </w:rPr>
      </w:pPr>
    </w:p>
    <w:p w14:paraId="7B0E90B8">
      <w:pPr>
        <w:pStyle w:val="3"/>
        <w:ind w:firstLine="560"/>
        <w:rPr>
          <w:rFonts w:ascii="宋体" w:hAnsi="宋体" w:cs="宋体"/>
          <w:color w:val="auto"/>
          <w:sz w:val="28"/>
          <w:szCs w:val="28"/>
        </w:rPr>
      </w:pPr>
      <w:bookmarkStart w:id="448" w:name="_Toc3094"/>
    </w:p>
    <w:p w14:paraId="7B6E727B">
      <w:pPr>
        <w:pStyle w:val="5"/>
        <w:rPr>
          <w:rFonts w:hAnsi="宋体" w:cs="宋体"/>
          <w:bCs/>
          <w:color w:val="auto"/>
          <w:sz w:val="24"/>
          <w:szCs w:val="24"/>
          <w:lang w:val="zh-CN"/>
        </w:rPr>
      </w:pPr>
      <w:r>
        <w:rPr>
          <w:rFonts w:hint="eastAsia" w:hAnsi="宋体" w:cs="宋体"/>
          <w:bCs/>
          <w:color w:val="auto"/>
          <w:sz w:val="24"/>
          <w:szCs w:val="24"/>
          <w:lang w:val="zh-CN"/>
        </w:rPr>
        <w:t>附件</w:t>
      </w:r>
      <w:bookmarkStart w:id="449" w:name="_Toc98731770"/>
      <w:bookmarkStart w:id="450" w:name="_Toc130094924"/>
      <w:r>
        <w:rPr>
          <w:rFonts w:hint="eastAsia" w:hAnsi="宋体" w:cs="宋体"/>
          <w:bCs/>
          <w:color w:val="auto"/>
          <w:sz w:val="24"/>
          <w:szCs w:val="24"/>
          <w:lang w:val="en-US" w:eastAsia="zh-CN"/>
        </w:rPr>
        <w:t>七</w:t>
      </w:r>
      <w:r>
        <w:rPr>
          <w:rFonts w:hint="eastAsia" w:hAnsi="宋体" w:cs="宋体"/>
          <w:bCs/>
          <w:color w:val="auto"/>
          <w:sz w:val="24"/>
          <w:szCs w:val="24"/>
        </w:rPr>
        <w:t>：</w:t>
      </w:r>
    </w:p>
    <w:p w14:paraId="4B28A97A">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投标函</w:t>
      </w:r>
      <w:bookmarkEnd w:id="448"/>
      <w:bookmarkEnd w:id="449"/>
      <w:bookmarkEnd w:id="450"/>
    </w:p>
    <w:p w14:paraId="490045B6">
      <w:pPr>
        <w:spacing w:line="360" w:lineRule="auto"/>
        <w:ind w:firstLine="480" w:firstLineChars="200"/>
        <w:rPr>
          <w:rFonts w:ascii="宋体" w:hAnsi="宋体" w:cs="宋体"/>
          <w:color w:val="auto"/>
          <w:sz w:val="24"/>
          <w:u w:val="single"/>
        </w:rPr>
      </w:pPr>
    </w:p>
    <w:p w14:paraId="125DFAEB">
      <w:pPr>
        <w:spacing w:line="360" w:lineRule="auto"/>
        <w:ind w:firstLine="480" w:firstLineChars="200"/>
        <w:rPr>
          <w:rFonts w:ascii="宋体" w:hAnsi="宋体" w:cs="宋体"/>
          <w:color w:val="auto"/>
          <w:sz w:val="24"/>
        </w:rPr>
      </w:pPr>
      <w:r>
        <w:rPr>
          <w:rFonts w:hint="eastAsia" w:ascii="宋体" w:hAnsi="宋体" w:cs="宋体"/>
          <w:color w:val="auto"/>
          <w:sz w:val="24"/>
          <w:u w:val="single"/>
          <w:lang w:eastAsia="zh-CN"/>
        </w:rPr>
        <w:t>绍兴市上虞区崧厦街道新下湖村股份经济合作社</w:t>
      </w:r>
      <w:r>
        <w:rPr>
          <w:rFonts w:hint="eastAsia" w:ascii="宋体" w:hAnsi="宋体" w:cs="宋体"/>
          <w:color w:val="auto"/>
          <w:sz w:val="24"/>
        </w:rPr>
        <w:t>：</w:t>
      </w:r>
    </w:p>
    <w:p w14:paraId="0A490A66">
      <w:pPr>
        <w:spacing w:line="360" w:lineRule="auto"/>
        <w:ind w:firstLine="480" w:firstLineChars="200"/>
        <w:rPr>
          <w:rFonts w:ascii="宋体" w:hAnsi="宋体" w:cs="宋体"/>
          <w:color w:val="auto"/>
          <w:sz w:val="24"/>
        </w:rPr>
      </w:pPr>
      <w:r>
        <w:rPr>
          <w:rFonts w:hint="eastAsia" w:ascii="宋体" w:hAnsi="宋体" w:cs="宋体"/>
          <w:color w:val="auto"/>
          <w:sz w:val="24"/>
          <w:u w:val="single"/>
          <w:lang w:eastAsia="zh-CN"/>
        </w:rPr>
        <w:t>绍兴明晨建设项目管理有限公司</w:t>
      </w:r>
      <w:r>
        <w:rPr>
          <w:rFonts w:hint="eastAsia" w:ascii="宋体" w:hAnsi="宋体" w:cs="宋体"/>
          <w:color w:val="auto"/>
          <w:sz w:val="24"/>
        </w:rPr>
        <w:t>：</w:t>
      </w:r>
    </w:p>
    <w:p w14:paraId="0E0CE25F">
      <w:pPr>
        <w:spacing w:line="360" w:lineRule="auto"/>
        <w:ind w:firstLine="480"/>
        <w:jc w:val="left"/>
        <w:rPr>
          <w:rFonts w:ascii="宋体" w:hAnsi="宋体" w:cs="宋体"/>
          <w:color w:val="auto"/>
          <w:sz w:val="24"/>
        </w:rPr>
      </w:pPr>
      <w:r>
        <w:rPr>
          <w:rFonts w:hint="eastAsia" w:ascii="宋体" w:hAnsi="宋体" w:cs="宋体"/>
          <w:color w:val="auto"/>
          <w:sz w:val="24"/>
        </w:rPr>
        <w:t>我单位认真研究了关于的招标文件，包括修改文件（如有的话）以及全部参考资料和有关附件。我们完全理解并接受招标文件的各项规定和要求，对招标文件的合理性、合法性不再有异议。如招标文件前后有矛盾的，我方完全同意按贵方的理解处理。我单位承诺：</w:t>
      </w:r>
    </w:p>
    <w:p w14:paraId="79E59DCA">
      <w:pPr>
        <w:spacing w:line="360" w:lineRule="auto"/>
        <w:ind w:firstLine="576" w:firstLineChars="240"/>
        <w:rPr>
          <w:rFonts w:ascii="宋体" w:hAnsi="宋体" w:cs="宋体"/>
          <w:color w:val="auto"/>
          <w:sz w:val="24"/>
        </w:rPr>
      </w:pPr>
      <w:r>
        <w:rPr>
          <w:rFonts w:ascii="宋体" w:hAnsi="宋体" w:cs="宋体"/>
          <w:color w:val="auto"/>
          <w:sz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IScJp71AQAA7gMAAA4AAAAAAAAAAQAgAAAAIQEAAGRycy9lMm9Eb2MueG1sUEsFBgAA&#10;AAAGAAYAWQEAAIgFAAAAAA==&#10;">
                <v:fill on="f" focussize="0,0"/>
                <v:stroke color="#000000" joinstyle="round"/>
                <v:imagedata o:title=""/>
                <o:lock v:ext="edit" aspectratio="f"/>
              </v:line>
            </w:pict>
          </mc:Fallback>
        </mc:AlternateContent>
      </w:r>
      <w:r>
        <w:rPr>
          <w:rFonts w:hint="eastAsia" w:ascii="宋体" w:hAnsi="宋体" w:cs="宋体"/>
          <w:color w:val="auto"/>
          <w:sz w:val="24"/>
        </w:rPr>
        <w:t>1、一旦我单位中标，我单位愿意承接开标一览表中所列的技术服务，服务期为：天。</w:t>
      </w:r>
    </w:p>
    <w:p w14:paraId="0C063F97">
      <w:pPr>
        <w:spacing w:line="360" w:lineRule="auto"/>
        <w:ind w:firstLine="480" w:firstLineChars="200"/>
        <w:rPr>
          <w:rFonts w:ascii="宋体" w:hAnsi="宋体" w:cs="宋体"/>
          <w:color w:val="auto"/>
          <w:sz w:val="24"/>
        </w:rPr>
      </w:pPr>
      <w:r>
        <w:rPr>
          <w:rFonts w:hint="eastAsia" w:ascii="宋体" w:hAnsi="宋体" w:cs="宋体"/>
          <w:color w:val="auto"/>
          <w:sz w:val="24"/>
        </w:rPr>
        <w:t>2、我单位同意提供按照</w:t>
      </w:r>
      <w:r>
        <w:rPr>
          <w:rFonts w:hint="eastAsia" w:ascii="宋体" w:hAnsi="宋体" w:cs="宋体"/>
          <w:bCs/>
          <w:color w:val="auto"/>
          <w:sz w:val="24"/>
        </w:rPr>
        <w:t>采购人的可能要求与其投标有关的一切数据和资料，完全理解采购人不一定要接受最低价者作为中标人</w:t>
      </w:r>
      <w:r>
        <w:rPr>
          <w:rFonts w:hint="eastAsia" w:ascii="宋体" w:hAnsi="宋体" w:cs="宋体"/>
          <w:color w:val="auto"/>
          <w:sz w:val="24"/>
        </w:rPr>
        <w:t>。</w:t>
      </w:r>
    </w:p>
    <w:p w14:paraId="6A8EC470">
      <w:pPr>
        <w:spacing w:line="360" w:lineRule="auto"/>
        <w:ind w:firstLine="480" w:firstLineChars="200"/>
        <w:rPr>
          <w:rFonts w:ascii="宋体" w:hAnsi="宋体" w:cs="宋体"/>
          <w:color w:val="auto"/>
          <w:sz w:val="24"/>
        </w:rPr>
      </w:pPr>
      <w:r>
        <w:rPr>
          <w:rFonts w:hint="eastAsia" w:ascii="宋体" w:hAnsi="宋体" w:cs="宋体"/>
          <w:color w:val="auto"/>
          <w:sz w:val="24"/>
        </w:rPr>
        <w:t>3、一旦我单位中标，我们保证按照招标文件的要求，完成服务。</w:t>
      </w:r>
    </w:p>
    <w:p w14:paraId="422B8064">
      <w:pPr>
        <w:spacing w:line="360" w:lineRule="auto"/>
        <w:ind w:firstLine="480" w:firstLineChars="200"/>
        <w:rPr>
          <w:rFonts w:ascii="宋体" w:hAnsi="宋体" w:cs="宋体"/>
          <w:color w:val="auto"/>
          <w:sz w:val="24"/>
        </w:rPr>
      </w:pPr>
      <w:r>
        <w:rPr>
          <w:rFonts w:hint="eastAsia" w:ascii="宋体" w:hAnsi="宋体" w:cs="宋体"/>
          <w:color w:val="auto"/>
          <w:sz w:val="24"/>
        </w:rPr>
        <w:t>4、如果我单位中标，我方将按照要求提交履约保证金，严格履行合同义务。</w:t>
      </w:r>
    </w:p>
    <w:p w14:paraId="7D8C8A8C">
      <w:pPr>
        <w:spacing w:line="360" w:lineRule="auto"/>
        <w:ind w:firstLine="480" w:firstLineChars="200"/>
        <w:rPr>
          <w:rFonts w:ascii="宋体" w:hAnsi="宋体" w:cs="宋体"/>
          <w:color w:val="auto"/>
          <w:sz w:val="24"/>
        </w:rPr>
      </w:pPr>
      <w:r>
        <w:rPr>
          <w:rFonts w:hint="eastAsia" w:ascii="宋体" w:hAnsi="宋体" w:cs="宋体"/>
          <w:color w:val="auto"/>
          <w:sz w:val="24"/>
        </w:rPr>
        <w:t>5、除非另行达成协议并生效，你方的中标通知书和本投标函将构成约束你我双方的合同。</w:t>
      </w:r>
    </w:p>
    <w:p w14:paraId="7292E68C">
      <w:pPr>
        <w:spacing w:line="360" w:lineRule="auto"/>
        <w:ind w:firstLine="480" w:firstLineChars="200"/>
        <w:rPr>
          <w:rFonts w:ascii="宋体" w:hAnsi="宋体" w:cs="宋体"/>
          <w:color w:val="auto"/>
          <w:sz w:val="24"/>
        </w:rPr>
      </w:pPr>
      <w:r>
        <w:rPr>
          <w:rFonts w:hint="eastAsia" w:ascii="宋体" w:hAnsi="宋体" w:cs="宋体"/>
          <w:color w:val="auto"/>
          <w:sz w:val="24"/>
        </w:rPr>
        <w:t>6、我单位承诺，一旦发生招标文件第二部分第12条规定情形之一的，承担该条款约定的责任。</w:t>
      </w:r>
    </w:p>
    <w:p w14:paraId="0344789E">
      <w:pPr>
        <w:pStyle w:val="15"/>
        <w:snapToGrid w:val="0"/>
        <w:spacing w:line="360" w:lineRule="auto"/>
        <w:ind w:left="480"/>
        <w:jc w:val="left"/>
        <w:rPr>
          <w:rFonts w:hAnsi="宋体" w:cs="宋体"/>
          <w:color w:val="auto"/>
          <w:sz w:val="24"/>
        </w:rPr>
      </w:pPr>
    </w:p>
    <w:p w14:paraId="7D7485FD">
      <w:pPr>
        <w:spacing w:line="360" w:lineRule="auto"/>
        <w:ind w:firstLine="480" w:firstLineChars="200"/>
        <w:rPr>
          <w:rFonts w:ascii="宋体" w:hAnsi="宋体" w:cs="宋体"/>
          <w:bCs/>
          <w:color w:val="auto"/>
          <w:sz w:val="24"/>
          <w:szCs w:val="21"/>
        </w:rPr>
      </w:pPr>
      <w:r>
        <w:rPr>
          <w:rFonts w:hint="eastAsia" w:ascii="宋体" w:hAnsi="宋体" w:cs="宋体"/>
          <w:bCs/>
          <w:color w:val="auto"/>
          <w:sz w:val="24"/>
          <w:szCs w:val="21"/>
        </w:rPr>
        <w:t>地址：</w:t>
      </w:r>
      <w:r>
        <w:rPr>
          <w:rFonts w:hint="eastAsia" w:ascii="宋体" w:hAnsi="宋体" w:cs="宋体"/>
          <w:bCs/>
          <w:color w:val="auto"/>
          <w:sz w:val="24"/>
          <w:szCs w:val="21"/>
          <w:lang w:val="en-US" w:eastAsia="zh-CN"/>
        </w:rPr>
        <w:t xml:space="preserve">                        </w:t>
      </w:r>
      <w:r>
        <w:rPr>
          <w:rFonts w:hint="eastAsia" w:ascii="宋体" w:hAnsi="宋体" w:cs="宋体"/>
          <w:bCs/>
          <w:color w:val="auto"/>
          <w:sz w:val="24"/>
          <w:szCs w:val="21"/>
        </w:rPr>
        <w:t>邮编：</w:t>
      </w:r>
    </w:p>
    <w:p w14:paraId="1A5A3A90">
      <w:pPr>
        <w:spacing w:line="360" w:lineRule="auto"/>
        <w:ind w:firstLine="480" w:firstLineChars="200"/>
        <w:rPr>
          <w:rFonts w:ascii="宋体" w:hAnsi="宋体" w:cs="宋体"/>
          <w:bCs/>
          <w:color w:val="auto"/>
          <w:sz w:val="24"/>
          <w:szCs w:val="21"/>
          <w:u w:val="single"/>
        </w:rPr>
      </w:pPr>
      <w:r>
        <w:rPr>
          <w:rFonts w:hint="eastAsia" w:ascii="宋体" w:hAnsi="宋体" w:cs="宋体"/>
          <w:bCs/>
          <w:color w:val="auto"/>
          <w:sz w:val="24"/>
          <w:szCs w:val="21"/>
        </w:rPr>
        <w:t>电话：</w:t>
      </w:r>
      <w:r>
        <w:rPr>
          <w:rFonts w:hint="eastAsia" w:ascii="宋体" w:hAnsi="宋体" w:cs="宋体"/>
          <w:bCs/>
          <w:color w:val="auto"/>
          <w:sz w:val="24"/>
          <w:szCs w:val="21"/>
          <w:lang w:val="en-US" w:eastAsia="zh-CN"/>
        </w:rPr>
        <w:t xml:space="preserve">                        </w:t>
      </w:r>
      <w:r>
        <w:rPr>
          <w:rFonts w:hint="eastAsia" w:ascii="宋体" w:hAnsi="宋体" w:cs="宋体"/>
          <w:bCs/>
          <w:color w:val="auto"/>
          <w:sz w:val="24"/>
          <w:szCs w:val="21"/>
        </w:rPr>
        <w:t>传真：</w:t>
      </w:r>
    </w:p>
    <w:p w14:paraId="77C1D19A">
      <w:pPr>
        <w:spacing w:line="360" w:lineRule="auto"/>
        <w:ind w:firstLine="480" w:firstLineChars="200"/>
        <w:rPr>
          <w:rFonts w:ascii="宋体" w:hAnsi="宋体" w:cs="宋体"/>
          <w:bCs/>
          <w:color w:val="auto"/>
          <w:sz w:val="24"/>
          <w:szCs w:val="21"/>
        </w:rPr>
      </w:pPr>
      <w:r>
        <w:rPr>
          <w:rFonts w:hint="eastAsia" w:ascii="宋体" w:hAnsi="宋体" w:cs="宋体"/>
          <w:bCs/>
          <w:color w:val="auto"/>
          <w:sz w:val="24"/>
          <w:szCs w:val="21"/>
        </w:rPr>
        <w:t>供应商代表姓名：</w:t>
      </w:r>
      <w:r>
        <w:rPr>
          <w:rFonts w:hint="eastAsia" w:ascii="宋体" w:hAnsi="宋体" w:cs="宋体"/>
          <w:bCs/>
          <w:color w:val="auto"/>
          <w:sz w:val="24"/>
          <w:szCs w:val="21"/>
          <w:lang w:val="en-US" w:eastAsia="zh-CN"/>
        </w:rPr>
        <w:t xml:space="preserve">              </w:t>
      </w:r>
      <w:r>
        <w:rPr>
          <w:rFonts w:hint="eastAsia" w:ascii="宋体" w:hAnsi="宋体" w:cs="宋体"/>
          <w:bCs/>
          <w:color w:val="auto"/>
          <w:sz w:val="24"/>
          <w:szCs w:val="21"/>
        </w:rPr>
        <w:t>职务：</w:t>
      </w:r>
    </w:p>
    <w:p w14:paraId="022D2755">
      <w:pPr>
        <w:spacing w:line="360" w:lineRule="auto"/>
        <w:ind w:firstLine="480" w:firstLineChars="200"/>
        <w:rPr>
          <w:rFonts w:ascii="宋体" w:hAnsi="宋体" w:cs="宋体"/>
          <w:bCs/>
          <w:color w:val="auto"/>
          <w:sz w:val="24"/>
          <w:szCs w:val="21"/>
        </w:rPr>
      </w:pPr>
      <w:r>
        <w:rPr>
          <w:rFonts w:hint="eastAsia" w:ascii="宋体" w:hAnsi="宋体" w:cs="宋体"/>
          <w:bCs/>
          <w:color w:val="auto"/>
          <w:sz w:val="24"/>
          <w:szCs w:val="21"/>
        </w:rPr>
        <w:t>供应商名称</w:t>
      </w:r>
      <w:r>
        <w:rPr>
          <w:rFonts w:hint="eastAsia" w:ascii="宋体" w:hAnsi="宋体" w:cs="宋体"/>
          <w:bCs/>
          <w:color w:val="auto"/>
          <w:sz w:val="24"/>
          <w:szCs w:val="21"/>
          <w:u w:val="single"/>
        </w:rPr>
        <w:t>：                   　　　</w:t>
      </w:r>
    </w:p>
    <w:p w14:paraId="08AE1F96">
      <w:pPr>
        <w:spacing w:line="360" w:lineRule="auto"/>
        <w:ind w:firstLine="480" w:firstLineChars="200"/>
        <w:rPr>
          <w:rFonts w:ascii="宋体" w:hAnsi="宋体" w:cs="宋体"/>
          <w:bCs/>
          <w:color w:val="auto"/>
          <w:sz w:val="24"/>
          <w:szCs w:val="21"/>
        </w:rPr>
      </w:pPr>
      <w:r>
        <w:rPr>
          <w:rFonts w:hint="eastAsia" w:ascii="宋体" w:hAnsi="宋体" w:cs="宋体"/>
          <w:bCs/>
          <w:color w:val="auto"/>
          <w:sz w:val="24"/>
          <w:szCs w:val="21"/>
        </w:rPr>
        <w:t xml:space="preserve">（公章）：                   </w:t>
      </w:r>
    </w:p>
    <w:p w14:paraId="7A33FE05">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14:paraId="06F08A13">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日 期：</w:t>
      </w:r>
    </w:p>
    <w:p w14:paraId="38EB0067">
      <w:pPr>
        <w:spacing w:line="360" w:lineRule="auto"/>
        <w:ind w:firstLine="5280" w:firstLineChars="2200"/>
        <w:rPr>
          <w:rFonts w:ascii="宋体" w:hAnsi="宋体" w:cs="宋体"/>
          <w:bCs/>
          <w:color w:val="auto"/>
          <w:sz w:val="24"/>
          <w:szCs w:val="21"/>
        </w:rPr>
      </w:pPr>
    </w:p>
    <w:p w14:paraId="58D2D60F">
      <w:pPr>
        <w:pStyle w:val="5"/>
        <w:rPr>
          <w:rFonts w:hAnsi="宋体" w:cs="宋体"/>
          <w:bCs/>
          <w:color w:val="auto"/>
          <w:sz w:val="24"/>
          <w:szCs w:val="24"/>
          <w:lang w:val="zh-CN"/>
        </w:rPr>
      </w:pPr>
      <w:bookmarkStart w:id="451" w:name="_Toc12011"/>
      <w:r>
        <w:rPr>
          <w:rFonts w:hint="eastAsia" w:hAnsi="宋体" w:cs="宋体"/>
          <w:bCs/>
          <w:color w:val="auto"/>
          <w:sz w:val="24"/>
          <w:szCs w:val="24"/>
          <w:lang w:val="zh-CN"/>
        </w:rPr>
        <w:br w:type="page"/>
      </w:r>
      <w:r>
        <w:rPr>
          <w:rFonts w:hint="eastAsia" w:hAnsi="宋体" w:cs="宋体"/>
          <w:bCs/>
          <w:color w:val="auto"/>
          <w:sz w:val="24"/>
          <w:szCs w:val="24"/>
          <w:lang w:val="zh-CN"/>
        </w:rPr>
        <w:t>附件</w:t>
      </w:r>
      <w:bookmarkStart w:id="452" w:name="_Toc98731771"/>
      <w:bookmarkStart w:id="453" w:name="_Toc130094925"/>
      <w:r>
        <w:rPr>
          <w:rFonts w:hint="eastAsia" w:hAnsi="宋体" w:cs="宋体"/>
          <w:bCs/>
          <w:color w:val="auto"/>
          <w:sz w:val="24"/>
          <w:szCs w:val="24"/>
          <w:lang w:val="en-US" w:eastAsia="zh-CN"/>
        </w:rPr>
        <w:t>八</w:t>
      </w:r>
      <w:r>
        <w:rPr>
          <w:rFonts w:hint="eastAsia" w:hAnsi="宋体" w:cs="宋体"/>
          <w:bCs/>
          <w:color w:val="auto"/>
          <w:sz w:val="24"/>
          <w:szCs w:val="24"/>
        </w:rPr>
        <w:t>：</w:t>
      </w:r>
    </w:p>
    <w:p w14:paraId="63130598">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开标一览表</w:t>
      </w:r>
      <w:bookmarkEnd w:id="451"/>
      <w:bookmarkEnd w:id="452"/>
      <w:bookmarkEnd w:id="453"/>
    </w:p>
    <w:p w14:paraId="2158D6C6">
      <w:pPr>
        <w:pStyle w:val="15"/>
        <w:spacing w:line="360" w:lineRule="auto"/>
        <w:rPr>
          <w:rFonts w:hAnsi="宋体" w:cs="宋体"/>
          <w:color w:val="auto"/>
          <w:sz w:val="24"/>
        </w:rPr>
      </w:pPr>
    </w:p>
    <w:p w14:paraId="5AD08349">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14:paraId="0B895B9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采购编号：               </w:t>
      </w:r>
    </w:p>
    <w:tbl>
      <w:tblPr>
        <w:tblStyle w:val="30"/>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89"/>
        <w:gridCol w:w="1544"/>
        <w:gridCol w:w="828"/>
        <w:gridCol w:w="737"/>
        <w:gridCol w:w="1281"/>
        <w:gridCol w:w="1367"/>
        <w:gridCol w:w="1045"/>
        <w:gridCol w:w="1072"/>
      </w:tblGrid>
      <w:tr w14:paraId="6C13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5" w:hRule="atLeast"/>
          <w:jc w:val="center"/>
        </w:trPr>
        <w:tc>
          <w:tcPr>
            <w:tcW w:w="889" w:type="dxa"/>
            <w:noWrap w:val="0"/>
            <w:tcMar>
              <w:top w:w="75" w:type="dxa"/>
              <w:left w:w="75" w:type="dxa"/>
              <w:bottom w:w="75" w:type="dxa"/>
              <w:right w:w="75" w:type="dxa"/>
            </w:tcMar>
            <w:vAlign w:val="center"/>
          </w:tcPr>
          <w:p w14:paraId="2CEC5649">
            <w:pPr>
              <w:widowControl/>
              <w:spacing w:line="240" w:lineRule="auto"/>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序号</w:t>
            </w:r>
          </w:p>
        </w:tc>
        <w:tc>
          <w:tcPr>
            <w:tcW w:w="1544" w:type="dxa"/>
            <w:noWrap w:val="0"/>
            <w:tcMar>
              <w:top w:w="75" w:type="dxa"/>
              <w:left w:w="75" w:type="dxa"/>
              <w:bottom w:w="75" w:type="dxa"/>
              <w:right w:w="75" w:type="dxa"/>
            </w:tcMar>
            <w:vAlign w:val="center"/>
          </w:tcPr>
          <w:p w14:paraId="47D992E6">
            <w:pPr>
              <w:widowControl/>
              <w:spacing w:line="240" w:lineRule="auto"/>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墓型</w:t>
            </w:r>
          </w:p>
        </w:tc>
        <w:tc>
          <w:tcPr>
            <w:tcW w:w="828" w:type="dxa"/>
            <w:noWrap w:val="0"/>
            <w:tcMar>
              <w:top w:w="75" w:type="dxa"/>
              <w:left w:w="75" w:type="dxa"/>
              <w:bottom w:w="75" w:type="dxa"/>
              <w:right w:w="75" w:type="dxa"/>
            </w:tcMar>
            <w:vAlign w:val="center"/>
          </w:tcPr>
          <w:p w14:paraId="1B794835">
            <w:pPr>
              <w:widowControl/>
              <w:spacing w:line="240" w:lineRule="auto"/>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数量</w:t>
            </w:r>
          </w:p>
        </w:tc>
        <w:tc>
          <w:tcPr>
            <w:tcW w:w="737" w:type="dxa"/>
            <w:noWrap w:val="0"/>
            <w:tcMar>
              <w:top w:w="75" w:type="dxa"/>
              <w:left w:w="75" w:type="dxa"/>
              <w:bottom w:w="75" w:type="dxa"/>
              <w:right w:w="75" w:type="dxa"/>
            </w:tcMar>
            <w:vAlign w:val="center"/>
          </w:tcPr>
          <w:p w14:paraId="518398D5">
            <w:pPr>
              <w:widowControl/>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c>
          <w:tcPr>
            <w:tcW w:w="1281" w:type="dxa"/>
            <w:noWrap w:val="0"/>
            <w:tcMar>
              <w:top w:w="75" w:type="dxa"/>
              <w:left w:w="75" w:type="dxa"/>
              <w:bottom w:w="75" w:type="dxa"/>
              <w:right w:w="75" w:type="dxa"/>
            </w:tcMar>
            <w:vAlign w:val="center"/>
          </w:tcPr>
          <w:p w14:paraId="52323561">
            <w:pPr>
              <w:widowControl/>
              <w:spacing w:line="240" w:lineRule="auto"/>
              <w:jc w:val="center"/>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单价报价（元）</w:t>
            </w:r>
          </w:p>
        </w:tc>
        <w:tc>
          <w:tcPr>
            <w:tcW w:w="1367" w:type="dxa"/>
            <w:noWrap w:val="0"/>
            <w:tcMar>
              <w:top w:w="75" w:type="dxa"/>
              <w:left w:w="75" w:type="dxa"/>
              <w:bottom w:w="75" w:type="dxa"/>
              <w:right w:w="75" w:type="dxa"/>
            </w:tcMar>
            <w:vAlign w:val="center"/>
          </w:tcPr>
          <w:p w14:paraId="715C28D3">
            <w:pPr>
              <w:widowControl/>
              <w:spacing w:line="240" w:lineRule="auto"/>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单价最高限价（元/套）</w:t>
            </w:r>
          </w:p>
        </w:tc>
        <w:tc>
          <w:tcPr>
            <w:tcW w:w="1045" w:type="dxa"/>
            <w:noWrap w:val="0"/>
            <w:tcMar>
              <w:top w:w="75" w:type="dxa"/>
              <w:left w:w="75" w:type="dxa"/>
              <w:bottom w:w="75" w:type="dxa"/>
              <w:right w:w="75" w:type="dxa"/>
            </w:tcMar>
            <w:vAlign w:val="center"/>
          </w:tcPr>
          <w:p w14:paraId="47D961AC">
            <w:pPr>
              <w:widowControl/>
              <w:spacing w:line="240" w:lineRule="auto"/>
              <w:jc w:val="center"/>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小计（元）</w:t>
            </w:r>
          </w:p>
        </w:tc>
        <w:tc>
          <w:tcPr>
            <w:tcW w:w="1072" w:type="dxa"/>
            <w:noWrap w:val="0"/>
            <w:tcMar>
              <w:top w:w="75" w:type="dxa"/>
              <w:left w:w="75" w:type="dxa"/>
              <w:bottom w:w="75" w:type="dxa"/>
              <w:right w:w="75" w:type="dxa"/>
            </w:tcMar>
            <w:vAlign w:val="center"/>
          </w:tcPr>
          <w:p w14:paraId="6D8C2F41">
            <w:pPr>
              <w:widowControl/>
              <w:spacing w:line="240" w:lineRule="auto"/>
              <w:jc w:val="center"/>
              <w:rPr>
                <w:rFonts w:hint="default" w:ascii="宋体" w:hAnsi="宋体" w:eastAsia="宋体" w:cs="宋体"/>
                <w:color w:val="auto"/>
                <w:kern w:val="0"/>
                <w:sz w:val="24"/>
                <w:szCs w:val="24"/>
                <w:lang w:val="en-US" w:eastAsia="zh-CN"/>
              </w:rPr>
            </w:pPr>
            <w:r>
              <w:rPr>
                <w:rFonts w:hint="eastAsia" w:ascii="宋体" w:hAnsi="宋体" w:cs="宋体"/>
                <w:b/>
                <w:bCs/>
                <w:color w:val="auto"/>
                <w:kern w:val="0"/>
                <w:sz w:val="24"/>
                <w:szCs w:val="24"/>
                <w:lang w:val="en-US" w:eastAsia="zh-CN"/>
              </w:rPr>
              <w:t>型号</w:t>
            </w:r>
          </w:p>
        </w:tc>
      </w:tr>
      <w:tr w14:paraId="0C099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89" w:type="dxa"/>
            <w:noWrap w:val="0"/>
            <w:tcMar>
              <w:top w:w="75" w:type="dxa"/>
              <w:left w:w="75" w:type="dxa"/>
              <w:bottom w:w="75" w:type="dxa"/>
              <w:right w:w="75" w:type="dxa"/>
            </w:tcMar>
            <w:vAlign w:val="center"/>
          </w:tcPr>
          <w:p w14:paraId="40219917">
            <w:pPr>
              <w:widowControl/>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544" w:type="dxa"/>
            <w:noWrap w:val="0"/>
            <w:tcMar>
              <w:top w:w="75" w:type="dxa"/>
              <w:left w:w="75" w:type="dxa"/>
              <w:bottom w:w="75" w:type="dxa"/>
              <w:right w:w="75" w:type="dxa"/>
            </w:tcMar>
            <w:vAlign w:val="center"/>
          </w:tcPr>
          <w:p w14:paraId="2AA2EC21">
            <w:pPr>
              <w:widowControl/>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墓套</w:t>
            </w:r>
          </w:p>
        </w:tc>
        <w:tc>
          <w:tcPr>
            <w:tcW w:w="828" w:type="dxa"/>
            <w:noWrap w:val="0"/>
            <w:tcMar>
              <w:top w:w="75" w:type="dxa"/>
              <w:left w:w="75" w:type="dxa"/>
              <w:bottom w:w="75" w:type="dxa"/>
              <w:right w:w="75" w:type="dxa"/>
            </w:tcMar>
            <w:vAlign w:val="center"/>
          </w:tcPr>
          <w:p w14:paraId="2D40DB5A">
            <w:pPr>
              <w:widowControl/>
              <w:spacing w:line="24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252</w:t>
            </w:r>
          </w:p>
        </w:tc>
        <w:tc>
          <w:tcPr>
            <w:tcW w:w="737" w:type="dxa"/>
            <w:noWrap w:val="0"/>
            <w:tcMar>
              <w:top w:w="75" w:type="dxa"/>
              <w:left w:w="75" w:type="dxa"/>
              <w:bottom w:w="75" w:type="dxa"/>
              <w:right w:w="75" w:type="dxa"/>
            </w:tcMar>
            <w:vAlign w:val="center"/>
          </w:tcPr>
          <w:p w14:paraId="21726083">
            <w:pPr>
              <w:widowControl/>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套</w:t>
            </w:r>
          </w:p>
        </w:tc>
        <w:tc>
          <w:tcPr>
            <w:tcW w:w="1281" w:type="dxa"/>
            <w:noWrap w:val="0"/>
            <w:tcMar>
              <w:top w:w="75" w:type="dxa"/>
              <w:left w:w="75" w:type="dxa"/>
              <w:bottom w:w="75" w:type="dxa"/>
              <w:right w:w="75" w:type="dxa"/>
            </w:tcMar>
            <w:vAlign w:val="center"/>
          </w:tcPr>
          <w:p w14:paraId="17749151">
            <w:pPr>
              <w:widowControl/>
              <w:spacing w:line="240" w:lineRule="auto"/>
              <w:jc w:val="center"/>
              <w:rPr>
                <w:rFonts w:hint="eastAsia" w:ascii="宋体" w:hAnsi="宋体" w:eastAsia="宋体" w:cs="宋体"/>
                <w:color w:val="auto"/>
                <w:kern w:val="0"/>
                <w:sz w:val="24"/>
                <w:szCs w:val="24"/>
                <w:lang w:val="en-US" w:eastAsia="zh-CN"/>
              </w:rPr>
            </w:pPr>
          </w:p>
        </w:tc>
        <w:tc>
          <w:tcPr>
            <w:tcW w:w="1367" w:type="dxa"/>
            <w:noWrap w:val="0"/>
            <w:tcMar>
              <w:top w:w="75" w:type="dxa"/>
              <w:left w:w="75" w:type="dxa"/>
              <w:bottom w:w="75" w:type="dxa"/>
              <w:right w:w="75" w:type="dxa"/>
            </w:tcMar>
            <w:vAlign w:val="center"/>
          </w:tcPr>
          <w:p w14:paraId="0067F060">
            <w:pPr>
              <w:widowControl/>
              <w:spacing w:line="24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3000</w:t>
            </w:r>
          </w:p>
        </w:tc>
        <w:tc>
          <w:tcPr>
            <w:tcW w:w="1045" w:type="dxa"/>
            <w:noWrap w:val="0"/>
            <w:tcMar>
              <w:top w:w="75" w:type="dxa"/>
              <w:left w:w="75" w:type="dxa"/>
              <w:bottom w:w="75" w:type="dxa"/>
              <w:right w:w="75" w:type="dxa"/>
            </w:tcMar>
            <w:vAlign w:val="center"/>
          </w:tcPr>
          <w:p w14:paraId="3D14ED28">
            <w:pPr>
              <w:widowControl/>
              <w:spacing w:line="240" w:lineRule="auto"/>
              <w:jc w:val="center"/>
              <w:rPr>
                <w:rFonts w:hint="default" w:ascii="宋体" w:hAnsi="宋体" w:eastAsia="宋体" w:cs="宋体"/>
                <w:color w:val="auto"/>
                <w:kern w:val="0"/>
                <w:sz w:val="24"/>
                <w:szCs w:val="24"/>
                <w:lang w:val="en-US" w:eastAsia="zh-CN"/>
              </w:rPr>
            </w:pPr>
          </w:p>
        </w:tc>
        <w:tc>
          <w:tcPr>
            <w:tcW w:w="1072" w:type="dxa"/>
            <w:noWrap w:val="0"/>
            <w:tcMar>
              <w:top w:w="75" w:type="dxa"/>
              <w:left w:w="75" w:type="dxa"/>
              <w:bottom w:w="75" w:type="dxa"/>
              <w:right w:w="75" w:type="dxa"/>
            </w:tcMar>
            <w:vAlign w:val="center"/>
          </w:tcPr>
          <w:p w14:paraId="059393A4">
            <w:pPr>
              <w:widowControl/>
              <w:spacing w:line="24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双</w:t>
            </w:r>
            <w:r>
              <w:rPr>
                <w:rFonts w:hint="eastAsia" w:ascii="宋体" w:hAnsi="宋体" w:eastAsia="宋体" w:cs="宋体"/>
                <w:color w:val="auto"/>
                <w:kern w:val="0"/>
                <w:sz w:val="24"/>
                <w:szCs w:val="24"/>
              </w:rPr>
              <w:t>穴</w:t>
            </w:r>
          </w:p>
        </w:tc>
      </w:tr>
      <w:tr w14:paraId="30DF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89" w:type="dxa"/>
            <w:noWrap w:val="0"/>
            <w:tcMar>
              <w:top w:w="75" w:type="dxa"/>
              <w:left w:w="75" w:type="dxa"/>
              <w:bottom w:w="75" w:type="dxa"/>
              <w:right w:w="75" w:type="dxa"/>
            </w:tcMar>
            <w:vAlign w:val="center"/>
          </w:tcPr>
          <w:p w14:paraId="0F97ED35">
            <w:pPr>
              <w:widowControl/>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1544" w:type="dxa"/>
            <w:noWrap w:val="0"/>
            <w:tcMar>
              <w:top w:w="75" w:type="dxa"/>
              <w:left w:w="75" w:type="dxa"/>
              <w:bottom w:w="75" w:type="dxa"/>
              <w:right w:w="75" w:type="dxa"/>
            </w:tcMar>
            <w:vAlign w:val="center"/>
          </w:tcPr>
          <w:p w14:paraId="494CF96A">
            <w:pPr>
              <w:widowControl/>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墓套</w:t>
            </w:r>
          </w:p>
        </w:tc>
        <w:tc>
          <w:tcPr>
            <w:tcW w:w="828" w:type="dxa"/>
            <w:noWrap w:val="0"/>
            <w:tcMar>
              <w:top w:w="75" w:type="dxa"/>
              <w:left w:w="75" w:type="dxa"/>
              <w:bottom w:w="75" w:type="dxa"/>
              <w:right w:w="75" w:type="dxa"/>
            </w:tcMar>
            <w:vAlign w:val="center"/>
          </w:tcPr>
          <w:p w14:paraId="7E2DE84C">
            <w:pPr>
              <w:widowControl/>
              <w:spacing w:line="24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180</w:t>
            </w:r>
          </w:p>
        </w:tc>
        <w:tc>
          <w:tcPr>
            <w:tcW w:w="737" w:type="dxa"/>
            <w:noWrap w:val="0"/>
            <w:tcMar>
              <w:top w:w="75" w:type="dxa"/>
              <w:left w:w="75" w:type="dxa"/>
              <w:bottom w:w="75" w:type="dxa"/>
              <w:right w:w="75" w:type="dxa"/>
            </w:tcMar>
            <w:vAlign w:val="center"/>
          </w:tcPr>
          <w:p w14:paraId="1CFFC419">
            <w:pPr>
              <w:widowControl/>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套</w:t>
            </w:r>
          </w:p>
        </w:tc>
        <w:tc>
          <w:tcPr>
            <w:tcW w:w="1281" w:type="dxa"/>
            <w:noWrap w:val="0"/>
            <w:tcMar>
              <w:top w:w="75" w:type="dxa"/>
              <w:left w:w="75" w:type="dxa"/>
              <w:bottom w:w="75" w:type="dxa"/>
              <w:right w:w="75" w:type="dxa"/>
            </w:tcMar>
            <w:vAlign w:val="center"/>
          </w:tcPr>
          <w:p w14:paraId="72E464F4">
            <w:pPr>
              <w:widowControl/>
              <w:spacing w:line="240" w:lineRule="auto"/>
              <w:jc w:val="center"/>
              <w:rPr>
                <w:rFonts w:hint="eastAsia" w:ascii="宋体" w:hAnsi="宋体" w:eastAsia="宋体" w:cs="宋体"/>
                <w:color w:val="auto"/>
                <w:kern w:val="0"/>
                <w:sz w:val="24"/>
                <w:szCs w:val="24"/>
                <w:lang w:val="en-US" w:eastAsia="zh-CN"/>
              </w:rPr>
            </w:pPr>
          </w:p>
        </w:tc>
        <w:tc>
          <w:tcPr>
            <w:tcW w:w="1367" w:type="dxa"/>
            <w:noWrap w:val="0"/>
            <w:tcMar>
              <w:top w:w="75" w:type="dxa"/>
              <w:left w:w="75" w:type="dxa"/>
              <w:bottom w:w="75" w:type="dxa"/>
              <w:right w:w="75" w:type="dxa"/>
            </w:tcMar>
            <w:vAlign w:val="center"/>
          </w:tcPr>
          <w:p w14:paraId="0EA91BC4">
            <w:pPr>
              <w:widowControl/>
              <w:spacing w:line="24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2000</w:t>
            </w:r>
          </w:p>
        </w:tc>
        <w:tc>
          <w:tcPr>
            <w:tcW w:w="1045" w:type="dxa"/>
            <w:noWrap w:val="0"/>
            <w:tcMar>
              <w:top w:w="75" w:type="dxa"/>
              <w:left w:w="75" w:type="dxa"/>
              <w:bottom w:w="75" w:type="dxa"/>
              <w:right w:w="75" w:type="dxa"/>
            </w:tcMar>
            <w:vAlign w:val="center"/>
          </w:tcPr>
          <w:p w14:paraId="15317CED">
            <w:pPr>
              <w:widowControl/>
              <w:spacing w:line="240" w:lineRule="auto"/>
              <w:jc w:val="center"/>
              <w:rPr>
                <w:rFonts w:hint="default" w:ascii="宋体" w:hAnsi="宋体" w:eastAsia="宋体" w:cs="宋体"/>
                <w:color w:val="auto"/>
                <w:kern w:val="0"/>
                <w:sz w:val="24"/>
                <w:szCs w:val="24"/>
                <w:lang w:val="en-US" w:eastAsia="zh-CN"/>
              </w:rPr>
            </w:pPr>
          </w:p>
        </w:tc>
        <w:tc>
          <w:tcPr>
            <w:tcW w:w="1072" w:type="dxa"/>
            <w:noWrap w:val="0"/>
            <w:tcMar>
              <w:top w:w="75" w:type="dxa"/>
              <w:left w:w="75" w:type="dxa"/>
              <w:bottom w:w="75" w:type="dxa"/>
              <w:right w:w="75" w:type="dxa"/>
            </w:tcMar>
            <w:vAlign w:val="center"/>
          </w:tcPr>
          <w:p w14:paraId="3C3669D9">
            <w:pPr>
              <w:widowControl/>
              <w:spacing w:line="240" w:lineRule="auto"/>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eastAsia="zh-CN"/>
              </w:rPr>
              <w:t>单</w:t>
            </w:r>
            <w:r>
              <w:rPr>
                <w:rFonts w:hint="eastAsia" w:ascii="宋体" w:hAnsi="宋体" w:eastAsia="宋体" w:cs="宋体"/>
                <w:color w:val="auto"/>
                <w:kern w:val="0"/>
                <w:sz w:val="24"/>
                <w:szCs w:val="24"/>
              </w:rPr>
              <w:t>穴</w:t>
            </w:r>
          </w:p>
        </w:tc>
      </w:tr>
      <w:tr w14:paraId="486B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5" w:hRule="atLeast"/>
          <w:jc w:val="center"/>
        </w:trPr>
        <w:tc>
          <w:tcPr>
            <w:tcW w:w="2433" w:type="dxa"/>
            <w:gridSpan w:val="2"/>
            <w:noWrap w:val="0"/>
            <w:tcMar>
              <w:top w:w="75" w:type="dxa"/>
              <w:left w:w="75" w:type="dxa"/>
              <w:bottom w:w="75" w:type="dxa"/>
              <w:right w:w="75" w:type="dxa"/>
            </w:tcMar>
            <w:vAlign w:val="center"/>
          </w:tcPr>
          <w:p w14:paraId="3BB11136">
            <w:pPr>
              <w:pStyle w:val="15"/>
              <w:spacing w:line="360" w:lineRule="auto"/>
              <w:jc w:val="center"/>
              <w:rPr>
                <w:rFonts w:hint="eastAsia" w:ascii="宋体" w:hAnsi="宋体" w:cs="宋体"/>
                <w:b/>
                <w:bCs/>
                <w:color w:val="auto"/>
                <w:kern w:val="2"/>
                <w:sz w:val="24"/>
                <w:szCs w:val="21"/>
                <w:highlight w:val="none"/>
                <w:lang w:val="en-US" w:eastAsia="zh-CN" w:bidi="ar-SA"/>
              </w:rPr>
            </w:pPr>
            <w:r>
              <w:rPr>
                <w:rFonts w:hint="eastAsia" w:hAnsi="宋体" w:cs="宋体"/>
                <w:b/>
                <w:bCs/>
                <w:color w:val="auto"/>
                <w:sz w:val="24"/>
                <w:highlight w:val="none"/>
              </w:rPr>
              <w:t>投标总价</w:t>
            </w:r>
          </w:p>
        </w:tc>
        <w:tc>
          <w:tcPr>
            <w:tcW w:w="6330" w:type="dxa"/>
            <w:gridSpan w:val="6"/>
            <w:noWrap w:val="0"/>
            <w:tcMar>
              <w:top w:w="75" w:type="dxa"/>
              <w:left w:w="75" w:type="dxa"/>
              <w:bottom w:w="75" w:type="dxa"/>
              <w:right w:w="75" w:type="dxa"/>
            </w:tcMar>
            <w:vAlign w:val="center"/>
          </w:tcPr>
          <w:p w14:paraId="087BB9E6">
            <w:pPr>
              <w:pStyle w:val="15"/>
              <w:spacing w:line="360" w:lineRule="auto"/>
              <w:jc w:val="center"/>
              <w:rPr>
                <w:rFonts w:hint="eastAsia" w:ascii="宋体" w:hAnsi="宋体" w:cs="宋体"/>
                <w:b/>
                <w:bCs/>
                <w:color w:val="auto"/>
                <w:kern w:val="2"/>
                <w:sz w:val="24"/>
                <w:szCs w:val="21"/>
                <w:highlight w:val="none"/>
                <w:lang w:val="en-US" w:eastAsia="zh-CN" w:bidi="ar-SA"/>
              </w:rPr>
            </w:pPr>
            <w:r>
              <w:rPr>
                <w:rFonts w:hint="eastAsia" w:hAnsi="宋体" w:cs="宋体"/>
                <w:b/>
                <w:bCs/>
                <w:color w:val="auto"/>
                <w:sz w:val="24"/>
                <w:highlight w:val="none"/>
              </w:rPr>
              <w:t>大写：</w:t>
            </w:r>
            <w:r>
              <w:rPr>
                <w:rFonts w:hint="eastAsia" w:hAnsi="宋体" w:cs="宋体"/>
                <w:b/>
                <w:bCs/>
                <w:color w:val="auto"/>
                <w:sz w:val="24"/>
                <w:highlight w:val="none"/>
                <w:u w:val="single"/>
              </w:rPr>
              <w:t xml:space="preserve">　　　　            </w:t>
            </w:r>
            <w:r>
              <w:rPr>
                <w:rFonts w:hint="eastAsia" w:hAnsi="宋体" w:cs="宋体"/>
                <w:b/>
                <w:bCs/>
                <w:color w:val="auto"/>
                <w:sz w:val="24"/>
                <w:highlight w:val="none"/>
              </w:rPr>
              <w:t>元（小写：</w:t>
            </w:r>
            <w:r>
              <w:rPr>
                <w:rFonts w:hint="eastAsia" w:hAnsi="宋体" w:cs="宋体"/>
                <w:b/>
                <w:bCs/>
                <w:color w:val="auto"/>
                <w:sz w:val="24"/>
                <w:highlight w:val="none"/>
                <w:u w:val="single"/>
              </w:rPr>
              <w:t xml:space="preserve">　　　　 </w:t>
            </w:r>
            <w:r>
              <w:rPr>
                <w:rFonts w:hint="eastAsia" w:hAnsi="宋体" w:cs="宋体"/>
                <w:b/>
                <w:bCs/>
                <w:color w:val="auto"/>
                <w:sz w:val="24"/>
                <w:highlight w:val="none"/>
              </w:rPr>
              <w:t>）</w:t>
            </w:r>
          </w:p>
        </w:tc>
      </w:tr>
      <w:tr w14:paraId="11936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09" w:hRule="atLeast"/>
          <w:jc w:val="center"/>
        </w:trPr>
        <w:tc>
          <w:tcPr>
            <w:tcW w:w="8763" w:type="dxa"/>
            <w:gridSpan w:val="8"/>
            <w:noWrap w:val="0"/>
            <w:tcMar>
              <w:top w:w="75" w:type="dxa"/>
              <w:left w:w="75" w:type="dxa"/>
              <w:bottom w:w="75" w:type="dxa"/>
              <w:right w:w="75" w:type="dxa"/>
            </w:tcMar>
            <w:vAlign w:val="center"/>
          </w:tcPr>
          <w:p w14:paraId="686F173F">
            <w:pPr>
              <w:pStyle w:val="15"/>
              <w:spacing w:line="360" w:lineRule="auto"/>
              <w:ind w:firstLine="480" w:firstLineChars="200"/>
              <w:jc w:val="left"/>
              <w:rPr>
                <w:rFonts w:hint="eastAsia" w:hAnsi="宋体" w:cs="宋体"/>
                <w:b/>
                <w:bCs/>
                <w:color w:val="auto"/>
                <w:sz w:val="24"/>
                <w:highlight w:val="none"/>
              </w:rPr>
            </w:pPr>
            <w:r>
              <w:rPr>
                <w:rFonts w:hint="eastAsia"/>
                <w:color w:val="auto"/>
                <w:sz w:val="24"/>
                <w:highlight w:val="none"/>
              </w:rPr>
              <w:t>投标报价统一为人民币计价，</w:t>
            </w:r>
            <w:r>
              <w:rPr>
                <w:rFonts w:hint="eastAsia" w:ascii="宋体" w:eastAsia="宋体"/>
                <w:color w:val="auto"/>
                <w:sz w:val="24"/>
                <w:highlight w:val="none"/>
              </w:rPr>
              <w:t>包括</w:t>
            </w:r>
            <w:r>
              <w:rPr>
                <w:rFonts w:hint="eastAsia" w:ascii="宋体" w:eastAsia="宋体"/>
                <w:color w:val="auto"/>
                <w:sz w:val="24"/>
                <w:highlight w:val="none"/>
                <w:lang w:val="en-US" w:eastAsia="zh-CN"/>
              </w:rPr>
              <w:t>但不限于</w:t>
            </w:r>
            <w:r>
              <w:rPr>
                <w:rFonts w:hint="eastAsia" w:ascii="宋体" w:eastAsia="宋体"/>
                <w:color w:val="auto"/>
                <w:sz w:val="24"/>
                <w:highlight w:val="none"/>
              </w:rPr>
              <w:t>所有</w:t>
            </w:r>
            <w:r>
              <w:rPr>
                <w:rFonts w:hint="eastAsia" w:ascii="宋体" w:eastAsia="宋体"/>
                <w:color w:val="auto"/>
                <w:sz w:val="24"/>
                <w:highlight w:val="none"/>
                <w:lang w:val="en-US" w:eastAsia="zh-CN"/>
              </w:rPr>
              <w:t>材料</w:t>
            </w:r>
            <w:r>
              <w:rPr>
                <w:rFonts w:hint="eastAsia" w:ascii="宋体" w:eastAsia="宋体"/>
                <w:color w:val="auto"/>
                <w:sz w:val="24"/>
                <w:highlight w:val="none"/>
              </w:rPr>
              <w:t>、备品备件、包装费、运输费、装卸费、安装费、安装所用的辅料费、验收、现场可能发生的二次搬运费、</w:t>
            </w:r>
            <w:r>
              <w:rPr>
                <w:rFonts w:hint="eastAsia" w:ascii="宋体" w:eastAsia="宋体"/>
                <w:color w:val="auto"/>
                <w:sz w:val="24"/>
                <w:highlight w:val="none"/>
                <w:lang w:val="en-US" w:eastAsia="zh-CN"/>
              </w:rPr>
              <w:t>垃圾清运费、</w:t>
            </w:r>
            <w:r>
              <w:rPr>
                <w:rFonts w:hint="eastAsia" w:ascii="宋体" w:eastAsia="宋体"/>
                <w:color w:val="auto"/>
                <w:sz w:val="24"/>
                <w:highlight w:val="none"/>
              </w:rPr>
              <w:t>成品保护费、利润、保险、税金、售后服务</w:t>
            </w:r>
            <w:r>
              <w:rPr>
                <w:rFonts w:hint="eastAsia" w:ascii="宋体" w:eastAsia="宋体"/>
                <w:color w:val="auto"/>
                <w:sz w:val="24"/>
                <w:highlight w:val="none"/>
                <w:lang w:eastAsia="zh-CN"/>
              </w:rPr>
              <w:t>、</w:t>
            </w:r>
            <w:r>
              <w:rPr>
                <w:rFonts w:hint="eastAsia" w:ascii="宋体" w:eastAsia="宋体"/>
                <w:color w:val="auto"/>
                <w:sz w:val="24"/>
                <w:highlight w:val="none"/>
                <w:lang w:val="en-US" w:eastAsia="zh-CN"/>
              </w:rPr>
              <w:t>招标代理费</w:t>
            </w:r>
            <w:r>
              <w:rPr>
                <w:rFonts w:hint="eastAsia" w:ascii="宋体" w:eastAsia="宋体"/>
                <w:color w:val="auto"/>
                <w:sz w:val="24"/>
                <w:highlight w:val="none"/>
                <w:lang w:eastAsia="zh-CN"/>
              </w:rPr>
              <w:t>，</w:t>
            </w:r>
            <w:r>
              <w:rPr>
                <w:rFonts w:hint="eastAsia" w:ascii="宋体" w:eastAsia="宋体"/>
                <w:color w:val="auto"/>
                <w:sz w:val="24"/>
                <w:highlight w:val="none"/>
              </w:rPr>
              <w:t>以及其他不可预见的所有费用，如有漏报，视同已包含在其投标报价中。单价固定，按实</w:t>
            </w:r>
            <w:r>
              <w:rPr>
                <w:rFonts w:hint="eastAsia" w:ascii="宋体" w:eastAsia="宋体"/>
                <w:color w:val="auto"/>
                <w:sz w:val="24"/>
                <w:highlight w:val="none"/>
                <w:lang w:val="en-US" w:eastAsia="zh-CN"/>
              </w:rPr>
              <w:t>结算</w:t>
            </w:r>
            <w:r>
              <w:rPr>
                <w:rFonts w:hint="eastAsia" w:ascii="宋体" w:eastAsia="宋体"/>
                <w:color w:val="auto"/>
                <w:sz w:val="24"/>
                <w:highlight w:val="none"/>
              </w:rPr>
              <w:t>。如投标人在编写投标方案时应充分</w:t>
            </w:r>
            <w:r>
              <w:rPr>
                <w:rFonts w:hint="eastAsia"/>
                <w:color w:val="auto"/>
                <w:sz w:val="24"/>
                <w:highlight w:val="none"/>
              </w:rPr>
              <w:t>考虑各种风险因素，凡投标人漏项、漏报均认为已包含在报价中，结算时不再增加。</w:t>
            </w:r>
          </w:p>
        </w:tc>
      </w:tr>
    </w:tbl>
    <w:p w14:paraId="69B1B0DD">
      <w:pPr>
        <w:spacing w:line="360" w:lineRule="auto"/>
        <w:jc w:val="left"/>
        <w:rPr>
          <w:rFonts w:ascii="宋体" w:hAnsi="宋体" w:cs="宋体"/>
          <w:color w:val="auto"/>
          <w:sz w:val="24"/>
        </w:rPr>
      </w:pPr>
      <w:r>
        <w:rPr>
          <w:rFonts w:hint="eastAsia" w:ascii="宋体" w:hAnsi="宋体" w:cs="宋体"/>
          <w:color w:val="auto"/>
          <w:sz w:val="24"/>
        </w:rPr>
        <w:t xml:space="preserve">注: </w:t>
      </w:r>
    </w:p>
    <w:p w14:paraId="718D512D">
      <w:pPr>
        <w:spacing w:line="360" w:lineRule="auto"/>
        <w:ind w:firstLine="480" w:firstLineChars="200"/>
        <w:jc w:val="left"/>
        <w:rPr>
          <w:rFonts w:ascii="宋体" w:hAnsi="宋体" w:cs="宋体"/>
          <w:color w:val="auto"/>
          <w:sz w:val="24"/>
        </w:rPr>
      </w:pPr>
      <w:r>
        <w:rPr>
          <w:rFonts w:hint="eastAsia" w:ascii="宋体" w:hAnsi="宋体" w:cs="宋体"/>
          <w:color w:val="auto"/>
          <w:sz w:val="24"/>
        </w:rPr>
        <w:t>报价一经涂改，应在涂改处加盖单位公章或者由法定代表人或授权委托人签字或盖章，否则其投标作无效标处理。</w:t>
      </w:r>
    </w:p>
    <w:p w14:paraId="12B83F06">
      <w:pPr>
        <w:pStyle w:val="15"/>
        <w:spacing w:line="360" w:lineRule="auto"/>
        <w:rPr>
          <w:rFonts w:hAnsi="宋体" w:cs="宋体"/>
          <w:color w:val="auto"/>
          <w:sz w:val="24"/>
        </w:rPr>
      </w:pPr>
    </w:p>
    <w:p w14:paraId="44EB2E15">
      <w:pPr>
        <w:pStyle w:val="15"/>
        <w:spacing w:line="360" w:lineRule="auto"/>
        <w:rPr>
          <w:rFonts w:hAnsi="宋体" w:cs="宋体"/>
          <w:color w:val="auto"/>
          <w:sz w:val="24"/>
        </w:rPr>
      </w:pPr>
    </w:p>
    <w:p w14:paraId="636893D8">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14:paraId="7C7FE4FC">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日 期：</w:t>
      </w:r>
    </w:p>
    <w:p w14:paraId="3FCEC6AB">
      <w:pPr>
        <w:spacing w:line="360" w:lineRule="auto"/>
        <w:ind w:left="3780" w:leftChars="1800" w:firstLine="480" w:firstLineChars="200"/>
        <w:rPr>
          <w:rFonts w:ascii="宋体" w:hAnsi="宋体" w:cs="宋体"/>
          <w:b/>
          <w:bCs/>
          <w:color w:val="auto"/>
          <w:sz w:val="24"/>
          <w:szCs w:val="24"/>
          <w:lang w:val="zh-CN"/>
        </w:rPr>
      </w:pPr>
      <w:r>
        <w:rPr>
          <w:rFonts w:hint="eastAsia" w:ascii="宋体" w:hAnsi="宋体" w:cs="宋体"/>
          <w:color w:val="auto"/>
          <w:sz w:val="24"/>
        </w:rPr>
        <w:t>投标人全称（公章）：</w:t>
      </w:r>
      <w:bookmarkStart w:id="454" w:name="_Toc7196"/>
    </w:p>
    <w:p w14:paraId="4F83C230">
      <w:pPr>
        <w:pStyle w:val="5"/>
        <w:rPr>
          <w:rFonts w:hAnsi="宋体" w:cs="宋体"/>
          <w:bCs/>
          <w:color w:val="auto"/>
          <w:sz w:val="24"/>
          <w:szCs w:val="24"/>
          <w:lang w:val="zh-CN"/>
        </w:rPr>
      </w:pPr>
      <w:r>
        <w:rPr>
          <w:rFonts w:hint="eastAsia" w:hAnsi="宋体" w:cs="宋体"/>
          <w:bCs/>
          <w:color w:val="auto"/>
          <w:sz w:val="24"/>
          <w:szCs w:val="24"/>
          <w:lang w:val="zh-CN"/>
        </w:rPr>
        <w:t>附件</w:t>
      </w:r>
      <w:r>
        <w:rPr>
          <w:rFonts w:hint="eastAsia" w:hAnsi="宋体" w:cs="宋体"/>
          <w:bCs/>
          <w:color w:val="auto"/>
          <w:sz w:val="24"/>
          <w:szCs w:val="24"/>
          <w:lang w:val="en-US" w:eastAsia="zh-CN"/>
        </w:rPr>
        <w:t>九</w:t>
      </w:r>
      <w:r>
        <w:rPr>
          <w:rFonts w:hint="eastAsia" w:hAnsi="宋体" w:cs="宋体"/>
          <w:bCs/>
          <w:color w:val="auto"/>
          <w:sz w:val="24"/>
          <w:szCs w:val="24"/>
        </w:rPr>
        <w:t>：</w:t>
      </w:r>
    </w:p>
    <w:p w14:paraId="3B09ECA2">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投标报价明细表</w:t>
      </w:r>
      <w:bookmarkEnd w:id="454"/>
    </w:p>
    <w:p w14:paraId="37ECB1E0">
      <w:pPr>
        <w:pStyle w:val="15"/>
        <w:spacing w:line="360" w:lineRule="auto"/>
        <w:rPr>
          <w:rFonts w:hAnsi="宋体" w:cs="宋体"/>
          <w:color w:val="auto"/>
          <w:sz w:val="24"/>
        </w:rPr>
      </w:pPr>
    </w:p>
    <w:p w14:paraId="0B1C37B0">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14:paraId="20FC32B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采购编号：               </w:t>
      </w:r>
    </w:p>
    <w:tbl>
      <w:tblPr>
        <w:tblStyle w:val="3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714"/>
        <w:gridCol w:w="1285"/>
        <w:gridCol w:w="1161"/>
        <w:gridCol w:w="965"/>
        <w:gridCol w:w="2338"/>
      </w:tblGrid>
      <w:tr w14:paraId="098D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51" w:type="dxa"/>
            <w:noWrap/>
            <w:vAlign w:val="center"/>
          </w:tcPr>
          <w:p w14:paraId="13BD055C">
            <w:pPr>
              <w:spacing w:line="440" w:lineRule="exact"/>
              <w:jc w:val="center"/>
              <w:rPr>
                <w:rFonts w:ascii="宋体" w:hAnsi="宋体"/>
                <w:color w:val="auto"/>
                <w:sz w:val="24"/>
              </w:rPr>
            </w:pPr>
            <w:r>
              <w:rPr>
                <w:rFonts w:hint="eastAsia" w:ascii="宋体" w:hAnsi="宋体"/>
                <w:color w:val="auto"/>
                <w:sz w:val="24"/>
              </w:rPr>
              <w:t>序号</w:t>
            </w:r>
          </w:p>
        </w:tc>
        <w:tc>
          <w:tcPr>
            <w:tcW w:w="2714" w:type="dxa"/>
            <w:noWrap/>
            <w:vAlign w:val="center"/>
          </w:tcPr>
          <w:p w14:paraId="1F0AFECD">
            <w:pPr>
              <w:spacing w:line="440" w:lineRule="exact"/>
              <w:jc w:val="center"/>
              <w:rPr>
                <w:rFonts w:ascii="宋体" w:hAnsi="宋体"/>
                <w:color w:val="auto"/>
                <w:sz w:val="24"/>
              </w:rPr>
            </w:pPr>
            <w:r>
              <w:rPr>
                <w:rFonts w:hint="eastAsia" w:ascii="宋体" w:hAnsi="宋体"/>
                <w:color w:val="auto"/>
                <w:sz w:val="24"/>
              </w:rPr>
              <w:t>费 用 名 称</w:t>
            </w:r>
          </w:p>
        </w:tc>
        <w:tc>
          <w:tcPr>
            <w:tcW w:w="1285" w:type="dxa"/>
            <w:noWrap/>
            <w:vAlign w:val="center"/>
          </w:tcPr>
          <w:p w14:paraId="4B4D8FD5">
            <w:pPr>
              <w:spacing w:line="440" w:lineRule="exact"/>
              <w:jc w:val="center"/>
              <w:rPr>
                <w:rFonts w:ascii="宋体" w:hAnsi="宋体"/>
                <w:color w:val="auto"/>
                <w:sz w:val="24"/>
              </w:rPr>
            </w:pPr>
            <w:r>
              <w:rPr>
                <w:rFonts w:hint="eastAsia" w:ascii="宋体" w:hAnsi="宋体"/>
                <w:color w:val="auto"/>
                <w:sz w:val="24"/>
              </w:rPr>
              <w:t>计价单位</w:t>
            </w:r>
          </w:p>
        </w:tc>
        <w:tc>
          <w:tcPr>
            <w:tcW w:w="1161" w:type="dxa"/>
            <w:noWrap/>
            <w:vAlign w:val="center"/>
          </w:tcPr>
          <w:p w14:paraId="6AD35A7E">
            <w:pPr>
              <w:spacing w:line="440" w:lineRule="exact"/>
              <w:jc w:val="center"/>
              <w:rPr>
                <w:rFonts w:ascii="宋体" w:hAnsi="宋体"/>
                <w:color w:val="auto"/>
                <w:sz w:val="24"/>
              </w:rPr>
            </w:pPr>
            <w:r>
              <w:rPr>
                <w:rFonts w:hint="eastAsia" w:ascii="宋体" w:hAnsi="宋体"/>
                <w:color w:val="auto"/>
                <w:sz w:val="24"/>
              </w:rPr>
              <w:t>单价</w:t>
            </w:r>
          </w:p>
        </w:tc>
        <w:tc>
          <w:tcPr>
            <w:tcW w:w="965" w:type="dxa"/>
            <w:noWrap/>
            <w:vAlign w:val="center"/>
          </w:tcPr>
          <w:p w14:paraId="5FF67349">
            <w:pPr>
              <w:spacing w:line="440" w:lineRule="exact"/>
              <w:jc w:val="center"/>
              <w:rPr>
                <w:rFonts w:ascii="宋体" w:hAnsi="宋体"/>
                <w:color w:val="auto"/>
                <w:sz w:val="24"/>
              </w:rPr>
            </w:pPr>
            <w:r>
              <w:rPr>
                <w:rFonts w:hint="eastAsia" w:ascii="宋体" w:hAnsi="宋体"/>
                <w:color w:val="auto"/>
                <w:sz w:val="24"/>
              </w:rPr>
              <w:t>合价</w:t>
            </w:r>
          </w:p>
        </w:tc>
        <w:tc>
          <w:tcPr>
            <w:tcW w:w="2338" w:type="dxa"/>
            <w:noWrap/>
            <w:vAlign w:val="center"/>
          </w:tcPr>
          <w:p w14:paraId="6D0886A3">
            <w:pPr>
              <w:spacing w:line="440" w:lineRule="exact"/>
              <w:jc w:val="center"/>
              <w:rPr>
                <w:rFonts w:ascii="宋体" w:hAnsi="宋体"/>
                <w:color w:val="auto"/>
                <w:sz w:val="24"/>
              </w:rPr>
            </w:pPr>
            <w:r>
              <w:rPr>
                <w:rFonts w:hint="eastAsia" w:ascii="宋体" w:hAnsi="宋体"/>
                <w:color w:val="auto"/>
                <w:sz w:val="24"/>
              </w:rPr>
              <w:t>备注</w:t>
            </w:r>
          </w:p>
        </w:tc>
      </w:tr>
      <w:tr w14:paraId="4FBE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noWrap/>
            <w:vAlign w:val="center"/>
          </w:tcPr>
          <w:p w14:paraId="327FB17C">
            <w:pPr>
              <w:spacing w:line="440" w:lineRule="exact"/>
              <w:jc w:val="center"/>
              <w:rPr>
                <w:rFonts w:ascii="宋体" w:hAnsi="宋体"/>
                <w:color w:val="auto"/>
                <w:sz w:val="24"/>
              </w:rPr>
            </w:pPr>
            <w:r>
              <w:rPr>
                <w:rFonts w:hint="eastAsia" w:ascii="宋体" w:hAnsi="宋体"/>
                <w:color w:val="auto"/>
                <w:sz w:val="24"/>
              </w:rPr>
              <w:t>1</w:t>
            </w:r>
          </w:p>
        </w:tc>
        <w:tc>
          <w:tcPr>
            <w:tcW w:w="2714" w:type="dxa"/>
            <w:noWrap/>
            <w:vAlign w:val="center"/>
          </w:tcPr>
          <w:p w14:paraId="52B4B34F">
            <w:pPr>
              <w:spacing w:line="360" w:lineRule="auto"/>
              <w:jc w:val="center"/>
              <w:rPr>
                <w:rFonts w:ascii="宋体" w:hAnsi="宋体"/>
                <w:color w:val="auto"/>
                <w:sz w:val="24"/>
              </w:rPr>
            </w:pPr>
          </w:p>
        </w:tc>
        <w:tc>
          <w:tcPr>
            <w:tcW w:w="1285" w:type="dxa"/>
            <w:noWrap/>
            <w:vAlign w:val="center"/>
          </w:tcPr>
          <w:p w14:paraId="2BBD57DC">
            <w:pPr>
              <w:spacing w:line="440" w:lineRule="exact"/>
              <w:jc w:val="left"/>
              <w:rPr>
                <w:rFonts w:ascii="宋体" w:hAnsi="宋体"/>
                <w:color w:val="auto"/>
                <w:sz w:val="24"/>
              </w:rPr>
            </w:pPr>
          </w:p>
        </w:tc>
        <w:tc>
          <w:tcPr>
            <w:tcW w:w="1161" w:type="dxa"/>
            <w:noWrap/>
            <w:vAlign w:val="center"/>
          </w:tcPr>
          <w:p w14:paraId="675A3D90">
            <w:pPr>
              <w:spacing w:line="440" w:lineRule="exact"/>
              <w:jc w:val="center"/>
              <w:rPr>
                <w:rFonts w:ascii="宋体" w:hAnsi="宋体"/>
                <w:color w:val="auto"/>
                <w:sz w:val="24"/>
              </w:rPr>
            </w:pPr>
          </w:p>
        </w:tc>
        <w:tc>
          <w:tcPr>
            <w:tcW w:w="965" w:type="dxa"/>
            <w:noWrap/>
            <w:vAlign w:val="center"/>
          </w:tcPr>
          <w:p w14:paraId="25991064">
            <w:pPr>
              <w:spacing w:line="440" w:lineRule="exact"/>
              <w:jc w:val="left"/>
              <w:rPr>
                <w:rFonts w:ascii="宋体" w:hAnsi="宋体"/>
                <w:color w:val="auto"/>
                <w:sz w:val="24"/>
              </w:rPr>
            </w:pPr>
          </w:p>
        </w:tc>
        <w:tc>
          <w:tcPr>
            <w:tcW w:w="2338" w:type="dxa"/>
            <w:noWrap/>
            <w:vAlign w:val="center"/>
          </w:tcPr>
          <w:p w14:paraId="0AEBF7EA">
            <w:pPr>
              <w:spacing w:line="440" w:lineRule="exact"/>
              <w:jc w:val="left"/>
              <w:rPr>
                <w:rFonts w:ascii="宋体" w:hAnsi="宋体"/>
                <w:color w:val="auto"/>
                <w:sz w:val="24"/>
              </w:rPr>
            </w:pPr>
          </w:p>
        </w:tc>
      </w:tr>
      <w:tr w14:paraId="25CE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noWrap/>
            <w:vAlign w:val="center"/>
          </w:tcPr>
          <w:p w14:paraId="2BD88306">
            <w:pPr>
              <w:spacing w:line="440" w:lineRule="exact"/>
              <w:jc w:val="center"/>
              <w:rPr>
                <w:rFonts w:ascii="宋体" w:hAnsi="宋体"/>
                <w:color w:val="auto"/>
                <w:sz w:val="24"/>
              </w:rPr>
            </w:pPr>
            <w:r>
              <w:rPr>
                <w:rFonts w:hint="eastAsia" w:ascii="宋体" w:hAnsi="宋体"/>
                <w:color w:val="auto"/>
                <w:sz w:val="24"/>
              </w:rPr>
              <w:t>2</w:t>
            </w:r>
          </w:p>
        </w:tc>
        <w:tc>
          <w:tcPr>
            <w:tcW w:w="2714" w:type="dxa"/>
            <w:noWrap/>
            <w:vAlign w:val="center"/>
          </w:tcPr>
          <w:p w14:paraId="5014DB82">
            <w:pPr>
              <w:spacing w:line="360" w:lineRule="auto"/>
              <w:jc w:val="center"/>
              <w:rPr>
                <w:rFonts w:ascii="宋体" w:hAnsi="宋体"/>
                <w:color w:val="auto"/>
                <w:sz w:val="22"/>
              </w:rPr>
            </w:pPr>
          </w:p>
        </w:tc>
        <w:tc>
          <w:tcPr>
            <w:tcW w:w="1285" w:type="dxa"/>
            <w:noWrap/>
            <w:vAlign w:val="center"/>
          </w:tcPr>
          <w:p w14:paraId="41E0CB0F">
            <w:pPr>
              <w:spacing w:line="440" w:lineRule="exact"/>
              <w:jc w:val="left"/>
              <w:rPr>
                <w:rFonts w:ascii="宋体" w:hAnsi="宋体"/>
                <w:color w:val="auto"/>
                <w:sz w:val="24"/>
              </w:rPr>
            </w:pPr>
          </w:p>
        </w:tc>
        <w:tc>
          <w:tcPr>
            <w:tcW w:w="1161" w:type="dxa"/>
            <w:noWrap/>
            <w:vAlign w:val="center"/>
          </w:tcPr>
          <w:p w14:paraId="30836C3A">
            <w:pPr>
              <w:spacing w:line="440" w:lineRule="exact"/>
              <w:jc w:val="center"/>
              <w:rPr>
                <w:rFonts w:ascii="宋体" w:hAnsi="宋体"/>
                <w:color w:val="auto"/>
                <w:sz w:val="24"/>
              </w:rPr>
            </w:pPr>
          </w:p>
        </w:tc>
        <w:tc>
          <w:tcPr>
            <w:tcW w:w="965" w:type="dxa"/>
            <w:noWrap/>
            <w:vAlign w:val="center"/>
          </w:tcPr>
          <w:p w14:paraId="0E995FA0">
            <w:pPr>
              <w:spacing w:line="440" w:lineRule="exact"/>
              <w:jc w:val="left"/>
              <w:rPr>
                <w:rFonts w:ascii="宋体" w:hAnsi="宋体"/>
                <w:color w:val="auto"/>
                <w:sz w:val="24"/>
              </w:rPr>
            </w:pPr>
          </w:p>
        </w:tc>
        <w:tc>
          <w:tcPr>
            <w:tcW w:w="2338" w:type="dxa"/>
            <w:noWrap/>
            <w:vAlign w:val="center"/>
          </w:tcPr>
          <w:p w14:paraId="4A539226">
            <w:pPr>
              <w:spacing w:line="440" w:lineRule="exact"/>
              <w:jc w:val="left"/>
              <w:rPr>
                <w:rFonts w:ascii="宋体" w:hAnsi="宋体"/>
                <w:color w:val="auto"/>
                <w:sz w:val="24"/>
              </w:rPr>
            </w:pPr>
          </w:p>
        </w:tc>
      </w:tr>
      <w:tr w14:paraId="05C6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noWrap/>
            <w:vAlign w:val="center"/>
          </w:tcPr>
          <w:p w14:paraId="2213F207">
            <w:pPr>
              <w:spacing w:line="440" w:lineRule="exact"/>
              <w:jc w:val="center"/>
              <w:rPr>
                <w:rFonts w:ascii="宋体" w:hAnsi="宋体"/>
                <w:color w:val="auto"/>
                <w:sz w:val="24"/>
              </w:rPr>
            </w:pPr>
            <w:r>
              <w:rPr>
                <w:rFonts w:hint="eastAsia" w:ascii="宋体" w:hAnsi="宋体"/>
                <w:color w:val="auto"/>
                <w:sz w:val="24"/>
              </w:rPr>
              <w:t>3</w:t>
            </w:r>
          </w:p>
        </w:tc>
        <w:tc>
          <w:tcPr>
            <w:tcW w:w="2714" w:type="dxa"/>
            <w:noWrap/>
            <w:vAlign w:val="center"/>
          </w:tcPr>
          <w:p w14:paraId="5D0AF82B">
            <w:pPr>
              <w:spacing w:line="360" w:lineRule="auto"/>
              <w:jc w:val="center"/>
              <w:rPr>
                <w:rFonts w:ascii="宋体" w:hAnsi="宋体"/>
                <w:color w:val="auto"/>
                <w:sz w:val="22"/>
              </w:rPr>
            </w:pPr>
          </w:p>
        </w:tc>
        <w:tc>
          <w:tcPr>
            <w:tcW w:w="1285" w:type="dxa"/>
            <w:noWrap/>
            <w:vAlign w:val="center"/>
          </w:tcPr>
          <w:p w14:paraId="0EC6B3C6">
            <w:pPr>
              <w:spacing w:line="440" w:lineRule="exact"/>
              <w:jc w:val="left"/>
              <w:rPr>
                <w:rFonts w:ascii="宋体" w:hAnsi="宋体"/>
                <w:color w:val="auto"/>
                <w:sz w:val="24"/>
              </w:rPr>
            </w:pPr>
          </w:p>
        </w:tc>
        <w:tc>
          <w:tcPr>
            <w:tcW w:w="1161" w:type="dxa"/>
            <w:noWrap/>
            <w:vAlign w:val="center"/>
          </w:tcPr>
          <w:p w14:paraId="29D3DD9B">
            <w:pPr>
              <w:spacing w:line="440" w:lineRule="exact"/>
              <w:jc w:val="center"/>
              <w:rPr>
                <w:rFonts w:ascii="宋体" w:hAnsi="宋体"/>
                <w:color w:val="auto"/>
                <w:sz w:val="24"/>
              </w:rPr>
            </w:pPr>
          </w:p>
        </w:tc>
        <w:tc>
          <w:tcPr>
            <w:tcW w:w="965" w:type="dxa"/>
            <w:noWrap/>
            <w:vAlign w:val="center"/>
          </w:tcPr>
          <w:p w14:paraId="70C46844">
            <w:pPr>
              <w:spacing w:line="440" w:lineRule="exact"/>
              <w:jc w:val="left"/>
              <w:rPr>
                <w:rFonts w:ascii="宋体" w:hAnsi="宋体"/>
                <w:color w:val="auto"/>
                <w:sz w:val="24"/>
              </w:rPr>
            </w:pPr>
          </w:p>
        </w:tc>
        <w:tc>
          <w:tcPr>
            <w:tcW w:w="2338" w:type="dxa"/>
            <w:noWrap/>
            <w:vAlign w:val="center"/>
          </w:tcPr>
          <w:p w14:paraId="11034613">
            <w:pPr>
              <w:spacing w:line="440" w:lineRule="exact"/>
              <w:jc w:val="left"/>
              <w:rPr>
                <w:rFonts w:ascii="宋体" w:hAnsi="宋体"/>
                <w:color w:val="auto"/>
                <w:sz w:val="24"/>
              </w:rPr>
            </w:pPr>
          </w:p>
        </w:tc>
      </w:tr>
      <w:tr w14:paraId="7132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noWrap/>
            <w:vAlign w:val="center"/>
          </w:tcPr>
          <w:p w14:paraId="761313BC">
            <w:pPr>
              <w:spacing w:line="440" w:lineRule="exact"/>
              <w:jc w:val="center"/>
              <w:rPr>
                <w:rFonts w:ascii="宋体" w:hAnsi="宋体"/>
                <w:color w:val="auto"/>
                <w:sz w:val="24"/>
              </w:rPr>
            </w:pPr>
            <w:r>
              <w:rPr>
                <w:rFonts w:hint="eastAsia" w:ascii="宋体" w:hAnsi="宋体"/>
                <w:color w:val="auto"/>
                <w:sz w:val="24"/>
              </w:rPr>
              <w:t>4</w:t>
            </w:r>
          </w:p>
        </w:tc>
        <w:tc>
          <w:tcPr>
            <w:tcW w:w="2714" w:type="dxa"/>
            <w:noWrap/>
            <w:vAlign w:val="center"/>
          </w:tcPr>
          <w:p w14:paraId="573FB7D0">
            <w:pPr>
              <w:spacing w:line="360" w:lineRule="auto"/>
              <w:jc w:val="center"/>
              <w:rPr>
                <w:rFonts w:ascii="宋体" w:hAnsi="宋体"/>
                <w:color w:val="auto"/>
                <w:sz w:val="24"/>
              </w:rPr>
            </w:pPr>
            <w:r>
              <w:rPr>
                <w:rFonts w:hint="eastAsia" w:ascii="宋体" w:hAnsi="宋体"/>
                <w:color w:val="auto"/>
                <w:sz w:val="24"/>
              </w:rPr>
              <w:t>.......</w:t>
            </w:r>
          </w:p>
        </w:tc>
        <w:tc>
          <w:tcPr>
            <w:tcW w:w="1285" w:type="dxa"/>
            <w:noWrap/>
            <w:vAlign w:val="center"/>
          </w:tcPr>
          <w:p w14:paraId="509E8AA9">
            <w:pPr>
              <w:spacing w:line="440" w:lineRule="exact"/>
              <w:jc w:val="left"/>
              <w:rPr>
                <w:rFonts w:ascii="宋体" w:hAnsi="宋体"/>
                <w:color w:val="auto"/>
                <w:sz w:val="24"/>
              </w:rPr>
            </w:pPr>
          </w:p>
        </w:tc>
        <w:tc>
          <w:tcPr>
            <w:tcW w:w="1161" w:type="dxa"/>
            <w:noWrap/>
            <w:vAlign w:val="center"/>
          </w:tcPr>
          <w:p w14:paraId="0BF17D5C">
            <w:pPr>
              <w:spacing w:line="440" w:lineRule="exact"/>
              <w:jc w:val="center"/>
              <w:rPr>
                <w:rFonts w:ascii="宋体" w:hAnsi="宋体"/>
                <w:color w:val="auto"/>
                <w:sz w:val="24"/>
              </w:rPr>
            </w:pPr>
          </w:p>
        </w:tc>
        <w:tc>
          <w:tcPr>
            <w:tcW w:w="965" w:type="dxa"/>
            <w:noWrap/>
            <w:vAlign w:val="center"/>
          </w:tcPr>
          <w:p w14:paraId="74BC0AA0">
            <w:pPr>
              <w:spacing w:line="440" w:lineRule="exact"/>
              <w:jc w:val="left"/>
              <w:rPr>
                <w:rFonts w:ascii="宋体" w:hAnsi="宋体"/>
                <w:color w:val="auto"/>
                <w:sz w:val="24"/>
              </w:rPr>
            </w:pPr>
          </w:p>
        </w:tc>
        <w:tc>
          <w:tcPr>
            <w:tcW w:w="2338" w:type="dxa"/>
            <w:noWrap/>
            <w:vAlign w:val="center"/>
          </w:tcPr>
          <w:p w14:paraId="42329A2C">
            <w:pPr>
              <w:spacing w:line="440" w:lineRule="exact"/>
              <w:jc w:val="left"/>
              <w:rPr>
                <w:rFonts w:ascii="宋体" w:hAnsi="宋体"/>
                <w:color w:val="auto"/>
                <w:sz w:val="24"/>
              </w:rPr>
            </w:pPr>
          </w:p>
        </w:tc>
      </w:tr>
      <w:tr w14:paraId="37DE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noWrap/>
            <w:vAlign w:val="center"/>
          </w:tcPr>
          <w:p w14:paraId="5FC2B924">
            <w:pPr>
              <w:spacing w:line="440" w:lineRule="exact"/>
              <w:jc w:val="center"/>
              <w:rPr>
                <w:rFonts w:ascii="宋体" w:hAnsi="宋体"/>
                <w:color w:val="auto"/>
                <w:sz w:val="24"/>
              </w:rPr>
            </w:pPr>
            <w:r>
              <w:rPr>
                <w:rFonts w:hint="eastAsia" w:ascii="宋体" w:hAnsi="宋体"/>
                <w:color w:val="auto"/>
                <w:sz w:val="24"/>
              </w:rPr>
              <w:t>5</w:t>
            </w:r>
          </w:p>
        </w:tc>
        <w:tc>
          <w:tcPr>
            <w:tcW w:w="2714" w:type="dxa"/>
            <w:noWrap/>
            <w:vAlign w:val="center"/>
          </w:tcPr>
          <w:p w14:paraId="519D58F2">
            <w:pPr>
              <w:spacing w:line="360" w:lineRule="auto"/>
              <w:jc w:val="center"/>
              <w:rPr>
                <w:rFonts w:ascii="宋体" w:hAnsi="宋体"/>
                <w:color w:val="auto"/>
                <w:sz w:val="24"/>
              </w:rPr>
            </w:pPr>
            <w:r>
              <w:rPr>
                <w:rFonts w:hint="eastAsia" w:ascii="宋体" w:hAnsi="宋体"/>
                <w:color w:val="auto"/>
                <w:sz w:val="24"/>
              </w:rPr>
              <w:t>.......</w:t>
            </w:r>
          </w:p>
        </w:tc>
        <w:tc>
          <w:tcPr>
            <w:tcW w:w="1285" w:type="dxa"/>
            <w:noWrap/>
            <w:vAlign w:val="center"/>
          </w:tcPr>
          <w:p w14:paraId="641EFFF8">
            <w:pPr>
              <w:spacing w:line="440" w:lineRule="exact"/>
              <w:jc w:val="left"/>
              <w:rPr>
                <w:rFonts w:ascii="宋体" w:hAnsi="宋体"/>
                <w:color w:val="auto"/>
                <w:sz w:val="24"/>
              </w:rPr>
            </w:pPr>
          </w:p>
        </w:tc>
        <w:tc>
          <w:tcPr>
            <w:tcW w:w="1161" w:type="dxa"/>
            <w:noWrap/>
            <w:vAlign w:val="center"/>
          </w:tcPr>
          <w:p w14:paraId="75286E62">
            <w:pPr>
              <w:spacing w:line="440" w:lineRule="exact"/>
              <w:jc w:val="center"/>
              <w:rPr>
                <w:rFonts w:ascii="宋体" w:hAnsi="宋体"/>
                <w:color w:val="auto"/>
                <w:sz w:val="24"/>
              </w:rPr>
            </w:pPr>
          </w:p>
        </w:tc>
        <w:tc>
          <w:tcPr>
            <w:tcW w:w="965" w:type="dxa"/>
            <w:noWrap/>
            <w:vAlign w:val="center"/>
          </w:tcPr>
          <w:p w14:paraId="14F2245B">
            <w:pPr>
              <w:spacing w:line="440" w:lineRule="exact"/>
              <w:jc w:val="left"/>
              <w:rPr>
                <w:rFonts w:ascii="宋体" w:hAnsi="宋体"/>
                <w:color w:val="auto"/>
                <w:sz w:val="24"/>
              </w:rPr>
            </w:pPr>
          </w:p>
        </w:tc>
        <w:tc>
          <w:tcPr>
            <w:tcW w:w="2338" w:type="dxa"/>
            <w:noWrap/>
            <w:vAlign w:val="center"/>
          </w:tcPr>
          <w:p w14:paraId="21F3B99A">
            <w:pPr>
              <w:spacing w:line="440" w:lineRule="exact"/>
              <w:jc w:val="left"/>
              <w:rPr>
                <w:rFonts w:ascii="宋体" w:hAnsi="宋体"/>
                <w:color w:val="auto"/>
                <w:sz w:val="24"/>
              </w:rPr>
            </w:pPr>
          </w:p>
        </w:tc>
      </w:tr>
      <w:tr w14:paraId="4972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noWrap/>
            <w:vAlign w:val="center"/>
          </w:tcPr>
          <w:p w14:paraId="612C0526">
            <w:pPr>
              <w:spacing w:line="440" w:lineRule="exact"/>
              <w:jc w:val="center"/>
              <w:rPr>
                <w:rFonts w:ascii="宋体" w:hAnsi="宋体"/>
                <w:color w:val="auto"/>
                <w:sz w:val="24"/>
              </w:rPr>
            </w:pPr>
            <w:r>
              <w:rPr>
                <w:rFonts w:hint="eastAsia" w:ascii="宋体" w:hAnsi="宋体"/>
                <w:color w:val="auto"/>
                <w:sz w:val="24"/>
              </w:rPr>
              <w:t>6</w:t>
            </w:r>
          </w:p>
        </w:tc>
        <w:tc>
          <w:tcPr>
            <w:tcW w:w="2714" w:type="dxa"/>
            <w:noWrap/>
            <w:vAlign w:val="center"/>
          </w:tcPr>
          <w:p w14:paraId="34BFB02A">
            <w:pPr>
              <w:spacing w:line="360" w:lineRule="auto"/>
              <w:jc w:val="center"/>
              <w:rPr>
                <w:rFonts w:ascii="宋体" w:hAnsi="宋体"/>
                <w:color w:val="auto"/>
                <w:sz w:val="24"/>
              </w:rPr>
            </w:pPr>
          </w:p>
        </w:tc>
        <w:tc>
          <w:tcPr>
            <w:tcW w:w="1285" w:type="dxa"/>
            <w:noWrap/>
            <w:vAlign w:val="center"/>
          </w:tcPr>
          <w:p w14:paraId="37C9A36D">
            <w:pPr>
              <w:spacing w:line="440" w:lineRule="exact"/>
              <w:jc w:val="left"/>
              <w:rPr>
                <w:rFonts w:ascii="宋体" w:hAnsi="宋体"/>
                <w:color w:val="auto"/>
                <w:sz w:val="24"/>
              </w:rPr>
            </w:pPr>
          </w:p>
        </w:tc>
        <w:tc>
          <w:tcPr>
            <w:tcW w:w="1161" w:type="dxa"/>
            <w:noWrap/>
            <w:vAlign w:val="center"/>
          </w:tcPr>
          <w:p w14:paraId="20A56FE7">
            <w:pPr>
              <w:spacing w:line="440" w:lineRule="exact"/>
              <w:jc w:val="center"/>
              <w:rPr>
                <w:rFonts w:ascii="宋体" w:hAnsi="宋体"/>
                <w:color w:val="auto"/>
                <w:sz w:val="24"/>
              </w:rPr>
            </w:pPr>
          </w:p>
        </w:tc>
        <w:tc>
          <w:tcPr>
            <w:tcW w:w="965" w:type="dxa"/>
            <w:noWrap/>
            <w:vAlign w:val="center"/>
          </w:tcPr>
          <w:p w14:paraId="0925E4F6">
            <w:pPr>
              <w:spacing w:line="440" w:lineRule="exact"/>
              <w:jc w:val="left"/>
              <w:rPr>
                <w:rFonts w:ascii="宋体" w:hAnsi="宋体"/>
                <w:color w:val="auto"/>
                <w:sz w:val="24"/>
              </w:rPr>
            </w:pPr>
          </w:p>
        </w:tc>
        <w:tc>
          <w:tcPr>
            <w:tcW w:w="2338" w:type="dxa"/>
            <w:noWrap/>
            <w:vAlign w:val="center"/>
          </w:tcPr>
          <w:p w14:paraId="40B9AC50">
            <w:pPr>
              <w:spacing w:line="440" w:lineRule="exact"/>
              <w:jc w:val="left"/>
              <w:rPr>
                <w:rFonts w:ascii="宋体" w:hAnsi="宋体"/>
                <w:color w:val="auto"/>
                <w:sz w:val="24"/>
              </w:rPr>
            </w:pPr>
          </w:p>
        </w:tc>
      </w:tr>
      <w:tr w14:paraId="5C52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noWrap/>
            <w:vAlign w:val="center"/>
          </w:tcPr>
          <w:p w14:paraId="2D87F57F">
            <w:pPr>
              <w:spacing w:line="440" w:lineRule="exact"/>
              <w:jc w:val="center"/>
              <w:rPr>
                <w:rFonts w:ascii="宋体" w:hAnsi="宋体"/>
                <w:color w:val="auto"/>
                <w:sz w:val="24"/>
              </w:rPr>
            </w:pPr>
            <w:r>
              <w:rPr>
                <w:rFonts w:hint="eastAsia" w:ascii="宋体" w:hAnsi="宋体"/>
                <w:color w:val="auto"/>
                <w:sz w:val="24"/>
              </w:rPr>
              <w:t>7</w:t>
            </w:r>
          </w:p>
        </w:tc>
        <w:tc>
          <w:tcPr>
            <w:tcW w:w="2714" w:type="dxa"/>
            <w:noWrap/>
            <w:vAlign w:val="center"/>
          </w:tcPr>
          <w:p w14:paraId="683F9260">
            <w:pPr>
              <w:spacing w:line="360" w:lineRule="auto"/>
              <w:jc w:val="center"/>
              <w:rPr>
                <w:rFonts w:ascii="宋体" w:hAnsi="宋体"/>
                <w:color w:val="auto"/>
                <w:sz w:val="24"/>
              </w:rPr>
            </w:pPr>
          </w:p>
        </w:tc>
        <w:tc>
          <w:tcPr>
            <w:tcW w:w="1285" w:type="dxa"/>
            <w:noWrap/>
            <w:vAlign w:val="center"/>
          </w:tcPr>
          <w:p w14:paraId="74953A1A">
            <w:pPr>
              <w:spacing w:line="440" w:lineRule="exact"/>
              <w:jc w:val="left"/>
              <w:rPr>
                <w:rFonts w:ascii="宋体" w:hAnsi="宋体"/>
                <w:color w:val="auto"/>
                <w:sz w:val="24"/>
              </w:rPr>
            </w:pPr>
          </w:p>
        </w:tc>
        <w:tc>
          <w:tcPr>
            <w:tcW w:w="1161" w:type="dxa"/>
            <w:noWrap/>
            <w:vAlign w:val="center"/>
          </w:tcPr>
          <w:p w14:paraId="1E5BC0C2">
            <w:pPr>
              <w:spacing w:line="440" w:lineRule="exact"/>
              <w:jc w:val="center"/>
              <w:rPr>
                <w:rFonts w:ascii="宋体" w:hAnsi="宋体"/>
                <w:color w:val="auto"/>
                <w:sz w:val="24"/>
              </w:rPr>
            </w:pPr>
          </w:p>
        </w:tc>
        <w:tc>
          <w:tcPr>
            <w:tcW w:w="965" w:type="dxa"/>
            <w:noWrap/>
            <w:vAlign w:val="center"/>
          </w:tcPr>
          <w:p w14:paraId="427D5963">
            <w:pPr>
              <w:spacing w:line="440" w:lineRule="exact"/>
              <w:jc w:val="left"/>
              <w:rPr>
                <w:rFonts w:ascii="宋体" w:hAnsi="宋体"/>
                <w:color w:val="auto"/>
                <w:sz w:val="24"/>
              </w:rPr>
            </w:pPr>
          </w:p>
        </w:tc>
        <w:tc>
          <w:tcPr>
            <w:tcW w:w="2338" w:type="dxa"/>
            <w:noWrap/>
            <w:vAlign w:val="center"/>
          </w:tcPr>
          <w:p w14:paraId="35616E7F">
            <w:pPr>
              <w:spacing w:line="440" w:lineRule="exact"/>
              <w:jc w:val="left"/>
              <w:rPr>
                <w:rFonts w:ascii="宋体" w:hAnsi="宋体"/>
                <w:color w:val="auto"/>
                <w:sz w:val="24"/>
              </w:rPr>
            </w:pPr>
          </w:p>
        </w:tc>
      </w:tr>
      <w:tr w14:paraId="47CA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noWrap/>
            <w:vAlign w:val="center"/>
          </w:tcPr>
          <w:p w14:paraId="68F6358F">
            <w:pPr>
              <w:spacing w:line="440" w:lineRule="exact"/>
              <w:jc w:val="center"/>
              <w:rPr>
                <w:rFonts w:ascii="宋体" w:hAnsi="宋体"/>
                <w:color w:val="auto"/>
                <w:sz w:val="24"/>
              </w:rPr>
            </w:pPr>
            <w:r>
              <w:rPr>
                <w:rFonts w:hint="eastAsia" w:ascii="宋体" w:hAnsi="宋体"/>
                <w:color w:val="auto"/>
                <w:sz w:val="24"/>
              </w:rPr>
              <w:t>8</w:t>
            </w:r>
          </w:p>
        </w:tc>
        <w:tc>
          <w:tcPr>
            <w:tcW w:w="2714" w:type="dxa"/>
            <w:noWrap/>
            <w:vAlign w:val="center"/>
          </w:tcPr>
          <w:p w14:paraId="027841F8">
            <w:pPr>
              <w:spacing w:line="360" w:lineRule="auto"/>
              <w:jc w:val="center"/>
              <w:rPr>
                <w:rFonts w:ascii="宋体" w:hAnsi="宋体"/>
                <w:color w:val="auto"/>
                <w:sz w:val="22"/>
              </w:rPr>
            </w:pPr>
          </w:p>
        </w:tc>
        <w:tc>
          <w:tcPr>
            <w:tcW w:w="1285" w:type="dxa"/>
            <w:noWrap/>
            <w:vAlign w:val="center"/>
          </w:tcPr>
          <w:p w14:paraId="4C6CEBB6">
            <w:pPr>
              <w:spacing w:line="440" w:lineRule="exact"/>
              <w:jc w:val="left"/>
              <w:rPr>
                <w:rFonts w:ascii="宋体" w:hAnsi="宋体"/>
                <w:color w:val="auto"/>
                <w:sz w:val="24"/>
              </w:rPr>
            </w:pPr>
          </w:p>
        </w:tc>
        <w:tc>
          <w:tcPr>
            <w:tcW w:w="1161" w:type="dxa"/>
            <w:noWrap/>
            <w:vAlign w:val="center"/>
          </w:tcPr>
          <w:p w14:paraId="52D13AED">
            <w:pPr>
              <w:spacing w:line="440" w:lineRule="exact"/>
              <w:jc w:val="center"/>
              <w:rPr>
                <w:rFonts w:ascii="宋体" w:hAnsi="宋体"/>
                <w:color w:val="auto"/>
                <w:sz w:val="24"/>
              </w:rPr>
            </w:pPr>
          </w:p>
        </w:tc>
        <w:tc>
          <w:tcPr>
            <w:tcW w:w="965" w:type="dxa"/>
            <w:noWrap/>
            <w:vAlign w:val="center"/>
          </w:tcPr>
          <w:p w14:paraId="4F45EEAA">
            <w:pPr>
              <w:spacing w:line="440" w:lineRule="exact"/>
              <w:jc w:val="left"/>
              <w:rPr>
                <w:rFonts w:ascii="宋体" w:hAnsi="宋体"/>
                <w:color w:val="auto"/>
                <w:sz w:val="24"/>
              </w:rPr>
            </w:pPr>
          </w:p>
        </w:tc>
        <w:tc>
          <w:tcPr>
            <w:tcW w:w="2338" w:type="dxa"/>
            <w:noWrap/>
            <w:vAlign w:val="center"/>
          </w:tcPr>
          <w:p w14:paraId="543B9854">
            <w:pPr>
              <w:spacing w:line="440" w:lineRule="exact"/>
              <w:jc w:val="left"/>
              <w:rPr>
                <w:rFonts w:ascii="宋体" w:hAnsi="宋体"/>
                <w:color w:val="auto"/>
                <w:sz w:val="24"/>
              </w:rPr>
            </w:pPr>
          </w:p>
        </w:tc>
      </w:tr>
      <w:tr w14:paraId="701F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51" w:type="dxa"/>
            <w:noWrap/>
            <w:vAlign w:val="center"/>
          </w:tcPr>
          <w:p w14:paraId="38C94942">
            <w:pPr>
              <w:spacing w:line="440" w:lineRule="exact"/>
              <w:jc w:val="center"/>
              <w:rPr>
                <w:rFonts w:ascii="宋体" w:hAnsi="宋体"/>
                <w:color w:val="auto"/>
                <w:sz w:val="24"/>
              </w:rPr>
            </w:pPr>
            <w:r>
              <w:rPr>
                <w:rFonts w:hint="eastAsia" w:ascii="宋体" w:hAnsi="宋体"/>
                <w:color w:val="auto"/>
                <w:sz w:val="24"/>
              </w:rPr>
              <w:t>9</w:t>
            </w:r>
          </w:p>
        </w:tc>
        <w:tc>
          <w:tcPr>
            <w:tcW w:w="2714" w:type="dxa"/>
            <w:noWrap/>
            <w:vAlign w:val="center"/>
          </w:tcPr>
          <w:p w14:paraId="71725DD4">
            <w:pPr>
              <w:spacing w:line="360" w:lineRule="auto"/>
              <w:jc w:val="center"/>
              <w:rPr>
                <w:rFonts w:ascii="宋体" w:hAnsi="宋体"/>
                <w:color w:val="auto"/>
                <w:sz w:val="24"/>
              </w:rPr>
            </w:pPr>
          </w:p>
        </w:tc>
        <w:tc>
          <w:tcPr>
            <w:tcW w:w="1285" w:type="dxa"/>
            <w:noWrap/>
            <w:vAlign w:val="center"/>
          </w:tcPr>
          <w:p w14:paraId="2CAFBE75">
            <w:pPr>
              <w:spacing w:line="440" w:lineRule="exact"/>
              <w:jc w:val="left"/>
              <w:rPr>
                <w:rFonts w:ascii="宋体" w:hAnsi="宋体"/>
                <w:color w:val="auto"/>
                <w:sz w:val="24"/>
              </w:rPr>
            </w:pPr>
          </w:p>
        </w:tc>
        <w:tc>
          <w:tcPr>
            <w:tcW w:w="1161" w:type="dxa"/>
            <w:noWrap/>
            <w:vAlign w:val="center"/>
          </w:tcPr>
          <w:p w14:paraId="36F17610">
            <w:pPr>
              <w:spacing w:line="440" w:lineRule="exact"/>
              <w:jc w:val="center"/>
              <w:rPr>
                <w:rFonts w:ascii="宋体" w:hAnsi="宋体"/>
                <w:color w:val="auto"/>
                <w:sz w:val="24"/>
              </w:rPr>
            </w:pPr>
          </w:p>
        </w:tc>
        <w:tc>
          <w:tcPr>
            <w:tcW w:w="965" w:type="dxa"/>
            <w:noWrap/>
            <w:vAlign w:val="center"/>
          </w:tcPr>
          <w:p w14:paraId="791C057E">
            <w:pPr>
              <w:spacing w:line="440" w:lineRule="exact"/>
              <w:jc w:val="left"/>
              <w:rPr>
                <w:rFonts w:ascii="宋体" w:hAnsi="宋体"/>
                <w:color w:val="auto"/>
                <w:sz w:val="24"/>
              </w:rPr>
            </w:pPr>
          </w:p>
        </w:tc>
        <w:tc>
          <w:tcPr>
            <w:tcW w:w="2338" w:type="dxa"/>
            <w:noWrap/>
            <w:vAlign w:val="center"/>
          </w:tcPr>
          <w:p w14:paraId="377841D6">
            <w:pPr>
              <w:spacing w:line="440" w:lineRule="exact"/>
              <w:jc w:val="left"/>
              <w:rPr>
                <w:rFonts w:ascii="宋体" w:hAnsi="宋体"/>
                <w:color w:val="auto"/>
                <w:sz w:val="18"/>
                <w:szCs w:val="18"/>
              </w:rPr>
            </w:pPr>
          </w:p>
        </w:tc>
      </w:tr>
      <w:tr w14:paraId="3CE8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noWrap/>
            <w:vAlign w:val="center"/>
          </w:tcPr>
          <w:p w14:paraId="7778CA63">
            <w:pPr>
              <w:spacing w:line="440" w:lineRule="exact"/>
              <w:jc w:val="center"/>
              <w:rPr>
                <w:rFonts w:ascii="宋体" w:hAnsi="宋体"/>
                <w:color w:val="auto"/>
                <w:sz w:val="24"/>
              </w:rPr>
            </w:pPr>
            <w:r>
              <w:rPr>
                <w:rFonts w:hint="eastAsia" w:ascii="宋体" w:hAnsi="宋体"/>
                <w:color w:val="auto"/>
                <w:sz w:val="24"/>
              </w:rPr>
              <w:t>10</w:t>
            </w:r>
          </w:p>
        </w:tc>
        <w:tc>
          <w:tcPr>
            <w:tcW w:w="2714" w:type="dxa"/>
            <w:noWrap/>
            <w:vAlign w:val="center"/>
          </w:tcPr>
          <w:p w14:paraId="01CB4C0C">
            <w:pPr>
              <w:spacing w:line="360" w:lineRule="auto"/>
              <w:jc w:val="center"/>
              <w:rPr>
                <w:rFonts w:ascii="宋体" w:hAnsi="宋体"/>
                <w:color w:val="auto"/>
                <w:sz w:val="24"/>
              </w:rPr>
            </w:pPr>
          </w:p>
        </w:tc>
        <w:tc>
          <w:tcPr>
            <w:tcW w:w="1285" w:type="dxa"/>
            <w:noWrap/>
            <w:vAlign w:val="center"/>
          </w:tcPr>
          <w:p w14:paraId="26FB7E05">
            <w:pPr>
              <w:spacing w:line="440" w:lineRule="exact"/>
              <w:jc w:val="left"/>
              <w:rPr>
                <w:rFonts w:ascii="宋体" w:hAnsi="宋体"/>
                <w:color w:val="auto"/>
                <w:sz w:val="24"/>
              </w:rPr>
            </w:pPr>
          </w:p>
        </w:tc>
        <w:tc>
          <w:tcPr>
            <w:tcW w:w="1161" w:type="dxa"/>
            <w:noWrap/>
            <w:vAlign w:val="center"/>
          </w:tcPr>
          <w:p w14:paraId="432D352B">
            <w:pPr>
              <w:spacing w:line="440" w:lineRule="exact"/>
              <w:jc w:val="center"/>
              <w:rPr>
                <w:rFonts w:ascii="宋体" w:hAnsi="宋体"/>
                <w:color w:val="auto"/>
                <w:sz w:val="24"/>
              </w:rPr>
            </w:pPr>
          </w:p>
        </w:tc>
        <w:tc>
          <w:tcPr>
            <w:tcW w:w="965" w:type="dxa"/>
            <w:noWrap/>
            <w:vAlign w:val="center"/>
          </w:tcPr>
          <w:p w14:paraId="1D1B8D47">
            <w:pPr>
              <w:spacing w:line="440" w:lineRule="exact"/>
              <w:jc w:val="left"/>
              <w:rPr>
                <w:rFonts w:ascii="宋体" w:hAnsi="宋体"/>
                <w:color w:val="auto"/>
                <w:sz w:val="24"/>
              </w:rPr>
            </w:pPr>
          </w:p>
        </w:tc>
        <w:tc>
          <w:tcPr>
            <w:tcW w:w="2338" w:type="dxa"/>
            <w:noWrap/>
            <w:vAlign w:val="center"/>
          </w:tcPr>
          <w:p w14:paraId="44359243">
            <w:pPr>
              <w:spacing w:line="360" w:lineRule="auto"/>
              <w:jc w:val="center"/>
              <w:rPr>
                <w:rFonts w:ascii="宋体" w:hAnsi="宋体"/>
                <w:color w:val="auto"/>
                <w:sz w:val="22"/>
              </w:rPr>
            </w:pPr>
          </w:p>
        </w:tc>
      </w:tr>
      <w:tr w14:paraId="33A65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noWrap/>
            <w:vAlign w:val="center"/>
          </w:tcPr>
          <w:p w14:paraId="69AF3ECE">
            <w:pPr>
              <w:spacing w:line="440" w:lineRule="exact"/>
              <w:jc w:val="center"/>
              <w:rPr>
                <w:rFonts w:ascii="宋体" w:hAnsi="宋体"/>
                <w:color w:val="auto"/>
                <w:sz w:val="24"/>
              </w:rPr>
            </w:pPr>
            <w:r>
              <w:rPr>
                <w:rFonts w:hint="eastAsia" w:ascii="宋体" w:hAnsi="宋体"/>
                <w:color w:val="auto"/>
                <w:sz w:val="24"/>
              </w:rPr>
              <w:t>11</w:t>
            </w:r>
          </w:p>
        </w:tc>
        <w:tc>
          <w:tcPr>
            <w:tcW w:w="2714" w:type="dxa"/>
            <w:noWrap/>
            <w:vAlign w:val="center"/>
          </w:tcPr>
          <w:p w14:paraId="02614407">
            <w:pPr>
              <w:spacing w:line="360" w:lineRule="auto"/>
              <w:jc w:val="center"/>
              <w:rPr>
                <w:rFonts w:ascii="宋体" w:hAnsi="宋体"/>
                <w:color w:val="auto"/>
                <w:sz w:val="24"/>
              </w:rPr>
            </w:pPr>
          </w:p>
        </w:tc>
        <w:tc>
          <w:tcPr>
            <w:tcW w:w="1285" w:type="dxa"/>
            <w:noWrap/>
            <w:vAlign w:val="center"/>
          </w:tcPr>
          <w:p w14:paraId="6DFA2641">
            <w:pPr>
              <w:spacing w:line="440" w:lineRule="exact"/>
              <w:jc w:val="left"/>
              <w:rPr>
                <w:rFonts w:ascii="宋体" w:hAnsi="宋体"/>
                <w:color w:val="auto"/>
                <w:sz w:val="24"/>
              </w:rPr>
            </w:pPr>
          </w:p>
        </w:tc>
        <w:tc>
          <w:tcPr>
            <w:tcW w:w="1161" w:type="dxa"/>
            <w:noWrap/>
            <w:vAlign w:val="center"/>
          </w:tcPr>
          <w:p w14:paraId="3402FBA0">
            <w:pPr>
              <w:spacing w:line="440" w:lineRule="exact"/>
              <w:jc w:val="center"/>
              <w:rPr>
                <w:rFonts w:ascii="宋体" w:hAnsi="宋体"/>
                <w:color w:val="auto"/>
                <w:sz w:val="24"/>
              </w:rPr>
            </w:pPr>
          </w:p>
        </w:tc>
        <w:tc>
          <w:tcPr>
            <w:tcW w:w="965" w:type="dxa"/>
            <w:noWrap/>
            <w:vAlign w:val="center"/>
          </w:tcPr>
          <w:p w14:paraId="6F59BE30">
            <w:pPr>
              <w:spacing w:line="440" w:lineRule="exact"/>
              <w:jc w:val="left"/>
              <w:rPr>
                <w:rFonts w:ascii="宋体" w:hAnsi="宋体"/>
                <w:color w:val="auto"/>
                <w:sz w:val="24"/>
              </w:rPr>
            </w:pPr>
          </w:p>
        </w:tc>
        <w:tc>
          <w:tcPr>
            <w:tcW w:w="2338" w:type="dxa"/>
            <w:noWrap/>
            <w:vAlign w:val="center"/>
          </w:tcPr>
          <w:p w14:paraId="4B89E484">
            <w:pPr>
              <w:spacing w:line="360" w:lineRule="auto"/>
              <w:jc w:val="center"/>
              <w:rPr>
                <w:rFonts w:ascii="宋体" w:hAnsi="宋体"/>
                <w:color w:val="auto"/>
                <w:sz w:val="22"/>
              </w:rPr>
            </w:pPr>
          </w:p>
        </w:tc>
      </w:tr>
      <w:tr w14:paraId="552E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noWrap/>
            <w:vAlign w:val="center"/>
          </w:tcPr>
          <w:p w14:paraId="2A9A9CC8">
            <w:pPr>
              <w:spacing w:line="440" w:lineRule="exact"/>
              <w:jc w:val="center"/>
              <w:rPr>
                <w:rFonts w:ascii="宋体" w:hAnsi="宋体"/>
                <w:color w:val="auto"/>
                <w:sz w:val="24"/>
              </w:rPr>
            </w:pPr>
            <w:r>
              <w:rPr>
                <w:rFonts w:hint="eastAsia" w:ascii="宋体" w:hAnsi="宋体"/>
                <w:color w:val="auto"/>
                <w:sz w:val="24"/>
              </w:rPr>
              <w:t>12</w:t>
            </w:r>
          </w:p>
        </w:tc>
        <w:tc>
          <w:tcPr>
            <w:tcW w:w="2714" w:type="dxa"/>
            <w:noWrap/>
            <w:vAlign w:val="center"/>
          </w:tcPr>
          <w:p w14:paraId="744C4107">
            <w:pPr>
              <w:spacing w:line="360" w:lineRule="auto"/>
              <w:jc w:val="center"/>
              <w:rPr>
                <w:rFonts w:ascii="宋体" w:hAnsi="宋体"/>
                <w:color w:val="auto"/>
                <w:sz w:val="24"/>
              </w:rPr>
            </w:pPr>
            <w:r>
              <w:rPr>
                <w:rFonts w:hint="eastAsia" w:ascii="宋体" w:hAnsi="宋体"/>
                <w:color w:val="auto"/>
                <w:sz w:val="22"/>
              </w:rPr>
              <w:t>合计</w:t>
            </w:r>
          </w:p>
        </w:tc>
        <w:tc>
          <w:tcPr>
            <w:tcW w:w="1285" w:type="dxa"/>
            <w:noWrap/>
            <w:vAlign w:val="center"/>
          </w:tcPr>
          <w:p w14:paraId="252FC433">
            <w:pPr>
              <w:spacing w:line="440" w:lineRule="exact"/>
              <w:jc w:val="left"/>
              <w:rPr>
                <w:rFonts w:ascii="宋体" w:hAnsi="宋体"/>
                <w:color w:val="auto"/>
                <w:sz w:val="24"/>
              </w:rPr>
            </w:pPr>
          </w:p>
        </w:tc>
        <w:tc>
          <w:tcPr>
            <w:tcW w:w="1161" w:type="dxa"/>
            <w:noWrap/>
            <w:vAlign w:val="center"/>
          </w:tcPr>
          <w:p w14:paraId="1761A348">
            <w:pPr>
              <w:spacing w:line="440" w:lineRule="exact"/>
              <w:jc w:val="center"/>
              <w:rPr>
                <w:rFonts w:ascii="宋体" w:hAnsi="宋体"/>
                <w:color w:val="auto"/>
                <w:sz w:val="24"/>
              </w:rPr>
            </w:pPr>
          </w:p>
        </w:tc>
        <w:tc>
          <w:tcPr>
            <w:tcW w:w="965" w:type="dxa"/>
            <w:noWrap/>
            <w:vAlign w:val="center"/>
          </w:tcPr>
          <w:p w14:paraId="49B3D352">
            <w:pPr>
              <w:spacing w:line="440" w:lineRule="exact"/>
              <w:jc w:val="left"/>
              <w:rPr>
                <w:rFonts w:ascii="宋体" w:hAnsi="宋体"/>
                <w:color w:val="auto"/>
                <w:sz w:val="24"/>
              </w:rPr>
            </w:pPr>
          </w:p>
        </w:tc>
        <w:tc>
          <w:tcPr>
            <w:tcW w:w="2338" w:type="dxa"/>
            <w:noWrap/>
            <w:vAlign w:val="center"/>
          </w:tcPr>
          <w:p w14:paraId="3ABDFC80">
            <w:pPr>
              <w:spacing w:line="360" w:lineRule="auto"/>
              <w:jc w:val="center"/>
              <w:rPr>
                <w:rFonts w:ascii="宋体" w:hAnsi="宋体"/>
                <w:color w:val="auto"/>
                <w:sz w:val="22"/>
              </w:rPr>
            </w:pPr>
          </w:p>
        </w:tc>
      </w:tr>
      <w:tr w14:paraId="2BE3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9214" w:type="dxa"/>
            <w:gridSpan w:val="6"/>
            <w:noWrap/>
            <w:vAlign w:val="center"/>
          </w:tcPr>
          <w:p w14:paraId="645BC281">
            <w:pPr>
              <w:spacing w:line="440" w:lineRule="exact"/>
              <w:jc w:val="left"/>
              <w:rPr>
                <w:rFonts w:ascii="宋体" w:hAnsi="宋体"/>
                <w:color w:val="auto"/>
                <w:sz w:val="24"/>
              </w:rPr>
            </w:pPr>
            <w:r>
              <w:rPr>
                <w:rFonts w:hint="eastAsia" w:ascii="宋体" w:hAnsi="宋体"/>
                <w:color w:val="auto"/>
                <w:sz w:val="24"/>
              </w:rPr>
              <w:t xml:space="preserve">   合计：（大写）       小写：</w:t>
            </w:r>
          </w:p>
        </w:tc>
      </w:tr>
      <w:tr w14:paraId="399F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atLeast"/>
          <w:jc w:val="center"/>
        </w:trPr>
        <w:tc>
          <w:tcPr>
            <w:tcW w:w="9214" w:type="dxa"/>
            <w:gridSpan w:val="6"/>
            <w:noWrap/>
          </w:tcPr>
          <w:p w14:paraId="245F2186">
            <w:pPr>
              <w:tabs>
                <w:tab w:val="left" w:pos="4905"/>
              </w:tabs>
              <w:spacing w:line="400" w:lineRule="exact"/>
              <w:jc w:val="left"/>
              <w:rPr>
                <w:rFonts w:ascii="宋体" w:hAnsi="宋体" w:cs="宋体"/>
                <w:b/>
                <w:color w:val="auto"/>
                <w:sz w:val="24"/>
              </w:rPr>
            </w:pPr>
            <w:r>
              <w:rPr>
                <w:rFonts w:hint="eastAsia"/>
                <w:color w:val="auto"/>
                <w:sz w:val="24"/>
                <w:highlight w:val="none"/>
              </w:rPr>
              <w:t>投标报价统一为人民币计价，</w:t>
            </w:r>
            <w:r>
              <w:rPr>
                <w:rFonts w:hint="eastAsia" w:ascii="宋体" w:eastAsia="宋体"/>
                <w:color w:val="auto"/>
                <w:sz w:val="24"/>
                <w:highlight w:val="none"/>
              </w:rPr>
              <w:t>包括</w:t>
            </w:r>
            <w:r>
              <w:rPr>
                <w:rFonts w:hint="eastAsia" w:ascii="宋体" w:eastAsia="宋体"/>
                <w:color w:val="auto"/>
                <w:sz w:val="24"/>
                <w:highlight w:val="none"/>
                <w:lang w:val="en-US" w:eastAsia="zh-CN"/>
              </w:rPr>
              <w:t>但不限于</w:t>
            </w:r>
            <w:r>
              <w:rPr>
                <w:rFonts w:hint="eastAsia" w:ascii="宋体" w:eastAsia="宋体"/>
                <w:color w:val="auto"/>
                <w:sz w:val="24"/>
                <w:highlight w:val="none"/>
              </w:rPr>
              <w:t>所有</w:t>
            </w:r>
            <w:r>
              <w:rPr>
                <w:rFonts w:hint="eastAsia" w:ascii="宋体" w:eastAsia="宋体"/>
                <w:color w:val="auto"/>
                <w:sz w:val="24"/>
                <w:highlight w:val="none"/>
                <w:lang w:val="en-US" w:eastAsia="zh-CN"/>
              </w:rPr>
              <w:t>材料</w:t>
            </w:r>
            <w:r>
              <w:rPr>
                <w:rFonts w:hint="eastAsia" w:ascii="宋体" w:eastAsia="宋体"/>
                <w:color w:val="auto"/>
                <w:sz w:val="24"/>
                <w:highlight w:val="none"/>
              </w:rPr>
              <w:t>、备品备件、包装费、运输费、装卸费、安装费、安装所用的辅料费、验收、现场可能发生的二次搬运费、</w:t>
            </w:r>
            <w:r>
              <w:rPr>
                <w:rFonts w:hint="eastAsia" w:ascii="宋体" w:eastAsia="宋体"/>
                <w:color w:val="auto"/>
                <w:sz w:val="24"/>
                <w:highlight w:val="none"/>
                <w:lang w:val="en-US" w:eastAsia="zh-CN"/>
              </w:rPr>
              <w:t>垃圾清运费、</w:t>
            </w:r>
            <w:r>
              <w:rPr>
                <w:rFonts w:hint="eastAsia" w:ascii="宋体" w:eastAsia="宋体"/>
                <w:color w:val="auto"/>
                <w:sz w:val="24"/>
                <w:highlight w:val="none"/>
              </w:rPr>
              <w:t>成品保护费、利润、保险、税金、售后服务</w:t>
            </w:r>
            <w:r>
              <w:rPr>
                <w:rFonts w:hint="eastAsia" w:ascii="宋体" w:eastAsia="宋体"/>
                <w:color w:val="auto"/>
                <w:sz w:val="24"/>
                <w:highlight w:val="none"/>
                <w:lang w:eastAsia="zh-CN"/>
              </w:rPr>
              <w:t>、</w:t>
            </w:r>
            <w:r>
              <w:rPr>
                <w:rFonts w:hint="eastAsia" w:ascii="宋体" w:eastAsia="宋体"/>
                <w:color w:val="auto"/>
                <w:sz w:val="24"/>
                <w:highlight w:val="none"/>
                <w:lang w:val="en-US" w:eastAsia="zh-CN"/>
              </w:rPr>
              <w:t>招标代理费</w:t>
            </w:r>
            <w:r>
              <w:rPr>
                <w:rFonts w:hint="eastAsia" w:ascii="宋体" w:eastAsia="宋体"/>
                <w:color w:val="auto"/>
                <w:sz w:val="24"/>
                <w:highlight w:val="none"/>
                <w:lang w:eastAsia="zh-CN"/>
              </w:rPr>
              <w:t>，</w:t>
            </w:r>
            <w:r>
              <w:rPr>
                <w:rFonts w:hint="eastAsia" w:ascii="宋体" w:eastAsia="宋体"/>
                <w:color w:val="auto"/>
                <w:sz w:val="24"/>
                <w:highlight w:val="none"/>
              </w:rPr>
              <w:t>以及其他不可预见的所有费用，如有漏报，视同已包含在其投标报价中。单价固定，按实</w:t>
            </w:r>
            <w:r>
              <w:rPr>
                <w:rFonts w:hint="eastAsia" w:ascii="宋体" w:eastAsia="宋体"/>
                <w:color w:val="auto"/>
                <w:sz w:val="24"/>
                <w:highlight w:val="none"/>
                <w:lang w:val="en-US" w:eastAsia="zh-CN"/>
              </w:rPr>
              <w:t>结算</w:t>
            </w:r>
            <w:r>
              <w:rPr>
                <w:rFonts w:hint="eastAsia" w:ascii="宋体" w:eastAsia="宋体"/>
                <w:color w:val="auto"/>
                <w:sz w:val="24"/>
                <w:highlight w:val="none"/>
              </w:rPr>
              <w:t>。如投标人在编写投标方案时应充分</w:t>
            </w:r>
            <w:r>
              <w:rPr>
                <w:rFonts w:hint="eastAsia"/>
                <w:color w:val="auto"/>
                <w:sz w:val="24"/>
                <w:highlight w:val="none"/>
              </w:rPr>
              <w:t>考虑各种风险因素，凡投标人漏项、漏报均认为已包含在报价中，结算时不再增加。</w:t>
            </w:r>
          </w:p>
        </w:tc>
      </w:tr>
    </w:tbl>
    <w:p w14:paraId="2543246D">
      <w:pPr>
        <w:pStyle w:val="15"/>
        <w:spacing w:line="360" w:lineRule="auto"/>
        <w:rPr>
          <w:rFonts w:hAnsi="宋体" w:cs="宋体"/>
          <w:color w:val="auto"/>
          <w:sz w:val="24"/>
        </w:rPr>
      </w:pPr>
    </w:p>
    <w:p w14:paraId="7C2B6143">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14:paraId="6FC8990F">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日 期：</w:t>
      </w:r>
    </w:p>
    <w:p w14:paraId="680AA21F">
      <w:pPr>
        <w:spacing w:line="360" w:lineRule="auto"/>
        <w:ind w:left="3780" w:leftChars="1800" w:firstLine="480" w:firstLineChars="200"/>
        <w:rPr>
          <w:color w:val="auto"/>
          <w:sz w:val="36"/>
        </w:rPr>
      </w:pPr>
      <w:r>
        <w:rPr>
          <w:rFonts w:hint="eastAsia" w:ascii="宋体" w:hAnsi="宋体" w:cs="宋体"/>
          <w:color w:val="auto"/>
          <w:sz w:val="24"/>
        </w:rPr>
        <w:t>投标人全称（公章）：</w:t>
      </w: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D7593">
    <w:pPr>
      <w:pStyle w:val="19"/>
      <w:framePr w:wrap="around" w:vAnchor="text" w:hAnchor="margin" w:xAlign="right" w:y="1"/>
      <w:rPr>
        <w:rStyle w:val="32"/>
      </w:rPr>
    </w:pPr>
  </w:p>
  <w:p w14:paraId="159B7B16">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D8326">
    <w:pPr>
      <w:pStyle w:val="19"/>
      <w:framePr w:wrap="around" w:vAnchor="text" w:hAnchor="margin" w:xAlign="right" w:y="1"/>
      <w:rPr>
        <w:rStyle w:val="32"/>
      </w:rPr>
    </w:pPr>
  </w:p>
  <w:p w14:paraId="252C293C">
    <w:pPr>
      <w:pStyle w:val="19"/>
      <w:ind w:right="360"/>
      <w:jc w:val="center"/>
    </w:pPr>
    <w:r>
      <w:fldChar w:fldCharType="begin"/>
    </w:r>
    <w:r>
      <w:rPr>
        <w:rStyle w:val="32"/>
      </w:rPr>
      <w:instrText xml:space="preserve"> PAGE </w:instrText>
    </w:r>
    <w:r>
      <w:fldChar w:fldCharType="separate"/>
    </w:r>
    <w:r>
      <w:rPr>
        <w:rStyle w:val="32"/>
      </w:rPr>
      <w:t>12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1C8FE">
    <w:pPr>
      <w:pStyle w:val="20"/>
      <w:pBdr>
        <w:bottom w:val="none" w:color="auto" w:sz="0" w:space="1"/>
      </w:pBdr>
      <w:ind w:left="1080" w:hanging="1080" w:hangingChars="600"/>
      <w:jc w:val="both"/>
      <w:rPr>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FA140">
    <w:pPr>
      <w:pStyle w:val="20"/>
      <w:pBdr>
        <w:bottom w:val="none" w:color="auto" w:sz="0" w:space="1"/>
      </w:pBdr>
      <w:ind w:left="1080" w:hanging="1080" w:hangingChars="600"/>
      <w:jc w:val="both"/>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173AF"/>
    <w:multiLevelType w:val="singleLevel"/>
    <w:tmpl w:val="84B173AF"/>
    <w:lvl w:ilvl="0" w:tentative="0">
      <w:start w:val="1"/>
      <w:numFmt w:val="decimal"/>
      <w:suff w:val="nothing"/>
      <w:lvlText w:val="%1．"/>
      <w:lvlJc w:val="left"/>
      <w:pPr>
        <w:ind w:left="0" w:firstLine="40"/>
      </w:pPr>
      <w:rPr>
        <w:rFonts w:hint="default"/>
      </w:rPr>
    </w:lvl>
  </w:abstractNum>
  <w:abstractNum w:abstractNumId="1">
    <w:nsid w:val="8CA00E09"/>
    <w:multiLevelType w:val="singleLevel"/>
    <w:tmpl w:val="8CA00E09"/>
    <w:lvl w:ilvl="0" w:tentative="0">
      <w:start w:val="1"/>
      <w:numFmt w:val="decimalEnclosedCircleChinese"/>
      <w:suff w:val="nothing"/>
      <w:lvlText w:val="%1　"/>
      <w:lvlJc w:val="left"/>
      <w:pPr>
        <w:ind w:left="0" w:firstLine="1134"/>
      </w:pPr>
      <w:rPr>
        <w:rFonts w:hint="eastAsia"/>
      </w:rPr>
    </w:lvl>
  </w:abstractNum>
  <w:abstractNum w:abstractNumId="2">
    <w:nsid w:val="9577F733"/>
    <w:multiLevelType w:val="singleLevel"/>
    <w:tmpl w:val="9577F733"/>
    <w:lvl w:ilvl="0" w:tentative="0">
      <w:start w:val="1"/>
      <w:numFmt w:val="decimal"/>
      <w:suff w:val="nothing"/>
      <w:lvlText w:val="10.%1 "/>
      <w:lvlJc w:val="left"/>
      <w:pPr>
        <w:tabs>
          <w:tab w:val="left" w:pos="0"/>
        </w:tabs>
        <w:ind w:left="0" w:firstLine="40"/>
      </w:pPr>
      <w:rPr>
        <w:rFonts w:hint="default" w:ascii="宋体" w:hAnsi="宋体" w:eastAsia="宋体" w:cs="宋体"/>
      </w:rPr>
    </w:lvl>
  </w:abstractNum>
  <w:abstractNum w:abstractNumId="3">
    <w:nsid w:val="960C84E7"/>
    <w:multiLevelType w:val="singleLevel"/>
    <w:tmpl w:val="960C84E7"/>
    <w:lvl w:ilvl="0" w:tentative="0">
      <w:start w:val="1"/>
      <w:numFmt w:val="decimal"/>
      <w:suff w:val="nothing"/>
      <w:lvlText w:val="14.%1 "/>
      <w:lvlJc w:val="left"/>
      <w:pPr>
        <w:tabs>
          <w:tab w:val="left" w:pos="0"/>
        </w:tabs>
        <w:ind w:left="0" w:firstLine="40"/>
      </w:pPr>
      <w:rPr>
        <w:rFonts w:hint="default" w:ascii="宋体" w:hAnsi="宋体" w:eastAsia="宋体" w:cs="宋体"/>
      </w:rPr>
    </w:lvl>
  </w:abstractNum>
  <w:abstractNum w:abstractNumId="4">
    <w:nsid w:val="A51B0742"/>
    <w:multiLevelType w:val="singleLevel"/>
    <w:tmpl w:val="A51B0742"/>
    <w:lvl w:ilvl="0" w:tentative="0">
      <w:start w:val="1"/>
      <w:numFmt w:val="decimalEnclosedCircleChinese"/>
      <w:suff w:val="nothing"/>
      <w:lvlText w:val="%1　"/>
      <w:lvlJc w:val="left"/>
      <w:pPr>
        <w:ind w:left="0" w:firstLine="1134"/>
      </w:pPr>
      <w:rPr>
        <w:rFonts w:hint="eastAsia"/>
      </w:rPr>
    </w:lvl>
  </w:abstractNum>
  <w:abstractNum w:abstractNumId="5">
    <w:nsid w:val="A623EEB2"/>
    <w:multiLevelType w:val="singleLevel"/>
    <w:tmpl w:val="A623EEB2"/>
    <w:lvl w:ilvl="0" w:tentative="0">
      <w:start w:val="1"/>
      <w:numFmt w:val="decimal"/>
      <w:suff w:val="nothing"/>
      <w:lvlText w:val="4.%1 "/>
      <w:lvlJc w:val="left"/>
      <w:pPr>
        <w:tabs>
          <w:tab w:val="left" w:pos="0"/>
        </w:tabs>
        <w:ind w:left="0" w:firstLine="40"/>
      </w:pPr>
      <w:rPr>
        <w:rFonts w:hint="default" w:ascii="宋体" w:hAnsi="宋体" w:eastAsia="宋体" w:cs="宋体"/>
      </w:rPr>
    </w:lvl>
  </w:abstractNum>
  <w:abstractNum w:abstractNumId="6">
    <w:nsid w:val="A72EA4B4"/>
    <w:multiLevelType w:val="singleLevel"/>
    <w:tmpl w:val="A72EA4B4"/>
    <w:lvl w:ilvl="0" w:tentative="0">
      <w:start w:val="1"/>
      <w:numFmt w:val="decimalEnclosedCircleChinese"/>
      <w:suff w:val="nothing"/>
      <w:lvlText w:val="%1　"/>
      <w:lvlJc w:val="left"/>
      <w:pPr>
        <w:ind w:left="0" w:firstLine="400"/>
      </w:pPr>
      <w:rPr>
        <w:rFonts w:hint="eastAsia"/>
      </w:rPr>
    </w:lvl>
  </w:abstractNum>
  <w:abstractNum w:abstractNumId="7">
    <w:nsid w:val="B5C23970"/>
    <w:multiLevelType w:val="multilevel"/>
    <w:tmpl w:val="B5C23970"/>
    <w:lvl w:ilvl="0" w:tentative="0">
      <w:start w:val="1"/>
      <w:numFmt w:val="decimal"/>
      <w:suff w:val="nothing"/>
      <w:lvlText w:val="%1、"/>
      <w:lvlJc w:val="left"/>
      <w:pPr>
        <w:ind w:left="0" w:firstLine="0"/>
      </w:pPr>
      <w:rPr>
        <w:rFonts w:hint="default"/>
      </w:rPr>
    </w:lvl>
    <w:lvl w:ilvl="1" w:tentative="0">
      <w:start w:val="1"/>
      <w:numFmt w:val="decimal"/>
      <w:suff w:val="nothing"/>
      <w:lvlText w:val="%1.%2、"/>
      <w:lvlJc w:val="left"/>
      <w:pPr>
        <w:ind w:left="0" w:firstLine="0"/>
      </w:pPr>
      <w:rPr>
        <w:rFonts w:hint="default"/>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abstractNum w:abstractNumId="8">
    <w:nsid w:val="C0C2BCF5"/>
    <w:multiLevelType w:val="singleLevel"/>
    <w:tmpl w:val="C0C2BCF5"/>
    <w:lvl w:ilvl="0" w:tentative="0">
      <w:start w:val="1"/>
      <w:numFmt w:val="decimal"/>
      <w:suff w:val="nothing"/>
      <w:lvlText w:val="%1、"/>
      <w:lvlJc w:val="left"/>
    </w:lvl>
  </w:abstractNum>
  <w:abstractNum w:abstractNumId="9">
    <w:nsid w:val="C65771D8"/>
    <w:multiLevelType w:val="singleLevel"/>
    <w:tmpl w:val="C65771D8"/>
    <w:lvl w:ilvl="0" w:tentative="0">
      <w:start w:val="1"/>
      <w:numFmt w:val="decimal"/>
      <w:suff w:val="nothing"/>
      <w:lvlText w:val="19.%1 "/>
      <w:lvlJc w:val="left"/>
      <w:pPr>
        <w:tabs>
          <w:tab w:val="left" w:pos="0"/>
        </w:tabs>
        <w:ind w:left="0" w:firstLine="40"/>
      </w:pPr>
      <w:rPr>
        <w:rFonts w:hint="default" w:ascii="宋体" w:hAnsi="宋体" w:eastAsia="宋体" w:cs="宋体"/>
      </w:rPr>
    </w:lvl>
  </w:abstractNum>
  <w:abstractNum w:abstractNumId="10">
    <w:nsid w:val="C88B87FA"/>
    <w:multiLevelType w:val="singleLevel"/>
    <w:tmpl w:val="C88B87FA"/>
    <w:lvl w:ilvl="0" w:tentative="0">
      <w:start w:val="1"/>
      <w:numFmt w:val="decimal"/>
      <w:suff w:val="nothing"/>
      <w:lvlText w:val="22.%1 "/>
      <w:lvlJc w:val="left"/>
      <w:pPr>
        <w:tabs>
          <w:tab w:val="left" w:pos="0"/>
        </w:tabs>
        <w:ind w:left="0" w:firstLine="40"/>
      </w:pPr>
      <w:rPr>
        <w:rFonts w:hint="default" w:ascii="宋体" w:hAnsi="宋体" w:eastAsia="宋体" w:cs="宋体"/>
      </w:rPr>
    </w:lvl>
  </w:abstractNum>
  <w:abstractNum w:abstractNumId="11">
    <w:nsid w:val="CA005832"/>
    <w:multiLevelType w:val="singleLevel"/>
    <w:tmpl w:val="CA005832"/>
    <w:lvl w:ilvl="0" w:tentative="0">
      <w:start w:val="1"/>
      <w:numFmt w:val="decimal"/>
      <w:suff w:val="nothing"/>
      <w:lvlText w:val="6.%1 "/>
      <w:lvlJc w:val="left"/>
      <w:pPr>
        <w:tabs>
          <w:tab w:val="left" w:pos="0"/>
        </w:tabs>
        <w:ind w:left="0" w:firstLine="40"/>
      </w:pPr>
      <w:rPr>
        <w:rFonts w:hint="default" w:ascii="宋体" w:hAnsi="宋体" w:eastAsia="宋体" w:cs="宋体"/>
      </w:rPr>
    </w:lvl>
  </w:abstractNum>
  <w:abstractNum w:abstractNumId="12">
    <w:nsid w:val="D5C663A9"/>
    <w:multiLevelType w:val="singleLevel"/>
    <w:tmpl w:val="D5C663A9"/>
    <w:lvl w:ilvl="0" w:tentative="0">
      <w:start w:val="1"/>
      <w:numFmt w:val="decimalEnclosedCircleChinese"/>
      <w:suff w:val="nothing"/>
      <w:lvlText w:val="%1　"/>
      <w:lvlJc w:val="left"/>
      <w:pPr>
        <w:ind w:left="0" w:firstLine="1134"/>
      </w:pPr>
      <w:rPr>
        <w:rFonts w:hint="eastAsia"/>
      </w:rPr>
    </w:lvl>
  </w:abstractNum>
  <w:abstractNum w:abstractNumId="13">
    <w:nsid w:val="DE8EBEF4"/>
    <w:multiLevelType w:val="singleLevel"/>
    <w:tmpl w:val="DE8EBEF4"/>
    <w:lvl w:ilvl="0" w:tentative="0">
      <w:start w:val="1"/>
      <w:numFmt w:val="decimal"/>
      <w:suff w:val="nothing"/>
      <w:lvlText w:val="25.%1 "/>
      <w:lvlJc w:val="left"/>
      <w:pPr>
        <w:tabs>
          <w:tab w:val="left" w:pos="0"/>
        </w:tabs>
        <w:ind w:left="0" w:firstLine="40"/>
      </w:pPr>
      <w:rPr>
        <w:rFonts w:hint="default" w:ascii="宋体" w:hAnsi="宋体" w:eastAsia="宋体" w:cs="宋体"/>
      </w:rPr>
    </w:lvl>
  </w:abstractNum>
  <w:abstractNum w:abstractNumId="14">
    <w:nsid w:val="E3D28C86"/>
    <w:multiLevelType w:val="singleLevel"/>
    <w:tmpl w:val="E3D28C86"/>
    <w:lvl w:ilvl="0" w:tentative="0">
      <w:start w:val="1"/>
      <w:numFmt w:val="decimal"/>
      <w:suff w:val="nothing"/>
      <w:lvlText w:val="18.%1 "/>
      <w:lvlJc w:val="left"/>
      <w:pPr>
        <w:tabs>
          <w:tab w:val="left" w:pos="0"/>
        </w:tabs>
        <w:ind w:left="0" w:firstLine="40"/>
      </w:pPr>
      <w:rPr>
        <w:rFonts w:hint="default" w:ascii="宋体" w:hAnsi="宋体" w:eastAsia="宋体" w:cs="宋体"/>
      </w:rPr>
    </w:lvl>
  </w:abstractNum>
  <w:abstractNum w:abstractNumId="15">
    <w:nsid w:val="EDC34A36"/>
    <w:multiLevelType w:val="singleLevel"/>
    <w:tmpl w:val="EDC34A36"/>
    <w:lvl w:ilvl="0" w:tentative="0">
      <w:start w:val="1"/>
      <w:numFmt w:val="decimal"/>
      <w:suff w:val="nothing"/>
      <w:lvlText w:val="12.%1 "/>
      <w:lvlJc w:val="left"/>
      <w:pPr>
        <w:tabs>
          <w:tab w:val="left" w:pos="0"/>
        </w:tabs>
        <w:ind w:left="0" w:firstLine="40"/>
      </w:pPr>
      <w:rPr>
        <w:rFonts w:hint="default" w:ascii="宋体" w:hAnsi="宋体" w:eastAsia="宋体" w:cs="宋体"/>
      </w:rPr>
    </w:lvl>
  </w:abstractNum>
  <w:abstractNum w:abstractNumId="16">
    <w:nsid w:val="00000010"/>
    <w:multiLevelType w:val="multilevel"/>
    <w:tmpl w:val="00000010"/>
    <w:lvl w:ilvl="0" w:tentative="0">
      <w:start w:val="1"/>
      <w:numFmt w:val="japaneseCounting"/>
      <w:lvlText w:val="%1、"/>
      <w:lvlJc w:val="left"/>
      <w:pPr>
        <w:tabs>
          <w:tab w:val="left" w:pos="1202"/>
        </w:tabs>
        <w:ind w:left="1202" w:hanging="720"/>
      </w:pPr>
      <w:rPr>
        <w:rFonts w:hint="default"/>
      </w:rPr>
    </w:lvl>
    <w:lvl w:ilvl="1" w:tentative="0">
      <w:start w:val="1"/>
      <w:numFmt w:val="decimal"/>
      <w:lvlText w:val="（%2）"/>
      <w:lvlJc w:val="left"/>
      <w:pPr>
        <w:tabs>
          <w:tab w:val="left" w:pos="1622"/>
        </w:tabs>
        <w:ind w:left="1622" w:hanging="720"/>
      </w:pPr>
      <w:rPr>
        <w:rFonts w:hint="default"/>
      </w:r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17">
    <w:nsid w:val="0486B618"/>
    <w:multiLevelType w:val="singleLevel"/>
    <w:tmpl w:val="0486B618"/>
    <w:lvl w:ilvl="0" w:tentative="0">
      <w:start w:val="1"/>
      <w:numFmt w:val="decimalEnclosedCircleChinese"/>
      <w:suff w:val="nothing"/>
      <w:lvlText w:val="%1　"/>
      <w:lvlJc w:val="left"/>
      <w:pPr>
        <w:ind w:left="0" w:firstLine="1134"/>
      </w:pPr>
      <w:rPr>
        <w:rFonts w:hint="eastAsia"/>
      </w:rPr>
    </w:lvl>
  </w:abstractNum>
  <w:abstractNum w:abstractNumId="18">
    <w:nsid w:val="139B6DF6"/>
    <w:multiLevelType w:val="singleLevel"/>
    <w:tmpl w:val="139B6DF6"/>
    <w:lvl w:ilvl="0" w:tentative="0">
      <w:start w:val="1"/>
      <w:numFmt w:val="decimal"/>
      <w:suff w:val="nothing"/>
      <w:lvlText w:val="9.%1 "/>
      <w:lvlJc w:val="left"/>
      <w:pPr>
        <w:tabs>
          <w:tab w:val="left" w:pos="0"/>
        </w:tabs>
        <w:ind w:left="0" w:firstLine="40"/>
      </w:pPr>
      <w:rPr>
        <w:rFonts w:hint="default" w:ascii="宋体" w:hAnsi="宋体" w:eastAsia="宋体" w:cs="宋体"/>
      </w:rPr>
    </w:lvl>
  </w:abstractNum>
  <w:abstractNum w:abstractNumId="19">
    <w:nsid w:val="1DBCF645"/>
    <w:multiLevelType w:val="singleLevel"/>
    <w:tmpl w:val="1DBCF645"/>
    <w:lvl w:ilvl="0" w:tentative="0">
      <w:start w:val="1"/>
      <w:numFmt w:val="decimalEnclosedCircleChinese"/>
      <w:suff w:val="nothing"/>
      <w:lvlText w:val="%1　"/>
      <w:lvlJc w:val="left"/>
      <w:pPr>
        <w:ind w:left="0" w:firstLine="397"/>
      </w:pPr>
      <w:rPr>
        <w:rFonts w:hint="eastAsia"/>
      </w:rPr>
    </w:lvl>
  </w:abstractNum>
  <w:abstractNum w:abstractNumId="20">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21">
    <w:nsid w:val="22CAA529"/>
    <w:multiLevelType w:val="singleLevel"/>
    <w:tmpl w:val="22CAA529"/>
    <w:lvl w:ilvl="0" w:tentative="0">
      <w:start w:val="1"/>
      <w:numFmt w:val="decimal"/>
      <w:suff w:val="nothing"/>
      <w:lvlText w:val="16.%1 "/>
      <w:lvlJc w:val="left"/>
      <w:pPr>
        <w:ind w:left="0" w:firstLine="1134"/>
      </w:pPr>
      <w:rPr>
        <w:rFonts w:hint="default"/>
      </w:rPr>
    </w:lvl>
  </w:abstractNum>
  <w:abstractNum w:abstractNumId="22">
    <w:nsid w:val="25F33ADD"/>
    <w:multiLevelType w:val="singleLevel"/>
    <w:tmpl w:val="25F33ADD"/>
    <w:lvl w:ilvl="0" w:tentative="0">
      <w:start w:val="1"/>
      <w:numFmt w:val="decimalEnclosedCircleChinese"/>
      <w:suff w:val="nothing"/>
      <w:lvlText w:val="%1　"/>
      <w:lvlJc w:val="left"/>
      <w:pPr>
        <w:ind w:left="0" w:firstLine="1134"/>
      </w:pPr>
      <w:rPr>
        <w:rFonts w:hint="eastAsia"/>
      </w:rPr>
    </w:lvl>
  </w:abstractNum>
  <w:abstractNum w:abstractNumId="23">
    <w:nsid w:val="27029FB5"/>
    <w:multiLevelType w:val="singleLevel"/>
    <w:tmpl w:val="27029FB5"/>
    <w:lvl w:ilvl="0" w:tentative="0">
      <w:start w:val="1"/>
      <w:numFmt w:val="decimal"/>
      <w:suff w:val="nothing"/>
      <w:lvlText w:val="11.%1 "/>
      <w:lvlJc w:val="left"/>
      <w:pPr>
        <w:tabs>
          <w:tab w:val="left" w:pos="0"/>
        </w:tabs>
        <w:ind w:left="0" w:firstLine="40"/>
      </w:pPr>
      <w:rPr>
        <w:rFonts w:hint="default" w:ascii="宋体" w:hAnsi="宋体" w:eastAsia="宋体" w:cs="宋体"/>
      </w:rPr>
    </w:lvl>
  </w:abstractNum>
  <w:abstractNum w:abstractNumId="24">
    <w:nsid w:val="272BB4B6"/>
    <w:multiLevelType w:val="singleLevel"/>
    <w:tmpl w:val="272BB4B6"/>
    <w:lvl w:ilvl="0" w:tentative="0">
      <w:start w:val="1"/>
      <w:numFmt w:val="decimal"/>
      <w:suff w:val="nothing"/>
      <w:lvlText w:val="1.%1 "/>
      <w:lvlJc w:val="left"/>
      <w:pPr>
        <w:ind w:left="0" w:firstLine="397"/>
      </w:pPr>
      <w:rPr>
        <w:rFonts w:hint="default"/>
      </w:rPr>
    </w:lvl>
  </w:abstractNum>
  <w:abstractNum w:abstractNumId="25">
    <w:nsid w:val="31FBB5E1"/>
    <w:multiLevelType w:val="singleLevel"/>
    <w:tmpl w:val="31FBB5E1"/>
    <w:lvl w:ilvl="0" w:tentative="0">
      <w:start w:val="1"/>
      <w:numFmt w:val="decimal"/>
      <w:suff w:val="nothing"/>
      <w:lvlText w:val="23.%1 "/>
      <w:lvlJc w:val="left"/>
      <w:pPr>
        <w:tabs>
          <w:tab w:val="left" w:pos="0"/>
        </w:tabs>
        <w:ind w:left="0" w:firstLine="40"/>
      </w:pPr>
      <w:rPr>
        <w:rFonts w:hint="default" w:ascii="宋体" w:hAnsi="宋体" w:eastAsia="宋体" w:cs="宋体"/>
      </w:rPr>
    </w:lvl>
  </w:abstractNum>
  <w:abstractNum w:abstractNumId="26">
    <w:nsid w:val="3543FC97"/>
    <w:multiLevelType w:val="singleLevel"/>
    <w:tmpl w:val="3543FC97"/>
    <w:lvl w:ilvl="0" w:tentative="0">
      <w:start w:val="1"/>
      <w:numFmt w:val="decimal"/>
      <w:suff w:val="nothing"/>
      <w:lvlText w:val="17.%1 "/>
      <w:lvlJc w:val="left"/>
      <w:pPr>
        <w:tabs>
          <w:tab w:val="left" w:pos="0"/>
        </w:tabs>
        <w:ind w:left="0" w:firstLine="40"/>
      </w:pPr>
      <w:rPr>
        <w:rFonts w:hint="default" w:ascii="宋体" w:hAnsi="宋体" w:eastAsia="宋体" w:cs="宋体"/>
      </w:rPr>
    </w:lvl>
  </w:abstractNum>
  <w:abstractNum w:abstractNumId="27">
    <w:nsid w:val="36654BEF"/>
    <w:multiLevelType w:val="singleLevel"/>
    <w:tmpl w:val="36654BEF"/>
    <w:lvl w:ilvl="0" w:tentative="0">
      <w:start w:val="1"/>
      <w:numFmt w:val="decimal"/>
      <w:suff w:val="nothing"/>
      <w:lvlText w:val="（%1）"/>
      <w:lvlJc w:val="left"/>
    </w:lvl>
  </w:abstractNum>
  <w:abstractNum w:abstractNumId="28">
    <w:nsid w:val="3F34804C"/>
    <w:multiLevelType w:val="singleLevel"/>
    <w:tmpl w:val="3F34804C"/>
    <w:lvl w:ilvl="0" w:tentative="0">
      <w:start w:val="1"/>
      <w:numFmt w:val="decimal"/>
      <w:suff w:val="nothing"/>
      <w:lvlText w:val="21.%1 "/>
      <w:lvlJc w:val="left"/>
      <w:pPr>
        <w:tabs>
          <w:tab w:val="left" w:pos="0"/>
        </w:tabs>
        <w:ind w:left="0" w:firstLine="40"/>
      </w:pPr>
      <w:rPr>
        <w:rFonts w:hint="default" w:ascii="宋体" w:hAnsi="宋体" w:eastAsia="宋体" w:cs="宋体"/>
      </w:rPr>
    </w:lvl>
  </w:abstractNum>
  <w:abstractNum w:abstractNumId="29">
    <w:nsid w:val="466C6E1F"/>
    <w:multiLevelType w:val="multilevel"/>
    <w:tmpl w:val="466C6E1F"/>
    <w:lvl w:ilvl="0" w:tentative="0">
      <w:start w:val="1"/>
      <w:numFmt w:val="upperLetter"/>
      <w:pStyle w:val="7"/>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30">
    <w:nsid w:val="474E1A63"/>
    <w:multiLevelType w:val="singleLevel"/>
    <w:tmpl w:val="474E1A63"/>
    <w:lvl w:ilvl="0" w:tentative="0">
      <w:start w:val="1"/>
      <w:numFmt w:val="decimalEnclosedCircleChinese"/>
      <w:suff w:val="nothing"/>
      <w:lvlText w:val="%1　"/>
      <w:lvlJc w:val="left"/>
      <w:pPr>
        <w:ind w:left="0" w:firstLine="1134"/>
      </w:pPr>
      <w:rPr>
        <w:rFonts w:hint="eastAsia"/>
      </w:rPr>
    </w:lvl>
  </w:abstractNum>
  <w:abstractNum w:abstractNumId="31">
    <w:nsid w:val="4CF4E79A"/>
    <w:multiLevelType w:val="singleLevel"/>
    <w:tmpl w:val="4CF4E79A"/>
    <w:lvl w:ilvl="0" w:tentative="0">
      <w:start w:val="1"/>
      <w:numFmt w:val="decimalEnclosedCircleChinese"/>
      <w:suff w:val="nothing"/>
      <w:lvlText w:val="%1　"/>
      <w:lvlJc w:val="left"/>
      <w:pPr>
        <w:ind w:left="0" w:firstLine="400"/>
      </w:pPr>
      <w:rPr>
        <w:rFonts w:hint="eastAsia"/>
      </w:rPr>
    </w:lvl>
  </w:abstractNum>
  <w:abstractNum w:abstractNumId="32">
    <w:nsid w:val="4D4A2151"/>
    <w:multiLevelType w:val="singleLevel"/>
    <w:tmpl w:val="4D4A2151"/>
    <w:lvl w:ilvl="0" w:tentative="0">
      <w:start w:val="1"/>
      <w:numFmt w:val="decimal"/>
      <w:suff w:val="nothing"/>
      <w:lvlText w:val="%1．"/>
      <w:lvlJc w:val="left"/>
      <w:pPr>
        <w:ind w:left="0" w:firstLine="397"/>
      </w:pPr>
      <w:rPr>
        <w:rFonts w:hint="default"/>
      </w:rPr>
    </w:lvl>
  </w:abstractNum>
  <w:abstractNum w:abstractNumId="33">
    <w:nsid w:val="5541E354"/>
    <w:multiLevelType w:val="singleLevel"/>
    <w:tmpl w:val="5541E354"/>
    <w:lvl w:ilvl="0" w:tentative="0">
      <w:start w:val="1"/>
      <w:numFmt w:val="decimal"/>
      <w:suff w:val="nothing"/>
      <w:lvlText w:val="24.17.%1 "/>
      <w:lvlJc w:val="left"/>
      <w:pPr>
        <w:tabs>
          <w:tab w:val="left" w:pos="0"/>
        </w:tabs>
        <w:ind w:left="0" w:firstLine="40"/>
      </w:pPr>
      <w:rPr>
        <w:rFonts w:hint="default" w:ascii="宋体" w:hAnsi="宋体" w:eastAsia="宋体" w:cs="宋体"/>
      </w:rPr>
    </w:lvl>
  </w:abstractNum>
  <w:abstractNum w:abstractNumId="34">
    <w:nsid w:val="56581EFE"/>
    <w:multiLevelType w:val="singleLevel"/>
    <w:tmpl w:val="56581EFE"/>
    <w:lvl w:ilvl="0" w:tentative="0">
      <w:start w:val="1"/>
      <w:numFmt w:val="decimal"/>
      <w:suff w:val="nothing"/>
      <w:lvlText w:val="24.%1 "/>
      <w:lvlJc w:val="left"/>
      <w:pPr>
        <w:ind w:left="0" w:firstLine="397"/>
      </w:pPr>
      <w:rPr>
        <w:rFonts w:hint="default"/>
      </w:rPr>
    </w:lvl>
  </w:abstractNum>
  <w:abstractNum w:abstractNumId="35">
    <w:nsid w:val="62705028"/>
    <w:multiLevelType w:val="singleLevel"/>
    <w:tmpl w:val="62705028"/>
    <w:lvl w:ilvl="0" w:tentative="0">
      <w:start w:val="1"/>
      <w:numFmt w:val="decimalEnclosedCircleChinese"/>
      <w:suff w:val="nothing"/>
      <w:lvlText w:val="%1　"/>
      <w:lvlJc w:val="left"/>
      <w:pPr>
        <w:ind w:left="0" w:firstLine="397"/>
      </w:pPr>
      <w:rPr>
        <w:rFonts w:hint="eastAsia"/>
      </w:rPr>
    </w:lvl>
  </w:abstractNum>
  <w:abstractNum w:abstractNumId="36">
    <w:nsid w:val="6271A596"/>
    <w:multiLevelType w:val="singleLevel"/>
    <w:tmpl w:val="6271A596"/>
    <w:lvl w:ilvl="0" w:tentative="0">
      <w:start w:val="1"/>
      <w:numFmt w:val="decimal"/>
      <w:suff w:val="nothing"/>
      <w:lvlText w:val="5.%1 "/>
      <w:lvlJc w:val="left"/>
      <w:pPr>
        <w:tabs>
          <w:tab w:val="left" w:pos="0"/>
        </w:tabs>
        <w:ind w:left="0" w:firstLine="40"/>
      </w:pPr>
      <w:rPr>
        <w:rFonts w:hint="default" w:ascii="宋体" w:hAnsi="宋体" w:eastAsia="宋体" w:cs="宋体"/>
      </w:rPr>
    </w:lvl>
  </w:abstractNum>
  <w:abstractNum w:abstractNumId="37">
    <w:nsid w:val="63557B35"/>
    <w:multiLevelType w:val="singleLevel"/>
    <w:tmpl w:val="63557B35"/>
    <w:lvl w:ilvl="0" w:tentative="0">
      <w:start w:val="1"/>
      <w:numFmt w:val="upperLetter"/>
      <w:pStyle w:val="8"/>
      <w:lvlText w:val="%1、"/>
      <w:lvlJc w:val="left"/>
      <w:pPr>
        <w:tabs>
          <w:tab w:val="left" w:pos="1035"/>
        </w:tabs>
        <w:ind w:left="1035" w:hanging="420"/>
      </w:pPr>
      <w:rPr>
        <w:rFonts w:hint="eastAsia"/>
      </w:rPr>
    </w:lvl>
  </w:abstractNum>
  <w:abstractNum w:abstractNumId="38">
    <w:nsid w:val="6EF32394"/>
    <w:multiLevelType w:val="singleLevel"/>
    <w:tmpl w:val="6EF32394"/>
    <w:lvl w:ilvl="0" w:tentative="0">
      <w:start w:val="1"/>
      <w:numFmt w:val="decimal"/>
      <w:suff w:val="nothing"/>
      <w:lvlText w:val="7.%1 "/>
      <w:lvlJc w:val="left"/>
      <w:pPr>
        <w:tabs>
          <w:tab w:val="left" w:pos="0"/>
        </w:tabs>
        <w:ind w:left="0" w:firstLine="40"/>
      </w:pPr>
      <w:rPr>
        <w:rFonts w:hint="default" w:ascii="宋体" w:hAnsi="宋体" w:eastAsia="宋体" w:cs="宋体"/>
      </w:rPr>
    </w:lvl>
  </w:abstractNum>
  <w:abstractNum w:abstractNumId="39">
    <w:nsid w:val="6F596645"/>
    <w:multiLevelType w:val="singleLevel"/>
    <w:tmpl w:val="6F596645"/>
    <w:lvl w:ilvl="0" w:tentative="0">
      <w:start w:val="1"/>
      <w:numFmt w:val="decimal"/>
      <w:suff w:val="nothing"/>
      <w:lvlText w:val="27.%1 "/>
      <w:lvlJc w:val="left"/>
      <w:pPr>
        <w:tabs>
          <w:tab w:val="left" w:pos="0"/>
        </w:tabs>
        <w:ind w:left="0" w:firstLine="40"/>
      </w:pPr>
      <w:rPr>
        <w:rFonts w:hint="default" w:ascii="宋体" w:hAnsi="宋体" w:eastAsia="宋体" w:cs="宋体"/>
      </w:rPr>
    </w:lvl>
  </w:abstractNum>
  <w:abstractNum w:abstractNumId="40">
    <w:nsid w:val="71560C82"/>
    <w:multiLevelType w:val="singleLevel"/>
    <w:tmpl w:val="71560C82"/>
    <w:lvl w:ilvl="0" w:tentative="0">
      <w:start w:val="2"/>
      <w:numFmt w:val="decimal"/>
      <w:suff w:val="nothing"/>
      <w:lvlText w:val="%1、"/>
      <w:lvlJc w:val="left"/>
    </w:lvl>
  </w:abstractNum>
  <w:abstractNum w:abstractNumId="41">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29"/>
  </w:num>
  <w:num w:numId="2">
    <w:abstractNumId w:val="37"/>
  </w:num>
  <w:num w:numId="3">
    <w:abstractNumId w:val="8"/>
  </w:num>
  <w:num w:numId="4">
    <w:abstractNumId w:val="32"/>
  </w:num>
  <w:num w:numId="5">
    <w:abstractNumId w:val="19"/>
  </w:num>
  <w:num w:numId="6">
    <w:abstractNumId w:val="41"/>
  </w:num>
  <w:num w:numId="7">
    <w:abstractNumId w:val="20"/>
  </w:num>
  <w:num w:numId="8">
    <w:abstractNumId w:val="35"/>
  </w:num>
  <w:num w:numId="9">
    <w:abstractNumId w:val="40"/>
  </w:num>
  <w:num w:numId="10">
    <w:abstractNumId w:val="27"/>
  </w:num>
  <w:num w:numId="11">
    <w:abstractNumId w:val="7"/>
  </w:num>
  <w:num w:numId="12">
    <w:abstractNumId w:val="0"/>
  </w:num>
  <w:num w:numId="13">
    <w:abstractNumId w:val="24"/>
  </w:num>
  <w:num w:numId="14">
    <w:abstractNumId w:val="4"/>
  </w:num>
  <w:num w:numId="15">
    <w:abstractNumId w:val="5"/>
  </w:num>
  <w:num w:numId="16">
    <w:abstractNumId w:val="17"/>
  </w:num>
  <w:num w:numId="17">
    <w:abstractNumId w:val="36"/>
  </w:num>
  <w:num w:numId="18">
    <w:abstractNumId w:val="11"/>
  </w:num>
  <w:num w:numId="19">
    <w:abstractNumId w:val="38"/>
  </w:num>
  <w:num w:numId="20">
    <w:abstractNumId w:val="18"/>
  </w:num>
  <w:num w:numId="21">
    <w:abstractNumId w:val="30"/>
  </w:num>
  <w:num w:numId="22">
    <w:abstractNumId w:val="6"/>
  </w:num>
  <w:num w:numId="23">
    <w:abstractNumId w:val="12"/>
  </w:num>
  <w:num w:numId="24">
    <w:abstractNumId w:val="2"/>
  </w:num>
  <w:num w:numId="25">
    <w:abstractNumId w:val="23"/>
  </w:num>
  <w:num w:numId="26">
    <w:abstractNumId w:val="15"/>
  </w:num>
  <w:num w:numId="27">
    <w:abstractNumId w:val="3"/>
  </w:num>
  <w:num w:numId="28">
    <w:abstractNumId w:val="21"/>
  </w:num>
  <w:num w:numId="29">
    <w:abstractNumId w:val="26"/>
  </w:num>
  <w:num w:numId="30">
    <w:abstractNumId w:val="14"/>
  </w:num>
  <w:num w:numId="31">
    <w:abstractNumId w:val="9"/>
  </w:num>
  <w:num w:numId="32">
    <w:abstractNumId w:val="28"/>
  </w:num>
  <w:num w:numId="33">
    <w:abstractNumId w:val="10"/>
  </w:num>
  <w:num w:numId="34">
    <w:abstractNumId w:val="25"/>
  </w:num>
  <w:num w:numId="35">
    <w:abstractNumId w:val="34"/>
  </w:num>
  <w:num w:numId="36">
    <w:abstractNumId w:val="33"/>
  </w:num>
  <w:num w:numId="37">
    <w:abstractNumId w:val="13"/>
  </w:num>
  <w:num w:numId="38">
    <w:abstractNumId w:val="22"/>
  </w:num>
  <w:num w:numId="39">
    <w:abstractNumId w:val="39"/>
  </w:num>
  <w:num w:numId="40">
    <w:abstractNumId w:val="1"/>
  </w:num>
  <w:num w:numId="41">
    <w:abstractNumId w:val="16"/>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MGViMjhjYjIyYzAwMmNjZTY4N2EyNTAyOWNkMmYifQ=="/>
  </w:docVars>
  <w:rsids>
    <w:rsidRoot w:val="004B0811"/>
    <w:rsid w:val="00001DA3"/>
    <w:rsid w:val="00002C78"/>
    <w:rsid w:val="00006818"/>
    <w:rsid w:val="000075DA"/>
    <w:rsid w:val="000077D0"/>
    <w:rsid w:val="000148D6"/>
    <w:rsid w:val="00015D59"/>
    <w:rsid w:val="00017390"/>
    <w:rsid w:val="00017802"/>
    <w:rsid w:val="00020033"/>
    <w:rsid w:val="000213B6"/>
    <w:rsid w:val="00022184"/>
    <w:rsid w:val="00024B66"/>
    <w:rsid w:val="00027239"/>
    <w:rsid w:val="000328AC"/>
    <w:rsid w:val="00045CF2"/>
    <w:rsid w:val="000464E5"/>
    <w:rsid w:val="0004792A"/>
    <w:rsid w:val="0004794A"/>
    <w:rsid w:val="00050858"/>
    <w:rsid w:val="000510A3"/>
    <w:rsid w:val="00052D30"/>
    <w:rsid w:val="00053264"/>
    <w:rsid w:val="00053594"/>
    <w:rsid w:val="000536AD"/>
    <w:rsid w:val="00055F1C"/>
    <w:rsid w:val="00056840"/>
    <w:rsid w:val="000575B8"/>
    <w:rsid w:val="000611ED"/>
    <w:rsid w:val="00063E4F"/>
    <w:rsid w:val="00067276"/>
    <w:rsid w:val="00070161"/>
    <w:rsid w:val="000708A0"/>
    <w:rsid w:val="00070FE2"/>
    <w:rsid w:val="00071029"/>
    <w:rsid w:val="00071C5B"/>
    <w:rsid w:val="00074863"/>
    <w:rsid w:val="00076F53"/>
    <w:rsid w:val="000912C7"/>
    <w:rsid w:val="0009279F"/>
    <w:rsid w:val="0009767A"/>
    <w:rsid w:val="00097953"/>
    <w:rsid w:val="000A241D"/>
    <w:rsid w:val="000A5490"/>
    <w:rsid w:val="000A7E1B"/>
    <w:rsid w:val="000B0DE4"/>
    <w:rsid w:val="000B1CDD"/>
    <w:rsid w:val="000B3611"/>
    <w:rsid w:val="000B4627"/>
    <w:rsid w:val="000B5F6E"/>
    <w:rsid w:val="000C2631"/>
    <w:rsid w:val="000C2AC6"/>
    <w:rsid w:val="000C663A"/>
    <w:rsid w:val="000C6E71"/>
    <w:rsid w:val="000D05CC"/>
    <w:rsid w:val="000D263B"/>
    <w:rsid w:val="000D2BAD"/>
    <w:rsid w:val="000D3604"/>
    <w:rsid w:val="000D3E6D"/>
    <w:rsid w:val="000D4E3C"/>
    <w:rsid w:val="000D504A"/>
    <w:rsid w:val="000E136C"/>
    <w:rsid w:val="000E1A92"/>
    <w:rsid w:val="000E1D06"/>
    <w:rsid w:val="000E21F5"/>
    <w:rsid w:val="000E38B1"/>
    <w:rsid w:val="000E4664"/>
    <w:rsid w:val="000E4978"/>
    <w:rsid w:val="000E526A"/>
    <w:rsid w:val="000E5496"/>
    <w:rsid w:val="000E57E4"/>
    <w:rsid w:val="000E730F"/>
    <w:rsid w:val="000F02FC"/>
    <w:rsid w:val="000F1FF4"/>
    <w:rsid w:val="000F45D5"/>
    <w:rsid w:val="000F50EA"/>
    <w:rsid w:val="000F5F2A"/>
    <w:rsid w:val="000F7138"/>
    <w:rsid w:val="000F7272"/>
    <w:rsid w:val="000F7D1F"/>
    <w:rsid w:val="00102B8C"/>
    <w:rsid w:val="001049C2"/>
    <w:rsid w:val="0010598A"/>
    <w:rsid w:val="00106DAD"/>
    <w:rsid w:val="00107709"/>
    <w:rsid w:val="00116DAA"/>
    <w:rsid w:val="00117717"/>
    <w:rsid w:val="001207CD"/>
    <w:rsid w:val="00120FD6"/>
    <w:rsid w:val="0012256C"/>
    <w:rsid w:val="001239D4"/>
    <w:rsid w:val="001306A4"/>
    <w:rsid w:val="00130B31"/>
    <w:rsid w:val="00131F44"/>
    <w:rsid w:val="00132490"/>
    <w:rsid w:val="001330B0"/>
    <w:rsid w:val="001346A9"/>
    <w:rsid w:val="00136306"/>
    <w:rsid w:val="00141DA5"/>
    <w:rsid w:val="00145D2A"/>
    <w:rsid w:val="00145DEA"/>
    <w:rsid w:val="001468A0"/>
    <w:rsid w:val="00154F16"/>
    <w:rsid w:val="00157B09"/>
    <w:rsid w:val="00164064"/>
    <w:rsid w:val="00167BCB"/>
    <w:rsid w:val="0017220F"/>
    <w:rsid w:val="0017302D"/>
    <w:rsid w:val="00175A80"/>
    <w:rsid w:val="00181AB5"/>
    <w:rsid w:val="001840F0"/>
    <w:rsid w:val="0018546D"/>
    <w:rsid w:val="00185753"/>
    <w:rsid w:val="00186A09"/>
    <w:rsid w:val="00187DD3"/>
    <w:rsid w:val="00191FD8"/>
    <w:rsid w:val="001940F2"/>
    <w:rsid w:val="00194D4C"/>
    <w:rsid w:val="0019559D"/>
    <w:rsid w:val="00196875"/>
    <w:rsid w:val="001A09BA"/>
    <w:rsid w:val="001A1935"/>
    <w:rsid w:val="001A493D"/>
    <w:rsid w:val="001A5F98"/>
    <w:rsid w:val="001B260D"/>
    <w:rsid w:val="001B2755"/>
    <w:rsid w:val="001B4867"/>
    <w:rsid w:val="001B6049"/>
    <w:rsid w:val="001B71A5"/>
    <w:rsid w:val="001B7285"/>
    <w:rsid w:val="001C22F6"/>
    <w:rsid w:val="001C26B1"/>
    <w:rsid w:val="001C462F"/>
    <w:rsid w:val="001C48E8"/>
    <w:rsid w:val="001C53F8"/>
    <w:rsid w:val="001C6443"/>
    <w:rsid w:val="001C770C"/>
    <w:rsid w:val="001D0151"/>
    <w:rsid w:val="001D0B98"/>
    <w:rsid w:val="001D3140"/>
    <w:rsid w:val="001D4310"/>
    <w:rsid w:val="001E32A6"/>
    <w:rsid w:val="001E48F2"/>
    <w:rsid w:val="001E65BA"/>
    <w:rsid w:val="001E7840"/>
    <w:rsid w:val="001F0C21"/>
    <w:rsid w:val="001F1453"/>
    <w:rsid w:val="001F201E"/>
    <w:rsid w:val="001F4C6E"/>
    <w:rsid w:val="001F596D"/>
    <w:rsid w:val="001F5E72"/>
    <w:rsid w:val="001F63FD"/>
    <w:rsid w:val="00201ADE"/>
    <w:rsid w:val="00204834"/>
    <w:rsid w:val="002054EF"/>
    <w:rsid w:val="00205C6C"/>
    <w:rsid w:val="00207B4A"/>
    <w:rsid w:val="0022084E"/>
    <w:rsid w:val="0022104A"/>
    <w:rsid w:val="00221186"/>
    <w:rsid w:val="00221F74"/>
    <w:rsid w:val="002241D4"/>
    <w:rsid w:val="00226C15"/>
    <w:rsid w:val="00232BA8"/>
    <w:rsid w:val="00233994"/>
    <w:rsid w:val="002364CF"/>
    <w:rsid w:val="00236ADE"/>
    <w:rsid w:val="002375BB"/>
    <w:rsid w:val="0024409C"/>
    <w:rsid w:val="00244106"/>
    <w:rsid w:val="00245C61"/>
    <w:rsid w:val="00247E15"/>
    <w:rsid w:val="00252A03"/>
    <w:rsid w:val="00254070"/>
    <w:rsid w:val="0025652F"/>
    <w:rsid w:val="002606EC"/>
    <w:rsid w:val="00260EDD"/>
    <w:rsid w:val="00270E2D"/>
    <w:rsid w:val="002737DE"/>
    <w:rsid w:val="00274F9A"/>
    <w:rsid w:val="00275072"/>
    <w:rsid w:val="00275157"/>
    <w:rsid w:val="002751D8"/>
    <w:rsid w:val="00280D86"/>
    <w:rsid w:val="00284635"/>
    <w:rsid w:val="00285F7E"/>
    <w:rsid w:val="0029041C"/>
    <w:rsid w:val="0029087D"/>
    <w:rsid w:val="002916B1"/>
    <w:rsid w:val="00295155"/>
    <w:rsid w:val="00296D5E"/>
    <w:rsid w:val="002972FE"/>
    <w:rsid w:val="002A2ACF"/>
    <w:rsid w:val="002A50C8"/>
    <w:rsid w:val="002A64CA"/>
    <w:rsid w:val="002B17BF"/>
    <w:rsid w:val="002B7653"/>
    <w:rsid w:val="002C5223"/>
    <w:rsid w:val="002C71C6"/>
    <w:rsid w:val="002C7A2D"/>
    <w:rsid w:val="002D11D9"/>
    <w:rsid w:val="002D6B41"/>
    <w:rsid w:val="002E2739"/>
    <w:rsid w:val="002E35E9"/>
    <w:rsid w:val="002F08B1"/>
    <w:rsid w:val="002F097F"/>
    <w:rsid w:val="002F2E8D"/>
    <w:rsid w:val="002F378A"/>
    <w:rsid w:val="002F4F8D"/>
    <w:rsid w:val="00301E02"/>
    <w:rsid w:val="00306548"/>
    <w:rsid w:val="003072EC"/>
    <w:rsid w:val="0031129B"/>
    <w:rsid w:val="00311554"/>
    <w:rsid w:val="00317185"/>
    <w:rsid w:val="0032106B"/>
    <w:rsid w:val="0032607A"/>
    <w:rsid w:val="00327130"/>
    <w:rsid w:val="0033593F"/>
    <w:rsid w:val="00335F6A"/>
    <w:rsid w:val="00336801"/>
    <w:rsid w:val="00343AD4"/>
    <w:rsid w:val="00346F9B"/>
    <w:rsid w:val="003503F3"/>
    <w:rsid w:val="003510DB"/>
    <w:rsid w:val="0035370E"/>
    <w:rsid w:val="00354D93"/>
    <w:rsid w:val="00355381"/>
    <w:rsid w:val="00355E84"/>
    <w:rsid w:val="00355E89"/>
    <w:rsid w:val="00361B43"/>
    <w:rsid w:val="00363BE4"/>
    <w:rsid w:val="0036471B"/>
    <w:rsid w:val="00365265"/>
    <w:rsid w:val="00365DEC"/>
    <w:rsid w:val="00366048"/>
    <w:rsid w:val="003666A9"/>
    <w:rsid w:val="00370309"/>
    <w:rsid w:val="0037377A"/>
    <w:rsid w:val="0038062E"/>
    <w:rsid w:val="00380EBB"/>
    <w:rsid w:val="00381BBB"/>
    <w:rsid w:val="00383AA4"/>
    <w:rsid w:val="00392324"/>
    <w:rsid w:val="00392CCA"/>
    <w:rsid w:val="00395EFF"/>
    <w:rsid w:val="003B254E"/>
    <w:rsid w:val="003B5E1A"/>
    <w:rsid w:val="003C045D"/>
    <w:rsid w:val="003C05AC"/>
    <w:rsid w:val="003C2615"/>
    <w:rsid w:val="003C2BEF"/>
    <w:rsid w:val="003D52FA"/>
    <w:rsid w:val="003D54F9"/>
    <w:rsid w:val="003E03D0"/>
    <w:rsid w:val="003E0923"/>
    <w:rsid w:val="003E2076"/>
    <w:rsid w:val="003E4A85"/>
    <w:rsid w:val="003E650C"/>
    <w:rsid w:val="003E724B"/>
    <w:rsid w:val="003E75CD"/>
    <w:rsid w:val="003F0531"/>
    <w:rsid w:val="003F6C24"/>
    <w:rsid w:val="00403983"/>
    <w:rsid w:val="00411B98"/>
    <w:rsid w:val="00412A01"/>
    <w:rsid w:val="0042158E"/>
    <w:rsid w:val="00423F56"/>
    <w:rsid w:val="00431075"/>
    <w:rsid w:val="0043130F"/>
    <w:rsid w:val="00432945"/>
    <w:rsid w:val="00432A66"/>
    <w:rsid w:val="0043576F"/>
    <w:rsid w:val="0044078E"/>
    <w:rsid w:val="004411E9"/>
    <w:rsid w:val="00442E77"/>
    <w:rsid w:val="00445CAB"/>
    <w:rsid w:val="0044612F"/>
    <w:rsid w:val="004544B9"/>
    <w:rsid w:val="00455B4C"/>
    <w:rsid w:val="00462CB4"/>
    <w:rsid w:val="00463657"/>
    <w:rsid w:val="00464C4C"/>
    <w:rsid w:val="00465A05"/>
    <w:rsid w:val="004707ED"/>
    <w:rsid w:val="00470C83"/>
    <w:rsid w:val="004738DF"/>
    <w:rsid w:val="00477C97"/>
    <w:rsid w:val="00480341"/>
    <w:rsid w:val="00480361"/>
    <w:rsid w:val="004811FE"/>
    <w:rsid w:val="00481376"/>
    <w:rsid w:val="00481EE1"/>
    <w:rsid w:val="00482174"/>
    <w:rsid w:val="004821D3"/>
    <w:rsid w:val="00483ECB"/>
    <w:rsid w:val="00484007"/>
    <w:rsid w:val="004840E1"/>
    <w:rsid w:val="00485252"/>
    <w:rsid w:val="00487344"/>
    <w:rsid w:val="004875E1"/>
    <w:rsid w:val="0049055D"/>
    <w:rsid w:val="00490DDE"/>
    <w:rsid w:val="00490F49"/>
    <w:rsid w:val="0049797C"/>
    <w:rsid w:val="004A4142"/>
    <w:rsid w:val="004A6F58"/>
    <w:rsid w:val="004B05F4"/>
    <w:rsid w:val="004B0811"/>
    <w:rsid w:val="004B3910"/>
    <w:rsid w:val="004B46C4"/>
    <w:rsid w:val="004B5330"/>
    <w:rsid w:val="004B6001"/>
    <w:rsid w:val="004B6A5A"/>
    <w:rsid w:val="004B7EA3"/>
    <w:rsid w:val="004C1318"/>
    <w:rsid w:val="004C1BA6"/>
    <w:rsid w:val="004C267F"/>
    <w:rsid w:val="004D35C6"/>
    <w:rsid w:val="004D39E0"/>
    <w:rsid w:val="004D57AE"/>
    <w:rsid w:val="004E3A69"/>
    <w:rsid w:val="004E3F19"/>
    <w:rsid w:val="004E52B0"/>
    <w:rsid w:val="004E60DF"/>
    <w:rsid w:val="004F1B98"/>
    <w:rsid w:val="004F1EF6"/>
    <w:rsid w:val="004F4A0C"/>
    <w:rsid w:val="004F675C"/>
    <w:rsid w:val="004F6D1A"/>
    <w:rsid w:val="00500D57"/>
    <w:rsid w:val="00503B44"/>
    <w:rsid w:val="00503EAE"/>
    <w:rsid w:val="00504D13"/>
    <w:rsid w:val="00511898"/>
    <w:rsid w:val="00511D3E"/>
    <w:rsid w:val="00517C29"/>
    <w:rsid w:val="00521532"/>
    <w:rsid w:val="005245BA"/>
    <w:rsid w:val="00525303"/>
    <w:rsid w:val="00525C33"/>
    <w:rsid w:val="0052677F"/>
    <w:rsid w:val="005268E1"/>
    <w:rsid w:val="005306F4"/>
    <w:rsid w:val="00531CDE"/>
    <w:rsid w:val="00532809"/>
    <w:rsid w:val="00533931"/>
    <w:rsid w:val="00533DC9"/>
    <w:rsid w:val="00536C08"/>
    <w:rsid w:val="00537173"/>
    <w:rsid w:val="005378CB"/>
    <w:rsid w:val="005404A5"/>
    <w:rsid w:val="00540CB5"/>
    <w:rsid w:val="005445DF"/>
    <w:rsid w:val="00546A76"/>
    <w:rsid w:val="005500A4"/>
    <w:rsid w:val="005514E6"/>
    <w:rsid w:val="00554E93"/>
    <w:rsid w:val="00557696"/>
    <w:rsid w:val="00560B4F"/>
    <w:rsid w:val="00560EA2"/>
    <w:rsid w:val="00561E6A"/>
    <w:rsid w:val="005648E0"/>
    <w:rsid w:val="00564E8F"/>
    <w:rsid w:val="00571B49"/>
    <w:rsid w:val="0057210E"/>
    <w:rsid w:val="00575F6F"/>
    <w:rsid w:val="00577904"/>
    <w:rsid w:val="0058006C"/>
    <w:rsid w:val="0058094C"/>
    <w:rsid w:val="00581BE5"/>
    <w:rsid w:val="00582FCE"/>
    <w:rsid w:val="0058535A"/>
    <w:rsid w:val="005853D2"/>
    <w:rsid w:val="005861AF"/>
    <w:rsid w:val="005900B5"/>
    <w:rsid w:val="00591734"/>
    <w:rsid w:val="00591FA1"/>
    <w:rsid w:val="00592DF2"/>
    <w:rsid w:val="00594041"/>
    <w:rsid w:val="00594F19"/>
    <w:rsid w:val="00594F8E"/>
    <w:rsid w:val="005965F2"/>
    <w:rsid w:val="005A02D2"/>
    <w:rsid w:val="005A3151"/>
    <w:rsid w:val="005A61F4"/>
    <w:rsid w:val="005A6DCA"/>
    <w:rsid w:val="005B61AE"/>
    <w:rsid w:val="005B7C66"/>
    <w:rsid w:val="005C1EDC"/>
    <w:rsid w:val="005C40A5"/>
    <w:rsid w:val="005C515B"/>
    <w:rsid w:val="005C7DA4"/>
    <w:rsid w:val="005D3369"/>
    <w:rsid w:val="005D44DD"/>
    <w:rsid w:val="005D4538"/>
    <w:rsid w:val="005D509B"/>
    <w:rsid w:val="005D59F7"/>
    <w:rsid w:val="005D6FDE"/>
    <w:rsid w:val="005E2379"/>
    <w:rsid w:val="005E435B"/>
    <w:rsid w:val="005E45D4"/>
    <w:rsid w:val="005E5B93"/>
    <w:rsid w:val="005E781A"/>
    <w:rsid w:val="005F0902"/>
    <w:rsid w:val="005F20C3"/>
    <w:rsid w:val="005F3EA6"/>
    <w:rsid w:val="005F4076"/>
    <w:rsid w:val="005F5C9B"/>
    <w:rsid w:val="005F7D07"/>
    <w:rsid w:val="0060337E"/>
    <w:rsid w:val="006037E7"/>
    <w:rsid w:val="00605B60"/>
    <w:rsid w:val="00605B63"/>
    <w:rsid w:val="00607067"/>
    <w:rsid w:val="00607DF3"/>
    <w:rsid w:val="006108E4"/>
    <w:rsid w:val="00610BEB"/>
    <w:rsid w:val="006247BB"/>
    <w:rsid w:val="00626AD6"/>
    <w:rsid w:val="0062753E"/>
    <w:rsid w:val="00627BE7"/>
    <w:rsid w:val="00627CD0"/>
    <w:rsid w:val="00627E2D"/>
    <w:rsid w:val="0063140B"/>
    <w:rsid w:val="00633569"/>
    <w:rsid w:val="00635132"/>
    <w:rsid w:val="0064094D"/>
    <w:rsid w:val="00642080"/>
    <w:rsid w:val="006435A9"/>
    <w:rsid w:val="00644CB6"/>
    <w:rsid w:val="006503B5"/>
    <w:rsid w:val="0065060D"/>
    <w:rsid w:val="00657F9C"/>
    <w:rsid w:val="006635E5"/>
    <w:rsid w:val="00665413"/>
    <w:rsid w:val="006708AA"/>
    <w:rsid w:val="00670DA8"/>
    <w:rsid w:val="006733B7"/>
    <w:rsid w:val="00684CC6"/>
    <w:rsid w:val="00684E9E"/>
    <w:rsid w:val="0068504D"/>
    <w:rsid w:val="006873D1"/>
    <w:rsid w:val="00691327"/>
    <w:rsid w:val="00692449"/>
    <w:rsid w:val="00693E45"/>
    <w:rsid w:val="006951A4"/>
    <w:rsid w:val="00695EAD"/>
    <w:rsid w:val="006974EF"/>
    <w:rsid w:val="006A1152"/>
    <w:rsid w:val="006A279B"/>
    <w:rsid w:val="006A545D"/>
    <w:rsid w:val="006B16D2"/>
    <w:rsid w:val="006B18A5"/>
    <w:rsid w:val="006B464F"/>
    <w:rsid w:val="006B5750"/>
    <w:rsid w:val="006B6948"/>
    <w:rsid w:val="006B6E7A"/>
    <w:rsid w:val="006C0A94"/>
    <w:rsid w:val="006C0D27"/>
    <w:rsid w:val="006C252F"/>
    <w:rsid w:val="006C7BC3"/>
    <w:rsid w:val="006D0D78"/>
    <w:rsid w:val="006D127E"/>
    <w:rsid w:val="006D31BD"/>
    <w:rsid w:val="006D6D42"/>
    <w:rsid w:val="006D79C2"/>
    <w:rsid w:val="006E03F0"/>
    <w:rsid w:val="006E132F"/>
    <w:rsid w:val="006E5766"/>
    <w:rsid w:val="006E62AA"/>
    <w:rsid w:val="006F16AA"/>
    <w:rsid w:val="006F770E"/>
    <w:rsid w:val="00702AEC"/>
    <w:rsid w:val="00703C8C"/>
    <w:rsid w:val="00703D2C"/>
    <w:rsid w:val="00703F26"/>
    <w:rsid w:val="00704022"/>
    <w:rsid w:val="00705C4B"/>
    <w:rsid w:val="0071043E"/>
    <w:rsid w:val="007120A5"/>
    <w:rsid w:val="0071212F"/>
    <w:rsid w:val="00720140"/>
    <w:rsid w:val="00720ECC"/>
    <w:rsid w:val="00722047"/>
    <w:rsid w:val="007241AF"/>
    <w:rsid w:val="007266DF"/>
    <w:rsid w:val="007317F3"/>
    <w:rsid w:val="007318D9"/>
    <w:rsid w:val="00732283"/>
    <w:rsid w:val="00733A0A"/>
    <w:rsid w:val="0073530B"/>
    <w:rsid w:val="007353C8"/>
    <w:rsid w:val="00735F37"/>
    <w:rsid w:val="007400BE"/>
    <w:rsid w:val="00741801"/>
    <w:rsid w:val="0074230B"/>
    <w:rsid w:val="00743CE7"/>
    <w:rsid w:val="00745BBA"/>
    <w:rsid w:val="00750AE3"/>
    <w:rsid w:val="00751C16"/>
    <w:rsid w:val="00752348"/>
    <w:rsid w:val="00753F62"/>
    <w:rsid w:val="0075462D"/>
    <w:rsid w:val="00757337"/>
    <w:rsid w:val="00757800"/>
    <w:rsid w:val="00757915"/>
    <w:rsid w:val="00762B3D"/>
    <w:rsid w:val="00766552"/>
    <w:rsid w:val="00770F92"/>
    <w:rsid w:val="00771B65"/>
    <w:rsid w:val="00771F76"/>
    <w:rsid w:val="007731A3"/>
    <w:rsid w:val="007742D0"/>
    <w:rsid w:val="00776940"/>
    <w:rsid w:val="007800A5"/>
    <w:rsid w:val="007804E5"/>
    <w:rsid w:val="00780F42"/>
    <w:rsid w:val="00785BE9"/>
    <w:rsid w:val="00786247"/>
    <w:rsid w:val="00786F83"/>
    <w:rsid w:val="007877D6"/>
    <w:rsid w:val="00796F96"/>
    <w:rsid w:val="00797CAE"/>
    <w:rsid w:val="00797D02"/>
    <w:rsid w:val="007A25A4"/>
    <w:rsid w:val="007A5FA8"/>
    <w:rsid w:val="007A6C19"/>
    <w:rsid w:val="007B2FF7"/>
    <w:rsid w:val="007B33BF"/>
    <w:rsid w:val="007B70B3"/>
    <w:rsid w:val="007C2B64"/>
    <w:rsid w:val="007C5553"/>
    <w:rsid w:val="007C7510"/>
    <w:rsid w:val="007D16EC"/>
    <w:rsid w:val="007D3620"/>
    <w:rsid w:val="007D4799"/>
    <w:rsid w:val="007E3946"/>
    <w:rsid w:val="007E4563"/>
    <w:rsid w:val="007E66C4"/>
    <w:rsid w:val="007F3D48"/>
    <w:rsid w:val="007F455F"/>
    <w:rsid w:val="0080010D"/>
    <w:rsid w:val="0080289B"/>
    <w:rsid w:val="0080361E"/>
    <w:rsid w:val="008068C4"/>
    <w:rsid w:val="008112C2"/>
    <w:rsid w:val="0081686A"/>
    <w:rsid w:val="00817FD3"/>
    <w:rsid w:val="00824F2B"/>
    <w:rsid w:val="0083040C"/>
    <w:rsid w:val="00833198"/>
    <w:rsid w:val="00833BF9"/>
    <w:rsid w:val="008341CE"/>
    <w:rsid w:val="0083519D"/>
    <w:rsid w:val="00836471"/>
    <w:rsid w:val="00843413"/>
    <w:rsid w:val="00845EBB"/>
    <w:rsid w:val="008509B5"/>
    <w:rsid w:val="00851F7A"/>
    <w:rsid w:val="00856F40"/>
    <w:rsid w:val="0086362B"/>
    <w:rsid w:val="00865AF7"/>
    <w:rsid w:val="008660C6"/>
    <w:rsid w:val="00866611"/>
    <w:rsid w:val="008705F0"/>
    <w:rsid w:val="00870CF4"/>
    <w:rsid w:val="00876D91"/>
    <w:rsid w:val="00881169"/>
    <w:rsid w:val="00881590"/>
    <w:rsid w:val="00882269"/>
    <w:rsid w:val="00884273"/>
    <w:rsid w:val="0089235D"/>
    <w:rsid w:val="00894884"/>
    <w:rsid w:val="008948CC"/>
    <w:rsid w:val="00894E12"/>
    <w:rsid w:val="008963A2"/>
    <w:rsid w:val="008964D5"/>
    <w:rsid w:val="008A02CC"/>
    <w:rsid w:val="008A19FB"/>
    <w:rsid w:val="008A220C"/>
    <w:rsid w:val="008B0B06"/>
    <w:rsid w:val="008B598D"/>
    <w:rsid w:val="008C0D07"/>
    <w:rsid w:val="008C2010"/>
    <w:rsid w:val="008C429A"/>
    <w:rsid w:val="008C516E"/>
    <w:rsid w:val="008C6CE7"/>
    <w:rsid w:val="008C704A"/>
    <w:rsid w:val="008C767C"/>
    <w:rsid w:val="008D11F5"/>
    <w:rsid w:val="008D246D"/>
    <w:rsid w:val="008E1011"/>
    <w:rsid w:val="008E1905"/>
    <w:rsid w:val="008E2A88"/>
    <w:rsid w:val="008E57DF"/>
    <w:rsid w:val="008E6CC5"/>
    <w:rsid w:val="008F0B77"/>
    <w:rsid w:val="008F290B"/>
    <w:rsid w:val="008F62A7"/>
    <w:rsid w:val="00904FB2"/>
    <w:rsid w:val="009072F4"/>
    <w:rsid w:val="00913166"/>
    <w:rsid w:val="009210AE"/>
    <w:rsid w:val="00922517"/>
    <w:rsid w:val="009227B3"/>
    <w:rsid w:val="00925172"/>
    <w:rsid w:val="0093191A"/>
    <w:rsid w:val="00933187"/>
    <w:rsid w:val="009332A3"/>
    <w:rsid w:val="009373F5"/>
    <w:rsid w:val="00937B5B"/>
    <w:rsid w:val="0094293E"/>
    <w:rsid w:val="0095089F"/>
    <w:rsid w:val="00953B72"/>
    <w:rsid w:val="00955691"/>
    <w:rsid w:val="009557E9"/>
    <w:rsid w:val="00956B6F"/>
    <w:rsid w:val="009600A5"/>
    <w:rsid w:val="00963254"/>
    <w:rsid w:val="009636B7"/>
    <w:rsid w:val="00967340"/>
    <w:rsid w:val="009701C5"/>
    <w:rsid w:val="009702FB"/>
    <w:rsid w:val="00970487"/>
    <w:rsid w:val="00970B38"/>
    <w:rsid w:val="0097133A"/>
    <w:rsid w:val="0097423A"/>
    <w:rsid w:val="00977D16"/>
    <w:rsid w:val="00980FB0"/>
    <w:rsid w:val="0098205C"/>
    <w:rsid w:val="00983B0B"/>
    <w:rsid w:val="00984340"/>
    <w:rsid w:val="009932DC"/>
    <w:rsid w:val="00993C5B"/>
    <w:rsid w:val="00993D04"/>
    <w:rsid w:val="009944AC"/>
    <w:rsid w:val="0099788C"/>
    <w:rsid w:val="009A1276"/>
    <w:rsid w:val="009A194B"/>
    <w:rsid w:val="009A588B"/>
    <w:rsid w:val="009B0797"/>
    <w:rsid w:val="009B19A2"/>
    <w:rsid w:val="009B1A96"/>
    <w:rsid w:val="009B7052"/>
    <w:rsid w:val="009C05E8"/>
    <w:rsid w:val="009C4D08"/>
    <w:rsid w:val="009C5701"/>
    <w:rsid w:val="009C663B"/>
    <w:rsid w:val="009C7B33"/>
    <w:rsid w:val="009D0791"/>
    <w:rsid w:val="009D20A7"/>
    <w:rsid w:val="009D219F"/>
    <w:rsid w:val="009D258E"/>
    <w:rsid w:val="009D2BEA"/>
    <w:rsid w:val="009D4826"/>
    <w:rsid w:val="009D4EFC"/>
    <w:rsid w:val="009E227A"/>
    <w:rsid w:val="009E5D1E"/>
    <w:rsid w:val="009E79A0"/>
    <w:rsid w:val="009F0C7C"/>
    <w:rsid w:val="009F1C9F"/>
    <w:rsid w:val="009F3362"/>
    <w:rsid w:val="009F50B7"/>
    <w:rsid w:val="009F75D9"/>
    <w:rsid w:val="00A0323C"/>
    <w:rsid w:val="00A032AD"/>
    <w:rsid w:val="00A04CD8"/>
    <w:rsid w:val="00A0624B"/>
    <w:rsid w:val="00A0765D"/>
    <w:rsid w:val="00A11C4E"/>
    <w:rsid w:val="00A14C4D"/>
    <w:rsid w:val="00A165B8"/>
    <w:rsid w:val="00A16B1D"/>
    <w:rsid w:val="00A20580"/>
    <w:rsid w:val="00A20B8C"/>
    <w:rsid w:val="00A242F2"/>
    <w:rsid w:val="00A317D3"/>
    <w:rsid w:val="00A32040"/>
    <w:rsid w:val="00A32A2B"/>
    <w:rsid w:val="00A3757F"/>
    <w:rsid w:val="00A40736"/>
    <w:rsid w:val="00A42993"/>
    <w:rsid w:val="00A44BBB"/>
    <w:rsid w:val="00A44E69"/>
    <w:rsid w:val="00A44EBD"/>
    <w:rsid w:val="00A4589E"/>
    <w:rsid w:val="00A46C58"/>
    <w:rsid w:val="00A477A6"/>
    <w:rsid w:val="00A4785E"/>
    <w:rsid w:val="00A52293"/>
    <w:rsid w:val="00A5304B"/>
    <w:rsid w:val="00A53BE4"/>
    <w:rsid w:val="00A54C6E"/>
    <w:rsid w:val="00A55163"/>
    <w:rsid w:val="00A556D4"/>
    <w:rsid w:val="00A56108"/>
    <w:rsid w:val="00A5762D"/>
    <w:rsid w:val="00A6065D"/>
    <w:rsid w:val="00A606DD"/>
    <w:rsid w:val="00A610E5"/>
    <w:rsid w:val="00A61583"/>
    <w:rsid w:val="00A624EC"/>
    <w:rsid w:val="00A62BB5"/>
    <w:rsid w:val="00A653FA"/>
    <w:rsid w:val="00A67145"/>
    <w:rsid w:val="00A755D2"/>
    <w:rsid w:val="00A82586"/>
    <w:rsid w:val="00A82743"/>
    <w:rsid w:val="00A8307D"/>
    <w:rsid w:val="00A85F63"/>
    <w:rsid w:val="00A87E79"/>
    <w:rsid w:val="00A90C66"/>
    <w:rsid w:val="00A927FA"/>
    <w:rsid w:val="00A95870"/>
    <w:rsid w:val="00A974CC"/>
    <w:rsid w:val="00AA020E"/>
    <w:rsid w:val="00AA4B4A"/>
    <w:rsid w:val="00AB0897"/>
    <w:rsid w:val="00AB102C"/>
    <w:rsid w:val="00AB2FF7"/>
    <w:rsid w:val="00AB5CA2"/>
    <w:rsid w:val="00AB6F1F"/>
    <w:rsid w:val="00AC092A"/>
    <w:rsid w:val="00AD26A9"/>
    <w:rsid w:val="00AD43C6"/>
    <w:rsid w:val="00AD4406"/>
    <w:rsid w:val="00AD5D1C"/>
    <w:rsid w:val="00AD7E80"/>
    <w:rsid w:val="00AE3C10"/>
    <w:rsid w:val="00AE5BC0"/>
    <w:rsid w:val="00AE5DA8"/>
    <w:rsid w:val="00AE73C1"/>
    <w:rsid w:val="00AF1A06"/>
    <w:rsid w:val="00AF3BED"/>
    <w:rsid w:val="00AF4C7A"/>
    <w:rsid w:val="00AF593E"/>
    <w:rsid w:val="00AF62F6"/>
    <w:rsid w:val="00B00DB3"/>
    <w:rsid w:val="00B0166D"/>
    <w:rsid w:val="00B01E5E"/>
    <w:rsid w:val="00B045E2"/>
    <w:rsid w:val="00B05835"/>
    <w:rsid w:val="00B11163"/>
    <w:rsid w:val="00B146C2"/>
    <w:rsid w:val="00B238AF"/>
    <w:rsid w:val="00B33CCF"/>
    <w:rsid w:val="00B354EC"/>
    <w:rsid w:val="00B4109D"/>
    <w:rsid w:val="00B42597"/>
    <w:rsid w:val="00B43764"/>
    <w:rsid w:val="00B445CF"/>
    <w:rsid w:val="00B44960"/>
    <w:rsid w:val="00B463C0"/>
    <w:rsid w:val="00B4652A"/>
    <w:rsid w:val="00B4657A"/>
    <w:rsid w:val="00B54777"/>
    <w:rsid w:val="00B54848"/>
    <w:rsid w:val="00B5518D"/>
    <w:rsid w:val="00B565DB"/>
    <w:rsid w:val="00B56E8A"/>
    <w:rsid w:val="00B57128"/>
    <w:rsid w:val="00B5726D"/>
    <w:rsid w:val="00B574CB"/>
    <w:rsid w:val="00B5798E"/>
    <w:rsid w:val="00B60381"/>
    <w:rsid w:val="00B61F4E"/>
    <w:rsid w:val="00B6276A"/>
    <w:rsid w:val="00B62B53"/>
    <w:rsid w:val="00B63F41"/>
    <w:rsid w:val="00B64F6F"/>
    <w:rsid w:val="00B74938"/>
    <w:rsid w:val="00B75C85"/>
    <w:rsid w:val="00B7625E"/>
    <w:rsid w:val="00B774BB"/>
    <w:rsid w:val="00B81257"/>
    <w:rsid w:val="00B81D00"/>
    <w:rsid w:val="00B83083"/>
    <w:rsid w:val="00B836F0"/>
    <w:rsid w:val="00B83F65"/>
    <w:rsid w:val="00B84B09"/>
    <w:rsid w:val="00B86D8A"/>
    <w:rsid w:val="00B91637"/>
    <w:rsid w:val="00B91765"/>
    <w:rsid w:val="00B91C43"/>
    <w:rsid w:val="00B922A9"/>
    <w:rsid w:val="00B92D96"/>
    <w:rsid w:val="00B9312D"/>
    <w:rsid w:val="00B9367D"/>
    <w:rsid w:val="00B93C16"/>
    <w:rsid w:val="00B95556"/>
    <w:rsid w:val="00B97E0A"/>
    <w:rsid w:val="00BA05F5"/>
    <w:rsid w:val="00BA06A5"/>
    <w:rsid w:val="00BB2133"/>
    <w:rsid w:val="00BB2C13"/>
    <w:rsid w:val="00BB6002"/>
    <w:rsid w:val="00BC1753"/>
    <w:rsid w:val="00BC2423"/>
    <w:rsid w:val="00BC3EB7"/>
    <w:rsid w:val="00BC42E7"/>
    <w:rsid w:val="00BC6A23"/>
    <w:rsid w:val="00BD0B30"/>
    <w:rsid w:val="00BD1053"/>
    <w:rsid w:val="00BD1B50"/>
    <w:rsid w:val="00BD306A"/>
    <w:rsid w:val="00BD37A0"/>
    <w:rsid w:val="00BD3CFD"/>
    <w:rsid w:val="00BD4A1A"/>
    <w:rsid w:val="00BD5A7B"/>
    <w:rsid w:val="00BD5A9C"/>
    <w:rsid w:val="00BE0BE0"/>
    <w:rsid w:val="00BE5318"/>
    <w:rsid w:val="00BE58B5"/>
    <w:rsid w:val="00BE5A1F"/>
    <w:rsid w:val="00BE5F32"/>
    <w:rsid w:val="00BE6365"/>
    <w:rsid w:val="00BE723C"/>
    <w:rsid w:val="00BE7689"/>
    <w:rsid w:val="00BF1D92"/>
    <w:rsid w:val="00BF3D26"/>
    <w:rsid w:val="00BF56EB"/>
    <w:rsid w:val="00BF579F"/>
    <w:rsid w:val="00BF57DA"/>
    <w:rsid w:val="00BF6561"/>
    <w:rsid w:val="00C03E5B"/>
    <w:rsid w:val="00C04267"/>
    <w:rsid w:val="00C050B7"/>
    <w:rsid w:val="00C0689F"/>
    <w:rsid w:val="00C071CF"/>
    <w:rsid w:val="00C1315D"/>
    <w:rsid w:val="00C13B96"/>
    <w:rsid w:val="00C15AF4"/>
    <w:rsid w:val="00C17640"/>
    <w:rsid w:val="00C21BD6"/>
    <w:rsid w:val="00C237B0"/>
    <w:rsid w:val="00C23838"/>
    <w:rsid w:val="00C26131"/>
    <w:rsid w:val="00C27086"/>
    <w:rsid w:val="00C3078D"/>
    <w:rsid w:val="00C33FB2"/>
    <w:rsid w:val="00C3475E"/>
    <w:rsid w:val="00C34A70"/>
    <w:rsid w:val="00C35FF3"/>
    <w:rsid w:val="00C367BC"/>
    <w:rsid w:val="00C43F77"/>
    <w:rsid w:val="00C50119"/>
    <w:rsid w:val="00C53A8C"/>
    <w:rsid w:val="00C54622"/>
    <w:rsid w:val="00C55F10"/>
    <w:rsid w:val="00C56885"/>
    <w:rsid w:val="00C6104B"/>
    <w:rsid w:val="00C63617"/>
    <w:rsid w:val="00C6418C"/>
    <w:rsid w:val="00C645E3"/>
    <w:rsid w:val="00C648B3"/>
    <w:rsid w:val="00C76670"/>
    <w:rsid w:val="00C8309F"/>
    <w:rsid w:val="00C847E4"/>
    <w:rsid w:val="00C85369"/>
    <w:rsid w:val="00C86D93"/>
    <w:rsid w:val="00C92459"/>
    <w:rsid w:val="00C93AF7"/>
    <w:rsid w:val="00C94501"/>
    <w:rsid w:val="00C95CBB"/>
    <w:rsid w:val="00C95FF4"/>
    <w:rsid w:val="00CA599F"/>
    <w:rsid w:val="00CA5DCF"/>
    <w:rsid w:val="00CA6A63"/>
    <w:rsid w:val="00CB5F36"/>
    <w:rsid w:val="00CC276A"/>
    <w:rsid w:val="00CC753D"/>
    <w:rsid w:val="00CD022A"/>
    <w:rsid w:val="00CD4DC4"/>
    <w:rsid w:val="00CD518F"/>
    <w:rsid w:val="00CD5B6D"/>
    <w:rsid w:val="00CD68FE"/>
    <w:rsid w:val="00CD7C7A"/>
    <w:rsid w:val="00CE1964"/>
    <w:rsid w:val="00CE3ED8"/>
    <w:rsid w:val="00CF0E38"/>
    <w:rsid w:val="00CF0E55"/>
    <w:rsid w:val="00CF2226"/>
    <w:rsid w:val="00CF2712"/>
    <w:rsid w:val="00D0165B"/>
    <w:rsid w:val="00D01A14"/>
    <w:rsid w:val="00D036E4"/>
    <w:rsid w:val="00D0576E"/>
    <w:rsid w:val="00D11379"/>
    <w:rsid w:val="00D1174A"/>
    <w:rsid w:val="00D12C4D"/>
    <w:rsid w:val="00D20B2B"/>
    <w:rsid w:val="00D228FE"/>
    <w:rsid w:val="00D229E6"/>
    <w:rsid w:val="00D23330"/>
    <w:rsid w:val="00D23990"/>
    <w:rsid w:val="00D251F6"/>
    <w:rsid w:val="00D3456D"/>
    <w:rsid w:val="00D35025"/>
    <w:rsid w:val="00D35822"/>
    <w:rsid w:val="00D3624E"/>
    <w:rsid w:val="00D36714"/>
    <w:rsid w:val="00D37FD7"/>
    <w:rsid w:val="00D41189"/>
    <w:rsid w:val="00D41480"/>
    <w:rsid w:val="00D4305B"/>
    <w:rsid w:val="00D45133"/>
    <w:rsid w:val="00D45255"/>
    <w:rsid w:val="00D4583C"/>
    <w:rsid w:val="00D46EE0"/>
    <w:rsid w:val="00D47747"/>
    <w:rsid w:val="00D503DD"/>
    <w:rsid w:val="00D523E4"/>
    <w:rsid w:val="00D53CC4"/>
    <w:rsid w:val="00D56715"/>
    <w:rsid w:val="00D56D0C"/>
    <w:rsid w:val="00D57D37"/>
    <w:rsid w:val="00D57D6E"/>
    <w:rsid w:val="00D641C9"/>
    <w:rsid w:val="00D70B53"/>
    <w:rsid w:val="00D72882"/>
    <w:rsid w:val="00D75178"/>
    <w:rsid w:val="00D75556"/>
    <w:rsid w:val="00D76264"/>
    <w:rsid w:val="00D765E6"/>
    <w:rsid w:val="00D8416F"/>
    <w:rsid w:val="00D859BC"/>
    <w:rsid w:val="00D8634B"/>
    <w:rsid w:val="00D87875"/>
    <w:rsid w:val="00D92227"/>
    <w:rsid w:val="00D94783"/>
    <w:rsid w:val="00D9530D"/>
    <w:rsid w:val="00D978B3"/>
    <w:rsid w:val="00DA124D"/>
    <w:rsid w:val="00DA18FA"/>
    <w:rsid w:val="00DA32AB"/>
    <w:rsid w:val="00DA54A3"/>
    <w:rsid w:val="00DA720F"/>
    <w:rsid w:val="00DB1105"/>
    <w:rsid w:val="00DB1B29"/>
    <w:rsid w:val="00DB6309"/>
    <w:rsid w:val="00DC0050"/>
    <w:rsid w:val="00DC0FBD"/>
    <w:rsid w:val="00DC2CC3"/>
    <w:rsid w:val="00DC4473"/>
    <w:rsid w:val="00DD3B2B"/>
    <w:rsid w:val="00DD7A26"/>
    <w:rsid w:val="00DE0587"/>
    <w:rsid w:val="00DE1AF9"/>
    <w:rsid w:val="00DE230E"/>
    <w:rsid w:val="00DE5804"/>
    <w:rsid w:val="00DE6D72"/>
    <w:rsid w:val="00DF0906"/>
    <w:rsid w:val="00DF35CA"/>
    <w:rsid w:val="00DF521F"/>
    <w:rsid w:val="00DF5D57"/>
    <w:rsid w:val="00DF60A0"/>
    <w:rsid w:val="00E030DA"/>
    <w:rsid w:val="00E03173"/>
    <w:rsid w:val="00E049D9"/>
    <w:rsid w:val="00E04B46"/>
    <w:rsid w:val="00E109E1"/>
    <w:rsid w:val="00E16EDD"/>
    <w:rsid w:val="00E16F3D"/>
    <w:rsid w:val="00E172C2"/>
    <w:rsid w:val="00E219AA"/>
    <w:rsid w:val="00E22793"/>
    <w:rsid w:val="00E235A4"/>
    <w:rsid w:val="00E25BD8"/>
    <w:rsid w:val="00E25C36"/>
    <w:rsid w:val="00E2645F"/>
    <w:rsid w:val="00E2696D"/>
    <w:rsid w:val="00E30DB3"/>
    <w:rsid w:val="00E332DC"/>
    <w:rsid w:val="00E37368"/>
    <w:rsid w:val="00E4084C"/>
    <w:rsid w:val="00E42EC5"/>
    <w:rsid w:val="00E50A7F"/>
    <w:rsid w:val="00E51FBF"/>
    <w:rsid w:val="00E52540"/>
    <w:rsid w:val="00E542E0"/>
    <w:rsid w:val="00E55034"/>
    <w:rsid w:val="00E664F1"/>
    <w:rsid w:val="00E76BC1"/>
    <w:rsid w:val="00E84803"/>
    <w:rsid w:val="00E851BE"/>
    <w:rsid w:val="00E8674F"/>
    <w:rsid w:val="00E943A5"/>
    <w:rsid w:val="00E960B8"/>
    <w:rsid w:val="00E967F2"/>
    <w:rsid w:val="00EA1381"/>
    <w:rsid w:val="00EA4340"/>
    <w:rsid w:val="00EB0543"/>
    <w:rsid w:val="00EB32B5"/>
    <w:rsid w:val="00EC1976"/>
    <w:rsid w:val="00EC2995"/>
    <w:rsid w:val="00EC670D"/>
    <w:rsid w:val="00ED0948"/>
    <w:rsid w:val="00ED1489"/>
    <w:rsid w:val="00ED182A"/>
    <w:rsid w:val="00ED3018"/>
    <w:rsid w:val="00ED5FE2"/>
    <w:rsid w:val="00ED7899"/>
    <w:rsid w:val="00EE0A8D"/>
    <w:rsid w:val="00EE4218"/>
    <w:rsid w:val="00EE447F"/>
    <w:rsid w:val="00EE5DCB"/>
    <w:rsid w:val="00EE74D4"/>
    <w:rsid w:val="00EF03DF"/>
    <w:rsid w:val="00F0176E"/>
    <w:rsid w:val="00F01C18"/>
    <w:rsid w:val="00F032AD"/>
    <w:rsid w:val="00F03993"/>
    <w:rsid w:val="00F12CA2"/>
    <w:rsid w:val="00F13964"/>
    <w:rsid w:val="00F14408"/>
    <w:rsid w:val="00F16A4E"/>
    <w:rsid w:val="00F17B15"/>
    <w:rsid w:val="00F2370C"/>
    <w:rsid w:val="00F24468"/>
    <w:rsid w:val="00F2693B"/>
    <w:rsid w:val="00F27222"/>
    <w:rsid w:val="00F319C7"/>
    <w:rsid w:val="00F31F40"/>
    <w:rsid w:val="00F3330E"/>
    <w:rsid w:val="00F35275"/>
    <w:rsid w:val="00F3782F"/>
    <w:rsid w:val="00F378CB"/>
    <w:rsid w:val="00F37C74"/>
    <w:rsid w:val="00F40C38"/>
    <w:rsid w:val="00F42B6B"/>
    <w:rsid w:val="00F4329C"/>
    <w:rsid w:val="00F439FF"/>
    <w:rsid w:val="00F43EC8"/>
    <w:rsid w:val="00F511A3"/>
    <w:rsid w:val="00F54D4C"/>
    <w:rsid w:val="00F5718E"/>
    <w:rsid w:val="00F57A53"/>
    <w:rsid w:val="00F60D25"/>
    <w:rsid w:val="00F63627"/>
    <w:rsid w:val="00F66168"/>
    <w:rsid w:val="00F6758C"/>
    <w:rsid w:val="00F6784C"/>
    <w:rsid w:val="00F703CA"/>
    <w:rsid w:val="00F72E39"/>
    <w:rsid w:val="00F74C4C"/>
    <w:rsid w:val="00F754A9"/>
    <w:rsid w:val="00F76235"/>
    <w:rsid w:val="00F76AE2"/>
    <w:rsid w:val="00F76F09"/>
    <w:rsid w:val="00F76F45"/>
    <w:rsid w:val="00F8178D"/>
    <w:rsid w:val="00F84444"/>
    <w:rsid w:val="00F8526C"/>
    <w:rsid w:val="00F8799E"/>
    <w:rsid w:val="00F91AD6"/>
    <w:rsid w:val="00F93C2E"/>
    <w:rsid w:val="00F93CCD"/>
    <w:rsid w:val="00F967F2"/>
    <w:rsid w:val="00FB2B85"/>
    <w:rsid w:val="00FB36F8"/>
    <w:rsid w:val="00FB568B"/>
    <w:rsid w:val="00FB61C1"/>
    <w:rsid w:val="00FC2987"/>
    <w:rsid w:val="00FC6A2D"/>
    <w:rsid w:val="00FC76DA"/>
    <w:rsid w:val="00FC7A6E"/>
    <w:rsid w:val="00FD0622"/>
    <w:rsid w:val="00FD26FC"/>
    <w:rsid w:val="00FD7A6D"/>
    <w:rsid w:val="00FE0BD4"/>
    <w:rsid w:val="00FE1C26"/>
    <w:rsid w:val="00FE2073"/>
    <w:rsid w:val="00FE20F7"/>
    <w:rsid w:val="00FE38C1"/>
    <w:rsid w:val="00FE42AB"/>
    <w:rsid w:val="00FE5C9D"/>
    <w:rsid w:val="00FE5DF6"/>
    <w:rsid w:val="00FE71A9"/>
    <w:rsid w:val="00FF2C73"/>
    <w:rsid w:val="00FF6BAA"/>
    <w:rsid w:val="00FF6C58"/>
    <w:rsid w:val="01143E5D"/>
    <w:rsid w:val="01245C17"/>
    <w:rsid w:val="01321279"/>
    <w:rsid w:val="01B21737"/>
    <w:rsid w:val="020636EB"/>
    <w:rsid w:val="034D4E02"/>
    <w:rsid w:val="03A00A3F"/>
    <w:rsid w:val="03B00FE6"/>
    <w:rsid w:val="04610DE1"/>
    <w:rsid w:val="04747D45"/>
    <w:rsid w:val="048A2AE0"/>
    <w:rsid w:val="049024F0"/>
    <w:rsid w:val="06334523"/>
    <w:rsid w:val="06A04953"/>
    <w:rsid w:val="0701192F"/>
    <w:rsid w:val="07C057CB"/>
    <w:rsid w:val="08E46FFA"/>
    <w:rsid w:val="08F21980"/>
    <w:rsid w:val="0925511C"/>
    <w:rsid w:val="0A782AE6"/>
    <w:rsid w:val="0AAF555B"/>
    <w:rsid w:val="0AC00944"/>
    <w:rsid w:val="0AE174A7"/>
    <w:rsid w:val="0C5808DC"/>
    <w:rsid w:val="0C66483F"/>
    <w:rsid w:val="0C6A1136"/>
    <w:rsid w:val="0CA87480"/>
    <w:rsid w:val="0D4A316C"/>
    <w:rsid w:val="0E2308C2"/>
    <w:rsid w:val="0ED17DB9"/>
    <w:rsid w:val="0ED434D5"/>
    <w:rsid w:val="0F2C7CDB"/>
    <w:rsid w:val="0F2D1F0B"/>
    <w:rsid w:val="0F346ECB"/>
    <w:rsid w:val="0F956C90"/>
    <w:rsid w:val="0FE85723"/>
    <w:rsid w:val="0FFE6A1E"/>
    <w:rsid w:val="1007251B"/>
    <w:rsid w:val="120E6DBF"/>
    <w:rsid w:val="1232350F"/>
    <w:rsid w:val="123676F6"/>
    <w:rsid w:val="12E658A9"/>
    <w:rsid w:val="12F21B5B"/>
    <w:rsid w:val="12F66148"/>
    <w:rsid w:val="13053B3D"/>
    <w:rsid w:val="140E0142"/>
    <w:rsid w:val="14697423"/>
    <w:rsid w:val="14D12EDA"/>
    <w:rsid w:val="155950DF"/>
    <w:rsid w:val="15681D19"/>
    <w:rsid w:val="15A2155B"/>
    <w:rsid w:val="161861DE"/>
    <w:rsid w:val="163B0AEA"/>
    <w:rsid w:val="16AE2C36"/>
    <w:rsid w:val="1707280A"/>
    <w:rsid w:val="175C3BA1"/>
    <w:rsid w:val="17F00860"/>
    <w:rsid w:val="1893500E"/>
    <w:rsid w:val="18D35DD7"/>
    <w:rsid w:val="1931738F"/>
    <w:rsid w:val="1A0C2356"/>
    <w:rsid w:val="1AC123F5"/>
    <w:rsid w:val="1AFA150E"/>
    <w:rsid w:val="1B4D53F2"/>
    <w:rsid w:val="1B801D2C"/>
    <w:rsid w:val="1BFC314F"/>
    <w:rsid w:val="1C9E1B58"/>
    <w:rsid w:val="1CE11AE5"/>
    <w:rsid w:val="1CE825B8"/>
    <w:rsid w:val="1D1C08BA"/>
    <w:rsid w:val="1DE970C5"/>
    <w:rsid w:val="1EB75C39"/>
    <w:rsid w:val="1F415CEB"/>
    <w:rsid w:val="1FA060F1"/>
    <w:rsid w:val="1FA94357"/>
    <w:rsid w:val="200D3E36"/>
    <w:rsid w:val="2116462E"/>
    <w:rsid w:val="21456A1F"/>
    <w:rsid w:val="21BF0647"/>
    <w:rsid w:val="22131B6D"/>
    <w:rsid w:val="22517CB1"/>
    <w:rsid w:val="225E730C"/>
    <w:rsid w:val="23AC2606"/>
    <w:rsid w:val="23BF0E1F"/>
    <w:rsid w:val="23E359CA"/>
    <w:rsid w:val="23FC3B97"/>
    <w:rsid w:val="244424B4"/>
    <w:rsid w:val="244A2186"/>
    <w:rsid w:val="24863E3C"/>
    <w:rsid w:val="248F710D"/>
    <w:rsid w:val="24CA5E5B"/>
    <w:rsid w:val="24D85EE9"/>
    <w:rsid w:val="25435721"/>
    <w:rsid w:val="26106D79"/>
    <w:rsid w:val="26CD196A"/>
    <w:rsid w:val="27171126"/>
    <w:rsid w:val="27190CAB"/>
    <w:rsid w:val="27550FA4"/>
    <w:rsid w:val="275C532C"/>
    <w:rsid w:val="27705E61"/>
    <w:rsid w:val="27832B59"/>
    <w:rsid w:val="27F6425C"/>
    <w:rsid w:val="28233295"/>
    <w:rsid w:val="28D3799D"/>
    <w:rsid w:val="28F51BF2"/>
    <w:rsid w:val="290A4C20"/>
    <w:rsid w:val="29A23BD4"/>
    <w:rsid w:val="29C9293B"/>
    <w:rsid w:val="29F62207"/>
    <w:rsid w:val="2A251233"/>
    <w:rsid w:val="2A6D04C4"/>
    <w:rsid w:val="2B27650D"/>
    <w:rsid w:val="2BA01B00"/>
    <w:rsid w:val="2BF54A7B"/>
    <w:rsid w:val="2C37335C"/>
    <w:rsid w:val="2C45620F"/>
    <w:rsid w:val="2C5C3886"/>
    <w:rsid w:val="2CBF08D0"/>
    <w:rsid w:val="2D214A86"/>
    <w:rsid w:val="2DE67921"/>
    <w:rsid w:val="2E056583"/>
    <w:rsid w:val="2E2D19E1"/>
    <w:rsid w:val="2E357C8D"/>
    <w:rsid w:val="2E954E11"/>
    <w:rsid w:val="2EFF5261"/>
    <w:rsid w:val="2F2041C5"/>
    <w:rsid w:val="2F733FFF"/>
    <w:rsid w:val="304113D5"/>
    <w:rsid w:val="304A155B"/>
    <w:rsid w:val="30E71B03"/>
    <w:rsid w:val="30FD1CB8"/>
    <w:rsid w:val="30FE666C"/>
    <w:rsid w:val="31655605"/>
    <w:rsid w:val="318328F6"/>
    <w:rsid w:val="3196072F"/>
    <w:rsid w:val="324F1054"/>
    <w:rsid w:val="32590640"/>
    <w:rsid w:val="33837E11"/>
    <w:rsid w:val="33E06739"/>
    <w:rsid w:val="342200CF"/>
    <w:rsid w:val="342A07E1"/>
    <w:rsid w:val="342F5D98"/>
    <w:rsid w:val="34860130"/>
    <w:rsid w:val="34F97AD0"/>
    <w:rsid w:val="359E59E6"/>
    <w:rsid w:val="359F0F01"/>
    <w:rsid w:val="35AE3E83"/>
    <w:rsid w:val="35CE1576"/>
    <w:rsid w:val="35D901BD"/>
    <w:rsid w:val="363B60FF"/>
    <w:rsid w:val="36461ED7"/>
    <w:rsid w:val="364A14FA"/>
    <w:rsid w:val="37792110"/>
    <w:rsid w:val="37E45315"/>
    <w:rsid w:val="384C284D"/>
    <w:rsid w:val="393557C2"/>
    <w:rsid w:val="398F1CE8"/>
    <w:rsid w:val="3A56176F"/>
    <w:rsid w:val="3A8E7E5D"/>
    <w:rsid w:val="3AA868F8"/>
    <w:rsid w:val="3AD34569"/>
    <w:rsid w:val="3AD34590"/>
    <w:rsid w:val="3B2D725D"/>
    <w:rsid w:val="3BD72577"/>
    <w:rsid w:val="3C0D25BB"/>
    <w:rsid w:val="3C1A7662"/>
    <w:rsid w:val="3C4D4FA9"/>
    <w:rsid w:val="3C4E4EB6"/>
    <w:rsid w:val="3C8E4619"/>
    <w:rsid w:val="3CE2587C"/>
    <w:rsid w:val="3D3711B6"/>
    <w:rsid w:val="3DF87E6E"/>
    <w:rsid w:val="3E68075C"/>
    <w:rsid w:val="3EA04FF3"/>
    <w:rsid w:val="3F31580E"/>
    <w:rsid w:val="3F3E7126"/>
    <w:rsid w:val="3FB61004"/>
    <w:rsid w:val="400F37BF"/>
    <w:rsid w:val="40B43400"/>
    <w:rsid w:val="40C352CE"/>
    <w:rsid w:val="40D16DF1"/>
    <w:rsid w:val="40E72E1D"/>
    <w:rsid w:val="41232676"/>
    <w:rsid w:val="419C0EF3"/>
    <w:rsid w:val="42944BB8"/>
    <w:rsid w:val="431455A5"/>
    <w:rsid w:val="436F7DD9"/>
    <w:rsid w:val="43AE272A"/>
    <w:rsid w:val="43B90901"/>
    <w:rsid w:val="43CA7ADD"/>
    <w:rsid w:val="43D16738"/>
    <w:rsid w:val="44572895"/>
    <w:rsid w:val="459960B4"/>
    <w:rsid w:val="45B86092"/>
    <w:rsid w:val="462B4C02"/>
    <w:rsid w:val="46EC7171"/>
    <w:rsid w:val="46F63E3C"/>
    <w:rsid w:val="46FC0DD5"/>
    <w:rsid w:val="47783F17"/>
    <w:rsid w:val="480D19CC"/>
    <w:rsid w:val="48266846"/>
    <w:rsid w:val="48C06C85"/>
    <w:rsid w:val="49005330"/>
    <w:rsid w:val="4A032FCD"/>
    <w:rsid w:val="4A216DB7"/>
    <w:rsid w:val="4AD9745F"/>
    <w:rsid w:val="4BEE0F7D"/>
    <w:rsid w:val="4D4974B5"/>
    <w:rsid w:val="4D6825F5"/>
    <w:rsid w:val="4EA17396"/>
    <w:rsid w:val="4EE169FF"/>
    <w:rsid w:val="4F1C5139"/>
    <w:rsid w:val="4F61304F"/>
    <w:rsid w:val="4FCF06B5"/>
    <w:rsid w:val="4FFF3D21"/>
    <w:rsid w:val="51043ACA"/>
    <w:rsid w:val="511A51B3"/>
    <w:rsid w:val="515627D8"/>
    <w:rsid w:val="51A82E25"/>
    <w:rsid w:val="51B804CE"/>
    <w:rsid w:val="520C7D4A"/>
    <w:rsid w:val="52C40803"/>
    <w:rsid w:val="52D47449"/>
    <w:rsid w:val="53192426"/>
    <w:rsid w:val="534A70A8"/>
    <w:rsid w:val="534D6540"/>
    <w:rsid w:val="539E07FC"/>
    <w:rsid w:val="53A40654"/>
    <w:rsid w:val="53E3487C"/>
    <w:rsid w:val="542C72E8"/>
    <w:rsid w:val="54BD55B0"/>
    <w:rsid w:val="55F6681C"/>
    <w:rsid w:val="56970D0F"/>
    <w:rsid w:val="571A77DF"/>
    <w:rsid w:val="572D508C"/>
    <w:rsid w:val="57654A31"/>
    <w:rsid w:val="57886AF0"/>
    <w:rsid w:val="578E53C8"/>
    <w:rsid w:val="57BA3436"/>
    <w:rsid w:val="580E264B"/>
    <w:rsid w:val="594E7704"/>
    <w:rsid w:val="59825B0C"/>
    <w:rsid w:val="59DA3ECF"/>
    <w:rsid w:val="5A1F4D08"/>
    <w:rsid w:val="5A5F5539"/>
    <w:rsid w:val="5A691530"/>
    <w:rsid w:val="5A6963EB"/>
    <w:rsid w:val="5AE236F2"/>
    <w:rsid w:val="5B135597"/>
    <w:rsid w:val="5B22484B"/>
    <w:rsid w:val="5B356EE0"/>
    <w:rsid w:val="5B4B5BCA"/>
    <w:rsid w:val="5B7406A2"/>
    <w:rsid w:val="5BB22859"/>
    <w:rsid w:val="5BBC75A4"/>
    <w:rsid w:val="5BE425C8"/>
    <w:rsid w:val="5C1275A8"/>
    <w:rsid w:val="5C171C63"/>
    <w:rsid w:val="5C693D90"/>
    <w:rsid w:val="5C9B21DE"/>
    <w:rsid w:val="5CF179B0"/>
    <w:rsid w:val="5D8E7346"/>
    <w:rsid w:val="5F630AD3"/>
    <w:rsid w:val="5F9A5D46"/>
    <w:rsid w:val="605D0E03"/>
    <w:rsid w:val="60616135"/>
    <w:rsid w:val="60B357D4"/>
    <w:rsid w:val="61DF3FED"/>
    <w:rsid w:val="6249471A"/>
    <w:rsid w:val="62AD08FA"/>
    <w:rsid w:val="62CC631F"/>
    <w:rsid w:val="63617019"/>
    <w:rsid w:val="638A0A2F"/>
    <w:rsid w:val="63C40913"/>
    <w:rsid w:val="63D551B0"/>
    <w:rsid w:val="6428747C"/>
    <w:rsid w:val="6441618F"/>
    <w:rsid w:val="644A7263"/>
    <w:rsid w:val="657C6AA7"/>
    <w:rsid w:val="65E30E48"/>
    <w:rsid w:val="6637200F"/>
    <w:rsid w:val="66A44562"/>
    <w:rsid w:val="66F568E3"/>
    <w:rsid w:val="671375EC"/>
    <w:rsid w:val="6752573B"/>
    <w:rsid w:val="67E97D7B"/>
    <w:rsid w:val="682E2EC8"/>
    <w:rsid w:val="68330A3C"/>
    <w:rsid w:val="6877748A"/>
    <w:rsid w:val="68A73651"/>
    <w:rsid w:val="68D8181C"/>
    <w:rsid w:val="68F22D2E"/>
    <w:rsid w:val="694113E1"/>
    <w:rsid w:val="696F7CCF"/>
    <w:rsid w:val="69DA49A1"/>
    <w:rsid w:val="6A263282"/>
    <w:rsid w:val="6A430DFE"/>
    <w:rsid w:val="6A811E42"/>
    <w:rsid w:val="6AB30C77"/>
    <w:rsid w:val="6AEC44EE"/>
    <w:rsid w:val="6B4F481A"/>
    <w:rsid w:val="6B7C41CE"/>
    <w:rsid w:val="6BB73E72"/>
    <w:rsid w:val="6BD55655"/>
    <w:rsid w:val="6C0B71D9"/>
    <w:rsid w:val="6C6E2934"/>
    <w:rsid w:val="6C6E3FED"/>
    <w:rsid w:val="6CCB64FE"/>
    <w:rsid w:val="6DC56E75"/>
    <w:rsid w:val="6E221A17"/>
    <w:rsid w:val="6E5F2811"/>
    <w:rsid w:val="6E863529"/>
    <w:rsid w:val="6F053B1A"/>
    <w:rsid w:val="6F091D13"/>
    <w:rsid w:val="6F221D0A"/>
    <w:rsid w:val="6F2810FC"/>
    <w:rsid w:val="6F4D6995"/>
    <w:rsid w:val="6F513699"/>
    <w:rsid w:val="6F7C2BCA"/>
    <w:rsid w:val="6F834209"/>
    <w:rsid w:val="704F5BE2"/>
    <w:rsid w:val="70607547"/>
    <w:rsid w:val="706758D9"/>
    <w:rsid w:val="70EA2C9F"/>
    <w:rsid w:val="71EA50EF"/>
    <w:rsid w:val="72A4003F"/>
    <w:rsid w:val="72A76602"/>
    <w:rsid w:val="72B072F2"/>
    <w:rsid w:val="72BB74BB"/>
    <w:rsid w:val="72FC4EBC"/>
    <w:rsid w:val="734E3FF8"/>
    <w:rsid w:val="734F6ADC"/>
    <w:rsid w:val="73E11A24"/>
    <w:rsid w:val="74541F2E"/>
    <w:rsid w:val="74B27BCC"/>
    <w:rsid w:val="74D86FD2"/>
    <w:rsid w:val="75B467ED"/>
    <w:rsid w:val="76484006"/>
    <w:rsid w:val="76553B71"/>
    <w:rsid w:val="768D1F11"/>
    <w:rsid w:val="76905E6F"/>
    <w:rsid w:val="77086AC8"/>
    <w:rsid w:val="77945070"/>
    <w:rsid w:val="779C1096"/>
    <w:rsid w:val="77C720FB"/>
    <w:rsid w:val="781C0757"/>
    <w:rsid w:val="78327A5B"/>
    <w:rsid w:val="78DC76BA"/>
    <w:rsid w:val="79154E31"/>
    <w:rsid w:val="792A5615"/>
    <w:rsid w:val="79B404E7"/>
    <w:rsid w:val="79E968A0"/>
    <w:rsid w:val="7A0E1947"/>
    <w:rsid w:val="7ACA3826"/>
    <w:rsid w:val="7AFB0585"/>
    <w:rsid w:val="7B28363D"/>
    <w:rsid w:val="7B2F0DA2"/>
    <w:rsid w:val="7B4351E9"/>
    <w:rsid w:val="7B587DC7"/>
    <w:rsid w:val="7B7758D8"/>
    <w:rsid w:val="7BE93E31"/>
    <w:rsid w:val="7C031902"/>
    <w:rsid w:val="7C3D0F57"/>
    <w:rsid w:val="7C665B94"/>
    <w:rsid w:val="7CB451DB"/>
    <w:rsid w:val="7D54702D"/>
    <w:rsid w:val="7D5D77BB"/>
    <w:rsid w:val="7DB400CB"/>
    <w:rsid w:val="7DBF4249"/>
    <w:rsid w:val="7E0B2713"/>
    <w:rsid w:val="7E1507E5"/>
    <w:rsid w:val="7E1C15AE"/>
    <w:rsid w:val="7E54456A"/>
    <w:rsid w:val="7E8629E7"/>
    <w:rsid w:val="7F043992"/>
    <w:rsid w:val="7F346099"/>
    <w:rsid w:val="7F924BEC"/>
    <w:rsid w:val="7FB8716E"/>
    <w:rsid w:val="7FE500F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7"/>
    <w:autoRedefine/>
    <w:qFormat/>
    <w:uiPriority w:val="0"/>
    <w:pPr>
      <w:keepNext/>
      <w:spacing w:line="216" w:lineRule="auto"/>
      <w:jc w:val="center"/>
      <w:outlineLvl w:val="0"/>
    </w:pPr>
    <w:rPr>
      <w:rFonts w:ascii="宋体" w:hAnsi="宋体"/>
      <w:b/>
      <w:sz w:val="30"/>
      <w:szCs w:val="20"/>
    </w:rPr>
  </w:style>
  <w:style w:type="paragraph" w:styleId="5">
    <w:name w:val="heading 2"/>
    <w:basedOn w:val="1"/>
    <w:next w:val="6"/>
    <w:link w:val="36"/>
    <w:autoRedefine/>
    <w:qFormat/>
    <w:uiPriority w:val="0"/>
    <w:pPr>
      <w:keepNext/>
      <w:spacing w:line="216" w:lineRule="auto"/>
      <w:outlineLvl w:val="1"/>
    </w:pPr>
    <w:rPr>
      <w:rFonts w:ascii="宋体"/>
      <w:b/>
      <w:sz w:val="28"/>
      <w:szCs w:val="20"/>
    </w:rPr>
  </w:style>
  <w:style w:type="paragraph" w:styleId="7">
    <w:name w:val="heading 3"/>
    <w:basedOn w:val="1"/>
    <w:next w:val="1"/>
    <w:autoRedefine/>
    <w:qFormat/>
    <w:uiPriority w:val="0"/>
    <w:pPr>
      <w:keepNext/>
      <w:numPr>
        <w:ilvl w:val="0"/>
        <w:numId w:val="1"/>
      </w:numPr>
      <w:spacing w:line="216" w:lineRule="auto"/>
      <w:outlineLvl w:val="2"/>
    </w:pPr>
    <w:rPr>
      <w:rFonts w:ascii="宋体"/>
      <w:b/>
      <w:bCs/>
      <w:sz w:val="28"/>
      <w:szCs w:val="20"/>
    </w:rPr>
  </w:style>
  <w:style w:type="paragraph" w:styleId="8">
    <w:name w:val="heading 4"/>
    <w:basedOn w:val="1"/>
    <w:next w:val="6"/>
    <w:autoRedefine/>
    <w:qFormat/>
    <w:uiPriority w:val="0"/>
    <w:pPr>
      <w:keepNext/>
      <w:numPr>
        <w:ilvl w:val="0"/>
        <w:numId w:val="2"/>
      </w:numPr>
      <w:spacing w:line="216" w:lineRule="auto"/>
      <w:outlineLvl w:val="3"/>
    </w:pPr>
    <w:rPr>
      <w:rFonts w:ascii="黑体" w:eastAsia="黑体"/>
      <w:b/>
      <w:sz w:val="24"/>
      <w:szCs w:val="20"/>
    </w:rPr>
  </w:style>
  <w:style w:type="paragraph" w:styleId="9">
    <w:name w:val="heading 6"/>
    <w:basedOn w:val="1"/>
    <w:next w:val="1"/>
    <w:autoRedefine/>
    <w:qFormat/>
    <w:uiPriority w:val="0"/>
    <w:pPr>
      <w:keepNext/>
      <w:keepLines/>
      <w:spacing w:before="240" w:after="64" w:line="317" w:lineRule="auto"/>
      <w:outlineLvl w:val="5"/>
    </w:pPr>
    <w:rPr>
      <w:rFonts w:ascii="Cambria" w:hAnsi="Cambria"/>
      <w:b/>
      <w:bCs/>
      <w:sz w:val="24"/>
      <w:szCs w:val="24"/>
    </w:rPr>
  </w:style>
  <w:style w:type="character" w:default="1" w:styleId="31">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41"/>
    <w:autoRedefine/>
    <w:qFormat/>
    <w:uiPriority w:val="0"/>
    <w:pPr>
      <w:ind w:firstLine="420" w:firstLineChars="200"/>
    </w:pPr>
  </w:style>
  <w:style w:type="paragraph" w:styleId="3">
    <w:name w:val="Body Text Indent"/>
    <w:basedOn w:val="1"/>
    <w:link w:val="39"/>
    <w:autoRedefine/>
    <w:qFormat/>
    <w:uiPriority w:val="0"/>
    <w:pPr>
      <w:spacing w:after="120"/>
      <w:ind w:left="420" w:leftChars="200"/>
    </w:pPr>
  </w:style>
  <w:style w:type="paragraph" w:styleId="6">
    <w:name w:val="Normal Indent"/>
    <w:basedOn w:val="1"/>
    <w:next w:val="1"/>
    <w:autoRedefine/>
    <w:qFormat/>
    <w:uiPriority w:val="0"/>
    <w:pPr>
      <w:ind w:firstLine="420"/>
    </w:pPr>
    <w:rPr>
      <w:szCs w:val="20"/>
    </w:rPr>
  </w:style>
  <w:style w:type="paragraph" w:styleId="10">
    <w:name w:val="toc 7"/>
    <w:basedOn w:val="1"/>
    <w:next w:val="1"/>
    <w:autoRedefine/>
    <w:semiHidden/>
    <w:qFormat/>
    <w:uiPriority w:val="0"/>
    <w:pPr>
      <w:ind w:left="2520" w:leftChars="1200"/>
    </w:pPr>
  </w:style>
  <w:style w:type="paragraph" w:styleId="11">
    <w:name w:val="annotation text"/>
    <w:basedOn w:val="1"/>
    <w:link w:val="38"/>
    <w:autoRedefine/>
    <w:qFormat/>
    <w:uiPriority w:val="0"/>
    <w:pPr>
      <w:adjustRightInd w:val="0"/>
      <w:jc w:val="left"/>
    </w:pPr>
  </w:style>
  <w:style w:type="paragraph" w:styleId="12">
    <w:name w:val="Body Text"/>
    <w:basedOn w:val="1"/>
    <w:next w:val="1"/>
    <w:autoRedefine/>
    <w:qFormat/>
    <w:uiPriority w:val="0"/>
    <w:pPr>
      <w:autoSpaceDE w:val="0"/>
      <w:autoSpaceDN w:val="0"/>
      <w:adjustRightInd w:val="0"/>
      <w:spacing w:line="360" w:lineRule="auto"/>
    </w:pPr>
    <w:rPr>
      <w:rFonts w:ascii="宋体" w:hAnsi="Arial" w:cs="Arial"/>
      <w:snapToGrid w:val="0"/>
      <w:sz w:val="24"/>
      <w:szCs w:val="21"/>
      <w:lang w:val="zh-CN"/>
    </w:rPr>
  </w:style>
  <w:style w:type="paragraph" w:styleId="13">
    <w:name w:val="toc 5"/>
    <w:basedOn w:val="1"/>
    <w:next w:val="1"/>
    <w:autoRedefine/>
    <w:semiHidden/>
    <w:qFormat/>
    <w:uiPriority w:val="0"/>
    <w:pPr>
      <w:ind w:left="1680" w:leftChars="800"/>
    </w:pPr>
  </w:style>
  <w:style w:type="paragraph" w:styleId="14">
    <w:name w:val="toc 3"/>
    <w:basedOn w:val="1"/>
    <w:next w:val="1"/>
    <w:autoRedefine/>
    <w:semiHidden/>
    <w:qFormat/>
    <w:uiPriority w:val="0"/>
    <w:pPr>
      <w:ind w:left="840" w:leftChars="400"/>
    </w:pPr>
  </w:style>
  <w:style w:type="paragraph" w:styleId="15">
    <w:name w:val="Plain Text"/>
    <w:basedOn w:val="1"/>
    <w:next w:val="1"/>
    <w:link w:val="40"/>
    <w:autoRedefine/>
    <w:qFormat/>
    <w:uiPriority w:val="0"/>
    <w:rPr>
      <w:rFonts w:ascii="宋体" w:hAnsi="Courier New" w:cs="Courier New"/>
      <w:szCs w:val="21"/>
    </w:rPr>
  </w:style>
  <w:style w:type="paragraph" w:styleId="16">
    <w:name w:val="toc 8"/>
    <w:basedOn w:val="1"/>
    <w:next w:val="1"/>
    <w:autoRedefine/>
    <w:semiHidden/>
    <w:qFormat/>
    <w:uiPriority w:val="0"/>
    <w:pPr>
      <w:ind w:left="2940" w:leftChars="1400"/>
    </w:pPr>
  </w:style>
  <w:style w:type="paragraph" w:styleId="17">
    <w:name w:val="Date"/>
    <w:basedOn w:val="1"/>
    <w:next w:val="1"/>
    <w:autoRedefine/>
    <w:qFormat/>
    <w:uiPriority w:val="0"/>
    <w:pPr>
      <w:ind w:left="100" w:leftChars="2500"/>
    </w:pPr>
    <w:rPr>
      <w:rFonts w:ascii="宋体" w:hAnsi="宋体"/>
      <w:color w:val="000000"/>
      <w:sz w:val="24"/>
    </w:rPr>
  </w:style>
  <w:style w:type="paragraph" w:styleId="18">
    <w:name w:val="Balloon Text"/>
    <w:basedOn w:val="1"/>
    <w:autoRedefine/>
    <w:semiHidden/>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szCs w:val="18"/>
    </w:rPr>
  </w:style>
  <w:style w:type="paragraph" w:styleId="20">
    <w:name w:val="header"/>
    <w:basedOn w:val="1"/>
    <w:autoRedefine/>
    <w:qFormat/>
    <w:uiPriority w:val="0"/>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21">
    <w:name w:val="toc 1"/>
    <w:basedOn w:val="1"/>
    <w:next w:val="1"/>
    <w:autoRedefine/>
    <w:semiHidden/>
    <w:qFormat/>
    <w:uiPriority w:val="0"/>
  </w:style>
  <w:style w:type="paragraph" w:styleId="22">
    <w:name w:val="toc 4"/>
    <w:basedOn w:val="1"/>
    <w:next w:val="1"/>
    <w:autoRedefine/>
    <w:semiHidden/>
    <w:qFormat/>
    <w:uiPriority w:val="0"/>
    <w:pPr>
      <w:ind w:left="1260" w:leftChars="600"/>
    </w:pPr>
  </w:style>
  <w:style w:type="paragraph" w:styleId="23">
    <w:name w:val="toc 6"/>
    <w:basedOn w:val="1"/>
    <w:next w:val="1"/>
    <w:autoRedefine/>
    <w:semiHidden/>
    <w:qFormat/>
    <w:uiPriority w:val="0"/>
    <w:pPr>
      <w:ind w:left="2100" w:leftChars="1000"/>
    </w:pPr>
  </w:style>
  <w:style w:type="paragraph" w:styleId="24">
    <w:name w:val="Body Text Indent 3"/>
    <w:basedOn w:val="1"/>
    <w:autoRedefine/>
    <w:qFormat/>
    <w:uiPriority w:val="0"/>
    <w:pPr>
      <w:spacing w:after="120"/>
      <w:ind w:left="420" w:leftChars="200"/>
    </w:pPr>
    <w:rPr>
      <w:sz w:val="16"/>
      <w:szCs w:val="16"/>
    </w:rPr>
  </w:style>
  <w:style w:type="paragraph" w:styleId="25">
    <w:name w:val="toc 2"/>
    <w:basedOn w:val="1"/>
    <w:next w:val="1"/>
    <w:autoRedefine/>
    <w:semiHidden/>
    <w:qFormat/>
    <w:uiPriority w:val="0"/>
    <w:pPr>
      <w:ind w:left="420" w:leftChars="200"/>
    </w:pPr>
  </w:style>
  <w:style w:type="paragraph" w:styleId="26">
    <w:name w:val="toc 9"/>
    <w:basedOn w:val="1"/>
    <w:next w:val="1"/>
    <w:autoRedefine/>
    <w:semiHidden/>
    <w:qFormat/>
    <w:uiPriority w:val="0"/>
    <w:pPr>
      <w:ind w:left="3360" w:leftChars="1600"/>
    </w:pPr>
  </w:style>
  <w:style w:type="paragraph" w:styleId="2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8">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29">
    <w:name w:val="Body Text First Indent"/>
    <w:basedOn w:val="12"/>
    <w:next w:val="23"/>
    <w:autoRedefine/>
    <w:qFormat/>
    <w:uiPriority w:val="99"/>
    <w:pPr>
      <w:ind w:firstLine="420" w:firstLineChars="100"/>
    </w:pPr>
  </w:style>
  <w:style w:type="character" w:styleId="32">
    <w:name w:val="page number"/>
    <w:basedOn w:val="31"/>
    <w:autoRedefine/>
    <w:qFormat/>
    <w:uiPriority w:val="0"/>
  </w:style>
  <w:style w:type="character" w:styleId="33">
    <w:name w:val="FollowedHyperlink"/>
    <w:autoRedefine/>
    <w:qFormat/>
    <w:uiPriority w:val="0"/>
    <w:rPr>
      <w:color w:val="800080"/>
      <w:u w:val="single"/>
    </w:rPr>
  </w:style>
  <w:style w:type="character" w:styleId="34">
    <w:name w:val="Hyperlink"/>
    <w:autoRedefine/>
    <w:qFormat/>
    <w:uiPriority w:val="0"/>
    <w:rPr>
      <w:color w:val="0000FF"/>
      <w:u w:val="single"/>
    </w:rPr>
  </w:style>
  <w:style w:type="paragraph" w:customStyle="1" w:styleId="35">
    <w:name w:val="_Style 3"/>
    <w:basedOn w:val="1"/>
    <w:autoRedefine/>
    <w:qFormat/>
    <w:uiPriority w:val="0"/>
    <w:pPr>
      <w:adjustRightInd/>
      <w:ind w:firstLine="420" w:firstLineChars="200"/>
    </w:pPr>
    <w:rPr>
      <w:rFonts w:eastAsia="仿宋_GB2312"/>
      <w:sz w:val="28"/>
    </w:rPr>
  </w:style>
  <w:style w:type="character" w:customStyle="1" w:styleId="36">
    <w:name w:val="标题 2 Char"/>
    <w:basedOn w:val="31"/>
    <w:link w:val="5"/>
    <w:autoRedefine/>
    <w:qFormat/>
    <w:uiPriority w:val="0"/>
    <w:rPr>
      <w:rFonts w:ascii="宋体"/>
      <w:b/>
      <w:kern w:val="2"/>
      <w:sz w:val="28"/>
    </w:rPr>
  </w:style>
  <w:style w:type="character" w:customStyle="1" w:styleId="37">
    <w:name w:val="标题 1 Char"/>
    <w:basedOn w:val="31"/>
    <w:link w:val="4"/>
    <w:autoRedefine/>
    <w:qFormat/>
    <w:uiPriority w:val="0"/>
    <w:rPr>
      <w:rFonts w:ascii="宋体" w:hAnsi="宋体"/>
      <w:b/>
      <w:kern w:val="2"/>
      <w:sz w:val="30"/>
    </w:rPr>
  </w:style>
  <w:style w:type="character" w:customStyle="1" w:styleId="38">
    <w:name w:val="批注文字 Char"/>
    <w:link w:val="11"/>
    <w:autoRedefine/>
    <w:qFormat/>
    <w:uiPriority w:val="0"/>
    <w:rPr>
      <w:kern w:val="2"/>
      <w:sz w:val="21"/>
      <w:szCs w:val="24"/>
      <w:lang w:bidi="ar-SA"/>
    </w:rPr>
  </w:style>
  <w:style w:type="character" w:customStyle="1" w:styleId="39">
    <w:name w:val="正文文本缩进 Char"/>
    <w:basedOn w:val="31"/>
    <w:link w:val="3"/>
    <w:autoRedefine/>
    <w:qFormat/>
    <w:uiPriority w:val="0"/>
    <w:rPr>
      <w:kern w:val="2"/>
      <w:sz w:val="21"/>
      <w:szCs w:val="24"/>
    </w:rPr>
  </w:style>
  <w:style w:type="character" w:customStyle="1" w:styleId="40">
    <w:name w:val="纯文本 Char"/>
    <w:link w:val="15"/>
    <w:autoRedefine/>
    <w:qFormat/>
    <w:locked/>
    <w:uiPriority w:val="0"/>
    <w:rPr>
      <w:rFonts w:ascii="宋体" w:hAnsi="Courier New" w:eastAsia="宋体" w:cs="Courier New"/>
      <w:kern w:val="2"/>
      <w:sz w:val="21"/>
      <w:szCs w:val="21"/>
      <w:lang w:val="en-US" w:eastAsia="zh-CN" w:bidi="ar-SA"/>
    </w:rPr>
  </w:style>
  <w:style w:type="character" w:customStyle="1" w:styleId="41">
    <w:name w:val="正文首行缩进 2 Char"/>
    <w:basedOn w:val="39"/>
    <w:link w:val="2"/>
    <w:autoRedefine/>
    <w:qFormat/>
    <w:uiPriority w:val="0"/>
  </w:style>
  <w:style w:type="character" w:customStyle="1" w:styleId="42">
    <w:name w:val="Char Char26"/>
    <w:autoRedefine/>
    <w:qFormat/>
    <w:uiPriority w:val="0"/>
    <w:rPr>
      <w:rFonts w:ascii="宋体" w:hAnsi="Courier New" w:eastAsia="宋体" w:cs="Arial"/>
      <w:snapToGrid w:val="0"/>
      <w:kern w:val="2"/>
      <w:sz w:val="21"/>
      <w:szCs w:val="21"/>
      <w:lang w:val="en-US" w:eastAsia="zh-CN" w:bidi="ar-SA"/>
    </w:rPr>
  </w:style>
  <w:style w:type="character" w:customStyle="1" w:styleId="43">
    <w:name w:val="正文2 Char Char"/>
    <w:link w:val="44"/>
    <w:autoRedefine/>
    <w:qFormat/>
    <w:uiPriority w:val="0"/>
    <w:rPr>
      <w:rFonts w:eastAsia="宋体"/>
      <w:kern w:val="2"/>
      <w:sz w:val="24"/>
      <w:lang w:val="en-US" w:eastAsia="zh-CN" w:bidi="ar-SA"/>
    </w:rPr>
  </w:style>
  <w:style w:type="paragraph" w:customStyle="1" w:styleId="44">
    <w:name w:val="正文2"/>
    <w:basedOn w:val="45"/>
    <w:link w:val="43"/>
    <w:autoRedefine/>
    <w:qFormat/>
    <w:uiPriority w:val="0"/>
    <w:pPr>
      <w:adjustRightInd w:val="0"/>
      <w:spacing w:before="156" w:line="360" w:lineRule="auto"/>
      <w:ind w:firstLine="510" w:firstLineChars="200"/>
    </w:pPr>
    <w:rPr>
      <w:sz w:val="24"/>
      <w:szCs w:val="20"/>
    </w:rPr>
  </w:style>
  <w:style w:type="paragraph" w:customStyle="1" w:styleId="45">
    <w:name w:val="Normal"/>
    <w:basedOn w:val="1"/>
    <w:autoRedefine/>
    <w:qFormat/>
    <w:uiPriority w:val="0"/>
    <w:rPr>
      <w:rFonts w:ascii="宋体" w:hAnsi="宋体" w:cs="宋体"/>
      <w:szCs w:val="21"/>
    </w:rPr>
  </w:style>
  <w:style w:type="character" w:customStyle="1" w:styleId="46">
    <w:name w:val="普通文字 Char Char Char1"/>
    <w:autoRedefine/>
    <w:qFormat/>
    <w:uiPriority w:val="0"/>
    <w:rPr>
      <w:rFonts w:ascii="宋体" w:hAnsi="Courier New" w:eastAsia="宋体"/>
      <w:kern w:val="2"/>
      <w:sz w:val="21"/>
      <w:lang w:val="en-US" w:eastAsia="zh-CN" w:bidi="ar-SA"/>
    </w:rPr>
  </w:style>
  <w:style w:type="paragraph" w:customStyle="1" w:styleId="47">
    <w:name w:val="Char Char Char Char1"/>
    <w:basedOn w:val="1"/>
    <w:autoRedefine/>
    <w:qFormat/>
    <w:uiPriority w:val="0"/>
    <w:rPr>
      <w:rFonts w:ascii="Tahoma" w:hAnsi="Tahoma"/>
      <w:sz w:val="24"/>
      <w:szCs w:val="20"/>
    </w:rPr>
  </w:style>
  <w:style w:type="paragraph" w:customStyle="1" w:styleId="48">
    <w:name w:val="正文1"/>
    <w:basedOn w:val="1"/>
    <w:autoRedefine/>
    <w:qFormat/>
    <w:uiPriority w:val="0"/>
    <w:rPr>
      <w:rFonts w:ascii="宋体" w:hAnsi="宋体" w:cs="宋体"/>
      <w:szCs w:val="21"/>
    </w:rPr>
  </w:style>
  <w:style w:type="character" w:customStyle="1" w:styleId="49">
    <w:name w:val="NormalCharacter"/>
    <w:autoRedefine/>
    <w:semiHidden/>
    <w:qFormat/>
    <w:uiPriority w:val="0"/>
  </w:style>
  <w:style w:type="paragraph" w:customStyle="1" w:styleId="50">
    <w:name w:val="列出段落1"/>
    <w:basedOn w:val="1"/>
    <w:autoRedefine/>
    <w:qFormat/>
    <w:uiPriority w:val="0"/>
    <w:pPr>
      <w:ind w:firstLine="420" w:firstLineChars="200"/>
    </w:pPr>
    <w:rPr>
      <w:rFonts w:ascii="Calibri" w:hAnsi="Calibri"/>
      <w:szCs w:val="21"/>
    </w:rPr>
  </w:style>
  <w:style w:type="paragraph" w:customStyle="1" w:styleId="51">
    <w:name w:val="xl53"/>
    <w:basedOn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customStyle="1" w:styleId="52">
    <w:name w:val="*正文"/>
    <w:basedOn w:val="1"/>
    <w:autoRedefine/>
    <w:qFormat/>
    <w:uiPriority w:val="0"/>
    <w:pPr>
      <w:spacing w:line="300" w:lineRule="auto"/>
      <w:ind w:firstLine="480"/>
    </w:pPr>
    <w:rPr>
      <w:rFonts w:ascii="宋体" w:hAnsi="宋体" w:cs="仿宋_GB2312"/>
      <w:kern w:val="0"/>
      <w:sz w:val="20"/>
      <w:szCs w:val="21"/>
    </w:rPr>
  </w:style>
  <w:style w:type="character" w:customStyle="1" w:styleId="53">
    <w:name w:val="font21"/>
    <w:basedOn w:val="31"/>
    <w:autoRedefine/>
    <w:qFormat/>
    <w:uiPriority w:val="0"/>
    <w:rPr>
      <w:rFonts w:hint="eastAsia" w:ascii="宋体" w:hAnsi="宋体" w:eastAsia="宋体" w:cs="宋体"/>
      <w:color w:val="FF0000"/>
      <w:sz w:val="22"/>
      <w:szCs w:val="22"/>
      <w:u w:val="none"/>
    </w:rPr>
  </w:style>
  <w:style w:type="character" w:customStyle="1" w:styleId="54">
    <w:name w:val="font11"/>
    <w:basedOn w:val="31"/>
    <w:autoRedefine/>
    <w:qFormat/>
    <w:uiPriority w:val="0"/>
    <w:rPr>
      <w:rFonts w:hint="eastAsia" w:ascii="宋体" w:hAnsi="宋体" w:eastAsia="宋体" w:cs="宋体"/>
      <w:color w:val="FF0000"/>
      <w:sz w:val="20"/>
      <w:szCs w:val="20"/>
      <w:u w:val="none"/>
    </w:rPr>
  </w:style>
  <w:style w:type="paragraph" w:customStyle="1" w:styleId="55">
    <w:name w:val="列出段落2"/>
    <w:basedOn w:val="1"/>
    <w:autoRedefine/>
    <w:qFormat/>
    <w:uiPriority w:val="34"/>
    <w:pPr>
      <w:widowControl/>
      <w:spacing w:before="100" w:beforeAutospacing="1" w:after="100" w:afterAutospacing="1"/>
      <w:jc w:val="left"/>
    </w:pPr>
    <w:rPr>
      <w:rFonts w:ascii="黑体" w:hAnsi="黑体" w:eastAsia="黑体"/>
      <w:color w:val="000000"/>
      <w:kern w:val="0"/>
      <w:sz w:val="24"/>
    </w:rPr>
  </w:style>
  <w:style w:type="paragraph" w:customStyle="1" w:styleId="56">
    <w:name w:val="Body Text First Indent1"/>
    <w:basedOn w:val="12"/>
    <w:autoRedefine/>
    <w:qFormat/>
    <w:uiPriority w:val="0"/>
    <w:pPr>
      <w:tabs>
        <w:tab w:val="left" w:pos="1275"/>
      </w:tabs>
      <w:autoSpaceDE/>
      <w:autoSpaceDN/>
      <w:adjustRightInd/>
      <w:spacing w:after="120" w:line="240" w:lineRule="auto"/>
      <w:ind w:firstLine="420" w:firstLineChars="100"/>
    </w:pPr>
    <w:rPr>
      <w:rFonts w:ascii="Times New Roman" w:hAnsi="Times New Roman" w:cs="Times New Roman"/>
      <w:snapToGrid/>
      <w:sz w:val="21"/>
      <w:szCs w:val="24"/>
      <w:lang w:val="en-US"/>
    </w:rPr>
  </w:style>
  <w:style w:type="paragraph" w:styleId="57">
    <w:name w:val="List Paragraph"/>
    <w:basedOn w:val="1"/>
    <w:autoRedefine/>
    <w:qFormat/>
    <w:uiPriority w:val="34"/>
    <w:pPr>
      <w:widowControl/>
      <w:spacing w:before="100" w:beforeAutospacing="1" w:after="100" w:afterAutospacing="1"/>
      <w:jc w:val="left"/>
    </w:pPr>
    <w:rPr>
      <w:rFonts w:ascii="黑体" w:hAnsi="黑体" w:eastAsia="黑体"/>
      <w:color w:val="000000"/>
      <w:kern w:val="0"/>
      <w:sz w:val="24"/>
    </w:rPr>
  </w:style>
  <w:style w:type="paragraph" w:customStyle="1" w:styleId="58">
    <w:name w:val="1"/>
    <w:basedOn w:val="1"/>
    <w:autoRedefine/>
    <w:qFormat/>
    <w:uiPriority w:val="0"/>
    <w:pPr>
      <w:widowControl/>
      <w:spacing w:before="100" w:beforeAutospacing="1" w:after="100" w:afterAutospacing="1" w:line="600" w:lineRule="atLeast"/>
      <w:jc w:val="left"/>
    </w:pPr>
    <w:rPr>
      <w:rFonts w:ascii="宋体" w:hAnsi="宋体" w:cs="宋体"/>
      <w:color w:val="000000"/>
      <w:kern w:val="0"/>
      <w:szCs w:val="21"/>
    </w:rPr>
  </w:style>
  <w:style w:type="paragraph" w:customStyle="1" w:styleId="59">
    <w:name w:val="正文11"/>
    <w:autoRedefine/>
    <w:qFormat/>
    <w:uiPriority w:val="0"/>
    <w:pPr>
      <w:widowControl w:val="0"/>
      <w:suppressAutoHyphens w:val="0"/>
      <w:bidi w:val="0"/>
      <w:spacing w:beforeLines="0" w:beforeAutospacing="0" w:afterLines="0" w:afterAutospacing="0"/>
      <w:jc w:val="both"/>
    </w:pPr>
    <w:rPr>
      <w:rFonts w:asciiTheme="minorHAnsi" w:hAnsiTheme="minorHAnsi" w:eastAsiaTheme="minorEastAsia" w:cstheme="minorBidi"/>
      <w:color w:val="auto"/>
      <w:kern w:val="2"/>
      <w:sz w:val="21"/>
      <w:szCs w:val="24"/>
      <w:lang w:val="en-US" w:eastAsia="zh-CN" w:bidi="ar-SA"/>
    </w:rPr>
  </w:style>
  <w:style w:type="character" w:customStyle="1" w:styleId="60">
    <w:name w:val="font31"/>
    <w:basedOn w:val="31"/>
    <w:autoRedefine/>
    <w:qFormat/>
    <w:uiPriority w:val="0"/>
    <w:rPr>
      <w:rFonts w:hint="default" w:ascii="Arial" w:hAnsi="Arial" w:cs="Arial"/>
      <w:color w:val="000000"/>
      <w:sz w:val="20"/>
      <w:szCs w:val="20"/>
      <w:u w:val="none"/>
    </w:rPr>
  </w:style>
  <w:style w:type="character" w:customStyle="1" w:styleId="61">
    <w:name w:val="font41"/>
    <w:basedOn w:val="31"/>
    <w:autoRedefine/>
    <w:qFormat/>
    <w:uiPriority w:val="0"/>
    <w:rPr>
      <w:rFonts w:hint="eastAsia" w:ascii="宋体" w:hAnsi="宋体" w:eastAsia="宋体" w:cs="宋体"/>
      <w:color w:val="000000"/>
      <w:sz w:val="20"/>
      <w:szCs w:val="20"/>
      <w:u w:val="none"/>
    </w:rPr>
  </w:style>
  <w:style w:type="character" w:customStyle="1" w:styleId="62">
    <w:name w:val="font61"/>
    <w:basedOn w:val="31"/>
    <w:autoRedefine/>
    <w:qFormat/>
    <w:uiPriority w:val="0"/>
    <w:rPr>
      <w:rFonts w:hint="eastAsia" w:ascii="宋体" w:hAnsi="宋体" w:eastAsia="宋体" w:cs="宋体"/>
      <w:b/>
      <w:bCs/>
      <w:color w:val="000000"/>
      <w:sz w:val="22"/>
      <w:szCs w:val="22"/>
      <w:u w:val="none"/>
    </w:rPr>
  </w:style>
  <w:style w:type="character" w:customStyle="1" w:styleId="63">
    <w:name w:val="font01"/>
    <w:basedOn w:val="31"/>
    <w:autoRedefine/>
    <w:qFormat/>
    <w:uiPriority w:val="0"/>
    <w:rPr>
      <w:rFonts w:hint="eastAsia" w:ascii="宋体" w:hAnsi="宋体" w:eastAsia="宋体" w:cs="宋体"/>
      <w:color w:val="000000"/>
      <w:sz w:val="22"/>
      <w:szCs w:val="22"/>
      <w:u w:val="none"/>
    </w:rPr>
  </w:style>
  <w:style w:type="character" w:customStyle="1" w:styleId="64">
    <w:name w:val="font51"/>
    <w:basedOn w:val="31"/>
    <w:autoRedefine/>
    <w:qFormat/>
    <w:uiPriority w:val="0"/>
    <w:rPr>
      <w:rFonts w:hint="eastAsia" w:ascii="宋体" w:hAnsi="宋体" w:eastAsia="宋体" w:cs="宋体"/>
      <w:color w:val="000000"/>
      <w:sz w:val="21"/>
      <w:szCs w:val="21"/>
      <w:u w:val="none"/>
    </w:rPr>
  </w:style>
  <w:style w:type="character" w:customStyle="1" w:styleId="65">
    <w:name w:val="font81"/>
    <w:basedOn w:val="31"/>
    <w:autoRedefine/>
    <w:qFormat/>
    <w:uiPriority w:val="0"/>
    <w:rPr>
      <w:rFonts w:hint="eastAsia" w:ascii="宋体" w:hAnsi="宋体" w:eastAsia="宋体" w:cs="宋体"/>
      <w:color w:val="000000"/>
      <w:sz w:val="18"/>
      <w:szCs w:val="18"/>
      <w:u w:val="none"/>
    </w:rPr>
  </w:style>
  <w:style w:type="character" w:customStyle="1" w:styleId="66">
    <w:name w:val="font131"/>
    <w:basedOn w:val="31"/>
    <w:autoRedefine/>
    <w:qFormat/>
    <w:uiPriority w:val="0"/>
    <w:rPr>
      <w:rFonts w:hint="eastAsia" w:ascii="宋体" w:hAnsi="宋体" w:eastAsia="宋体" w:cs="宋体"/>
      <w:color w:val="000000"/>
      <w:sz w:val="21"/>
      <w:szCs w:val="21"/>
      <w:u w:val="none"/>
      <w:vertAlign w:val="superscript"/>
    </w:rPr>
  </w:style>
  <w:style w:type="character" w:customStyle="1" w:styleId="67">
    <w:name w:val="font141"/>
    <w:basedOn w:val="31"/>
    <w:autoRedefine/>
    <w:qFormat/>
    <w:uiPriority w:val="0"/>
    <w:rPr>
      <w:rFonts w:hint="eastAsia" w:ascii="宋体" w:hAnsi="宋体" w:eastAsia="宋体" w:cs="宋体"/>
      <w:color w:val="000000"/>
      <w:sz w:val="18"/>
      <w:szCs w:val="18"/>
      <w:u w:val="none"/>
      <w:vertAlign w:val="superscript"/>
    </w:rPr>
  </w:style>
  <w:style w:type="character" w:customStyle="1" w:styleId="68">
    <w:name w:val="font91"/>
    <w:basedOn w:val="31"/>
    <w:autoRedefine/>
    <w:qFormat/>
    <w:uiPriority w:val="0"/>
    <w:rPr>
      <w:rFonts w:hint="eastAsia" w:ascii="宋体" w:hAnsi="宋体" w:eastAsia="宋体" w:cs="宋体"/>
      <w:color w:val="000000"/>
      <w:sz w:val="16"/>
      <w:szCs w:val="16"/>
      <w:u w:val="none"/>
    </w:rPr>
  </w:style>
  <w:style w:type="character" w:customStyle="1" w:styleId="69">
    <w:name w:val="font101"/>
    <w:basedOn w:val="31"/>
    <w:autoRedefine/>
    <w:qFormat/>
    <w:uiPriority w:val="0"/>
    <w:rPr>
      <w:rFonts w:ascii="Arial" w:hAnsi="Arial" w:cs="Arial"/>
      <w:color w:val="000000"/>
      <w:sz w:val="16"/>
      <w:szCs w:val="16"/>
      <w:u w:val="none"/>
    </w:rPr>
  </w:style>
  <w:style w:type="paragraph" w:customStyle="1" w:styleId="70">
    <w:name w:val="UserStyle_16"/>
    <w:basedOn w:val="71"/>
    <w:autoRedefine/>
    <w:qFormat/>
    <w:uiPriority w:val="0"/>
    <w:pPr>
      <w:ind w:firstLine="420"/>
    </w:pPr>
    <w:rPr>
      <w:sz w:val="21"/>
    </w:rPr>
  </w:style>
  <w:style w:type="paragraph" w:customStyle="1" w:styleId="71">
    <w:name w:val="UserStyle_17"/>
    <w:basedOn w:val="1"/>
    <w:autoRedefine/>
    <w:qFormat/>
    <w:uiPriority w:val="0"/>
    <w:pPr>
      <w:spacing w:line="360" w:lineRule="auto"/>
      <w:ind w:firstLine="490"/>
      <w:jc w:val="left"/>
    </w:pPr>
    <w:rPr>
      <w:sz w:val="24"/>
    </w:rPr>
  </w:style>
  <w:style w:type="paragraph" w:customStyle="1" w:styleId="72">
    <w:name w:val="Heading2"/>
    <w:basedOn w:val="1"/>
    <w:next w:val="73"/>
    <w:autoRedefine/>
    <w:qFormat/>
    <w:uiPriority w:val="0"/>
    <w:pPr>
      <w:keepNext/>
      <w:spacing w:line="216" w:lineRule="auto"/>
    </w:pPr>
    <w:rPr>
      <w:rFonts w:hAnsi="Times New Roman"/>
      <w:b/>
      <w:kern w:val="2"/>
      <w:sz w:val="28"/>
      <w:szCs w:val="20"/>
    </w:rPr>
  </w:style>
  <w:style w:type="paragraph" w:customStyle="1" w:styleId="73">
    <w:name w:val="NormalIndent"/>
    <w:basedOn w:val="1"/>
    <w:autoRedefine/>
    <w:qFormat/>
    <w:uiPriority w:val="0"/>
    <w:pPr>
      <w:ind w:firstLine="420"/>
    </w:pPr>
    <w:rPr>
      <w:szCs w:val="20"/>
    </w:rPr>
  </w:style>
  <w:style w:type="paragraph" w:customStyle="1" w:styleId="74">
    <w:name w:val="正文段"/>
    <w:basedOn w:val="1"/>
    <w:qFormat/>
    <w:uiPriority w:val="0"/>
    <w:pPr>
      <w:widowControl/>
      <w:snapToGrid w:val="0"/>
      <w:spacing w:after="50"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52</Pages>
  <Words>9667</Words>
  <Characters>10363</Characters>
  <Lines>270</Lines>
  <Paragraphs>76</Paragraphs>
  <TotalTime>7</TotalTime>
  <ScaleCrop>false</ScaleCrop>
  <LinksUpToDate>false</LinksUpToDate>
  <CharactersWithSpaces>10545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2019-06-26T06:49:00Z</dcterms:created>
  <dc:creator>wxg</dc:creator>
  <cp:lastModifiedBy>阿丽子</cp:lastModifiedBy>
  <cp:lastPrinted>2022-03-01T01:34:00Z</cp:lastPrinted>
  <dcterms:modified xsi:type="dcterms:W3CDTF">2025-06-27T07:24:17Z</dcterms:modified>
  <dc:title>采购单位：</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A9D604BAF5174F25B0931F306997F014_13</vt:lpwstr>
  </property>
  <property fmtid="{D5CDD505-2E9C-101B-9397-08002B2CF9AE}" pid="4" name="KSOTemplateDocerSaveRecord">
    <vt:lpwstr>eyJoZGlkIjoiZGE4YmMyODVjZDg3ODE2N2I5NDlmMTEzMjAxYTlmODkiLCJ1c2VySWQiOiIxNDE5ODE0ODM1In0=</vt:lpwstr>
  </property>
</Properties>
</file>