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FD04B">
      <w:pPr>
        <w:rPr>
          <w:color w:val="000000" w:themeColor="text1"/>
          <w:highlight w:val="none"/>
          <w14:textFill>
            <w14:solidFill>
              <w14:schemeClr w14:val="tx1"/>
            </w14:solidFill>
          </w14:textFill>
        </w:rPr>
      </w:pPr>
    </w:p>
    <w:p w14:paraId="62D3D495">
      <w:pPr>
        <w:pStyle w:val="63"/>
        <w:rPr>
          <w:rFonts w:hint="default" w:eastAsia="黑体"/>
          <w:b w:val="0"/>
          <w:color w:val="000000" w:themeColor="text1"/>
          <w:sz w:val="40"/>
          <w:szCs w:val="21"/>
          <w:highlight w:val="none"/>
          <w:lang w:val="en-US" w:eastAsia="zh-CN"/>
          <w14:textFill>
            <w14:solidFill>
              <w14:schemeClr w14:val="tx1"/>
            </w14:solidFill>
          </w14:textFill>
        </w:rPr>
      </w:pPr>
      <w:r>
        <w:rPr>
          <w:rFonts w:hint="eastAsia"/>
          <w:b w:val="0"/>
          <w:color w:val="000000" w:themeColor="text1"/>
          <w:sz w:val="40"/>
          <w:szCs w:val="21"/>
          <w:highlight w:val="none"/>
          <w:lang w:val="en-US" w:eastAsia="zh-CN"/>
          <w14:textFill>
            <w14:solidFill>
              <w14:schemeClr w14:val="tx1"/>
            </w14:solidFill>
          </w14:textFill>
        </w:rPr>
        <w:t>萧山区闻堰小学2025年暑期教师疗休养采购项目</w:t>
      </w:r>
    </w:p>
    <w:p w14:paraId="37DCC555">
      <w:pPr>
        <w:pStyle w:val="2"/>
        <w:ind w:left="21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WYXX</w:t>
      </w:r>
      <w:r>
        <w:rPr>
          <w:rFonts w:hint="eastAsia"/>
          <w:color w:val="000000" w:themeColor="text1"/>
          <w:highlight w:val="none"/>
          <w:lang w:eastAsia="zh-CN"/>
          <w14:textFill>
            <w14:solidFill>
              <w14:schemeClr w14:val="tx1"/>
            </w14:solidFill>
          </w14:textFill>
        </w:rPr>
        <w:t>-XC202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62</w:t>
      </w:r>
      <w:r>
        <w:rPr>
          <w:rFonts w:hint="eastAsia"/>
          <w:color w:val="000000" w:themeColor="text1"/>
          <w:highlight w:val="none"/>
          <w:lang w:eastAsia="zh-CN"/>
          <w14:textFill>
            <w14:solidFill>
              <w14:schemeClr w14:val="tx1"/>
            </w14:solidFill>
          </w14:textFill>
        </w:rPr>
        <w:t>0</w:t>
      </w:r>
    </w:p>
    <w:p w14:paraId="6BB825C5">
      <w:pPr>
        <w:rPr>
          <w:color w:val="000000" w:themeColor="text1"/>
          <w:highlight w:val="none"/>
          <w14:textFill>
            <w14:solidFill>
              <w14:schemeClr w14:val="tx1"/>
            </w14:solidFill>
          </w14:textFill>
        </w:rPr>
      </w:pPr>
    </w:p>
    <w:p w14:paraId="304CF6FD">
      <w:pPr>
        <w:pStyle w:val="3"/>
        <w:rPr>
          <w:color w:val="000000" w:themeColor="text1"/>
          <w:highlight w:val="none"/>
          <w14:textFill>
            <w14:solidFill>
              <w14:schemeClr w14:val="tx1"/>
            </w14:solidFill>
          </w14:textFill>
        </w:rPr>
      </w:pPr>
    </w:p>
    <w:p w14:paraId="75CB5927">
      <w:pPr>
        <w:rPr>
          <w:color w:val="000000" w:themeColor="text1"/>
          <w:highlight w:val="none"/>
          <w14:textFill>
            <w14:solidFill>
              <w14:schemeClr w14:val="tx1"/>
            </w14:solidFill>
          </w14:textFill>
        </w:rPr>
      </w:pPr>
    </w:p>
    <w:p w14:paraId="76307CA3">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公</w:t>
      </w:r>
    </w:p>
    <w:p w14:paraId="5AD3D1B7">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开</w:t>
      </w:r>
    </w:p>
    <w:p w14:paraId="597B13AF">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竞</w:t>
      </w:r>
    </w:p>
    <w:p w14:paraId="053E2377">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争</w:t>
      </w:r>
    </w:p>
    <w:p w14:paraId="4D60CC7A">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文</w:t>
      </w:r>
    </w:p>
    <w:p w14:paraId="76AE4C8E">
      <w:pPr>
        <w:pStyle w:val="65"/>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件</w:t>
      </w:r>
    </w:p>
    <w:p w14:paraId="1ADD3DC6">
      <w:pPr>
        <w:spacing w:line="360" w:lineRule="auto"/>
        <w:jc w:val="center"/>
        <w:rPr>
          <w:rFonts w:ascii="宋体" w:hAnsi="宋体"/>
          <w:color w:val="000000" w:themeColor="text1"/>
          <w:sz w:val="24"/>
          <w:highlight w:val="none"/>
          <w14:textFill>
            <w14:solidFill>
              <w14:schemeClr w14:val="tx1"/>
            </w14:solidFill>
          </w14:textFill>
        </w:rPr>
      </w:pPr>
    </w:p>
    <w:p w14:paraId="568C81C6">
      <w:pPr>
        <w:spacing w:line="360" w:lineRule="auto"/>
        <w:jc w:val="center"/>
        <w:rPr>
          <w:rFonts w:ascii="宋体" w:hAnsi="宋体"/>
          <w:color w:val="000000" w:themeColor="text1"/>
          <w:sz w:val="24"/>
          <w:highlight w:val="none"/>
          <w14:textFill>
            <w14:solidFill>
              <w14:schemeClr w14:val="tx1"/>
            </w14:solidFill>
          </w14:textFill>
        </w:rPr>
      </w:pPr>
    </w:p>
    <w:p w14:paraId="2210E934">
      <w:pPr>
        <w:pStyle w:val="3"/>
        <w:rPr>
          <w:color w:val="000000" w:themeColor="text1"/>
          <w:highlight w:val="none"/>
          <w14:textFill>
            <w14:solidFill>
              <w14:schemeClr w14:val="tx1"/>
            </w14:solidFill>
          </w14:textFill>
        </w:rPr>
      </w:pPr>
    </w:p>
    <w:p w14:paraId="7AE58A9C">
      <w:pPr>
        <w:spacing w:line="360" w:lineRule="auto"/>
        <w:ind w:left="718" w:leftChars="342" w:right="380" w:rightChars="181"/>
        <w:rPr>
          <w:rFonts w:hint="eastAsia" w:ascii="宋体" w:hAnsi="宋体" w:eastAsia="宋体"/>
          <w:b/>
          <w:color w:val="000000" w:themeColor="text1"/>
          <w:sz w:val="32"/>
          <w:szCs w:val="30"/>
          <w:highlight w:val="none"/>
          <w:lang w:eastAsia="zh-CN"/>
          <w14:textFill>
            <w14:solidFill>
              <w14:schemeClr w14:val="tx1"/>
            </w14:solidFill>
          </w14:textFill>
        </w:rPr>
      </w:pPr>
      <w:r>
        <w:rPr>
          <w:rFonts w:hint="eastAsia" w:ascii="宋体" w:hAnsi="宋体"/>
          <w:b/>
          <w:color w:val="000000" w:themeColor="text1"/>
          <w:spacing w:val="20"/>
          <w:kern w:val="0"/>
          <w:sz w:val="32"/>
          <w:szCs w:val="30"/>
          <w:highlight w:val="none"/>
          <w14:textFill>
            <w14:solidFill>
              <w14:schemeClr w14:val="tx1"/>
            </w14:solidFill>
          </w14:textFill>
        </w:rPr>
        <w:t>采购人</w:t>
      </w:r>
      <w:r>
        <w:rPr>
          <w:rFonts w:hint="eastAsia" w:ascii="宋体" w:hAnsi="宋体"/>
          <w:b/>
          <w:color w:val="000000" w:themeColor="text1"/>
          <w:sz w:val="32"/>
          <w:szCs w:val="30"/>
          <w:highlight w:val="none"/>
          <w14:textFill>
            <w14:solidFill>
              <w14:schemeClr w14:val="tx1"/>
            </w14:solidFill>
          </w14:textFill>
        </w:rPr>
        <w:t>：</w:t>
      </w:r>
      <w:r>
        <w:rPr>
          <w:rFonts w:hint="eastAsia" w:ascii="宋体" w:hAnsi="宋体"/>
          <w:b/>
          <w:color w:val="000000" w:themeColor="text1"/>
          <w:sz w:val="32"/>
          <w:szCs w:val="30"/>
          <w:highlight w:val="none"/>
          <w:lang w:eastAsia="zh-CN"/>
          <w14:textFill>
            <w14:solidFill>
              <w14:schemeClr w14:val="tx1"/>
            </w14:solidFill>
          </w14:textFill>
        </w:rPr>
        <w:t>萧山区闻堰小学</w:t>
      </w:r>
    </w:p>
    <w:p w14:paraId="1B42B262">
      <w:pPr>
        <w:spacing w:line="360" w:lineRule="auto"/>
        <w:ind w:left="718" w:leftChars="342" w:right="380" w:rightChars="181"/>
        <w:rPr>
          <w:rFonts w:ascii="宋体" w:hAnsi="宋体"/>
          <w:b/>
          <w:color w:val="000000" w:themeColor="text1"/>
          <w:sz w:val="32"/>
          <w:szCs w:val="30"/>
          <w:highlight w:val="none"/>
          <w14:textFill>
            <w14:solidFill>
              <w14:schemeClr w14:val="tx1"/>
            </w14:solidFill>
          </w14:textFill>
        </w:rPr>
      </w:pPr>
      <w:r>
        <w:rPr>
          <w:rFonts w:hint="eastAsia" w:ascii="宋体" w:hAnsi="宋体"/>
          <w:b/>
          <w:color w:val="000000" w:themeColor="text1"/>
          <w:w w:val="83"/>
          <w:kern w:val="0"/>
          <w:sz w:val="32"/>
          <w:szCs w:val="30"/>
          <w:highlight w:val="none"/>
          <w14:textFill>
            <w14:solidFill>
              <w14:schemeClr w14:val="tx1"/>
            </w14:solidFill>
          </w14:textFill>
        </w:rPr>
        <w:t>采购组织机构（盖章</w:t>
      </w:r>
      <w:r>
        <w:rPr>
          <w:rFonts w:hint="eastAsia" w:ascii="宋体" w:hAnsi="宋体"/>
          <w:b/>
          <w:color w:val="000000" w:themeColor="text1"/>
          <w:spacing w:val="-7"/>
          <w:w w:val="83"/>
          <w:kern w:val="0"/>
          <w:sz w:val="32"/>
          <w:szCs w:val="30"/>
          <w:highlight w:val="none"/>
          <w14:textFill>
            <w14:solidFill>
              <w14:schemeClr w14:val="tx1"/>
            </w14:solidFill>
          </w14:textFill>
        </w:rPr>
        <w:t>）</w:t>
      </w:r>
      <w:r>
        <w:rPr>
          <w:rFonts w:hint="eastAsia" w:ascii="宋体" w:hAnsi="宋体"/>
          <w:b/>
          <w:color w:val="000000" w:themeColor="text1"/>
          <w:sz w:val="32"/>
          <w:szCs w:val="30"/>
          <w:highlight w:val="none"/>
          <w14:textFill>
            <w14:solidFill>
              <w14:schemeClr w14:val="tx1"/>
            </w14:solidFill>
          </w14:textFill>
        </w:rPr>
        <w:t>：杭州萧诚工程管理有限公司</w:t>
      </w:r>
    </w:p>
    <w:p w14:paraId="0CBFF713">
      <w:pPr>
        <w:spacing w:line="240" w:lineRule="exact"/>
        <w:ind w:left="718" w:leftChars="342"/>
        <w:rPr>
          <w:rFonts w:ascii="宋体" w:hAnsi="宋体"/>
          <w:b/>
          <w:color w:val="000000" w:themeColor="text1"/>
          <w:sz w:val="30"/>
          <w:szCs w:val="30"/>
          <w:highlight w:val="none"/>
          <w14:textFill>
            <w14:solidFill>
              <w14:schemeClr w14:val="tx1"/>
            </w14:solidFill>
          </w14:textFill>
        </w:rPr>
      </w:pPr>
    </w:p>
    <w:p w14:paraId="0762DB25">
      <w:pPr>
        <w:spacing w:line="360" w:lineRule="auto"/>
        <w:ind w:right="21" w:rightChars="10"/>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2025</w:t>
      </w:r>
      <w:r>
        <w:rPr>
          <w:rFonts w:hint="eastAsia" w:ascii="宋体" w:hAnsi="宋体"/>
          <w:b/>
          <w:color w:val="000000" w:themeColor="text1"/>
          <w:sz w:val="30"/>
          <w:szCs w:val="30"/>
          <w:highlight w:val="none"/>
          <w14:textFill>
            <w14:solidFill>
              <w14:schemeClr w14:val="tx1"/>
            </w14:solidFill>
          </w14:textFill>
        </w:rPr>
        <w:t>年</w:t>
      </w:r>
      <w:r>
        <w:rPr>
          <w:rFonts w:hint="eastAsia" w:ascii="宋体" w:hAnsi="宋体"/>
          <w:b/>
          <w:color w:val="000000" w:themeColor="text1"/>
          <w:sz w:val="30"/>
          <w:szCs w:val="30"/>
          <w:highlight w:val="none"/>
          <w:lang w:val="en-US" w:eastAsia="zh-CN"/>
          <w14:textFill>
            <w14:solidFill>
              <w14:schemeClr w14:val="tx1"/>
            </w14:solidFill>
          </w14:textFill>
        </w:rPr>
        <w:t>6</w:t>
      </w:r>
      <w:r>
        <w:rPr>
          <w:rFonts w:hint="eastAsia" w:ascii="宋体" w:hAnsi="宋体"/>
          <w:b/>
          <w:color w:val="000000" w:themeColor="text1"/>
          <w:sz w:val="30"/>
          <w:szCs w:val="30"/>
          <w:highlight w:val="none"/>
          <w14:textFill>
            <w14:solidFill>
              <w14:schemeClr w14:val="tx1"/>
            </w14:solidFill>
          </w14:textFill>
        </w:rPr>
        <w:t xml:space="preserve">月 </w:t>
      </w:r>
    </w:p>
    <w:p w14:paraId="4E9B69A5">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E3F9D20">
      <w:pPr>
        <w:pStyle w:val="3"/>
        <w:rPr>
          <w:color w:val="000000" w:themeColor="text1"/>
          <w:highlight w:val="none"/>
          <w14:textFill>
            <w14:solidFill>
              <w14:schemeClr w14:val="tx1"/>
            </w14:solidFill>
          </w14:textFill>
        </w:rPr>
      </w:pPr>
    </w:p>
    <w:p w14:paraId="17D66E0C">
      <w:pPr>
        <w:ind w:left="643" w:hanging="643"/>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目  录</w:t>
      </w:r>
    </w:p>
    <w:p w14:paraId="1521A930">
      <w:pPr>
        <w:spacing w:line="360" w:lineRule="auto"/>
        <w:ind w:firstLine="480" w:firstLineChars="200"/>
        <w:rPr>
          <w:rFonts w:ascii="宋体" w:hAnsi="宋体"/>
          <w:color w:val="000000" w:themeColor="text1"/>
          <w:sz w:val="24"/>
          <w:highlight w:val="none"/>
          <w14:textFill>
            <w14:solidFill>
              <w14:schemeClr w14:val="tx1"/>
            </w14:solidFill>
          </w14:textFill>
        </w:rPr>
      </w:pPr>
    </w:p>
    <w:p w14:paraId="5C31B8B5">
      <w:pPr>
        <w:pStyle w:val="27"/>
        <w:tabs>
          <w:tab w:val="right" w:leader="middleDot" w:pos="9192"/>
        </w:tabs>
        <w:rPr>
          <w:b w:val="0"/>
          <w:color w:val="000000" w:themeColor="text1"/>
          <w:sz w:val="21"/>
          <w:highlight w:val="none"/>
          <w14:textFill>
            <w14:solidFill>
              <w14:schemeClr w14:val="tx1"/>
            </w14:solidFill>
          </w14:textFill>
        </w:rPr>
      </w:pPr>
      <w:r>
        <w:rPr>
          <w:rFonts w:ascii="宋体" w:hAnsi="宋体"/>
          <w:b w:val="0"/>
          <w:color w:val="000000" w:themeColor="text1"/>
          <w:highlight w:val="none"/>
          <w14:textFill>
            <w14:solidFill>
              <w14:schemeClr w14:val="tx1"/>
            </w14:solidFill>
          </w14:textFill>
        </w:rPr>
        <w:fldChar w:fldCharType="begin"/>
      </w:r>
      <w:r>
        <w:rPr>
          <w:rFonts w:ascii="宋体" w:hAnsi="宋体"/>
          <w:b w:val="0"/>
          <w:color w:val="000000" w:themeColor="text1"/>
          <w:highlight w:val="none"/>
          <w14:textFill>
            <w14:solidFill>
              <w14:schemeClr w14:val="tx1"/>
            </w14:solidFill>
          </w14:textFill>
        </w:rPr>
        <w:instrText xml:space="preserve"> TOC \o "1-3" \f \u </w:instrText>
      </w:r>
      <w:r>
        <w:rPr>
          <w:rFonts w:ascii="宋体" w:hAnsi="宋体"/>
          <w:b w:val="0"/>
          <w:color w:val="000000" w:themeColor="text1"/>
          <w:highlight w:val="none"/>
          <w14:textFill>
            <w14:solidFill>
              <w14:schemeClr w14:val="tx1"/>
            </w14:solidFill>
          </w14:textFill>
        </w:rPr>
        <w:fldChar w:fldCharType="separate"/>
      </w:r>
      <w:r>
        <w:rPr>
          <w:rFonts w:hint="eastAsia"/>
          <w:b w:val="0"/>
          <w:color w:val="000000" w:themeColor="text1"/>
          <w:highlight w:val="none"/>
          <w14:textFill>
            <w14:solidFill>
              <w14:schemeClr w14:val="tx1"/>
            </w14:solidFill>
          </w14:textFill>
        </w:rPr>
        <w:t>第一部分</w:t>
      </w:r>
      <w:r>
        <w:rPr>
          <w:b w:val="0"/>
          <w:color w:val="000000" w:themeColor="text1"/>
          <w:highlight w:val="non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采购公告</w:t>
      </w:r>
    </w:p>
    <w:p w14:paraId="30D8B950">
      <w:pPr>
        <w:pStyle w:val="27"/>
        <w:tabs>
          <w:tab w:val="right" w:leader="middleDot" w:pos="9192"/>
        </w:tabs>
        <w:rPr>
          <w:b w:val="0"/>
          <w:color w:val="000000" w:themeColor="text1"/>
          <w:sz w:val="2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第二部分</w:t>
      </w:r>
      <w:r>
        <w:rPr>
          <w:b w:val="0"/>
          <w:color w:val="000000" w:themeColor="text1"/>
          <w:highlight w:val="non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响应人须知</w:t>
      </w:r>
    </w:p>
    <w:p w14:paraId="7127DDF5">
      <w:pPr>
        <w:pStyle w:val="30"/>
        <w:tabs>
          <w:tab w:val="right" w:leader="middleDot" w:pos="9192"/>
        </w:tabs>
        <w:ind w:lef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响应人须知之通用条款</w:t>
      </w:r>
    </w:p>
    <w:p w14:paraId="7EC75443">
      <w:pPr>
        <w:pStyle w:val="30"/>
        <w:tabs>
          <w:tab w:val="right" w:leader="middleDot" w:pos="9192"/>
        </w:tabs>
        <w:ind w:left="0"/>
        <w:rPr>
          <w:color w:val="000000" w:themeColor="text1"/>
          <w:sz w:val="21"/>
          <w:highlight w:val="none"/>
          <w14:textFill>
            <w14:solidFill>
              <w14:schemeClr w14:val="tx1"/>
            </w14:solidFill>
          </w14:textFill>
        </w:rPr>
      </w:pPr>
      <w:r>
        <w:rPr>
          <w:rFonts w:hint="eastAsia"/>
          <w:color w:val="000000" w:themeColor="text1"/>
          <w:highlight w:val="none"/>
          <w14:textFill>
            <w14:solidFill>
              <w14:schemeClr w14:val="tx1"/>
            </w14:solidFill>
          </w14:textFill>
        </w:rPr>
        <w:t>第二节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响应人须知之专用条款</w:t>
      </w:r>
    </w:p>
    <w:p w14:paraId="0168B10B">
      <w:pPr>
        <w:pStyle w:val="27"/>
        <w:tabs>
          <w:tab w:val="right" w:leader="middleDot" w:pos="9192"/>
        </w:tabs>
        <w:rPr>
          <w:b w:val="0"/>
          <w:color w:val="000000" w:themeColor="text1"/>
          <w:sz w:val="2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第三部分</w:t>
      </w:r>
      <w:r>
        <w:rPr>
          <w:b w:val="0"/>
          <w:color w:val="000000" w:themeColor="text1"/>
          <w:highlight w:val="non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采购需求</w:t>
      </w:r>
    </w:p>
    <w:p w14:paraId="68D329C2">
      <w:pPr>
        <w:pStyle w:val="27"/>
        <w:tabs>
          <w:tab w:val="right" w:leader="middleDot" w:pos="9192"/>
        </w:tabs>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第四部分</w:t>
      </w:r>
      <w:r>
        <w:rPr>
          <w:b w:val="0"/>
          <w:color w:val="000000" w:themeColor="text1"/>
          <w:highlight w:val="non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响应文件格式</w:t>
      </w:r>
    </w:p>
    <w:p w14:paraId="17384BA1">
      <w:pPr>
        <w:pStyle w:val="27"/>
        <w:tabs>
          <w:tab w:val="right" w:leader="middleDot" w:pos="9192"/>
        </w:tabs>
        <w:rPr>
          <w:b w:val="0"/>
          <w:color w:val="000000" w:themeColor="text1"/>
          <w:sz w:val="2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第五部分</w:t>
      </w:r>
      <w:r>
        <w:rPr>
          <w:b w:val="0"/>
          <w:color w:val="000000" w:themeColor="text1"/>
          <w:highlight w:val="non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采购合同及相关表单样本</w:t>
      </w:r>
    </w:p>
    <w:p w14:paraId="47481C1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end"/>
      </w:r>
    </w:p>
    <w:p w14:paraId="7D78DF56">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DDC87C2">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A5E2BA3">
      <w:pPr>
        <w:spacing w:line="360" w:lineRule="auto"/>
        <w:ind w:firstLine="480" w:firstLineChars="200"/>
        <w:rPr>
          <w:rFonts w:ascii="宋体" w:hAnsi="宋体"/>
          <w:color w:val="000000" w:themeColor="text1"/>
          <w:sz w:val="24"/>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286" w:bottom="1134" w:left="1418" w:header="851" w:footer="992" w:gutter="0"/>
          <w:cols w:space="720" w:num="1"/>
          <w:titlePg/>
          <w:docGrid w:linePitch="312" w:charSpace="0"/>
        </w:sectPr>
      </w:pPr>
    </w:p>
    <w:p w14:paraId="6B5158AD">
      <w:pPr>
        <w:pStyle w:val="3"/>
        <w:numPr>
          <w:ilvl w:val="0"/>
          <w:numId w:val="2"/>
        </w:numPr>
        <w:spacing w:line="470" w:lineRule="exact"/>
        <w:rPr>
          <w:rFonts w:ascii="Times New Roman" w:cs="Times New Roman"/>
          <w:color w:val="000000" w:themeColor="text1"/>
          <w:highlight w:val="none"/>
          <w14:textFill>
            <w14:solidFill>
              <w14:schemeClr w14:val="tx1"/>
            </w14:solidFill>
          </w14:textFill>
        </w:rPr>
      </w:pPr>
      <w:bookmarkStart w:id="0" w:name="_Toc331323737"/>
      <w:bookmarkStart w:id="1" w:name="_Toc91899870"/>
      <w:bookmarkStart w:id="2" w:name="_Toc331323738"/>
      <w:r>
        <w:rPr>
          <w:rFonts w:ascii="Times New Roman" w:hAnsi="Times New Roman" w:cs="Times New Roman"/>
          <w:color w:val="000000" w:themeColor="text1"/>
          <w:highlight w:val="none"/>
          <w14:textFill>
            <w14:solidFill>
              <w14:schemeClr w14:val="tx1"/>
            </w14:solidFill>
          </w14:textFill>
        </w:rPr>
        <w:t xml:space="preserve"> </w:t>
      </w:r>
      <w:bookmarkEnd w:id="0"/>
      <w:r>
        <w:rPr>
          <w:rFonts w:hint="eastAsia" w:ascii="Times New Roman" w:hAnsi="Times New Roman" w:cs="Times New Roman"/>
          <w:color w:val="000000" w:themeColor="text1"/>
          <w:highlight w:val="none"/>
          <w14:textFill>
            <w14:solidFill>
              <w14:schemeClr w14:val="tx1"/>
            </w14:solidFill>
          </w14:textFill>
        </w:rPr>
        <w:t>采购</w:t>
      </w:r>
      <w:r>
        <w:rPr>
          <w:rFonts w:ascii="Times New Roman" w:cs="Times New Roman"/>
          <w:color w:val="000000" w:themeColor="text1"/>
          <w:highlight w:val="none"/>
          <w14:textFill>
            <w14:solidFill>
              <w14:schemeClr w14:val="tx1"/>
            </w14:solidFill>
          </w14:textFill>
        </w:rPr>
        <w:t>公告</w:t>
      </w:r>
      <w:r>
        <w:rPr>
          <w:rFonts w:hint="eastAsia" w:ascii="Times New Roman" w:cs="Times New Roman"/>
          <w:color w:val="000000" w:themeColor="text1"/>
          <w:highlight w:val="none"/>
          <w14:textFill>
            <w14:solidFill>
              <w14:schemeClr w14:val="tx1"/>
            </w14:solidFill>
          </w14:textFill>
        </w:rPr>
        <w:t xml:space="preserve"> </w:t>
      </w:r>
    </w:p>
    <w:p w14:paraId="2884AB49">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杭州萧诚工程管理有限公司受</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萧山区闻堰小学</w:t>
      </w:r>
      <w:r>
        <w:rPr>
          <w:rFonts w:hint="eastAsia" w:ascii="宋体" w:hAnsi="宋体" w:eastAsia="宋体" w:cs="宋体"/>
          <w:b w:val="0"/>
          <w:bCs/>
          <w:color w:val="000000" w:themeColor="text1"/>
          <w:sz w:val="24"/>
          <w:szCs w:val="24"/>
          <w:highlight w:val="none"/>
          <w14:textFill>
            <w14:solidFill>
              <w14:schemeClr w14:val="tx1"/>
            </w14:solidFill>
          </w14:textFill>
        </w:rPr>
        <w:t>的委托，现就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萧山区闻堰小学2025年暑期教师疗休养采购项目</w:t>
      </w:r>
      <w:r>
        <w:rPr>
          <w:rFonts w:hint="eastAsia" w:ascii="宋体" w:hAnsi="宋体" w:eastAsia="宋体" w:cs="宋体"/>
          <w:b w:val="0"/>
          <w:bCs/>
          <w:color w:val="000000" w:themeColor="text1"/>
          <w:sz w:val="24"/>
          <w:szCs w:val="24"/>
          <w:highlight w:val="none"/>
          <w14:textFill>
            <w14:solidFill>
              <w14:schemeClr w14:val="tx1"/>
            </w14:solidFill>
          </w14:textFill>
        </w:rPr>
        <w:t xml:space="preserve">进行公开竞争，欢迎符合要求的供应商前来参与。 </w:t>
      </w:r>
    </w:p>
    <w:p w14:paraId="231A2E47">
      <w:pPr>
        <w:pStyle w:val="3"/>
        <w:numPr>
          <w:ilvl w:val="0"/>
          <w:numId w:val="3"/>
        </w:numPr>
        <w:spacing w:line="240" w:lineRule="auto"/>
        <w:ind w:firstLine="482"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交易编号：</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 WYXX-XC2025-0620</w:t>
      </w:r>
    </w:p>
    <w:p w14:paraId="095A499E">
      <w:pPr>
        <w:pStyle w:val="3"/>
        <w:spacing w:line="240" w:lineRule="auto"/>
        <w:ind w:firstLine="482" w:firstLineChars="200"/>
        <w:jc w:val="both"/>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二、交易名称：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萧山区闻堰小学2025年暑期教师疗休养采购项目</w:t>
      </w:r>
    </w:p>
    <w:p w14:paraId="7A77B63D">
      <w:pPr>
        <w:pStyle w:val="3"/>
        <w:spacing w:line="240" w:lineRule="auto"/>
        <w:ind w:firstLine="482"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三、交易内容：</w:t>
      </w:r>
      <w:r>
        <w:rPr>
          <w:rFonts w:hint="eastAsia" w:ascii="宋体" w:hAnsi="宋体" w:eastAsia="宋体" w:cs="宋体"/>
          <w:b w:val="0"/>
          <w:bCs/>
          <w:color w:val="000000" w:themeColor="text1"/>
          <w:sz w:val="24"/>
          <w:szCs w:val="24"/>
          <w:highlight w:val="none"/>
          <w14:textFill>
            <w14:solidFill>
              <w14:schemeClr w14:val="tx1"/>
            </w14:solidFill>
          </w14:textFill>
        </w:rPr>
        <w:t xml:space="preserve">职工疗休养，1个标项，详见交易需求 </w:t>
      </w:r>
    </w:p>
    <w:p w14:paraId="4F66BC6E">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标项 1：项目预算：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b w:val="0"/>
          <w:bCs/>
          <w:color w:val="000000" w:themeColor="text1"/>
          <w:sz w:val="24"/>
          <w:szCs w:val="24"/>
          <w:highlight w:val="none"/>
          <w14:textFill>
            <w14:solidFill>
              <w14:schemeClr w14:val="tx1"/>
            </w14:solidFill>
          </w14:textFill>
        </w:rPr>
        <w:t>万元，最高限价：3000元/人</w:t>
      </w:r>
    </w:p>
    <w:p w14:paraId="1E443306">
      <w:pPr>
        <w:pStyle w:val="3"/>
        <w:spacing w:line="240" w:lineRule="auto"/>
        <w:ind w:firstLine="482" w:firstLineChars="200"/>
        <w:jc w:val="both"/>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四、响应供应商应资格要求： </w:t>
      </w:r>
    </w:p>
    <w:p w14:paraId="3765C99D">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具有独立承担民事责任的能力；   </w:t>
      </w:r>
    </w:p>
    <w:p w14:paraId="5E627173">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 具有良好的商业信誉和健全的财务会计制度；   </w:t>
      </w:r>
    </w:p>
    <w:p w14:paraId="15B87C58">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 具有履行合同所必需的设备和专业技术能力；   </w:t>
      </w:r>
    </w:p>
    <w:p w14:paraId="102165E2">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 有依法缴纳税收和社会保障资金的良好记录；   </w:t>
      </w:r>
    </w:p>
    <w:p w14:paraId="62E8274C">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 参加交易活动前三年内，在经营活动中没有重大违法记录；   </w:t>
      </w:r>
    </w:p>
    <w:p w14:paraId="6BFD936C">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 响应人具有旅行社业务经营许可证（须在有效期限内）。</w:t>
      </w:r>
    </w:p>
    <w:p w14:paraId="3DB2FF5C">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 本项目不接受联合体交易。</w:t>
      </w:r>
    </w:p>
    <w:p w14:paraId="5C52E37E">
      <w:pPr>
        <w:pStyle w:val="3"/>
        <w:spacing w:line="240" w:lineRule="auto"/>
        <w:ind w:firstLine="482" w:firstLineChars="200"/>
        <w:jc w:val="both"/>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五、交易报名:</w:t>
      </w:r>
    </w:p>
    <w:p w14:paraId="1B8AC39B">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报名时间：</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2025</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ascii="宋体" w:hAnsi="宋体" w:eastAsia="宋体" w:cs="宋体"/>
          <w:b w:val="0"/>
          <w:bCs/>
          <w:color w:val="000000" w:themeColor="text1"/>
          <w:sz w:val="24"/>
          <w:szCs w:val="24"/>
          <w:highlight w:val="none"/>
          <w14:textFill>
            <w14:solidFill>
              <w14:schemeClr w14:val="tx1"/>
            </w14:solidFill>
          </w14:textFill>
        </w:rPr>
        <w:t xml:space="preserve"> 6 </w:t>
      </w:r>
      <w:r>
        <w:rPr>
          <w:rFonts w:hint="eastAsia" w:ascii="宋体" w:hAnsi="宋体" w:eastAsia="宋体" w:cs="宋体"/>
          <w:b w:val="0"/>
          <w:bCs/>
          <w:color w:val="000000" w:themeColor="text1"/>
          <w:sz w:val="24"/>
          <w:szCs w:val="24"/>
          <w:highlight w:val="none"/>
          <w14:textFill>
            <w14:solidFill>
              <w14:schemeClr w14:val="tx1"/>
            </w14:solidFill>
          </w14:textFill>
        </w:rPr>
        <w:t>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sz w:val="24"/>
          <w:szCs w:val="24"/>
          <w:highlight w:val="none"/>
          <w14:textFill>
            <w14:solidFill>
              <w14:schemeClr w14:val="tx1"/>
            </w14:solidFill>
          </w14:textFill>
        </w:rPr>
        <w:t>日</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至</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2025</w:t>
      </w:r>
      <w:r>
        <w:rPr>
          <w:rFonts w:hint="eastAsia" w:ascii="宋体" w:hAnsi="宋体" w:eastAsia="宋体" w:cs="宋体"/>
          <w:b w:val="0"/>
          <w:bCs/>
          <w:color w:val="000000" w:themeColor="text1"/>
          <w:sz w:val="24"/>
          <w:szCs w:val="24"/>
          <w:highlight w:val="none"/>
          <w14:textFill>
            <w14:solidFill>
              <w14:schemeClr w14:val="tx1"/>
            </w14:solidFill>
          </w14:textFill>
        </w:rPr>
        <w:t>年</w:t>
      </w:r>
      <w:r>
        <w:rPr>
          <w:rFonts w:ascii="宋体" w:hAnsi="宋体" w:eastAsia="宋体" w:cs="宋体"/>
          <w:b w:val="0"/>
          <w:bCs/>
          <w:color w:val="000000" w:themeColor="text1"/>
          <w:sz w:val="24"/>
          <w:szCs w:val="24"/>
          <w:highlight w:val="none"/>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val="0"/>
          <w:bCs/>
          <w:color w:val="000000" w:themeColor="text1"/>
          <w:sz w:val="24"/>
          <w:szCs w:val="24"/>
          <w:highlight w:val="none"/>
          <w14:textFill>
            <w14:solidFill>
              <w14:schemeClr w14:val="tx1"/>
            </w14:solidFill>
          </w14:textFill>
        </w:rPr>
        <w:t>日 9：30——16:00止（工作时间，节假日除外）。</w:t>
      </w:r>
    </w:p>
    <w:p w14:paraId="49D2BB21">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 报名地点：</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萧山区山阴路869号绿创中心1302室（杭州萧诚工程管理有限公司）。</w:t>
      </w:r>
    </w:p>
    <w:p w14:paraId="6DB14800">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 公开竞争文件获取方式：线上获取。</w:t>
      </w:r>
    </w:p>
    <w:p w14:paraId="5015958A">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 报名所需资料（均须加盖响应人公章）：</w:t>
      </w:r>
    </w:p>
    <w:p w14:paraId="5DD57D4A">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(1)企业营业执照副本复印件或事业单位法人证书复印件；</w:t>
      </w:r>
    </w:p>
    <w:p w14:paraId="6AAACD6F">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(2)响应人代表的有效身份证件原件与复印件，如授权委托的，还须提供有效的授权委托书原件（响应人代表必须亲自到场）。</w:t>
      </w:r>
    </w:p>
    <w:p w14:paraId="091B6615">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(3)旅行社业务经营许可证复印件。</w:t>
      </w:r>
    </w:p>
    <w:p w14:paraId="119F17DE">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p>
    <w:p w14:paraId="14BF73DC">
      <w:pPr>
        <w:pStyle w:val="3"/>
        <w:spacing w:line="240" w:lineRule="auto"/>
        <w:ind w:firstLine="482" w:firstLineChars="20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六：响应保证金：不收取</w:t>
      </w:r>
    </w:p>
    <w:p w14:paraId="0498EC6E">
      <w:pPr>
        <w:pStyle w:val="3"/>
        <w:spacing w:line="240" w:lineRule="auto"/>
        <w:ind w:firstLine="482" w:firstLineChars="20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七：采购人、采购组织机构及项目联系人：</w:t>
      </w:r>
    </w:p>
    <w:p w14:paraId="0833BF29">
      <w:pPr>
        <w:pStyle w:val="3"/>
        <w:spacing w:line="240" w:lineRule="auto"/>
        <w:ind w:firstLine="480" w:firstLineChars="200"/>
        <w:jc w:val="both"/>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采购人名称：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萧山区闻堰小学</w:t>
      </w:r>
    </w:p>
    <w:p w14:paraId="589E2AE1">
      <w:pPr>
        <w:pStyle w:val="3"/>
        <w:spacing w:line="240" w:lineRule="auto"/>
        <w:ind w:firstLine="480" w:firstLineChars="200"/>
        <w:jc w:val="both"/>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采购项目联系人姓名: 裴老师    </w:t>
      </w:r>
      <w:r>
        <w:rPr>
          <w:rFonts w:ascii="宋体" w:hAnsi="宋体" w:eastAsia="宋体" w:cs="宋体"/>
          <w:b w:val="0"/>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 xml:space="preserve">  电话：13456868136</w:t>
      </w:r>
    </w:p>
    <w:p w14:paraId="1A25C291">
      <w:pPr>
        <w:pStyle w:val="3"/>
        <w:spacing w:line="240" w:lineRule="auto"/>
        <w:ind w:firstLine="480" w:firstLineChars="200"/>
        <w:jc w:val="both"/>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采购组织机构名称：杭州萧诚工程管理有限公司 </w:t>
      </w:r>
    </w:p>
    <w:p w14:paraId="6D227A9D">
      <w:pPr>
        <w:pStyle w:val="3"/>
        <w:spacing w:line="240" w:lineRule="auto"/>
        <w:ind w:firstLine="480" w:firstLineChars="200"/>
        <w:jc w:val="both"/>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组织机构项目联系人姓名：</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邱泽宇</w:t>
      </w:r>
      <w:r>
        <w:rPr>
          <w:rFonts w:hint="eastAsia" w:ascii="宋体" w:hAnsi="宋体" w:eastAsia="宋体" w:cs="宋体"/>
          <w:b w:val="0"/>
          <w:bCs/>
          <w:color w:val="000000" w:themeColor="text1"/>
          <w:sz w:val="24"/>
          <w:szCs w:val="24"/>
          <w:highlight w:val="none"/>
          <w14:textFill>
            <w14:solidFill>
              <w14:schemeClr w14:val="tx1"/>
            </w14:solidFill>
          </w14:textFill>
        </w:rPr>
        <w:t xml:space="preserve">   电话：</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13588161429</w:t>
      </w:r>
    </w:p>
    <w:p w14:paraId="1AD46A5A">
      <w:pPr>
        <w:rPr>
          <w:rFonts w:ascii="宋体" w:hAnsi="宋体" w:cs="宋体"/>
          <w:bCs/>
          <w:color w:val="000000" w:themeColor="text1"/>
          <w:sz w:val="24"/>
          <w:highlight w:val="none"/>
          <w14:textFill>
            <w14:solidFill>
              <w14:schemeClr w14:val="tx1"/>
            </w14:solidFill>
          </w14:textFill>
        </w:rPr>
      </w:pPr>
    </w:p>
    <w:p w14:paraId="1A7AC743">
      <w:pPr>
        <w:pStyle w:val="2"/>
        <w:rPr>
          <w:color w:val="000000" w:themeColor="text1"/>
          <w:highlight w:val="none"/>
          <w14:textFill>
            <w14:solidFill>
              <w14:schemeClr w14:val="tx1"/>
            </w14:solidFill>
          </w14:textFill>
        </w:rPr>
      </w:pPr>
    </w:p>
    <w:p w14:paraId="461B1906">
      <w:pPr>
        <w:pStyle w:val="3"/>
        <w:spacing w:line="240" w:lineRule="auto"/>
        <w:ind w:firstLine="480" w:firstLineChars="20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                               采购人：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萧山区闻堰小学</w:t>
      </w:r>
    </w:p>
    <w:p w14:paraId="3C14E57E">
      <w:pPr>
        <w:pStyle w:val="3"/>
        <w:spacing w:line="240" w:lineRule="auto"/>
        <w:ind w:firstLine="480" w:firstLineChars="200"/>
        <w:rPr>
          <w:rFonts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r>
        <w:rPr>
          <w:rFonts w:ascii="宋体" w:hAnsi="宋体" w:eastAsia="宋体" w:cs="宋体"/>
          <w:b w:val="0"/>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 xml:space="preserve">采购组织机构：杭州萧诚工程管理有限公司 </w:t>
      </w:r>
    </w:p>
    <w:p w14:paraId="79F1A29D">
      <w:pPr>
        <w:rPr>
          <w:color w:val="000000" w:themeColor="text1"/>
          <w:highlight w:val="none"/>
          <w14:textFill>
            <w14:solidFill>
              <w14:schemeClr w14:val="tx1"/>
            </w14:solidFill>
          </w14:textFill>
        </w:rPr>
      </w:pPr>
    </w:p>
    <w:p w14:paraId="2B7D4176">
      <w:pPr>
        <w:pStyle w:val="2"/>
        <w:rPr>
          <w:color w:val="000000" w:themeColor="text1"/>
          <w:highlight w:val="none"/>
          <w14:textFill>
            <w14:solidFill>
              <w14:schemeClr w14:val="tx1"/>
            </w14:solidFill>
          </w14:textFill>
        </w:rPr>
      </w:pPr>
    </w:p>
    <w:p w14:paraId="2672CDDD">
      <w:pPr>
        <w:pStyle w:val="3"/>
        <w:rPr>
          <w:rFonts w:eastAsia="宋体"/>
          <w:color w:val="000000" w:themeColor="text1"/>
          <w:highlight w:val="none"/>
          <w14:textFill>
            <w14:solidFill>
              <w14:schemeClr w14:val="tx1"/>
            </w14:solidFill>
          </w14:textFill>
        </w:rPr>
      </w:pPr>
    </w:p>
    <w:p w14:paraId="1E381747">
      <w:pPr>
        <w:rPr>
          <w:color w:val="000000" w:themeColor="text1"/>
          <w:highlight w:val="none"/>
          <w14:textFill>
            <w14:solidFill>
              <w14:schemeClr w14:val="tx1"/>
            </w14:solidFill>
          </w14:textFill>
        </w:rPr>
      </w:pPr>
    </w:p>
    <w:p w14:paraId="0DA42AC8">
      <w:pPr>
        <w:pStyle w:val="3"/>
        <w:rPr>
          <w:rFonts w:eastAsia="宋体"/>
          <w:color w:val="000000" w:themeColor="text1"/>
          <w:highlight w:val="none"/>
          <w14:textFill>
            <w14:solidFill>
              <w14:schemeClr w14:val="tx1"/>
            </w14:solidFill>
          </w14:textFill>
        </w:rPr>
      </w:pPr>
    </w:p>
    <w:p w14:paraId="41DD3AFC">
      <w:pPr>
        <w:rPr>
          <w:color w:val="000000" w:themeColor="text1"/>
          <w:highlight w:val="none"/>
          <w14:textFill>
            <w14:solidFill>
              <w14:schemeClr w14:val="tx1"/>
            </w14:solidFill>
          </w14:textFill>
        </w:rPr>
      </w:pPr>
    </w:p>
    <w:p w14:paraId="4FB8B896">
      <w:pPr>
        <w:pStyle w:val="3"/>
        <w:rPr>
          <w:color w:val="000000" w:themeColor="text1"/>
          <w:highlight w:val="none"/>
          <w14:textFill>
            <w14:solidFill>
              <w14:schemeClr w14:val="tx1"/>
            </w14:solidFill>
          </w14:textFill>
        </w:rPr>
      </w:pPr>
    </w:p>
    <w:p w14:paraId="48CABB38">
      <w:pPr>
        <w:pStyle w:val="3"/>
        <w:rPr>
          <w:color w:val="000000" w:themeColor="text1"/>
          <w:highlight w:val="none"/>
          <w14:textFill>
            <w14:solidFill>
              <w14:schemeClr w14:val="tx1"/>
            </w14:solidFill>
          </w14:textFill>
        </w:rPr>
      </w:pPr>
    </w:p>
    <w:p w14:paraId="790FC17B">
      <w:pPr>
        <w:rPr>
          <w:color w:val="000000" w:themeColor="text1"/>
          <w:highlight w:val="none"/>
          <w14:textFill>
            <w14:solidFill>
              <w14:schemeClr w14:val="tx1"/>
            </w14:solidFill>
          </w14:textFill>
        </w:rPr>
      </w:pPr>
    </w:p>
    <w:p w14:paraId="29584E33">
      <w:pPr>
        <w:pStyle w:val="3"/>
        <w:rPr>
          <w:color w:val="000000" w:themeColor="text1"/>
          <w:highlight w:val="none"/>
          <w14:textFill>
            <w14:solidFill>
              <w14:schemeClr w14:val="tx1"/>
            </w14:solidFill>
          </w14:textFill>
        </w:rPr>
      </w:pPr>
    </w:p>
    <w:p w14:paraId="4568DFB1">
      <w:pPr>
        <w:rPr>
          <w:color w:val="000000" w:themeColor="text1"/>
          <w:highlight w:val="none"/>
          <w14:textFill>
            <w14:solidFill>
              <w14:schemeClr w14:val="tx1"/>
            </w14:solidFill>
          </w14:textFill>
        </w:rPr>
      </w:pPr>
    </w:p>
    <w:p w14:paraId="525DD3E0">
      <w:pPr>
        <w:pStyle w:val="3"/>
        <w:rPr>
          <w:color w:val="000000" w:themeColor="text1"/>
          <w:highlight w:val="none"/>
          <w14:textFill>
            <w14:solidFill>
              <w14:schemeClr w14:val="tx1"/>
            </w14:solidFill>
          </w14:textFill>
        </w:rPr>
      </w:pPr>
    </w:p>
    <w:p w14:paraId="4FD61DBC">
      <w:pPr>
        <w:rPr>
          <w:color w:val="000000" w:themeColor="text1"/>
          <w:highlight w:val="none"/>
          <w14:textFill>
            <w14:solidFill>
              <w14:schemeClr w14:val="tx1"/>
            </w14:solidFill>
          </w14:textFill>
        </w:rPr>
      </w:pPr>
    </w:p>
    <w:p w14:paraId="26AF7718">
      <w:pPr>
        <w:pStyle w:val="3"/>
        <w:jc w:val="both"/>
        <w:rPr>
          <w:color w:val="000000" w:themeColor="text1"/>
          <w:highlight w:val="none"/>
          <w14:textFill>
            <w14:solidFill>
              <w14:schemeClr w14:val="tx1"/>
            </w14:solidFill>
          </w14:textFill>
        </w:rPr>
        <w:sectPr>
          <w:footerReference r:id="rId7" w:type="first"/>
          <w:pgSz w:w="11906" w:h="16838"/>
          <w:pgMar w:top="1418" w:right="1286" w:bottom="1134" w:left="1418" w:header="851" w:footer="992" w:gutter="0"/>
          <w:pgNumType w:start="1"/>
          <w:cols w:space="720" w:num="1"/>
          <w:docGrid w:linePitch="312" w:charSpace="0"/>
        </w:sectPr>
      </w:pPr>
    </w:p>
    <w:p w14:paraId="6613F8C2">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  响应人须知</w:t>
      </w:r>
      <w:bookmarkEnd w:id="1"/>
      <w:bookmarkEnd w:id="2"/>
    </w:p>
    <w:p w14:paraId="57F121B8">
      <w:pPr>
        <w:spacing w:line="360" w:lineRule="auto"/>
        <w:ind w:firstLine="482" w:firstLineChars="20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前附表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8460"/>
      </w:tblGrid>
      <w:tr w14:paraId="530AA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14" w:type="dxa"/>
            <w:tcBorders>
              <w:top w:val="single" w:color="000000" w:sz="4" w:space="0"/>
              <w:bottom w:val="single" w:color="000000" w:sz="4" w:space="0"/>
              <w:right w:val="single" w:color="auto" w:sz="4" w:space="0"/>
            </w:tcBorders>
            <w:vAlign w:val="center"/>
          </w:tcPr>
          <w:p w14:paraId="6EF5F65B">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条款</w:t>
            </w:r>
          </w:p>
        </w:tc>
        <w:tc>
          <w:tcPr>
            <w:tcW w:w="8460" w:type="dxa"/>
            <w:tcBorders>
              <w:top w:val="single" w:color="000000" w:sz="4" w:space="0"/>
              <w:left w:val="single" w:color="auto" w:sz="4" w:space="0"/>
              <w:bottom w:val="single" w:color="000000" w:sz="4" w:space="0"/>
            </w:tcBorders>
            <w:vAlign w:val="center"/>
          </w:tcPr>
          <w:p w14:paraId="6ED3CD27">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    容    规    定</w:t>
            </w:r>
          </w:p>
        </w:tc>
      </w:tr>
      <w:tr w14:paraId="5FA56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7" w:hRule="atLeast"/>
          <w:jc w:val="center"/>
        </w:trPr>
        <w:tc>
          <w:tcPr>
            <w:tcW w:w="814" w:type="dxa"/>
            <w:tcBorders>
              <w:top w:val="single" w:color="000000" w:sz="4" w:space="0"/>
              <w:right w:val="single" w:color="auto" w:sz="4" w:space="0"/>
            </w:tcBorders>
            <w:vAlign w:val="center"/>
          </w:tcPr>
          <w:p w14:paraId="6734AFC9">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p>
          <w:p w14:paraId="4C14C30C">
            <w:pPr>
              <w:spacing w:line="360" w:lineRule="auto"/>
              <w:jc w:val="center"/>
              <w:rPr>
                <w:rFonts w:ascii="宋体" w:hAnsi="宋体"/>
                <w:color w:val="000000" w:themeColor="text1"/>
                <w:sz w:val="24"/>
                <w:highlight w:val="none"/>
                <w14:textFill>
                  <w14:solidFill>
                    <w14:schemeClr w14:val="tx1"/>
                  </w14:solidFill>
                </w14:textFill>
              </w:rPr>
            </w:pPr>
          </w:p>
        </w:tc>
        <w:tc>
          <w:tcPr>
            <w:tcW w:w="8460" w:type="dxa"/>
            <w:tcBorders>
              <w:top w:val="single" w:color="000000" w:sz="4" w:space="0"/>
              <w:left w:val="single" w:color="auto" w:sz="4" w:space="0"/>
            </w:tcBorders>
            <w:vAlign w:val="center"/>
          </w:tcPr>
          <w:p w14:paraId="252E0123">
            <w:pPr>
              <w:spacing w:line="400" w:lineRule="exact"/>
              <w:ind w:left="2202" w:hanging="2202" w:hangingChars="394"/>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b/>
                <w:color w:val="000000" w:themeColor="text1"/>
                <w:spacing w:val="159"/>
                <w:kern w:val="0"/>
                <w:sz w:val="24"/>
                <w:highlight w:val="none"/>
                <w14:textFill>
                  <w14:solidFill>
                    <w14:schemeClr w14:val="tx1"/>
                  </w14:solidFill>
                </w14:textFill>
              </w:rPr>
              <w:t>项目名</w:t>
            </w:r>
            <w:r>
              <w:rPr>
                <w:rFonts w:hint="eastAsia" w:ascii="宋体" w:hAnsi="宋体"/>
                <w:b/>
                <w:color w:val="000000" w:themeColor="text1"/>
                <w:spacing w:val="1"/>
                <w:kern w:val="0"/>
                <w:sz w:val="24"/>
                <w:highlight w:val="none"/>
                <w14:textFill>
                  <w14:solidFill>
                    <w14:schemeClr w14:val="tx1"/>
                  </w14:solidFill>
                </w14:textFill>
              </w:rPr>
              <w:t>称</w:t>
            </w:r>
            <w:r>
              <w:rPr>
                <w:rFonts w:hint="eastAsia" w:ascii="宋体" w:hAnsi="宋体"/>
                <w:b/>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eastAsia="zh-CN"/>
                <w14:textFill>
                  <w14:solidFill>
                    <w14:schemeClr w14:val="tx1"/>
                  </w14:solidFill>
                </w14:textFill>
              </w:rPr>
              <w:t>萧山区闻堰小学2025年暑期教师疗休养采购项目</w:t>
            </w:r>
          </w:p>
          <w:p w14:paraId="708554E0">
            <w:pPr>
              <w:spacing w:line="400" w:lineRule="exact"/>
              <w:ind w:left="735" w:leftChars="350" w:firstLine="1440" w:firstLineChars="6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本项目属</w:t>
            </w:r>
            <w:r>
              <w:rPr>
                <w:rFonts w:hint="eastAsia" w:ascii="宋体" w:hAnsi="宋体"/>
                <w:color w:val="000000" w:themeColor="text1"/>
                <w:sz w:val="24"/>
                <w:highlight w:val="none"/>
                <w:u w:val="single"/>
                <w14:textFill>
                  <w14:solidFill>
                    <w14:schemeClr w14:val="tx1"/>
                  </w14:solidFill>
                </w14:textFill>
              </w:rPr>
              <w:t xml:space="preserve"> 服务 </w:t>
            </w:r>
            <w:r>
              <w:rPr>
                <w:rFonts w:hint="eastAsia" w:ascii="宋体" w:hAnsi="宋体"/>
                <w:color w:val="000000" w:themeColor="text1"/>
                <w:sz w:val="24"/>
                <w:highlight w:val="none"/>
                <w14:textFill>
                  <w14:solidFill>
                    <w14:schemeClr w14:val="tx1"/>
                  </w14:solidFill>
                </w14:textFill>
              </w:rPr>
              <w:t>类采购。</w:t>
            </w:r>
          </w:p>
          <w:p w14:paraId="45AC9008">
            <w:pPr>
              <w:spacing w:line="400" w:lineRule="exact"/>
              <w:ind w:left="2199" w:hanging="2199" w:hangingChars="392"/>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160"/>
                <w:kern w:val="0"/>
                <w:sz w:val="24"/>
                <w:highlight w:val="none"/>
                <w14:textFill>
                  <w14:solidFill>
                    <w14:schemeClr w14:val="tx1"/>
                  </w14:solidFill>
                </w14:textFill>
              </w:rPr>
              <w:t>项目内</w:t>
            </w:r>
            <w:r>
              <w:rPr>
                <w:rFonts w:hint="eastAsia" w:ascii="宋体" w:hAnsi="宋体"/>
                <w:b/>
                <w:color w:val="000000" w:themeColor="text1"/>
                <w:kern w:val="0"/>
                <w:sz w:val="24"/>
                <w:highlight w:val="none"/>
                <w14:textFill>
                  <w14:solidFill>
                    <w14:schemeClr w14:val="tx1"/>
                  </w14:solidFill>
                </w14:textFill>
              </w:rPr>
              <w:t>容</w:t>
            </w:r>
            <w:r>
              <w:rPr>
                <w:rFonts w:hint="eastAsia" w:ascii="宋体" w:hAnsi="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详见采购需求。</w:t>
            </w:r>
          </w:p>
          <w:p w14:paraId="23A6D956">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48"/>
                <w:kern w:val="0"/>
                <w:sz w:val="24"/>
                <w:highlight w:val="none"/>
                <w14:textFill>
                  <w14:solidFill>
                    <w14:schemeClr w14:val="tx1"/>
                  </w14:solidFill>
                </w14:textFill>
              </w:rPr>
              <w:t>项目实施地</w:t>
            </w:r>
            <w:r>
              <w:rPr>
                <w:rFonts w:hint="eastAsia" w:ascii="宋体" w:hAnsi="宋体"/>
                <w:b/>
                <w:color w:val="000000" w:themeColor="text1"/>
                <w:kern w:val="0"/>
                <w:sz w:val="24"/>
                <w:highlight w:val="none"/>
                <w14:textFill>
                  <w14:solidFill>
                    <w14:schemeClr w14:val="tx1"/>
                  </w14:solidFill>
                </w14:textFill>
              </w:rPr>
              <w:t>点</w:t>
            </w:r>
            <w:r>
              <w:rPr>
                <w:rFonts w:hint="eastAsia" w:ascii="宋体" w:hAnsi="宋体"/>
                <w:color w:val="000000" w:themeColor="text1"/>
                <w:sz w:val="24"/>
                <w:highlight w:val="none"/>
                <w14:textFill>
                  <w14:solidFill>
                    <w14:schemeClr w14:val="tx1"/>
                  </w14:solidFill>
                </w14:textFill>
              </w:rPr>
              <w:t>：采购人指定地点内。</w:t>
            </w:r>
          </w:p>
          <w:p w14:paraId="47BB666A">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本次采购标项划分</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本项目分为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个标项，同一标项不得拆分。</w:t>
            </w:r>
          </w:p>
          <w:p w14:paraId="2593C365">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工            期</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详见采购需求</w:t>
            </w:r>
            <w:r>
              <w:rPr>
                <w:rFonts w:hint="eastAsia" w:ascii="宋体" w:hAnsi="宋体"/>
                <w:color w:val="000000" w:themeColor="text1"/>
                <w:sz w:val="24"/>
                <w:highlight w:val="none"/>
                <w14:textFill>
                  <w14:solidFill>
                    <w14:schemeClr w14:val="tx1"/>
                  </w14:solidFill>
                </w14:textFill>
              </w:rPr>
              <w:t>。</w:t>
            </w:r>
          </w:p>
        </w:tc>
      </w:tr>
      <w:tr w14:paraId="4539D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14" w:type="dxa"/>
            <w:tcBorders>
              <w:top w:val="single" w:color="000000" w:sz="4" w:space="0"/>
              <w:bottom w:val="single" w:color="000000" w:sz="4" w:space="0"/>
              <w:right w:val="single" w:color="000000" w:sz="4" w:space="0"/>
            </w:tcBorders>
            <w:vAlign w:val="center"/>
          </w:tcPr>
          <w:p w14:paraId="164587E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p>
        </w:tc>
        <w:tc>
          <w:tcPr>
            <w:tcW w:w="8460" w:type="dxa"/>
            <w:tcBorders>
              <w:top w:val="single" w:color="000000" w:sz="4" w:space="0"/>
              <w:left w:val="single" w:color="000000" w:sz="4" w:space="0"/>
              <w:bottom w:val="single" w:color="000000" w:sz="4" w:space="0"/>
              <w:right w:val="single" w:color="000000" w:sz="4" w:space="0"/>
            </w:tcBorders>
            <w:vAlign w:val="center"/>
          </w:tcPr>
          <w:p w14:paraId="23B1BEF6">
            <w:pPr>
              <w:spacing w:line="400" w:lineRule="exact"/>
              <w:ind w:left="2199" w:hanging="2199" w:hangingChars="52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89"/>
                <w:kern w:val="0"/>
                <w:sz w:val="24"/>
                <w:highlight w:val="none"/>
                <w14:textFill>
                  <w14:solidFill>
                    <w14:schemeClr w14:val="tx1"/>
                  </w14:solidFill>
                </w14:textFill>
              </w:rPr>
              <w:t>响应有效</w:t>
            </w:r>
            <w:r>
              <w:rPr>
                <w:rFonts w:hint="eastAsia" w:ascii="宋体" w:hAnsi="宋体"/>
                <w:b/>
                <w:color w:val="000000" w:themeColor="text1"/>
                <w:spacing w:val="2"/>
                <w:kern w:val="0"/>
                <w:sz w:val="24"/>
                <w:highlight w:val="none"/>
                <w14:textFill>
                  <w14:solidFill>
                    <w14:schemeClr w14:val="tx1"/>
                  </w14:solidFill>
                </w14:textFill>
              </w:rPr>
              <w:t>期</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自响应截止日起</w:t>
            </w:r>
            <w:r>
              <w:rPr>
                <w:rFonts w:hint="eastAsia" w:ascii="宋体" w:hAnsi="宋体"/>
                <w:color w:val="000000" w:themeColor="text1"/>
                <w:sz w:val="24"/>
                <w:highlight w:val="none"/>
                <w:u w:val="single"/>
                <w14:textFill>
                  <w14:solidFill>
                    <w14:schemeClr w14:val="tx1"/>
                  </w14:solidFill>
                </w14:textFill>
              </w:rPr>
              <w:t>90</w:t>
            </w:r>
            <w:r>
              <w:rPr>
                <w:rFonts w:hint="eastAsia" w:ascii="宋体" w:hAnsi="宋体"/>
                <w:color w:val="000000" w:themeColor="text1"/>
                <w:sz w:val="24"/>
                <w:highlight w:val="none"/>
                <w14:textFill>
                  <w14:solidFill>
                    <w14:schemeClr w14:val="tx1"/>
                  </w14:solidFill>
                </w14:textFill>
              </w:rPr>
              <w:t>日历天。如采购组织机构认为必要，可延长至总计最长不超过</w:t>
            </w:r>
            <w:r>
              <w:rPr>
                <w:rFonts w:hint="eastAsia" w:ascii="宋体" w:hAnsi="宋体"/>
                <w:color w:val="000000" w:themeColor="text1"/>
                <w:sz w:val="24"/>
                <w:highlight w:val="none"/>
                <w:u w:val="single"/>
                <w14:textFill>
                  <w14:solidFill>
                    <w14:schemeClr w14:val="tx1"/>
                  </w14:solidFill>
                </w14:textFill>
              </w:rPr>
              <w:t>120</w:t>
            </w:r>
            <w:r>
              <w:rPr>
                <w:rFonts w:hint="eastAsia" w:ascii="宋体" w:hAnsi="宋体"/>
                <w:color w:val="000000" w:themeColor="text1"/>
                <w:sz w:val="24"/>
                <w:highlight w:val="none"/>
                <w14:textFill>
                  <w14:solidFill>
                    <w14:schemeClr w14:val="tx1"/>
                  </w14:solidFill>
                </w14:textFill>
              </w:rPr>
              <w:t>日历天。</w:t>
            </w:r>
          </w:p>
        </w:tc>
      </w:tr>
      <w:tr w14:paraId="64CC2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14" w:type="dxa"/>
            <w:tcBorders>
              <w:top w:val="single" w:color="000000" w:sz="4" w:space="0"/>
              <w:bottom w:val="single" w:color="000000" w:sz="4" w:space="0"/>
              <w:right w:val="single" w:color="000000" w:sz="4" w:space="0"/>
            </w:tcBorders>
            <w:vAlign w:val="center"/>
          </w:tcPr>
          <w:p w14:paraId="0418D47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w:t>
            </w:r>
          </w:p>
        </w:tc>
        <w:tc>
          <w:tcPr>
            <w:tcW w:w="8460" w:type="dxa"/>
            <w:tcBorders>
              <w:top w:val="single" w:color="000000" w:sz="4" w:space="0"/>
              <w:left w:val="single" w:color="000000" w:sz="4" w:space="0"/>
              <w:bottom w:val="single" w:color="000000" w:sz="4" w:space="0"/>
            </w:tcBorders>
            <w:vAlign w:val="center"/>
          </w:tcPr>
          <w:p w14:paraId="0DEA3956">
            <w:pPr>
              <w:spacing w:line="400" w:lineRule="exact"/>
              <w:ind w:left="2192" w:hanging="2192" w:hangingChars="786"/>
              <w:rPr>
                <w:color w:val="000000" w:themeColor="text1"/>
                <w:highlight w:val="none"/>
                <w14:textFill>
                  <w14:solidFill>
                    <w14:schemeClr w14:val="tx1"/>
                  </w14:solidFill>
                </w14:textFill>
              </w:rPr>
            </w:pPr>
            <w:r>
              <w:rPr>
                <w:rFonts w:hint="eastAsia" w:ascii="宋体" w:hAnsi="宋体"/>
                <w:b/>
                <w:color w:val="000000" w:themeColor="text1"/>
                <w:spacing w:val="19"/>
                <w:kern w:val="0"/>
                <w:sz w:val="24"/>
                <w:highlight w:val="none"/>
                <w14:textFill>
                  <w14:solidFill>
                    <w14:schemeClr w14:val="tx1"/>
                  </w14:solidFill>
                </w14:textFill>
              </w:rPr>
              <w:t>响应保证金数</w:t>
            </w:r>
            <w:r>
              <w:rPr>
                <w:rFonts w:hint="eastAsia" w:ascii="宋体" w:hAnsi="宋体"/>
                <w:b/>
                <w:color w:val="000000" w:themeColor="text1"/>
                <w:spacing w:val="3"/>
                <w:kern w:val="0"/>
                <w:sz w:val="24"/>
                <w:highlight w:val="none"/>
                <w14:textFill>
                  <w14:solidFill>
                    <w14:schemeClr w14:val="tx1"/>
                  </w14:solidFill>
                </w14:textFill>
              </w:rPr>
              <w:t>额</w:t>
            </w:r>
            <w:r>
              <w:rPr>
                <w:rFonts w:hint="eastAsia" w:ascii="宋体" w:hAnsi="宋体"/>
                <w:b/>
                <w:color w:val="000000" w:themeColor="text1"/>
                <w:sz w:val="24"/>
                <w:highlight w:val="none"/>
                <w14:textFill>
                  <w14:solidFill>
                    <w14:schemeClr w14:val="tx1"/>
                  </w14:solidFill>
                </w14:textFill>
              </w:rPr>
              <w:t>：不收取</w:t>
            </w:r>
          </w:p>
        </w:tc>
      </w:tr>
      <w:tr w14:paraId="488B2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14" w:type="dxa"/>
            <w:tcBorders>
              <w:top w:val="single" w:color="000000" w:sz="4" w:space="0"/>
              <w:bottom w:val="single" w:color="000000" w:sz="4" w:space="0"/>
              <w:right w:val="single" w:color="000000" w:sz="4" w:space="0"/>
            </w:tcBorders>
            <w:vAlign w:val="center"/>
          </w:tcPr>
          <w:p w14:paraId="519F97C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w:t>
            </w:r>
          </w:p>
        </w:tc>
        <w:tc>
          <w:tcPr>
            <w:tcW w:w="8460" w:type="dxa"/>
            <w:tcBorders>
              <w:top w:val="single" w:color="000000" w:sz="4" w:space="0"/>
              <w:left w:val="single" w:color="000000" w:sz="4" w:space="0"/>
              <w:bottom w:val="single" w:color="000000" w:sz="4" w:space="0"/>
            </w:tcBorders>
            <w:vAlign w:val="center"/>
          </w:tcPr>
          <w:p w14:paraId="44DAACCB">
            <w:pPr>
              <w:spacing w:line="400" w:lineRule="exact"/>
              <w:ind w:left="2146" w:hanging="2146" w:hangingChars="637"/>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48"/>
                <w:kern w:val="0"/>
                <w:sz w:val="24"/>
                <w:highlight w:val="none"/>
                <w14:textFill>
                  <w14:solidFill>
                    <w14:schemeClr w14:val="tx1"/>
                  </w14:solidFill>
                </w14:textFill>
              </w:rPr>
              <w:t>响应文件份</w:t>
            </w:r>
            <w:r>
              <w:rPr>
                <w:rFonts w:hint="eastAsia" w:ascii="宋体" w:hAnsi="宋体"/>
                <w:b/>
                <w:color w:val="000000" w:themeColor="text1"/>
                <w:kern w:val="0"/>
                <w:sz w:val="24"/>
                <w:highlight w:val="none"/>
                <w14:textFill>
                  <w14:solidFill>
                    <w14:schemeClr w14:val="tx1"/>
                  </w14:solidFill>
                </w14:textFill>
              </w:rPr>
              <w:t>数</w:t>
            </w:r>
            <w:r>
              <w:rPr>
                <w:rFonts w:hint="eastAsia" w:ascii="宋体" w:hAnsi="宋体"/>
                <w:color w:val="000000" w:themeColor="text1"/>
                <w:sz w:val="24"/>
                <w:highlight w:val="none"/>
                <w14:textFill>
                  <w14:solidFill>
                    <w14:schemeClr w14:val="tx1"/>
                  </w14:solidFill>
                </w14:textFill>
              </w:rPr>
              <w:t>：正本</w:t>
            </w:r>
            <w:r>
              <w:rPr>
                <w:rFonts w:hint="eastAsia" w:ascii="宋体" w:hAnsi="宋体"/>
                <w:color w:val="000000" w:themeColor="text1"/>
                <w:sz w:val="24"/>
                <w:highlight w:val="none"/>
                <w:u w:val="single"/>
                <w14:textFill>
                  <w14:solidFill>
                    <w14:schemeClr w14:val="tx1"/>
                  </w14:solidFill>
                </w14:textFill>
              </w:rPr>
              <w:t>壹</w:t>
            </w:r>
            <w:r>
              <w:rPr>
                <w:rFonts w:hint="eastAsia" w:ascii="宋体" w:hAnsi="宋体"/>
                <w:color w:val="000000" w:themeColor="text1"/>
                <w:sz w:val="24"/>
                <w:highlight w:val="none"/>
                <w14:textFill>
                  <w14:solidFill>
                    <w14:schemeClr w14:val="tx1"/>
                  </w14:solidFill>
                </w14:textFill>
              </w:rPr>
              <w:t>份、副本</w:t>
            </w:r>
            <w:r>
              <w:rPr>
                <w:rStyle w:val="43"/>
                <w:rFonts w:hint="eastAsia"/>
                <w:color w:val="000000" w:themeColor="text1"/>
                <w:sz w:val="24"/>
                <w:highlight w:val="none"/>
                <w:u w:val="single"/>
                <w14:textFill>
                  <w14:solidFill>
                    <w14:schemeClr w14:val="tx1"/>
                  </w14:solidFill>
                </w14:textFill>
              </w:rPr>
              <w:t>肆</w:t>
            </w:r>
            <w:r>
              <w:rPr>
                <w:rFonts w:hint="eastAsia" w:ascii="宋体" w:hAnsi="宋体"/>
                <w:color w:val="000000" w:themeColor="text1"/>
                <w:sz w:val="24"/>
                <w:highlight w:val="none"/>
                <w14:textFill>
                  <w14:solidFill>
                    <w14:schemeClr w14:val="tx1"/>
                  </w14:solidFill>
                </w14:textFill>
              </w:rPr>
              <w:t xml:space="preserve">份  </w:t>
            </w:r>
          </w:p>
        </w:tc>
      </w:tr>
      <w:tr w14:paraId="761EC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814" w:type="dxa"/>
            <w:tcBorders>
              <w:top w:val="single" w:color="000000" w:sz="4" w:space="0"/>
              <w:bottom w:val="single" w:color="000000" w:sz="4" w:space="0"/>
              <w:right w:val="single" w:color="000000" w:sz="4" w:space="0"/>
            </w:tcBorders>
            <w:vAlign w:val="center"/>
          </w:tcPr>
          <w:p w14:paraId="378C714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w:t>
            </w:r>
          </w:p>
        </w:tc>
        <w:tc>
          <w:tcPr>
            <w:tcW w:w="8460" w:type="dxa"/>
            <w:tcBorders>
              <w:top w:val="single" w:color="000000" w:sz="4" w:space="0"/>
              <w:left w:val="single" w:color="000000" w:sz="4" w:space="0"/>
              <w:bottom w:val="single" w:color="000000" w:sz="4" w:space="0"/>
            </w:tcBorders>
            <w:vAlign w:val="center"/>
          </w:tcPr>
          <w:p w14:paraId="55D4402F">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响应文件递交时间、交易时间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eastAsia="zh-CN"/>
                <w14:textFill>
                  <w14:solidFill>
                    <w14:schemeClr w14:val="tx1"/>
                  </w14:solidFill>
                </w14:textFill>
              </w:rPr>
              <w:t>2025</w:t>
            </w:r>
            <w:r>
              <w:rPr>
                <w:rFonts w:hint="eastAsia" w:ascii="宋体" w:hAnsi="宋体"/>
                <w:color w:val="000000" w:themeColor="text1"/>
                <w:sz w:val="24"/>
                <w:highlight w:val="none"/>
                <w:u w:val="singl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6月</w:t>
            </w:r>
            <w:r>
              <w:rPr>
                <w:rFonts w:hint="eastAsia" w:ascii="宋体" w:hAnsi="宋体"/>
                <w:color w:val="000000" w:themeColor="text1"/>
                <w:sz w:val="24"/>
                <w:highlight w:val="none"/>
                <w:u w:val="single"/>
                <w:lang w:val="en-US" w:eastAsia="zh-CN"/>
                <w14:textFill>
                  <w14:solidFill>
                    <w14:schemeClr w14:val="tx1"/>
                  </w14:solidFill>
                </w14:textFill>
              </w:rPr>
              <w:t>27</w:t>
            </w:r>
            <w:r>
              <w:rPr>
                <w:rFonts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u w:val="single"/>
                <w:lang w:val="en-US" w:eastAsia="zh-CN"/>
                <w14:textFill>
                  <w14:solidFill>
                    <w14:schemeClr w14:val="tx1"/>
                  </w14:solidFill>
                </w14:textFill>
              </w:rPr>
              <w:t>4</w:t>
            </w:r>
            <w:r>
              <w:rPr>
                <w:rFonts w:ascii="宋体" w:hAnsi="宋体"/>
                <w:color w:val="000000" w:themeColor="text1"/>
                <w:sz w:val="24"/>
                <w:highlight w:val="none"/>
                <w:u w:val="single"/>
                <w14:textFill>
                  <w14:solidFill>
                    <w14:schemeClr w14:val="tx1"/>
                  </w14:solidFill>
                </w14:textFill>
              </w:rPr>
              <w:t>点</w:t>
            </w:r>
          </w:p>
          <w:p w14:paraId="39953E22">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响应文件递交地点、交易地点：萧山区山阴路8</w:t>
            </w:r>
            <w:r>
              <w:rPr>
                <w:rFonts w:ascii="宋体" w:hAnsi="宋体"/>
                <w:b/>
                <w:color w:val="000000" w:themeColor="text1"/>
                <w:sz w:val="24"/>
                <w:highlight w:val="none"/>
                <w14:textFill>
                  <w14:solidFill>
                    <w14:schemeClr w14:val="tx1"/>
                  </w14:solidFill>
                </w14:textFill>
              </w:rPr>
              <w:t>69</w:t>
            </w:r>
            <w:r>
              <w:rPr>
                <w:rFonts w:hint="eastAsia" w:ascii="宋体" w:hAnsi="宋体"/>
                <w:b/>
                <w:color w:val="000000" w:themeColor="text1"/>
                <w:sz w:val="24"/>
                <w:highlight w:val="none"/>
                <w14:textFill>
                  <w14:solidFill>
                    <w14:schemeClr w14:val="tx1"/>
                  </w14:solidFill>
                </w14:textFill>
              </w:rPr>
              <w:t>号绿创中心1</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楼开标室</w:t>
            </w:r>
          </w:p>
        </w:tc>
      </w:tr>
      <w:tr w14:paraId="73CE8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14:paraId="2BB4699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w:t>
            </w:r>
          </w:p>
        </w:tc>
        <w:tc>
          <w:tcPr>
            <w:tcW w:w="8460" w:type="dxa"/>
            <w:tcBorders>
              <w:top w:val="single" w:color="000000" w:sz="4" w:space="0"/>
              <w:left w:val="single" w:color="000000" w:sz="4" w:space="0"/>
              <w:bottom w:val="single" w:color="000000" w:sz="4" w:space="0"/>
              <w:right w:val="single" w:color="000000" w:sz="4" w:space="0"/>
            </w:tcBorders>
            <w:vAlign w:val="center"/>
          </w:tcPr>
          <w:p w14:paraId="27001CBD">
            <w:pPr>
              <w:spacing w:line="400" w:lineRule="exact"/>
              <w:rPr>
                <w:rFonts w:ascii="宋体" w:hAnsi="宋体"/>
                <w:color w:val="000000" w:themeColor="text1"/>
                <w:sz w:val="24"/>
                <w:highlight w:val="none"/>
                <w:u w:val="singl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资金来源</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财政资金</w:t>
            </w:r>
          </w:p>
          <w:p w14:paraId="00DD5AA7">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预算金额：标项一：</w:t>
            </w:r>
            <w:r>
              <w:rPr>
                <w:rFonts w:hint="eastAsia" w:ascii="宋体" w:hAnsi="宋体"/>
                <w:color w:val="000000" w:themeColor="text1"/>
                <w:sz w:val="24"/>
                <w:highlight w:val="none"/>
                <w:u w:val="single"/>
                <w:lang w:val="en-US" w:eastAsia="zh-CN"/>
                <w14:textFill>
                  <w14:solidFill>
                    <w14:schemeClr w14:val="tx1"/>
                  </w14:solidFill>
                </w14:textFill>
              </w:rPr>
              <w:t>48</w:t>
            </w:r>
            <w:r>
              <w:rPr>
                <w:rFonts w:ascii="宋体" w:hAnsi="宋体"/>
                <w:color w:val="000000" w:themeColor="text1"/>
                <w:sz w:val="24"/>
                <w:highlight w:val="none"/>
                <w:u w:val="single"/>
                <w14:textFill>
                  <w14:solidFill>
                    <w14:schemeClr w14:val="tx1"/>
                  </w14:solidFill>
                </w14:textFill>
              </w:rPr>
              <w:t>万</w:t>
            </w:r>
            <w:r>
              <w:rPr>
                <w:rFonts w:hint="eastAsia" w:ascii="宋体" w:hAnsi="宋体"/>
                <w:color w:val="000000" w:themeColor="text1"/>
                <w:sz w:val="24"/>
                <w:highlight w:val="none"/>
                <w:u w:val="single"/>
                <w14:textFill>
                  <w14:solidFill>
                    <w14:schemeClr w14:val="tx1"/>
                  </w14:solidFill>
                </w14:textFill>
              </w:rPr>
              <w:t>元</w:t>
            </w:r>
          </w:p>
        </w:tc>
      </w:tr>
      <w:tr w14:paraId="2A048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14" w:type="dxa"/>
            <w:tcBorders>
              <w:top w:val="single" w:color="000000" w:sz="4" w:space="0"/>
              <w:bottom w:val="single" w:color="000000" w:sz="4" w:space="0"/>
              <w:right w:val="single" w:color="auto" w:sz="4" w:space="0"/>
            </w:tcBorders>
            <w:vAlign w:val="center"/>
          </w:tcPr>
          <w:p w14:paraId="239E5B6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7</w:t>
            </w:r>
          </w:p>
        </w:tc>
        <w:tc>
          <w:tcPr>
            <w:tcW w:w="8460" w:type="dxa"/>
            <w:tcBorders>
              <w:top w:val="single" w:color="000000" w:sz="4" w:space="0"/>
              <w:left w:val="single" w:color="auto" w:sz="4" w:space="0"/>
              <w:bottom w:val="single" w:color="000000" w:sz="4" w:space="0"/>
              <w:right w:val="single" w:color="auto" w:sz="4" w:space="0"/>
            </w:tcBorders>
            <w:vAlign w:val="center"/>
          </w:tcPr>
          <w:p w14:paraId="152C08B7">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pacing w:val="160"/>
                <w:kern w:val="0"/>
                <w:sz w:val="24"/>
                <w:highlight w:val="none"/>
                <w14:textFill>
                  <w14:solidFill>
                    <w14:schemeClr w14:val="tx1"/>
                  </w14:solidFill>
                </w14:textFill>
              </w:rPr>
              <w:t>评审方</w:t>
            </w:r>
            <w:r>
              <w:rPr>
                <w:rFonts w:hint="eastAsia" w:ascii="宋体" w:hAnsi="宋体"/>
                <w:b/>
                <w:color w:val="000000" w:themeColor="text1"/>
                <w:kern w:val="0"/>
                <w:sz w:val="24"/>
                <w:highlight w:val="none"/>
                <w14:textFill>
                  <w14:solidFill>
                    <w14:schemeClr w14:val="tx1"/>
                  </w14:solidFill>
                </w14:textFill>
              </w:rPr>
              <w:t>法</w:t>
            </w:r>
            <w:r>
              <w:rPr>
                <w:rFonts w:hint="eastAsia" w:ascii="宋体" w:hAnsi="宋体"/>
                <w:color w:val="000000" w:themeColor="text1"/>
                <w:sz w:val="24"/>
                <w:highlight w:val="none"/>
                <w14:textFill>
                  <w14:solidFill>
                    <w14:schemeClr w14:val="tx1"/>
                  </w14:solidFill>
                </w14:textFill>
              </w:rPr>
              <w:t>：采用</w:t>
            </w:r>
            <w:r>
              <w:rPr>
                <w:rFonts w:hint="eastAsia" w:ascii="宋体" w:hAnsi="宋体"/>
                <w:color w:val="000000" w:themeColor="text1"/>
                <w:sz w:val="24"/>
                <w:highlight w:val="none"/>
                <w:u w:val="single"/>
                <w14:textFill>
                  <w14:solidFill>
                    <w14:schemeClr w14:val="tx1"/>
                  </w14:solidFill>
                </w14:textFill>
              </w:rPr>
              <w:t>综合评估法</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tc>
      </w:tr>
      <w:tr w14:paraId="1E0F8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4" w:type="dxa"/>
            <w:tcBorders>
              <w:top w:val="single" w:color="000000" w:sz="4" w:space="0"/>
              <w:bottom w:val="single" w:color="000000" w:sz="4" w:space="0"/>
              <w:right w:val="single" w:color="auto" w:sz="4" w:space="0"/>
            </w:tcBorders>
            <w:vAlign w:val="center"/>
          </w:tcPr>
          <w:p w14:paraId="24984BEE">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8</w:t>
            </w:r>
          </w:p>
        </w:tc>
        <w:tc>
          <w:tcPr>
            <w:tcW w:w="8460" w:type="dxa"/>
            <w:tcBorders>
              <w:top w:val="single" w:color="000000" w:sz="4" w:space="0"/>
              <w:left w:val="single" w:color="auto" w:sz="4" w:space="0"/>
              <w:bottom w:val="single" w:color="000000" w:sz="4" w:space="0"/>
              <w:right w:val="single" w:color="auto" w:sz="4" w:space="0"/>
            </w:tcBorders>
            <w:vAlign w:val="center"/>
          </w:tcPr>
          <w:p w14:paraId="371D9928">
            <w:pPr>
              <w:spacing w:line="400" w:lineRule="exact"/>
              <w:rPr>
                <w:rFonts w:ascii="宋体" w:hAnsi="宋体"/>
                <w:b/>
                <w:color w:val="000000" w:themeColor="text1"/>
                <w:spacing w:val="160"/>
                <w:kern w:val="0"/>
                <w:sz w:val="24"/>
                <w:highlight w:val="none"/>
                <w14:textFill>
                  <w14:solidFill>
                    <w14:schemeClr w14:val="tx1"/>
                  </w14:solidFill>
                </w14:textFill>
              </w:rPr>
            </w:pPr>
            <w:r>
              <w:rPr>
                <w:rFonts w:hint="eastAsia" w:ascii="宋体" w:hAnsi="宋体"/>
                <w:b/>
                <w:color w:val="000000" w:themeColor="text1"/>
                <w:spacing w:val="160"/>
                <w:kern w:val="0"/>
                <w:sz w:val="24"/>
                <w:highlight w:val="none"/>
                <w14:textFill>
                  <w14:solidFill>
                    <w14:schemeClr w14:val="tx1"/>
                  </w14:solidFill>
                </w14:textFill>
              </w:rPr>
              <w:t>履约保证金</w:t>
            </w:r>
            <w:r>
              <w:rPr>
                <w:rFonts w:hint="eastAsia" w:ascii="宋体" w:hAnsi="宋体"/>
                <w:color w:val="000000" w:themeColor="text1"/>
                <w:sz w:val="24"/>
                <w:highlight w:val="none"/>
                <w14:textFill>
                  <w14:solidFill>
                    <w14:schemeClr w14:val="tx1"/>
                  </w14:solidFill>
                </w14:textFill>
              </w:rPr>
              <w:t>：不收取</w:t>
            </w:r>
          </w:p>
        </w:tc>
      </w:tr>
      <w:tr w14:paraId="32933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14" w:type="dxa"/>
            <w:tcBorders>
              <w:top w:val="single" w:color="000000" w:sz="4" w:space="0"/>
              <w:bottom w:val="single" w:color="000000" w:sz="4" w:space="0"/>
              <w:right w:val="single" w:color="auto" w:sz="4" w:space="0"/>
            </w:tcBorders>
            <w:vAlign w:val="center"/>
          </w:tcPr>
          <w:p w14:paraId="53B35813">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9</w:t>
            </w:r>
          </w:p>
        </w:tc>
        <w:tc>
          <w:tcPr>
            <w:tcW w:w="8460" w:type="dxa"/>
            <w:tcBorders>
              <w:top w:val="single" w:color="000000" w:sz="4" w:space="0"/>
              <w:left w:val="single" w:color="auto" w:sz="4" w:space="0"/>
              <w:bottom w:val="single" w:color="000000" w:sz="4" w:space="0"/>
              <w:right w:val="single" w:color="auto" w:sz="4" w:space="0"/>
            </w:tcBorders>
            <w:vAlign w:val="center"/>
          </w:tcPr>
          <w:p w14:paraId="5DED3B98">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供应商代表应预留充足时间（一般在截止前一个小时）提前到达交易现场</w:t>
            </w:r>
          </w:p>
          <w:p w14:paraId="74FA4EBB">
            <w:pPr>
              <w:spacing w:line="400" w:lineRule="exact"/>
              <w:rPr>
                <w:rFonts w:ascii="宋体" w:hAnsi="宋体"/>
                <w:b/>
                <w:color w:val="000000" w:themeColor="text1"/>
                <w:spacing w:val="160"/>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各供应商限一名人员进入会场递响应文件。不喧哗闲聊，完成相关工作后即刻离场。 对不符合要求的供应商，交易发起人有权拒收其响应文件。</w:t>
            </w:r>
          </w:p>
        </w:tc>
      </w:tr>
      <w:tr w14:paraId="50B90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814" w:type="dxa"/>
            <w:tcBorders>
              <w:top w:val="single" w:color="000000" w:sz="4" w:space="0"/>
              <w:bottom w:val="single" w:color="auto" w:sz="4" w:space="0"/>
              <w:right w:val="single" w:color="auto" w:sz="4" w:space="0"/>
            </w:tcBorders>
            <w:vAlign w:val="center"/>
          </w:tcPr>
          <w:p w14:paraId="75AF97AA">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10</w:t>
            </w:r>
          </w:p>
        </w:tc>
        <w:tc>
          <w:tcPr>
            <w:tcW w:w="8460" w:type="dxa"/>
            <w:tcBorders>
              <w:top w:val="single" w:color="000000" w:sz="4" w:space="0"/>
              <w:left w:val="single" w:color="auto" w:sz="4" w:space="0"/>
              <w:bottom w:val="single" w:color="auto" w:sz="4" w:space="0"/>
              <w:right w:val="single" w:color="auto" w:sz="4" w:space="0"/>
            </w:tcBorders>
            <w:vAlign w:val="center"/>
          </w:tcPr>
          <w:p w14:paraId="3243A756">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代理服务费：本项目代理服务费及专家评审费用由成交单位支付，代理服务费按</w:t>
            </w:r>
            <w:r>
              <w:rPr>
                <w:rFonts w:ascii="宋体" w:hAnsi="宋体"/>
                <w:color w:val="000000" w:themeColor="text1"/>
                <w:sz w:val="24"/>
                <w:highlight w:val="none"/>
                <w14:textFill>
                  <w14:solidFill>
                    <w14:schemeClr w14:val="tx1"/>
                  </w14:solidFill>
                </w14:textFill>
              </w:rPr>
              <w:t>4500</w:t>
            </w:r>
            <w:r>
              <w:rPr>
                <w:rFonts w:hint="eastAsia" w:ascii="宋体" w:hAnsi="宋体"/>
                <w:color w:val="000000" w:themeColor="text1"/>
                <w:sz w:val="24"/>
                <w:highlight w:val="none"/>
                <w14:textFill>
                  <w14:solidFill>
                    <w14:schemeClr w14:val="tx1"/>
                  </w14:solidFill>
                </w14:textFill>
              </w:rPr>
              <w:t>元包干计取，专家评审费按实结算，代理服务费及专家评审费由成交人在领取成交通知书时向代理机构支付。</w:t>
            </w:r>
          </w:p>
        </w:tc>
      </w:tr>
    </w:tbl>
    <w:p w14:paraId="75957328">
      <w:pPr>
        <w:ind w:firstLine="480" w:firstLineChars="200"/>
        <w:rPr>
          <w:color w:val="000000" w:themeColor="text1"/>
          <w:sz w:val="24"/>
          <w:highlight w:val="none"/>
          <w14:textFill>
            <w14:solidFill>
              <w14:schemeClr w14:val="tx1"/>
            </w14:solidFill>
          </w14:textFill>
        </w:rPr>
      </w:pPr>
    </w:p>
    <w:p w14:paraId="419275A8">
      <w:pPr>
        <w:ind w:firstLine="482" w:firstLineChars="200"/>
        <w:rPr>
          <w:b/>
          <w:color w:val="000000" w:themeColor="text1"/>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凡本公开竞争文件中打</w:t>
      </w:r>
      <w:r>
        <w:rPr>
          <w:rFonts w:hint="eastAsia" w:ascii="宋体" w:hAnsi="宋体"/>
          <w:b/>
          <w:color w:val="000000" w:themeColor="text1"/>
          <w:sz w:val="24"/>
          <w:highlight w:val="none"/>
          <w14:textFill>
            <w14:solidFill>
              <w14:schemeClr w14:val="tx1"/>
            </w14:solidFill>
          </w14:textFill>
        </w:rPr>
        <w:t>▲内容为实质性要求，不允许有负偏差，否则将涉及无效响应条款作无效响应处理。</w:t>
      </w:r>
    </w:p>
    <w:p w14:paraId="3B0EA5B9">
      <w:pPr>
        <w:pStyle w:val="4"/>
        <w:rPr>
          <w:b/>
          <w:color w:val="000000" w:themeColor="text1"/>
          <w:highlight w:val="none"/>
          <w14:textFill>
            <w14:solidFill>
              <w14:schemeClr w14:val="tx1"/>
            </w14:solidFill>
          </w14:textFill>
        </w:rPr>
      </w:pPr>
      <w:bookmarkStart w:id="3" w:name="_Toc331323739"/>
      <w:r>
        <w:rPr>
          <w:b/>
          <w:color w:val="000000" w:themeColor="text1"/>
          <w:highlight w:val="none"/>
          <w14:textFill>
            <w14:solidFill>
              <w14:schemeClr w14:val="tx1"/>
            </w14:solidFill>
          </w14:textFill>
        </w:rPr>
        <w:br w:type="page"/>
      </w:r>
      <w:r>
        <w:rPr>
          <w:rFonts w:hint="eastAsia"/>
          <w:b/>
          <w:color w:val="000000" w:themeColor="text1"/>
          <w:highlight w:val="none"/>
          <w14:textFill>
            <w14:solidFill>
              <w14:schemeClr w14:val="tx1"/>
            </w14:solidFill>
          </w14:textFill>
        </w:rPr>
        <w:t>第一节  响应人须知之通用条款</w:t>
      </w:r>
      <w:bookmarkEnd w:id="3"/>
    </w:p>
    <w:p w14:paraId="63FC697A">
      <w:pPr>
        <w:spacing w:line="360" w:lineRule="auto"/>
        <w:jc w:val="center"/>
        <w:rPr>
          <w:rFonts w:ascii="宋体" w:hAnsi="宋体"/>
          <w:b/>
          <w:color w:val="000000" w:themeColor="text1"/>
          <w:sz w:val="24"/>
          <w:highlight w:val="none"/>
          <w14:textFill>
            <w14:solidFill>
              <w14:schemeClr w14:val="tx1"/>
            </w14:solidFill>
          </w14:textFill>
        </w:rPr>
      </w:pPr>
      <w:bookmarkStart w:id="4" w:name="_Hlt74714665"/>
      <w:bookmarkEnd w:id="4"/>
      <w:bookmarkStart w:id="5" w:name="_Hlt74730295"/>
      <w:bookmarkEnd w:id="5"/>
      <w:bookmarkStart w:id="6" w:name="_Toc91899872"/>
      <w:bookmarkStart w:id="7" w:name="_Hlt74730112"/>
      <w:bookmarkStart w:id="8" w:name="_Hlt74730208"/>
      <w:r>
        <w:rPr>
          <w:rFonts w:hint="eastAsia" w:ascii="宋体" w:hAnsi="宋体"/>
          <w:b/>
          <w:color w:val="000000" w:themeColor="text1"/>
          <w:sz w:val="24"/>
          <w:highlight w:val="none"/>
          <w14:textFill>
            <w14:solidFill>
              <w14:schemeClr w14:val="tx1"/>
            </w14:solidFill>
          </w14:textFill>
        </w:rPr>
        <w:t>一、总则</w:t>
      </w:r>
    </w:p>
    <w:p w14:paraId="20DDB915">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1.项目说明</w:t>
      </w:r>
      <w:bookmarkEnd w:id="6"/>
    </w:p>
    <w:p w14:paraId="42A0B13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1.1项目说明见响应人须知前附表第1项所述。</w:t>
      </w:r>
    </w:p>
    <w:p w14:paraId="5698389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采购本项目的单位为采购人，受采购人委托组织实施本次采购的单位为采购组织机构，自愿参加本次项目交易的公司等为响应人，经评审产生并经成交公告的响应人为成交人，签订合同后的成交人为供应商（合同中的乙方）。</w:t>
      </w:r>
    </w:p>
    <w:p w14:paraId="393AED4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1.3响应人一旦参与本次交易活动，即被视为接受了本公开竞争文件的所有内容，如有任何异议，均已在法定时间内提出。</w:t>
      </w:r>
    </w:p>
    <w:p w14:paraId="6935581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1.4响应人须对所投产品、方案、技术、服务等拥有合法的占有和处置权，并对涉及项目的所有内容可能侵权行为指控负责，保证不伤害采购人的利益，给采购人造成损失的，响应</w:t>
      </w:r>
      <w:r>
        <w:rPr>
          <w:rFonts w:hint="eastAsia"/>
          <w:color w:val="000000" w:themeColor="text1"/>
          <w:highlight w:val="none"/>
          <w14:textFill>
            <w14:solidFill>
              <w14:schemeClr w14:val="tx1"/>
            </w14:solidFill>
          </w14:textFill>
        </w:rPr>
        <w:t>人</w:t>
      </w:r>
      <w:r>
        <w:rPr>
          <w:rFonts w:hint="eastAsia" w:ascii="宋体" w:hAnsi="宋体"/>
          <w:color w:val="000000" w:themeColor="text1"/>
          <w:sz w:val="24"/>
          <w:highlight w:val="none"/>
          <w14:textFill>
            <w14:solidFill>
              <w14:schemeClr w14:val="tx1"/>
            </w14:solidFill>
          </w14:textFill>
        </w:rPr>
        <w:t>应承担相应后果，并负责赔偿。在法律范围内，采购人对上述可能的侵权行为概不负责。供应商为执行本项目合同而提供的技术资料等归采购人所有。</w:t>
      </w:r>
    </w:p>
    <w:p w14:paraId="1F843FE0">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9" w:name="_Toc91899873"/>
      <w:r>
        <w:rPr>
          <w:rFonts w:hint="eastAsia" w:ascii="宋体" w:hAnsi="宋体"/>
          <w:b/>
          <w:color w:val="000000" w:themeColor="text1"/>
          <w:sz w:val="24"/>
          <w:highlight w:val="none"/>
          <w14:textFill>
            <w14:solidFill>
              <w14:schemeClr w14:val="tx1"/>
            </w14:solidFill>
          </w14:textFill>
        </w:rPr>
        <w:t>2.采购方式</w:t>
      </w:r>
      <w:bookmarkEnd w:id="9"/>
    </w:p>
    <w:p w14:paraId="6F5CDE3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公开竞争。</w:t>
      </w:r>
      <w:bookmarkEnd w:id="7"/>
      <w:bookmarkEnd w:id="8"/>
      <w:bookmarkStart w:id="10" w:name="_Hlt68516771"/>
      <w:bookmarkEnd w:id="10"/>
      <w:bookmarkStart w:id="11" w:name="_Hlt74388212"/>
      <w:bookmarkEnd w:id="11"/>
    </w:p>
    <w:p w14:paraId="4D81F028">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12" w:name="_Toc91899876"/>
      <w:bookmarkStart w:id="13" w:name="_Hlt74730301"/>
      <w:r>
        <w:rPr>
          <w:rFonts w:hint="eastAsia" w:ascii="宋体" w:hAnsi="宋体"/>
          <w:b/>
          <w:color w:val="000000" w:themeColor="text1"/>
          <w:sz w:val="24"/>
          <w:highlight w:val="none"/>
          <w14:textFill>
            <w14:solidFill>
              <w14:schemeClr w14:val="tx1"/>
            </w14:solidFill>
          </w14:textFill>
        </w:rPr>
        <w:t>3.响应人应具备的资格要求</w:t>
      </w:r>
      <w:bookmarkEnd w:id="12"/>
      <w:bookmarkEnd w:id="13"/>
      <w:bookmarkStart w:id="14" w:name="_Toc91899877"/>
      <w:bookmarkStart w:id="15" w:name="_Hlt74730303"/>
    </w:p>
    <w:p w14:paraId="34EEFE3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见本公开竞争文件第一部分“采购公告”。</w:t>
      </w:r>
    </w:p>
    <w:p w14:paraId="00263A7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4.定义</w:t>
      </w:r>
    </w:p>
    <w:p w14:paraId="05681A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4.1货物</w:t>
      </w:r>
    </w:p>
    <w:p w14:paraId="52E92A0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系指供方按公开竞争文件规定，须向采购人提供的一切设备、备品备件、工具、手册及其它有关技术资料和材料。</w:t>
      </w:r>
    </w:p>
    <w:p w14:paraId="4187D56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4.2服务</w:t>
      </w:r>
    </w:p>
    <w:p w14:paraId="5F466FB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系指合同规定供应商须承担的运输、装卸、仓储、安装、调试、验收、技术支持、校准、培训、技术指导等类似义务及交付使用后，质保期内应履行的售后服务等义务。</w:t>
      </w:r>
    </w:p>
    <w:p w14:paraId="6B001741">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5.响应费用</w:t>
      </w:r>
      <w:bookmarkEnd w:id="14"/>
    </w:p>
    <w:bookmarkEnd w:id="15"/>
    <w:p w14:paraId="05BA4E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响应人需自行承担涉及本次交易的一切费用。</w:t>
      </w:r>
    </w:p>
    <w:p w14:paraId="7D4182EF">
      <w:pPr>
        <w:spacing w:line="360" w:lineRule="auto"/>
        <w:jc w:val="center"/>
        <w:rPr>
          <w:rFonts w:ascii="宋体" w:hAnsi="宋体"/>
          <w:b/>
          <w:color w:val="000000" w:themeColor="text1"/>
          <w:sz w:val="24"/>
          <w:highlight w:val="none"/>
          <w14:textFill>
            <w14:solidFill>
              <w14:schemeClr w14:val="tx1"/>
            </w14:solidFill>
          </w14:textFill>
        </w:rPr>
      </w:pPr>
      <w:bookmarkStart w:id="16" w:name="_Hlt75236290"/>
      <w:bookmarkEnd w:id="16"/>
      <w:bookmarkStart w:id="17" w:name="_Hlt74707468"/>
      <w:bookmarkEnd w:id="17"/>
      <w:bookmarkStart w:id="18" w:name="_Hlt74729768"/>
      <w:bookmarkEnd w:id="18"/>
      <w:bookmarkStart w:id="19" w:name="_Hlt68072990"/>
      <w:bookmarkEnd w:id="19"/>
      <w:bookmarkStart w:id="20" w:name="_Hlt68057669"/>
      <w:bookmarkEnd w:id="20"/>
      <w:bookmarkStart w:id="21" w:name="_Toc91899879"/>
      <w:r>
        <w:rPr>
          <w:rFonts w:hint="eastAsia" w:ascii="宋体" w:hAnsi="宋体"/>
          <w:b/>
          <w:color w:val="000000" w:themeColor="text1"/>
          <w:sz w:val="24"/>
          <w:highlight w:val="none"/>
          <w14:textFill>
            <w14:solidFill>
              <w14:schemeClr w14:val="tx1"/>
            </w14:solidFill>
          </w14:textFill>
        </w:rPr>
        <w:t>二、</w:t>
      </w:r>
      <w:bookmarkEnd w:id="21"/>
      <w:r>
        <w:rPr>
          <w:rFonts w:hint="eastAsia" w:ascii="宋体" w:hAnsi="宋体"/>
          <w:b/>
          <w:color w:val="000000" w:themeColor="text1"/>
          <w:sz w:val="24"/>
          <w:highlight w:val="none"/>
          <w14:textFill>
            <w14:solidFill>
              <w14:schemeClr w14:val="tx1"/>
            </w14:solidFill>
          </w14:textFill>
        </w:rPr>
        <w:t>公开竞争文件</w:t>
      </w:r>
    </w:p>
    <w:p w14:paraId="4CF50442">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22" w:name="_Toc91899880"/>
      <w:bookmarkStart w:id="23" w:name="_Hlt74730307"/>
      <w:r>
        <w:rPr>
          <w:rFonts w:hint="eastAsia" w:ascii="宋体" w:hAnsi="宋体"/>
          <w:b/>
          <w:color w:val="000000" w:themeColor="text1"/>
          <w:sz w:val="24"/>
          <w:highlight w:val="none"/>
          <w14:textFill>
            <w14:solidFill>
              <w14:schemeClr w14:val="tx1"/>
            </w14:solidFill>
          </w14:textFill>
        </w:rPr>
        <w:t>6.公开竞争文件的构成</w:t>
      </w:r>
      <w:bookmarkEnd w:id="22"/>
    </w:p>
    <w:bookmarkEnd w:id="23"/>
    <w:p w14:paraId="2477B2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响应人应认真审阅公开竞争文件中所有的内容，包括响应人注意事项、采购公告、响应人须知、采购需求、响应文件格式及其附件、合同等。如果响应人编制的响应文件实质上不响应公开竞争文件的要求，其响应文件将被认定为</w:t>
      </w:r>
      <w:r>
        <w:rPr>
          <w:rFonts w:hint="eastAsia" w:ascii="黑体" w:hAnsi="宋体" w:eastAsia="黑体"/>
          <w:color w:val="000000" w:themeColor="text1"/>
          <w:sz w:val="24"/>
          <w:highlight w:val="none"/>
          <w:u w:val="dotted"/>
          <w14:textFill>
            <w14:solidFill>
              <w14:schemeClr w14:val="tx1"/>
            </w14:solidFill>
          </w14:textFill>
        </w:rPr>
        <w:t>无效响应</w:t>
      </w:r>
      <w:r>
        <w:rPr>
          <w:rFonts w:hint="eastAsia" w:ascii="宋体" w:hAnsi="宋体"/>
          <w:color w:val="000000" w:themeColor="text1"/>
          <w:sz w:val="24"/>
          <w:highlight w:val="none"/>
          <w14:textFill>
            <w14:solidFill>
              <w14:schemeClr w14:val="tx1"/>
            </w14:solidFill>
          </w14:textFill>
        </w:rPr>
        <w:t>。</w:t>
      </w:r>
    </w:p>
    <w:p w14:paraId="355B9B6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7.公开竞争文件的解释</w:t>
      </w:r>
    </w:p>
    <w:p w14:paraId="6D91F8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已获取公开竞争文件的潜在响应人，若有问题需要询问，应以书面形式送达采购组织机构或采购人。采购人与采购组织机构经研究，对确需回答的问题，将以书面形式对有关问题进行解答，同时传真到所有参与响应的单位。</w:t>
      </w:r>
    </w:p>
    <w:p w14:paraId="2EDF55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7.2不论采购组织机构向响应人发送的资料文件，还是对响应人提出的问题，均采用书面形式，口头答复一律无效。</w:t>
      </w:r>
    </w:p>
    <w:p w14:paraId="6064971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7.3采购组织机构视采购项目的具体情况，组织全部潜在的响应人进行现场考察或召开答疑会的，时间另行通知。</w:t>
      </w:r>
    </w:p>
    <w:p w14:paraId="3F53CB30">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8.公开竞争文件的修改</w:t>
      </w:r>
    </w:p>
    <w:p w14:paraId="73B61E6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8.1 采购组织机构可能会对已发出的公开竞争文件进行澄清、答复、修改或补充，该内容为公开竞争文件的组成部分。采购组织机构将通过传真给所有获得公开竞争文件的响应人。除书面形式以外的其他澄清、答复、修改或补充内容均无效。网上内容与书面不一致时，以书面为准。</w:t>
      </w:r>
    </w:p>
    <w:p w14:paraId="403DF33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8.2公开竞争文件澄清、答复、修改或补充都应通过采购组织机构发布，采购人非通过采购组织机构，不得擅自澄清、答复、修改或补充公开竞争文件。</w:t>
      </w:r>
    </w:p>
    <w:p w14:paraId="58C4036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8.3采购人可以视采购具体情况，延长响应截止时间和交易时间，并在公开竞争文件要求提交响应文件的截止时间前，将变更时间书面通知所有公开竞争文件收受人。</w:t>
      </w:r>
    </w:p>
    <w:p w14:paraId="79E1D171">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9.响应报价及供货</w:t>
      </w:r>
    </w:p>
    <w:p w14:paraId="1D97A13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9.1响应报价</w:t>
      </w:r>
    </w:p>
    <w:p w14:paraId="1D0B52E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响应人的报价是响应人响应本项目要求的全部工作内容的价格体现，包括响应人完成本项目所需的一切费用。响应报价应是唯一的,任何有选择或有条件的报价将不予接受。</w:t>
      </w:r>
    </w:p>
    <w:p w14:paraId="0484859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9.2其它费用处理</w:t>
      </w:r>
    </w:p>
    <w:p w14:paraId="623AD94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公开竞争文件未列明，而响应人认为必需的费用也需列入报价。</w:t>
      </w:r>
    </w:p>
    <w:p w14:paraId="7A93A8A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9.3响应货币</w:t>
      </w:r>
    </w:p>
    <w:p w14:paraId="51C1595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公开竞争文件中的单价和总价全部采用人民币报价。</w:t>
      </w:r>
    </w:p>
    <w:p w14:paraId="0FF1B58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9.4签订合同后，供应商按照其与采购人的事先约定将所供货物运至规定地点。</w:t>
      </w:r>
    </w:p>
    <w:p w14:paraId="240FC6A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9.5响应人应明确供货期。供货期是指合同生效后，供应商将所供货物按合同清单所列的品种、数量等，运至合同规定地点，安装、运行、验收合格后交付使用的期限。</w:t>
      </w:r>
    </w:p>
    <w:p w14:paraId="4509AD74">
      <w:pPr>
        <w:spacing w:line="360" w:lineRule="auto"/>
        <w:jc w:val="center"/>
        <w:rPr>
          <w:rFonts w:ascii="宋体" w:hAnsi="宋体"/>
          <w:b/>
          <w:color w:val="000000" w:themeColor="text1"/>
          <w:sz w:val="24"/>
          <w:highlight w:val="none"/>
          <w14:textFill>
            <w14:solidFill>
              <w14:schemeClr w14:val="tx1"/>
            </w14:solidFill>
          </w14:textFill>
        </w:rPr>
      </w:pPr>
      <w:bookmarkStart w:id="24" w:name="_Hlt75236011"/>
      <w:bookmarkEnd w:id="24"/>
      <w:bookmarkStart w:id="25" w:name="_Toc91899884"/>
      <w:r>
        <w:rPr>
          <w:rFonts w:hint="eastAsia" w:ascii="宋体" w:hAnsi="宋体"/>
          <w:b/>
          <w:color w:val="000000" w:themeColor="text1"/>
          <w:sz w:val="24"/>
          <w:highlight w:val="none"/>
          <w14:textFill>
            <w14:solidFill>
              <w14:schemeClr w14:val="tx1"/>
            </w14:solidFill>
          </w14:textFill>
        </w:rPr>
        <w:t>三、响应文件的编制</w:t>
      </w:r>
      <w:bookmarkEnd w:id="25"/>
    </w:p>
    <w:p w14:paraId="0A1B4FCB">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10.响应文件的语言</w:t>
      </w:r>
    </w:p>
    <w:p w14:paraId="09D7BFF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及响应人与采购有关的来往通知、函件和文件均应使用中文。响应文件中如附有外文资料，必须逐一对应翻译成中文并加盖响应人公章后附在相关外文资料后面，否则外文资料不予认可。翻译的中文资料与外文资料不符的，以中文文本为准。翻译严重错误的，将视同提供虚假资料。</w:t>
      </w:r>
    </w:p>
    <w:p w14:paraId="7707EC04">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11.响应文件的组成</w:t>
      </w:r>
      <w:r>
        <w:rPr>
          <w:rFonts w:hint="eastAsia" w:ascii="宋体" w:hAnsi="宋体"/>
          <w:color w:val="000000" w:themeColor="text1"/>
          <w:sz w:val="24"/>
          <w:highlight w:val="none"/>
          <w14:textFill>
            <w14:solidFill>
              <w14:schemeClr w14:val="tx1"/>
            </w14:solidFill>
          </w14:textFill>
        </w:rPr>
        <w:t>（加“▲”的资料为必须提供）</w:t>
      </w:r>
    </w:p>
    <w:p w14:paraId="515AA11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响应人的响应文件应包括报价文件、商务文件、技术文件。</w:t>
      </w:r>
    </w:p>
    <w:p w14:paraId="5C39F62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 响应人的报价文件应单独密封，内容应当包含：</w:t>
      </w:r>
    </w:p>
    <w:p w14:paraId="4997D397">
      <w:pPr>
        <w:spacing w:line="360" w:lineRule="auto"/>
        <w:ind w:firstLine="118" w:firstLineChars="49"/>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 响应函；</w:t>
      </w:r>
    </w:p>
    <w:p w14:paraId="13D6AAEB">
      <w:pPr>
        <w:spacing w:line="360" w:lineRule="auto"/>
        <w:ind w:firstLine="118" w:firstLineChars="49"/>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 响应报价明细表；</w:t>
      </w:r>
    </w:p>
    <w:p w14:paraId="472F832A">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(3)响应人需要说明的其它文件和资料。</w:t>
      </w:r>
    </w:p>
    <w:p w14:paraId="012E977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11.2响应人的商务文件应当包含：</w:t>
      </w:r>
    </w:p>
    <w:p w14:paraId="71974EB1">
      <w:pPr>
        <w:spacing w:line="360" w:lineRule="auto"/>
        <w:ind w:firstLine="422" w:firstLineChars="17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▲(1)响应人代表身份证明资料包括：有效身份证件复印件；如委托的，还需提供有效的授权委托书 。</w:t>
      </w:r>
    </w:p>
    <w:p w14:paraId="6F61D555">
      <w:pPr>
        <w:spacing w:line="360" w:lineRule="auto"/>
        <w:ind w:firstLine="422" w:firstLineChars="17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▲(2)诚信承诺书；</w:t>
      </w:r>
    </w:p>
    <w:p w14:paraId="32E3A10F">
      <w:pPr>
        <w:spacing w:line="360" w:lineRule="auto"/>
        <w:ind w:firstLine="422" w:firstLineChars="17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▲(3)根据采购公告要求，证明响应人具备资格所必须提交的资料（包括营业执照副本或事业单位法人证书、其它特定证明材料）。</w:t>
      </w:r>
    </w:p>
    <w:p w14:paraId="068F38E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(4) 响应人基本情况：</w:t>
      </w:r>
      <w:r>
        <w:rPr>
          <w:rFonts w:ascii="宋体" w:hAnsi="宋体"/>
          <w:color w:val="000000" w:themeColor="text1"/>
          <w:sz w:val="24"/>
          <w:highlight w:val="none"/>
          <w14:textFill>
            <w14:solidFill>
              <w14:schemeClr w14:val="tx1"/>
            </w14:solidFill>
          </w14:textFill>
        </w:rPr>
        <w:tab/>
      </w:r>
    </w:p>
    <w:p w14:paraId="66E8B3B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响应人基本情况表；提供公告发布日前一月的资产负债表、利润表；响应人认为有必要提供的诸如企业经营状况、优势、传媒报道、有关荣誉等资料。</w:t>
      </w:r>
    </w:p>
    <w:p w14:paraId="54F8318E">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有关响应人资质、资格的其他证明材料：</w:t>
      </w:r>
    </w:p>
    <w:p w14:paraId="63199F6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五证合一（三证合一）证书复印件；响应人银行资信等级证书复印件；荣誉证书复印件或响应人认为需要说明的其他资料。</w:t>
      </w:r>
    </w:p>
    <w:p w14:paraId="1A2EAE48">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(6)项目人员情况：</w:t>
      </w:r>
    </w:p>
    <w:p w14:paraId="0E55B1A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a.项目负责人情况：项目负责人的学历、资格、从业经验等资料；</w:t>
      </w:r>
    </w:p>
    <w:p w14:paraId="758932F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b.项目组人员情况：响应人认为需要的诸如项目组人员资格证书等其他资料。</w:t>
      </w:r>
    </w:p>
    <w:p w14:paraId="0BDA10DF">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▲(7)商务偏离表</w:t>
      </w:r>
    </w:p>
    <w:p w14:paraId="5DA0F57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(8)各种优惠承诺（优惠条件事项不包括采购项目本身所涉及的事项。响应人不能以“赠送、赠予”等任何名义提供货物和服务以规避公开竞争文件的约束）。</w:t>
      </w:r>
    </w:p>
    <w:p w14:paraId="646C1C8A">
      <w:pPr>
        <w:spacing w:line="360" w:lineRule="auto"/>
        <w:ind w:firstLine="480" w:firstLineChars="200"/>
        <w:rPr>
          <w:rFonts w:hAnsi="宋体"/>
          <w:b/>
          <w:color w:val="000000" w:themeColor="text1"/>
          <w:sz w:val="24"/>
          <w:highlight w:val="none"/>
          <w:shd w:val="pct10" w:color="auto" w:fill="FFFFFF"/>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(9)类似项目业绩：</w:t>
      </w:r>
    </w:p>
    <w:p w14:paraId="4239E8A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类似项目业绩一览表；成功应用实例和类似项目实施成功的经验的证明材料，如合同复印件、中标（成交）通知书或用户证明等。</w:t>
      </w:r>
    </w:p>
    <w:p w14:paraId="4CC60FC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(10)响应人需要说明的其它文件和资料。</w:t>
      </w:r>
    </w:p>
    <w:p w14:paraId="54FD40FD">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(11)公开竞争文件要求提供的其他资料。</w:t>
      </w:r>
    </w:p>
    <w:p w14:paraId="63A6144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11.3响应人的技术文件应当包括：</w:t>
      </w:r>
    </w:p>
    <w:p w14:paraId="585F2AE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A.货物类项目的响应技术文件：</w:t>
      </w:r>
    </w:p>
    <w:p w14:paraId="670B8630">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▲(1)技术规范偏离表</w:t>
      </w:r>
    </w:p>
    <w:p w14:paraId="2388F41F">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▲(2)货物具体配置表：详细列明所投项目主要设备清单，完整配置方案及技术指标，项目的核心产品必须明确所投品牌、规格型号及具体技术指标。任何含糊不清的表述对评审结果的影响将是响应人的责任。</w:t>
      </w:r>
    </w:p>
    <w:p w14:paraId="0BA652F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(3)项目实施计划：详细的项目组织实施方案（工作时间进度表、工作程序或步骤、管理和协调方法等）。 </w:t>
      </w:r>
    </w:p>
    <w:p w14:paraId="3EEE944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(4)货物或设备存放、安装和调试的技术要求。</w:t>
      </w:r>
    </w:p>
    <w:p w14:paraId="44A8A28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(5)售后服务、技术支持承诺。</w:t>
      </w:r>
    </w:p>
    <w:p w14:paraId="19370CE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(6)响应人需要说明的其它文件及资料复印件：生产厂家的有关资格文件；产品有效检测和鉴定证明；进口产品合法手续有效证明；产品销售授权书或代理证书等。</w:t>
      </w:r>
    </w:p>
    <w:p w14:paraId="5259C8C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B.服务类项目的响应技术文件：</w:t>
      </w:r>
    </w:p>
    <w:p w14:paraId="5A2A157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(1)对本项目系统总体要求的理解。</w:t>
      </w:r>
    </w:p>
    <w:p w14:paraId="32A83CAA">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▲(2)项目总体架构及技术解决方案。</w:t>
      </w:r>
    </w:p>
    <w:p w14:paraId="469DFE54">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▲(3)保证项目质量的技术力量及技术措施。</w:t>
      </w:r>
    </w:p>
    <w:p w14:paraId="1CB7750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(4)保证工期的施工组织方案及人力安排。</w:t>
      </w:r>
    </w:p>
    <w:p w14:paraId="0F5130D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(5)项目实施人员一览表。</w:t>
      </w:r>
    </w:p>
    <w:p w14:paraId="2140E4D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(6)工程量、原材料、人工配置清单（均不含报价）。</w:t>
      </w:r>
    </w:p>
    <w:p w14:paraId="7D362AE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(7)技术服务、技术培训、售后服务的内容和措施。</w:t>
      </w:r>
    </w:p>
    <w:p w14:paraId="4090CE9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(8)响应人对本项目的合理化建议和改进措施。</w:t>
      </w:r>
    </w:p>
    <w:p w14:paraId="26F9E7C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(9)响应人认为需要提供的其他文件及资料（格式自拟）。</w:t>
      </w:r>
    </w:p>
    <w:p w14:paraId="77208DC4">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26" w:name="_Toc91899887"/>
      <w:r>
        <w:rPr>
          <w:rFonts w:hint="eastAsia" w:ascii="宋体" w:hAnsi="宋体"/>
          <w:b/>
          <w:color w:val="000000" w:themeColor="text1"/>
          <w:sz w:val="24"/>
          <w:highlight w:val="none"/>
          <w14:textFill>
            <w14:solidFill>
              <w14:schemeClr w14:val="tx1"/>
            </w14:solidFill>
          </w14:textFill>
        </w:rPr>
        <w:t>12.响应有效期</w:t>
      </w:r>
    </w:p>
    <w:p w14:paraId="37DD667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12.1响应文件合格投递后，自响应截止日期起，至前附表所列的日期内有效。</w:t>
      </w:r>
    </w:p>
    <w:p w14:paraId="094B9F7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12.2在原定响应有效期之前，如果出现特殊情况，采购组织机构可以以书面形式通知响应人延长响应有效期。</w:t>
      </w:r>
    </w:p>
    <w:p w14:paraId="425DA02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13.响应文件的编制</w:t>
      </w:r>
    </w:p>
    <w:p w14:paraId="0A159BB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响应人按本须知第10条规定的语言和前附表规定的份数编制响应文件并明确标识各部分内容。响应文件标识不清、编写不完整、编排混乱导致响应文件被误拆、误读、漏读或者查找不到相关内容的，责任由响应人自行承担。</w:t>
      </w:r>
    </w:p>
    <w:p w14:paraId="759377B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13.2全套响应文件应无涂改和行间插字，除非这些删改是根据采购组织机构要求进行，或者是响应人造成的必须修改的错误。所修改处应由响应人代表签字予以确认，否则，修改处不予认可。</w:t>
      </w:r>
    </w:p>
    <w:p w14:paraId="1BF81CA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13.3响应文件提倡A4幅面双面打印，并按顺序统一编目编码装订成册。</w:t>
      </w:r>
      <w:bookmarkEnd w:id="26"/>
    </w:p>
    <w:p w14:paraId="4DF55346">
      <w:pPr>
        <w:spacing w:line="360" w:lineRule="auto"/>
        <w:jc w:val="center"/>
        <w:rPr>
          <w:rFonts w:ascii="宋体" w:hAnsi="宋体"/>
          <w:b/>
          <w:color w:val="000000" w:themeColor="text1"/>
          <w:sz w:val="24"/>
          <w:highlight w:val="none"/>
          <w14:textFill>
            <w14:solidFill>
              <w14:schemeClr w14:val="tx1"/>
            </w14:solidFill>
          </w14:textFill>
        </w:rPr>
      </w:pPr>
      <w:bookmarkStart w:id="27" w:name="_Hlt68073093"/>
      <w:bookmarkEnd w:id="27"/>
      <w:bookmarkStart w:id="28" w:name="_Hlt68072998"/>
      <w:bookmarkEnd w:id="28"/>
      <w:bookmarkStart w:id="29" w:name="_Hlt68403820"/>
      <w:bookmarkEnd w:id="29"/>
      <w:bookmarkStart w:id="30" w:name="_Toc86216991"/>
      <w:bookmarkStart w:id="31" w:name="_Toc91899892"/>
      <w:r>
        <w:rPr>
          <w:rFonts w:hint="eastAsia" w:ascii="宋体" w:hAnsi="宋体"/>
          <w:b/>
          <w:color w:val="000000" w:themeColor="text1"/>
          <w:sz w:val="24"/>
          <w:highlight w:val="none"/>
          <w14:textFill>
            <w14:solidFill>
              <w14:schemeClr w14:val="tx1"/>
            </w14:solidFill>
          </w14:textFill>
        </w:rPr>
        <w:t>四、响应文件的递交</w:t>
      </w:r>
      <w:bookmarkEnd w:id="30"/>
    </w:p>
    <w:p w14:paraId="02521B8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14.响应文件的密封、装订、签署、盖章</w:t>
      </w:r>
    </w:p>
    <w:p w14:paraId="28ED1A6F">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▲14.1响应文件须密封包装并在包装封面上加盖响应人公章。响应文件提交的总份数应按照公开竞争文件前附表的规定。</w:t>
      </w:r>
    </w:p>
    <w:p w14:paraId="38C32EB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响应文件外层包装封面的参考格式详见本公开竞争文件第四部分。</w:t>
      </w:r>
    </w:p>
    <w:p w14:paraId="621B4B85">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▲14.2响应文件必须胶装装订。报价文件（含封面）为3张纸及以下的可不胶装装订。</w:t>
      </w:r>
    </w:p>
    <w:p w14:paraId="26F17900">
      <w:pPr>
        <w:spacing w:line="360" w:lineRule="auto"/>
        <w:ind w:firstLine="234" w:firstLineChars="97"/>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▲14.3响应人须在响应文件封面上标明“正本”与“副本”字样、项目名称与标项号，并加盖响应人公章。正本内容与副本不一致时，以正本为准。</w:t>
      </w:r>
    </w:p>
    <w:p w14:paraId="30749842">
      <w:pPr>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参考格式详见本公开竞争文件第四部分。</w:t>
      </w:r>
    </w:p>
    <w:p w14:paraId="3AAE2016">
      <w:pPr>
        <w:spacing w:line="360" w:lineRule="auto"/>
        <w:ind w:firstLine="234" w:firstLineChars="97"/>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14.4报价文件必须与商务文件和技术文件分开装订，单独密封（采用最低评审价法的报价文件可不单独装订与密封）。密封袋上须注明项目名称、标项号及类似（报价文件或商务文件或技术文件）字样并加盖响应人公章。不同标项的报价文件须各自单独密封与标注（采用最低评审价法的可不单独密封与标注）。任何其他响应文件中不得出现响应报价。</w:t>
      </w:r>
    </w:p>
    <w:p w14:paraId="5CBC2A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参考格式详见本公开竞争文件第四部分。</w:t>
      </w:r>
    </w:p>
    <w:p w14:paraId="4C08C285">
      <w:pPr>
        <w:spacing w:line="360" w:lineRule="auto"/>
        <w:ind w:firstLine="236" w:firstLineChars="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▲14.5 响应文件中授权委托书、响应函、响应报价明细表、诚信承诺书须按公开竞争文件第四部分格式要求签署、盖章。</w:t>
      </w:r>
    </w:p>
    <w:p w14:paraId="7B2DE70A">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15.响应截止时间</w:t>
      </w:r>
    </w:p>
    <w:p w14:paraId="6916793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15.1 响应人应按前附表第5项规定的时间、地点向采购组织机构递交响应文件，采购组织机构拒绝接受逾期送达的响应文件及其该项目的响应。</w:t>
      </w:r>
    </w:p>
    <w:p w14:paraId="31A2C57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15.2 采购组织机构可以按本须知第8条规定以补充通知的方式，酌情延长递交响应文件的截止时间。在上述情况下，采购组织机构与响应人此前在响应截止时间方面的全部权利、责任和义务，将适用于延长后新的响应截止时间。</w:t>
      </w:r>
    </w:p>
    <w:p w14:paraId="4F801E7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15.3不论响应人成交与否，已拆封的响应文件均不予退回。</w:t>
      </w:r>
    </w:p>
    <w:p w14:paraId="253E6FF4">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16.响应文件的修改</w:t>
      </w:r>
    </w:p>
    <w:p w14:paraId="058F82D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16.1 响应人递交响应文件以后，在规定的响应截止时间之前，可以书面形式对响应文件进行补充、修改，并由响应人代表签字确认；在响应截止时间以后，不能修改、补充响应文件。修改、补充文件的密封、装订、签署与盖章要求与14.响应文件要求一致。</w:t>
      </w:r>
    </w:p>
    <w:p w14:paraId="1F8F59B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16.2 响应人的修改、补充通知，如果一份响应文件有几份函件时，应注明哪一份有效，否则所作修改、补充视为无效。</w:t>
      </w:r>
    </w:p>
    <w:p w14:paraId="1732BF0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16.3 自响应截止时间起至公开竞争文件中规定的有效时间止，响应人不能撤回响应文件。</w:t>
      </w:r>
      <w:bookmarkEnd w:id="31"/>
    </w:p>
    <w:p w14:paraId="12638473">
      <w:pPr>
        <w:spacing w:line="360" w:lineRule="auto"/>
        <w:jc w:val="center"/>
        <w:rPr>
          <w:rFonts w:ascii="宋体" w:hAnsi="宋体"/>
          <w:b/>
          <w:color w:val="000000" w:themeColor="text1"/>
          <w:sz w:val="24"/>
          <w:highlight w:val="none"/>
          <w14:textFill>
            <w14:solidFill>
              <w14:schemeClr w14:val="tx1"/>
            </w14:solidFill>
          </w14:textFill>
        </w:rPr>
      </w:pPr>
      <w:bookmarkStart w:id="32" w:name="_Toc91899897"/>
      <w:r>
        <w:rPr>
          <w:rFonts w:hint="eastAsia" w:ascii="宋体" w:hAnsi="宋体"/>
          <w:b/>
          <w:color w:val="000000" w:themeColor="text1"/>
          <w:sz w:val="24"/>
          <w:highlight w:val="none"/>
          <w14:textFill>
            <w14:solidFill>
              <w14:schemeClr w14:val="tx1"/>
            </w14:solidFill>
          </w14:textFill>
        </w:rPr>
        <w:t>五、</w:t>
      </w:r>
      <w:bookmarkEnd w:id="32"/>
      <w:r>
        <w:rPr>
          <w:rFonts w:hint="eastAsia" w:ascii="宋体" w:hAnsi="宋体"/>
          <w:b/>
          <w:color w:val="000000" w:themeColor="text1"/>
          <w:sz w:val="24"/>
          <w:highlight w:val="none"/>
          <w14:textFill>
            <w14:solidFill>
              <w14:schemeClr w14:val="tx1"/>
            </w14:solidFill>
          </w14:textFill>
        </w:rPr>
        <w:t>交易会议</w:t>
      </w:r>
    </w:p>
    <w:p w14:paraId="2799D40E">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17.交易会议</w:t>
      </w:r>
    </w:p>
    <w:p w14:paraId="0AD005D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17.1采购组织机构将在前附表规定时间、指定地点举行交易会议。响应人代表需提供本人的有效身份证件原件。</w:t>
      </w:r>
    </w:p>
    <w:p w14:paraId="3195116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公开竞争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14:paraId="1BFD993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17.2 交易会程序</w:t>
      </w:r>
    </w:p>
    <w:p w14:paraId="40CA3EFD">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17.2.1 采用最低评审价法项目的交易程序：</w:t>
      </w:r>
    </w:p>
    <w:p w14:paraId="7B53F65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(1)交易会由采购组织机构主持,主持人宣布交易会议开始；</w:t>
      </w:r>
    </w:p>
    <w:p w14:paraId="780EF50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(2)主持人介绍参加交易会议的成员；</w:t>
      </w:r>
    </w:p>
    <w:p w14:paraId="38F1BCE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(3)主持人宣布交易会期间的有关事项；</w:t>
      </w:r>
    </w:p>
    <w:p w14:paraId="0371B5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(4)采购组织机构请参与的响应单位代表或其委托的公证机构检查响应文件的密封情况；</w:t>
      </w:r>
    </w:p>
    <w:p w14:paraId="0B51BC0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(5)主持人按各响应人提交响应文件时间的先后顺序打开响应文件并宣布响应文件份数，宣读报价文件中响应人名称、响应报价以及采购组织机构认为有必要宣读的其他内容；</w:t>
      </w:r>
    </w:p>
    <w:p w14:paraId="7FE8F2D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(6)采购组织机构做交易记录，响应人代表对交易记录进行当场校核及勘误，并签名确认，同时由记录人、监督人当场签名确认。响应人代表未到场签名确认或拒绝签名确认的，不影响评审过程与结果；</w:t>
      </w:r>
    </w:p>
    <w:p w14:paraId="7FB7839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(7)响应文件送交评审委员会评审。评审结束后，主持人公布无效响应的响应人名单、响应无效的原因及其他有效响应的评审结果；</w:t>
      </w:r>
    </w:p>
    <w:p w14:paraId="4818056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(8)主持人宣布交易会议结束。</w:t>
      </w:r>
    </w:p>
    <w:p w14:paraId="7E45C171">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17.2.2采用综合评分法项目的交易程序</w:t>
      </w:r>
    </w:p>
    <w:p w14:paraId="1ED233C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(1)交易会由采购组织机构主持,主持人宣布交易会议开始；</w:t>
      </w:r>
    </w:p>
    <w:p w14:paraId="5F260C7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(2)主持人介绍参加交易会议的成员；</w:t>
      </w:r>
    </w:p>
    <w:p w14:paraId="20687AF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(3)主持人宣布交易期间的有关事项；</w:t>
      </w:r>
    </w:p>
    <w:p w14:paraId="1C5B9D0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(4)采购组织机构请参与的响应单位代表或其委托的公证机构检查响应文件密封情况；</w:t>
      </w:r>
    </w:p>
    <w:p w14:paraId="03F498B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(5)按各响应人提交响应文件时间的先后顺序打开响应文件并宣布响应文件份数，并送交评审委员会评审；</w:t>
      </w:r>
    </w:p>
    <w:p w14:paraId="5A38DC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(6)商务、技术文件评审结束后，由主持人宣布无效响应的响应人名单、响应无效的原因及其他有效响应的评审结果；</w:t>
      </w:r>
    </w:p>
    <w:p w14:paraId="35035C9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(7)主持人打开报价文件并宣布响应文件份数，宣读报价文件中响应人名称、响应报价以及采购组织机构认为有必要宣读的其他内容；</w:t>
      </w:r>
    </w:p>
    <w:p w14:paraId="208DA27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(8)采购组织机构负责交易记录，响应人代表对交易记录进行当场校核及勘误，并签名确认，同时由记录人、监督人当场签名确认。响应人代表未到场签名确认或拒绝签名确认的，不影响评审过程和结果；</w:t>
      </w:r>
    </w:p>
    <w:p w14:paraId="144AFB2F">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（9）报价文件送交评审委员会评审；</w:t>
      </w:r>
    </w:p>
    <w:p w14:paraId="36B82FB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(10)主持人公布评审结果并宣布交易会议结束。</w:t>
      </w:r>
    </w:p>
    <w:p w14:paraId="5550A9D2">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17.3</w:t>
      </w:r>
      <w:r>
        <w:rPr>
          <w:rFonts w:hint="eastAsia" w:ascii="宋体" w:hAnsi="宋体"/>
          <w:color w:val="000000" w:themeColor="text1"/>
          <w:sz w:val="24"/>
          <w:highlight w:val="none"/>
          <w14:textFill>
            <w14:solidFill>
              <w14:schemeClr w14:val="tx1"/>
            </w14:solidFill>
          </w14:textFill>
        </w:rPr>
        <w:t>开、评审时，响应报价明细表总价合计与响应函报价不一致的，以响应函报价为准。响应文件的大写金额和小写金额不一致的，以大写金额为准。总价金额与按单价汇总金额不一致的，以单价金额计算结果为准。单价金额小数点有明显错位的，应以总价为准。对不同文字文本响应文件的解释发生异议的，以中文文本为准。按上述修正错误的原则及方法调整或修正响应文件的报价，经响应人代表签字确认后，调整后的报价对响应人起约束作用。如响应人不接受修正后的报价，则其响应将作为无效响应处理。</w:t>
      </w:r>
    </w:p>
    <w:p w14:paraId="5E48E18D">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17.4有下列情况之一者，</w:t>
      </w:r>
      <w:r>
        <w:rPr>
          <w:rFonts w:hint="eastAsia" w:ascii="黑体" w:hAnsi="宋体" w:eastAsia="黑体"/>
          <w:color w:val="000000" w:themeColor="text1"/>
          <w:sz w:val="24"/>
          <w:highlight w:val="none"/>
          <w14:textFill>
            <w14:solidFill>
              <w14:schemeClr w14:val="tx1"/>
            </w14:solidFill>
          </w14:textFill>
        </w:rPr>
        <w:t>响应文件将被拒绝接受</w:t>
      </w:r>
      <w:r>
        <w:rPr>
          <w:rFonts w:hint="eastAsia" w:ascii="宋体" w:hAnsi="宋体"/>
          <w:color w:val="000000" w:themeColor="text1"/>
          <w:sz w:val="24"/>
          <w:highlight w:val="none"/>
          <w14:textFill>
            <w14:solidFill>
              <w14:schemeClr w14:val="tx1"/>
            </w14:solidFill>
          </w14:textFill>
        </w:rPr>
        <w:t>：</w:t>
      </w:r>
    </w:p>
    <w:p w14:paraId="544FDE2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17.4.1</w:t>
      </w:r>
      <w:r>
        <w:rPr>
          <w:rFonts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文件的截止时间之后送达</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w:t>
      </w:r>
      <w:r>
        <w:rPr>
          <w:rFonts w:hint="eastAsia" w:ascii="宋体" w:hAnsi="宋体"/>
          <w:color w:val="000000" w:themeColor="text1"/>
          <w:sz w:val="24"/>
          <w:highlight w:val="none"/>
          <w14:textFill>
            <w14:solidFill>
              <w14:schemeClr w14:val="tx1"/>
            </w14:solidFill>
          </w14:textFill>
        </w:rPr>
        <w:t>。</w:t>
      </w:r>
    </w:p>
    <w:p w14:paraId="54403DB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17.4.2响应人代表未在规定时间到达交易会现场或未出具有效身份证件原件的。</w:t>
      </w:r>
    </w:p>
    <w:p w14:paraId="3F25D5E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17.4.3其他应当被拒绝响应的事项。 </w:t>
      </w:r>
    </w:p>
    <w:p w14:paraId="798D29E3">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18.响应文件响应情况</w:t>
      </w:r>
    </w:p>
    <w:p w14:paraId="7BC0980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18.1交易会时，若响应人被拒绝参与，采购组织机构将及时通知该响应人。</w:t>
      </w:r>
    </w:p>
    <w:p w14:paraId="3290907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18.2就本条款而言，实质上响应要求的响应文件，应该与公开竞争文件的规定要求、条件、条款和规范相符，无显著差异或保留。</w:t>
      </w:r>
    </w:p>
    <w:p w14:paraId="2C447DD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18.3如果响应文件实质上不响应公开竞争文件的要求，评审委员会将不允许通过修正或撤消不符合要求的差异或保留，使之成为具有响应性的响应。</w:t>
      </w:r>
    </w:p>
    <w:p w14:paraId="434103CB">
      <w:pPr>
        <w:spacing w:line="360" w:lineRule="auto"/>
        <w:jc w:val="center"/>
        <w:rPr>
          <w:rFonts w:ascii="宋体" w:hAnsi="宋体"/>
          <w:b/>
          <w:color w:val="000000" w:themeColor="text1"/>
          <w:sz w:val="24"/>
          <w:highlight w:val="none"/>
          <w14:textFill>
            <w14:solidFill>
              <w14:schemeClr w14:val="tx1"/>
            </w14:solidFill>
          </w14:textFill>
        </w:rPr>
      </w:pPr>
      <w:bookmarkStart w:id="33" w:name="_Hlt75236101"/>
      <w:bookmarkEnd w:id="33"/>
      <w:bookmarkStart w:id="34" w:name="_Toc91899902"/>
      <w:r>
        <w:rPr>
          <w:rFonts w:hint="eastAsia" w:ascii="宋体" w:hAnsi="宋体"/>
          <w:b/>
          <w:color w:val="000000" w:themeColor="text1"/>
          <w:sz w:val="24"/>
          <w:highlight w:val="none"/>
          <w14:textFill>
            <w14:solidFill>
              <w14:schemeClr w14:val="tx1"/>
            </w14:solidFill>
          </w14:textFill>
        </w:rPr>
        <w:t>六、评</w:t>
      </w:r>
      <w:bookmarkEnd w:id="34"/>
      <w:r>
        <w:rPr>
          <w:rFonts w:hint="eastAsia" w:ascii="宋体" w:hAnsi="宋体"/>
          <w:b/>
          <w:color w:val="000000" w:themeColor="text1"/>
          <w:sz w:val="24"/>
          <w:highlight w:val="none"/>
          <w14:textFill>
            <w14:solidFill>
              <w14:schemeClr w14:val="tx1"/>
            </w14:solidFill>
          </w14:textFill>
        </w:rPr>
        <w:t>审</w:t>
      </w:r>
    </w:p>
    <w:p w14:paraId="0B38CED4">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35" w:name="_Toc91899903"/>
      <w:r>
        <w:rPr>
          <w:rFonts w:hint="eastAsia" w:ascii="宋体" w:hAnsi="宋体"/>
          <w:b/>
          <w:color w:val="000000" w:themeColor="text1"/>
          <w:sz w:val="24"/>
          <w:highlight w:val="none"/>
          <w14:textFill>
            <w14:solidFill>
              <w14:schemeClr w14:val="tx1"/>
            </w14:solidFill>
          </w14:textFill>
        </w:rPr>
        <w:t>19.评审组织</w:t>
      </w:r>
    </w:p>
    <w:p w14:paraId="57C01E2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采购组织机构依照相关法规，组建由5人及以上奇数人员组成评审委员会，</w:t>
      </w:r>
      <w:r>
        <w:rPr>
          <w:rFonts w:ascii="宋体" w:hAnsi="宋体"/>
          <w:color w:val="000000" w:themeColor="text1"/>
          <w:sz w:val="24"/>
          <w:highlight w:val="none"/>
          <w14:textFill>
            <w14:solidFill>
              <w14:schemeClr w14:val="tx1"/>
            </w14:solidFill>
          </w14:textFill>
        </w:rPr>
        <w:t>其中</w:t>
      </w:r>
      <w:r>
        <w:rPr>
          <w:rFonts w:hint="eastAsia" w:ascii="宋体" w:hAnsi="宋体"/>
          <w:color w:val="000000" w:themeColor="text1"/>
          <w:sz w:val="24"/>
          <w:highlight w:val="none"/>
          <w14:textFill>
            <w14:solidFill>
              <w14:schemeClr w14:val="tx1"/>
            </w14:solidFill>
          </w14:textFill>
        </w:rPr>
        <w:t>采购人代表不得超过1人且不能担任评审委员会组长，相关</w:t>
      </w:r>
      <w:r>
        <w:rPr>
          <w:rFonts w:ascii="宋体" w:hAnsi="宋体"/>
          <w:color w:val="000000" w:themeColor="text1"/>
          <w:sz w:val="24"/>
          <w:highlight w:val="none"/>
          <w14:textFill>
            <w14:solidFill>
              <w14:schemeClr w14:val="tx1"/>
            </w14:solidFill>
          </w14:textFill>
        </w:rPr>
        <w:t>专家不少于成员总数的2/3</w:t>
      </w:r>
      <w:r>
        <w:rPr>
          <w:rFonts w:hint="eastAsia" w:ascii="宋体" w:hAnsi="宋体"/>
          <w:color w:val="000000" w:themeColor="text1"/>
          <w:sz w:val="24"/>
          <w:highlight w:val="none"/>
          <w14:textFill>
            <w14:solidFill>
              <w14:schemeClr w14:val="tx1"/>
            </w14:solidFill>
          </w14:textFill>
        </w:rPr>
        <w:t>。评审委员会负责对响应文件进行审查、质询、评审和比较等，并形成书面的评审结果。</w:t>
      </w:r>
    </w:p>
    <w:p w14:paraId="31006337">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20.评审原则</w:t>
      </w:r>
    </w:p>
    <w:p w14:paraId="6B053F0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20.1 认真贯彻国家有关政府采购的法律、法规和政策，维护国家利益。</w:t>
      </w:r>
    </w:p>
    <w:p w14:paraId="13A8FC1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 维护采购人的合法权益。</w:t>
      </w:r>
    </w:p>
    <w:p w14:paraId="198F5F8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20.3 客观、公正地对待响应人，对所有响应人的响应评审，均采用相同的程序和标准。</w:t>
      </w:r>
    </w:p>
    <w:p w14:paraId="6AA76A1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20.4评审要严格按照公开竞争文件的要求和条件进行。</w:t>
      </w:r>
    </w:p>
    <w:p w14:paraId="6C3E982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20.5 评审过程中及评审结束后，评审委员会的评审情况和所有响应人的商业秘密都属于保密内容。</w:t>
      </w:r>
    </w:p>
    <w:p w14:paraId="6A864767">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21.评审程序</w:t>
      </w:r>
    </w:p>
    <w:p w14:paraId="22E16F8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本项目评审一般将按以下程序进行：响应文件初审、澄清有关问题、响应文件技术与商务部分的比较与评价、报价文件的比较与评审、推荐成交候选人和编写评审报告等。</w:t>
      </w:r>
    </w:p>
    <w:p w14:paraId="33F5CD57">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21.2响应文件初审包括资格性检查和符合性检查。</w:t>
      </w:r>
    </w:p>
    <w:p w14:paraId="69548F79">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21.2.1资格性检查：</w:t>
      </w:r>
      <w:r>
        <w:rPr>
          <w:rFonts w:ascii="宋体" w:hAnsi="宋体"/>
          <w:color w:val="000000" w:themeColor="text1"/>
          <w:sz w:val="24"/>
          <w:highlight w:val="none"/>
          <w14:textFill>
            <w14:solidFill>
              <w14:schemeClr w14:val="tx1"/>
            </w14:solidFill>
          </w14:textFill>
        </w:rPr>
        <w:t>依据法律法规和</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的规定，对</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文件中的资格证明</w:t>
      </w:r>
      <w:r>
        <w:rPr>
          <w:rFonts w:hint="eastAsia" w:ascii="宋体" w:hAnsi="宋体"/>
          <w:color w:val="000000" w:themeColor="text1"/>
          <w:sz w:val="24"/>
          <w:highlight w:val="none"/>
          <w14:textFill>
            <w14:solidFill>
              <w14:schemeClr w14:val="tx1"/>
            </w14:solidFill>
          </w14:textFill>
        </w:rPr>
        <w:t>等</w:t>
      </w:r>
      <w:r>
        <w:rPr>
          <w:rFonts w:ascii="宋体" w:hAnsi="宋体"/>
          <w:color w:val="000000" w:themeColor="text1"/>
          <w:sz w:val="24"/>
          <w:highlight w:val="none"/>
          <w14:textFill>
            <w14:solidFill>
              <w14:schemeClr w14:val="tx1"/>
            </w14:solidFill>
          </w14:textFill>
        </w:rPr>
        <w:t>进行审查，以确定</w:t>
      </w:r>
      <w:r>
        <w:rPr>
          <w:rFonts w:hint="eastAsia" w:ascii="宋体" w:hAnsi="宋体"/>
          <w:color w:val="000000" w:themeColor="text1"/>
          <w:sz w:val="24"/>
          <w:highlight w:val="none"/>
          <w14:textFill>
            <w14:solidFill>
              <w14:schemeClr w14:val="tx1"/>
            </w14:solidFill>
          </w14:textFill>
        </w:rPr>
        <w:t>响应人</w:t>
      </w:r>
      <w:r>
        <w:rPr>
          <w:rFonts w:ascii="宋体" w:hAnsi="宋体"/>
          <w:color w:val="000000" w:themeColor="text1"/>
          <w:sz w:val="24"/>
          <w:highlight w:val="none"/>
          <w14:textFill>
            <w14:solidFill>
              <w14:schemeClr w14:val="tx1"/>
            </w14:solidFill>
          </w14:textFill>
        </w:rPr>
        <w:t>是否具备</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资格。</w:t>
      </w:r>
      <w:r>
        <w:rPr>
          <w:rFonts w:hint="eastAsia" w:ascii="宋体" w:hAnsi="宋体"/>
          <w:b/>
          <w:color w:val="000000" w:themeColor="text1"/>
          <w:sz w:val="24"/>
          <w:highlight w:val="none"/>
          <w14:textFill>
            <w14:solidFill>
              <w14:schemeClr w14:val="tx1"/>
            </w14:solidFill>
          </w14:textFill>
        </w:rPr>
        <w:t>资格性检查不合格的响应人则无须继续进行符合性检查，并且响应文件初审结论不合格。</w:t>
      </w:r>
    </w:p>
    <w:p w14:paraId="511FDCB6">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21.2.2</w:t>
      </w:r>
      <w:r>
        <w:rPr>
          <w:rFonts w:ascii="宋体" w:hAnsi="宋体"/>
          <w:color w:val="000000" w:themeColor="text1"/>
          <w:sz w:val="24"/>
          <w:highlight w:val="none"/>
          <w14:textFill>
            <w14:solidFill>
              <w14:schemeClr w14:val="tx1"/>
            </w14:solidFill>
          </w14:textFill>
        </w:rPr>
        <w:t>符合性检查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依据</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的规定，从</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w:t>
      </w:r>
      <w:r>
        <w:rPr>
          <w:rFonts w:hint="eastAsia" w:ascii="宋体" w:hAnsi="宋体"/>
          <w:color w:val="000000" w:themeColor="text1"/>
          <w:sz w:val="24"/>
          <w:highlight w:val="none"/>
          <w14:textFill>
            <w14:solidFill>
              <w14:schemeClr w14:val="tx1"/>
            </w14:solidFill>
          </w14:textFill>
        </w:rPr>
        <w:t>商务、技术文件</w:t>
      </w:r>
      <w:r>
        <w:rPr>
          <w:rFonts w:ascii="宋体" w:hAnsi="宋体"/>
          <w:color w:val="000000" w:themeColor="text1"/>
          <w:sz w:val="24"/>
          <w:highlight w:val="none"/>
          <w14:textFill>
            <w14:solidFill>
              <w14:schemeClr w14:val="tx1"/>
            </w14:solidFill>
          </w14:textFill>
        </w:rPr>
        <w:t>有效性、完整性和对</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的响应程度进行审查，以确定是否对</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的实质性要求作出响应。</w:t>
      </w:r>
      <w:r>
        <w:rPr>
          <w:rFonts w:hint="eastAsia" w:ascii="宋体" w:hAnsi="宋体"/>
          <w:b/>
          <w:color w:val="000000" w:themeColor="text1"/>
          <w:sz w:val="24"/>
          <w:highlight w:val="none"/>
          <w14:textFill>
            <w14:solidFill>
              <w14:schemeClr w14:val="tx1"/>
            </w14:solidFill>
          </w14:textFill>
        </w:rPr>
        <w:t>符合性检查不合格的响应人，响应文件初审结论不合格。</w:t>
      </w:r>
    </w:p>
    <w:p w14:paraId="2D252BA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21.2.3响应文件初审结论合格的响应人进入评审后续程序。响应文件初审不合格结论及其理由需通知所有响应人。</w:t>
      </w:r>
    </w:p>
    <w:p w14:paraId="0478601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21.3响应文件的澄清。</w:t>
      </w:r>
      <w:r>
        <w:rPr>
          <w:rFonts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文件中含义不明确、同类问题表述不一致或者有明显文字和计算错误的内容，评</w:t>
      </w:r>
      <w:r>
        <w:rPr>
          <w:rFonts w:hint="eastAsia" w:ascii="宋体" w:hAnsi="宋体"/>
          <w:color w:val="000000" w:themeColor="text1"/>
          <w:sz w:val="24"/>
          <w:highlight w:val="none"/>
          <w14:textFill>
            <w14:solidFill>
              <w14:schemeClr w14:val="tx1"/>
            </w14:solidFill>
          </w14:textFill>
        </w:rPr>
        <w:t>审</w:t>
      </w:r>
      <w:r>
        <w:rPr>
          <w:rFonts w:ascii="宋体" w:hAnsi="宋体"/>
          <w:color w:val="000000" w:themeColor="text1"/>
          <w:sz w:val="24"/>
          <w:highlight w:val="none"/>
          <w14:textFill>
            <w14:solidFill>
              <w14:schemeClr w14:val="tx1"/>
            </w14:solidFill>
          </w14:textFill>
        </w:rPr>
        <w:t>委员会可以书面形式要求</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人作出必要的澄清、说明或者纠正。</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人的澄清、说明或者</w:t>
      </w:r>
      <w:r>
        <w:rPr>
          <w:rFonts w:hint="eastAsia" w:ascii="宋体" w:hAnsi="宋体"/>
          <w:color w:val="000000" w:themeColor="text1"/>
          <w:sz w:val="24"/>
          <w:highlight w:val="none"/>
          <w14:textFill>
            <w14:solidFill>
              <w14:schemeClr w14:val="tx1"/>
            </w14:solidFill>
          </w14:textFill>
        </w:rPr>
        <w:t>纠正</w:t>
      </w:r>
      <w:r>
        <w:rPr>
          <w:rFonts w:ascii="宋体" w:hAnsi="宋体"/>
          <w:color w:val="000000" w:themeColor="text1"/>
          <w:sz w:val="24"/>
          <w:highlight w:val="none"/>
          <w14:textFill>
            <w14:solidFill>
              <w14:schemeClr w14:val="tx1"/>
            </w14:solidFill>
          </w14:textFill>
        </w:rPr>
        <w:t>应当采用书面形式，由</w:t>
      </w:r>
      <w:r>
        <w:rPr>
          <w:rFonts w:hint="eastAsia" w:ascii="宋体" w:hAnsi="宋体"/>
          <w:color w:val="000000" w:themeColor="text1"/>
          <w:sz w:val="24"/>
          <w:highlight w:val="none"/>
          <w14:textFill>
            <w14:solidFill>
              <w14:schemeClr w14:val="tx1"/>
            </w14:solidFill>
          </w14:textFill>
        </w:rPr>
        <w:t>响应人</w:t>
      </w:r>
      <w:r>
        <w:rPr>
          <w:rFonts w:ascii="宋体" w:hAnsi="宋体"/>
          <w:color w:val="000000" w:themeColor="text1"/>
          <w:sz w:val="24"/>
          <w:highlight w:val="none"/>
          <w14:textFill>
            <w14:solidFill>
              <w14:schemeClr w14:val="tx1"/>
            </w14:solidFill>
          </w14:textFill>
        </w:rPr>
        <w:t>代表签字，并不得超出</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文件的范围或者改变</w:t>
      </w:r>
      <w:r>
        <w:rPr>
          <w:rFonts w:hint="eastAsia" w:ascii="宋体" w:hAnsi="宋体"/>
          <w:color w:val="000000" w:themeColor="text1"/>
          <w:sz w:val="24"/>
          <w:highlight w:val="none"/>
          <w14:textFill>
            <w14:solidFill>
              <w14:schemeClr w14:val="tx1"/>
            </w14:solidFill>
          </w14:textFill>
        </w:rPr>
        <w:t>响应</w:t>
      </w:r>
      <w:r>
        <w:rPr>
          <w:rFonts w:ascii="宋体" w:hAnsi="宋体"/>
          <w:color w:val="000000" w:themeColor="text1"/>
          <w:sz w:val="24"/>
          <w:highlight w:val="none"/>
          <w14:textFill>
            <w14:solidFill>
              <w14:schemeClr w14:val="tx1"/>
            </w14:solidFill>
          </w14:textFill>
        </w:rPr>
        <w:t>文件的实质性内容。</w:t>
      </w:r>
    </w:p>
    <w:p w14:paraId="04AC8DE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21.4 比较与评审。按公开竞争文件中规定的评审方法和标准，对资格性检查和符合性检查合格的响应文件进行商务、技术、价格比较和评审。</w:t>
      </w:r>
    </w:p>
    <w:p w14:paraId="3920734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21.5 推荐成交候选人。根据评审情况，确定成交候选人。</w:t>
      </w:r>
    </w:p>
    <w:p w14:paraId="4FFC5AB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21.6 编写评审报告。</w:t>
      </w:r>
    </w:p>
    <w:p w14:paraId="1A32A59B">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22.评审方法</w:t>
      </w:r>
    </w:p>
    <w:p w14:paraId="3F0DD515">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22.1综合评分法：在最大限度地满足公开竞争文件实质性要求前提下，按照公开竞争文件中规定的各项因素进行综合评审后，以评审总得分最高的响应人作为成交候选人。</w:t>
      </w:r>
    </w:p>
    <w:p w14:paraId="3ADC54E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(1)评审委员会对响应文件初审合格的响应人进行综合评分，响应人的综合得分为技术、商务和价格部分的总计分，得分采用百分制。</w:t>
      </w:r>
    </w:p>
    <w:p w14:paraId="12B3EC9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评审中，先进行商务、技术部分评分，评审委员会每人一张记名评分表，分值保留至小数点后一位。评审委员会成员的有效评分的算术平均值（保留至小数点后两位）为各响应人商务、技术部分的最终评分值。采购组织机构在公布商务、技术部分得分后再开启报价文件进行宣布。  </w:t>
      </w:r>
    </w:p>
    <w:p w14:paraId="2DF3EA4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(3)评审委员会将综合得分最高的响应人（综合得分相同时，</w:t>
      </w:r>
      <w:r>
        <w:rPr>
          <w:rFonts w:ascii="宋体" w:hAnsi="宋体"/>
          <w:color w:val="000000" w:themeColor="text1"/>
          <w:sz w:val="24"/>
          <w:highlight w:val="none"/>
          <w14:textFill>
            <w14:solidFill>
              <w14:schemeClr w14:val="tx1"/>
            </w14:solidFill>
          </w14:textFill>
        </w:rPr>
        <w:t>技术</w:t>
      </w:r>
      <w:r>
        <w:rPr>
          <w:rFonts w:hint="eastAsia" w:ascii="宋体" w:hAnsi="宋体"/>
          <w:color w:val="000000" w:themeColor="text1"/>
          <w:sz w:val="24"/>
          <w:highlight w:val="none"/>
          <w14:textFill>
            <w14:solidFill>
              <w14:schemeClr w14:val="tx1"/>
            </w14:solidFill>
          </w14:textFill>
        </w:rPr>
        <w:t>得分高者优先；综合得分与技术得分都相同的，抽签确定）作为成交候选人向采购组织机构推荐，并提交评审报告。</w:t>
      </w:r>
    </w:p>
    <w:p w14:paraId="26777026">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(4)如果评审委员会认为本次响应不具有竞争性，可不予推荐本次交易的成交候选人。            </w:t>
      </w:r>
    </w:p>
    <w:p w14:paraId="244F4609">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23.无效响应</w:t>
      </w:r>
    </w:p>
    <w:p w14:paraId="06059420">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23.1响应文件属于下列情况之一的，应当在资格性、符合性检查时按照无效响应处理：</w:t>
      </w:r>
    </w:p>
    <w:p w14:paraId="052C0B3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23.1.1 响应文件未提供有效的授权委托书或响应人代表身份与授权书内容不一致的；</w:t>
      </w:r>
    </w:p>
    <w:p w14:paraId="5C249EB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23.1.2响应文件未按照公开竞争文件“14.”要求密封、装订、签署、盖章的；</w:t>
      </w:r>
      <w:r>
        <w:rPr>
          <w:rFonts w:hint="eastAsia"/>
          <w:color w:val="000000" w:themeColor="text1"/>
          <w:sz w:val="24"/>
          <w:highlight w:val="none"/>
          <w14:textFill>
            <w14:solidFill>
              <w14:schemeClr w14:val="tx1"/>
            </w14:solidFill>
          </w14:textFill>
        </w:rPr>
        <w:t>响应文件份数未按公开竞争文件前附表规定提供的；</w:t>
      </w:r>
    </w:p>
    <w:p w14:paraId="272BC05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23.1.3 资格证明文件不全的，或者不符合公开竞争文件标明的资格要求的（参见采购公告之“四、响应人应具备的资格要求”，具体提供资料参见采购公告之“五、报名所需资料”）；</w:t>
      </w:r>
    </w:p>
    <w:p w14:paraId="3321EBA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23.1.4响应文件不响应公开竞争文件的实质性规定与采购需求的实质性内容的；响应内容有重大缺项或者涂改模糊处未作有效修正或者实质性内容表述矛盾歧义，评审委员会不能确认为有效的；</w:t>
      </w:r>
    </w:p>
    <w:p w14:paraId="03ABA4B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23.1.5有证据证明响应人违背有关法律、法规响应的；</w:t>
      </w:r>
    </w:p>
    <w:p w14:paraId="611E122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23.1.6</w:t>
      </w:r>
      <w:r>
        <w:rPr>
          <w:rFonts w:ascii="宋体" w:hAnsi="宋体"/>
          <w:color w:val="000000" w:themeColor="text1"/>
          <w:sz w:val="24"/>
          <w:highlight w:val="none"/>
          <w14:textFill>
            <w14:solidFill>
              <w14:schemeClr w14:val="tx1"/>
            </w14:solidFill>
          </w14:textFill>
        </w:rPr>
        <w:t>不符合法律、法规</w:t>
      </w:r>
      <w:r>
        <w:rPr>
          <w:rFonts w:hint="eastAsia" w:ascii="宋体" w:hAnsi="宋体"/>
          <w:color w:val="000000" w:themeColor="text1"/>
          <w:sz w:val="24"/>
          <w:highlight w:val="none"/>
          <w14:textFill>
            <w14:solidFill>
              <w14:schemeClr w14:val="tx1"/>
            </w14:solidFill>
          </w14:textFill>
        </w:rPr>
        <w:t>或响应文件有采购方不能接受的附加条件的；</w:t>
      </w:r>
    </w:p>
    <w:p w14:paraId="1A7498A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23.1.7 根据公开竞争文件要求，评审委员会认为应当作无效响应的其他情况。</w:t>
      </w:r>
    </w:p>
    <w:p w14:paraId="78EBF9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23.1.8有下列情形之一的，视为响应人串通响应，其响应无效：</w:t>
      </w:r>
    </w:p>
    <w:p w14:paraId="01D4494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（1）不同响应人的响应文件由同一单位或者个人编制；</w:t>
      </w:r>
    </w:p>
    <w:p w14:paraId="02116B7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（2）不同响应人委托同一单位或者个人办事响应事宜；</w:t>
      </w:r>
    </w:p>
    <w:p w14:paraId="752F023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（3）不同响应人的响应文件载明的项目管理成员或者联系人员为同一人；</w:t>
      </w:r>
    </w:p>
    <w:p w14:paraId="171EEC1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（4）不同响应人的响应文件异常一致或者响应报价呈现规律性差异；</w:t>
      </w:r>
    </w:p>
    <w:p w14:paraId="14FAD8E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（5）不同响应人的响应文件相互混装；</w:t>
      </w:r>
    </w:p>
    <w:p w14:paraId="600AD8C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 响应文件有下属情况之一的，应当在报价文件评审时按照无效响应处理：</w:t>
      </w:r>
    </w:p>
    <w:p w14:paraId="7A5A3B2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23.2.1 报价文件未按照公开竞争文件规定要求密封、装订、签署、盖章的；</w:t>
      </w:r>
    </w:p>
    <w:p w14:paraId="01B5354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23.2.2报价超过公开竞争文件中规定的预算金额或者最高限价的；</w:t>
      </w:r>
    </w:p>
    <w:p w14:paraId="6FACFD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23.2.3响应报价具有选择性的；</w:t>
      </w:r>
    </w:p>
    <w:p w14:paraId="42D069E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23.2.4 评审委员会认为响应人的报价明显低于其他通过符合性审查响应人的报价，有可能影响产品质量或者不能诚信履约的，而响应人又不能作出合理说明或提供相关证明材料的；</w:t>
      </w:r>
    </w:p>
    <w:p w14:paraId="740689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23.2.5响应报价明细表合计总价与响应函响应总价不一致，且高于或低于响应总价5%的；</w:t>
      </w:r>
    </w:p>
    <w:p w14:paraId="20B9F56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23.2.6 报价文件内容与商务、技术文件内容严重不一致，评审委员会无法评审的；</w:t>
      </w:r>
    </w:p>
    <w:p w14:paraId="5AB653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23.2.7根据法律、法规或公开竞争文件要求，评审委员会认为应当作无效响应的其他情况。</w:t>
      </w:r>
    </w:p>
    <w:p w14:paraId="5C7B88DE">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24. 无效响应</w:t>
      </w:r>
    </w:p>
    <w:p w14:paraId="710ACAE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在采购中，出现下列情形之一的，按照无效响应处理：</w:t>
      </w:r>
    </w:p>
    <w:p w14:paraId="1AE85C8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(1)符合专业条件的供应商或者对采购文件作实质响应的供应商不足三家的；</w:t>
      </w:r>
    </w:p>
    <w:p w14:paraId="1938AE1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14:paraId="69C2229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(3)响应人的报价均超过了采购预算，用户单位不能支付的；</w:t>
      </w:r>
    </w:p>
    <w:p w14:paraId="109BACC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(4)因重大变故，采购任务取消的；</w:t>
      </w:r>
    </w:p>
    <w:p w14:paraId="64D0D01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(5)评审委员会未推荐成交候选人的。</w:t>
      </w:r>
    </w:p>
    <w:p w14:paraId="43425DD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第一款按照有关法律法规，除作为无效响应外可经批准后采取其他方式采购。交易会取消后，应当将取消理由通知所有响应人。</w:t>
      </w:r>
    </w:p>
    <w:bookmarkEnd w:id="35"/>
    <w:p w14:paraId="70AA6B09">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36" w:name="_Toc86216994"/>
      <w:r>
        <w:rPr>
          <w:rFonts w:hint="eastAsia" w:ascii="宋体" w:hAnsi="宋体"/>
          <w:b/>
          <w:color w:val="000000" w:themeColor="text1"/>
          <w:sz w:val="24"/>
          <w:highlight w:val="none"/>
          <w14:textFill>
            <w14:solidFill>
              <w14:schemeClr w14:val="tx1"/>
            </w14:solidFill>
          </w14:textFill>
        </w:rPr>
        <w:t>25. 评审内容的保密</w:t>
      </w:r>
    </w:p>
    <w:p w14:paraId="1A70E62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25.1</w:t>
      </w:r>
      <w:r>
        <w:rPr>
          <w:rFonts w:hint="eastAsia" w:ascii="宋体" w:hAnsi="宋体"/>
          <w:b/>
          <w:bCs/>
          <w:color w:val="000000" w:themeColor="text1"/>
          <w:sz w:val="24"/>
          <w:highlight w:val="none"/>
          <w14:textFill>
            <w14:solidFill>
              <w14:schemeClr w14:val="tx1"/>
            </w14:solidFill>
          </w14:textFill>
        </w:rPr>
        <w:t xml:space="preserve"> 公开交易后，直到确定成交单位止，</w:t>
      </w:r>
      <w:r>
        <w:rPr>
          <w:rFonts w:hint="eastAsia" w:ascii="宋体" w:hAnsi="宋体"/>
          <w:color w:val="000000" w:themeColor="text1"/>
          <w:sz w:val="24"/>
          <w:highlight w:val="none"/>
          <w14:textFill>
            <w14:solidFill>
              <w14:schemeClr w14:val="tx1"/>
            </w14:solidFill>
          </w14:textFill>
        </w:rPr>
        <w:t>凡属于审查、澄清、评价和比较响应的所有资料，都不应向响应人或与评审无关的其他人泄漏。</w:t>
      </w:r>
    </w:p>
    <w:p w14:paraId="29DF278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25.2 在响应文件的审查、澄清、评价和比较以及确定成交单位过程中，响应人对采购组织机构和评审委员会施加影响的任何行为，都将导致取消成交资格。</w:t>
      </w:r>
    </w:p>
    <w:p w14:paraId="69DF5649">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bookmarkEnd w:id="36"/>
      <w:r>
        <w:rPr>
          <w:rFonts w:hint="eastAsia" w:ascii="宋体" w:hAnsi="宋体"/>
          <w:b/>
          <w:color w:val="000000" w:themeColor="text1"/>
          <w:sz w:val="24"/>
          <w:highlight w:val="none"/>
          <w14:textFill>
            <w14:solidFill>
              <w14:schemeClr w14:val="tx1"/>
            </w14:solidFill>
          </w14:textFill>
        </w:rPr>
        <w:t>确定成交人</w:t>
      </w:r>
    </w:p>
    <w:p w14:paraId="110226DF">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26. 确定成交人</w:t>
      </w:r>
    </w:p>
    <w:p w14:paraId="25AC5FA3">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37" w:name="_Hlt75236103"/>
      <w:bookmarkEnd w:id="37"/>
      <w:bookmarkStart w:id="38" w:name="_Toc86216995"/>
      <w:bookmarkStart w:id="39" w:name="_Toc91899910"/>
      <w:r>
        <w:rPr>
          <w:rFonts w:hint="eastAsia" w:ascii="宋体" w:hAnsi="宋体"/>
          <w:color w:val="000000" w:themeColor="text1"/>
          <w:sz w:val="24"/>
          <w:highlight w:val="none"/>
          <w14:textFill>
            <w14:solidFill>
              <w14:schemeClr w14:val="tx1"/>
            </w14:solidFill>
          </w14:textFill>
        </w:rPr>
        <w:t>26.1采购人或经采购人委托的评审委员会按评审报告确定成交人。（成交候选人并列的，采取随机抽取方式确定成交人。）</w:t>
      </w:r>
    </w:p>
    <w:p w14:paraId="4D606EF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26.2成交通知书发放。采购人确定成交人后，发放成交通知书。</w:t>
      </w:r>
    </w:p>
    <w:p w14:paraId="7BFF04A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71DB2A7">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w:t>
      </w:r>
      <w:bookmarkEnd w:id="38"/>
      <w:r>
        <w:rPr>
          <w:rFonts w:hint="eastAsia" w:ascii="宋体" w:hAnsi="宋体"/>
          <w:b/>
          <w:color w:val="000000" w:themeColor="text1"/>
          <w:sz w:val="24"/>
          <w:highlight w:val="none"/>
          <w14:textFill>
            <w14:solidFill>
              <w14:schemeClr w14:val="tx1"/>
            </w14:solidFill>
          </w14:textFill>
        </w:rPr>
        <w:t>合同签订及其他</w:t>
      </w:r>
    </w:p>
    <w:bookmarkEnd w:id="39"/>
    <w:p w14:paraId="44630A4E">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27.合同的签订</w:t>
      </w:r>
    </w:p>
    <w:p w14:paraId="1461455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27.1采购人与成交人应当在《成交通知书》发出之日起30日内按照公开竞争文件和成交人响应文件的约定签订采购合同。</w:t>
      </w:r>
    </w:p>
    <w:p w14:paraId="5A2BC5F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27.2响应人全部接受合同条件并签订合同后，成交通知书亦成为合同的组成部分。</w:t>
      </w:r>
    </w:p>
    <w:p w14:paraId="4459AE3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27.3如成交人拒绝承担成交的项目，或提出采购人不能接受的条件，致使合同无法签订，其成交资格将被取消。 </w:t>
      </w:r>
    </w:p>
    <w:p w14:paraId="3BC2675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27.4在成交人签订合同并生效后，成交人即为供应商。</w:t>
      </w:r>
    </w:p>
    <w:p w14:paraId="0043812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28.资金结算方式</w:t>
      </w:r>
    </w:p>
    <w:p w14:paraId="145E549B">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合同履行完毕，验收合格后供应商按财政结算要求办理资金结算手续。</w:t>
      </w:r>
      <w:bookmarkStart w:id="40" w:name="_Toc331323740"/>
    </w:p>
    <w:p w14:paraId="443D3118">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第二节  响应人须知之专用条款</w:t>
      </w:r>
      <w:bookmarkEnd w:id="40"/>
    </w:p>
    <w:p w14:paraId="1ADE256D">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29.响应文件组成的特别要求（详见采购需求）</w:t>
      </w:r>
    </w:p>
    <w:p w14:paraId="77E46533">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30.无效响应的特别规定</w:t>
      </w:r>
    </w:p>
    <w:p w14:paraId="2B96EAE3">
      <w:pPr>
        <w:spacing w:line="360" w:lineRule="auto"/>
        <w:ind w:firstLine="482" w:firstLineChars="20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本项目不接受进口产品响应（进口产品是指通过中国海关报关进入中国境内且产自关境外的产品）</w:t>
      </w:r>
    </w:p>
    <w:p w14:paraId="623FEE85">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31.响应报价</w:t>
      </w:r>
    </w:p>
    <w:p w14:paraId="167A62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响应人的报价是响应人响应交易项目要求的全部工作内容的价格体现，包括响应人完成本项目所需的一切费用。具体包括货物报价和标准附件、备品备件、专用工具、运输、装卸、保险、安装调试、检测、验收合格、技术支持、售后服务、维护所需的各种费用以及必要的保险费用和各项税金等所有费用的总和。</w:t>
      </w:r>
    </w:p>
    <w:p w14:paraId="0964762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响应人的报价是响应人响应交易项目要求的全部工作内容的价格体现，包括响应人完成本项目所需的一切费用。</w:t>
      </w:r>
    </w:p>
    <w:p w14:paraId="60F02E9D">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41" w:name="_Toc764"/>
      <w:r>
        <w:rPr>
          <w:rFonts w:hint="eastAsia"/>
          <w:color w:val="000000" w:themeColor="text1"/>
          <w:highlight w:val="none"/>
          <w14:textFill>
            <w14:solidFill>
              <w14:schemeClr w14:val="tx1"/>
            </w14:solidFill>
          </w14:textFill>
        </w:rPr>
        <w:t>二、评分细则</w:t>
      </w:r>
      <w:bookmarkEnd w:id="41"/>
    </w:p>
    <w:p w14:paraId="5F01C03A">
      <w:pPr>
        <w:spacing w:line="360" w:lineRule="auto"/>
        <w:ind w:firstLine="482" w:firstLineChars="2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评分细则</w:t>
      </w:r>
    </w:p>
    <w:p w14:paraId="024231D4">
      <w:pPr>
        <w:pStyle w:val="76"/>
        <w:spacing w:after="0" w:line="360" w:lineRule="auto"/>
        <w:ind w:firstLine="482"/>
        <w:rPr>
          <w:rStyle w:val="77"/>
          <w:rFonts w:ascii="宋体" w:hAnsi="宋体"/>
          <w:color w:val="000000" w:themeColor="text1"/>
          <w:kern w:val="2"/>
          <w:highlight w:val="none"/>
          <w14:textFill>
            <w14:solidFill>
              <w14:schemeClr w14:val="tx1"/>
            </w14:solidFill>
          </w14:textFill>
        </w:rPr>
      </w:pPr>
      <w:r>
        <w:rPr>
          <w:rStyle w:val="77"/>
          <w:rFonts w:ascii="宋体" w:hAnsi="宋体" w:cs="宋体"/>
          <w:b/>
          <w:bCs/>
          <w:color w:val="000000" w:themeColor="text1"/>
          <w:highlight w:val="none"/>
          <w14:textFill>
            <w14:solidFill>
              <w14:schemeClr w14:val="tx1"/>
            </w14:solidFill>
          </w14:textFill>
        </w:rPr>
        <w:t>本项目采用综合评分法</w:t>
      </w:r>
      <w:r>
        <w:rPr>
          <w:rStyle w:val="77"/>
          <w:rFonts w:ascii="宋体" w:hAnsi="宋体"/>
          <w:color w:val="000000" w:themeColor="text1"/>
          <w:highlight w:val="none"/>
          <w14:textFill>
            <w14:solidFill>
              <w14:schemeClr w14:val="tx1"/>
            </w14:solidFill>
          </w14:textFill>
        </w:rPr>
        <w:t>：评标委员会将对实质上响应招标文件要求的有效投标人的投标报价、技术或者服务水平、履约能力、售后服务、需落实的采购政策等方面进行综合评审打分。</w:t>
      </w:r>
    </w:p>
    <w:p w14:paraId="30178DAF">
      <w:pPr>
        <w:snapToGrid w:val="0"/>
        <w:spacing w:line="360" w:lineRule="auto"/>
        <w:ind w:firstLine="427" w:firstLineChars="178"/>
        <w:textAlignment w:val="baseline"/>
        <w:rPr>
          <w:rStyle w:val="77"/>
          <w:rFonts w:ascii="宋体" w:hAnsi="宋体"/>
          <w:color w:val="000000" w:themeColor="text1"/>
          <w:sz w:val="24"/>
          <w:highlight w:val="none"/>
          <w14:textFill>
            <w14:solidFill>
              <w14:schemeClr w14:val="tx1"/>
            </w14:solidFill>
          </w14:textFill>
        </w:rPr>
      </w:pPr>
      <w:r>
        <w:rPr>
          <w:rStyle w:val="77"/>
          <w:rFonts w:ascii="宋体" w:hAnsi="宋体"/>
          <w:color w:val="000000" w:themeColor="text1"/>
          <w:sz w:val="24"/>
          <w:highlight w:val="none"/>
          <w14:textFill>
            <w14:solidFill>
              <w14:schemeClr w14:val="tx1"/>
            </w14:solidFill>
          </w14:textFill>
        </w:rPr>
        <w:t>各有效投标人的综合得分为：投标价格得分+</w:t>
      </w:r>
      <w:r>
        <w:rPr>
          <w:rStyle w:val="77"/>
          <w:rFonts w:hint="eastAsia" w:ascii="宋体" w:hAnsi="宋体"/>
          <w:color w:val="000000" w:themeColor="text1"/>
          <w:sz w:val="24"/>
          <w:highlight w:val="none"/>
          <w:lang w:val="en-US" w:eastAsia="zh-CN"/>
          <w14:textFill>
            <w14:solidFill>
              <w14:schemeClr w14:val="tx1"/>
            </w14:solidFill>
          </w14:textFill>
        </w:rPr>
        <w:t>商务技术</w:t>
      </w:r>
      <w:r>
        <w:rPr>
          <w:rStyle w:val="77"/>
          <w:rFonts w:ascii="宋体" w:hAnsi="宋体"/>
          <w:color w:val="000000" w:themeColor="text1"/>
          <w:sz w:val="24"/>
          <w:highlight w:val="none"/>
          <w14:textFill>
            <w14:solidFill>
              <w14:schemeClr w14:val="tx1"/>
            </w14:solidFill>
          </w14:textFill>
        </w:rPr>
        <w:t>得分之和，总分为100分，其中：投标价格得分1</w:t>
      </w:r>
      <w:r>
        <w:rPr>
          <w:rStyle w:val="77"/>
          <w:rFonts w:hint="eastAsia" w:ascii="宋体" w:hAnsi="宋体"/>
          <w:color w:val="000000" w:themeColor="text1"/>
          <w:sz w:val="24"/>
          <w:highlight w:val="none"/>
          <w14:textFill>
            <w14:solidFill>
              <w14:schemeClr w14:val="tx1"/>
            </w14:solidFill>
          </w14:textFill>
        </w:rPr>
        <w:t>0</w:t>
      </w:r>
      <w:r>
        <w:rPr>
          <w:rStyle w:val="77"/>
          <w:rFonts w:ascii="宋体" w:hAnsi="宋体"/>
          <w:color w:val="000000" w:themeColor="text1"/>
          <w:sz w:val="24"/>
          <w:highlight w:val="none"/>
          <w14:textFill>
            <w14:solidFill>
              <w14:schemeClr w14:val="tx1"/>
            </w14:solidFill>
          </w14:textFill>
        </w:rPr>
        <w:t>分，</w:t>
      </w:r>
      <w:r>
        <w:rPr>
          <w:rStyle w:val="77"/>
          <w:rFonts w:hint="eastAsia" w:ascii="宋体" w:hAnsi="宋体"/>
          <w:color w:val="000000" w:themeColor="text1"/>
          <w:sz w:val="24"/>
          <w:highlight w:val="none"/>
          <w:lang w:val="en-US" w:eastAsia="zh-CN"/>
          <w14:textFill>
            <w14:solidFill>
              <w14:schemeClr w14:val="tx1"/>
            </w14:solidFill>
          </w14:textFill>
        </w:rPr>
        <w:t>商务技术</w:t>
      </w:r>
      <w:r>
        <w:rPr>
          <w:rStyle w:val="77"/>
          <w:rFonts w:ascii="宋体" w:hAnsi="宋体"/>
          <w:color w:val="000000" w:themeColor="text1"/>
          <w:sz w:val="24"/>
          <w:highlight w:val="none"/>
          <w14:textFill>
            <w14:solidFill>
              <w14:schemeClr w14:val="tx1"/>
            </w14:solidFill>
          </w14:textFill>
        </w:rPr>
        <w:t>9</w:t>
      </w:r>
      <w:r>
        <w:rPr>
          <w:rStyle w:val="77"/>
          <w:rFonts w:hint="eastAsia" w:ascii="宋体" w:hAnsi="宋体"/>
          <w:color w:val="000000" w:themeColor="text1"/>
          <w:sz w:val="24"/>
          <w:highlight w:val="none"/>
          <w14:textFill>
            <w14:solidFill>
              <w14:schemeClr w14:val="tx1"/>
            </w14:solidFill>
          </w14:textFill>
        </w:rPr>
        <w:t>0</w:t>
      </w:r>
      <w:r>
        <w:rPr>
          <w:rStyle w:val="77"/>
          <w:rFonts w:ascii="宋体" w:hAnsi="宋体"/>
          <w:color w:val="000000" w:themeColor="text1"/>
          <w:sz w:val="24"/>
          <w:highlight w:val="none"/>
          <w14:textFill>
            <w14:solidFill>
              <w14:schemeClr w14:val="tx1"/>
            </w14:solidFill>
          </w14:textFill>
        </w:rPr>
        <w:t>分。</w:t>
      </w:r>
    </w:p>
    <w:p w14:paraId="1C346711">
      <w:pPr>
        <w:pStyle w:val="76"/>
        <w:spacing w:after="0" w:line="360" w:lineRule="auto"/>
        <w:ind w:firstLine="480"/>
        <w:rPr>
          <w:rStyle w:val="77"/>
          <w:rFonts w:ascii="宋体" w:hAnsi="宋体"/>
          <w:color w:val="000000" w:themeColor="text1"/>
          <w:highlight w:val="none"/>
          <w14:textFill>
            <w14:solidFill>
              <w14:schemeClr w14:val="tx1"/>
            </w14:solidFill>
          </w14:textFill>
        </w:rPr>
      </w:pPr>
      <w:r>
        <w:rPr>
          <w:rStyle w:val="77"/>
          <w:rFonts w:ascii="宋体" w:hAnsi="宋体"/>
          <w:color w:val="000000" w:themeColor="text1"/>
          <w:highlight w:val="none"/>
          <w14:textFill>
            <w14:solidFill>
              <w14:schemeClr w14:val="tx1"/>
            </w14:solidFill>
          </w14:textFill>
        </w:rPr>
        <w:t>经统计，各有效投标人的最终评审分为评标委员会成员评分的算术平均值。投标人得分排序：按最终评审分由高到低顺序排列。得分相同的，按投标报价由低到高顺序排列。得分且投标报价相同的，按技术指标优劣顺序排列，并形成授标意见。</w:t>
      </w:r>
    </w:p>
    <w:p w14:paraId="45543680">
      <w:pPr>
        <w:pStyle w:val="76"/>
        <w:spacing w:after="0" w:line="360" w:lineRule="auto"/>
        <w:ind w:firstLine="480"/>
        <w:rPr>
          <w:rStyle w:val="77"/>
          <w:rFonts w:ascii="宋体" w:hAnsi="宋体"/>
          <w:color w:val="000000" w:themeColor="text1"/>
          <w:highlight w:val="none"/>
          <w14:textFill>
            <w14:solidFill>
              <w14:schemeClr w14:val="tx1"/>
            </w14:solidFill>
          </w14:textFill>
        </w:rPr>
      </w:pPr>
      <w:r>
        <w:rPr>
          <w:rStyle w:val="77"/>
          <w:rFonts w:ascii="宋体" w:hAnsi="宋体"/>
          <w:color w:val="000000" w:themeColor="text1"/>
          <w:highlight w:val="none"/>
          <w14:textFill>
            <w14:solidFill>
              <w14:schemeClr w14:val="tx1"/>
            </w14:solidFill>
          </w14:textFill>
        </w:rPr>
        <w:t>根据上述评标办法，具体评标细则安排如下：</w:t>
      </w:r>
    </w:p>
    <w:p w14:paraId="5DFDEA5A">
      <w:pPr>
        <w:pStyle w:val="78"/>
        <w:widowControl/>
        <w:snapToGrid w:val="0"/>
        <w:spacing w:line="360" w:lineRule="auto"/>
        <w:ind w:firstLine="482" w:firstLineChars="200"/>
        <w:rPr>
          <w:rStyle w:val="77"/>
          <w:rFonts w:hAnsi="宋体"/>
          <w:b/>
          <w:color w:val="000000" w:themeColor="text1"/>
          <w:kern w:val="28"/>
          <w:sz w:val="24"/>
          <w:highlight w:val="none"/>
          <w14:textFill>
            <w14:solidFill>
              <w14:schemeClr w14:val="tx1"/>
            </w14:solidFill>
          </w14:textFill>
        </w:rPr>
      </w:pPr>
      <w:r>
        <w:rPr>
          <w:rStyle w:val="77"/>
          <w:rFonts w:hAnsi="宋体"/>
          <w:b/>
          <w:color w:val="000000" w:themeColor="text1"/>
          <w:sz w:val="24"/>
          <w:highlight w:val="none"/>
          <w14:textFill>
            <w14:solidFill>
              <w14:schemeClr w14:val="tx1"/>
            </w14:solidFill>
          </w14:textFill>
        </w:rPr>
        <w:t>（1）价格分（A=10分）：</w:t>
      </w:r>
    </w:p>
    <w:p w14:paraId="349AB087">
      <w:pPr>
        <w:pStyle w:val="18"/>
        <w:snapToGrid w:val="0"/>
        <w:ind w:left="420" w:leftChars="200" w:firstLine="0" w:firstLineChars="0"/>
        <w:rPr>
          <w:color w:val="000000" w:themeColor="text1"/>
          <w:highlight w:val="none"/>
          <w14:textFill>
            <w14:solidFill>
              <w14:schemeClr w14:val="tx1"/>
            </w14:solidFill>
          </w14:textFill>
        </w:rPr>
      </w:pPr>
    </w:p>
    <w:tbl>
      <w:tblPr>
        <w:tblStyle w:val="34"/>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29C9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04C63B68">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14:paraId="2CEBC4FB">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计算方法</w:t>
            </w:r>
          </w:p>
        </w:tc>
      </w:tr>
      <w:tr w14:paraId="70DF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273334AA">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价格权值=0.</w:t>
            </w:r>
            <w:r>
              <w:rPr>
                <w:rFonts w:ascii="宋体" w:hAnsi="宋体"/>
                <w:color w:val="000000" w:themeColor="text1"/>
                <w:kern w:val="0"/>
                <w:sz w:val="24"/>
                <w:szCs w:val="22"/>
                <w:highlight w:val="none"/>
                <w14:textFill>
                  <w14:solidFill>
                    <w14:schemeClr w14:val="tx1"/>
                  </w14:solidFill>
                </w14:textFill>
              </w:rPr>
              <w:t>1</w:t>
            </w:r>
            <w:r>
              <w:rPr>
                <w:rFonts w:hint="eastAsia" w:ascii="宋体" w:hAnsi="宋体"/>
                <w:color w:val="000000" w:themeColor="text1"/>
                <w:kern w:val="0"/>
                <w:sz w:val="24"/>
                <w:szCs w:val="22"/>
                <w:highlight w:val="none"/>
                <w14:textFill>
                  <w14:solidFill>
                    <w14:schemeClr w14:val="tx1"/>
                  </w14:solidFill>
                </w14:textFill>
              </w:rPr>
              <w:t>0</w:t>
            </w:r>
          </w:p>
        </w:tc>
        <w:tc>
          <w:tcPr>
            <w:tcW w:w="6599" w:type="dxa"/>
            <w:tcBorders>
              <w:top w:val="single" w:color="auto" w:sz="4" w:space="0"/>
              <w:left w:val="single" w:color="auto" w:sz="4" w:space="0"/>
              <w:bottom w:val="single" w:color="auto" w:sz="4" w:space="0"/>
              <w:right w:val="single" w:color="auto" w:sz="4" w:space="0"/>
            </w:tcBorders>
            <w:vAlign w:val="center"/>
          </w:tcPr>
          <w:p w14:paraId="0949F0AB">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最低有效投标价格为评标基准价</w:t>
            </w:r>
          </w:p>
          <w:p w14:paraId="71C07715">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 xml:space="preserve">报价得分=(评标基准价／投标报价)×价格权值×100 </w:t>
            </w:r>
          </w:p>
          <w:p w14:paraId="567DC84B">
            <w:pPr>
              <w:widowControl/>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（计算得分保留小数点后2位）</w:t>
            </w:r>
          </w:p>
        </w:tc>
      </w:tr>
    </w:tbl>
    <w:p w14:paraId="43825758">
      <w:pPr>
        <w:pStyle w:val="78"/>
        <w:widowControl/>
        <w:snapToGrid w:val="0"/>
        <w:spacing w:line="360" w:lineRule="auto"/>
        <w:ind w:firstLine="482" w:firstLineChars="200"/>
        <w:rPr>
          <w:rStyle w:val="77"/>
          <w:rFonts w:hAnsi="宋体" w:cs="宋体"/>
          <w:b/>
          <w:bCs/>
          <w:color w:val="000000" w:themeColor="text1"/>
          <w:sz w:val="24"/>
          <w:highlight w:val="none"/>
          <w14:textFill>
            <w14:solidFill>
              <w14:schemeClr w14:val="tx1"/>
            </w14:solidFill>
          </w14:textFill>
        </w:rPr>
      </w:pPr>
    </w:p>
    <w:p w14:paraId="4C37B231">
      <w:pPr>
        <w:spacing w:line="360" w:lineRule="auto"/>
        <w:ind w:firstLine="482" w:firstLineChars="200"/>
        <w:rPr>
          <w:rStyle w:val="77"/>
          <w:rFonts w:hAnsi="宋体"/>
          <w:b/>
          <w:color w:val="000000" w:themeColor="text1"/>
          <w:sz w:val="24"/>
          <w:highlight w:val="none"/>
          <w14:textFill>
            <w14:solidFill>
              <w14:schemeClr w14:val="tx1"/>
            </w14:solidFill>
          </w14:textFill>
        </w:rPr>
      </w:pPr>
      <w:r>
        <w:rPr>
          <w:rStyle w:val="77"/>
          <w:rFonts w:ascii="宋体" w:hAnsi="宋体"/>
          <w:b/>
          <w:color w:val="000000" w:themeColor="text1"/>
          <w:sz w:val="24"/>
          <w:highlight w:val="none"/>
          <w14:textFill>
            <w14:solidFill>
              <w14:schemeClr w14:val="tx1"/>
            </w14:solidFill>
          </w14:textFill>
        </w:rPr>
        <w:t>（2）</w:t>
      </w:r>
      <w:r>
        <w:rPr>
          <w:rStyle w:val="77"/>
          <w:rFonts w:hint="eastAsia" w:ascii="宋体" w:hAnsi="宋体"/>
          <w:b/>
          <w:color w:val="000000" w:themeColor="text1"/>
          <w:sz w:val="24"/>
          <w:highlight w:val="none"/>
          <w14:textFill>
            <w14:solidFill>
              <w14:schemeClr w14:val="tx1"/>
            </w14:solidFill>
          </w14:textFill>
        </w:rPr>
        <w:t>商务技术分</w:t>
      </w:r>
      <w:r>
        <w:rPr>
          <w:rStyle w:val="77"/>
          <w:rFonts w:hAnsi="宋体"/>
          <w:b/>
          <w:color w:val="000000" w:themeColor="text1"/>
          <w:sz w:val="24"/>
          <w:highlight w:val="none"/>
          <w14:textFill>
            <w14:solidFill>
              <w14:schemeClr w14:val="tx1"/>
            </w14:solidFill>
          </w14:textFill>
        </w:rPr>
        <w:t>（B=90分）</w:t>
      </w:r>
      <w:r>
        <w:rPr>
          <w:rStyle w:val="77"/>
          <w:rFonts w:hint="eastAsia" w:hAnsi="宋体"/>
          <w:b/>
          <w:color w:val="000000" w:themeColor="text1"/>
          <w:sz w:val="24"/>
          <w:highlight w:val="none"/>
          <w14:textFill>
            <w14:solidFill>
              <w14:schemeClr w14:val="tx1"/>
            </w14:solidFill>
          </w14:textFill>
        </w:rPr>
        <w:t>：</w:t>
      </w:r>
    </w:p>
    <w:p w14:paraId="1A76CC1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1、商务资信部分（15分）</w:t>
      </w:r>
    </w:p>
    <w:tbl>
      <w:tblPr>
        <w:tblStyle w:val="34"/>
        <w:tblW w:w="8991" w:type="dxa"/>
        <w:tblInd w:w="392" w:type="dxa"/>
        <w:tblLayout w:type="autofit"/>
        <w:tblCellMar>
          <w:top w:w="0" w:type="dxa"/>
          <w:left w:w="108" w:type="dxa"/>
          <w:bottom w:w="0" w:type="dxa"/>
          <w:right w:w="108" w:type="dxa"/>
        </w:tblCellMar>
      </w:tblPr>
      <w:tblGrid>
        <w:gridCol w:w="1136"/>
        <w:gridCol w:w="423"/>
        <w:gridCol w:w="5662"/>
        <w:gridCol w:w="827"/>
        <w:gridCol w:w="943"/>
      </w:tblGrid>
      <w:tr w14:paraId="4F8E3E96">
        <w:tblPrEx>
          <w:tblCellMar>
            <w:top w:w="0" w:type="dxa"/>
            <w:left w:w="108" w:type="dxa"/>
            <w:bottom w:w="0" w:type="dxa"/>
            <w:right w:w="108" w:type="dxa"/>
          </w:tblCellMar>
        </w:tblPrEx>
        <w:trPr>
          <w:trHeight w:val="990" w:hRule="atLeast"/>
        </w:trPr>
        <w:tc>
          <w:tcPr>
            <w:tcW w:w="1136" w:type="dxa"/>
            <w:tcBorders>
              <w:top w:val="single" w:color="auto" w:sz="8" w:space="0"/>
              <w:left w:val="single" w:color="auto" w:sz="8" w:space="0"/>
              <w:bottom w:val="single" w:color="auto" w:sz="4" w:space="0"/>
              <w:right w:val="single" w:color="auto" w:sz="4" w:space="0"/>
            </w:tcBorders>
            <w:vAlign w:val="center"/>
          </w:tcPr>
          <w:p w14:paraId="2E890FAB">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6085" w:type="dxa"/>
            <w:gridSpan w:val="2"/>
            <w:tcBorders>
              <w:top w:val="single" w:color="auto" w:sz="8" w:space="0"/>
              <w:left w:val="nil"/>
              <w:bottom w:val="single" w:color="auto" w:sz="4" w:space="0"/>
              <w:right w:val="single" w:color="auto" w:sz="4" w:space="0"/>
            </w:tcBorders>
            <w:vAlign w:val="center"/>
          </w:tcPr>
          <w:p w14:paraId="4286176D">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评分内容和标准</w:t>
            </w:r>
          </w:p>
        </w:tc>
        <w:tc>
          <w:tcPr>
            <w:tcW w:w="827" w:type="dxa"/>
            <w:tcBorders>
              <w:top w:val="single" w:color="auto" w:sz="8" w:space="0"/>
              <w:left w:val="nil"/>
              <w:bottom w:val="single" w:color="auto" w:sz="4" w:space="0"/>
              <w:right w:val="single" w:color="auto" w:sz="4" w:space="0"/>
            </w:tcBorders>
            <w:vAlign w:val="center"/>
          </w:tcPr>
          <w:p w14:paraId="4F6C2E59">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分值区间</w:t>
            </w:r>
          </w:p>
        </w:tc>
        <w:tc>
          <w:tcPr>
            <w:tcW w:w="943" w:type="dxa"/>
            <w:tcBorders>
              <w:top w:val="single" w:color="auto" w:sz="8" w:space="0"/>
              <w:left w:val="nil"/>
              <w:bottom w:val="single" w:color="auto" w:sz="4" w:space="0"/>
              <w:right w:val="single" w:color="auto" w:sz="4" w:space="0"/>
            </w:tcBorders>
            <w:vAlign w:val="center"/>
          </w:tcPr>
          <w:p w14:paraId="1D628AEB">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打分</w:t>
            </w:r>
          </w:p>
          <w:p w14:paraId="5F79B454">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w:t>
            </w:r>
          </w:p>
        </w:tc>
      </w:tr>
      <w:tr w14:paraId="1357600F">
        <w:tblPrEx>
          <w:tblCellMar>
            <w:top w:w="0" w:type="dxa"/>
            <w:left w:w="108" w:type="dxa"/>
            <w:bottom w:w="0" w:type="dxa"/>
            <w:right w:w="108" w:type="dxa"/>
          </w:tblCellMar>
        </w:tblPrEx>
        <w:trPr>
          <w:trHeight w:val="846" w:hRule="atLeast"/>
        </w:trPr>
        <w:tc>
          <w:tcPr>
            <w:tcW w:w="1136" w:type="dxa"/>
            <w:vMerge w:val="restart"/>
            <w:tcBorders>
              <w:top w:val="single" w:color="auto" w:sz="4" w:space="0"/>
              <w:left w:val="single" w:color="auto" w:sz="4" w:space="0"/>
              <w:right w:val="single" w:color="auto" w:sz="4" w:space="0"/>
            </w:tcBorders>
            <w:vAlign w:val="center"/>
          </w:tcPr>
          <w:p w14:paraId="12E0E525">
            <w:pPr>
              <w:pStyle w:val="18"/>
              <w:snapToGrid w:val="0"/>
              <w:ind w:left="440" w:firstLine="0" w:firstLineChars="0"/>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商务资信分</w:t>
            </w:r>
          </w:p>
          <w:p w14:paraId="10ECAC40">
            <w:pPr>
              <w:pStyle w:val="18"/>
              <w:snapToGrid w:val="0"/>
              <w:ind w:left="440" w:firstLine="0" w:firstLineChars="0"/>
              <w:rPr>
                <w:rFonts w:cs="宋体"/>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15分）</w:t>
            </w:r>
          </w:p>
        </w:tc>
        <w:tc>
          <w:tcPr>
            <w:tcW w:w="423" w:type="dxa"/>
            <w:tcBorders>
              <w:top w:val="nil"/>
              <w:left w:val="single" w:color="auto" w:sz="4" w:space="0"/>
              <w:bottom w:val="single" w:color="auto" w:sz="4" w:space="0"/>
              <w:right w:val="single" w:color="auto" w:sz="4" w:space="0"/>
            </w:tcBorders>
            <w:vAlign w:val="center"/>
          </w:tcPr>
          <w:p w14:paraId="0B403906">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5662" w:type="dxa"/>
            <w:tcBorders>
              <w:top w:val="nil"/>
              <w:left w:val="nil"/>
              <w:bottom w:val="single" w:color="auto" w:sz="4" w:space="0"/>
              <w:right w:val="single" w:color="auto" w:sz="4" w:space="0"/>
            </w:tcBorders>
            <w:vAlign w:val="center"/>
          </w:tcPr>
          <w:p w14:paraId="08721A05">
            <w:pPr>
              <w:pStyle w:val="18"/>
              <w:snapToGrid w:val="0"/>
              <w:ind w:firstLine="0" w:firstLineChars="0"/>
              <w:rPr>
                <w:rFonts w:cs="仿宋_GB2312"/>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根据响应人综合实力、履约能力等情况综合评定</w:t>
            </w:r>
          </w:p>
        </w:tc>
        <w:tc>
          <w:tcPr>
            <w:tcW w:w="827" w:type="dxa"/>
            <w:tcBorders>
              <w:top w:val="nil"/>
              <w:left w:val="nil"/>
              <w:bottom w:val="single" w:color="auto" w:sz="4" w:space="0"/>
              <w:right w:val="single" w:color="auto" w:sz="4" w:space="0"/>
            </w:tcBorders>
            <w:vAlign w:val="center"/>
          </w:tcPr>
          <w:p w14:paraId="24ED4BAE">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943" w:type="dxa"/>
            <w:tcBorders>
              <w:top w:val="nil"/>
              <w:left w:val="nil"/>
              <w:bottom w:val="single" w:color="auto" w:sz="4" w:space="0"/>
              <w:right w:val="single" w:color="auto" w:sz="4" w:space="0"/>
            </w:tcBorders>
            <w:vAlign w:val="center"/>
          </w:tcPr>
          <w:p w14:paraId="4621960B">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15B9524A">
        <w:tblPrEx>
          <w:tblCellMar>
            <w:top w:w="0" w:type="dxa"/>
            <w:left w:w="108" w:type="dxa"/>
            <w:bottom w:w="0" w:type="dxa"/>
            <w:right w:w="108" w:type="dxa"/>
          </w:tblCellMar>
        </w:tblPrEx>
        <w:trPr>
          <w:trHeight w:val="985" w:hRule="atLeast"/>
        </w:trPr>
        <w:tc>
          <w:tcPr>
            <w:tcW w:w="1136" w:type="dxa"/>
            <w:vMerge w:val="continue"/>
            <w:tcBorders>
              <w:left w:val="single" w:color="auto" w:sz="4" w:space="0"/>
              <w:right w:val="single" w:color="auto" w:sz="4" w:space="0"/>
            </w:tcBorders>
            <w:vAlign w:val="center"/>
          </w:tcPr>
          <w:p w14:paraId="68D9DBAE">
            <w:pPr>
              <w:widowControl/>
              <w:rPr>
                <w:rFonts w:ascii="宋体" w:hAnsi="宋体"/>
                <w:color w:val="000000" w:themeColor="text1"/>
                <w:sz w:val="24"/>
                <w:highlight w:val="none"/>
                <w14:textFill>
                  <w14:solidFill>
                    <w14:schemeClr w14:val="tx1"/>
                  </w14:solidFill>
                </w14:textFill>
              </w:rPr>
            </w:pPr>
          </w:p>
        </w:tc>
        <w:tc>
          <w:tcPr>
            <w:tcW w:w="423" w:type="dxa"/>
            <w:tcBorders>
              <w:top w:val="nil"/>
              <w:left w:val="single" w:color="auto" w:sz="4" w:space="0"/>
              <w:bottom w:val="single" w:color="auto" w:sz="4" w:space="0"/>
              <w:right w:val="single" w:color="auto" w:sz="4" w:space="0"/>
            </w:tcBorders>
            <w:vAlign w:val="center"/>
          </w:tcPr>
          <w:p w14:paraId="58399D5E">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5662" w:type="dxa"/>
            <w:tcBorders>
              <w:top w:val="nil"/>
              <w:left w:val="nil"/>
              <w:bottom w:val="single" w:color="auto" w:sz="4" w:space="0"/>
              <w:right w:val="single" w:color="auto" w:sz="4" w:space="0"/>
            </w:tcBorders>
            <w:vAlign w:val="center"/>
          </w:tcPr>
          <w:p w14:paraId="20E702BB">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响应人经营状况（根据响应人经营类似项目时间长短、获得荣誉等情况综合评定）</w:t>
            </w:r>
          </w:p>
        </w:tc>
        <w:tc>
          <w:tcPr>
            <w:tcW w:w="827" w:type="dxa"/>
            <w:tcBorders>
              <w:top w:val="nil"/>
              <w:left w:val="nil"/>
              <w:bottom w:val="single" w:color="auto" w:sz="4" w:space="0"/>
              <w:right w:val="single" w:color="auto" w:sz="4" w:space="0"/>
            </w:tcBorders>
            <w:vAlign w:val="center"/>
          </w:tcPr>
          <w:p w14:paraId="2802B0D0">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943" w:type="dxa"/>
            <w:tcBorders>
              <w:top w:val="nil"/>
              <w:left w:val="nil"/>
              <w:bottom w:val="single" w:color="auto" w:sz="4" w:space="0"/>
              <w:right w:val="single" w:color="auto" w:sz="4" w:space="0"/>
            </w:tcBorders>
            <w:vAlign w:val="center"/>
          </w:tcPr>
          <w:p w14:paraId="5C3DA554">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1A8A9D94">
        <w:tblPrEx>
          <w:tblCellMar>
            <w:top w:w="0" w:type="dxa"/>
            <w:left w:w="108" w:type="dxa"/>
            <w:bottom w:w="0" w:type="dxa"/>
            <w:right w:w="108" w:type="dxa"/>
          </w:tblCellMar>
        </w:tblPrEx>
        <w:trPr>
          <w:trHeight w:val="1123" w:hRule="atLeast"/>
        </w:trPr>
        <w:tc>
          <w:tcPr>
            <w:tcW w:w="1136" w:type="dxa"/>
            <w:vMerge w:val="continue"/>
            <w:tcBorders>
              <w:left w:val="single" w:color="auto" w:sz="4" w:space="0"/>
              <w:right w:val="single" w:color="auto" w:sz="4" w:space="0"/>
            </w:tcBorders>
            <w:vAlign w:val="center"/>
          </w:tcPr>
          <w:p w14:paraId="3A67448A">
            <w:pPr>
              <w:widowControl/>
              <w:rPr>
                <w:rFonts w:ascii="宋体" w:hAnsi="宋体"/>
                <w:color w:val="000000" w:themeColor="text1"/>
                <w:sz w:val="24"/>
                <w:highlight w:val="none"/>
                <w14:textFill>
                  <w14:solidFill>
                    <w14:schemeClr w14:val="tx1"/>
                  </w14:solidFill>
                </w14:textFill>
              </w:rPr>
            </w:pPr>
          </w:p>
        </w:tc>
        <w:tc>
          <w:tcPr>
            <w:tcW w:w="423" w:type="dxa"/>
            <w:tcBorders>
              <w:top w:val="nil"/>
              <w:left w:val="single" w:color="auto" w:sz="4" w:space="0"/>
              <w:bottom w:val="single" w:color="auto" w:sz="4" w:space="0"/>
              <w:right w:val="single" w:color="auto" w:sz="4" w:space="0"/>
            </w:tcBorders>
            <w:vAlign w:val="center"/>
          </w:tcPr>
          <w:p w14:paraId="2036989D">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5662" w:type="dxa"/>
            <w:tcBorders>
              <w:top w:val="nil"/>
              <w:left w:val="nil"/>
              <w:bottom w:val="single" w:color="auto" w:sz="4" w:space="0"/>
              <w:right w:val="single" w:color="auto" w:sz="4" w:space="0"/>
            </w:tcBorders>
            <w:vAlign w:val="center"/>
          </w:tcPr>
          <w:p w14:paraId="222C85F8">
            <w:pPr>
              <w:rPr>
                <w:rFonts w:cs="仿宋_GB2312"/>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响应人自20</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bookmarkStart w:id="49" w:name="_GoBack"/>
            <w:bookmarkEnd w:id="49"/>
            <w:r>
              <w:rPr>
                <w:rFonts w:hint="eastAsia" w:ascii="宋体" w:hAnsi="宋体" w:cs="宋体"/>
                <w:color w:val="000000" w:themeColor="text1"/>
                <w:sz w:val="24"/>
                <w:highlight w:val="none"/>
                <w14:textFill>
                  <w14:solidFill>
                    <w14:schemeClr w14:val="tx1"/>
                  </w14:solidFill>
                </w14:textFill>
              </w:rPr>
              <w:t>年1月1日以来（以合同签订时间为准）完成类似项目合同业绩的每个得1分，最高得5分。（响应文件中提供合同复印件，加盖公章。）</w:t>
            </w:r>
          </w:p>
        </w:tc>
        <w:tc>
          <w:tcPr>
            <w:tcW w:w="827" w:type="dxa"/>
            <w:tcBorders>
              <w:top w:val="nil"/>
              <w:left w:val="nil"/>
              <w:bottom w:val="single" w:color="auto" w:sz="4" w:space="0"/>
              <w:right w:val="single" w:color="auto" w:sz="4" w:space="0"/>
            </w:tcBorders>
            <w:vAlign w:val="center"/>
          </w:tcPr>
          <w:p w14:paraId="27B5DAA3">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c>
          <w:tcPr>
            <w:tcW w:w="943" w:type="dxa"/>
            <w:tcBorders>
              <w:top w:val="nil"/>
              <w:left w:val="nil"/>
              <w:bottom w:val="single" w:color="auto" w:sz="4" w:space="0"/>
              <w:right w:val="single" w:color="auto" w:sz="4" w:space="0"/>
            </w:tcBorders>
            <w:vAlign w:val="center"/>
          </w:tcPr>
          <w:p w14:paraId="41D5C6DC">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r w14:paraId="5A01152B">
        <w:tblPrEx>
          <w:tblCellMar>
            <w:top w:w="0" w:type="dxa"/>
            <w:left w:w="108" w:type="dxa"/>
            <w:bottom w:w="0" w:type="dxa"/>
            <w:right w:w="108" w:type="dxa"/>
          </w:tblCellMar>
        </w:tblPrEx>
        <w:trPr>
          <w:trHeight w:val="1125" w:hRule="atLeast"/>
        </w:trPr>
        <w:tc>
          <w:tcPr>
            <w:tcW w:w="1136" w:type="dxa"/>
            <w:vMerge w:val="continue"/>
            <w:tcBorders>
              <w:left w:val="single" w:color="auto" w:sz="4" w:space="0"/>
              <w:right w:val="single" w:color="auto" w:sz="4" w:space="0"/>
            </w:tcBorders>
            <w:vAlign w:val="center"/>
          </w:tcPr>
          <w:p w14:paraId="228D3C95">
            <w:pPr>
              <w:widowControl/>
              <w:rPr>
                <w:rFonts w:ascii="宋体" w:hAnsi="宋体"/>
                <w:color w:val="000000" w:themeColor="text1"/>
                <w:sz w:val="24"/>
                <w:highlight w:val="none"/>
                <w14:textFill>
                  <w14:solidFill>
                    <w14:schemeClr w14:val="tx1"/>
                  </w14:solidFill>
                </w14:textFill>
              </w:rPr>
            </w:pPr>
          </w:p>
        </w:tc>
        <w:tc>
          <w:tcPr>
            <w:tcW w:w="423" w:type="dxa"/>
            <w:tcBorders>
              <w:top w:val="single" w:color="auto" w:sz="4" w:space="0"/>
              <w:left w:val="single" w:color="auto" w:sz="4" w:space="0"/>
              <w:bottom w:val="single" w:color="auto" w:sz="4" w:space="0"/>
              <w:right w:val="single" w:color="auto" w:sz="4" w:space="0"/>
            </w:tcBorders>
            <w:vAlign w:val="center"/>
          </w:tcPr>
          <w:p w14:paraId="3588BC59">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5662" w:type="dxa"/>
            <w:tcBorders>
              <w:top w:val="single" w:color="auto" w:sz="4" w:space="0"/>
              <w:left w:val="single" w:color="auto" w:sz="4" w:space="0"/>
              <w:bottom w:val="single" w:color="auto" w:sz="4" w:space="0"/>
              <w:right w:val="single" w:color="auto" w:sz="4" w:space="0"/>
            </w:tcBorders>
            <w:vAlign w:val="center"/>
          </w:tcPr>
          <w:p w14:paraId="5B29BFAC">
            <w:pPr>
              <w:rPr>
                <w:rFonts w:cs="仿宋_GB2312"/>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响应人旅行社星级状况：响应人为三星级及以上旅行社的得3分。（响应文件中提供当地旅游局等单位颁发的相关文件，加盖公章。）</w:t>
            </w:r>
          </w:p>
        </w:tc>
        <w:tc>
          <w:tcPr>
            <w:tcW w:w="827" w:type="dxa"/>
            <w:tcBorders>
              <w:top w:val="single" w:color="auto" w:sz="4" w:space="0"/>
              <w:left w:val="single" w:color="auto" w:sz="4" w:space="0"/>
              <w:bottom w:val="single" w:color="auto" w:sz="4" w:space="0"/>
              <w:right w:val="single" w:color="auto" w:sz="4" w:space="0"/>
            </w:tcBorders>
            <w:vAlign w:val="center"/>
          </w:tcPr>
          <w:p w14:paraId="7B3D03AE">
            <w:pPr>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w:t>
            </w:r>
          </w:p>
        </w:tc>
        <w:tc>
          <w:tcPr>
            <w:tcW w:w="943" w:type="dxa"/>
            <w:tcBorders>
              <w:top w:val="single" w:color="auto" w:sz="4" w:space="0"/>
              <w:left w:val="single" w:color="auto" w:sz="4" w:space="0"/>
              <w:bottom w:val="single" w:color="auto" w:sz="4" w:space="0"/>
              <w:right w:val="single" w:color="auto" w:sz="4" w:space="0"/>
            </w:tcBorders>
            <w:vAlign w:val="center"/>
          </w:tcPr>
          <w:p w14:paraId="64F4D50D">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r w14:paraId="2F1B8E17">
        <w:tblPrEx>
          <w:tblCellMar>
            <w:top w:w="0" w:type="dxa"/>
            <w:left w:w="108" w:type="dxa"/>
            <w:bottom w:w="0" w:type="dxa"/>
            <w:right w:w="108" w:type="dxa"/>
          </w:tblCellMar>
        </w:tblPrEx>
        <w:trPr>
          <w:trHeight w:val="1273" w:hRule="atLeast"/>
        </w:trPr>
        <w:tc>
          <w:tcPr>
            <w:tcW w:w="1136" w:type="dxa"/>
            <w:vMerge w:val="continue"/>
            <w:tcBorders>
              <w:left w:val="single" w:color="auto" w:sz="4" w:space="0"/>
              <w:bottom w:val="single" w:color="auto" w:sz="4" w:space="0"/>
              <w:right w:val="single" w:color="auto" w:sz="4" w:space="0"/>
            </w:tcBorders>
            <w:vAlign w:val="center"/>
          </w:tcPr>
          <w:p w14:paraId="538072DF">
            <w:pPr>
              <w:widowControl/>
              <w:rPr>
                <w:rFonts w:ascii="宋体" w:hAnsi="宋体"/>
                <w:color w:val="000000" w:themeColor="text1"/>
                <w:sz w:val="24"/>
                <w:highlight w:val="none"/>
                <w14:textFill>
                  <w14:solidFill>
                    <w14:schemeClr w14:val="tx1"/>
                  </w14:solidFill>
                </w14:textFill>
              </w:rPr>
            </w:pPr>
          </w:p>
        </w:tc>
        <w:tc>
          <w:tcPr>
            <w:tcW w:w="423" w:type="dxa"/>
            <w:tcBorders>
              <w:top w:val="single" w:color="auto" w:sz="4" w:space="0"/>
              <w:left w:val="single" w:color="auto" w:sz="4" w:space="0"/>
              <w:bottom w:val="single" w:color="auto" w:sz="4" w:space="0"/>
              <w:right w:val="single" w:color="auto" w:sz="4" w:space="0"/>
            </w:tcBorders>
            <w:vAlign w:val="center"/>
          </w:tcPr>
          <w:p w14:paraId="7A191884">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5662" w:type="dxa"/>
            <w:tcBorders>
              <w:top w:val="single" w:color="auto" w:sz="4" w:space="0"/>
              <w:left w:val="single" w:color="auto" w:sz="4" w:space="0"/>
              <w:bottom w:val="single" w:color="auto" w:sz="4" w:space="0"/>
              <w:right w:val="single" w:color="auto" w:sz="4" w:space="0"/>
            </w:tcBorders>
            <w:vAlign w:val="center"/>
          </w:tcPr>
          <w:p w14:paraId="2F6A6E5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响应人</w:t>
            </w:r>
            <w:r>
              <w:rPr>
                <w:rFonts w:ascii="宋体" w:hAnsi="宋体" w:cs="宋体"/>
                <w:color w:val="000000" w:themeColor="text1"/>
                <w:sz w:val="24"/>
                <w:highlight w:val="none"/>
                <w14:textFill>
                  <w14:solidFill>
                    <w14:schemeClr w14:val="tx1"/>
                  </w14:solidFill>
                </w14:textFill>
              </w:rPr>
              <w:t>具有质量管理体系认证、环境管理体系认证证书、职业健康安全管理体系认证证书，每一项得1分，最高得3分，没有的不得分。（证书须在有效期内，</w:t>
            </w:r>
            <w:r>
              <w:rPr>
                <w:rFonts w:hint="eastAsia" w:ascii="宋体" w:hAnsi="宋体" w:cs="宋体"/>
                <w:color w:val="000000" w:themeColor="text1"/>
                <w:sz w:val="24"/>
                <w:highlight w:val="none"/>
                <w14:textFill>
                  <w14:solidFill>
                    <w14:schemeClr w14:val="tx1"/>
                  </w14:solidFill>
                </w14:textFill>
              </w:rPr>
              <w:t>响应</w:t>
            </w:r>
            <w:r>
              <w:rPr>
                <w:rFonts w:ascii="宋体" w:hAnsi="宋体" w:cs="宋体"/>
                <w:color w:val="000000" w:themeColor="text1"/>
                <w:sz w:val="24"/>
                <w:highlight w:val="none"/>
                <w14:textFill>
                  <w14:solidFill>
                    <w14:schemeClr w14:val="tx1"/>
                  </w14:solidFill>
                </w14:textFill>
              </w:rPr>
              <w:t>文件中提供证书复印件，并加盖</w:t>
            </w:r>
            <w:r>
              <w:rPr>
                <w:rFonts w:hint="eastAsia" w:ascii="宋体" w:hAnsi="宋体" w:cs="宋体"/>
                <w:color w:val="000000" w:themeColor="text1"/>
                <w:sz w:val="24"/>
                <w:highlight w:val="none"/>
                <w14:textFill>
                  <w14:solidFill>
                    <w14:schemeClr w14:val="tx1"/>
                  </w14:solidFill>
                </w14:textFill>
              </w:rPr>
              <w:t>响应</w:t>
            </w:r>
            <w:r>
              <w:rPr>
                <w:rFonts w:ascii="宋体" w:hAnsi="宋体" w:cs="宋体"/>
                <w:color w:val="000000" w:themeColor="text1"/>
                <w:sz w:val="24"/>
                <w:highlight w:val="none"/>
                <w14:textFill>
                  <w14:solidFill>
                    <w14:schemeClr w14:val="tx1"/>
                  </w14:solidFill>
                </w14:textFill>
              </w:rPr>
              <w:t>人公章）。</w:t>
            </w:r>
          </w:p>
        </w:tc>
        <w:tc>
          <w:tcPr>
            <w:tcW w:w="827" w:type="dxa"/>
            <w:tcBorders>
              <w:top w:val="single" w:color="auto" w:sz="4" w:space="0"/>
              <w:left w:val="single" w:color="auto" w:sz="4" w:space="0"/>
              <w:bottom w:val="single" w:color="auto" w:sz="4" w:space="0"/>
              <w:right w:val="single" w:color="auto" w:sz="4" w:space="0"/>
            </w:tcBorders>
            <w:vAlign w:val="center"/>
          </w:tcPr>
          <w:p w14:paraId="5A1BFF7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w:t>
            </w:r>
          </w:p>
        </w:tc>
        <w:tc>
          <w:tcPr>
            <w:tcW w:w="943" w:type="dxa"/>
            <w:tcBorders>
              <w:top w:val="single" w:color="auto" w:sz="4" w:space="0"/>
              <w:left w:val="single" w:color="auto" w:sz="4" w:space="0"/>
              <w:bottom w:val="single" w:color="auto" w:sz="4" w:space="0"/>
              <w:right w:val="single" w:color="auto" w:sz="4" w:space="0"/>
            </w:tcBorders>
            <w:vAlign w:val="center"/>
          </w:tcPr>
          <w:p w14:paraId="639B1DE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bl>
    <w:p w14:paraId="2EDCF303">
      <w:pPr>
        <w:widowControl/>
        <w:rPr>
          <w:rFonts w:ascii="宋体" w:hAnsi="宋体"/>
          <w:color w:val="000000" w:themeColor="text1"/>
          <w:sz w:val="24"/>
          <w:highlight w:val="none"/>
          <w14:textFill>
            <w14:solidFill>
              <w14:schemeClr w14:val="tx1"/>
            </w14:solidFill>
          </w14:textFill>
        </w:rPr>
      </w:pPr>
    </w:p>
    <w:p w14:paraId="6D9138D5">
      <w:pPr>
        <w:widowControl/>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2、技术部分（75分）</w:t>
      </w:r>
    </w:p>
    <w:tbl>
      <w:tblPr>
        <w:tblStyle w:val="34"/>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39"/>
        <w:gridCol w:w="2335"/>
        <w:gridCol w:w="4327"/>
        <w:gridCol w:w="851"/>
        <w:gridCol w:w="850"/>
      </w:tblGrid>
      <w:tr w14:paraId="00F7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jc w:val="center"/>
        </w:trPr>
        <w:tc>
          <w:tcPr>
            <w:tcW w:w="425" w:type="dxa"/>
            <w:vAlign w:val="center"/>
          </w:tcPr>
          <w:p w14:paraId="0D670C1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74" w:type="dxa"/>
            <w:gridSpan w:val="2"/>
            <w:vAlign w:val="center"/>
          </w:tcPr>
          <w:p w14:paraId="70F00D2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评分内容和标准</w:t>
            </w:r>
          </w:p>
        </w:tc>
        <w:tc>
          <w:tcPr>
            <w:tcW w:w="4327" w:type="dxa"/>
            <w:vAlign w:val="center"/>
          </w:tcPr>
          <w:p w14:paraId="6D46DE6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具体描述</w:t>
            </w:r>
          </w:p>
        </w:tc>
        <w:tc>
          <w:tcPr>
            <w:tcW w:w="851" w:type="dxa"/>
            <w:vAlign w:val="center"/>
          </w:tcPr>
          <w:p w14:paraId="652ECA5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分值区间</w:t>
            </w:r>
          </w:p>
        </w:tc>
        <w:tc>
          <w:tcPr>
            <w:tcW w:w="850" w:type="dxa"/>
            <w:vAlign w:val="center"/>
          </w:tcPr>
          <w:p w14:paraId="6897E1AE">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打分</w:t>
            </w:r>
          </w:p>
          <w:p w14:paraId="0156A3D7">
            <w:pPr>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w:t>
            </w:r>
          </w:p>
        </w:tc>
      </w:tr>
      <w:tr w14:paraId="090C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425" w:type="dxa"/>
            <w:vMerge w:val="restart"/>
            <w:vAlign w:val="center"/>
          </w:tcPr>
          <w:p w14:paraId="2325E878">
            <w:pPr>
              <w:pStyle w:val="18"/>
              <w:snapToGrid w:val="0"/>
              <w:ind w:left="44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技术分</w:t>
            </w:r>
          </w:p>
          <w:p w14:paraId="71AF727B">
            <w:pPr>
              <w:pStyle w:val="18"/>
              <w:snapToGrid w:val="0"/>
              <w:ind w:left="440"/>
              <w:jc w:val="center"/>
              <w:rPr>
                <w:rFonts w:cs="宋体"/>
                <w:color w:val="000000" w:themeColor="text1"/>
                <w:sz w:val="20"/>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（75分）</w:t>
            </w:r>
          </w:p>
        </w:tc>
        <w:tc>
          <w:tcPr>
            <w:tcW w:w="439" w:type="dxa"/>
            <w:vAlign w:val="center"/>
          </w:tcPr>
          <w:p w14:paraId="20E38F1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35" w:type="dxa"/>
            <w:vAlign w:val="center"/>
          </w:tcPr>
          <w:p w14:paraId="7A827E69">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响应方案的合理性、科学性、全面性综合评定</w:t>
            </w:r>
          </w:p>
        </w:tc>
        <w:tc>
          <w:tcPr>
            <w:tcW w:w="4327" w:type="dxa"/>
            <w:vAlign w:val="center"/>
          </w:tcPr>
          <w:p w14:paraId="5F01F0BA">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详细提供疗休养整体方案（包括</w:t>
            </w:r>
            <w:r>
              <w:rPr>
                <w:rFonts w:hint="eastAsia" w:cs="宋体"/>
                <w:color w:val="000000" w:themeColor="text1"/>
                <w:highlight w:val="none"/>
                <w:lang w:val="zh-CN"/>
                <w14:textFill>
                  <w14:solidFill>
                    <w14:schemeClr w14:val="tx1"/>
                  </w14:solidFill>
                </w14:textFill>
              </w:rPr>
              <w:t>用餐标准、住宿条件、交通车辆、行程线路策划等方案以及对本次</w:t>
            </w:r>
            <w:r>
              <w:rPr>
                <w:rFonts w:hint="eastAsia" w:cs="宋体"/>
                <w:color w:val="000000" w:themeColor="text1"/>
                <w:highlight w:val="none"/>
                <w14:textFill>
                  <w14:solidFill>
                    <w14:schemeClr w14:val="tx1"/>
                  </w14:solidFill>
                </w14:textFill>
              </w:rPr>
              <w:t>疗休养主题的吻合程度）综合评定</w:t>
            </w:r>
          </w:p>
        </w:tc>
        <w:tc>
          <w:tcPr>
            <w:tcW w:w="851" w:type="dxa"/>
            <w:vAlign w:val="center"/>
          </w:tcPr>
          <w:p w14:paraId="18CC6E94">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w:t>
            </w:r>
          </w:p>
        </w:tc>
        <w:tc>
          <w:tcPr>
            <w:tcW w:w="850" w:type="dxa"/>
            <w:vAlign w:val="center"/>
          </w:tcPr>
          <w:p w14:paraId="1EFDFBC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4294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25" w:type="dxa"/>
            <w:vMerge w:val="continue"/>
            <w:vAlign w:val="center"/>
          </w:tcPr>
          <w:p w14:paraId="05DFF12A">
            <w:pPr>
              <w:rPr>
                <w:rFonts w:ascii="宋体" w:hAnsi="宋体" w:cs="宋体"/>
                <w:color w:val="000000" w:themeColor="text1"/>
                <w:sz w:val="20"/>
                <w:highlight w:val="none"/>
                <w14:textFill>
                  <w14:solidFill>
                    <w14:schemeClr w14:val="tx1"/>
                  </w14:solidFill>
                </w14:textFill>
              </w:rPr>
            </w:pPr>
          </w:p>
        </w:tc>
        <w:tc>
          <w:tcPr>
            <w:tcW w:w="439" w:type="dxa"/>
            <w:vAlign w:val="center"/>
          </w:tcPr>
          <w:p w14:paraId="17433F8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35" w:type="dxa"/>
            <w:vAlign w:val="center"/>
          </w:tcPr>
          <w:p w14:paraId="4B8121A7">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响应方案中提供或使用主要车辆、设备的优劣综合评定</w:t>
            </w:r>
          </w:p>
        </w:tc>
        <w:tc>
          <w:tcPr>
            <w:tcW w:w="4327" w:type="dxa"/>
            <w:vAlign w:val="center"/>
          </w:tcPr>
          <w:p w14:paraId="44855C82">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根据车队情况综合评定（包括车型、车况、当地用车情况、座位比、司机驾龄、车队本地化服务能力等） </w:t>
            </w:r>
          </w:p>
        </w:tc>
        <w:tc>
          <w:tcPr>
            <w:tcW w:w="851" w:type="dxa"/>
            <w:vAlign w:val="center"/>
          </w:tcPr>
          <w:p w14:paraId="5545ACEA">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w:t>
            </w:r>
          </w:p>
        </w:tc>
        <w:tc>
          <w:tcPr>
            <w:tcW w:w="850" w:type="dxa"/>
            <w:vAlign w:val="center"/>
          </w:tcPr>
          <w:p w14:paraId="681A79D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2A2B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25" w:type="dxa"/>
            <w:vMerge w:val="continue"/>
            <w:vAlign w:val="center"/>
          </w:tcPr>
          <w:p w14:paraId="10CC4A04">
            <w:pPr>
              <w:rPr>
                <w:rFonts w:ascii="宋体" w:hAnsi="宋体" w:cs="宋体"/>
                <w:color w:val="000000" w:themeColor="text1"/>
                <w:sz w:val="20"/>
                <w:highlight w:val="none"/>
                <w14:textFill>
                  <w14:solidFill>
                    <w14:schemeClr w14:val="tx1"/>
                  </w14:solidFill>
                </w14:textFill>
              </w:rPr>
            </w:pPr>
          </w:p>
        </w:tc>
        <w:tc>
          <w:tcPr>
            <w:tcW w:w="439" w:type="dxa"/>
            <w:vAlign w:val="center"/>
          </w:tcPr>
          <w:p w14:paraId="30CE24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35" w:type="dxa"/>
            <w:vAlign w:val="center"/>
          </w:tcPr>
          <w:p w14:paraId="42D0B18B">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保证进度和项目完成的方案和措施等综合评定</w:t>
            </w:r>
          </w:p>
        </w:tc>
        <w:tc>
          <w:tcPr>
            <w:tcW w:w="4327" w:type="dxa"/>
            <w:vAlign w:val="center"/>
          </w:tcPr>
          <w:p w14:paraId="5A884EC1">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本次疗休养实施工作程序和步骤、管理和协调方法以及关键步骤和要点等。</w:t>
            </w:r>
          </w:p>
        </w:tc>
        <w:tc>
          <w:tcPr>
            <w:tcW w:w="851" w:type="dxa"/>
            <w:vAlign w:val="center"/>
          </w:tcPr>
          <w:p w14:paraId="7AA90DC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w:t>
            </w:r>
          </w:p>
        </w:tc>
        <w:tc>
          <w:tcPr>
            <w:tcW w:w="850" w:type="dxa"/>
            <w:vAlign w:val="center"/>
          </w:tcPr>
          <w:p w14:paraId="010BE61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26ED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25" w:type="dxa"/>
            <w:vMerge w:val="continue"/>
            <w:vAlign w:val="center"/>
          </w:tcPr>
          <w:p w14:paraId="416F4CA5">
            <w:pPr>
              <w:rPr>
                <w:rFonts w:ascii="宋体" w:hAnsi="宋体" w:cs="宋体"/>
                <w:color w:val="000000" w:themeColor="text1"/>
                <w:sz w:val="20"/>
                <w:highlight w:val="none"/>
                <w14:textFill>
                  <w14:solidFill>
                    <w14:schemeClr w14:val="tx1"/>
                  </w14:solidFill>
                </w14:textFill>
              </w:rPr>
            </w:pPr>
          </w:p>
        </w:tc>
        <w:tc>
          <w:tcPr>
            <w:tcW w:w="439" w:type="dxa"/>
            <w:vAlign w:val="center"/>
          </w:tcPr>
          <w:p w14:paraId="485FCD1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35" w:type="dxa"/>
            <w:vAlign w:val="center"/>
          </w:tcPr>
          <w:p w14:paraId="46819534">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项目负责人及技术力量安排、行程中安排导游等综合评定</w:t>
            </w:r>
          </w:p>
        </w:tc>
        <w:tc>
          <w:tcPr>
            <w:tcW w:w="4327" w:type="dxa"/>
            <w:vAlign w:val="center"/>
          </w:tcPr>
          <w:p w14:paraId="62580BD1">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1、项目负责人的专业素质、技术能力、经验以及调动各项资源的能力、有否学历及职业证书；项目组成员专业素质、能力、经验等综合评定。（1-3分）</w:t>
            </w:r>
          </w:p>
          <w:p w14:paraId="0B9C59B3">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2、响应人拥有中级导游员或杭州市优秀或金牌导游员得3分，拥有区县级金牌或优秀导游员得1分。（0-3分）</w:t>
            </w:r>
          </w:p>
        </w:tc>
        <w:tc>
          <w:tcPr>
            <w:tcW w:w="851" w:type="dxa"/>
            <w:vAlign w:val="center"/>
          </w:tcPr>
          <w:p w14:paraId="328BFB11">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50" w:type="dxa"/>
            <w:vAlign w:val="center"/>
          </w:tcPr>
          <w:p w14:paraId="1C70F82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415E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25" w:type="dxa"/>
            <w:vMerge w:val="continue"/>
            <w:vAlign w:val="center"/>
          </w:tcPr>
          <w:p w14:paraId="62CF4376">
            <w:pPr>
              <w:rPr>
                <w:rFonts w:ascii="宋体" w:hAnsi="宋体" w:cs="宋体"/>
                <w:color w:val="000000" w:themeColor="text1"/>
                <w:sz w:val="20"/>
                <w:highlight w:val="none"/>
                <w14:textFill>
                  <w14:solidFill>
                    <w14:schemeClr w14:val="tx1"/>
                  </w14:solidFill>
                </w14:textFill>
              </w:rPr>
            </w:pPr>
          </w:p>
        </w:tc>
        <w:tc>
          <w:tcPr>
            <w:tcW w:w="439" w:type="dxa"/>
            <w:vAlign w:val="center"/>
          </w:tcPr>
          <w:p w14:paraId="053DD5F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6662" w:type="dxa"/>
            <w:gridSpan w:val="2"/>
            <w:vAlign w:val="center"/>
          </w:tcPr>
          <w:p w14:paraId="1189D3C5">
            <w:pPr>
              <w:pStyle w:val="18"/>
              <w:snapToGrid w:val="0"/>
              <w:ind w:left="44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对本项目的合理化建议综合评定</w:t>
            </w:r>
          </w:p>
        </w:tc>
        <w:tc>
          <w:tcPr>
            <w:tcW w:w="851" w:type="dxa"/>
            <w:vAlign w:val="center"/>
          </w:tcPr>
          <w:p w14:paraId="0EA8900D">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50" w:type="dxa"/>
            <w:vAlign w:val="center"/>
          </w:tcPr>
          <w:p w14:paraId="5F37563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27E1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25" w:type="dxa"/>
            <w:vMerge w:val="continue"/>
            <w:vAlign w:val="center"/>
          </w:tcPr>
          <w:p w14:paraId="562F789C">
            <w:pPr>
              <w:rPr>
                <w:rFonts w:ascii="宋体" w:hAnsi="宋体" w:cs="宋体"/>
                <w:color w:val="000000" w:themeColor="text1"/>
                <w:sz w:val="20"/>
                <w:highlight w:val="none"/>
                <w14:textFill>
                  <w14:solidFill>
                    <w14:schemeClr w14:val="tx1"/>
                  </w14:solidFill>
                </w14:textFill>
              </w:rPr>
            </w:pPr>
          </w:p>
        </w:tc>
        <w:tc>
          <w:tcPr>
            <w:tcW w:w="439" w:type="dxa"/>
            <w:vAlign w:val="center"/>
          </w:tcPr>
          <w:p w14:paraId="1051B80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35" w:type="dxa"/>
            <w:vAlign w:val="center"/>
          </w:tcPr>
          <w:p w14:paraId="4A0FD143">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服务质量保证情况综合评定</w:t>
            </w:r>
          </w:p>
        </w:tc>
        <w:tc>
          <w:tcPr>
            <w:tcW w:w="4327" w:type="dxa"/>
            <w:vAlign w:val="center"/>
          </w:tcPr>
          <w:p w14:paraId="3B633615">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根据出行服务、人性化服务、与地接人员衔接服务、安排入住酒店、用餐服务等与本次疗休养有关的服务质量情况综合评定 </w:t>
            </w:r>
          </w:p>
        </w:tc>
        <w:tc>
          <w:tcPr>
            <w:tcW w:w="851" w:type="dxa"/>
            <w:vAlign w:val="center"/>
          </w:tcPr>
          <w:p w14:paraId="75216809">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5-15</w:t>
            </w:r>
          </w:p>
        </w:tc>
        <w:tc>
          <w:tcPr>
            <w:tcW w:w="850" w:type="dxa"/>
            <w:vAlign w:val="center"/>
          </w:tcPr>
          <w:p w14:paraId="09110AC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347F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25" w:type="dxa"/>
            <w:vMerge w:val="continue"/>
            <w:vAlign w:val="center"/>
          </w:tcPr>
          <w:p w14:paraId="1D25313F">
            <w:pPr>
              <w:rPr>
                <w:rFonts w:ascii="宋体" w:hAnsi="宋体" w:cs="宋体"/>
                <w:color w:val="000000" w:themeColor="text1"/>
                <w:sz w:val="20"/>
                <w:highlight w:val="none"/>
                <w14:textFill>
                  <w14:solidFill>
                    <w14:schemeClr w14:val="tx1"/>
                  </w14:solidFill>
                </w14:textFill>
              </w:rPr>
            </w:pPr>
          </w:p>
        </w:tc>
        <w:tc>
          <w:tcPr>
            <w:tcW w:w="439" w:type="dxa"/>
            <w:vAlign w:val="center"/>
          </w:tcPr>
          <w:p w14:paraId="7601CCE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35" w:type="dxa"/>
            <w:vAlign w:val="center"/>
          </w:tcPr>
          <w:p w14:paraId="2DA77017">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服务承诺及本地化服务能力综合评定</w:t>
            </w:r>
          </w:p>
        </w:tc>
        <w:tc>
          <w:tcPr>
            <w:tcW w:w="4327" w:type="dxa"/>
            <w:vAlign w:val="center"/>
          </w:tcPr>
          <w:p w14:paraId="6CFAB9B7">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根据响应人提供后续服务计划及响应人本地化等服务情况综合评定 </w:t>
            </w:r>
          </w:p>
        </w:tc>
        <w:tc>
          <w:tcPr>
            <w:tcW w:w="851" w:type="dxa"/>
            <w:vAlign w:val="center"/>
          </w:tcPr>
          <w:p w14:paraId="5B16C1CD">
            <w:pPr>
              <w:jc w:val="center"/>
              <w:rPr>
                <w:rFonts w:ascii="宋体" w:hAnsi="宋体" w:cs="宋体"/>
                <w:b/>
                <w:bCs/>
                <w:color w:val="000000" w:themeColor="text1"/>
                <w:sz w:val="2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50" w:type="dxa"/>
            <w:vAlign w:val="center"/>
          </w:tcPr>
          <w:p w14:paraId="511C1AB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2B95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425" w:type="dxa"/>
            <w:vMerge w:val="continue"/>
            <w:vAlign w:val="center"/>
          </w:tcPr>
          <w:p w14:paraId="053939AD">
            <w:pPr>
              <w:rPr>
                <w:rFonts w:ascii="宋体" w:hAnsi="宋体" w:cs="宋体"/>
                <w:color w:val="000000" w:themeColor="text1"/>
                <w:sz w:val="20"/>
                <w:highlight w:val="none"/>
                <w14:textFill>
                  <w14:solidFill>
                    <w14:schemeClr w14:val="tx1"/>
                  </w14:solidFill>
                </w14:textFill>
              </w:rPr>
            </w:pPr>
          </w:p>
        </w:tc>
        <w:tc>
          <w:tcPr>
            <w:tcW w:w="439" w:type="dxa"/>
            <w:vAlign w:val="center"/>
          </w:tcPr>
          <w:p w14:paraId="20EADAE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35" w:type="dxa"/>
            <w:vAlign w:val="center"/>
          </w:tcPr>
          <w:p w14:paraId="0CC1FEE8">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保证服务质量、突发事件处理等情况综合评定</w:t>
            </w:r>
          </w:p>
        </w:tc>
        <w:tc>
          <w:tcPr>
            <w:tcW w:w="4327" w:type="dxa"/>
            <w:vAlign w:val="center"/>
          </w:tcPr>
          <w:p w14:paraId="294D65C1">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根据响应人提供详细的突发事件处理方案、疫情应对措施、安防措施、投诉、纠纷处理方案，增值（特色）服务、优惠措施等情况综合评定</w:t>
            </w:r>
          </w:p>
        </w:tc>
        <w:tc>
          <w:tcPr>
            <w:tcW w:w="851" w:type="dxa"/>
            <w:vAlign w:val="center"/>
          </w:tcPr>
          <w:p w14:paraId="7F605395">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50" w:type="dxa"/>
            <w:vAlign w:val="center"/>
          </w:tcPr>
          <w:p w14:paraId="4665397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r>
      <w:tr w14:paraId="11B1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425" w:type="dxa"/>
            <w:vMerge w:val="continue"/>
            <w:vAlign w:val="center"/>
          </w:tcPr>
          <w:p w14:paraId="02A42353">
            <w:pPr>
              <w:rPr>
                <w:rFonts w:ascii="宋体" w:hAnsi="宋体" w:cs="宋体"/>
                <w:color w:val="000000" w:themeColor="text1"/>
                <w:sz w:val="20"/>
                <w:highlight w:val="none"/>
                <w14:textFill>
                  <w14:solidFill>
                    <w14:schemeClr w14:val="tx1"/>
                  </w14:solidFill>
                </w14:textFill>
              </w:rPr>
            </w:pPr>
          </w:p>
        </w:tc>
        <w:tc>
          <w:tcPr>
            <w:tcW w:w="439" w:type="dxa"/>
            <w:vAlign w:val="center"/>
          </w:tcPr>
          <w:p w14:paraId="33E8F2C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335" w:type="dxa"/>
            <w:vAlign w:val="center"/>
          </w:tcPr>
          <w:p w14:paraId="09190A28">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旅行社责任险</w:t>
            </w:r>
          </w:p>
        </w:tc>
        <w:tc>
          <w:tcPr>
            <w:tcW w:w="4327" w:type="dxa"/>
            <w:vAlign w:val="center"/>
          </w:tcPr>
          <w:p w14:paraId="599E95DA">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每次事故累计责任限额2000万元（含）及以上且每人责任限额150万（含）及以上得3分；每次事故累计责任限额2000万（不含）以下--1000万元（含）且每人责任限额150万元（不含）以下--100万元（含）得2分；每次事故累计责任限额1000万元（不含）以下且每人责任限额100万（不含）以下得1分。</w:t>
            </w:r>
          </w:p>
          <w:p w14:paraId="13F9EF86">
            <w:pPr>
              <w:pStyle w:val="18"/>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（响应文件中提供相关的保单。）</w:t>
            </w:r>
          </w:p>
        </w:tc>
        <w:tc>
          <w:tcPr>
            <w:tcW w:w="851" w:type="dxa"/>
            <w:vAlign w:val="center"/>
          </w:tcPr>
          <w:p w14:paraId="26885D51">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w:t>
            </w:r>
          </w:p>
        </w:tc>
        <w:tc>
          <w:tcPr>
            <w:tcW w:w="850" w:type="dxa"/>
            <w:vAlign w:val="center"/>
          </w:tcPr>
          <w:p w14:paraId="3666A51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r>
    </w:tbl>
    <w:p w14:paraId="6B0C3E2F">
      <w:pPr>
        <w:widowControl/>
        <w:rPr>
          <w:rFonts w:ascii="宋体" w:hAnsi="宋体"/>
          <w:color w:val="000000" w:themeColor="text1"/>
          <w:highlight w:val="none"/>
          <w14:textFill>
            <w14:solidFill>
              <w14:schemeClr w14:val="tx1"/>
            </w14:solidFill>
          </w14:textFill>
        </w:rPr>
      </w:pPr>
    </w:p>
    <w:p w14:paraId="1BEF5970">
      <w:pPr>
        <w:widowControl/>
        <w:spacing w:line="360" w:lineRule="auto"/>
        <w:ind w:firstLine="480" w:firstLineChars="200"/>
        <w:rPr>
          <w:rFonts w:ascii="宋体" w:hAnsi="宋体"/>
          <w:bCs/>
          <w:color w:val="000000" w:themeColor="text1"/>
          <w:sz w:val="24"/>
          <w:szCs w:val="28"/>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注：1）若交易发起人对响应人提供的证明资料要求为原件的，另行提出。</w:t>
      </w:r>
    </w:p>
    <w:p w14:paraId="7A8EB7C2">
      <w:pPr>
        <w:widowControl/>
        <w:spacing w:line="360" w:lineRule="auto"/>
        <w:ind w:firstLine="480" w:firstLineChars="200"/>
        <w:rPr>
          <w:rFonts w:ascii="宋体" w:hAnsi="宋体" w:cs="仿宋_GB2312"/>
          <w:color w:val="000000" w:themeColor="text1"/>
          <w:sz w:val="36"/>
          <w:szCs w:val="36"/>
          <w:highlight w:val="none"/>
          <w14:textFill>
            <w14:solidFill>
              <w14:schemeClr w14:val="tx1"/>
            </w14:solidFill>
          </w14:textFill>
        </w:rPr>
      </w:pPr>
      <w:r>
        <w:rPr>
          <w:rFonts w:hint="eastAsia" w:ascii="宋体" w:hAnsi="宋体"/>
          <w:bCs/>
          <w:color w:val="000000" w:themeColor="text1"/>
          <w:sz w:val="24"/>
          <w:szCs w:val="28"/>
          <w:highlight w:val="none"/>
          <w14:textFill>
            <w14:solidFill>
              <w14:schemeClr w14:val="tx1"/>
            </w14:solidFill>
          </w14:textFill>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5026F3D7">
      <w:pPr>
        <w:spacing w:line="280" w:lineRule="exact"/>
        <w:rPr>
          <w:rFonts w:ascii="宋体" w:hAnsi="宋体" w:cs="宋体"/>
          <w:color w:val="000000" w:themeColor="text1"/>
          <w:kern w:val="0"/>
          <w:sz w:val="24"/>
          <w:highlight w:val="none"/>
          <w14:textFill>
            <w14:solidFill>
              <w14:schemeClr w14:val="tx1"/>
            </w14:solidFill>
          </w14:textFill>
        </w:rPr>
      </w:pPr>
    </w:p>
    <w:p w14:paraId="73F914AA">
      <w:pPr>
        <w:spacing w:line="360" w:lineRule="auto"/>
        <w:ind w:firstLine="482" w:firstLineChars="2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其他需说明事项</w:t>
      </w:r>
    </w:p>
    <w:p w14:paraId="18A3D3B3">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响应人在《响应人基本情况表》须注明成交通知书邮寄地址、接收人、联系电话。</w:t>
      </w:r>
    </w:p>
    <w:p w14:paraId="1C30D733">
      <w:pPr>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4</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解释权</w:t>
      </w:r>
    </w:p>
    <w:p w14:paraId="03D95B3E">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专用条款与通用条款有矛盾之处，以专用条款为准。凡涉及本次交易文件的解释权属于</w:t>
      </w:r>
      <w:r>
        <w:rPr>
          <w:rFonts w:hint="eastAsia" w:ascii="宋体" w:hAnsi="宋体"/>
          <w:color w:val="000000" w:themeColor="text1"/>
          <w:sz w:val="24"/>
          <w:highlight w:val="none"/>
          <w:u w:val="single"/>
          <w14:textFill>
            <w14:solidFill>
              <w14:schemeClr w14:val="tx1"/>
            </w14:solidFill>
          </w14:textFill>
        </w:rPr>
        <w:t>交易发起人与交易组织机构</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bookmarkStart w:id="42" w:name="_Toc331323741"/>
    </w:p>
    <w:bookmarkEnd w:id="42"/>
    <w:p w14:paraId="204CC473">
      <w:pPr>
        <w:pStyle w:val="3"/>
        <w:ind w:firstLine="3213"/>
        <w:jc w:val="both"/>
        <w:rPr>
          <w:rFonts w:ascii="宋体" w:hAnsi="宋体"/>
          <w:color w:val="000000" w:themeColor="text1"/>
          <w:sz w:val="24"/>
          <w:highlight w:val="none"/>
          <w14:textFill>
            <w14:solidFill>
              <w14:schemeClr w14:val="tx1"/>
            </w14:solidFill>
          </w14:textFill>
        </w:rPr>
      </w:pPr>
      <w:r>
        <w:rPr>
          <w:rFonts w:hint="eastAsia"/>
          <w:b w:val="0"/>
          <w:color w:val="000000" w:themeColor="text1"/>
          <w:highlight w:val="none"/>
          <w14:textFill>
            <w14:solidFill>
              <w14:schemeClr w14:val="tx1"/>
            </w14:solidFill>
          </w14:textFill>
        </w:rPr>
        <w:t>第三部分  采购需求</w:t>
      </w:r>
    </w:p>
    <w:p w14:paraId="53C20185">
      <w:pPr>
        <w:autoSpaceDE w:val="0"/>
        <w:autoSpaceDN w:val="0"/>
        <w:adjustRightInd w:val="0"/>
        <w:spacing w:line="440" w:lineRule="exact"/>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一、采购一览表</w:t>
      </w:r>
    </w:p>
    <w:p w14:paraId="665122F6">
      <w:pPr>
        <w:spacing w:line="360" w:lineRule="auto"/>
        <w:ind w:firstLine="240" w:firstLineChars="1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w:t>
      </w:r>
      <w:r>
        <w:rPr>
          <w:rFonts w:hint="eastAsia" w:ascii="宋体" w:hAnsi="宋体" w:cs="宋体"/>
          <w:color w:val="000000" w:themeColor="text1"/>
          <w:sz w:val="24"/>
          <w:highlight w:val="none"/>
          <w:u w:val="single"/>
          <w14:textFill>
            <w14:solidFill>
              <w14:schemeClr w14:val="tx1"/>
            </w14:solidFill>
          </w14:textFill>
        </w:rPr>
        <w:t>1</w:t>
      </w:r>
    </w:p>
    <w:tbl>
      <w:tblPr>
        <w:tblStyle w:val="34"/>
        <w:tblW w:w="0" w:type="auto"/>
        <w:tblInd w:w="0" w:type="dxa"/>
        <w:tblLayout w:type="fixed"/>
        <w:tblCellMar>
          <w:top w:w="0" w:type="dxa"/>
          <w:left w:w="0" w:type="dxa"/>
          <w:bottom w:w="0" w:type="dxa"/>
          <w:right w:w="0" w:type="dxa"/>
        </w:tblCellMar>
      </w:tblPr>
      <w:tblGrid>
        <w:gridCol w:w="671"/>
        <w:gridCol w:w="3443"/>
        <w:gridCol w:w="2191"/>
        <w:gridCol w:w="784"/>
        <w:gridCol w:w="811"/>
        <w:gridCol w:w="904"/>
      </w:tblGrid>
      <w:tr w14:paraId="0CE77FFD">
        <w:tblPrEx>
          <w:tblCellMar>
            <w:top w:w="0" w:type="dxa"/>
            <w:left w:w="0" w:type="dxa"/>
            <w:bottom w:w="0" w:type="dxa"/>
            <w:right w:w="0" w:type="dxa"/>
          </w:tblCellMar>
        </w:tblPrEx>
        <w:trPr>
          <w:cantSplit/>
          <w:trHeight w:val="658"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4B8BA6">
            <w:pPr>
              <w:jc w:val="center"/>
              <w:rPr>
                <w:rFonts w:ascii="宋体" w:hAnsi="宋体"/>
                <w:color w:val="000000" w:themeColor="text1"/>
                <w:sz w:val="24"/>
                <w:highlight w:val="none"/>
                <w14:textFill>
                  <w14:solidFill>
                    <w14:schemeClr w14:val="tx1"/>
                  </w14:solidFill>
                </w14:textFill>
              </w:rPr>
            </w:pPr>
            <w:bookmarkStart w:id="43" w:name="_二期网络工程项目改造需求"/>
            <w:bookmarkEnd w:id="43"/>
            <w:bookmarkStart w:id="44" w:name="_Toc331323742"/>
            <w:r>
              <w:rPr>
                <w:rFonts w:hint="eastAsia" w:ascii="宋体" w:hAnsi="宋体" w:cs="宋体"/>
                <w:color w:val="000000" w:themeColor="text1"/>
                <w:sz w:val="24"/>
                <w:highlight w:val="none"/>
                <w14:textFill>
                  <w14:solidFill>
                    <w14:schemeClr w14:val="tx1"/>
                  </w14:solidFill>
                </w14:textFill>
              </w:rPr>
              <w:t>序号</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3BFFFE">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采购内容</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CC7CCC">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规格型号与参数</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E4C8AA">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03AFE1">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904" w:type="dxa"/>
            <w:tcBorders>
              <w:top w:val="single" w:color="auto" w:sz="4" w:space="0"/>
              <w:left w:val="nil"/>
              <w:bottom w:val="single" w:color="auto" w:sz="4" w:space="0"/>
              <w:right w:val="single" w:color="auto" w:sz="4" w:space="0"/>
            </w:tcBorders>
            <w:vAlign w:val="center"/>
          </w:tcPr>
          <w:p w14:paraId="6C878991">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5E5AC476">
        <w:tblPrEx>
          <w:tblCellMar>
            <w:top w:w="0" w:type="dxa"/>
            <w:left w:w="0" w:type="dxa"/>
            <w:bottom w:w="0" w:type="dxa"/>
            <w:right w:w="0" w:type="dxa"/>
          </w:tblCellMar>
        </w:tblPrEx>
        <w:trPr>
          <w:cantSplit/>
          <w:trHeight w:val="823"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C1E078">
            <w:pPr>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926350">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萧山区闻堰小学2025年暑期教师疗休养采购项目</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ED219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详见采购需求</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00C618">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569318">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   </w:t>
            </w:r>
          </w:p>
        </w:tc>
        <w:tc>
          <w:tcPr>
            <w:tcW w:w="904" w:type="dxa"/>
            <w:tcBorders>
              <w:top w:val="single" w:color="auto" w:sz="4" w:space="0"/>
              <w:left w:val="nil"/>
              <w:bottom w:val="single" w:color="auto" w:sz="4" w:space="0"/>
              <w:right w:val="single" w:color="auto" w:sz="4" w:space="0"/>
            </w:tcBorders>
            <w:vAlign w:val="center"/>
          </w:tcPr>
          <w:p w14:paraId="6DDF7611">
            <w:pPr>
              <w:jc w:val="center"/>
              <w:rPr>
                <w:rFonts w:ascii="宋体" w:hAnsi="宋体"/>
                <w:color w:val="000000" w:themeColor="text1"/>
                <w:sz w:val="24"/>
                <w:highlight w:val="none"/>
                <w14:textFill>
                  <w14:solidFill>
                    <w14:schemeClr w14:val="tx1"/>
                  </w14:solidFill>
                </w14:textFill>
              </w:rPr>
            </w:pPr>
          </w:p>
        </w:tc>
      </w:tr>
    </w:tbl>
    <w:p w14:paraId="6701DB1F">
      <w:pPr>
        <w:spacing w:line="46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注：1、成交单位最终费用按实际人数（经业主认可后）与响应单价（单价不作调整）的乘积计算，供应商应自行承担报价风险。 </w:t>
      </w:r>
    </w:p>
    <w:p w14:paraId="44C3FC19">
      <w:pPr>
        <w:spacing w:line="46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2、该项目最高限价为：3000 元/人，响应报价超过最高限价按无效响应处理。</w:t>
      </w:r>
    </w:p>
    <w:p w14:paraId="717B3126">
      <w:pPr>
        <w:spacing w:line="460" w:lineRule="exact"/>
        <w:rPr>
          <w:rFonts w:ascii="宋体" w:hAnsi="宋体"/>
          <w:b/>
          <w:color w:val="000000" w:themeColor="text1"/>
          <w:sz w:val="28"/>
          <w:szCs w:val="28"/>
          <w:highlight w:val="none"/>
          <w14:textFill>
            <w14:solidFill>
              <w14:schemeClr w14:val="tx1"/>
            </w14:solidFill>
          </w14:textFill>
        </w:rPr>
      </w:pPr>
    </w:p>
    <w:p w14:paraId="4EA354E3">
      <w:pPr>
        <w:autoSpaceDE w:val="0"/>
        <w:autoSpaceDN w:val="0"/>
        <w:spacing w:line="468"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二、交易要求</w:t>
      </w:r>
    </w:p>
    <w:p w14:paraId="54531901">
      <w:pPr>
        <w:pStyle w:val="2"/>
        <w:ind w:left="21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（一）服务内容及要求：</w:t>
      </w:r>
    </w:p>
    <w:p w14:paraId="1EDB62E2">
      <w:pPr>
        <w:ind w:firstLine="720" w:firstLineChars="3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出行时间：分批次出行，具体出行时间及人数等以交易人为准。</w:t>
      </w:r>
    </w:p>
    <w:p w14:paraId="3BCFC162">
      <w:pPr>
        <w:pStyle w:val="17"/>
        <w:ind w:firstLine="72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目的地</w:t>
      </w:r>
      <w:r>
        <w:rPr>
          <w:color w:val="000000" w:themeColor="text1"/>
          <w:highlight w:val="none"/>
          <w14:textFill>
            <w14:solidFill>
              <w14:schemeClr w14:val="tx1"/>
            </w14:solidFill>
          </w14:textFill>
        </w:rPr>
        <w:t>：</w:t>
      </w:r>
    </w:p>
    <w:p w14:paraId="09190C97">
      <w:pPr>
        <w:ind w:firstLine="720" w:firstLineChars="3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14:textFill>
            <w14:solidFill>
              <w14:schemeClr w14:val="tx1"/>
            </w14:solidFill>
          </w14:textFill>
        </w:rPr>
        <w:t>线路一：</w:t>
      </w:r>
      <w:r>
        <w:rPr>
          <w:rFonts w:hint="eastAsia"/>
          <w:color w:val="000000" w:themeColor="text1"/>
          <w:sz w:val="24"/>
          <w:highlight w:val="none"/>
          <w:lang w:val="en-US" w:eastAsia="zh-CN"/>
          <w14:textFill>
            <w14:solidFill>
              <w14:schemeClr w14:val="tx1"/>
            </w14:solidFill>
          </w14:textFill>
        </w:rPr>
        <w:t>萧山-</w:t>
      </w:r>
      <w:r>
        <w:rPr>
          <w:rFonts w:hint="eastAsia"/>
          <w:color w:val="000000" w:themeColor="text1"/>
          <w:sz w:val="24"/>
          <w:highlight w:val="none"/>
          <w14:textFill>
            <w14:solidFill>
              <w14:schemeClr w14:val="tx1"/>
            </w14:solidFill>
          </w14:textFill>
        </w:rPr>
        <w:t>四川康定</w:t>
      </w:r>
      <w:r>
        <w:rPr>
          <w:rFonts w:hint="eastAsia"/>
          <w:color w:val="000000" w:themeColor="text1"/>
          <w:sz w:val="24"/>
          <w:highlight w:val="none"/>
          <w:lang w:val="en-US" w:eastAsia="zh-CN"/>
          <w14:textFill>
            <w14:solidFill>
              <w14:schemeClr w14:val="tx1"/>
            </w14:solidFill>
          </w14:textFill>
        </w:rPr>
        <w:t>-萧山</w:t>
      </w:r>
      <w:r>
        <w:rPr>
          <w:rFonts w:hint="eastAsia"/>
          <w:color w:val="000000" w:themeColor="text1"/>
          <w:sz w:val="24"/>
          <w:highlight w:val="none"/>
          <w14:textFill>
            <w14:solidFill>
              <w14:schemeClr w14:val="tx1"/>
            </w14:solidFill>
          </w14:textFill>
        </w:rPr>
        <w:t>，5日疗休养行程</w:t>
      </w:r>
    </w:p>
    <w:p w14:paraId="2FDD5EE3">
      <w:pPr>
        <w:ind w:firstLine="720" w:firstLineChars="300"/>
        <w:rPr>
          <w:rFonts w:hint="eastAsia"/>
          <w:color w:val="000000" w:themeColor="text1"/>
          <w:sz w:val="24"/>
          <w:highlight w:val="none"/>
          <w:lang w:val="en-US"/>
          <w14:textFill>
            <w14:solidFill>
              <w14:schemeClr w14:val="tx1"/>
            </w14:solidFill>
          </w14:textFill>
        </w:rPr>
      </w:pPr>
      <w:r>
        <w:rPr>
          <w:rFonts w:hint="eastAsia"/>
          <w:color w:val="000000" w:themeColor="text1"/>
          <w:sz w:val="24"/>
          <w:highlight w:val="none"/>
          <w:lang w:val="en-US"/>
          <w14:textFill>
            <w14:solidFill>
              <w14:schemeClr w14:val="tx1"/>
            </w14:solidFill>
          </w14:textFill>
        </w:rPr>
        <w:t>线路二：</w:t>
      </w:r>
      <w:r>
        <w:rPr>
          <w:rFonts w:hint="eastAsia"/>
          <w:color w:val="000000" w:themeColor="text1"/>
          <w:sz w:val="24"/>
          <w:highlight w:val="none"/>
          <w:lang w:val="en-US" w:eastAsia="zh-CN"/>
          <w14:textFill>
            <w14:solidFill>
              <w14:schemeClr w14:val="tx1"/>
            </w14:solidFill>
          </w14:textFill>
        </w:rPr>
        <w:t>萧山-丽水-萧山</w:t>
      </w:r>
      <w:r>
        <w:rPr>
          <w:rFonts w:hint="eastAsia"/>
          <w:color w:val="000000" w:themeColor="text1"/>
          <w:sz w:val="24"/>
          <w:highlight w:val="none"/>
          <w14:textFill>
            <w14:solidFill>
              <w14:schemeClr w14:val="tx1"/>
            </w14:solidFill>
          </w14:textFill>
        </w:rPr>
        <w:t xml:space="preserve"> ，5日疗休养</w:t>
      </w:r>
      <w:r>
        <w:rPr>
          <w:rFonts w:hint="eastAsia"/>
          <w:color w:val="000000" w:themeColor="text1"/>
          <w:sz w:val="24"/>
          <w:highlight w:val="none"/>
          <w:lang w:val="en-US"/>
          <w14:textFill>
            <w14:solidFill>
              <w14:schemeClr w14:val="tx1"/>
            </w14:solidFill>
          </w14:textFill>
        </w:rPr>
        <w:t>行程。</w:t>
      </w:r>
    </w:p>
    <w:p w14:paraId="63B5F404">
      <w:pPr>
        <w:ind w:firstLine="720" w:firstLineChars="3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线路三：</w:t>
      </w:r>
      <w:r>
        <w:rPr>
          <w:rFonts w:hint="eastAsia"/>
          <w:color w:val="000000" w:themeColor="text1"/>
          <w:sz w:val="24"/>
          <w:highlight w:val="none"/>
          <w:lang w:val="en-US" w:eastAsia="zh-CN"/>
          <w14:textFill>
            <w14:solidFill>
              <w14:schemeClr w14:val="tx1"/>
            </w14:solidFill>
          </w14:textFill>
        </w:rPr>
        <w:t>萧山-湖州安吉-萧山</w:t>
      </w:r>
      <w:r>
        <w:rPr>
          <w:rFonts w:hint="eastAsia"/>
          <w:color w:val="000000" w:themeColor="text1"/>
          <w:sz w:val="24"/>
          <w:highlight w:val="none"/>
          <w14:textFill>
            <w14:solidFill>
              <w14:schemeClr w14:val="tx1"/>
            </w14:solidFill>
          </w14:textFill>
        </w:rPr>
        <w:t>，5日疗休养行程。</w:t>
      </w:r>
    </w:p>
    <w:p w14:paraId="61E8FFCC">
      <w:pPr>
        <w:ind w:firstLine="720" w:firstLineChars="3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线路</w:t>
      </w:r>
      <w:r>
        <w:rPr>
          <w:rFonts w:hint="eastAsia"/>
          <w:color w:val="000000" w:themeColor="text1"/>
          <w:sz w:val="24"/>
          <w:highlight w:val="none"/>
          <w:lang w:val="en-US" w:eastAsia="zh-CN"/>
          <w14:textFill>
            <w14:solidFill>
              <w14:schemeClr w14:val="tx1"/>
            </w14:solidFill>
          </w14:textFill>
        </w:rPr>
        <w:t>四</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萧山-临安-萧山</w:t>
      </w:r>
      <w:r>
        <w:rPr>
          <w:rFonts w:hint="eastAsia"/>
          <w:color w:val="000000" w:themeColor="text1"/>
          <w:sz w:val="24"/>
          <w:highlight w:val="none"/>
          <w14:textFill>
            <w14:solidFill>
              <w14:schemeClr w14:val="tx1"/>
            </w14:solidFill>
          </w14:textFill>
        </w:rPr>
        <w:t>，5日疗休养行程。</w:t>
      </w:r>
    </w:p>
    <w:p w14:paraId="3B6959DC">
      <w:pPr>
        <w:pStyle w:val="2"/>
        <w:rPr>
          <w:rFonts w:hAnsi="Arial" w:cs="Arial"/>
          <w:b w:val="0"/>
          <w:snapToGrid w:val="0"/>
          <w:color w:val="000000" w:themeColor="text1"/>
          <w:szCs w:val="21"/>
          <w:highlight w:val="none"/>
          <w14:textFill>
            <w14:solidFill>
              <w14:schemeClr w14:val="tx1"/>
            </w14:solidFill>
          </w14:textFill>
        </w:rPr>
      </w:pPr>
    </w:p>
    <w:p w14:paraId="539FF080">
      <w:pPr>
        <w:widowControl/>
        <w:ind w:firstLine="240" w:firstLineChars="100"/>
        <w:jc w:val="left"/>
        <w:rPr>
          <w:rFonts w:ascii="宋体" w:hAnsi="Arial" w:cs="Arial"/>
          <w:snapToGrid w:val="0"/>
          <w:color w:val="000000" w:themeColor="text1"/>
          <w:spacing w:val="-16"/>
          <w:sz w:val="24"/>
          <w:szCs w:val="21"/>
          <w:highlight w:val="none"/>
          <w:lang w:val="zh-CN"/>
          <w14:textFill>
            <w14:solidFill>
              <w14:schemeClr w14:val="tx1"/>
            </w14:solidFill>
          </w14:textFill>
        </w:rPr>
      </w:pPr>
      <w:r>
        <w:rPr>
          <w:rFonts w:hint="eastAsia"/>
          <w:color w:val="000000" w:themeColor="text1"/>
          <w:sz w:val="24"/>
          <w:highlight w:val="none"/>
          <w14:textFill>
            <w14:solidFill>
              <w14:schemeClr w14:val="tx1"/>
            </w14:solidFill>
          </w14:textFill>
        </w:rPr>
        <w:t>（出行时间在</w:t>
      </w:r>
      <w:r>
        <w:rPr>
          <w:rFonts w:hint="eastAsia"/>
          <w:color w:val="000000" w:themeColor="text1"/>
          <w:sz w:val="24"/>
          <w:highlight w:val="none"/>
          <w:lang w:eastAsia="zh-CN"/>
          <w14:textFill>
            <w14:solidFill>
              <w14:schemeClr w14:val="tx1"/>
            </w14:solidFill>
          </w14:textFill>
        </w:rPr>
        <w:t>2025</w:t>
      </w:r>
      <w:r>
        <w:rPr>
          <w:rFonts w:hint="eastAsia"/>
          <w:color w:val="000000" w:themeColor="text1"/>
          <w:sz w:val="24"/>
          <w:highlight w:val="none"/>
          <w:lang w:val="en-US" w:eastAsia="zh-CN"/>
          <w14:textFill>
            <w14:solidFill>
              <w14:schemeClr w14:val="tx1"/>
            </w14:solidFill>
          </w14:textFill>
        </w:rPr>
        <w:t>年</w:t>
      </w:r>
      <w:r>
        <w:rPr>
          <w:rFonts w:hint="eastAsia"/>
          <w:color w:val="000000" w:themeColor="text1"/>
          <w:sz w:val="24"/>
          <w:highlight w:val="none"/>
          <w14:textFill>
            <w14:solidFill>
              <w14:schemeClr w14:val="tx1"/>
            </w14:solidFill>
          </w14:textFill>
        </w:rPr>
        <w:t>7月</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8月22</w:t>
      </w:r>
      <w:r>
        <w:rPr>
          <w:rFonts w:hint="eastAsia"/>
          <w:color w:val="000000" w:themeColor="text1"/>
          <w:sz w:val="24"/>
          <w:highlight w:val="none"/>
          <w14:textFill>
            <w14:solidFill>
              <w14:schemeClr w14:val="tx1"/>
            </w14:solidFill>
          </w14:textFill>
        </w:rPr>
        <w:t>日 ，具体出行时间及人数等以交易人为准）</w:t>
      </w:r>
    </w:p>
    <w:p w14:paraId="74622E6E">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2、预算金额：五天四晚不超过</w:t>
      </w:r>
      <w:r>
        <w:rPr>
          <w:rFonts w:ascii="宋体" w:hAnsi="宋体" w:cs="宋体"/>
          <w:color w:val="000000" w:themeColor="text1"/>
          <w:sz w:val="24"/>
          <w:highlight w:val="none"/>
          <w14:textFill>
            <w14:solidFill>
              <w14:schemeClr w14:val="tx1"/>
            </w14:solidFill>
          </w14:textFill>
        </w:rPr>
        <w:t>3000</w:t>
      </w:r>
      <w:r>
        <w:rPr>
          <w:rFonts w:hint="eastAsia" w:ascii="宋体" w:hAnsi="宋体" w:cs="宋体"/>
          <w:color w:val="000000" w:themeColor="text1"/>
          <w:sz w:val="24"/>
          <w:highlight w:val="none"/>
          <w14:textFill>
            <w14:solidFill>
              <w14:schemeClr w14:val="tx1"/>
            </w14:solidFill>
          </w14:textFill>
        </w:rPr>
        <w:t>元/人，不含大交通（火车或飞机）费用。响应报价：本项目各供应商须考虑出行时间、人数、目的地、淡旺季等情况，按照每人次报价，自行承担报价风险。</w:t>
      </w:r>
    </w:p>
    <w:p w14:paraId="4810A19A">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3、响应报价包括响应人完成本项目所需的一切费用 ，包括但不限于：交通费（含燃油费、过路费、景点交通费等）、住宿费、伙食费、景点门票、导游费、保险费及涉及的其他所有费用、税金。要求不进任何购物店,不组织任何自费项目。若遇本次交易参考线路之外的线路方案，由采购人与供应商根据市场价自行协商确定。</w:t>
      </w:r>
    </w:p>
    <w:p w14:paraId="3B728D70">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4、线路安排：要求行程安排轻松合理，休闲休养相结合。</w:t>
      </w:r>
    </w:p>
    <w:p w14:paraId="6D85487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 </w:t>
      </w:r>
    </w:p>
    <w:p w14:paraId="28746970">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6、住宿：住宿综合环境好，要求四星级（类似同等条件）及以上（需有免费自助早餐），如产生单房差则不予补差。线路行程至少包含一个4A级及以上景点；要求标注每天住宿宾馆的名称、星级和具体地址。</w:t>
      </w:r>
    </w:p>
    <w:p w14:paraId="44BB4F5D">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7、餐饮：早餐为酒店早餐，中餐不低于70元/人，晚餐不低于</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0元/人，最后一晚150餐厅必须有接待资质、环境好的饭店就餐，允许团队等额退餐，自己点菜。中晚餐每桌提供一瓶可乐一瓶雪碧（均为1.5升）。</w:t>
      </w:r>
    </w:p>
    <w:p w14:paraId="5821BCA3">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8、要求全程提供持证全陪、地陪导游服务（全陪导游须持有导游证3年以上，出团前1周提交疗休养方审核）。</w:t>
      </w:r>
    </w:p>
    <w:p w14:paraId="5BB2DCD7">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9、要求为参加休养职工提供每人每天1瓶矿泉水。</w:t>
      </w:r>
    </w:p>
    <w:p w14:paraId="39D5B57A">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保险：购买疗休养过程中的各类保险（包括：旅行社责任险，旅游意外伤害保险等），做到应保则保，响应文件中应说明具体险种和单人保额。其中，旅行社责任险不少于100万元/人、旅游安全人身意外伤害保险不少于30万元/人。实际实施过程中，旅行社必须提供每批休养人员购买保险的原始凭证的复印件给采购人。</w:t>
      </w:r>
    </w:p>
    <w:p w14:paraId="6A35541E">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11、出发前，疗养行程、注意事项人手1份。</w:t>
      </w:r>
    </w:p>
    <w:p w14:paraId="3B7C5BA1">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针对疗休养活动中可能发生的突发状况、意外情况等（如：投诉、纠纷、安全事故等），响应人须制定周密、可靠的安全保障和突发事件应急预案，确保在各种情况下参团人员的人身及财产安全，响应人应在响应文件中提供详细说明。</w:t>
      </w:r>
    </w:p>
    <w:p w14:paraId="2BCD7A15">
      <w:pPr>
        <w:spacing w:line="440" w:lineRule="exact"/>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2、商务需求：</w:t>
      </w:r>
    </w:p>
    <w:p w14:paraId="3C949E7F">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2.1服务期限：以采购人要求为准。</w:t>
      </w:r>
    </w:p>
    <w:p w14:paraId="3C863DEE">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2.2服务质量承诺：</w:t>
      </w:r>
    </w:p>
    <w:p w14:paraId="5644F2F3">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（1）为确保服务质量及与采购人沟通联络，成交供应商须设置兼职主管，负责对承包项目、范围、服务质量的检查监督及与采购人日常业务联系；</w:t>
      </w:r>
    </w:p>
    <w:p w14:paraId="1BED127C">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（2）成交供应商需提供员工管理服务规范要求及确保服务质量达标的具体措施；</w:t>
      </w:r>
    </w:p>
    <w:p w14:paraId="452A8AAB">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（3）成交供应商需向采购人提供服务承诺；</w:t>
      </w:r>
    </w:p>
    <w:p w14:paraId="792D31D1">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（4）成交供应商须主动接受采购人的指导、检查、监督及协调；</w:t>
      </w:r>
    </w:p>
    <w:p w14:paraId="1E427B86">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（5）现有服务范围内，由于调整而增加的工作量，不再增加费用；</w:t>
      </w:r>
    </w:p>
    <w:p w14:paraId="5A1E5705">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（6）因成交供应商工作人员的失误造成的损失由成交供应商负责。</w:t>
      </w:r>
    </w:p>
    <w:p w14:paraId="2B231BDD">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（7）成交供应商员工在工作及服务期间发生的一切安全事故由成交供应商负责，与采购人无关。</w:t>
      </w:r>
    </w:p>
    <w:p w14:paraId="59D5BADF">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2.3付款方式</w:t>
      </w:r>
    </w:p>
    <w:p w14:paraId="309F5577">
      <w:pPr>
        <w:spacing w:line="440" w:lineRule="exact"/>
        <w:ind w:firstLine="360" w:firstLineChars="15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分批支付，最终结算价按照实际参加人数*响应单价按实结算，大交通费按实结算，经甲方确认后一个月内支付全款。</w:t>
      </w:r>
    </w:p>
    <w:p w14:paraId="40119103">
      <w:pPr>
        <w:spacing w:line="360" w:lineRule="auto"/>
        <w:rPr>
          <w:rFonts w:ascii="宋体" w:hAnsi="宋体"/>
          <w:b/>
          <w:color w:val="000000" w:themeColor="text1"/>
          <w:sz w:val="24"/>
          <w:highlight w:val="none"/>
          <w14:textFill>
            <w14:solidFill>
              <w14:schemeClr w14:val="tx1"/>
            </w14:solidFill>
          </w14:textFill>
        </w:rPr>
      </w:pPr>
    </w:p>
    <w:p w14:paraId="3DC46CBB">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1.除交易文件标注的参考品牌外，欢迎其它能满足本项目技术需求且性能与所注品牌相当的产</w:t>
      </w:r>
      <w:r>
        <w:rPr>
          <w:rFonts w:hint="eastAsia" w:ascii="宋体" w:hAnsi="宋体"/>
          <w:color w:val="000000" w:themeColor="text1"/>
          <w:sz w:val="24"/>
          <w:highlight w:val="none"/>
          <w14:textFill>
            <w14:solidFill>
              <w14:schemeClr w14:val="tx1"/>
            </w14:solidFill>
          </w14:textFill>
        </w:rPr>
        <w:t>标</w:t>
      </w:r>
      <w:r>
        <w:rPr>
          <w:rFonts w:hint="eastAsia" w:ascii="宋体" w:hAnsi="宋体"/>
          <w:bCs/>
          <w:color w:val="000000" w:themeColor="text1"/>
          <w:sz w:val="24"/>
          <w:highlight w:val="none"/>
          <w14:textFill>
            <w14:solidFill>
              <w14:schemeClr w14:val="tx1"/>
            </w14:solidFill>
          </w14:textFill>
        </w:rPr>
        <w:t>品参与。</w:t>
      </w:r>
    </w:p>
    <w:p w14:paraId="19D9974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2.如有附图，仅作参考。</w:t>
      </w:r>
    </w:p>
    <w:p w14:paraId="6ECB45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3.交易文件中打</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内容为实质性要求，不允许有负偏离，否则将以涉及无效响应条款作无效响应处理。</w:t>
      </w:r>
    </w:p>
    <w:p w14:paraId="1A0BA3D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4、成交供应商所提供的货物、服务须与响应承诺一致，不得以次充好、偷工减料，若在项目验收中发现有上述情况，将向有关部门举报，根据相关规定进行处理。</w:t>
      </w:r>
    </w:p>
    <w:p w14:paraId="17BCBDF3">
      <w:pPr>
        <w:pStyle w:val="3"/>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br w:type="page"/>
      </w:r>
      <w:r>
        <w:rPr>
          <w:rFonts w:hint="eastAsia"/>
          <w:b w:val="0"/>
          <w:color w:val="000000" w:themeColor="text1"/>
          <w:highlight w:val="none"/>
          <w14:textFill>
            <w14:solidFill>
              <w14:schemeClr w14:val="tx1"/>
            </w14:solidFill>
          </w14:textFill>
        </w:rPr>
        <w:t>第四部分  响应文件格式</w:t>
      </w:r>
      <w:bookmarkEnd w:id="44"/>
    </w:p>
    <w:p w14:paraId="65B8850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一、响应函</w:t>
      </w:r>
    </w:p>
    <w:p w14:paraId="29466969">
      <w:pPr>
        <w:spacing w:line="360" w:lineRule="auto"/>
        <w:rPr>
          <w:rFonts w:ascii="宋体" w:hAnsi="宋体"/>
          <w:color w:val="000000" w:themeColor="text1"/>
          <w:sz w:val="24"/>
          <w:highlight w:val="none"/>
          <w14:textFill>
            <w14:solidFill>
              <w14:schemeClr w14:val="tx1"/>
            </w14:solidFill>
          </w14:textFill>
        </w:rPr>
      </w:pPr>
    </w:p>
    <w:p w14:paraId="4C7283C5">
      <w:pPr>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p>
    <w:p w14:paraId="7DD4533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根据已收到的贵方编号为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项目的公开竞争文件，遵照《中华人民政府采购法》等有关规定，我方经研究上述公开竞争文件的各项条款后，愿以以下报价承担公开竞争文件要求的采购任务。</w:t>
      </w:r>
    </w:p>
    <w:p w14:paraId="67FF9CD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标项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响应单价（大写）：</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元/人次（RMB：¥</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元/人次）</w:t>
      </w:r>
    </w:p>
    <w:p w14:paraId="2039968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我方已详细审阅全部公开竞争文件，包括补疑文件及有关附件，完全接受本次采购公开竞争文件的各项内容。</w:t>
      </w:r>
    </w:p>
    <w:p w14:paraId="403FF69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我方自愿参加本次采购的响应，并保证响应文件中所列举的响应报价、公司基本资料及相关资料真实合法。</w:t>
      </w:r>
    </w:p>
    <w:p w14:paraId="314FAAC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如果我方成交，我方保证按照公开竞争文件要求、响应文件承诺签订并履行合同。</w:t>
      </w:r>
    </w:p>
    <w:p w14:paraId="6E48BAF0">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CF416BB">
      <w:pPr>
        <w:spacing w:line="360" w:lineRule="auto"/>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  应  人（加盖公章）：</w:t>
      </w:r>
    </w:p>
    <w:p w14:paraId="0A78C5EB">
      <w:pPr>
        <w:spacing w:line="360" w:lineRule="auto"/>
        <w:ind w:firstLine="540" w:firstLineChars="225"/>
        <w:rPr>
          <w:rFonts w:ascii="宋体" w:hAnsi="宋体"/>
          <w:color w:val="000000" w:themeColor="text1"/>
          <w:sz w:val="24"/>
          <w:highlight w:val="none"/>
          <w14:textFill>
            <w14:solidFill>
              <w14:schemeClr w14:val="tx1"/>
            </w14:solidFill>
          </w14:textFill>
        </w:rPr>
      </w:pPr>
    </w:p>
    <w:p w14:paraId="59EF1712">
      <w:pPr>
        <w:spacing w:line="360" w:lineRule="auto"/>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w:t>
      </w:r>
    </w:p>
    <w:p w14:paraId="3D125EC7">
      <w:pPr>
        <w:spacing w:line="360" w:lineRule="auto"/>
        <w:ind w:firstLine="5220" w:firstLineChars="2175"/>
        <w:rPr>
          <w:rFonts w:ascii="宋体" w:hAnsi="宋体"/>
          <w:color w:val="000000" w:themeColor="text1"/>
          <w:sz w:val="24"/>
          <w:highlight w:val="none"/>
          <w14:textFill>
            <w14:solidFill>
              <w14:schemeClr w14:val="tx1"/>
            </w14:solidFill>
          </w14:textFill>
        </w:rPr>
      </w:pPr>
    </w:p>
    <w:p w14:paraId="23E31F7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05B6FE07">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FA228F0">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2F82FC1">
      <w:pPr>
        <w:spacing w:line="360" w:lineRule="auto"/>
        <w:ind w:firstLine="480" w:firstLineChars="200"/>
        <w:rPr>
          <w:rFonts w:ascii="宋体" w:hAnsi="宋体"/>
          <w:color w:val="000000" w:themeColor="text1"/>
          <w:sz w:val="24"/>
          <w:highlight w:val="none"/>
          <w14:textFill>
            <w14:solidFill>
              <w14:schemeClr w14:val="tx1"/>
            </w14:solidFill>
          </w14:textFill>
        </w:rPr>
      </w:pPr>
    </w:p>
    <w:p w14:paraId="0FBCF9C7">
      <w:pPr>
        <w:spacing w:line="360" w:lineRule="auto"/>
        <w:ind w:firstLine="480" w:firstLineChars="200"/>
        <w:rPr>
          <w:rFonts w:ascii="宋体" w:hAnsi="宋体"/>
          <w:color w:val="000000" w:themeColor="text1"/>
          <w:sz w:val="24"/>
          <w:highlight w:val="none"/>
          <w14:textFill>
            <w14:solidFill>
              <w14:schemeClr w14:val="tx1"/>
            </w14:solidFill>
          </w14:textFill>
        </w:rPr>
      </w:pPr>
    </w:p>
    <w:p w14:paraId="08217D2F">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0B62B44">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945671C">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C3E3698">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EEFB614">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4254C6F">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二、响应报价明细表</w:t>
      </w:r>
      <w:bookmarkStart w:id="45" w:name="_Toc86217005"/>
    </w:p>
    <w:p w14:paraId="0AE0F7C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标项：                                                           金额单位：元</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255"/>
        <w:gridCol w:w="3827"/>
        <w:gridCol w:w="1228"/>
      </w:tblGrid>
      <w:tr w14:paraId="79ED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588" w:type="pct"/>
            <w:vAlign w:val="center"/>
          </w:tcPr>
          <w:p w14:paraId="2BCA7293">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1728" w:type="pct"/>
            <w:vAlign w:val="center"/>
          </w:tcPr>
          <w:p w14:paraId="7421FEF4">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名称</w:t>
            </w:r>
          </w:p>
        </w:tc>
        <w:tc>
          <w:tcPr>
            <w:tcW w:w="2032" w:type="pct"/>
            <w:vAlign w:val="center"/>
          </w:tcPr>
          <w:p w14:paraId="05D1BFF7">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单价</w:t>
            </w:r>
          </w:p>
        </w:tc>
        <w:tc>
          <w:tcPr>
            <w:tcW w:w="653" w:type="pct"/>
            <w:vAlign w:val="center"/>
          </w:tcPr>
          <w:p w14:paraId="17020292">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备注</w:t>
            </w:r>
          </w:p>
        </w:tc>
      </w:tr>
      <w:tr w14:paraId="0C16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588" w:type="pct"/>
            <w:vAlign w:val="center"/>
          </w:tcPr>
          <w:p w14:paraId="718B91A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p>
        </w:tc>
        <w:tc>
          <w:tcPr>
            <w:tcW w:w="1728" w:type="pct"/>
            <w:vAlign w:val="center"/>
          </w:tcPr>
          <w:p w14:paraId="01BBCAAA">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萧山区闻堰小学2025年暑期教师疗休养采购项目</w:t>
            </w:r>
          </w:p>
        </w:tc>
        <w:tc>
          <w:tcPr>
            <w:tcW w:w="2032" w:type="pct"/>
            <w:vAlign w:val="center"/>
          </w:tcPr>
          <w:p w14:paraId="26922684">
            <w:pPr>
              <w:jc w:val="center"/>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RMB：¥</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元/人次</w:t>
            </w:r>
          </w:p>
        </w:tc>
        <w:tc>
          <w:tcPr>
            <w:tcW w:w="653" w:type="pct"/>
            <w:vAlign w:val="center"/>
          </w:tcPr>
          <w:p w14:paraId="661C23A9">
            <w:pPr>
              <w:jc w:val="center"/>
              <w:rPr>
                <w:color w:val="000000" w:themeColor="text1"/>
                <w:highlight w:val="none"/>
                <w14:textFill>
                  <w14:solidFill>
                    <w14:schemeClr w14:val="tx1"/>
                  </w14:solidFill>
                </w14:textFill>
              </w:rPr>
            </w:pPr>
          </w:p>
        </w:tc>
      </w:tr>
    </w:tbl>
    <w:p w14:paraId="0259BC82">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DA8DAA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p w14:paraId="10F6B80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响应报价明细表中单价应与响应函中的“响应单价”相一致，不一致时，以响应函中响应单价为准。</w:t>
      </w:r>
    </w:p>
    <w:p w14:paraId="1FE8F60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“响应报价明细表”为多页的，每页均需由响应人代表签名并加盖响应人公章。</w:t>
      </w:r>
    </w:p>
    <w:p w14:paraId="04A81A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“响应报价明细表”以标项为单位填写。此表在不改变格式内容时，可自行制作。</w:t>
      </w:r>
    </w:p>
    <w:p w14:paraId="589BDF2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“响应报价明细表”所填内容按公开竞争文件采购需求中响应一览表内容为准。漏报的视同已包含在响应总价内。有重大缺项的将作无效响应处理。</w:t>
      </w:r>
    </w:p>
    <w:p w14:paraId="61B9E1EE">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F2613E6">
      <w:pPr>
        <w:spacing w:line="360" w:lineRule="auto"/>
        <w:ind w:firstLine="504" w:firstLineChars="2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响应人（加盖公章）：</w:t>
      </w:r>
    </w:p>
    <w:p w14:paraId="5A57D117">
      <w:pPr>
        <w:spacing w:line="360" w:lineRule="auto"/>
        <w:ind w:firstLine="504" w:firstLineChars="210"/>
        <w:rPr>
          <w:rFonts w:ascii="宋体" w:hAnsi="宋体"/>
          <w:color w:val="000000" w:themeColor="text1"/>
          <w:sz w:val="24"/>
          <w:highlight w:val="none"/>
          <w14:textFill>
            <w14:solidFill>
              <w14:schemeClr w14:val="tx1"/>
            </w14:solidFill>
          </w14:textFill>
        </w:rPr>
      </w:pPr>
    </w:p>
    <w:p w14:paraId="5E663C2E">
      <w:pPr>
        <w:spacing w:line="360" w:lineRule="auto"/>
        <w:ind w:firstLine="480" w:firstLineChars="200"/>
        <w:rPr>
          <w:rFonts w:ascii="宋体" w:hAnsi="宋体"/>
          <w:color w:val="000000" w:themeColor="text1"/>
          <w:sz w:val="24"/>
          <w:highlight w:val="none"/>
          <w14:textFill>
            <w14:solidFill>
              <w14:schemeClr w14:val="tx1"/>
            </w14:solidFill>
          </w14:textFill>
        </w:rPr>
      </w:pPr>
    </w:p>
    <w:p w14:paraId="29975D0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w:t>
      </w:r>
    </w:p>
    <w:p w14:paraId="5877D33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1C65D70B">
      <w:pPr>
        <w:spacing w:line="360" w:lineRule="auto"/>
        <w:ind w:firstLine="480" w:firstLineChars="200"/>
        <w:rPr>
          <w:rFonts w:ascii="宋体" w:hAnsi="宋体"/>
          <w:color w:val="000000" w:themeColor="text1"/>
          <w:sz w:val="24"/>
          <w:highlight w:val="none"/>
          <w14:textFill>
            <w14:solidFill>
              <w14:schemeClr w14:val="tx1"/>
            </w14:solidFill>
          </w14:textFill>
        </w:rPr>
      </w:pPr>
    </w:p>
    <w:p w14:paraId="0A8673E6">
      <w:pPr>
        <w:spacing w:line="360" w:lineRule="auto"/>
        <w:jc w:val="center"/>
        <w:rPr>
          <w:rFonts w:ascii="宋体" w:hAnsi="宋体"/>
          <w:color w:val="000000" w:themeColor="text1"/>
          <w:sz w:val="24"/>
          <w:highlight w:val="none"/>
          <w14:textFill>
            <w14:solidFill>
              <w14:schemeClr w14:val="tx1"/>
            </w14:solidFill>
          </w14:textFill>
        </w:rPr>
      </w:pPr>
    </w:p>
    <w:p w14:paraId="048B5AA4">
      <w:pPr>
        <w:spacing w:line="360" w:lineRule="auto"/>
        <w:jc w:val="center"/>
        <w:rPr>
          <w:rFonts w:ascii="宋体" w:hAnsi="宋体"/>
          <w:color w:val="000000" w:themeColor="text1"/>
          <w:sz w:val="24"/>
          <w:highlight w:val="none"/>
          <w14:textFill>
            <w14:solidFill>
              <w14:schemeClr w14:val="tx1"/>
            </w14:solidFill>
          </w14:textFill>
        </w:rPr>
      </w:pPr>
    </w:p>
    <w:p w14:paraId="5A73F46F">
      <w:pPr>
        <w:spacing w:line="360" w:lineRule="auto"/>
        <w:jc w:val="center"/>
        <w:rPr>
          <w:rFonts w:ascii="宋体" w:hAnsi="宋体"/>
          <w:color w:val="000000" w:themeColor="text1"/>
          <w:sz w:val="24"/>
          <w:highlight w:val="none"/>
          <w14:textFill>
            <w14:solidFill>
              <w14:schemeClr w14:val="tx1"/>
            </w14:solidFill>
          </w14:textFill>
        </w:rPr>
      </w:pPr>
    </w:p>
    <w:p w14:paraId="51C62C0E">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0081823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三、授权委托书</w:t>
      </w:r>
    </w:p>
    <w:p w14:paraId="7BBFE372">
      <w:pPr>
        <w:spacing w:line="360" w:lineRule="auto"/>
        <w:jc w:val="center"/>
        <w:rPr>
          <w:rFonts w:ascii="宋体" w:hAnsi="宋体"/>
          <w:color w:val="000000" w:themeColor="text1"/>
          <w:sz w:val="24"/>
          <w:highlight w:val="none"/>
          <w14:textFill>
            <w14:solidFill>
              <w14:schemeClr w14:val="tx1"/>
            </w14:solidFill>
          </w14:textFill>
        </w:rPr>
      </w:pPr>
    </w:p>
    <w:p w14:paraId="250AD6F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本授权委托书声明：我</w:t>
      </w:r>
      <w:r>
        <w:rPr>
          <w:rFonts w:hint="eastAsia" w:ascii="宋体" w:hAnsi="宋体"/>
          <w:color w:val="000000" w:themeColor="text1"/>
          <w:sz w:val="24"/>
          <w:highlight w:val="none"/>
          <w:u w:val="single"/>
          <w14:textFill>
            <w14:solidFill>
              <w14:schemeClr w14:val="tx1"/>
            </w14:solidFill>
          </w14:textFill>
        </w:rPr>
        <w:t xml:space="preserve"> （姓名）  </w:t>
      </w: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（响应人名称）              </w:t>
      </w:r>
      <w:r>
        <w:rPr>
          <w:rFonts w:hint="eastAsia" w:ascii="宋体" w:hAnsi="宋体"/>
          <w:color w:val="000000" w:themeColor="text1"/>
          <w:sz w:val="24"/>
          <w:highlight w:val="none"/>
          <w14:textFill>
            <w14:solidFill>
              <w14:schemeClr w14:val="tx1"/>
            </w14:solidFill>
          </w14:textFill>
        </w:rPr>
        <w:t>法定代表人（负责人），现授权委托</w:t>
      </w:r>
      <w:r>
        <w:rPr>
          <w:rFonts w:hint="eastAsia" w:ascii="宋体" w:hAnsi="宋体"/>
          <w:color w:val="000000" w:themeColor="text1"/>
          <w:sz w:val="24"/>
          <w:highlight w:val="none"/>
          <w:u w:val="single"/>
          <w14:textFill>
            <w14:solidFill>
              <w14:schemeClr w14:val="tx1"/>
            </w14:solidFill>
          </w14:textFill>
        </w:rPr>
        <w:t xml:space="preserve">（姓名）     </w:t>
      </w:r>
      <w:r>
        <w:rPr>
          <w:rFonts w:hint="eastAsia" w:ascii="宋体" w:hAnsi="宋体"/>
          <w:color w:val="000000" w:themeColor="text1"/>
          <w:sz w:val="24"/>
          <w:highlight w:val="none"/>
          <w14:textFill>
            <w14:solidFill>
              <w14:schemeClr w14:val="tx1"/>
            </w14:solidFill>
          </w14:textFill>
        </w:rPr>
        <w:t>为我方响应人代表，以我方名义参加                                                                                         编号为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项目的政府采购活动，并代表我方全权办理针对上述项目交易过程中的一切事宜。我方对响应人代表的签名事项负全部责任。                                              </w:t>
      </w:r>
    </w:p>
    <w:p w14:paraId="5E8C2EB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在撤销授权的书面通知以前，本授权书一直有效。响应人代表在授权书有效期内签署的所有文件不因授权的撤销而失效。响应人代表无转委托权。</w:t>
      </w:r>
    </w:p>
    <w:p w14:paraId="7F6B09D7">
      <w:pPr>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特此委托。</w:t>
      </w:r>
    </w:p>
    <w:p w14:paraId="346E4D2B">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3D9498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法定代表人（负责人）（签名）：            响应人代表（签名）：</w:t>
      </w:r>
    </w:p>
    <w:p w14:paraId="34875F08">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853396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                                     职务：</w:t>
      </w:r>
    </w:p>
    <w:p w14:paraId="682F6F22">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575182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                               身份证号码：</w:t>
      </w:r>
    </w:p>
    <w:p w14:paraId="46C570B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联系电话：</w:t>
      </w:r>
    </w:p>
    <w:p w14:paraId="29994114">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62C4693">
      <w:pPr>
        <w:spacing w:line="360" w:lineRule="auto"/>
        <w:ind w:firstLine="480" w:firstLineChars="200"/>
        <w:rPr>
          <w:rFonts w:ascii="宋体" w:hAnsi="宋体"/>
          <w:color w:val="000000" w:themeColor="text1"/>
          <w:sz w:val="24"/>
          <w:highlight w:val="none"/>
          <w14:textFill>
            <w14:solidFill>
              <w14:schemeClr w14:val="tx1"/>
            </w14:solidFill>
          </w14:textFill>
        </w:rPr>
      </w:pPr>
    </w:p>
    <w:p w14:paraId="50124791">
      <w:pPr>
        <w:spacing w:line="360" w:lineRule="auto"/>
        <w:ind w:firstLine="480" w:firstLineChars="200"/>
        <w:rPr>
          <w:rFonts w:ascii="宋体" w:hAnsi="宋体"/>
          <w:color w:val="000000" w:themeColor="text1"/>
          <w:sz w:val="24"/>
          <w:highlight w:val="none"/>
          <w14:textFill>
            <w14:solidFill>
              <w14:schemeClr w14:val="tx1"/>
            </w14:solidFill>
          </w14:textFill>
        </w:rPr>
      </w:pPr>
    </w:p>
    <w:p w14:paraId="6198C009">
      <w:pPr>
        <w:spacing w:line="360" w:lineRule="auto"/>
        <w:ind w:firstLine="3960" w:firstLineChars="16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响应人（加盖公章）： </w:t>
      </w:r>
    </w:p>
    <w:p w14:paraId="4E25E18C">
      <w:pPr>
        <w:spacing w:line="360" w:lineRule="auto"/>
        <w:ind w:firstLine="4500" w:firstLineChars="1875"/>
        <w:rPr>
          <w:rFonts w:ascii="宋体" w:hAnsi="宋体"/>
          <w:color w:val="000000" w:themeColor="text1"/>
          <w:sz w:val="24"/>
          <w:highlight w:val="none"/>
          <w14:textFill>
            <w14:solidFill>
              <w14:schemeClr w14:val="tx1"/>
            </w14:solidFill>
          </w14:textFill>
        </w:rPr>
      </w:pPr>
    </w:p>
    <w:p w14:paraId="7D1D43AD">
      <w:pPr>
        <w:spacing w:line="360" w:lineRule="auto"/>
        <w:ind w:firstLine="4320" w:firstLineChars="1800"/>
        <w:rPr>
          <w:rFonts w:ascii="宋体" w:hAnsi="宋体"/>
          <w:color w:val="000000" w:themeColor="text1"/>
          <w:sz w:val="24"/>
          <w:highlight w:val="none"/>
          <w14:textFill>
            <w14:solidFill>
              <w14:schemeClr w14:val="tx1"/>
            </w14:solidFill>
          </w14:textFill>
        </w:rPr>
      </w:pPr>
    </w:p>
    <w:p w14:paraId="6E09A7BC">
      <w:pPr>
        <w:spacing w:line="360" w:lineRule="auto"/>
        <w:ind w:firstLine="4080" w:firstLineChars="17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授权委托日期：   年   月   日</w:t>
      </w:r>
    </w:p>
    <w:p w14:paraId="7BB8C0ED">
      <w:pPr>
        <w:spacing w:line="360" w:lineRule="auto"/>
        <w:jc w:val="center"/>
        <w:rPr>
          <w:rFonts w:ascii="宋体" w:hAnsi="宋体"/>
          <w:color w:val="000000" w:themeColor="text1"/>
          <w:sz w:val="24"/>
          <w:highlight w:val="none"/>
          <w14:textFill>
            <w14:solidFill>
              <w14:schemeClr w14:val="tx1"/>
            </w14:solidFill>
          </w14:textFill>
        </w:rPr>
      </w:pPr>
    </w:p>
    <w:p w14:paraId="09007F45">
      <w:pPr>
        <w:spacing w:line="360" w:lineRule="auto"/>
        <w:jc w:val="center"/>
        <w:rPr>
          <w:rFonts w:ascii="宋体" w:hAnsi="宋体"/>
          <w:color w:val="000000" w:themeColor="text1"/>
          <w:sz w:val="24"/>
          <w:highlight w:val="none"/>
          <w14:textFill>
            <w14:solidFill>
              <w14:schemeClr w14:val="tx1"/>
            </w14:solidFill>
          </w14:textFill>
        </w:rPr>
      </w:pPr>
    </w:p>
    <w:p w14:paraId="33153431">
      <w:pPr>
        <w:spacing w:line="360" w:lineRule="auto"/>
        <w:jc w:val="center"/>
        <w:rPr>
          <w:rFonts w:ascii="宋体" w:hAnsi="宋体"/>
          <w:color w:val="000000" w:themeColor="text1"/>
          <w:sz w:val="24"/>
          <w:highlight w:val="none"/>
          <w14:textFill>
            <w14:solidFill>
              <w14:schemeClr w14:val="tx1"/>
            </w14:solidFill>
          </w14:textFill>
        </w:rPr>
      </w:pPr>
    </w:p>
    <w:p w14:paraId="1386B053">
      <w:pPr>
        <w:spacing w:line="360" w:lineRule="auto"/>
        <w:jc w:val="center"/>
        <w:rPr>
          <w:rFonts w:ascii="宋体" w:hAnsi="宋体"/>
          <w:color w:val="000000" w:themeColor="text1"/>
          <w:sz w:val="24"/>
          <w:highlight w:val="none"/>
          <w14:textFill>
            <w14:solidFill>
              <w14:schemeClr w14:val="tx1"/>
            </w14:solidFill>
          </w14:textFill>
        </w:rPr>
      </w:pPr>
    </w:p>
    <w:p w14:paraId="37F1AA03">
      <w:pPr>
        <w:spacing w:line="360" w:lineRule="auto"/>
        <w:jc w:val="center"/>
        <w:rPr>
          <w:rFonts w:ascii="宋体" w:hAnsi="宋体"/>
          <w:color w:val="000000" w:themeColor="text1"/>
          <w:sz w:val="24"/>
          <w:highlight w:val="none"/>
          <w14:textFill>
            <w14:solidFill>
              <w14:schemeClr w14:val="tx1"/>
            </w14:solidFill>
          </w14:textFill>
        </w:rPr>
      </w:pPr>
    </w:p>
    <w:p w14:paraId="1DEC006C">
      <w:pPr>
        <w:spacing w:line="360" w:lineRule="auto"/>
        <w:jc w:val="center"/>
        <w:rPr>
          <w:rFonts w:ascii="宋体" w:hAnsi="宋体"/>
          <w:color w:val="000000" w:themeColor="text1"/>
          <w:sz w:val="24"/>
          <w:highlight w:val="none"/>
          <w14:textFill>
            <w14:solidFill>
              <w14:schemeClr w14:val="tx1"/>
            </w14:solidFill>
          </w14:textFill>
        </w:rPr>
      </w:pPr>
    </w:p>
    <w:p w14:paraId="2D27907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四、诚信承诺书</w:t>
      </w:r>
    </w:p>
    <w:p w14:paraId="5AFDC954">
      <w:pPr>
        <w:spacing w:line="360" w:lineRule="auto"/>
        <w:jc w:val="center"/>
        <w:rPr>
          <w:rFonts w:ascii="宋体" w:hAnsi="宋体"/>
          <w:color w:val="000000" w:themeColor="text1"/>
          <w:sz w:val="24"/>
          <w:highlight w:val="none"/>
          <w14:textFill>
            <w14:solidFill>
              <w14:schemeClr w14:val="tx1"/>
            </w14:solidFill>
          </w14:textFill>
        </w:rPr>
      </w:pPr>
    </w:p>
    <w:p w14:paraId="25DE905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（采购人或采购组织机构） </w:t>
      </w:r>
      <w:r>
        <w:rPr>
          <w:rFonts w:hint="eastAsia" w:ascii="宋体" w:hAnsi="宋体"/>
          <w:color w:val="000000" w:themeColor="text1"/>
          <w:sz w:val="24"/>
          <w:highlight w:val="none"/>
          <w14:textFill>
            <w14:solidFill>
              <w14:schemeClr w14:val="tx1"/>
            </w14:solidFill>
          </w14:textFill>
        </w:rPr>
        <w:t>：</w:t>
      </w:r>
    </w:p>
    <w:p w14:paraId="1DE0C1B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我方在参加贵单位的  </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政府采购项目的交易会活动中，郑重承诺如下：</w:t>
      </w:r>
    </w:p>
    <w:p w14:paraId="6290387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我方申报的所有资料都是真实、准确、完整的；</w:t>
      </w:r>
    </w:p>
    <w:p w14:paraId="492C116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我方无资质挂靠情形，保证不参与串标、围标及抬标；</w:t>
      </w:r>
    </w:p>
    <w:p w14:paraId="05258ED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我方未处于被各级行政主管部门做出停止市场行为处罚的期限内；</w:t>
      </w:r>
    </w:p>
    <w:p w14:paraId="0D2C017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我方参加本项目政府采购活动前3年内在经营活动中没有重大违法记录；</w:t>
      </w:r>
    </w:p>
    <w:p w14:paraId="0FB7241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若我方成交，将严格按照规定及时与采购人签订合同；</w:t>
      </w:r>
    </w:p>
    <w:p w14:paraId="67768FB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 若我方成交，将严格按照公开竞争文件要求及响应文件承诺的报价、质量、工期、响应方案、项目负责人等内容组织实施；</w:t>
      </w:r>
    </w:p>
    <w:p w14:paraId="67D66F4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若违反上述承诺，隐瞒、提供虚假资料或不按公开竞争文件要求组织实施或参与串标、抬标及围标等行为，被贵方发现或被他人举报查实，无条件接受采购人、行政监管部门作出的取消响应资格、解除合同、拒绝后续采购项目参与、不良行为记录等的处罚。对造成的损失，任何法律和经济责任完全由我方负责。</w:t>
      </w:r>
    </w:p>
    <w:p w14:paraId="43B2619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特此承诺。</w:t>
      </w:r>
    </w:p>
    <w:p w14:paraId="066452A5">
      <w:pPr>
        <w:spacing w:line="360" w:lineRule="auto"/>
        <w:ind w:firstLine="480" w:firstLineChars="200"/>
        <w:rPr>
          <w:rFonts w:ascii="宋体" w:hAnsi="宋体"/>
          <w:color w:val="000000" w:themeColor="text1"/>
          <w:sz w:val="24"/>
          <w:highlight w:val="none"/>
          <w14:textFill>
            <w14:solidFill>
              <w14:schemeClr w14:val="tx1"/>
            </w14:solidFill>
          </w14:textFill>
        </w:rPr>
      </w:pPr>
    </w:p>
    <w:p w14:paraId="66FCAEB8">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597A048">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E24CF6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响应人（加盖公章）：＿＿＿＿＿＿＿＿＿＿＿＿＿＿＿</w:t>
      </w:r>
    </w:p>
    <w:p w14:paraId="5A24F615">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C477F36">
      <w:pPr>
        <w:spacing w:line="360" w:lineRule="auto"/>
        <w:ind w:firstLine="480" w:firstLineChars="200"/>
        <w:rPr>
          <w:rFonts w:ascii="宋体" w:hAnsi="宋体"/>
          <w:color w:val="000000" w:themeColor="text1"/>
          <w:sz w:val="24"/>
          <w:highlight w:val="none"/>
          <w14:textFill>
            <w14:solidFill>
              <w14:schemeClr w14:val="tx1"/>
            </w14:solidFill>
          </w14:textFill>
        </w:rPr>
      </w:pPr>
    </w:p>
    <w:p w14:paraId="48174CD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响应人代表（签名）：＿＿＿＿＿＿＿＿＿＿＿＿      </w:t>
      </w:r>
    </w:p>
    <w:p w14:paraId="79537D8E">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6B613E1">
      <w:pPr>
        <w:spacing w:line="360" w:lineRule="auto"/>
        <w:ind w:firstLine="4440" w:firstLineChars="18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年＿＿月＿＿日</w:t>
      </w:r>
    </w:p>
    <w:p w14:paraId="507F25E3">
      <w:pPr>
        <w:spacing w:line="360" w:lineRule="auto"/>
        <w:rPr>
          <w:rFonts w:ascii="宋体" w:hAnsi="宋体"/>
          <w:color w:val="000000" w:themeColor="text1"/>
          <w:sz w:val="24"/>
          <w:highlight w:val="none"/>
          <w14:textFill>
            <w14:solidFill>
              <w14:schemeClr w14:val="tx1"/>
            </w14:solidFill>
          </w14:textFill>
        </w:rPr>
      </w:pPr>
    </w:p>
    <w:p w14:paraId="6A27BAE0">
      <w:pPr>
        <w:spacing w:line="360" w:lineRule="auto"/>
        <w:ind w:right="360"/>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五、响应人基本情况表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950"/>
        <w:gridCol w:w="885"/>
        <w:gridCol w:w="1095"/>
        <w:gridCol w:w="90"/>
        <w:gridCol w:w="630"/>
        <w:gridCol w:w="720"/>
        <w:gridCol w:w="801"/>
      </w:tblGrid>
      <w:tr w14:paraId="5DA2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544CA63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响应人名称</w:t>
            </w:r>
          </w:p>
        </w:tc>
        <w:tc>
          <w:tcPr>
            <w:tcW w:w="6171" w:type="dxa"/>
            <w:gridSpan w:val="7"/>
            <w:vAlign w:val="center"/>
          </w:tcPr>
          <w:p w14:paraId="1094281F">
            <w:pPr>
              <w:jc w:val="center"/>
              <w:rPr>
                <w:color w:val="000000" w:themeColor="text1"/>
                <w:sz w:val="24"/>
                <w:highlight w:val="none"/>
                <w14:textFill>
                  <w14:solidFill>
                    <w14:schemeClr w14:val="tx1"/>
                  </w14:solidFill>
                </w14:textFill>
              </w:rPr>
            </w:pPr>
          </w:p>
        </w:tc>
      </w:tr>
      <w:tr w14:paraId="0377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3884635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p>
        </w:tc>
        <w:tc>
          <w:tcPr>
            <w:tcW w:w="6171" w:type="dxa"/>
            <w:gridSpan w:val="7"/>
            <w:vAlign w:val="center"/>
          </w:tcPr>
          <w:p w14:paraId="431248A0">
            <w:pPr>
              <w:jc w:val="center"/>
              <w:rPr>
                <w:color w:val="000000" w:themeColor="text1"/>
                <w:sz w:val="24"/>
                <w:highlight w:val="none"/>
                <w14:textFill>
                  <w14:solidFill>
                    <w14:schemeClr w14:val="tx1"/>
                  </w14:solidFill>
                </w14:textFill>
              </w:rPr>
            </w:pPr>
          </w:p>
        </w:tc>
      </w:tr>
      <w:tr w14:paraId="5E0B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370" w:type="dxa"/>
            <w:vAlign w:val="center"/>
          </w:tcPr>
          <w:p w14:paraId="1491236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经营范围</w:t>
            </w:r>
          </w:p>
        </w:tc>
        <w:tc>
          <w:tcPr>
            <w:tcW w:w="1950" w:type="dxa"/>
            <w:vAlign w:val="center"/>
          </w:tcPr>
          <w:p w14:paraId="6751B570">
            <w:pPr>
              <w:jc w:val="center"/>
              <w:rPr>
                <w:color w:val="000000" w:themeColor="text1"/>
                <w:sz w:val="24"/>
                <w:highlight w:val="none"/>
                <w14:textFill>
                  <w14:solidFill>
                    <w14:schemeClr w14:val="tx1"/>
                  </w14:solidFill>
                </w14:textFill>
              </w:rPr>
            </w:pPr>
          </w:p>
        </w:tc>
        <w:tc>
          <w:tcPr>
            <w:tcW w:w="1980" w:type="dxa"/>
            <w:gridSpan w:val="2"/>
            <w:vAlign w:val="center"/>
          </w:tcPr>
          <w:p w14:paraId="5E89F2E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企业类型</w:t>
            </w:r>
          </w:p>
        </w:tc>
        <w:tc>
          <w:tcPr>
            <w:tcW w:w="2241" w:type="dxa"/>
            <w:gridSpan w:val="4"/>
            <w:vAlign w:val="center"/>
          </w:tcPr>
          <w:p w14:paraId="516B1DF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（大型、中型、小型、微型）</w:t>
            </w:r>
          </w:p>
        </w:tc>
      </w:tr>
      <w:tr w14:paraId="09F3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004D233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成立时间</w:t>
            </w:r>
          </w:p>
        </w:tc>
        <w:tc>
          <w:tcPr>
            <w:tcW w:w="1950" w:type="dxa"/>
            <w:vAlign w:val="center"/>
          </w:tcPr>
          <w:p w14:paraId="15017755">
            <w:pPr>
              <w:jc w:val="center"/>
              <w:rPr>
                <w:color w:val="000000" w:themeColor="text1"/>
                <w:sz w:val="24"/>
                <w:highlight w:val="none"/>
                <w14:textFill>
                  <w14:solidFill>
                    <w14:schemeClr w14:val="tx1"/>
                  </w14:solidFill>
                </w14:textFill>
              </w:rPr>
            </w:pPr>
          </w:p>
        </w:tc>
        <w:tc>
          <w:tcPr>
            <w:tcW w:w="1980" w:type="dxa"/>
            <w:gridSpan w:val="2"/>
            <w:vAlign w:val="center"/>
          </w:tcPr>
          <w:p w14:paraId="26C3735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经济性质</w:t>
            </w:r>
          </w:p>
        </w:tc>
        <w:tc>
          <w:tcPr>
            <w:tcW w:w="2241" w:type="dxa"/>
            <w:gridSpan w:val="4"/>
            <w:vAlign w:val="center"/>
          </w:tcPr>
          <w:p w14:paraId="6B8C2310">
            <w:pPr>
              <w:jc w:val="center"/>
              <w:rPr>
                <w:color w:val="000000" w:themeColor="text1"/>
                <w:sz w:val="24"/>
                <w:highlight w:val="none"/>
                <w14:textFill>
                  <w14:solidFill>
                    <w14:schemeClr w14:val="tx1"/>
                  </w14:solidFill>
                </w14:textFill>
              </w:rPr>
            </w:pPr>
          </w:p>
        </w:tc>
      </w:tr>
      <w:tr w14:paraId="4E7F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0F6E089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w:t>
            </w:r>
          </w:p>
          <w:p w14:paraId="364A8FD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（负责人）</w:t>
            </w:r>
          </w:p>
        </w:tc>
        <w:tc>
          <w:tcPr>
            <w:tcW w:w="1950" w:type="dxa"/>
            <w:vAlign w:val="center"/>
          </w:tcPr>
          <w:p w14:paraId="72F6F155">
            <w:pPr>
              <w:jc w:val="center"/>
              <w:rPr>
                <w:color w:val="000000" w:themeColor="text1"/>
                <w:sz w:val="24"/>
                <w:highlight w:val="none"/>
                <w14:textFill>
                  <w14:solidFill>
                    <w14:schemeClr w14:val="tx1"/>
                  </w14:solidFill>
                </w14:textFill>
              </w:rPr>
            </w:pPr>
          </w:p>
        </w:tc>
        <w:tc>
          <w:tcPr>
            <w:tcW w:w="1980" w:type="dxa"/>
            <w:gridSpan w:val="2"/>
            <w:vAlign w:val="center"/>
          </w:tcPr>
          <w:p w14:paraId="1BA1959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2241" w:type="dxa"/>
            <w:gridSpan w:val="4"/>
            <w:vAlign w:val="center"/>
          </w:tcPr>
          <w:p w14:paraId="759D6374">
            <w:pPr>
              <w:jc w:val="center"/>
              <w:rPr>
                <w:color w:val="000000" w:themeColor="text1"/>
                <w:sz w:val="24"/>
                <w:highlight w:val="none"/>
                <w14:textFill>
                  <w14:solidFill>
                    <w14:schemeClr w14:val="tx1"/>
                  </w14:solidFill>
                </w14:textFill>
              </w:rPr>
            </w:pPr>
          </w:p>
        </w:tc>
      </w:tr>
      <w:tr w14:paraId="23AF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restart"/>
            <w:vAlign w:val="center"/>
          </w:tcPr>
          <w:p w14:paraId="51337BC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注册资本</w:t>
            </w:r>
          </w:p>
        </w:tc>
        <w:tc>
          <w:tcPr>
            <w:tcW w:w="1950" w:type="dxa"/>
            <w:vMerge w:val="restart"/>
            <w:vAlign w:val="center"/>
          </w:tcPr>
          <w:p w14:paraId="2BD89B5C">
            <w:pPr>
              <w:jc w:val="center"/>
              <w:rPr>
                <w:color w:val="000000" w:themeColor="text1"/>
                <w:sz w:val="24"/>
                <w:highlight w:val="none"/>
                <w14:textFill>
                  <w14:solidFill>
                    <w14:schemeClr w14:val="tx1"/>
                  </w14:solidFill>
                </w14:textFill>
              </w:rPr>
            </w:pPr>
          </w:p>
        </w:tc>
        <w:tc>
          <w:tcPr>
            <w:tcW w:w="1980" w:type="dxa"/>
            <w:gridSpan w:val="2"/>
            <w:vMerge w:val="restart"/>
            <w:vAlign w:val="center"/>
          </w:tcPr>
          <w:p w14:paraId="3651D30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技术人员数</w:t>
            </w:r>
          </w:p>
        </w:tc>
        <w:tc>
          <w:tcPr>
            <w:tcW w:w="720" w:type="dxa"/>
            <w:gridSpan w:val="2"/>
            <w:vAlign w:val="center"/>
          </w:tcPr>
          <w:p w14:paraId="635BD54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高级</w:t>
            </w:r>
          </w:p>
        </w:tc>
        <w:tc>
          <w:tcPr>
            <w:tcW w:w="720" w:type="dxa"/>
            <w:vAlign w:val="center"/>
          </w:tcPr>
          <w:p w14:paraId="5A49945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中级</w:t>
            </w:r>
          </w:p>
        </w:tc>
        <w:tc>
          <w:tcPr>
            <w:tcW w:w="801" w:type="dxa"/>
            <w:vAlign w:val="center"/>
          </w:tcPr>
          <w:p w14:paraId="4E10A4D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初级</w:t>
            </w:r>
          </w:p>
        </w:tc>
      </w:tr>
      <w:tr w14:paraId="7FFD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continue"/>
            <w:vAlign w:val="center"/>
          </w:tcPr>
          <w:p w14:paraId="40AE25A9">
            <w:pPr>
              <w:jc w:val="center"/>
              <w:rPr>
                <w:color w:val="000000" w:themeColor="text1"/>
                <w:sz w:val="24"/>
                <w:highlight w:val="none"/>
                <w14:textFill>
                  <w14:solidFill>
                    <w14:schemeClr w14:val="tx1"/>
                  </w14:solidFill>
                </w14:textFill>
              </w:rPr>
            </w:pPr>
          </w:p>
        </w:tc>
        <w:tc>
          <w:tcPr>
            <w:tcW w:w="1950" w:type="dxa"/>
            <w:vMerge w:val="continue"/>
            <w:vAlign w:val="center"/>
          </w:tcPr>
          <w:p w14:paraId="4CA24629">
            <w:pPr>
              <w:jc w:val="center"/>
              <w:rPr>
                <w:color w:val="000000" w:themeColor="text1"/>
                <w:sz w:val="24"/>
                <w:highlight w:val="none"/>
                <w14:textFill>
                  <w14:solidFill>
                    <w14:schemeClr w14:val="tx1"/>
                  </w14:solidFill>
                </w14:textFill>
              </w:rPr>
            </w:pPr>
          </w:p>
        </w:tc>
        <w:tc>
          <w:tcPr>
            <w:tcW w:w="1980" w:type="dxa"/>
            <w:gridSpan w:val="2"/>
            <w:vMerge w:val="continue"/>
            <w:vAlign w:val="center"/>
          </w:tcPr>
          <w:p w14:paraId="5EBD6DF7">
            <w:pPr>
              <w:jc w:val="center"/>
              <w:rPr>
                <w:color w:val="000000" w:themeColor="text1"/>
                <w:sz w:val="24"/>
                <w:highlight w:val="none"/>
                <w14:textFill>
                  <w14:solidFill>
                    <w14:schemeClr w14:val="tx1"/>
                  </w14:solidFill>
                </w14:textFill>
              </w:rPr>
            </w:pPr>
          </w:p>
        </w:tc>
        <w:tc>
          <w:tcPr>
            <w:tcW w:w="720" w:type="dxa"/>
            <w:gridSpan w:val="2"/>
            <w:vAlign w:val="center"/>
          </w:tcPr>
          <w:p w14:paraId="218A9E4C">
            <w:pPr>
              <w:jc w:val="center"/>
              <w:rPr>
                <w:color w:val="000000" w:themeColor="text1"/>
                <w:sz w:val="24"/>
                <w:highlight w:val="none"/>
                <w14:textFill>
                  <w14:solidFill>
                    <w14:schemeClr w14:val="tx1"/>
                  </w14:solidFill>
                </w14:textFill>
              </w:rPr>
            </w:pPr>
          </w:p>
        </w:tc>
        <w:tc>
          <w:tcPr>
            <w:tcW w:w="720" w:type="dxa"/>
            <w:vAlign w:val="center"/>
          </w:tcPr>
          <w:p w14:paraId="64BBBB93">
            <w:pPr>
              <w:jc w:val="center"/>
              <w:rPr>
                <w:color w:val="000000" w:themeColor="text1"/>
                <w:sz w:val="24"/>
                <w:highlight w:val="none"/>
                <w14:textFill>
                  <w14:solidFill>
                    <w14:schemeClr w14:val="tx1"/>
                  </w14:solidFill>
                </w14:textFill>
              </w:rPr>
            </w:pPr>
          </w:p>
        </w:tc>
        <w:tc>
          <w:tcPr>
            <w:tcW w:w="801" w:type="dxa"/>
            <w:vAlign w:val="center"/>
          </w:tcPr>
          <w:p w14:paraId="1E0D1F1E">
            <w:pPr>
              <w:jc w:val="center"/>
              <w:rPr>
                <w:color w:val="000000" w:themeColor="text1"/>
                <w:sz w:val="24"/>
                <w:highlight w:val="none"/>
                <w14:textFill>
                  <w14:solidFill>
                    <w14:schemeClr w14:val="tx1"/>
                  </w14:solidFill>
                </w14:textFill>
              </w:rPr>
            </w:pPr>
          </w:p>
        </w:tc>
      </w:tr>
      <w:tr w14:paraId="3AB7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5F69042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资产总额</w:t>
            </w:r>
          </w:p>
        </w:tc>
        <w:tc>
          <w:tcPr>
            <w:tcW w:w="1950" w:type="dxa"/>
            <w:vAlign w:val="center"/>
          </w:tcPr>
          <w:p w14:paraId="40119427">
            <w:pPr>
              <w:jc w:val="center"/>
              <w:rPr>
                <w:color w:val="000000" w:themeColor="text1"/>
                <w:sz w:val="24"/>
                <w:highlight w:val="none"/>
                <w14:textFill>
                  <w14:solidFill>
                    <w14:schemeClr w14:val="tx1"/>
                  </w14:solidFill>
                </w14:textFill>
              </w:rPr>
            </w:pPr>
          </w:p>
        </w:tc>
        <w:tc>
          <w:tcPr>
            <w:tcW w:w="1980" w:type="dxa"/>
            <w:gridSpan w:val="2"/>
            <w:vAlign w:val="center"/>
          </w:tcPr>
          <w:p w14:paraId="53F5D0D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所有者权益</w:t>
            </w:r>
          </w:p>
        </w:tc>
        <w:tc>
          <w:tcPr>
            <w:tcW w:w="2241" w:type="dxa"/>
            <w:gridSpan w:val="4"/>
            <w:vAlign w:val="center"/>
          </w:tcPr>
          <w:p w14:paraId="6DC711E8">
            <w:pPr>
              <w:jc w:val="center"/>
              <w:rPr>
                <w:color w:val="000000" w:themeColor="text1"/>
                <w:sz w:val="24"/>
                <w:highlight w:val="none"/>
                <w14:textFill>
                  <w14:solidFill>
                    <w14:schemeClr w14:val="tx1"/>
                  </w14:solidFill>
                </w14:textFill>
              </w:rPr>
            </w:pPr>
          </w:p>
        </w:tc>
      </w:tr>
      <w:tr w14:paraId="00C9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273BC05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工商登记号</w:t>
            </w:r>
          </w:p>
        </w:tc>
        <w:tc>
          <w:tcPr>
            <w:tcW w:w="1950" w:type="dxa"/>
            <w:vAlign w:val="center"/>
          </w:tcPr>
          <w:p w14:paraId="6ABA43A1">
            <w:pPr>
              <w:jc w:val="center"/>
              <w:rPr>
                <w:color w:val="000000" w:themeColor="text1"/>
                <w:sz w:val="24"/>
                <w:highlight w:val="none"/>
                <w14:textFill>
                  <w14:solidFill>
                    <w14:schemeClr w14:val="tx1"/>
                  </w14:solidFill>
                </w14:textFill>
              </w:rPr>
            </w:pPr>
          </w:p>
        </w:tc>
        <w:tc>
          <w:tcPr>
            <w:tcW w:w="1980" w:type="dxa"/>
            <w:gridSpan w:val="2"/>
            <w:vAlign w:val="center"/>
          </w:tcPr>
          <w:p w14:paraId="2E3E63E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税务登记号</w:t>
            </w:r>
          </w:p>
        </w:tc>
        <w:tc>
          <w:tcPr>
            <w:tcW w:w="2241" w:type="dxa"/>
            <w:gridSpan w:val="4"/>
            <w:vAlign w:val="center"/>
          </w:tcPr>
          <w:p w14:paraId="4D37F330">
            <w:pPr>
              <w:jc w:val="center"/>
              <w:rPr>
                <w:color w:val="000000" w:themeColor="text1"/>
                <w:sz w:val="24"/>
                <w:highlight w:val="none"/>
                <w14:textFill>
                  <w14:solidFill>
                    <w14:schemeClr w14:val="tx1"/>
                  </w14:solidFill>
                </w14:textFill>
              </w:rPr>
            </w:pPr>
          </w:p>
        </w:tc>
      </w:tr>
      <w:tr w14:paraId="13B1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14:paraId="2B944EE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是否依法纳税</w:t>
            </w:r>
          </w:p>
        </w:tc>
        <w:tc>
          <w:tcPr>
            <w:tcW w:w="1950" w:type="dxa"/>
            <w:vAlign w:val="center"/>
          </w:tcPr>
          <w:p w14:paraId="04DABE53">
            <w:pPr>
              <w:jc w:val="center"/>
              <w:rPr>
                <w:color w:val="000000" w:themeColor="text1"/>
                <w:sz w:val="24"/>
                <w:highlight w:val="none"/>
                <w14:textFill>
                  <w14:solidFill>
                    <w14:schemeClr w14:val="tx1"/>
                  </w14:solidFill>
                </w14:textFill>
              </w:rPr>
            </w:pPr>
          </w:p>
        </w:tc>
        <w:tc>
          <w:tcPr>
            <w:tcW w:w="1980" w:type="dxa"/>
            <w:gridSpan w:val="2"/>
            <w:vAlign w:val="center"/>
          </w:tcPr>
          <w:p w14:paraId="04DC81D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是否参加社保</w:t>
            </w:r>
          </w:p>
        </w:tc>
        <w:tc>
          <w:tcPr>
            <w:tcW w:w="2241" w:type="dxa"/>
            <w:gridSpan w:val="4"/>
            <w:vAlign w:val="center"/>
          </w:tcPr>
          <w:p w14:paraId="7D8C3159">
            <w:pPr>
              <w:jc w:val="center"/>
              <w:rPr>
                <w:color w:val="000000" w:themeColor="text1"/>
                <w:sz w:val="24"/>
                <w:highlight w:val="none"/>
                <w14:textFill>
                  <w14:solidFill>
                    <w14:schemeClr w14:val="tx1"/>
                  </w14:solidFill>
                </w14:textFill>
              </w:rPr>
            </w:pPr>
          </w:p>
        </w:tc>
      </w:tr>
      <w:tr w14:paraId="5433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2370" w:type="dxa"/>
            <w:vAlign w:val="center"/>
          </w:tcPr>
          <w:p w14:paraId="77B3BEB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售后服务机构情况</w:t>
            </w:r>
          </w:p>
        </w:tc>
        <w:tc>
          <w:tcPr>
            <w:tcW w:w="6171" w:type="dxa"/>
            <w:gridSpan w:val="7"/>
            <w:vAlign w:val="center"/>
          </w:tcPr>
          <w:p w14:paraId="649F3DD7">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维修中心名称：</w:t>
            </w:r>
          </w:p>
          <w:p w14:paraId="565E8C25">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p>
          <w:p w14:paraId="0E2987F6">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人员状况：</w:t>
            </w:r>
          </w:p>
          <w:p w14:paraId="6C3B3D24">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联系方式：</w:t>
            </w:r>
          </w:p>
          <w:p w14:paraId="7914DA82">
            <w:pPr>
              <w:spacing w:line="360" w:lineRule="auto"/>
              <w:ind w:firstLine="60" w:firstLineChars="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（可另附纸说明）</w:t>
            </w:r>
          </w:p>
        </w:tc>
      </w:tr>
      <w:tr w14:paraId="6BEF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370" w:type="dxa"/>
            <w:vAlign w:val="center"/>
          </w:tcPr>
          <w:p w14:paraId="32460F50">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成交通知书邮寄地址</w:t>
            </w:r>
          </w:p>
        </w:tc>
        <w:tc>
          <w:tcPr>
            <w:tcW w:w="6171" w:type="dxa"/>
            <w:gridSpan w:val="7"/>
            <w:vAlign w:val="center"/>
          </w:tcPr>
          <w:p w14:paraId="1416C6C2">
            <w:pPr>
              <w:spacing w:line="360" w:lineRule="auto"/>
              <w:ind w:firstLine="60" w:firstLineChars="25"/>
              <w:rPr>
                <w:color w:val="000000" w:themeColor="text1"/>
                <w:sz w:val="24"/>
                <w:highlight w:val="none"/>
                <w14:textFill>
                  <w14:solidFill>
                    <w14:schemeClr w14:val="tx1"/>
                  </w14:solidFill>
                </w14:textFill>
              </w:rPr>
            </w:pPr>
          </w:p>
        </w:tc>
      </w:tr>
      <w:tr w14:paraId="61D8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70" w:type="dxa"/>
            <w:vAlign w:val="center"/>
          </w:tcPr>
          <w:p w14:paraId="2D4F89DD">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成交通知书接收人</w:t>
            </w:r>
          </w:p>
        </w:tc>
        <w:tc>
          <w:tcPr>
            <w:tcW w:w="2835" w:type="dxa"/>
            <w:gridSpan w:val="2"/>
            <w:vAlign w:val="center"/>
          </w:tcPr>
          <w:p w14:paraId="0D6B056B">
            <w:pPr>
              <w:spacing w:line="360" w:lineRule="auto"/>
              <w:ind w:firstLine="60" w:firstLineChars="25"/>
              <w:rPr>
                <w:color w:val="000000" w:themeColor="text1"/>
                <w:sz w:val="24"/>
                <w:highlight w:val="none"/>
                <w14:textFill>
                  <w14:solidFill>
                    <w14:schemeClr w14:val="tx1"/>
                  </w14:solidFill>
                </w14:textFill>
              </w:rPr>
            </w:pPr>
          </w:p>
        </w:tc>
        <w:tc>
          <w:tcPr>
            <w:tcW w:w="1185" w:type="dxa"/>
            <w:gridSpan w:val="2"/>
            <w:vAlign w:val="center"/>
          </w:tcPr>
          <w:p w14:paraId="545238B4">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2151" w:type="dxa"/>
            <w:gridSpan w:val="3"/>
            <w:vAlign w:val="center"/>
          </w:tcPr>
          <w:p w14:paraId="7E35BDA4">
            <w:pPr>
              <w:spacing w:line="360" w:lineRule="auto"/>
              <w:ind w:firstLine="60" w:firstLineChars="25"/>
              <w:rPr>
                <w:color w:val="000000" w:themeColor="text1"/>
                <w:sz w:val="24"/>
                <w:highlight w:val="none"/>
                <w14:textFill>
                  <w14:solidFill>
                    <w14:schemeClr w14:val="tx1"/>
                  </w14:solidFill>
                </w14:textFill>
              </w:rPr>
            </w:pPr>
          </w:p>
        </w:tc>
      </w:tr>
    </w:tbl>
    <w:p w14:paraId="01703FE3">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A75F85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响应人代表签名：</w:t>
      </w:r>
    </w:p>
    <w:p w14:paraId="3370F859">
      <w:pPr>
        <w:spacing w:line="360" w:lineRule="auto"/>
        <w:ind w:firstLine="480" w:firstLineChars="200"/>
        <w:rPr>
          <w:rFonts w:ascii="宋体" w:hAnsi="宋体"/>
          <w:color w:val="000000" w:themeColor="text1"/>
          <w:sz w:val="24"/>
          <w:highlight w:val="none"/>
          <w14:textFill>
            <w14:solidFill>
              <w14:schemeClr w14:val="tx1"/>
            </w14:solidFill>
          </w14:textFill>
        </w:rPr>
      </w:pPr>
    </w:p>
    <w:p w14:paraId="5006F1A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2EED93B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响应人（加盖公章）：</w:t>
      </w:r>
    </w:p>
    <w:p w14:paraId="5DD17C7C">
      <w:pPr>
        <w:spacing w:line="360" w:lineRule="auto"/>
        <w:jc w:val="center"/>
        <w:rPr>
          <w:rFonts w:ascii="宋体" w:hAnsi="宋体"/>
          <w:color w:val="000000" w:themeColor="text1"/>
          <w:sz w:val="24"/>
          <w:highlight w:val="none"/>
          <w14:textFill>
            <w14:solidFill>
              <w14:schemeClr w14:val="tx1"/>
            </w14:solidFill>
          </w14:textFill>
        </w:rPr>
      </w:pPr>
    </w:p>
    <w:p w14:paraId="5641BE5A">
      <w:pPr>
        <w:spacing w:line="360" w:lineRule="auto"/>
        <w:jc w:val="center"/>
        <w:rPr>
          <w:rFonts w:ascii="宋体" w:hAnsi="宋体"/>
          <w:color w:val="000000" w:themeColor="text1"/>
          <w:sz w:val="24"/>
          <w:highlight w:val="none"/>
          <w14:textFill>
            <w14:solidFill>
              <w14:schemeClr w14:val="tx1"/>
            </w14:solidFill>
          </w14:textFill>
        </w:rPr>
      </w:pPr>
    </w:p>
    <w:p w14:paraId="2C4C4698">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六、本项目的项目负责人情况表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14:paraId="7867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38FEC26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姓名</w:t>
            </w:r>
          </w:p>
        </w:tc>
        <w:tc>
          <w:tcPr>
            <w:tcW w:w="1614" w:type="dxa"/>
            <w:tcBorders>
              <w:top w:val="single" w:color="auto" w:sz="4" w:space="0"/>
              <w:left w:val="single" w:color="auto" w:sz="4" w:space="0"/>
              <w:bottom w:val="single" w:color="auto" w:sz="4" w:space="0"/>
              <w:right w:val="single" w:color="auto" w:sz="4" w:space="0"/>
            </w:tcBorders>
            <w:vAlign w:val="center"/>
          </w:tcPr>
          <w:p w14:paraId="4A5CF959">
            <w:pPr>
              <w:jc w:val="center"/>
              <w:rPr>
                <w:color w:val="000000" w:themeColor="text1"/>
                <w:sz w:val="24"/>
                <w:highlight w:val="none"/>
                <w14:textFill>
                  <w14:solidFill>
                    <w14:schemeClr w14:val="tx1"/>
                  </w14:solidFill>
                </w14:textFill>
              </w:rPr>
            </w:pPr>
          </w:p>
        </w:tc>
        <w:tc>
          <w:tcPr>
            <w:tcW w:w="5190" w:type="dxa"/>
            <w:tcBorders>
              <w:top w:val="single" w:color="auto" w:sz="4" w:space="0"/>
              <w:left w:val="single" w:color="auto" w:sz="4" w:space="0"/>
              <w:bottom w:val="single" w:color="auto" w:sz="4" w:space="0"/>
              <w:right w:val="single" w:color="auto" w:sz="4" w:space="0"/>
            </w:tcBorders>
            <w:vAlign w:val="center"/>
          </w:tcPr>
          <w:p w14:paraId="44586E2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近3年业绩及承担的主要工作情况</w:t>
            </w:r>
          </w:p>
          <w:p w14:paraId="4AC8FB26">
            <w:pPr>
              <w:jc w:val="cente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（曾担任项目负责人的项目应列明细）</w:t>
            </w:r>
          </w:p>
        </w:tc>
      </w:tr>
      <w:tr w14:paraId="1663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65A5A15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性别</w:t>
            </w:r>
          </w:p>
        </w:tc>
        <w:tc>
          <w:tcPr>
            <w:tcW w:w="1614" w:type="dxa"/>
            <w:tcBorders>
              <w:top w:val="single" w:color="auto" w:sz="4" w:space="0"/>
              <w:left w:val="single" w:color="auto" w:sz="4" w:space="0"/>
              <w:bottom w:val="single" w:color="auto" w:sz="4" w:space="0"/>
              <w:right w:val="single" w:color="auto" w:sz="4" w:space="0"/>
            </w:tcBorders>
            <w:vAlign w:val="center"/>
          </w:tcPr>
          <w:p w14:paraId="39E513B3">
            <w:pPr>
              <w:jc w:val="center"/>
              <w:rPr>
                <w:color w:val="000000" w:themeColor="text1"/>
                <w:sz w:val="24"/>
                <w:highlight w:val="none"/>
                <w14:textFill>
                  <w14:solidFill>
                    <w14:schemeClr w14:val="tx1"/>
                  </w14:solidFill>
                </w14:textFill>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14:paraId="1BA2C6CB">
            <w:pPr>
              <w:spacing w:line="360" w:lineRule="auto"/>
              <w:ind w:firstLine="7" w:firstLineChars="3"/>
              <w:rPr>
                <w:rFonts w:ascii="宋体" w:hAnsi="宋体"/>
                <w:color w:val="000000" w:themeColor="text1"/>
                <w:sz w:val="24"/>
                <w:highlight w:val="none"/>
                <w14:textFill>
                  <w14:solidFill>
                    <w14:schemeClr w14:val="tx1"/>
                  </w14:solidFill>
                </w14:textFill>
              </w:rPr>
            </w:pPr>
          </w:p>
        </w:tc>
      </w:tr>
      <w:tr w14:paraId="4800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0EA1776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14:paraId="5AB29DFC">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6A6160EA">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3FEB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744F3F9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职称</w:t>
            </w:r>
          </w:p>
        </w:tc>
        <w:tc>
          <w:tcPr>
            <w:tcW w:w="1614" w:type="dxa"/>
            <w:tcBorders>
              <w:top w:val="single" w:color="auto" w:sz="4" w:space="0"/>
              <w:left w:val="single" w:color="auto" w:sz="4" w:space="0"/>
              <w:bottom w:val="single" w:color="auto" w:sz="4" w:space="0"/>
              <w:right w:val="single" w:color="auto" w:sz="4" w:space="0"/>
            </w:tcBorders>
            <w:vAlign w:val="center"/>
          </w:tcPr>
          <w:p w14:paraId="624BF652">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54B437D3">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05D8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3BB8CD7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14:paraId="392A1D4B">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1E99F9CF">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1A02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2D8760D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14:paraId="18347CE6">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697F4D07">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532E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14E8407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学历</w:t>
            </w:r>
          </w:p>
        </w:tc>
        <w:tc>
          <w:tcPr>
            <w:tcW w:w="1614" w:type="dxa"/>
            <w:tcBorders>
              <w:top w:val="single" w:color="auto" w:sz="4" w:space="0"/>
              <w:left w:val="single" w:color="auto" w:sz="4" w:space="0"/>
              <w:bottom w:val="single" w:color="auto" w:sz="4" w:space="0"/>
              <w:right w:val="single" w:color="auto" w:sz="4" w:space="0"/>
            </w:tcBorders>
            <w:vAlign w:val="center"/>
          </w:tcPr>
          <w:p w14:paraId="3997EE96">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712B7A6B">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714C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7DEF444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14:paraId="65AA7968">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53FB7E48">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74BF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0B90E99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14:paraId="3932C801">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75DAAF1C">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1F64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14:paraId="4A24CC5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14:paraId="726D0362">
            <w:pPr>
              <w:jc w:val="center"/>
              <w:rPr>
                <w:color w:val="000000" w:themeColor="text1"/>
                <w:sz w:val="24"/>
                <w:highlight w:val="none"/>
                <w14:textFill>
                  <w14:solidFill>
                    <w14:schemeClr w14:val="tx1"/>
                  </w14:solidFill>
                </w14:textFill>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14:paraId="6265F254">
            <w:pPr>
              <w:spacing w:line="360" w:lineRule="auto"/>
              <w:ind w:firstLine="480" w:firstLineChars="200"/>
              <w:rPr>
                <w:rFonts w:ascii="宋体" w:hAnsi="宋体"/>
                <w:color w:val="000000" w:themeColor="text1"/>
                <w:sz w:val="24"/>
                <w:highlight w:val="none"/>
                <w14:textFill>
                  <w14:solidFill>
                    <w14:schemeClr w14:val="tx1"/>
                  </w14:solidFill>
                </w14:textFill>
              </w:rPr>
            </w:pPr>
          </w:p>
        </w:tc>
      </w:tr>
    </w:tbl>
    <w:p w14:paraId="2741F38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注：须随表提交相应的证书复印件。</w:t>
      </w:r>
    </w:p>
    <w:p w14:paraId="6B397F3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七、本项目的项目小组人员情况表</w:t>
      </w:r>
    </w:p>
    <w:p w14:paraId="03677E1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（按此格式自制）</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73"/>
        <w:gridCol w:w="720"/>
        <w:gridCol w:w="847"/>
        <w:gridCol w:w="720"/>
        <w:gridCol w:w="900"/>
        <w:gridCol w:w="1260"/>
        <w:gridCol w:w="945"/>
        <w:gridCol w:w="2145"/>
      </w:tblGrid>
      <w:tr w14:paraId="27F7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40" w:type="dxa"/>
            <w:textDirection w:val="tbRlV"/>
            <w:vAlign w:val="center"/>
          </w:tcPr>
          <w:p w14:paraId="37F4482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720" w:type="dxa"/>
            <w:vAlign w:val="center"/>
          </w:tcPr>
          <w:p w14:paraId="64585E5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姓名</w:t>
            </w:r>
          </w:p>
        </w:tc>
        <w:tc>
          <w:tcPr>
            <w:tcW w:w="773" w:type="dxa"/>
            <w:vAlign w:val="center"/>
          </w:tcPr>
          <w:p w14:paraId="1A30B66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性别</w:t>
            </w:r>
          </w:p>
        </w:tc>
        <w:tc>
          <w:tcPr>
            <w:tcW w:w="720" w:type="dxa"/>
            <w:vAlign w:val="center"/>
          </w:tcPr>
          <w:p w14:paraId="51B567D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出生年月</w:t>
            </w:r>
          </w:p>
        </w:tc>
        <w:tc>
          <w:tcPr>
            <w:tcW w:w="847" w:type="dxa"/>
            <w:vAlign w:val="center"/>
          </w:tcPr>
          <w:p w14:paraId="59772CA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学历</w:t>
            </w:r>
          </w:p>
        </w:tc>
        <w:tc>
          <w:tcPr>
            <w:tcW w:w="720" w:type="dxa"/>
            <w:vAlign w:val="center"/>
          </w:tcPr>
          <w:p w14:paraId="01244D5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专业</w:t>
            </w:r>
          </w:p>
        </w:tc>
        <w:tc>
          <w:tcPr>
            <w:tcW w:w="900" w:type="dxa"/>
            <w:vAlign w:val="center"/>
          </w:tcPr>
          <w:p w14:paraId="0E04F7B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职称</w:t>
            </w:r>
          </w:p>
        </w:tc>
        <w:tc>
          <w:tcPr>
            <w:tcW w:w="1260" w:type="dxa"/>
            <w:vAlign w:val="center"/>
          </w:tcPr>
          <w:p w14:paraId="714B633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本项目中的职责</w:t>
            </w:r>
          </w:p>
        </w:tc>
        <w:tc>
          <w:tcPr>
            <w:tcW w:w="945" w:type="dxa"/>
            <w:vAlign w:val="center"/>
          </w:tcPr>
          <w:p w14:paraId="3CEADC2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项目经历</w:t>
            </w:r>
          </w:p>
        </w:tc>
        <w:tc>
          <w:tcPr>
            <w:tcW w:w="2145" w:type="dxa"/>
            <w:vAlign w:val="center"/>
          </w:tcPr>
          <w:p w14:paraId="74D10EB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参与本项目的</w:t>
            </w:r>
          </w:p>
          <w:p w14:paraId="1D52A8E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到位情况</w:t>
            </w:r>
          </w:p>
        </w:tc>
      </w:tr>
      <w:tr w14:paraId="70BB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40" w:type="dxa"/>
            <w:vAlign w:val="center"/>
          </w:tcPr>
          <w:p w14:paraId="1310A1C2">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38B4B465">
            <w:pPr>
              <w:spacing w:line="360" w:lineRule="auto"/>
              <w:rPr>
                <w:rFonts w:ascii="宋体" w:hAnsi="宋体"/>
                <w:color w:val="000000" w:themeColor="text1"/>
                <w:sz w:val="24"/>
                <w:highlight w:val="none"/>
                <w14:textFill>
                  <w14:solidFill>
                    <w14:schemeClr w14:val="tx1"/>
                  </w14:solidFill>
                </w14:textFill>
              </w:rPr>
            </w:pPr>
          </w:p>
        </w:tc>
        <w:tc>
          <w:tcPr>
            <w:tcW w:w="773" w:type="dxa"/>
            <w:vAlign w:val="center"/>
          </w:tcPr>
          <w:p w14:paraId="47797A6E">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78CE2C0D">
            <w:pPr>
              <w:spacing w:line="360" w:lineRule="auto"/>
              <w:rPr>
                <w:rFonts w:ascii="宋体" w:hAnsi="宋体"/>
                <w:color w:val="000000" w:themeColor="text1"/>
                <w:sz w:val="24"/>
                <w:highlight w:val="none"/>
                <w14:textFill>
                  <w14:solidFill>
                    <w14:schemeClr w14:val="tx1"/>
                  </w14:solidFill>
                </w14:textFill>
              </w:rPr>
            </w:pPr>
          </w:p>
        </w:tc>
        <w:tc>
          <w:tcPr>
            <w:tcW w:w="847" w:type="dxa"/>
            <w:vAlign w:val="center"/>
          </w:tcPr>
          <w:p w14:paraId="2DC7531D">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4FCA8874">
            <w:pPr>
              <w:spacing w:line="360" w:lineRule="auto"/>
              <w:rPr>
                <w:rFonts w:ascii="宋体" w:hAnsi="宋体"/>
                <w:color w:val="000000" w:themeColor="text1"/>
                <w:sz w:val="24"/>
                <w:highlight w:val="none"/>
                <w14:textFill>
                  <w14:solidFill>
                    <w14:schemeClr w14:val="tx1"/>
                  </w14:solidFill>
                </w14:textFill>
              </w:rPr>
            </w:pPr>
          </w:p>
        </w:tc>
        <w:tc>
          <w:tcPr>
            <w:tcW w:w="900" w:type="dxa"/>
            <w:vAlign w:val="center"/>
          </w:tcPr>
          <w:p w14:paraId="1D85615E">
            <w:pPr>
              <w:spacing w:line="360" w:lineRule="auto"/>
              <w:rPr>
                <w:rFonts w:ascii="宋体" w:hAnsi="宋体"/>
                <w:color w:val="000000" w:themeColor="text1"/>
                <w:sz w:val="24"/>
                <w:highlight w:val="none"/>
                <w14:textFill>
                  <w14:solidFill>
                    <w14:schemeClr w14:val="tx1"/>
                  </w14:solidFill>
                </w14:textFill>
              </w:rPr>
            </w:pPr>
          </w:p>
        </w:tc>
        <w:tc>
          <w:tcPr>
            <w:tcW w:w="1260" w:type="dxa"/>
            <w:vAlign w:val="center"/>
          </w:tcPr>
          <w:p w14:paraId="4A0807D5">
            <w:pPr>
              <w:spacing w:line="360" w:lineRule="auto"/>
              <w:rPr>
                <w:rFonts w:ascii="宋体" w:hAnsi="宋体"/>
                <w:color w:val="000000" w:themeColor="text1"/>
                <w:sz w:val="24"/>
                <w:highlight w:val="none"/>
                <w14:textFill>
                  <w14:solidFill>
                    <w14:schemeClr w14:val="tx1"/>
                  </w14:solidFill>
                </w14:textFill>
              </w:rPr>
            </w:pPr>
          </w:p>
        </w:tc>
        <w:tc>
          <w:tcPr>
            <w:tcW w:w="945" w:type="dxa"/>
            <w:vAlign w:val="center"/>
          </w:tcPr>
          <w:p w14:paraId="52FAC82F">
            <w:pPr>
              <w:spacing w:line="360" w:lineRule="auto"/>
              <w:rPr>
                <w:rFonts w:ascii="宋体" w:hAnsi="宋体"/>
                <w:color w:val="000000" w:themeColor="text1"/>
                <w:sz w:val="24"/>
                <w:highlight w:val="none"/>
                <w14:textFill>
                  <w14:solidFill>
                    <w14:schemeClr w14:val="tx1"/>
                  </w14:solidFill>
                </w14:textFill>
              </w:rPr>
            </w:pPr>
          </w:p>
        </w:tc>
        <w:tc>
          <w:tcPr>
            <w:tcW w:w="2145" w:type="dxa"/>
            <w:vAlign w:val="center"/>
          </w:tcPr>
          <w:p w14:paraId="418FB591">
            <w:pPr>
              <w:spacing w:line="360" w:lineRule="auto"/>
              <w:rPr>
                <w:rFonts w:ascii="宋体" w:hAnsi="宋体"/>
                <w:color w:val="000000" w:themeColor="text1"/>
                <w:sz w:val="24"/>
                <w:highlight w:val="none"/>
                <w14:textFill>
                  <w14:solidFill>
                    <w14:schemeClr w14:val="tx1"/>
                  </w14:solidFill>
                </w14:textFill>
              </w:rPr>
            </w:pPr>
          </w:p>
        </w:tc>
      </w:tr>
      <w:tr w14:paraId="3C8F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14:paraId="112B484D">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6D26AEBE">
            <w:pPr>
              <w:spacing w:line="360" w:lineRule="auto"/>
              <w:rPr>
                <w:rFonts w:ascii="宋体" w:hAnsi="宋体"/>
                <w:color w:val="000000" w:themeColor="text1"/>
                <w:sz w:val="24"/>
                <w:highlight w:val="none"/>
                <w14:textFill>
                  <w14:solidFill>
                    <w14:schemeClr w14:val="tx1"/>
                  </w14:solidFill>
                </w14:textFill>
              </w:rPr>
            </w:pPr>
          </w:p>
        </w:tc>
        <w:tc>
          <w:tcPr>
            <w:tcW w:w="773" w:type="dxa"/>
            <w:vAlign w:val="center"/>
          </w:tcPr>
          <w:p w14:paraId="2549B253">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0F5DAC94">
            <w:pPr>
              <w:spacing w:line="360" w:lineRule="auto"/>
              <w:rPr>
                <w:rFonts w:ascii="宋体" w:hAnsi="宋体"/>
                <w:color w:val="000000" w:themeColor="text1"/>
                <w:sz w:val="24"/>
                <w:highlight w:val="none"/>
                <w14:textFill>
                  <w14:solidFill>
                    <w14:schemeClr w14:val="tx1"/>
                  </w14:solidFill>
                </w14:textFill>
              </w:rPr>
            </w:pPr>
          </w:p>
        </w:tc>
        <w:tc>
          <w:tcPr>
            <w:tcW w:w="847" w:type="dxa"/>
            <w:vAlign w:val="center"/>
          </w:tcPr>
          <w:p w14:paraId="18C2C4A8">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4182A8D5">
            <w:pPr>
              <w:spacing w:line="360" w:lineRule="auto"/>
              <w:rPr>
                <w:rFonts w:ascii="宋体" w:hAnsi="宋体"/>
                <w:color w:val="000000" w:themeColor="text1"/>
                <w:sz w:val="24"/>
                <w:highlight w:val="none"/>
                <w14:textFill>
                  <w14:solidFill>
                    <w14:schemeClr w14:val="tx1"/>
                  </w14:solidFill>
                </w14:textFill>
              </w:rPr>
            </w:pPr>
          </w:p>
        </w:tc>
        <w:tc>
          <w:tcPr>
            <w:tcW w:w="900" w:type="dxa"/>
            <w:vAlign w:val="center"/>
          </w:tcPr>
          <w:p w14:paraId="01820289">
            <w:pPr>
              <w:spacing w:line="360" w:lineRule="auto"/>
              <w:rPr>
                <w:rFonts w:ascii="宋体" w:hAnsi="宋体"/>
                <w:color w:val="000000" w:themeColor="text1"/>
                <w:sz w:val="24"/>
                <w:highlight w:val="none"/>
                <w14:textFill>
                  <w14:solidFill>
                    <w14:schemeClr w14:val="tx1"/>
                  </w14:solidFill>
                </w14:textFill>
              </w:rPr>
            </w:pPr>
          </w:p>
        </w:tc>
        <w:tc>
          <w:tcPr>
            <w:tcW w:w="1260" w:type="dxa"/>
            <w:vAlign w:val="center"/>
          </w:tcPr>
          <w:p w14:paraId="672C6FEE">
            <w:pPr>
              <w:spacing w:line="360" w:lineRule="auto"/>
              <w:rPr>
                <w:rFonts w:ascii="宋体" w:hAnsi="宋体"/>
                <w:color w:val="000000" w:themeColor="text1"/>
                <w:sz w:val="24"/>
                <w:highlight w:val="none"/>
                <w14:textFill>
                  <w14:solidFill>
                    <w14:schemeClr w14:val="tx1"/>
                  </w14:solidFill>
                </w14:textFill>
              </w:rPr>
            </w:pPr>
          </w:p>
        </w:tc>
        <w:tc>
          <w:tcPr>
            <w:tcW w:w="945" w:type="dxa"/>
            <w:vAlign w:val="center"/>
          </w:tcPr>
          <w:p w14:paraId="3E300315">
            <w:pPr>
              <w:spacing w:line="360" w:lineRule="auto"/>
              <w:rPr>
                <w:rFonts w:ascii="宋体" w:hAnsi="宋体"/>
                <w:color w:val="000000" w:themeColor="text1"/>
                <w:sz w:val="24"/>
                <w:highlight w:val="none"/>
                <w14:textFill>
                  <w14:solidFill>
                    <w14:schemeClr w14:val="tx1"/>
                  </w14:solidFill>
                </w14:textFill>
              </w:rPr>
            </w:pPr>
          </w:p>
        </w:tc>
        <w:tc>
          <w:tcPr>
            <w:tcW w:w="2145" w:type="dxa"/>
            <w:vAlign w:val="center"/>
          </w:tcPr>
          <w:p w14:paraId="11821DEB">
            <w:pPr>
              <w:spacing w:line="360" w:lineRule="auto"/>
              <w:rPr>
                <w:rFonts w:ascii="宋体" w:hAnsi="宋体"/>
                <w:color w:val="000000" w:themeColor="text1"/>
                <w:sz w:val="24"/>
                <w:highlight w:val="none"/>
                <w14:textFill>
                  <w14:solidFill>
                    <w14:schemeClr w14:val="tx1"/>
                  </w14:solidFill>
                </w14:textFill>
              </w:rPr>
            </w:pPr>
          </w:p>
        </w:tc>
      </w:tr>
      <w:tr w14:paraId="482B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14:paraId="6E685FF1">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76B27546">
            <w:pPr>
              <w:spacing w:line="360" w:lineRule="auto"/>
              <w:rPr>
                <w:rFonts w:ascii="宋体" w:hAnsi="宋体"/>
                <w:color w:val="000000" w:themeColor="text1"/>
                <w:sz w:val="24"/>
                <w:highlight w:val="none"/>
                <w14:textFill>
                  <w14:solidFill>
                    <w14:schemeClr w14:val="tx1"/>
                  </w14:solidFill>
                </w14:textFill>
              </w:rPr>
            </w:pPr>
          </w:p>
        </w:tc>
        <w:tc>
          <w:tcPr>
            <w:tcW w:w="773" w:type="dxa"/>
            <w:vAlign w:val="center"/>
          </w:tcPr>
          <w:p w14:paraId="7FA2D793">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37CD7AB1">
            <w:pPr>
              <w:spacing w:line="360" w:lineRule="auto"/>
              <w:rPr>
                <w:rFonts w:ascii="宋体" w:hAnsi="宋体"/>
                <w:color w:val="000000" w:themeColor="text1"/>
                <w:sz w:val="24"/>
                <w:highlight w:val="none"/>
                <w14:textFill>
                  <w14:solidFill>
                    <w14:schemeClr w14:val="tx1"/>
                  </w14:solidFill>
                </w14:textFill>
              </w:rPr>
            </w:pPr>
          </w:p>
        </w:tc>
        <w:tc>
          <w:tcPr>
            <w:tcW w:w="847" w:type="dxa"/>
            <w:vAlign w:val="center"/>
          </w:tcPr>
          <w:p w14:paraId="58A4AEAD">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27269A6A">
            <w:pPr>
              <w:spacing w:line="360" w:lineRule="auto"/>
              <w:rPr>
                <w:rFonts w:ascii="宋体" w:hAnsi="宋体"/>
                <w:color w:val="000000" w:themeColor="text1"/>
                <w:sz w:val="24"/>
                <w:highlight w:val="none"/>
                <w14:textFill>
                  <w14:solidFill>
                    <w14:schemeClr w14:val="tx1"/>
                  </w14:solidFill>
                </w14:textFill>
              </w:rPr>
            </w:pPr>
          </w:p>
        </w:tc>
        <w:tc>
          <w:tcPr>
            <w:tcW w:w="900" w:type="dxa"/>
            <w:vAlign w:val="center"/>
          </w:tcPr>
          <w:p w14:paraId="673C74CB">
            <w:pPr>
              <w:spacing w:line="360" w:lineRule="auto"/>
              <w:rPr>
                <w:rFonts w:ascii="宋体" w:hAnsi="宋体"/>
                <w:color w:val="000000" w:themeColor="text1"/>
                <w:sz w:val="24"/>
                <w:highlight w:val="none"/>
                <w14:textFill>
                  <w14:solidFill>
                    <w14:schemeClr w14:val="tx1"/>
                  </w14:solidFill>
                </w14:textFill>
              </w:rPr>
            </w:pPr>
          </w:p>
        </w:tc>
        <w:tc>
          <w:tcPr>
            <w:tcW w:w="1260" w:type="dxa"/>
            <w:vAlign w:val="center"/>
          </w:tcPr>
          <w:p w14:paraId="77BF192C">
            <w:pPr>
              <w:spacing w:line="360" w:lineRule="auto"/>
              <w:rPr>
                <w:rFonts w:ascii="宋体" w:hAnsi="宋体"/>
                <w:color w:val="000000" w:themeColor="text1"/>
                <w:sz w:val="24"/>
                <w:highlight w:val="none"/>
                <w14:textFill>
                  <w14:solidFill>
                    <w14:schemeClr w14:val="tx1"/>
                  </w14:solidFill>
                </w14:textFill>
              </w:rPr>
            </w:pPr>
          </w:p>
        </w:tc>
        <w:tc>
          <w:tcPr>
            <w:tcW w:w="945" w:type="dxa"/>
            <w:vAlign w:val="center"/>
          </w:tcPr>
          <w:p w14:paraId="32900236">
            <w:pPr>
              <w:spacing w:line="360" w:lineRule="auto"/>
              <w:rPr>
                <w:rFonts w:ascii="宋体" w:hAnsi="宋体"/>
                <w:color w:val="000000" w:themeColor="text1"/>
                <w:sz w:val="24"/>
                <w:highlight w:val="none"/>
                <w14:textFill>
                  <w14:solidFill>
                    <w14:schemeClr w14:val="tx1"/>
                  </w14:solidFill>
                </w14:textFill>
              </w:rPr>
            </w:pPr>
          </w:p>
        </w:tc>
        <w:tc>
          <w:tcPr>
            <w:tcW w:w="2145" w:type="dxa"/>
            <w:vAlign w:val="center"/>
          </w:tcPr>
          <w:p w14:paraId="59A49AD5">
            <w:pPr>
              <w:spacing w:line="360" w:lineRule="auto"/>
              <w:rPr>
                <w:rFonts w:ascii="宋体" w:hAnsi="宋体"/>
                <w:color w:val="000000" w:themeColor="text1"/>
                <w:sz w:val="24"/>
                <w:highlight w:val="none"/>
                <w14:textFill>
                  <w14:solidFill>
                    <w14:schemeClr w14:val="tx1"/>
                  </w14:solidFill>
                </w14:textFill>
              </w:rPr>
            </w:pPr>
          </w:p>
        </w:tc>
      </w:tr>
      <w:tr w14:paraId="06E6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14:paraId="0B8D14A1">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6B675F6D">
            <w:pPr>
              <w:spacing w:line="360" w:lineRule="auto"/>
              <w:rPr>
                <w:rFonts w:ascii="宋体" w:hAnsi="宋体"/>
                <w:color w:val="000000" w:themeColor="text1"/>
                <w:sz w:val="24"/>
                <w:highlight w:val="none"/>
                <w14:textFill>
                  <w14:solidFill>
                    <w14:schemeClr w14:val="tx1"/>
                  </w14:solidFill>
                </w14:textFill>
              </w:rPr>
            </w:pPr>
          </w:p>
        </w:tc>
        <w:tc>
          <w:tcPr>
            <w:tcW w:w="773" w:type="dxa"/>
            <w:vAlign w:val="center"/>
          </w:tcPr>
          <w:p w14:paraId="5589EFA1">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7C169CD3">
            <w:pPr>
              <w:spacing w:line="360" w:lineRule="auto"/>
              <w:rPr>
                <w:rFonts w:ascii="宋体" w:hAnsi="宋体"/>
                <w:color w:val="000000" w:themeColor="text1"/>
                <w:sz w:val="24"/>
                <w:highlight w:val="none"/>
                <w14:textFill>
                  <w14:solidFill>
                    <w14:schemeClr w14:val="tx1"/>
                  </w14:solidFill>
                </w14:textFill>
              </w:rPr>
            </w:pPr>
          </w:p>
        </w:tc>
        <w:tc>
          <w:tcPr>
            <w:tcW w:w="847" w:type="dxa"/>
            <w:vAlign w:val="center"/>
          </w:tcPr>
          <w:p w14:paraId="36F6DBBF">
            <w:pPr>
              <w:spacing w:line="360" w:lineRule="auto"/>
              <w:rPr>
                <w:rFonts w:ascii="宋体" w:hAnsi="宋体"/>
                <w:color w:val="000000" w:themeColor="text1"/>
                <w:sz w:val="24"/>
                <w:highlight w:val="none"/>
                <w14:textFill>
                  <w14:solidFill>
                    <w14:schemeClr w14:val="tx1"/>
                  </w14:solidFill>
                </w14:textFill>
              </w:rPr>
            </w:pPr>
          </w:p>
        </w:tc>
        <w:tc>
          <w:tcPr>
            <w:tcW w:w="720" w:type="dxa"/>
            <w:vAlign w:val="center"/>
          </w:tcPr>
          <w:p w14:paraId="00BEC14E">
            <w:pPr>
              <w:spacing w:line="360" w:lineRule="auto"/>
              <w:rPr>
                <w:rFonts w:ascii="宋体" w:hAnsi="宋体"/>
                <w:color w:val="000000" w:themeColor="text1"/>
                <w:sz w:val="24"/>
                <w:highlight w:val="none"/>
                <w14:textFill>
                  <w14:solidFill>
                    <w14:schemeClr w14:val="tx1"/>
                  </w14:solidFill>
                </w14:textFill>
              </w:rPr>
            </w:pPr>
          </w:p>
        </w:tc>
        <w:tc>
          <w:tcPr>
            <w:tcW w:w="900" w:type="dxa"/>
            <w:vAlign w:val="center"/>
          </w:tcPr>
          <w:p w14:paraId="172A7083">
            <w:pPr>
              <w:spacing w:line="360" w:lineRule="auto"/>
              <w:rPr>
                <w:rFonts w:ascii="宋体" w:hAnsi="宋体"/>
                <w:color w:val="000000" w:themeColor="text1"/>
                <w:sz w:val="24"/>
                <w:highlight w:val="none"/>
                <w14:textFill>
                  <w14:solidFill>
                    <w14:schemeClr w14:val="tx1"/>
                  </w14:solidFill>
                </w14:textFill>
              </w:rPr>
            </w:pPr>
          </w:p>
        </w:tc>
        <w:tc>
          <w:tcPr>
            <w:tcW w:w="1260" w:type="dxa"/>
            <w:vAlign w:val="center"/>
          </w:tcPr>
          <w:p w14:paraId="6A5A1681">
            <w:pPr>
              <w:spacing w:line="360" w:lineRule="auto"/>
              <w:rPr>
                <w:rFonts w:ascii="宋体" w:hAnsi="宋体"/>
                <w:color w:val="000000" w:themeColor="text1"/>
                <w:sz w:val="24"/>
                <w:highlight w:val="none"/>
                <w14:textFill>
                  <w14:solidFill>
                    <w14:schemeClr w14:val="tx1"/>
                  </w14:solidFill>
                </w14:textFill>
              </w:rPr>
            </w:pPr>
          </w:p>
        </w:tc>
        <w:tc>
          <w:tcPr>
            <w:tcW w:w="945" w:type="dxa"/>
            <w:vAlign w:val="center"/>
          </w:tcPr>
          <w:p w14:paraId="76FF63B3">
            <w:pPr>
              <w:spacing w:line="360" w:lineRule="auto"/>
              <w:rPr>
                <w:rFonts w:ascii="宋体" w:hAnsi="宋体"/>
                <w:color w:val="000000" w:themeColor="text1"/>
                <w:sz w:val="24"/>
                <w:highlight w:val="none"/>
                <w14:textFill>
                  <w14:solidFill>
                    <w14:schemeClr w14:val="tx1"/>
                  </w14:solidFill>
                </w14:textFill>
              </w:rPr>
            </w:pPr>
          </w:p>
        </w:tc>
        <w:tc>
          <w:tcPr>
            <w:tcW w:w="2145" w:type="dxa"/>
            <w:vAlign w:val="center"/>
          </w:tcPr>
          <w:p w14:paraId="48284BD1">
            <w:pPr>
              <w:spacing w:line="360" w:lineRule="auto"/>
              <w:rPr>
                <w:rFonts w:ascii="宋体" w:hAnsi="宋体"/>
                <w:color w:val="000000" w:themeColor="text1"/>
                <w:sz w:val="24"/>
                <w:highlight w:val="none"/>
                <w14:textFill>
                  <w14:solidFill>
                    <w14:schemeClr w14:val="tx1"/>
                  </w14:solidFill>
                </w14:textFill>
              </w:rPr>
            </w:pPr>
          </w:p>
        </w:tc>
      </w:tr>
    </w:tbl>
    <w:p w14:paraId="1EEAEE05">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CD8369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39DCC5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34112BC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2A67454A">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八、商务偏离表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48"/>
        <w:gridCol w:w="2516"/>
        <w:gridCol w:w="1780"/>
        <w:gridCol w:w="1571"/>
        <w:gridCol w:w="1571"/>
      </w:tblGrid>
      <w:tr w14:paraId="1CEA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80" w:type="dxa"/>
            <w:vAlign w:val="center"/>
          </w:tcPr>
          <w:p w14:paraId="6CAF5D8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248" w:type="dxa"/>
            <w:vAlign w:val="center"/>
          </w:tcPr>
          <w:p w14:paraId="4EA010A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w:t>
            </w:r>
          </w:p>
        </w:tc>
        <w:tc>
          <w:tcPr>
            <w:tcW w:w="2516" w:type="dxa"/>
            <w:vAlign w:val="center"/>
          </w:tcPr>
          <w:p w14:paraId="086C574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公开竞争文件商务要求</w:t>
            </w:r>
          </w:p>
        </w:tc>
        <w:tc>
          <w:tcPr>
            <w:tcW w:w="1780" w:type="dxa"/>
            <w:vAlign w:val="center"/>
          </w:tcPr>
          <w:p w14:paraId="1405836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响应文件</w:t>
            </w:r>
          </w:p>
          <w:p w14:paraId="13DD66D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商务资料</w:t>
            </w:r>
          </w:p>
        </w:tc>
        <w:tc>
          <w:tcPr>
            <w:tcW w:w="1571" w:type="dxa"/>
            <w:vAlign w:val="center"/>
          </w:tcPr>
          <w:p w14:paraId="6A51BB5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偏离说明</w:t>
            </w:r>
          </w:p>
        </w:tc>
        <w:tc>
          <w:tcPr>
            <w:tcW w:w="1571" w:type="dxa"/>
            <w:vAlign w:val="center"/>
          </w:tcPr>
          <w:p w14:paraId="2C39B54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75FA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14:paraId="79357C1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248" w:type="dxa"/>
            <w:vAlign w:val="center"/>
          </w:tcPr>
          <w:p w14:paraId="18F4DB1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516" w:type="dxa"/>
            <w:vAlign w:val="center"/>
          </w:tcPr>
          <w:p w14:paraId="5E8A1863">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780" w:type="dxa"/>
            <w:vAlign w:val="center"/>
          </w:tcPr>
          <w:p w14:paraId="6C1EE734">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0A03899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5326AA1A">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1E57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14:paraId="3C7011D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248" w:type="dxa"/>
            <w:vAlign w:val="center"/>
          </w:tcPr>
          <w:p w14:paraId="75007DDF">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516" w:type="dxa"/>
            <w:vAlign w:val="center"/>
          </w:tcPr>
          <w:p w14:paraId="43764FB4">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780" w:type="dxa"/>
            <w:vAlign w:val="center"/>
          </w:tcPr>
          <w:p w14:paraId="5DBD47A0">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68013A22">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23BB7B74">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3ECF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80" w:type="dxa"/>
            <w:vAlign w:val="center"/>
          </w:tcPr>
          <w:p w14:paraId="75C4289F">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248" w:type="dxa"/>
            <w:vAlign w:val="center"/>
          </w:tcPr>
          <w:p w14:paraId="649A95CD">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516" w:type="dxa"/>
            <w:vAlign w:val="center"/>
          </w:tcPr>
          <w:p w14:paraId="431D58A9">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780" w:type="dxa"/>
            <w:vAlign w:val="center"/>
          </w:tcPr>
          <w:p w14:paraId="01DDBA5D">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6F00BDFE">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571" w:type="dxa"/>
            <w:vAlign w:val="center"/>
          </w:tcPr>
          <w:p w14:paraId="29A73BA0">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bl>
    <w:p w14:paraId="2161706F">
      <w:pPr>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4AEC4889">
      <w:pPr>
        <w:pStyle w:val="16"/>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注：商务偏离表必须填写相关内容。若无偏离，请在偏离说明中填“无”；若有正、负偏离的请在表项中列明。</w:t>
      </w:r>
    </w:p>
    <w:p w14:paraId="7D50820A">
      <w:pPr>
        <w:spacing w:line="360" w:lineRule="auto"/>
        <w:ind w:left="5039" w:leftChars="228" w:hanging="4560" w:hangingChars="19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29C1014F">
      <w:pPr>
        <w:spacing w:line="360" w:lineRule="auto"/>
        <w:jc w:val="center"/>
        <w:rPr>
          <w:rFonts w:ascii="宋体" w:hAnsi="宋体"/>
          <w:color w:val="000000" w:themeColor="text1"/>
          <w:sz w:val="24"/>
          <w:highlight w:val="none"/>
          <w14:textFill>
            <w14:solidFill>
              <w14:schemeClr w14:val="tx1"/>
            </w14:solidFill>
          </w14:textFill>
        </w:rPr>
      </w:pPr>
    </w:p>
    <w:p w14:paraId="110C3F2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九、相关项目实施业绩一览表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60"/>
        <w:gridCol w:w="2340"/>
        <w:gridCol w:w="1800"/>
        <w:gridCol w:w="1260"/>
        <w:gridCol w:w="1667"/>
      </w:tblGrid>
      <w:tr w14:paraId="0B68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86" w:type="dxa"/>
            <w:tcBorders>
              <w:top w:val="single" w:color="auto" w:sz="4" w:space="0"/>
              <w:left w:val="single" w:color="auto" w:sz="4" w:space="0"/>
              <w:right w:val="single" w:color="auto" w:sz="4" w:space="0"/>
            </w:tcBorders>
            <w:vAlign w:val="center"/>
          </w:tcPr>
          <w:p w14:paraId="023CD48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采购单位</w:t>
            </w:r>
          </w:p>
        </w:tc>
        <w:tc>
          <w:tcPr>
            <w:tcW w:w="1260" w:type="dxa"/>
            <w:tcBorders>
              <w:top w:val="single" w:color="auto" w:sz="4" w:space="0"/>
              <w:left w:val="single" w:color="auto" w:sz="4" w:space="0"/>
              <w:right w:val="single" w:color="auto" w:sz="4" w:space="0"/>
            </w:tcBorders>
            <w:vAlign w:val="center"/>
          </w:tcPr>
          <w:p w14:paraId="4CE7CA4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14:paraId="1FC1E87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项目简要描述</w:t>
            </w:r>
          </w:p>
        </w:tc>
        <w:tc>
          <w:tcPr>
            <w:tcW w:w="1800" w:type="dxa"/>
            <w:tcBorders>
              <w:top w:val="single" w:color="auto" w:sz="4" w:space="0"/>
              <w:left w:val="single" w:color="auto" w:sz="4" w:space="0"/>
              <w:bottom w:val="single" w:color="auto" w:sz="4" w:space="0"/>
              <w:right w:val="single" w:color="auto" w:sz="4" w:space="0"/>
            </w:tcBorders>
            <w:vAlign w:val="center"/>
          </w:tcPr>
          <w:p w14:paraId="612C3DD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项目金额</w:t>
            </w:r>
          </w:p>
          <w:p w14:paraId="59B6742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（万元）</w:t>
            </w:r>
          </w:p>
        </w:tc>
        <w:tc>
          <w:tcPr>
            <w:tcW w:w="1260" w:type="dxa"/>
            <w:tcBorders>
              <w:top w:val="single" w:color="auto" w:sz="4" w:space="0"/>
              <w:left w:val="single" w:color="auto" w:sz="4" w:space="0"/>
              <w:bottom w:val="single" w:color="auto" w:sz="4" w:space="0"/>
              <w:right w:val="single" w:color="auto" w:sz="4" w:space="0"/>
            </w:tcBorders>
            <w:vAlign w:val="center"/>
          </w:tcPr>
          <w:p w14:paraId="496D40B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实施时间</w:t>
            </w:r>
          </w:p>
        </w:tc>
        <w:tc>
          <w:tcPr>
            <w:tcW w:w="1667" w:type="dxa"/>
            <w:tcBorders>
              <w:top w:val="single" w:color="auto" w:sz="4" w:space="0"/>
              <w:left w:val="single" w:color="auto" w:sz="4" w:space="0"/>
              <w:bottom w:val="single" w:color="auto" w:sz="4" w:space="0"/>
              <w:right w:val="single" w:color="auto" w:sz="4" w:space="0"/>
            </w:tcBorders>
            <w:vAlign w:val="center"/>
          </w:tcPr>
          <w:p w14:paraId="53B512B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采购单位</w:t>
            </w:r>
          </w:p>
          <w:p w14:paraId="00564D5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联系人及电话</w:t>
            </w:r>
          </w:p>
        </w:tc>
      </w:tr>
      <w:tr w14:paraId="3749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14:paraId="517B325C">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260" w:type="dxa"/>
            <w:tcBorders>
              <w:left w:val="single" w:color="auto" w:sz="4" w:space="0"/>
              <w:right w:val="single" w:color="auto" w:sz="4" w:space="0"/>
            </w:tcBorders>
            <w:vAlign w:val="center"/>
          </w:tcPr>
          <w:p w14:paraId="75BFAB07">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vAlign w:val="center"/>
          </w:tcPr>
          <w:p w14:paraId="179EEC90">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6B7DF1D6">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E90B711">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14:paraId="11620D54">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2742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14:paraId="67F58BAA">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260" w:type="dxa"/>
            <w:tcBorders>
              <w:left w:val="single" w:color="auto" w:sz="4" w:space="0"/>
              <w:right w:val="single" w:color="auto" w:sz="4" w:space="0"/>
            </w:tcBorders>
            <w:vAlign w:val="center"/>
          </w:tcPr>
          <w:p w14:paraId="304FF1CA">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vAlign w:val="center"/>
          </w:tcPr>
          <w:p w14:paraId="71EB0A90">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7FD439A5">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B9D55F7">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14:paraId="3606FAAF">
            <w:pPr>
              <w:spacing w:line="360" w:lineRule="auto"/>
              <w:ind w:firstLine="480" w:firstLineChars="200"/>
              <w:rPr>
                <w:rFonts w:ascii="宋体" w:hAnsi="宋体"/>
                <w:color w:val="000000" w:themeColor="text1"/>
                <w:sz w:val="24"/>
                <w:highlight w:val="none"/>
                <w14:textFill>
                  <w14:solidFill>
                    <w14:schemeClr w14:val="tx1"/>
                  </w14:solidFill>
                </w14:textFill>
              </w:rPr>
            </w:pPr>
          </w:p>
        </w:tc>
      </w:tr>
    </w:tbl>
    <w:p w14:paraId="52DB7176">
      <w:pPr>
        <w:spacing w:line="360" w:lineRule="auto"/>
        <w:rPr>
          <w:rFonts w:ascii="宋体" w:hAnsi="宋体"/>
          <w:color w:val="000000" w:themeColor="text1"/>
          <w:sz w:val="24"/>
          <w:highlight w:val="none"/>
          <w14:textFill>
            <w14:solidFill>
              <w14:schemeClr w14:val="tx1"/>
            </w14:solidFill>
          </w14:textFill>
        </w:rPr>
      </w:pPr>
    </w:p>
    <w:p w14:paraId="594EE06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49738705">
      <w:pPr>
        <w:spacing w:line="360" w:lineRule="auto"/>
        <w:ind w:left="5159" w:leftChars="228" w:hanging="4680" w:hangingChars="19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377C6F3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十、技术规范偏离表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21"/>
        <w:gridCol w:w="662"/>
        <w:gridCol w:w="2154"/>
        <w:gridCol w:w="1802"/>
        <w:gridCol w:w="1428"/>
        <w:gridCol w:w="1428"/>
      </w:tblGrid>
      <w:tr w14:paraId="03B3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70" w:type="dxa"/>
            <w:vAlign w:val="center"/>
          </w:tcPr>
          <w:p w14:paraId="4665D1D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221" w:type="dxa"/>
            <w:vAlign w:val="center"/>
          </w:tcPr>
          <w:p w14:paraId="4866BF5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货物名称</w:t>
            </w:r>
          </w:p>
        </w:tc>
        <w:tc>
          <w:tcPr>
            <w:tcW w:w="662" w:type="dxa"/>
            <w:vAlign w:val="center"/>
          </w:tcPr>
          <w:p w14:paraId="290F0DA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2154" w:type="dxa"/>
            <w:vAlign w:val="center"/>
          </w:tcPr>
          <w:p w14:paraId="4123228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公开竞争文件</w:t>
            </w:r>
          </w:p>
          <w:p w14:paraId="2FEE36D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技术规范、要求</w:t>
            </w:r>
          </w:p>
        </w:tc>
        <w:tc>
          <w:tcPr>
            <w:tcW w:w="1802" w:type="dxa"/>
            <w:vAlign w:val="center"/>
          </w:tcPr>
          <w:p w14:paraId="6D6EF86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响应文件</w:t>
            </w:r>
          </w:p>
          <w:p w14:paraId="0F2CC73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技术规范</w:t>
            </w:r>
          </w:p>
        </w:tc>
        <w:tc>
          <w:tcPr>
            <w:tcW w:w="1428" w:type="dxa"/>
            <w:vAlign w:val="center"/>
          </w:tcPr>
          <w:p w14:paraId="6354AD5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偏离说明</w:t>
            </w:r>
          </w:p>
        </w:tc>
        <w:tc>
          <w:tcPr>
            <w:tcW w:w="1428" w:type="dxa"/>
            <w:vAlign w:val="center"/>
          </w:tcPr>
          <w:p w14:paraId="22BEB02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3BD1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0" w:type="dxa"/>
          </w:tcPr>
          <w:p w14:paraId="130EC251">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21" w:type="dxa"/>
          </w:tcPr>
          <w:p w14:paraId="77CA0CB6">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662" w:type="dxa"/>
          </w:tcPr>
          <w:p w14:paraId="6356704D">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154" w:type="dxa"/>
          </w:tcPr>
          <w:p w14:paraId="173FDDC6">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802" w:type="dxa"/>
          </w:tcPr>
          <w:p w14:paraId="5AED2946">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28" w:type="dxa"/>
          </w:tcPr>
          <w:p w14:paraId="20F6008B">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28" w:type="dxa"/>
          </w:tcPr>
          <w:p w14:paraId="030DA9D8">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074B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0" w:type="dxa"/>
          </w:tcPr>
          <w:p w14:paraId="16EE54FF">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21" w:type="dxa"/>
          </w:tcPr>
          <w:p w14:paraId="084F6ABB">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662" w:type="dxa"/>
          </w:tcPr>
          <w:p w14:paraId="1FA91411">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2154" w:type="dxa"/>
          </w:tcPr>
          <w:p w14:paraId="615C58DD">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802" w:type="dxa"/>
          </w:tcPr>
          <w:p w14:paraId="5D4C5EEB">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28" w:type="dxa"/>
          </w:tcPr>
          <w:p w14:paraId="45469891">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28" w:type="dxa"/>
          </w:tcPr>
          <w:p w14:paraId="5389A79D">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bl>
    <w:p w14:paraId="6996F3C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320C937B">
      <w:pPr>
        <w:pStyle w:val="16"/>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注：技术规范偏离表必须填写相关内容，若无偏离，请在偏离说明中填“无”；若有正、负偏离的请在表项中列明。</w:t>
      </w:r>
    </w:p>
    <w:p w14:paraId="21591908">
      <w:pPr>
        <w:pStyle w:val="16"/>
        <w:rPr>
          <w:color w:val="000000" w:themeColor="text1"/>
          <w:highlight w:val="none"/>
          <w14:textFill>
            <w14:solidFill>
              <w14:schemeClr w14:val="tx1"/>
            </w14:solidFill>
          </w14:textFill>
        </w:rPr>
      </w:pPr>
    </w:p>
    <w:p w14:paraId="41F2675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1BB8BC5E">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十一、货物具体配置表</w:t>
      </w:r>
    </w:p>
    <w:p w14:paraId="6398CC7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填表说明：可附具体的介绍图文资料</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14:paraId="7A32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14:paraId="4C13073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801" w:type="dxa"/>
            <w:vAlign w:val="center"/>
          </w:tcPr>
          <w:p w14:paraId="3DE4144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设备名称</w:t>
            </w:r>
          </w:p>
        </w:tc>
        <w:tc>
          <w:tcPr>
            <w:tcW w:w="900" w:type="dxa"/>
            <w:vAlign w:val="center"/>
          </w:tcPr>
          <w:p w14:paraId="45BE05D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1080" w:type="dxa"/>
            <w:vAlign w:val="center"/>
          </w:tcPr>
          <w:p w14:paraId="0843722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品牌</w:t>
            </w:r>
          </w:p>
        </w:tc>
        <w:tc>
          <w:tcPr>
            <w:tcW w:w="1260" w:type="dxa"/>
            <w:vAlign w:val="center"/>
          </w:tcPr>
          <w:p w14:paraId="1C1AC75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规格型号</w:t>
            </w:r>
          </w:p>
        </w:tc>
        <w:tc>
          <w:tcPr>
            <w:tcW w:w="1620" w:type="dxa"/>
            <w:vAlign w:val="center"/>
          </w:tcPr>
          <w:p w14:paraId="5247724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性能及指标</w:t>
            </w:r>
          </w:p>
        </w:tc>
        <w:tc>
          <w:tcPr>
            <w:tcW w:w="1199" w:type="dxa"/>
            <w:vAlign w:val="center"/>
          </w:tcPr>
          <w:p w14:paraId="3775AAA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产地</w:t>
            </w:r>
          </w:p>
        </w:tc>
      </w:tr>
      <w:tr w14:paraId="275C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14:paraId="43BC3BD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1801" w:type="dxa"/>
            <w:vAlign w:val="center"/>
          </w:tcPr>
          <w:p w14:paraId="774FA4A1">
            <w:pPr>
              <w:jc w:val="center"/>
              <w:rPr>
                <w:color w:val="000000" w:themeColor="text1"/>
                <w:sz w:val="24"/>
                <w:highlight w:val="none"/>
                <w14:textFill>
                  <w14:solidFill>
                    <w14:schemeClr w14:val="tx1"/>
                  </w14:solidFill>
                </w14:textFill>
              </w:rPr>
            </w:pPr>
          </w:p>
        </w:tc>
        <w:tc>
          <w:tcPr>
            <w:tcW w:w="900" w:type="dxa"/>
            <w:vAlign w:val="center"/>
          </w:tcPr>
          <w:p w14:paraId="005708AF">
            <w:pPr>
              <w:jc w:val="center"/>
              <w:rPr>
                <w:color w:val="000000" w:themeColor="text1"/>
                <w:sz w:val="24"/>
                <w:highlight w:val="none"/>
                <w14:textFill>
                  <w14:solidFill>
                    <w14:schemeClr w14:val="tx1"/>
                  </w14:solidFill>
                </w14:textFill>
              </w:rPr>
            </w:pPr>
          </w:p>
        </w:tc>
        <w:tc>
          <w:tcPr>
            <w:tcW w:w="1080" w:type="dxa"/>
            <w:vAlign w:val="center"/>
          </w:tcPr>
          <w:p w14:paraId="71142E45">
            <w:pPr>
              <w:jc w:val="center"/>
              <w:rPr>
                <w:color w:val="000000" w:themeColor="text1"/>
                <w:sz w:val="24"/>
                <w:highlight w:val="none"/>
                <w14:textFill>
                  <w14:solidFill>
                    <w14:schemeClr w14:val="tx1"/>
                  </w14:solidFill>
                </w14:textFill>
              </w:rPr>
            </w:pPr>
          </w:p>
        </w:tc>
        <w:tc>
          <w:tcPr>
            <w:tcW w:w="1260" w:type="dxa"/>
            <w:vAlign w:val="center"/>
          </w:tcPr>
          <w:p w14:paraId="55C078B4">
            <w:pPr>
              <w:jc w:val="center"/>
              <w:rPr>
                <w:color w:val="000000" w:themeColor="text1"/>
                <w:sz w:val="24"/>
                <w:highlight w:val="none"/>
                <w14:textFill>
                  <w14:solidFill>
                    <w14:schemeClr w14:val="tx1"/>
                  </w14:solidFill>
                </w14:textFill>
              </w:rPr>
            </w:pPr>
          </w:p>
        </w:tc>
        <w:tc>
          <w:tcPr>
            <w:tcW w:w="1620" w:type="dxa"/>
            <w:vAlign w:val="center"/>
          </w:tcPr>
          <w:p w14:paraId="7FB33924">
            <w:pPr>
              <w:jc w:val="center"/>
              <w:rPr>
                <w:color w:val="000000" w:themeColor="text1"/>
                <w:sz w:val="24"/>
                <w:highlight w:val="none"/>
                <w14:textFill>
                  <w14:solidFill>
                    <w14:schemeClr w14:val="tx1"/>
                  </w14:solidFill>
                </w14:textFill>
              </w:rPr>
            </w:pPr>
          </w:p>
        </w:tc>
        <w:tc>
          <w:tcPr>
            <w:tcW w:w="1199" w:type="dxa"/>
            <w:vAlign w:val="center"/>
          </w:tcPr>
          <w:p w14:paraId="1D045575">
            <w:pPr>
              <w:jc w:val="center"/>
              <w:rPr>
                <w:color w:val="000000" w:themeColor="text1"/>
                <w:sz w:val="24"/>
                <w:highlight w:val="none"/>
                <w14:textFill>
                  <w14:solidFill>
                    <w14:schemeClr w14:val="tx1"/>
                  </w14:solidFill>
                </w14:textFill>
              </w:rPr>
            </w:pPr>
          </w:p>
        </w:tc>
      </w:tr>
      <w:tr w14:paraId="4622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14:paraId="0636257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1801" w:type="dxa"/>
            <w:vAlign w:val="center"/>
          </w:tcPr>
          <w:p w14:paraId="43BABDFB">
            <w:pPr>
              <w:jc w:val="center"/>
              <w:rPr>
                <w:color w:val="000000" w:themeColor="text1"/>
                <w:sz w:val="24"/>
                <w:highlight w:val="none"/>
                <w14:textFill>
                  <w14:solidFill>
                    <w14:schemeClr w14:val="tx1"/>
                  </w14:solidFill>
                </w14:textFill>
              </w:rPr>
            </w:pPr>
          </w:p>
        </w:tc>
        <w:tc>
          <w:tcPr>
            <w:tcW w:w="900" w:type="dxa"/>
            <w:vAlign w:val="center"/>
          </w:tcPr>
          <w:p w14:paraId="20273023">
            <w:pPr>
              <w:jc w:val="center"/>
              <w:rPr>
                <w:color w:val="000000" w:themeColor="text1"/>
                <w:sz w:val="24"/>
                <w:highlight w:val="none"/>
                <w14:textFill>
                  <w14:solidFill>
                    <w14:schemeClr w14:val="tx1"/>
                  </w14:solidFill>
                </w14:textFill>
              </w:rPr>
            </w:pPr>
          </w:p>
        </w:tc>
        <w:tc>
          <w:tcPr>
            <w:tcW w:w="1080" w:type="dxa"/>
            <w:vAlign w:val="center"/>
          </w:tcPr>
          <w:p w14:paraId="3F0EACE8">
            <w:pPr>
              <w:jc w:val="center"/>
              <w:rPr>
                <w:color w:val="000000" w:themeColor="text1"/>
                <w:sz w:val="24"/>
                <w:highlight w:val="none"/>
                <w14:textFill>
                  <w14:solidFill>
                    <w14:schemeClr w14:val="tx1"/>
                  </w14:solidFill>
                </w14:textFill>
              </w:rPr>
            </w:pPr>
          </w:p>
        </w:tc>
        <w:tc>
          <w:tcPr>
            <w:tcW w:w="1260" w:type="dxa"/>
            <w:vAlign w:val="center"/>
          </w:tcPr>
          <w:p w14:paraId="6E22A8F8">
            <w:pPr>
              <w:jc w:val="center"/>
              <w:rPr>
                <w:color w:val="000000" w:themeColor="text1"/>
                <w:sz w:val="24"/>
                <w:highlight w:val="none"/>
                <w14:textFill>
                  <w14:solidFill>
                    <w14:schemeClr w14:val="tx1"/>
                  </w14:solidFill>
                </w14:textFill>
              </w:rPr>
            </w:pPr>
          </w:p>
        </w:tc>
        <w:tc>
          <w:tcPr>
            <w:tcW w:w="1620" w:type="dxa"/>
            <w:vAlign w:val="center"/>
          </w:tcPr>
          <w:p w14:paraId="1C49FC1C">
            <w:pPr>
              <w:jc w:val="center"/>
              <w:rPr>
                <w:color w:val="000000" w:themeColor="text1"/>
                <w:sz w:val="24"/>
                <w:highlight w:val="none"/>
                <w14:textFill>
                  <w14:solidFill>
                    <w14:schemeClr w14:val="tx1"/>
                  </w14:solidFill>
                </w14:textFill>
              </w:rPr>
            </w:pPr>
          </w:p>
        </w:tc>
        <w:tc>
          <w:tcPr>
            <w:tcW w:w="1199" w:type="dxa"/>
            <w:vAlign w:val="center"/>
          </w:tcPr>
          <w:p w14:paraId="766C5FB7">
            <w:pPr>
              <w:jc w:val="center"/>
              <w:rPr>
                <w:color w:val="000000" w:themeColor="text1"/>
                <w:sz w:val="24"/>
                <w:highlight w:val="none"/>
                <w14:textFill>
                  <w14:solidFill>
                    <w14:schemeClr w14:val="tx1"/>
                  </w14:solidFill>
                </w14:textFill>
              </w:rPr>
            </w:pPr>
          </w:p>
        </w:tc>
      </w:tr>
      <w:tr w14:paraId="2677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14:paraId="69B946B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1801" w:type="dxa"/>
            <w:vAlign w:val="center"/>
          </w:tcPr>
          <w:p w14:paraId="0680B793">
            <w:pPr>
              <w:jc w:val="center"/>
              <w:rPr>
                <w:color w:val="000000" w:themeColor="text1"/>
                <w:sz w:val="24"/>
                <w:highlight w:val="none"/>
                <w14:textFill>
                  <w14:solidFill>
                    <w14:schemeClr w14:val="tx1"/>
                  </w14:solidFill>
                </w14:textFill>
              </w:rPr>
            </w:pPr>
          </w:p>
        </w:tc>
        <w:tc>
          <w:tcPr>
            <w:tcW w:w="900" w:type="dxa"/>
            <w:vAlign w:val="center"/>
          </w:tcPr>
          <w:p w14:paraId="60FFB3BB">
            <w:pPr>
              <w:jc w:val="center"/>
              <w:rPr>
                <w:color w:val="000000" w:themeColor="text1"/>
                <w:sz w:val="24"/>
                <w:highlight w:val="none"/>
                <w14:textFill>
                  <w14:solidFill>
                    <w14:schemeClr w14:val="tx1"/>
                  </w14:solidFill>
                </w14:textFill>
              </w:rPr>
            </w:pPr>
          </w:p>
        </w:tc>
        <w:tc>
          <w:tcPr>
            <w:tcW w:w="1080" w:type="dxa"/>
            <w:vAlign w:val="center"/>
          </w:tcPr>
          <w:p w14:paraId="584D3DC2">
            <w:pPr>
              <w:jc w:val="center"/>
              <w:rPr>
                <w:color w:val="000000" w:themeColor="text1"/>
                <w:sz w:val="24"/>
                <w:highlight w:val="none"/>
                <w14:textFill>
                  <w14:solidFill>
                    <w14:schemeClr w14:val="tx1"/>
                  </w14:solidFill>
                </w14:textFill>
              </w:rPr>
            </w:pPr>
          </w:p>
        </w:tc>
        <w:tc>
          <w:tcPr>
            <w:tcW w:w="1260" w:type="dxa"/>
            <w:vAlign w:val="center"/>
          </w:tcPr>
          <w:p w14:paraId="102A33D8">
            <w:pPr>
              <w:jc w:val="center"/>
              <w:rPr>
                <w:color w:val="000000" w:themeColor="text1"/>
                <w:sz w:val="24"/>
                <w:highlight w:val="none"/>
                <w14:textFill>
                  <w14:solidFill>
                    <w14:schemeClr w14:val="tx1"/>
                  </w14:solidFill>
                </w14:textFill>
              </w:rPr>
            </w:pPr>
          </w:p>
        </w:tc>
        <w:tc>
          <w:tcPr>
            <w:tcW w:w="1620" w:type="dxa"/>
            <w:vAlign w:val="center"/>
          </w:tcPr>
          <w:p w14:paraId="411B9FCF">
            <w:pPr>
              <w:jc w:val="center"/>
              <w:rPr>
                <w:color w:val="000000" w:themeColor="text1"/>
                <w:sz w:val="24"/>
                <w:highlight w:val="none"/>
                <w14:textFill>
                  <w14:solidFill>
                    <w14:schemeClr w14:val="tx1"/>
                  </w14:solidFill>
                </w14:textFill>
              </w:rPr>
            </w:pPr>
          </w:p>
        </w:tc>
        <w:tc>
          <w:tcPr>
            <w:tcW w:w="1199" w:type="dxa"/>
            <w:vAlign w:val="center"/>
          </w:tcPr>
          <w:p w14:paraId="34E0B543">
            <w:pPr>
              <w:jc w:val="center"/>
              <w:rPr>
                <w:color w:val="000000" w:themeColor="text1"/>
                <w:sz w:val="24"/>
                <w:highlight w:val="none"/>
                <w14:textFill>
                  <w14:solidFill>
                    <w14:schemeClr w14:val="tx1"/>
                  </w14:solidFill>
                </w14:textFill>
              </w:rPr>
            </w:pPr>
          </w:p>
        </w:tc>
      </w:tr>
      <w:tr w14:paraId="27AC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14:paraId="283A9D1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1801" w:type="dxa"/>
            <w:vAlign w:val="center"/>
          </w:tcPr>
          <w:p w14:paraId="2EB7584A">
            <w:pPr>
              <w:jc w:val="center"/>
              <w:rPr>
                <w:color w:val="000000" w:themeColor="text1"/>
                <w:sz w:val="24"/>
                <w:highlight w:val="none"/>
                <w14:textFill>
                  <w14:solidFill>
                    <w14:schemeClr w14:val="tx1"/>
                  </w14:solidFill>
                </w14:textFill>
              </w:rPr>
            </w:pPr>
          </w:p>
        </w:tc>
        <w:tc>
          <w:tcPr>
            <w:tcW w:w="900" w:type="dxa"/>
            <w:vAlign w:val="center"/>
          </w:tcPr>
          <w:p w14:paraId="13EF7FDB">
            <w:pPr>
              <w:jc w:val="center"/>
              <w:rPr>
                <w:color w:val="000000" w:themeColor="text1"/>
                <w:sz w:val="24"/>
                <w:highlight w:val="none"/>
                <w14:textFill>
                  <w14:solidFill>
                    <w14:schemeClr w14:val="tx1"/>
                  </w14:solidFill>
                </w14:textFill>
              </w:rPr>
            </w:pPr>
          </w:p>
        </w:tc>
        <w:tc>
          <w:tcPr>
            <w:tcW w:w="1080" w:type="dxa"/>
            <w:vAlign w:val="center"/>
          </w:tcPr>
          <w:p w14:paraId="5CEE5BBB">
            <w:pPr>
              <w:jc w:val="center"/>
              <w:rPr>
                <w:color w:val="000000" w:themeColor="text1"/>
                <w:sz w:val="24"/>
                <w:highlight w:val="none"/>
                <w14:textFill>
                  <w14:solidFill>
                    <w14:schemeClr w14:val="tx1"/>
                  </w14:solidFill>
                </w14:textFill>
              </w:rPr>
            </w:pPr>
          </w:p>
        </w:tc>
        <w:tc>
          <w:tcPr>
            <w:tcW w:w="1260" w:type="dxa"/>
            <w:vAlign w:val="center"/>
          </w:tcPr>
          <w:p w14:paraId="26186EA2">
            <w:pPr>
              <w:jc w:val="center"/>
              <w:rPr>
                <w:color w:val="000000" w:themeColor="text1"/>
                <w:sz w:val="24"/>
                <w:highlight w:val="none"/>
                <w14:textFill>
                  <w14:solidFill>
                    <w14:schemeClr w14:val="tx1"/>
                  </w14:solidFill>
                </w14:textFill>
              </w:rPr>
            </w:pPr>
          </w:p>
        </w:tc>
        <w:tc>
          <w:tcPr>
            <w:tcW w:w="1620" w:type="dxa"/>
            <w:vAlign w:val="center"/>
          </w:tcPr>
          <w:p w14:paraId="23CEF98E">
            <w:pPr>
              <w:jc w:val="center"/>
              <w:rPr>
                <w:color w:val="000000" w:themeColor="text1"/>
                <w:sz w:val="24"/>
                <w:highlight w:val="none"/>
                <w14:textFill>
                  <w14:solidFill>
                    <w14:schemeClr w14:val="tx1"/>
                  </w14:solidFill>
                </w14:textFill>
              </w:rPr>
            </w:pPr>
          </w:p>
        </w:tc>
        <w:tc>
          <w:tcPr>
            <w:tcW w:w="1199" w:type="dxa"/>
            <w:vAlign w:val="center"/>
          </w:tcPr>
          <w:p w14:paraId="6E7C5BFC">
            <w:pPr>
              <w:jc w:val="center"/>
              <w:rPr>
                <w:color w:val="000000" w:themeColor="text1"/>
                <w:sz w:val="24"/>
                <w:highlight w:val="none"/>
                <w14:textFill>
                  <w14:solidFill>
                    <w14:schemeClr w14:val="tx1"/>
                  </w14:solidFill>
                </w14:textFill>
              </w:rPr>
            </w:pPr>
          </w:p>
        </w:tc>
      </w:tr>
      <w:tr w14:paraId="7F5E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14:paraId="2F55AEEA">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801" w:type="dxa"/>
            <w:vAlign w:val="center"/>
          </w:tcPr>
          <w:p w14:paraId="1F76AC67">
            <w:pPr>
              <w:jc w:val="center"/>
              <w:rPr>
                <w:color w:val="000000" w:themeColor="text1"/>
                <w:sz w:val="24"/>
                <w:highlight w:val="none"/>
                <w14:textFill>
                  <w14:solidFill>
                    <w14:schemeClr w14:val="tx1"/>
                  </w14:solidFill>
                </w14:textFill>
              </w:rPr>
            </w:pPr>
          </w:p>
        </w:tc>
        <w:tc>
          <w:tcPr>
            <w:tcW w:w="900" w:type="dxa"/>
            <w:vAlign w:val="center"/>
          </w:tcPr>
          <w:p w14:paraId="44F3ED19">
            <w:pPr>
              <w:jc w:val="center"/>
              <w:rPr>
                <w:color w:val="000000" w:themeColor="text1"/>
                <w:sz w:val="24"/>
                <w:highlight w:val="none"/>
                <w14:textFill>
                  <w14:solidFill>
                    <w14:schemeClr w14:val="tx1"/>
                  </w14:solidFill>
                </w14:textFill>
              </w:rPr>
            </w:pPr>
          </w:p>
        </w:tc>
        <w:tc>
          <w:tcPr>
            <w:tcW w:w="1080" w:type="dxa"/>
            <w:vAlign w:val="center"/>
          </w:tcPr>
          <w:p w14:paraId="5310B170">
            <w:pPr>
              <w:jc w:val="center"/>
              <w:rPr>
                <w:color w:val="000000" w:themeColor="text1"/>
                <w:sz w:val="24"/>
                <w:highlight w:val="none"/>
                <w14:textFill>
                  <w14:solidFill>
                    <w14:schemeClr w14:val="tx1"/>
                  </w14:solidFill>
                </w14:textFill>
              </w:rPr>
            </w:pPr>
          </w:p>
        </w:tc>
        <w:tc>
          <w:tcPr>
            <w:tcW w:w="1260" w:type="dxa"/>
            <w:vAlign w:val="center"/>
          </w:tcPr>
          <w:p w14:paraId="3A3FD5E4">
            <w:pPr>
              <w:jc w:val="center"/>
              <w:rPr>
                <w:color w:val="000000" w:themeColor="text1"/>
                <w:sz w:val="24"/>
                <w:highlight w:val="none"/>
                <w14:textFill>
                  <w14:solidFill>
                    <w14:schemeClr w14:val="tx1"/>
                  </w14:solidFill>
                </w14:textFill>
              </w:rPr>
            </w:pPr>
          </w:p>
        </w:tc>
        <w:tc>
          <w:tcPr>
            <w:tcW w:w="1620" w:type="dxa"/>
            <w:vAlign w:val="center"/>
          </w:tcPr>
          <w:p w14:paraId="5216D6EE">
            <w:pPr>
              <w:jc w:val="center"/>
              <w:rPr>
                <w:color w:val="000000" w:themeColor="text1"/>
                <w:sz w:val="24"/>
                <w:highlight w:val="none"/>
                <w14:textFill>
                  <w14:solidFill>
                    <w14:schemeClr w14:val="tx1"/>
                  </w14:solidFill>
                </w14:textFill>
              </w:rPr>
            </w:pPr>
          </w:p>
        </w:tc>
        <w:tc>
          <w:tcPr>
            <w:tcW w:w="1199" w:type="dxa"/>
            <w:vAlign w:val="center"/>
          </w:tcPr>
          <w:p w14:paraId="48517BAA">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r>
    </w:tbl>
    <w:p w14:paraId="70E7329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注：响应文件中必须明确主要设备的品牌、规格型号、性能指标等内容。</w:t>
      </w:r>
    </w:p>
    <w:p w14:paraId="35E78529">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CCE669A">
      <w:pPr>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响应人代表（签名）：                        响应人（加盖公章）：</w:t>
      </w:r>
    </w:p>
    <w:p w14:paraId="0FC990D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33BF9EBA">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F2D150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508F0CC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十二、服务体系基本情况一览表</w:t>
      </w:r>
    </w:p>
    <w:p w14:paraId="6F880F4D">
      <w:pPr>
        <w:spacing w:line="360" w:lineRule="auto"/>
        <w:jc w:val="center"/>
        <w:rPr>
          <w:rFonts w:ascii="宋体" w:hAnsi="宋体"/>
          <w:color w:val="000000" w:themeColor="text1"/>
          <w:sz w:val="24"/>
          <w:highlight w:val="none"/>
          <w14:textFill>
            <w14:solidFill>
              <w14:schemeClr w14:val="tx1"/>
            </w14:solidFill>
          </w14:textFill>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14:paraId="419D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14:paraId="47070B0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公司名称</w:t>
            </w:r>
          </w:p>
        </w:tc>
        <w:tc>
          <w:tcPr>
            <w:tcW w:w="1267" w:type="dxa"/>
            <w:vAlign w:val="center"/>
          </w:tcPr>
          <w:p w14:paraId="6783537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注册资本</w:t>
            </w:r>
          </w:p>
        </w:tc>
        <w:tc>
          <w:tcPr>
            <w:tcW w:w="1267" w:type="dxa"/>
            <w:vAlign w:val="center"/>
          </w:tcPr>
          <w:p w14:paraId="009EEF7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企业地址</w:t>
            </w:r>
          </w:p>
        </w:tc>
        <w:tc>
          <w:tcPr>
            <w:tcW w:w="1433" w:type="dxa"/>
            <w:vAlign w:val="center"/>
          </w:tcPr>
          <w:p w14:paraId="0FF3B74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法定代表人（负责人）</w:t>
            </w:r>
          </w:p>
        </w:tc>
        <w:tc>
          <w:tcPr>
            <w:tcW w:w="1101" w:type="dxa"/>
            <w:vAlign w:val="center"/>
          </w:tcPr>
          <w:p w14:paraId="42CEAF8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tc>
        <w:tc>
          <w:tcPr>
            <w:tcW w:w="1267" w:type="dxa"/>
            <w:vAlign w:val="center"/>
          </w:tcPr>
          <w:p w14:paraId="4FFA540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1268" w:type="dxa"/>
            <w:vAlign w:val="center"/>
          </w:tcPr>
          <w:p w14:paraId="18B4654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售后服务热线电话</w:t>
            </w:r>
          </w:p>
        </w:tc>
      </w:tr>
      <w:tr w14:paraId="72F9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14:paraId="3E5E59B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4D8F6002">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004C77B2">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33" w:type="dxa"/>
          </w:tcPr>
          <w:p w14:paraId="3D7CEC2C">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101" w:type="dxa"/>
          </w:tcPr>
          <w:p w14:paraId="035C968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63B27307">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8" w:type="dxa"/>
          </w:tcPr>
          <w:p w14:paraId="487E2F73">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0D71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14:paraId="272FF52B">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65A66940">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366AAA64">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33" w:type="dxa"/>
          </w:tcPr>
          <w:p w14:paraId="7FB59399">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101" w:type="dxa"/>
          </w:tcPr>
          <w:p w14:paraId="776F2CB9">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19E38C08">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8" w:type="dxa"/>
          </w:tcPr>
          <w:p w14:paraId="71CF5AA1">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r w14:paraId="5FD8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14:paraId="200F92B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56BA0597">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1649DF2D">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433" w:type="dxa"/>
          </w:tcPr>
          <w:p w14:paraId="7A32D26A">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101" w:type="dxa"/>
          </w:tcPr>
          <w:p w14:paraId="4EF071AB">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7" w:type="dxa"/>
          </w:tcPr>
          <w:p w14:paraId="55EBE45C">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c>
          <w:tcPr>
            <w:tcW w:w="1268" w:type="dxa"/>
          </w:tcPr>
          <w:p w14:paraId="37CE582F">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tc>
      </w:tr>
    </w:tbl>
    <w:p w14:paraId="6A99826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注：请附技术服务机构的相关资料（含营业执照、公司资质材料、人员情况、相关案例等）。</w:t>
      </w:r>
    </w:p>
    <w:p w14:paraId="3E06D034">
      <w:pPr>
        <w:spacing w:line="360" w:lineRule="auto"/>
        <w:ind w:firstLine="1440" w:firstLineChars="6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响应人代表（签名）：              响应人（加盖公章）：</w:t>
      </w:r>
    </w:p>
    <w:p w14:paraId="0241185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7375AFEA">
      <w:pPr>
        <w:spacing w:line="360" w:lineRule="auto"/>
        <w:ind w:firstLine="480" w:firstLineChars="200"/>
        <w:rPr>
          <w:rFonts w:ascii="宋体" w:hAnsi="宋体"/>
          <w:color w:val="000000" w:themeColor="text1"/>
          <w:sz w:val="24"/>
          <w:highlight w:val="none"/>
          <w14:textFill>
            <w14:solidFill>
              <w14:schemeClr w14:val="tx1"/>
            </w14:solidFill>
          </w14:textFill>
        </w:rPr>
      </w:pPr>
    </w:p>
    <w:p w14:paraId="065F60E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日期：20  年   月   日</w:t>
      </w:r>
    </w:p>
    <w:p w14:paraId="57781B9E">
      <w:pPr>
        <w:spacing w:line="360" w:lineRule="auto"/>
        <w:jc w:val="center"/>
        <w:rPr>
          <w:rFonts w:ascii="宋体" w:hAnsi="宋体"/>
          <w:color w:val="000000" w:themeColor="text1"/>
          <w:sz w:val="24"/>
          <w:highlight w:val="none"/>
          <w14:textFill>
            <w14:solidFill>
              <w14:schemeClr w14:val="tx1"/>
            </w14:solidFill>
          </w14:textFill>
        </w:rPr>
      </w:pPr>
    </w:p>
    <w:p w14:paraId="14EC2A28">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十三、响应文件外层包装封面（格式供参考）</w:t>
      </w:r>
    </w:p>
    <w:p w14:paraId="584EDB70">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p>
    <w:p w14:paraId="7BF2AD5B">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1、响应文件外层包装封面 </w:t>
      </w:r>
    </w:p>
    <w:p w14:paraId="0CD34203">
      <w:pPr>
        <w:spacing w:line="360" w:lineRule="auto"/>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响应文件（商务文件/技术文件）</w:t>
      </w:r>
    </w:p>
    <w:p w14:paraId="0512DD66">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项目名称：</w:t>
      </w:r>
      <w:r>
        <w:rPr>
          <w:rFonts w:hint="eastAsia" w:ascii="黑体" w:hAnsi="宋体" w:eastAsia="黑体"/>
          <w:color w:val="000000" w:themeColor="text1"/>
          <w:sz w:val="24"/>
          <w:highlight w:val="none"/>
          <w:u w:val="single"/>
          <w14:textFill>
            <w14:solidFill>
              <w14:schemeClr w14:val="tx1"/>
            </w14:solidFill>
          </w14:textFill>
        </w:rPr>
        <w:t xml:space="preserve">                                    </w:t>
      </w:r>
    </w:p>
    <w:p w14:paraId="247E8272">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项目编号：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37CD44B6">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标项序号：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4C2C4E2D">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响应人（加盖公章）：</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65992959">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在    年    月     日     时     分之前不得启封</w:t>
      </w:r>
    </w:p>
    <w:p w14:paraId="0F4E0870">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p>
    <w:p w14:paraId="1E0118E0">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2、报价文件外层包装封面</w:t>
      </w:r>
    </w:p>
    <w:p w14:paraId="74B478DE">
      <w:pPr>
        <w:spacing w:line="360" w:lineRule="auto"/>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响应文件（报价文件）</w:t>
      </w:r>
    </w:p>
    <w:p w14:paraId="360DB452">
      <w:pPr>
        <w:spacing w:line="360" w:lineRule="auto"/>
        <w:ind w:firstLine="1620" w:firstLineChars="675"/>
        <w:rPr>
          <w:rFonts w:ascii="黑体" w:hAnsi="宋体" w:eastAsia="黑体"/>
          <w:color w:val="000000" w:themeColor="text1"/>
          <w:sz w:val="24"/>
          <w:highlight w:val="none"/>
          <w:u w:val="singl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项目名称： </w:t>
      </w:r>
      <w:r>
        <w:rPr>
          <w:rFonts w:hint="eastAsia" w:ascii="黑体" w:hAnsi="宋体" w:eastAsia="黑体"/>
          <w:color w:val="000000" w:themeColor="text1"/>
          <w:sz w:val="24"/>
          <w:highlight w:val="none"/>
          <w:u w:val="single"/>
          <w14:textFill>
            <w14:solidFill>
              <w14:schemeClr w14:val="tx1"/>
            </w14:solidFill>
          </w14:textFill>
        </w:rPr>
        <w:t xml:space="preserve">                                   </w:t>
      </w:r>
    </w:p>
    <w:p w14:paraId="4E38FCEF">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项目编号：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2EB19644">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标项序号： </w:t>
      </w:r>
      <w:r>
        <w:rPr>
          <w:rFonts w:hint="eastAsia" w:ascii="黑体" w:hAnsi="宋体" w:eastAsia="黑体"/>
          <w:color w:val="000000" w:themeColor="text1"/>
          <w:sz w:val="24"/>
          <w:highlight w:val="none"/>
          <w:u w:val="single"/>
          <w14:textFill>
            <w14:solidFill>
              <w14:schemeClr w14:val="tx1"/>
            </w14:solidFill>
          </w14:textFill>
        </w:rPr>
        <w:t xml:space="preserve">                                   </w:t>
      </w:r>
    </w:p>
    <w:p w14:paraId="09369E61">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响应人（加盖公章）：</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76CF6612">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在    年    月     日     时     分之前不得启封</w:t>
      </w:r>
    </w:p>
    <w:p w14:paraId="6E8DF98A">
      <w:pPr>
        <w:spacing w:line="360" w:lineRule="auto"/>
        <w:jc w:val="center"/>
        <w:rPr>
          <w:rFonts w:ascii="宋体" w:hAnsi="宋体"/>
          <w:color w:val="000000" w:themeColor="text1"/>
          <w:sz w:val="24"/>
          <w:highlight w:val="none"/>
          <w14:textFill>
            <w14:solidFill>
              <w14:schemeClr w14:val="tx1"/>
            </w14:solidFill>
          </w14:textFill>
        </w:rPr>
      </w:pPr>
    </w:p>
    <w:p w14:paraId="54A4DFA8">
      <w:pPr>
        <w:spacing w:line="360" w:lineRule="auto"/>
        <w:jc w:val="center"/>
        <w:rPr>
          <w:rFonts w:ascii="宋体" w:hAnsi="宋体"/>
          <w:color w:val="000000" w:themeColor="text1"/>
          <w:sz w:val="24"/>
          <w:highlight w:val="none"/>
          <w14:textFill>
            <w14:solidFill>
              <w14:schemeClr w14:val="tx1"/>
            </w14:solidFill>
          </w14:textFill>
        </w:rPr>
      </w:pPr>
    </w:p>
    <w:p w14:paraId="493EDA4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十四、响应文件封面（格式供参考）</w:t>
      </w:r>
    </w:p>
    <w:p w14:paraId="2FA30E7D">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p>
    <w:p w14:paraId="1EA3BDFE">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p>
    <w:p w14:paraId="6D5B0D5A">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1、商务/技术文件封面</w:t>
      </w:r>
    </w:p>
    <w:p w14:paraId="1A5E6F63">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                                                               正本/副本</w:t>
      </w:r>
    </w:p>
    <w:p w14:paraId="60FDEA87">
      <w:pPr>
        <w:spacing w:line="360" w:lineRule="auto"/>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商务/技术文件</w:t>
      </w:r>
    </w:p>
    <w:p w14:paraId="11F230EB">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项目名称：</w:t>
      </w:r>
      <w:r>
        <w:rPr>
          <w:rFonts w:hint="eastAsia" w:ascii="黑体" w:hAnsi="宋体" w:eastAsia="黑体"/>
          <w:color w:val="000000" w:themeColor="text1"/>
          <w:sz w:val="24"/>
          <w:highlight w:val="none"/>
          <w:u w:val="single"/>
          <w14:textFill>
            <w14:solidFill>
              <w14:schemeClr w14:val="tx1"/>
            </w14:solidFill>
          </w14:textFill>
        </w:rPr>
        <w:t xml:space="preserve">                                    </w:t>
      </w:r>
    </w:p>
    <w:p w14:paraId="279253B8">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项目编号：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79A8C8BA">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标项序号：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29E91321">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响应人（加盖公章）：</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58B5D97B">
      <w:pPr>
        <w:spacing w:line="360" w:lineRule="auto"/>
        <w:ind w:firstLine="1980" w:firstLineChars="82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响应人代表签名：</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3F57A89D">
      <w:pPr>
        <w:spacing w:line="360" w:lineRule="auto"/>
        <w:ind w:firstLine="480" w:firstLineChars="200"/>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2、报价文件封面</w:t>
      </w:r>
    </w:p>
    <w:p w14:paraId="56745D70">
      <w:pPr>
        <w:spacing w:line="360" w:lineRule="auto"/>
        <w:ind w:firstLine="480" w:firstLineChars="200"/>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                                                               正本/副本</w:t>
      </w:r>
    </w:p>
    <w:p w14:paraId="127B7159">
      <w:pPr>
        <w:spacing w:line="360" w:lineRule="auto"/>
        <w:jc w:val="center"/>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报价文件</w:t>
      </w:r>
    </w:p>
    <w:p w14:paraId="12600EFE">
      <w:pPr>
        <w:spacing w:line="360" w:lineRule="auto"/>
        <w:ind w:firstLine="1620" w:firstLineChars="675"/>
        <w:rPr>
          <w:rFonts w:ascii="黑体" w:hAnsi="宋体" w:eastAsia="黑体"/>
          <w:color w:val="000000" w:themeColor="text1"/>
          <w:sz w:val="24"/>
          <w:highlight w:val="none"/>
          <w:u w:val="singl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项目名称：</w:t>
      </w:r>
      <w:r>
        <w:rPr>
          <w:rFonts w:hint="eastAsia" w:ascii="黑体" w:hAnsi="宋体" w:eastAsia="黑体"/>
          <w:color w:val="000000" w:themeColor="text1"/>
          <w:sz w:val="24"/>
          <w:highlight w:val="none"/>
          <w:u w:val="single"/>
          <w14:textFill>
            <w14:solidFill>
              <w14:schemeClr w14:val="tx1"/>
            </w14:solidFill>
          </w14:textFill>
        </w:rPr>
        <w:t xml:space="preserve">                                             </w:t>
      </w:r>
    </w:p>
    <w:p w14:paraId="484A5555">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项目编号：</w:t>
      </w:r>
      <w:r>
        <w:rPr>
          <w:rFonts w:hint="eastAsia" w:ascii="黑体" w:hAnsi="宋体" w:eastAsia="黑体"/>
          <w:color w:val="000000" w:themeColor="text1"/>
          <w:sz w:val="24"/>
          <w:highlight w:val="none"/>
          <w:u w:val="single"/>
          <w14:textFill>
            <w14:solidFill>
              <w14:schemeClr w14:val="tx1"/>
            </w14:solidFill>
          </w14:textFill>
        </w:rPr>
        <w:t xml:space="preserve">                                             </w:t>
      </w:r>
    </w:p>
    <w:p w14:paraId="1D4FDB5D">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标项序号：</w:t>
      </w:r>
      <w:r>
        <w:rPr>
          <w:rFonts w:hint="eastAsia" w:ascii="黑体" w:hAnsi="宋体" w:eastAsia="黑体"/>
          <w:color w:val="000000" w:themeColor="text1"/>
          <w:sz w:val="24"/>
          <w:highlight w:val="none"/>
          <w:u w:val="single"/>
          <w14:textFill>
            <w14:solidFill>
              <w14:schemeClr w14:val="tx1"/>
            </w14:solidFill>
          </w14:textFill>
        </w:rPr>
        <w:t xml:space="preserve">                                             </w:t>
      </w:r>
      <w:r>
        <w:rPr>
          <w:rFonts w:hint="eastAsia" w:ascii="黑体" w:hAnsi="宋体" w:eastAsia="黑体"/>
          <w:color w:val="000000" w:themeColor="text1"/>
          <w:sz w:val="24"/>
          <w:highlight w:val="none"/>
          <w14:textFill>
            <w14:solidFill>
              <w14:schemeClr w14:val="tx1"/>
            </w14:solidFill>
          </w14:textFill>
        </w:rPr>
        <w:t xml:space="preserve"> </w:t>
      </w:r>
    </w:p>
    <w:p w14:paraId="4CDC8B2A">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响应人（加盖公章）：</w:t>
      </w:r>
      <w:r>
        <w:rPr>
          <w:rFonts w:hint="eastAsia" w:ascii="黑体" w:hAnsi="宋体" w:eastAsia="黑体"/>
          <w:color w:val="000000" w:themeColor="text1"/>
          <w:sz w:val="24"/>
          <w:highlight w:val="none"/>
          <w:u w:val="single"/>
          <w14:textFill>
            <w14:solidFill>
              <w14:schemeClr w14:val="tx1"/>
            </w14:solidFill>
          </w14:textFill>
        </w:rPr>
        <w:t xml:space="preserve">                                    </w:t>
      </w:r>
    </w:p>
    <w:p w14:paraId="15D878A6">
      <w:pPr>
        <w:spacing w:line="360" w:lineRule="auto"/>
        <w:ind w:firstLine="1620" w:firstLineChars="675"/>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响应人代表签名：</w:t>
      </w:r>
      <w:r>
        <w:rPr>
          <w:rFonts w:hint="eastAsia" w:ascii="黑体" w:hAnsi="宋体" w:eastAsia="黑体"/>
          <w:color w:val="000000" w:themeColor="text1"/>
          <w:sz w:val="24"/>
          <w:highlight w:val="none"/>
          <w:u w:val="single"/>
          <w14:textFill>
            <w14:solidFill>
              <w14:schemeClr w14:val="tx1"/>
            </w14:solidFill>
          </w14:textFill>
        </w:rPr>
        <w:t xml:space="preserve">                                       </w:t>
      </w:r>
    </w:p>
    <w:p w14:paraId="79BC7A5A">
      <w:pPr>
        <w:spacing w:line="360" w:lineRule="auto"/>
        <w:jc w:val="center"/>
        <w:rPr>
          <w:rFonts w:ascii="宋体" w:hAnsi="宋体"/>
          <w:color w:val="000000" w:themeColor="text1"/>
          <w:sz w:val="24"/>
          <w:highlight w:val="none"/>
          <w14:textFill>
            <w14:solidFill>
              <w14:schemeClr w14:val="tx1"/>
            </w14:solidFill>
          </w14:textFill>
        </w:rPr>
      </w:pPr>
    </w:p>
    <w:p w14:paraId="5EEFAA5D">
      <w:pPr>
        <w:spacing w:line="360" w:lineRule="auto"/>
        <w:jc w:val="center"/>
        <w:rPr>
          <w:rFonts w:ascii="宋体" w:hAnsi="宋体"/>
          <w:color w:val="000000" w:themeColor="text1"/>
          <w:sz w:val="24"/>
          <w:highlight w:val="none"/>
          <w14:textFill>
            <w14:solidFill>
              <w14:schemeClr w14:val="tx1"/>
            </w14:solidFill>
          </w14:textFill>
        </w:rPr>
      </w:pPr>
    </w:p>
    <w:p w14:paraId="4988B2B5">
      <w:pPr>
        <w:numPr>
          <w:ilvl w:val="0"/>
          <w:numId w:val="4"/>
        </w:num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中小企业申明函（格式供参考）</w:t>
      </w:r>
    </w:p>
    <w:p w14:paraId="6C21DFC9">
      <w:pPr>
        <w:snapToGrid w:val="0"/>
        <w:spacing w:before="50" w:after="50" w:line="360" w:lineRule="auto"/>
        <w:ind w:firstLine="1446" w:firstLineChars="6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中小企业的相关证明材料（如供应商为中小微企业）：</w:t>
      </w:r>
    </w:p>
    <w:p w14:paraId="2C03FC19">
      <w:pPr>
        <w:adjustRightInd w:val="0"/>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【非中小微企业不用提供】</w:t>
      </w:r>
    </w:p>
    <w:p w14:paraId="70F1AB49">
      <w:pPr>
        <w:snapToGrid w:val="0"/>
        <w:spacing w:before="50" w:after="50" w:line="360" w:lineRule="auto"/>
        <w:jc w:val="center"/>
        <w:rPr>
          <w:rFonts w:ascii="仿宋" w:hAnsi="仿宋" w:eastAsia="仿宋" w:cs="仿宋"/>
          <w:color w:val="000000" w:themeColor="text1"/>
          <w:sz w:val="24"/>
          <w:highlight w:val="none"/>
          <w14:textFill>
            <w14:solidFill>
              <w14:schemeClr w14:val="tx1"/>
            </w14:solidFill>
          </w14:textFill>
        </w:rPr>
      </w:pPr>
      <w:bookmarkStart w:id="46" w:name="_Toc331323743"/>
      <w:r>
        <w:rPr>
          <w:rFonts w:hint="eastAsia" w:ascii="仿宋" w:hAnsi="仿宋" w:eastAsia="仿宋" w:cs="仿宋"/>
          <w:b/>
          <w:color w:val="000000" w:themeColor="text1"/>
          <w:sz w:val="24"/>
          <w:highlight w:val="none"/>
          <w14:textFill>
            <w14:solidFill>
              <w14:schemeClr w14:val="tx1"/>
            </w14:solidFill>
          </w14:textFill>
        </w:rPr>
        <w:t>中小企业声明函（工程、服务）</w:t>
      </w:r>
    </w:p>
    <w:p w14:paraId="6D6C72DD">
      <w:pPr>
        <w:pStyle w:val="79"/>
        <w:spacing w:line="530" w:lineRule="exact"/>
        <w:ind w:firstLine="66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本公司（联合体）郑重声明，根据《政府采购促进中小企业发展管理办法》（财库</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2020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46号）的规定，本公司（联合体）参加</w:t>
      </w:r>
      <w:r>
        <w:rPr>
          <w:rFonts w:hint="eastAsia" w:ascii="仿宋" w:hAnsi="仿宋" w:eastAsia="仿宋" w:cs="仿宋"/>
          <w:color w:val="000000" w:themeColor="text1"/>
          <w:sz w:val="24"/>
          <w:szCs w:val="24"/>
          <w:highlight w:val="none"/>
          <w:u w:val="single"/>
          <w14:textFill>
            <w14:solidFill>
              <w14:schemeClr w14:val="tx1"/>
            </w14:solidFill>
          </w14:textFill>
        </w:rPr>
        <w:t>（单位名称）</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u w:val="single"/>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19266D6">
      <w:pPr>
        <w:pStyle w:val="79"/>
        <w:tabs>
          <w:tab w:val="left" w:pos="1193"/>
          <w:tab w:val="left" w:pos="6974"/>
        </w:tabs>
        <w:spacing w:line="525" w:lineRule="exact"/>
        <w:ind w:firstLine="480" w:firstLineChars="200"/>
        <w:rPr>
          <w:rFonts w:ascii="仿宋" w:hAnsi="仿宋" w:eastAsia="仿宋" w:cs="仿宋"/>
          <w:color w:val="000000" w:themeColor="text1"/>
          <w:sz w:val="24"/>
          <w:szCs w:val="24"/>
          <w:highlight w:val="none"/>
          <w:lang w:eastAsia="zh-CN"/>
          <w14:textFill>
            <w14:solidFill>
              <w14:schemeClr w14:val="tx1"/>
            </w14:solidFill>
          </w14:textFill>
        </w:rPr>
      </w:pPr>
      <w:bookmarkStart w:id="47" w:name="bookmark35"/>
      <w:bookmarkEnd w:id="47"/>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（标的名称）</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承建（承接）企业为</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lang w:val="en-US" w:eastAsia="zh-CN"/>
          <w14:textFill>
            <w14:solidFill>
              <w14:schemeClr w14:val="tx1"/>
            </w14:solidFill>
          </w14:textFill>
        </w:rPr>
        <w:t>_____</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lang w:val="en-US" w:eastAsia="zh-CN" w:bidi="zh-CN"/>
          <w14:textFill>
            <w14:solidFill>
              <w14:schemeClr w14:val="tx1"/>
            </w14:solidFill>
          </w14:textFill>
        </w:rPr>
        <w:t>_____</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lang w:val="en-US" w:eastAsia="zh-CN" w:bidi="zh-CN"/>
          <w14:textFill>
            <w14:solidFill>
              <w14:schemeClr w14:val="tx1"/>
            </w14:solidFill>
          </w14:textFill>
        </w:rPr>
        <w:t>_____</w:t>
      </w:r>
      <w:r>
        <w:rPr>
          <w:rFonts w:hint="eastAsia" w:ascii="仿宋" w:hAnsi="仿宋" w:eastAsia="仿宋" w:cs="仿宋"/>
          <w:color w:val="000000" w:themeColor="text1"/>
          <w:sz w:val="24"/>
          <w:szCs w:val="24"/>
          <w:highlight w:val="none"/>
          <w14:textFill>
            <w14:solidFill>
              <w14:schemeClr w14:val="tx1"/>
            </w14:solidFill>
          </w14:textFill>
        </w:rPr>
        <w:t>万元</w:t>
      </w:r>
      <w:r>
        <w:rPr>
          <w:rFonts w:hint="eastAsia" w:ascii="仿宋" w:hAnsi="仿宋" w:eastAsia="仿宋" w:cs="仿宋"/>
          <w:color w:val="000000" w:themeColor="text1"/>
          <w:sz w:val="24"/>
          <w:szCs w:val="24"/>
          <w:highlight w:val="none"/>
          <w:vertAlign w:val="superscript"/>
          <w:lang w:val="en-US" w:eastAsia="zh-CN" w:bidi="en-US"/>
          <w14:textFill>
            <w14:solidFill>
              <w14:schemeClr w14:val="tx1"/>
            </w14:solidFill>
          </w14:textFill>
        </w:rPr>
        <w:t>1</w:t>
      </w:r>
      <w:r>
        <w:rPr>
          <w:rFonts w:hint="eastAsia" w:ascii="仿宋" w:hAnsi="仿宋" w:eastAsia="仿宋" w:cs="仿宋"/>
          <w:color w:val="000000" w:themeColor="text1"/>
          <w:sz w:val="24"/>
          <w:szCs w:val="24"/>
          <w:highlight w:val="none"/>
          <w:lang w:val="en-US" w:eastAsia="zh-CN" w:bidi="en-US"/>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3053420">
      <w:pPr>
        <w:pStyle w:val="79"/>
        <w:tabs>
          <w:tab w:val="left" w:pos="1193"/>
          <w:tab w:val="left" w:pos="6965"/>
        </w:tabs>
        <w:spacing w:line="528" w:lineRule="exact"/>
        <w:ind w:firstLine="480" w:firstLineChars="200"/>
        <w:rPr>
          <w:rFonts w:ascii="仿宋" w:hAnsi="仿宋" w:eastAsia="仿宋" w:cs="仿宋"/>
          <w:color w:val="000000" w:themeColor="text1"/>
          <w:sz w:val="24"/>
          <w:szCs w:val="24"/>
          <w:highlight w:val="none"/>
          <w:lang w:val="zh-CN" w:eastAsia="zh-CN" w:bidi="zh-CN"/>
          <w14:textFill>
            <w14:solidFill>
              <w14:schemeClr w14:val="tx1"/>
            </w14:solidFill>
          </w14:textFill>
        </w:rPr>
      </w:pPr>
      <w:bookmarkStart w:id="48" w:name="bookmark36"/>
      <w:bookmarkEnd w:id="48"/>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（标的名称）</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承建（承接）企业为</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lang w:val="en-US" w:eastAsia="zh-CN"/>
          <w14:textFill>
            <w14:solidFill>
              <w14:schemeClr w14:val="tx1"/>
            </w14:solidFill>
          </w14:textFill>
        </w:rPr>
        <w:t>_____</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lang w:val="en-US" w:eastAsia="zh-CN" w:bidi="zh-CN"/>
          <w14:textFill>
            <w14:solidFill>
              <w14:schemeClr w14:val="tx1"/>
            </w14:solidFill>
          </w14:textFill>
        </w:rPr>
        <w:t>_____</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lang w:val="en-US" w:eastAsia="zh-CN" w:bidi="zh-CN"/>
          <w14:textFill>
            <w14:solidFill>
              <w14:schemeClr w14:val="tx1"/>
            </w14:solidFill>
          </w14:textFill>
        </w:rPr>
        <w:t>_____</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w:t>
      </w:r>
      <w:r>
        <w:rPr>
          <w:rFonts w:hint="eastAsia" w:ascii="仿宋" w:hAnsi="仿宋" w:eastAsia="仿宋" w:cs="仿宋"/>
          <w:color w:val="000000" w:themeColor="text1"/>
          <w:sz w:val="24"/>
          <w:szCs w:val="24"/>
          <w:highlight w:val="none"/>
          <w:u w:val="single"/>
          <w:lang w:val="zh-CN" w:eastAsia="zh-CN" w:bidi="zh-CN"/>
          <w14:textFill>
            <w14:solidFill>
              <w14:schemeClr w14:val="tx1"/>
            </w14:solidFill>
          </w14:textFill>
        </w:rPr>
        <w:t>业）</w:t>
      </w:r>
      <w:r>
        <w:rPr>
          <w:rFonts w:hint="eastAsia" w:ascii="仿宋" w:hAnsi="仿宋" w:eastAsia="仿宋" w:cs="仿宋"/>
          <w:color w:val="000000" w:themeColor="text1"/>
          <w:sz w:val="24"/>
          <w:szCs w:val="24"/>
          <w:highlight w:val="none"/>
          <w:lang w:val="zh-CN" w:eastAsia="zh-CN" w:bidi="zh-CN"/>
          <w14:textFill>
            <w14:solidFill>
              <w14:schemeClr w14:val="tx1"/>
            </w14:solidFill>
          </w14:textFill>
        </w:rPr>
        <w:t>；</w:t>
      </w:r>
    </w:p>
    <w:p w14:paraId="593F1ABE">
      <w:pPr>
        <w:pStyle w:val="79"/>
        <w:tabs>
          <w:tab w:val="left" w:pos="1193"/>
          <w:tab w:val="left" w:pos="6965"/>
        </w:tabs>
        <w:spacing w:line="528" w:lineRule="exact"/>
        <w:ind w:firstLine="480" w:firstLineChars="200"/>
        <w:rPr>
          <w:rFonts w:ascii="仿宋" w:hAnsi="仿宋" w:eastAsia="仿宋" w:cs="仿宋"/>
          <w:color w:val="000000" w:themeColor="text1"/>
          <w:sz w:val="24"/>
          <w:szCs w:val="24"/>
          <w:highlight w:val="none"/>
          <w:lang w:val="zh-CN" w:eastAsia="zh-CN" w:bidi="zh-CN"/>
          <w14:textFill>
            <w14:solidFill>
              <w14:schemeClr w14:val="tx1"/>
            </w14:solidFill>
          </w14:textFill>
        </w:rPr>
      </w:pPr>
      <w:r>
        <w:rPr>
          <w:rFonts w:hint="eastAsia" w:ascii="仿宋" w:hAnsi="仿宋" w:eastAsia="仿宋" w:cs="仿宋"/>
          <w:color w:val="000000" w:themeColor="text1"/>
          <w:sz w:val="24"/>
          <w:szCs w:val="24"/>
          <w:highlight w:val="none"/>
          <w:lang w:val="zh-CN" w:eastAsia="zh-CN" w:bidi="zh-CN"/>
          <w14:textFill>
            <w14:solidFill>
              <w14:schemeClr w14:val="tx1"/>
            </w14:solidFill>
          </w14:textFill>
        </w:rPr>
        <w:t>……</w:t>
      </w:r>
    </w:p>
    <w:p w14:paraId="6DFE20F3">
      <w:pPr>
        <w:pStyle w:val="79"/>
        <w:spacing w:line="52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1318CECD">
      <w:pPr>
        <w:pStyle w:val="79"/>
        <w:spacing w:line="520" w:lineRule="exact"/>
        <w:ind w:firstLine="66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本企业对上述声明内容的真实性负责。如有虚假，将依法承担相应责任。</w:t>
      </w:r>
    </w:p>
    <w:p w14:paraId="52429A5E">
      <w:pPr>
        <w:autoSpaceDE w:val="0"/>
        <w:autoSpaceDN w:val="0"/>
        <w:adjustRightInd w:val="0"/>
        <w:spacing w:line="420" w:lineRule="exact"/>
        <w:ind w:firstLine="4560" w:firstLineChars="19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响应人</w:t>
      </w:r>
      <w:r>
        <w:rPr>
          <w:rFonts w:hint="eastAsia" w:ascii="仿宋" w:hAnsi="仿宋" w:eastAsia="仿宋" w:cs="仿宋"/>
          <w:color w:val="000000" w:themeColor="text1"/>
          <w:kern w:val="0"/>
          <w:sz w:val="24"/>
          <w:highlight w:val="none"/>
          <w14:textFill>
            <w14:solidFill>
              <w14:schemeClr w14:val="tx1"/>
            </w14:solidFill>
          </w14:textFill>
        </w:rPr>
        <w:t xml:space="preserve">（公章）：                       </w:t>
      </w:r>
    </w:p>
    <w:p w14:paraId="75650BA8">
      <w:pPr>
        <w:autoSpaceDE w:val="0"/>
        <w:autoSpaceDN w:val="0"/>
        <w:adjustRightInd w:val="0"/>
        <w:spacing w:line="42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法定代表人或授权委托人（签字或盖章）：                   </w:t>
      </w:r>
    </w:p>
    <w:p w14:paraId="005320C6">
      <w:pPr>
        <w:spacing w:line="480" w:lineRule="exac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39D858E7">
      <w:pPr>
        <w:snapToGrid w:val="0"/>
        <w:spacing w:before="240" w:after="50" w:line="400" w:lineRule="exact"/>
        <w:ind w:firstLine="2625" w:firstLineChars="12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w:t>
      </w:r>
    </w:p>
    <w:p w14:paraId="45FBE7F2">
      <w:pPr>
        <w:pStyle w:val="80"/>
        <w:jc w:val="left"/>
        <w:rPr>
          <w:rFonts w:ascii="仿宋" w:hAnsi="仿宋" w:eastAsia="仿宋" w:cs="仿宋"/>
          <w:color w:val="000000" w:themeColor="text1"/>
          <w:sz w:val="20"/>
          <w:szCs w:val="20"/>
          <w:highlight w:val="none"/>
          <w14:textFill>
            <w14:solidFill>
              <w14:schemeClr w14:val="tx1"/>
            </w14:solidFill>
          </w14:textFill>
        </w:rPr>
      </w:pPr>
    </w:p>
    <w:p w14:paraId="7ED40EE5">
      <w:pPr>
        <w:pStyle w:val="80"/>
        <w:jc w:val="left"/>
        <w:rPr>
          <w:rFonts w:ascii="仿宋" w:hAnsi="仿宋" w:eastAsia="仿宋" w:cs="仿宋"/>
          <w:color w:val="000000" w:themeColor="text1"/>
          <w:sz w:val="24"/>
          <w:szCs w:val="24"/>
          <w:highlight w:val="none"/>
          <w:vertAlign w:val="superscript"/>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superscript"/>
          <w:lang w:val="en-US" w:eastAsia="zh-CN"/>
          <w14:textFill>
            <w14:solidFill>
              <w14:schemeClr w14:val="tx1"/>
            </w14:solidFill>
          </w14:textFill>
        </w:rPr>
        <w:t xml:space="preserve">_____________________________________ </w:t>
      </w:r>
    </w:p>
    <w:p w14:paraId="238BE82D">
      <w:pPr>
        <w:pStyle w:val="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vertAlign w:val="superscript"/>
          <w:lang w:val="en-US" w:eastAsia="zh-CN"/>
          <w14:textFill>
            <w14:solidFill>
              <w14:schemeClr w14:val="tx1"/>
            </w14:solidFill>
          </w14:textFill>
        </w:rPr>
        <w:t>1</w:t>
      </w:r>
      <w:r>
        <w:rPr>
          <w:rFonts w:hint="eastAsia" w:ascii="仿宋" w:hAnsi="仿宋" w:eastAsia="仿宋" w:cs="仿宋"/>
          <w:color w:val="000000" w:themeColor="text1"/>
          <w:sz w:val="20"/>
          <w:szCs w:val="20"/>
          <w:highlight w:val="none"/>
          <w14:textFill>
            <w14:solidFill>
              <w14:schemeClr w14:val="tx1"/>
            </w14:solidFill>
          </w14:textFill>
        </w:rPr>
        <w:t>从业人员、营业收入、资产总额填报上一年度数据，无上一年度数据的新成立企业可不填报。</w:t>
      </w:r>
    </w:p>
    <w:p w14:paraId="3CDECE28">
      <w:pPr>
        <w:snapToGrid w:val="0"/>
        <w:spacing w:line="4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p>
    <w:p w14:paraId="6C3E7C6C">
      <w:pPr>
        <w:snapToGrid w:val="0"/>
        <w:spacing w:line="4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p>
    <w:p w14:paraId="4EE55222">
      <w:pPr>
        <w:snapToGrid w:val="0"/>
        <w:spacing w:line="4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p>
    <w:p w14:paraId="716C02CC">
      <w:pPr>
        <w:snapToGrid w:val="0"/>
        <w:spacing w:line="4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p>
    <w:p w14:paraId="31154C0F">
      <w:pPr>
        <w:snapToGrid w:val="0"/>
        <w:spacing w:line="4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p>
    <w:p w14:paraId="235D993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残疾人福利性单位的相关证明材料（如供应商为残疾人福利性单位）：</w:t>
      </w:r>
    </w:p>
    <w:p w14:paraId="6F6AAA2A">
      <w:pPr>
        <w:widowControl/>
        <w:adjustRightInd w:val="0"/>
        <w:snapToGrid w:val="0"/>
        <w:spacing w:line="360" w:lineRule="auto"/>
        <w:jc w:val="center"/>
        <w:rPr>
          <w:rFonts w:ascii="仿宋" w:hAnsi="仿宋" w:eastAsia="仿宋" w:cs="仿宋"/>
          <w:b/>
          <w:bCs/>
          <w:color w:val="000000" w:themeColor="text1"/>
          <w:kern w:val="0"/>
          <w:szCs w:val="21"/>
          <w:highlight w:val="none"/>
          <w:u w:val="single"/>
          <w14:textFill>
            <w14:solidFill>
              <w14:schemeClr w14:val="tx1"/>
            </w14:solidFill>
          </w14:textFill>
        </w:rPr>
      </w:pPr>
    </w:p>
    <w:p w14:paraId="0B46BF66">
      <w:pPr>
        <w:widowControl/>
        <w:adjustRightInd w:val="0"/>
        <w:snapToGrid w:val="0"/>
        <w:spacing w:line="360" w:lineRule="auto"/>
        <w:jc w:val="center"/>
        <w:rPr>
          <w:rFonts w:ascii="仿宋" w:hAnsi="仿宋" w:eastAsia="仿宋" w:cs="仿宋"/>
          <w:b/>
          <w:color w:val="000000" w:themeColor="text1"/>
          <w:spacing w:val="6"/>
          <w:sz w:val="24"/>
          <w:highlight w:val="none"/>
          <w14:textFill>
            <w14:solidFill>
              <w14:schemeClr w14:val="tx1"/>
            </w14:solidFill>
          </w14:textFill>
        </w:rPr>
      </w:pPr>
      <w:r>
        <w:rPr>
          <w:rFonts w:hint="eastAsia" w:ascii="仿宋" w:hAnsi="仿宋" w:eastAsia="仿宋" w:cs="仿宋"/>
          <w:b/>
          <w:bCs/>
          <w:color w:val="000000" w:themeColor="text1"/>
          <w:kern w:val="0"/>
          <w:szCs w:val="21"/>
          <w:highlight w:val="none"/>
          <w:u w:val="single"/>
          <w14:textFill>
            <w14:solidFill>
              <w14:schemeClr w14:val="tx1"/>
            </w14:solidFill>
          </w14:textFill>
        </w:rPr>
        <w:t>【不属于残疾人福利性单位的无需填写、递交】</w:t>
      </w:r>
    </w:p>
    <w:p w14:paraId="05FB3B6E">
      <w:pPr>
        <w:spacing w:line="588" w:lineRule="exact"/>
        <w:ind w:firstLine="506" w:firstLineChars="200"/>
        <w:jc w:val="center"/>
        <w:rPr>
          <w:rFonts w:ascii="仿宋" w:hAnsi="仿宋" w:eastAsia="仿宋" w:cs="仿宋"/>
          <w:color w:val="000000" w:themeColor="text1"/>
          <w:spacing w:val="6"/>
          <w:sz w:val="24"/>
          <w:highlight w:val="none"/>
          <w14:textFill>
            <w14:solidFill>
              <w14:schemeClr w14:val="tx1"/>
            </w14:solidFill>
          </w14:textFill>
        </w:rPr>
      </w:pPr>
      <w:r>
        <w:rPr>
          <w:rFonts w:hint="eastAsia" w:ascii="仿宋" w:hAnsi="仿宋" w:eastAsia="仿宋" w:cs="仿宋"/>
          <w:b/>
          <w:color w:val="000000" w:themeColor="text1"/>
          <w:spacing w:val="6"/>
          <w:sz w:val="24"/>
          <w:highlight w:val="none"/>
          <w14:textFill>
            <w14:solidFill>
              <w14:schemeClr w14:val="tx1"/>
            </w14:solidFill>
          </w14:textFill>
        </w:rPr>
        <w:t>残疾人福利性单位声明函</w:t>
      </w:r>
    </w:p>
    <w:p w14:paraId="274AA5E2">
      <w:pPr>
        <w:spacing w:line="588" w:lineRule="exact"/>
        <w:ind w:firstLine="504" w:firstLineChars="200"/>
        <w:rPr>
          <w:rFonts w:ascii="仿宋" w:hAnsi="仿宋" w:eastAsia="仿宋" w:cs="仿宋"/>
          <w:color w:val="000000" w:themeColor="text1"/>
          <w:spacing w:val="6"/>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highlight w:val="none"/>
          <w14:textFill>
            <w14:solidFill>
              <w14:schemeClr w14:val="tx1"/>
            </w14:solidFill>
          </w14:textFill>
        </w:rPr>
        <w:t>〔2017〕 141</w:t>
      </w:r>
      <w:r>
        <w:rPr>
          <w:rFonts w:hint="eastAsia" w:ascii="仿宋" w:hAnsi="仿宋" w:eastAsia="仿宋" w:cs="仿宋"/>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73BED6">
      <w:pPr>
        <w:spacing w:line="588" w:lineRule="exact"/>
        <w:ind w:firstLine="504" w:firstLineChars="200"/>
        <w:rPr>
          <w:rFonts w:ascii="仿宋" w:hAnsi="仿宋" w:eastAsia="仿宋" w:cs="仿宋"/>
          <w:color w:val="000000" w:themeColor="text1"/>
          <w:spacing w:val="6"/>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本单位对上述声明的真实性负责。如有虚假，将依法承担相应责任。</w:t>
      </w:r>
    </w:p>
    <w:p w14:paraId="65928E0D">
      <w:pPr>
        <w:spacing w:line="588" w:lineRule="exact"/>
        <w:ind w:firstLine="504" w:firstLineChars="200"/>
        <w:rPr>
          <w:rFonts w:ascii="仿宋" w:hAnsi="仿宋" w:eastAsia="仿宋" w:cs="仿宋"/>
          <w:color w:val="000000" w:themeColor="text1"/>
          <w:spacing w:val="6"/>
          <w:sz w:val="24"/>
          <w:highlight w:val="none"/>
          <w14:textFill>
            <w14:solidFill>
              <w14:schemeClr w14:val="tx1"/>
            </w14:solidFill>
          </w14:textFill>
        </w:rPr>
      </w:pPr>
    </w:p>
    <w:p w14:paraId="2105DA26">
      <w:pPr>
        <w:spacing w:line="588" w:lineRule="exact"/>
        <w:ind w:firstLine="504" w:firstLineChars="200"/>
        <w:rPr>
          <w:rFonts w:ascii="仿宋" w:hAnsi="仿宋" w:eastAsia="仿宋" w:cs="仿宋"/>
          <w:color w:val="000000" w:themeColor="text1"/>
          <w:spacing w:val="6"/>
          <w:sz w:val="24"/>
          <w:highlight w:val="none"/>
          <w14:textFill>
            <w14:solidFill>
              <w14:schemeClr w14:val="tx1"/>
            </w14:solidFill>
          </w14:textFill>
        </w:rPr>
      </w:pPr>
    </w:p>
    <w:p w14:paraId="652A8034">
      <w:pPr>
        <w:autoSpaceDE w:val="0"/>
        <w:autoSpaceDN w:val="0"/>
        <w:adjustRightInd w:val="0"/>
        <w:spacing w:line="420" w:lineRule="exact"/>
        <w:ind w:firstLine="4560" w:firstLineChars="19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响应人</w:t>
      </w:r>
      <w:r>
        <w:rPr>
          <w:rFonts w:hint="eastAsia" w:ascii="仿宋" w:hAnsi="仿宋" w:eastAsia="仿宋" w:cs="仿宋"/>
          <w:color w:val="000000" w:themeColor="text1"/>
          <w:kern w:val="0"/>
          <w:sz w:val="24"/>
          <w:highlight w:val="none"/>
          <w14:textFill>
            <w14:solidFill>
              <w14:schemeClr w14:val="tx1"/>
            </w14:solidFill>
          </w14:textFill>
        </w:rPr>
        <w:t xml:space="preserve">（公章）：                       </w:t>
      </w:r>
    </w:p>
    <w:p w14:paraId="6934DE91">
      <w:pPr>
        <w:autoSpaceDE w:val="0"/>
        <w:autoSpaceDN w:val="0"/>
        <w:adjustRightInd w:val="0"/>
        <w:spacing w:line="42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法定代表人或授权委托人（签字或盖章）：                   </w:t>
      </w:r>
    </w:p>
    <w:p w14:paraId="10EF65EB">
      <w:pPr>
        <w:spacing w:line="480" w:lineRule="exac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5EE67EC8">
      <w:pPr>
        <w:snapToGrid w:val="0"/>
        <w:spacing w:before="240" w:after="50" w:line="400" w:lineRule="exact"/>
        <w:ind w:firstLine="2625" w:firstLineChars="12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w:t>
      </w:r>
    </w:p>
    <w:p w14:paraId="40A01C94">
      <w:pPr>
        <w:snapToGrid w:val="0"/>
        <w:spacing w:before="50" w:after="50" w:line="360" w:lineRule="auto"/>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u w:val="single"/>
          <w14:textFill>
            <w14:solidFill>
              <w14:schemeClr w14:val="tx1"/>
            </w14:solidFill>
          </w14:textFill>
        </w:rPr>
        <w:t xml:space="preserve">    </w:t>
      </w:r>
    </w:p>
    <w:p w14:paraId="6FFDFCE3">
      <w:pPr>
        <w:snapToGrid w:val="0"/>
        <w:spacing w:line="400" w:lineRule="exact"/>
        <w:ind w:firstLine="472" w:firstLineChars="196"/>
        <w:jc w:val="left"/>
        <w:rPr>
          <w:rFonts w:ascii="仿宋" w:hAnsi="仿宋" w:eastAsia="仿宋" w:cs="仿宋"/>
          <w:b/>
          <w:bCs/>
          <w:color w:val="000000" w:themeColor="text1"/>
          <w:kern w:val="0"/>
          <w:sz w:val="24"/>
          <w:highlight w:val="none"/>
          <w14:textFill>
            <w14:solidFill>
              <w14:schemeClr w14:val="tx1"/>
            </w14:solidFill>
          </w14:textFill>
        </w:rPr>
      </w:pPr>
    </w:p>
    <w:p w14:paraId="543CB7AF">
      <w:pPr>
        <w:snapToGrid w:val="0"/>
        <w:spacing w:line="400" w:lineRule="exact"/>
        <w:ind w:firstLine="482" w:firstLineChars="20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监狱企业的相关证明材料（</w:t>
      </w:r>
      <w:r>
        <w:rPr>
          <w:rFonts w:hint="eastAsia" w:ascii="仿宋" w:hAnsi="仿宋" w:eastAsia="仿宋" w:cs="仿宋"/>
          <w:b/>
          <w:bCs/>
          <w:color w:val="000000" w:themeColor="text1"/>
          <w:sz w:val="24"/>
          <w:highlight w:val="none"/>
          <w14:textFill>
            <w14:solidFill>
              <w14:schemeClr w14:val="tx1"/>
            </w14:solidFill>
          </w14:textFill>
        </w:rPr>
        <w:t>如供应商为监狱企业</w:t>
      </w:r>
      <w:r>
        <w:rPr>
          <w:rFonts w:hint="eastAsia" w:ascii="仿宋" w:hAnsi="仿宋" w:eastAsia="仿宋" w:cs="仿宋"/>
          <w:b/>
          <w:bCs/>
          <w:color w:val="000000" w:themeColor="text1"/>
          <w:kern w:val="0"/>
          <w:sz w:val="24"/>
          <w:highlight w:val="none"/>
          <w14:textFill>
            <w14:solidFill>
              <w14:schemeClr w14:val="tx1"/>
            </w14:solidFill>
          </w14:textFill>
        </w:rPr>
        <w:t>）：</w:t>
      </w:r>
    </w:p>
    <w:p w14:paraId="297318E1">
      <w:pPr>
        <w:snapToGrid w:val="0"/>
        <w:spacing w:line="400" w:lineRule="exact"/>
        <w:ind w:firstLine="482" w:firstLineChars="20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由省级以上监狱管理局、戒毒管理局（含新疆生产建设兵团）出具的属于监狱企业的证明文件。</w:t>
      </w:r>
    </w:p>
    <w:p w14:paraId="3180CE92">
      <w:pPr>
        <w:adjustRightInd w:val="0"/>
        <w:snapToGrid w:val="0"/>
        <w:spacing w:line="360" w:lineRule="auto"/>
        <w:jc w:val="center"/>
        <w:rPr>
          <w:rFonts w:ascii="仿宋" w:hAnsi="仿宋" w:eastAsia="仿宋" w:cs="仿宋"/>
          <w:b/>
          <w:color w:val="000000" w:themeColor="text1"/>
          <w:spacing w:val="6"/>
          <w:sz w:val="24"/>
          <w:highlight w:val="none"/>
          <w14:textFill>
            <w14:solidFill>
              <w14:schemeClr w14:val="tx1"/>
            </w14:solidFill>
          </w14:textFill>
        </w:rPr>
      </w:pPr>
      <w:r>
        <w:rPr>
          <w:rFonts w:hint="eastAsia" w:ascii="仿宋" w:hAnsi="仿宋" w:eastAsia="仿宋" w:cs="仿宋"/>
          <w:b/>
          <w:color w:val="000000" w:themeColor="text1"/>
          <w:szCs w:val="21"/>
          <w:highlight w:val="none"/>
          <w:u w:val="single"/>
          <w14:textFill>
            <w14:solidFill>
              <w14:schemeClr w14:val="tx1"/>
            </w14:solidFill>
          </w14:textFill>
        </w:rPr>
        <w:t>【不属于监狱企业的无需填写、递交】</w:t>
      </w:r>
    </w:p>
    <w:p w14:paraId="00E49EAB">
      <w:pPr>
        <w:pStyle w:val="3"/>
        <w:rPr>
          <w:b w:val="0"/>
          <w:color w:val="000000" w:themeColor="text1"/>
          <w:highlight w:val="none"/>
          <w14:textFill>
            <w14:solidFill>
              <w14:schemeClr w14:val="tx1"/>
            </w14:solidFill>
          </w14:textFill>
        </w:rPr>
      </w:pPr>
    </w:p>
    <w:p w14:paraId="77808023">
      <w:pPr>
        <w:pStyle w:val="3"/>
        <w:rPr>
          <w:b w:val="0"/>
          <w:color w:val="000000" w:themeColor="text1"/>
          <w:highlight w:val="none"/>
          <w14:textFill>
            <w14:solidFill>
              <w14:schemeClr w14:val="tx1"/>
            </w14:solidFill>
          </w14:textFill>
        </w:rPr>
      </w:pPr>
    </w:p>
    <w:p w14:paraId="2389B3C6">
      <w:pPr>
        <w:pStyle w:val="3"/>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第五部分  杭州市萧山区政府采购合同</w:t>
      </w:r>
      <w:bookmarkEnd w:id="46"/>
    </w:p>
    <w:p w14:paraId="1F0397C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（货物类样本）</w:t>
      </w:r>
    </w:p>
    <w:p w14:paraId="5D213B8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合同编号：</w:t>
      </w:r>
    </w:p>
    <w:p w14:paraId="011B1C1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签订地点：                                  签订时间：20* 年  月  日</w:t>
      </w:r>
    </w:p>
    <w:p w14:paraId="177B24C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p w14:paraId="50B408E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甲方（需方）：                                     </w:t>
      </w:r>
    </w:p>
    <w:p w14:paraId="14E0F67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乙方（供方）：                                     </w:t>
      </w:r>
    </w:p>
    <w:p w14:paraId="3A5A806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供、需双方根据杭州市萧山区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项目（编号XZCG</w:t>
      </w:r>
    </w:p>
    <w:p w14:paraId="23697A5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）成交结果和公开竞争文件的要求，并经双方协调一致，订立本采购合同。</w:t>
      </w:r>
    </w:p>
    <w:p w14:paraId="59C59A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一、合同文件：</w:t>
      </w:r>
    </w:p>
    <w:p w14:paraId="085BEAE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1、合同条款。</w:t>
      </w:r>
    </w:p>
    <w:p w14:paraId="70A27C5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2、成交通知书。</w:t>
      </w:r>
    </w:p>
    <w:p w14:paraId="5AD3C05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3、公开竞争文件。</w:t>
      </w:r>
    </w:p>
    <w:p w14:paraId="3BBFF8D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4、更正公告。</w:t>
      </w:r>
    </w:p>
    <w:p w14:paraId="42D8FFA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5、成交单位响应文件。</w:t>
      </w:r>
    </w:p>
    <w:p w14:paraId="05F8770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6、其他。</w:t>
      </w:r>
    </w:p>
    <w:p w14:paraId="3824E24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二、合同金额:合同金额为(大写)_________________元（￥</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元）人民币。</w:t>
      </w:r>
    </w:p>
    <w:p w14:paraId="1D56E51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附《采购项目清单内容》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7FE6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C92C24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40A327C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3E0BF65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53271C8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57A5FE4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5A77196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成交总价（元）</w:t>
            </w:r>
          </w:p>
        </w:tc>
      </w:tr>
      <w:tr w14:paraId="0A8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AE34B5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vAlign w:val="center"/>
          </w:tcPr>
          <w:p w14:paraId="7DBB4B56">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24F6DBEB">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14:paraId="3F61F4B4">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622D4B00">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F745F3A">
            <w:pPr>
              <w:spacing w:line="360" w:lineRule="auto"/>
              <w:ind w:firstLine="480" w:firstLineChars="200"/>
              <w:rPr>
                <w:rFonts w:ascii="宋体" w:hAnsi="宋体"/>
                <w:color w:val="000000" w:themeColor="text1"/>
                <w:sz w:val="24"/>
                <w:highlight w:val="none"/>
                <w14:textFill>
                  <w14:solidFill>
                    <w14:schemeClr w14:val="tx1"/>
                  </w14:solidFill>
                </w14:textFill>
              </w:rPr>
            </w:pPr>
          </w:p>
        </w:tc>
      </w:tr>
      <w:tr w14:paraId="2A02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14:paraId="7B47C3F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vAlign w:val="center"/>
          </w:tcPr>
          <w:p w14:paraId="55A36F33">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38BF462A">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tcPr>
          <w:p w14:paraId="096FD155">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3A7A9DE3">
            <w:pPr>
              <w:spacing w:line="360" w:lineRule="auto"/>
              <w:ind w:firstLine="480" w:firstLineChars="200"/>
              <w:rPr>
                <w:rFonts w:ascii="宋体" w:hAnsi="宋体"/>
                <w:color w:val="000000" w:themeColor="text1"/>
                <w:sz w:val="24"/>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A1E6449">
            <w:pPr>
              <w:spacing w:line="360" w:lineRule="auto"/>
              <w:ind w:firstLine="480" w:firstLineChars="200"/>
              <w:rPr>
                <w:rFonts w:ascii="宋体" w:hAnsi="宋体"/>
                <w:color w:val="000000" w:themeColor="text1"/>
                <w:sz w:val="24"/>
                <w:highlight w:val="none"/>
                <w14:textFill>
                  <w14:solidFill>
                    <w14:schemeClr w14:val="tx1"/>
                  </w14:solidFill>
                </w14:textFill>
              </w:rPr>
            </w:pPr>
          </w:p>
        </w:tc>
      </w:tr>
    </w:tbl>
    <w:p w14:paraId="0955F0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三、质量要求及供方对质量负责条件和期限：</w:t>
      </w:r>
    </w:p>
    <w:p w14:paraId="4634D95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1、供方提供的货物必须是现货、全新，符合采购要求的规格型号和技术指标。供方对货物提供</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年的免费保修期（货物厂家另有超过此质保期的按原规定执行），保修期内非因需方的人为原因而出现质量问题的，由供方负责包修、包换或者包退，并承担调换或退货的实际费用。</w:t>
      </w:r>
    </w:p>
    <w:p w14:paraId="6BDA907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2、供方在维保期内接到用户单位的电话后，在**小时内响应，**小时以内到现场，**小时以内解决问题，不能修复的，必须采取无偿提供备品、备件或备机等措施，以保证用户单位的正常使用。</w:t>
      </w:r>
    </w:p>
    <w:p w14:paraId="22E92E5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四、工期时间__________________________</w:t>
      </w:r>
    </w:p>
    <w:p w14:paraId="36331F3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交货地点：</w:t>
      </w:r>
      <w:r>
        <w:rPr>
          <w:rFonts w:hint="eastAsia" w:ascii="宋体" w:hAnsi="宋体"/>
          <w:color w:val="000000" w:themeColor="text1"/>
          <w:sz w:val="24"/>
          <w:highlight w:val="none"/>
          <w:u w:val="single"/>
          <w14:textFill>
            <w14:solidFill>
              <w14:schemeClr w14:val="tx1"/>
            </w14:solidFill>
          </w14:textFill>
        </w:rPr>
        <w:t xml:space="preserve">                                                               </w:t>
      </w:r>
    </w:p>
    <w:p w14:paraId="5B2FBF8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五、货款支付</w:t>
      </w:r>
    </w:p>
    <w:p w14:paraId="62496E4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1、付款方式：</w:t>
      </w:r>
    </w:p>
    <w:p w14:paraId="350C988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2、合同履行完毕，需方根据合同进行验收，验收合格后供应商按财政结算要求办理货款结算手续。</w:t>
      </w:r>
    </w:p>
    <w:p w14:paraId="1D86BB4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六、履约保证金、质量保证金</w:t>
      </w:r>
    </w:p>
    <w:p w14:paraId="4DE3AFF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1、履约保证金：为保证政府采购项目合同的顺利执行，供方在本合同签订之前，其成交价的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%作为履约保证金（银行汇票形式）交付采购人。待项目验收合格和供方交纳质量保证金后，由采购人将履约保证金无息退还供方。</w:t>
      </w:r>
    </w:p>
    <w:p w14:paraId="6405829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2、质量保证金：采购项目验收合格后，需方向供方收取质量保证金（成交价的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%）。质保期结束且无质量问题，由需方将质量保证金无息退还供方。</w:t>
      </w:r>
    </w:p>
    <w:p w14:paraId="7D7F456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七、违约责任</w:t>
      </w:r>
      <w:r>
        <w:rPr>
          <w:rFonts w:hint="eastAsia" w:ascii="宋体" w:hAnsi="宋体" w:cs="宋体"/>
          <w:color w:val="000000" w:themeColor="text1"/>
          <w:sz w:val="24"/>
          <w:highlight w:val="none"/>
          <w14:textFill>
            <w14:solidFill>
              <w14:schemeClr w14:val="tx1"/>
            </w14:solidFill>
          </w14:textFill>
        </w:rPr>
        <w:t></w:t>
      </w:r>
    </w:p>
    <w:p w14:paraId="3D45F3A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1、甲方无正当理由拒收货物的，甲方向乙方偿付拒收货款总值的百分之</w:t>
      </w:r>
      <w:r>
        <w:rPr>
          <w:rFonts w:hint="eastAsia" w:ascii="宋体" w:hAnsi="宋体"/>
          <w:color w:val="000000" w:themeColor="text1"/>
          <w:sz w:val="24"/>
          <w:highlight w:val="none"/>
          <w:u w:val="single"/>
          <w14:textFill>
            <w14:solidFill>
              <w14:schemeClr w14:val="tx1"/>
            </w14:solidFill>
          </w14:textFill>
        </w:rPr>
        <w:t xml:space="preserve"> 五 </w:t>
      </w:r>
      <w:r>
        <w:rPr>
          <w:rFonts w:hint="eastAsia" w:ascii="宋体" w:hAnsi="宋体"/>
          <w:color w:val="000000" w:themeColor="text1"/>
          <w:sz w:val="24"/>
          <w:highlight w:val="none"/>
          <w14:textFill>
            <w14:solidFill>
              <w14:schemeClr w14:val="tx1"/>
            </w14:solidFill>
          </w14:textFill>
        </w:rPr>
        <w:t>违约金。</w:t>
      </w:r>
    </w:p>
    <w:p w14:paraId="48E1E68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2、乙方逾期交付货物的，乙方应按逾期交付货款总额每日千分之</w:t>
      </w:r>
      <w:r>
        <w:rPr>
          <w:rFonts w:hint="eastAsia" w:ascii="宋体" w:hAnsi="宋体"/>
          <w:color w:val="000000" w:themeColor="text1"/>
          <w:sz w:val="24"/>
          <w:highlight w:val="none"/>
          <w:u w:val="single"/>
          <w14:textFill>
            <w14:solidFill>
              <w14:schemeClr w14:val="tx1"/>
            </w14:solidFill>
          </w14:textFill>
        </w:rPr>
        <w:t xml:space="preserve"> 六  </w:t>
      </w:r>
      <w:r>
        <w:rPr>
          <w:rFonts w:hint="eastAsia" w:ascii="宋体" w:hAnsi="宋体"/>
          <w:color w:val="000000" w:themeColor="text1"/>
          <w:sz w:val="24"/>
          <w:highlight w:val="none"/>
          <w14:textFill>
            <w14:solidFill>
              <w14:schemeClr w14:val="tx1"/>
            </w14:solidFill>
          </w14:textFill>
        </w:rPr>
        <w:t>向甲方支付违约金，由甲方从待付货款中扣除。逾期超过约定日期</w:t>
      </w:r>
      <w:r>
        <w:rPr>
          <w:rFonts w:hint="eastAsia" w:ascii="宋体" w:hAnsi="宋体"/>
          <w:color w:val="000000" w:themeColor="text1"/>
          <w:sz w:val="24"/>
          <w:highlight w:val="none"/>
          <w:u w:val="single"/>
          <w14:textFill>
            <w14:solidFill>
              <w14:schemeClr w14:val="tx1"/>
            </w14:solidFill>
          </w14:textFill>
        </w:rPr>
        <w:t xml:space="preserve"> 10 </w:t>
      </w:r>
      <w:r>
        <w:rPr>
          <w:rFonts w:hint="eastAsia" w:ascii="宋体" w:hAnsi="宋体"/>
          <w:color w:val="000000" w:themeColor="text1"/>
          <w:sz w:val="24"/>
          <w:highlight w:val="none"/>
          <w14:textFill>
            <w14:solidFill>
              <w14:schemeClr w14:val="tx1"/>
            </w14:solidFill>
          </w14:textFill>
        </w:rPr>
        <w:t>个工作日不能交货的，甲方可解除本合同，履约保证金不予退还，如造成甲方损失超过履约保证金的，超出部分由乙方继续承担赔偿责任。</w:t>
      </w:r>
    </w:p>
    <w:p w14:paraId="652A94E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所交的货物品种、型号、规格、技术参数、质量等不符合合同规定及响应文件承诺标准，甲方有权拒收该货物，乙方愿意更换货物但逾期交货的按乙方逾期交货处理。乙方拒绝更换货物的，甲方可单方面解除合同。</w:t>
      </w:r>
    </w:p>
    <w:p w14:paraId="0CD89F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4、因需方原因逾期支付合同款，自逾期之日起，向供方每日偿付合同总价千分之 二的滞纳金；需方无正当理由拒付货款的，应向供方偿付合同总价百分之五的违约金。</w:t>
      </w:r>
    </w:p>
    <w:p w14:paraId="4CDD61E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5、供方在项目验收合格之日起保修期内违反本合同有关承诺保证的，需方将有权不予退还质量保证金，损失赔偿不足部分，按合同第九条处理。</w:t>
      </w:r>
      <w:r>
        <w:rPr>
          <w:rFonts w:hint="eastAsia" w:ascii="宋体" w:hAnsi="宋体" w:cs="宋体"/>
          <w:color w:val="000000" w:themeColor="text1"/>
          <w:sz w:val="24"/>
          <w:highlight w:val="none"/>
          <w14:textFill>
            <w14:solidFill>
              <w14:schemeClr w14:val="tx1"/>
            </w14:solidFill>
          </w14:textFill>
        </w:rPr>
        <w:t></w:t>
      </w:r>
    </w:p>
    <w:p w14:paraId="1E1D25E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6、如发现乙方违反公开竞争文件、响应文件和合同的有关规定，甲方有权根据约定和《杭州市政府采购供应商合同履行和售后服务考核暂行办法》，对乙方进行处罚，并有权提前终止合同。</w:t>
      </w:r>
    </w:p>
    <w:p w14:paraId="5BEB385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八、调试和验收</w:t>
      </w:r>
    </w:p>
    <w:p w14:paraId="2EADC704">
      <w:pPr>
        <w:spacing w:line="360" w:lineRule="auto"/>
        <w:ind w:firstLine="480" w:firstLineChars="200"/>
        <w:rPr>
          <w:rFonts w:ascii="宋体" w:hAnsi="宋体"/>
          <w:color w:val="000000" w:themeColor="text1"/>
          <w:sz w:val="24"/>
          <w:highlight w:val="none"/>
          <w14:textFill>
            <w14:solidFill>
              <w14:schemeClr w14:val="tx1"/>
            </w14:solidFill>
          </w14:textFill>
        </w:rPr>
      </w:pPr>
    </w:p>
    <w:p w14:paraId="18F0FF5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九、争议的解决</w:t>
      </w:r>
      <w:r>
        <w:rPr>
          <w:rFonts w:hint="eastAsia" w:ascii="宋体" w:hAnsi="宋体" w:cs="宋体"/>
          <w:color w:val="000000" w:themeColor="text1"/>
          <w:sz w:val="24"/>
          <w:highlight w:val="none"/>
          <w14:textFill>
            <w14:solidFill>
              <w14:schemeClr w14:val="tx1"/>
            </w14:solidFill>
          </w14:textFill>
        </w:rPr>
        <w:t></w:t>
      </w:r>
    </w:p>
    <w:p w14:paraId="52A47C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因本合同引起的或与本合同有关的任何争议，合同双方应首先通过协商解决，达成书面协议，如协商不成，可选择下列第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种方式解决。</w:t>
      </w:r>
    </w:p>
    <w:p w14:paraId="5BDBA5D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（1）提请杭州仲裁委员会按照该会仲裁规则进行仲裁，仲裁裁决是终局的，对合同双方均有约束力。</w:t>
      </w:r>
    </w:p>
    <w:p w14:paraId="50949F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（2）向有管辖权的人民法院提起诉讼。</w:t>
      </w:r>
    </w:p>
    <w:p w14:paraId="0C8E006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十、合同生效</w:t>
      </w:r>
      <w:r>
        <w:rPr>
          <w:rFonts w:hint="eastAsia" w:ascii="宋体" w:hAnsi="宋体" w:cs="宋体"/>
          <w:color w:val="000000" w:themeColor="text1"/>
          <w:sz w:val="24"/>
          <w:highlight w:val="none"/>
          <w14:textFill>
            <w14:solidFill>
              <w14:schemeClr w14:val="tx1"/>
            </w14:solidFill>
          </w14:textFill>
        </w:rPr>
        <w:t></w:t>
      </w:r>
    </w:p>
    <w:p w14:paraId="20683D2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1、成交方持成交通知书作为与需方签订合同的凭证。</w:t>
      </w:r>
    </w:p>
    <w:p w14:paraId="17002DB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2、本合同经需、供双方法定代表人（符合浙财采监【2013】24号第六条规定的为负责人）或其授权委托人签名并加盖单位公章后生效。</w:t>
      </w:r>
    </w:p>
    <w:p w14:paraId="6D4BF05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3、本合同一式四份，需、供双方各执二份，</w:t>
      </w:r>
    </w:p>
    <w:p w14:paraId="5FAECFA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需方（加盖公章）：                  供方（加盖公章）：</w:t>
      </w:r>
      <w:r>
        <w:rPr>
          <w:rFonts w:hint="eastAsia" w:ascii="宋体" w:hAnsi="宋体" w:cs="宋体"/>
          <w:color w:val="000000" w:themeColor="text1"/>
          <w:sz w:val="24"/>
          <w:highlight w:val="none"/>
          <w14:textFill>
            <w14:solidFill>
              <w14:schemeClr w14:val="tx1"/>
            </w14:solidFill>
          </w14:textFill>
        </w:rPr>
        <w:t></w:t>
      </w:r>
    </w:p>
    <w:p w14:paraId="27620C1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                             地址：</w:t>
      </w:r>
      <w:r>
        <w:rPr>
          <w:rFonts w:hint="eastAsia" w:ascii="宋体" w:hAnsi="宋体" w:cs="宋体"/>
          <w:color w:val="000000" w:themeColor="text1"/>
          <w:sz w:val="24"/>
          <w:highlight w:val="none"/>
          <w14:textFill>
            <w14:solidFill>
              <w14:schemeClr w14:val="tx1"/>
            </w14:solidFill>
          </w14:textFill>
        </w:rPr>
        <w:t></w:t>
      </w:r>
    </w:p>
    <w:p w14:paraId="2035B7A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法定代表人（或委托代理人）签名：   法定代表人（或委托代理人）签名：</w:t>
      </w:r>
    </w:p>
    <w:p w14:paraId="0AD35DF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7C3F12E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r>
        <w:rPr>
          <w:rFonts w:hint="eastAsia" w:ascii="宋体" w:hAnsi="宋体" w:cs="宋体"/>
          <w:color w:val="000000" w:themeColor="text1"/>
          <w:sz w:val="24"/>
          <w:highlight w:val="none"/>
          <w14:textFill>
            <w14:solidFill>
              <w14:schemeClr w14:val="tx1"/>
            </w14:solidFill>
          </w14:textFill>
        </w:rPr>
        <w:t></w:t>
      </w:r>
    </w:p>
    <w:p w14:paraId="769D82A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                         邮政编码：</w:t>
      </w:r>
      <w:r>
        <w:rPr>
          <w:rFonts w:hint="eastAsia" w:ascii="宋体" w:hAnsi="宋体" w:cs="宋体"/>
          <w:color w:val="000000" w:themeColor="text1"/>
          <w:sz w:val="24"/>
          <w:highlight w:val="none"/>
          <w14:textFill>
            <w14:solidFill>
              <w14:schemeClr w14:val="tx1"/>
            </w14:solidFill>
          </w14:textFill>
        </w:rPr>
        <w:t></w:t>
      </w:r>
    </w:p>
    <w:p w14:paraId="4091121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开户银行：                         开户银行：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p>
    <w:p w14:paraId="3A8BE58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14:paraId="6551CA3B">
      <w:pPr>
        <w:spacing w:line="360" w:lineRule="auto"/>
        <w:ind w:firstLine="480" w:firstLineChars="200"/>
        <w:rPr>
          <w:rFonts w:ascii="宋体" w:hAnsi="宋体"/>
          <w:color w:val="000000" w:themeColor="text1"/>
          <w:sz w:val="24"/>
          <w:highlight w:val="none"/>
          <w14:textFill>
            <w14:solidFill>
              <w14:schemeClr w14:val="tx1"/>
            </w14:solidFill>
          </w14:textFill>
        </w:rPr>
      </w:pPr>
    </w:p>
    <w:p w14:paraId="7F842627">
      <w:pPr>
        <w:spacing w:line="360" w:lineRule="auto"/>
        <w:jc w:val="center"/>
        <w:rPr>
          <w:rFonts w:ascii="宋体" w:hAnsi="宋体"/>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（服务类样本）</w:t>
      </w:r>
    </w:p>
    <w:p w14:paraId="006A3F7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合同编号：</w:t>
      </w:r>
    </w:p>
    <w:p w14:paraId="7BBAF96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签订地点：                                 签订时间：20</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74C89C6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p w14:paraId="787ABF9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甲方（需方）：                                     </w:t>
      </w:r>
    </w:p>
    <w:p w14:paraId="6E98FD8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乙方（供方）：                                     </w:t>
      </w:r>
    </w:p>
    <w:p w14:paraId="43B14D6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供、需双方根据杭州市萧山区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项目（编号XZCG</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）成交结果和公开竞争文件的要求，并经双方协调一致，订立本采购合同。</w:t>
      </w:r>
    </w:p>
    <w:p w14:paraId="0405491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一、合同文件：</w:t>
      </w:r>
    </w:p>
    <w:p w14:paraId="4A9F13D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1、合同条款。</w:t>
      </w:r>
    </w:p>
    <w:p w14:paraId="1E081C3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2、成交通知书。</w:t>
      </w:r>
    </w:p>
    <w:p w14:paraId="442907A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3、公开竞争文件。</w:t>
      </w:r>
    </w:p>
    <w:p w14:paraId="11BBDED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4、更正公告。</w:t>
      </w:r>
    </w:p>
    <w:p w14:paraId="60F57A4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5、成交单位响应文件。</w:t>
      </w:r>
    </w:p>
    <w:p w14:paraId="6D27A8A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6、其他。</w:t>
      </w:r>
    </w:p>
    <w:p w14:paraId="21BB76BA">
      <w:pPr>
        <w:spacing w:line="360" w:lineRule="auto"/>
        <w:ind w:left="479" w:leftChars="22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二、合同金额: 本合同金额为(大写)_________________元（￥</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元）人民币附：</w:t>
      </w:r>
    </w:p>
    <w:p w14:paraId="13A1BB3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《采购项目清单内容》</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28F5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329F74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0B5DB72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DE4A17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21F0C7E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23E30DD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6182E66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成交总价（元）</w:t>
            </w:r>
          </w:p>
        </w:tc>
      </w:tr>
      <w:tr w14:paraId="12F8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A37A2F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vAlign w:val="center"/>
          </w:tcPr>
          <w:p w14:paraId="36621D79">
            <w:pPr>
              <w:jc w:val="center"/>
              <w:rPr>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6759DD14">
            <w:pPr>
              <w:jc w:val="center"/>
              <w:rPr>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14:paraId="04FE1767">
            <w:pPr>
              <w:jc w:val="center"/>
              <w:rPr>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5E9B2D12">
            <w:pPr>
              <w:jc w:val="center"/>
              <w:rPr>
                <w:color w:val="000000" w:themeColor="text1"/>
                <w:sz w:val="24"/>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14:paraId="44C38F3C">
            <w:pPr>
              <w:jc w:val="center"/>
              <w:rPr>
                <w:color w:val="000000" w:themeColor="text1"/>
                <w:sz w:val="24"/>
                <w:highlight w:val="none"/>
                <w14:textFill>
                  <w14:solidFill>
                    <w14:schemeClr w14:val="tx1"/>
                  </w14:solidFill>
                </w14:textFill>
              </w:rPr>
            </w:pPr>
          </w:p>
        </w:tc>
      </w:tr>
      <w:tr w14:paraId="1AF8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1FB2C0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vAlign w:val="center"/>
          </w:tcPr>
          <w:p w14:paraId="4C5F71E6">
            <w:pPr>
              <w:jc w:val="center"/>
              <w:rPr>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36C60C46">
            <w:pPr>
              <w:jc w:val="center"/>
              <w:rPr>
                <w:color w:val="000000" w:themeColor="text1"/>
                <w:sz w:val="24"/>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14:paraId="460EC8DE">
            <w:pPr>
              <w:jc w:val="center"/>
              <w:rPr>
                <w:color w:val="000000" w:themeColor="text1"/>
                <w:sz w:val="24"/>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002CFF5B">
            <w:pPr>
              <w:jc w:val="center"/>
              <w:rPr>
                <w:color w:val="000000" w:themeColor="text1"/>
                <w:sz w:val="24"/>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14:paraId="157844B2">
            <w:pPr>
              <w:jc w:val="center"/>
              <w:rPr>
                <w:color w:val="000000" w:themeColor="text1"/>
                <w:sz w:val="24"/>
                <w:highlight w:val="none"/>
                <w14:textFill>
                  <w14:solidFill>
                    <w14:schemeClr w14:val="tx1"/>
                  </w14:solidFill>
                </w14:textFill>
              </w:rPr>
            </w:pPr>
          </w:p>
        </w:tc>
      </w:tr>
    </w:tbl>
    <w:p w14:paraId="5E14273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三、技术资料</w:t>
      </w:r>
    </w:p>
    <w:p w14:paraId="45AEB73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乙方应按</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规定的时间向甲方提供有关技术资料。</w:t>
      </w:r>
    </w:p>
    <w:p w14:paraId="7648FC4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F4222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四、知识产权</w:t>
      </w:r>
    </w:p>
    <w:p w14:paraId="03F83EE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乙方应保证提供服务过程中不会侵犯任何第三方的知识产权。</w:t>
      </w:r>
    </w:p>
    <w:p w14:paraId="54DC2CD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w:t>
      </w:r>
      <w:r>
        <w:rPr>
          <w:rFonts w:ascii="宋体" w:hAnsi="宋体"/>
          <w:color w:val="000000" w:themeColor="text1"/>
          <w:sz w:val="24"/>
          <w:highlight w:val="none"/>
          <w14:textFill>
            <w14:solidFill>
              <w14:schemeClr w14:val="tx1"/>
            </w14:solidFill>
          </w14:textFill>
        </w:rPr>
        <w:t>、履约保证金</w:t>
      </w:r>
    </w:p>
    <w:p w14:paraId="58F5381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乙方交纳人民币</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元作为本合同的履约保证金。</w:t>
      </w:r>
    </w:p>
    <w:p w14:paraId="718CD71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六、转包或分包</w:t>
      </w:r>
    </w:p>
    <w:p w14:paraId="6E4FF2E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.本合同范围的服务，应由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14:paraId="079CACA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.除非得到甲方的书面同意，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方不得将本合同范围的服务全部或部分分包给他人供应；</w:t>
      </w:r>
    </w:p>
    <w:p w14:paraId="0BC6070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.如有转让和未经甲方同意的分包行为，甲方有权解除合同，没收履约保证金并追究乙方的违约责任。</w:t>
      </w:r>
    </w:p>
    <w:p w14:paraId="524EBBA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w:t>
      </w:r>
      <w:r>
        <w:rPr>
          <w:rFonts w:ascii="宋体" w:hAnsi="宋体"/>
          <w:color w:val="000000" w:themeColor="text1"/>
          <w:sz w:val="24"/>
          <w:highlight w:val="none"/>
          <w14:textFill>
            <w14:solidFill>
              <w14:schemeClr w14:val="tx1"/>
            </w14:solidFill>
          </w14:textFill>
        </w:rPr>
        <w:t>、服务质量保证期和服务质量保证金(选用)</w:t>
      </w:r>
    </w:p>
    <w:p w14:paraId="7F6CC4C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服务质量保证期</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年。（自验收合格之日起计）</w:t>
      </w:r>
    </w:p>
    <w:p w14:paraId="1E75580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服务质量保证金</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p>
    <w:p w14:paraId="4755121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w:t>
      </w:r>
      <w:r>
        <w:rPr>
          <w:rFonts w:ascii="宋体" w:hAnsi="宋体"/>
          <w:color w:val="000000" w:themeColor="text1"/>
          <w:sz w:val="24"/>
          <w:highlight w:val="none"/>
          <w14:textFill>
            <w14:solidFill>
              <w14:schemeClr w14:val="tx1"/>
            </w14:solidFill>
          </w14:textFill>
        </w:rPr>
        <w:t>、合同履行时间、履行方式及履行地点</w:t>
      </w:r>
    </w:p>
    <w:p w14:paraId="671397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履行时间：</w:t>
      </w:r>
    </w:p>
    <w:p w14:paraId="077FF38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履行方式：</w:t>
      </w:r>
    </w:p>
    <w:p w14:paraId="4AE2E24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履行地点：</w:t>
      </w:r>
    </w:p>
    <w:p w14:paraId="2FF7301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九、款项支付</w:t>
      </w:r>
    </w:p>
    <w:p w14:paraId="7F64BFB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付款方式：</w:t>
      </w:r>
    </w:p>
    <w:p w14:paraId="5D5273E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2.合同履行完毕，需方根据合同进行验收，验收合格后供应商按财政结算要求办理货款结算手续。</w:t>
      </w:r>
    </w:p>
    <w:p w14:paraId="1D28E0B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十、税费</w:t>
      </w:r>
    </w:p>
    <w:p w14:paraId="3BEE650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14:paraId="3AF57B6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、质量保证及后续服务</w:t>
      </w:r>
    </w:p>
    <w:p w14:paraId="14D7A8D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乙方应按</w:t>
      </w:r>
      <w:r>
        <w:rPr>
          <w:rFonts w:hint="eastAsia" w:ascii="宋体" w:hAnsi="宋体"/>
          <w:color w:val="000000" w:themeColor="text1"/>
          <w:sz w:val="24"/>
          <w:highlight w:val="none"/>
          <w14:textFill>
            <w14:solidFill>
              <w14:schemeClr w14:val="tx1"/>
            </w14:solidFill>
          </w14:textFill>
        </w:rPr>
        <w:t>公开竞争文件</w:t>
      </w:r>
      <w:r>
        <w:rPr>
          <w:rFonts w:ascii="宋体" w:hAnsi="宋体"/>
          <w:color w:val="000000" w:themeColor="text1"/>
          <w:sz w:val="24"/>
          <w:highlight w:val="none"/>
          <w14:textFill>
            <w14:solidFill>
              <w14:schemeClr w14:val="tx1"/>
            </w14:solidFill>
          </w14:textFill>
        </w:rPr>
        <w:t>规定向甲方提供服务。</w:t>
      </w:r>
    </w:p>
    <w:p w14:paraId="396F708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14:paraId="0065397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⑴</w:t>
      </w:r>
      <w:r>
        <w:rPr>
          <w:rFonts w:ascii="宋体" w:hAnsi="宋体"/>
          <w:color w:val="000000" w:themeColor="text1"/>
          <w:sz w:val="24"/>
          <w:highlight w:val="none"/>
          <w14:textFill>
            <w14:solidFill>
              <w14:schemeClr w14:val="tx1"/>
            </w14:solidFill>
          </w14:textFill>
        </w:rPr>
        <w:t>重做：由乙方承担所发生的全部费用。</w:t>
      </w:r>
    </w:p>
    <w:p w14:paraId="2A0EDD8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⑵</w:t>
      </w:r>
      <w:r>
        <w:rPr>
          <w:rFonts w:ascii="宋体" w:hAnsi="宋体"/>
          <w:color w:val="000000" w:themeColor="text1"/>
          <w:sz w:val="24"/>
          <w:highlight w:val="none"/>
          <w14:textFill>
            <w14:solidFill>
              <w14:schemeClr w14:val="tx1"/>
            </w14:solidFill>
          </w14:textFill>
        </w:rPr>
        <w:t>贬值处理：由甲乙双方合议定价。</w:t>
      </w:r>
    </w:p>
    <w:p w14:paraId="7807996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⑶</w:t>
      </w:r>
      <w:r>
        <w:rPr>
          <w:rFonts w:ascii="宋体" w:hAnsi="宋体"/>
          <w:color w:val="000000" w:themeColor="text1"/>
          <w:sz w:val="24"/>
          <w:highlight w:val="none"/>
          <w14:textFill>
            <w14:solidFill>
              <w14:schemeClr w14:val="tx1"/>
            </w14:solidFill>
          </w14:textFill>
        </w:rPr>
        <w:t>解除合同。</w:t>
      </w:r>
    </w:p>
    <w:p w14:paraId="070D222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如在使用过程中发生问题，乙方在接到甲方通知后在</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小时内到达甲方现场。</w:t>
      </w:r>
    </w:p>
    <w:p w14:paraId="6A733AF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在服务质量保证期内，乙方应对出现的质量及安全问题负责处理解决并承担一切费用。</w:t>
      </w:r>
    </w:p>
    <w:p w14:paraId="24D6A38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二</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违约责任</w:t>
      </w:r>
      <w:r>
        <w:rPr>
          <w:rFonts w:hint="eastAsia" w:ascii="宋体" w:hAnsi="宋体" w:cs="宋体"/>
          <w:color w:val="000000" w:themeColor="text1"/>
          <w:sz w:val="24"/>
          <w:highlight w:val="none"/>
          <w14:textFill>
            <w14:solidFill>
              <w14:schemeClr w14:val="tx1"/>
            </w14:solidFill>
          </w14:textFill>
        </w:rPr>
        <w:t></w:t>
      </w:r>
    </w:p>
    <w:p w14:paraId="4448A5C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1.甲方无正当理由拒绝接收服务的，甲方向乙方偿付合同款项百分之</w:t>
      </w:r>
      <w:r>
        <w:rPr>
          <w:rFonts w:hint="eastAsia" w:ascii="宋体" w:hAnsi="宋体"/>
          <w:color w:val="000000" w:themeColor="text1"/>
          <w:sz w:val="24"/>
          <w:highlight w:val="none"/>
          <w:u w:val="single"/>
          <w14:textFill>
            <w14:solidFill>
              <w14:schemeClr w14:val="tx1"/>
            </w14:solidFill>
          </w14:textFill>
        </w:rPr>
        <w:t xml:space="preserve"> 五 </w:t>
      </w:r>
      <w:r>
        <w:rPr>
          <w:rFonts w:hint="eastAsia" w:ascii="宋体" w:hAnsi="宋体"/>
          <w:color w:val="000000" w:themeColor="text1"/>
          <w:sz w:val="24"/>
          <w:highlight w:val="none"/>
          <w14:textFill>
            <w14:solidFill>
              <w14:schemeClr w14:val="tx1"/>
            </w14:solidFill>
          </w14:textFill>
        </w:rPr>
        <w:t>作为违约金。</w:t>
      </w:r>
    </w:p>
    <w:p w14:paraId="09FDFA0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2.甲方无故逾期验收和办理款项支付手续的，甲方应按逾期付款总额每日万分之</w:t>
      </w:r>
      <w:r>
        <w:rPr>
          <w:rFonts w:hint="eastAsia" w:ascii="宋体" w:hAnsi="宋体"/>
          <w:color w:val="000000" w:themeColor="text1"/>
          <w:sz w:val="24"/>
          <w:highlight w:val="none"/>
          <w:u w:val="single"/>
          <w14:textFill>
            <w14:solidFill>
              <w14:schemeClr w14:val="tx1"/>
            </w14:solidFill>
          </w14:textFill>
        </w:rPr>
        <w:t xml:space="preserve"> 五</w:t>
      </w:r>
      <w:r>
        <w:rPr>
          <w:rFonts w:hint="eastAsia" w:ascii="宋体" w:hAnsi="宋体"/>
          <w:color w:val="000000" w:themeColor="text1"/>
          <w:sz w:val="24"/>
          <w:highlight w:val="none"/>
          <w14:textFill>
            <w14:solidFill>
              <w14:schemeClr w14:val="tx1"/>
            </w14:solidFill>
          </w14:textFill>
        </w:rPr>
        <w:t>向乙方支付违约金。</w:t>
      </w:r>
    </w:p>
    <w:p w14:paraId="497238C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3.乙方未能如期提供服务的，每日向甲方支付合同款项的千分之</w:t>
      </w:r>
      <w:r>
        <w:rPr>
          <w:rFonts w:hint="eastAsia" w:ascii="宋体" w:hAnsi="宋体"/>
          <w:color w:val="000000" w:themeColor="text1"/>
          <w:sz w:val="24"/>
          <w:highlight w:val="none"/>
          <w:u w:val="single"/>
          <w14:textFill>
            <w14:solidFill>
              <w14:schemeClr w14:val="tx1"/>
            </w14:solidFill>
          </w14:textFill>
        </w:rPr>
        <w:t xml:space="preserve"> 六 </w:t>
      </w:r>
      <w:r>
        <w:rPr>
          <w:rFonts w:hint="eastAsia" w:ascii="宋体" w:hAnsi="宋体"/>
          <w:color w:val="000000" w:themeColor="text1"/>
          <w:sz w:val="24"/>
          <w:highlight w:val="none"/>
          <w14:textFill>
            <w14:solidFill>
              <w14:schemeClr w14:val="tx1"/>
            </w14:solidFill>
          </w14:textFill>
        </w:rPr>
        <w:t>作为违约金。乙方超过约定日期10个工作日仍不能提供服务的，甲方可解除本合同，不予退还履约保证金，如造成甲方损失超过履约保证金的，超出部分由乙方继续承担赔偿责任。</w:t>
      </w:r>
    </w:p>
    <w:p w14:paraId="781FBF5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4.供方在服务项目验收合格之日起保修期内违反本合同有关承诺保证的，需方将有权不予退还质量保证金，损失赔偿不足部分，由乙方承担赔偿。</w:t>
      </w:r>
      <w:r>
        <w:rPr>
          <w:rFonts w:hint="eastAsia" w:ascii="宋体" w:hAnsi="宋体" w:cs="宋体"/>
          <w:color w:val="000000" w:themeColor="text1"/>
          <w:sz w:val="24"/>
          <w:highlight w:val="none"/>
          <w14:textFill>
            <w14:solidFill>
              <w14:schemeClr w14:val="tx1"/>
            </w14:solidFill>
          </w14:textFill>
        </w:rPr>
        <w:t></w:t>
      </w:r>
    </w:p>
    <w:p w14:paraId="4574209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5.如发现乙方违反公开竞争文件、响应文件和合同的有关规定，甲方有权根据约定和《杭州市政府采购供应商合同履行和售后服务考核暂行办法》，对乙方进行处罚，并有权提前终止合同。</w:t>
      </w:r>
    </w:p>
    <w:p w14:paraId="60FDA0B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十三、争议的解决</w:t>
      </w:r>
      <w:r>
        <w:rPr>
          <w:rFonts w:hint="eastAsia" w:ascii="宋体" w:hAnsi="宋体" w:cs="宋体"/>
          <w:color w:val="000000" w:themeColor="text1"/>
          <w:sz w:val="24"/>
          <w:highlight w:val="none"/>
          <w14:textFill>
            <w14:solidFill>
              <w14:schemeClr w14:val="tx1"/>
            </w14:solidFill>
          </w14:textFill>
        </w:rPr>
        <w:t></w:t>
      </w:r>
    </w:p>
    <w:p w14:paraId="379AA36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因本合同引起的或与本合同有关的任何争议，合同双方应首先通过协商解决，达成书面协议，如协商不成，可选择下列第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种方式解决。</w:t>
      </w:r>
    </w:p>
    <w:p w14:paraId="1DEF661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（1）提请杭州仲裁委员会按照该会仲裁规则进行仲裁，仲裁裁决是终局的，对合同双方均有约束力。</w:t>
      </w:r>
    </w:p>
    <w:p w14:paraId="6584CF0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（2）向有管辖权的人民法院提起诉讼。</w:t>
      </w:r>
    </w:p>
    <w:p w14:paraId="7D91D1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十四、合同生效</w:t>
      </w:r>
      <w:r>
        <w:rPr>
          <w:rFonts w:hint="eastAsia" w:ascii="宋体" w:hAnsi="宋体" w:cs="宋体"/>
          <w:color w:val="000000" w:themeColor="text1"/>
          <w:sz w:val="24"/>
          <w:highlight w:val="none"/>
          <w14:textFill>
            <w14:solidFill>
              <w14:schemeClr w14:val="tx1"/>
            </w14:solidFill>
          </w14:textFill>
        </w:rPr>
        <w:t></w:t>
      </w:r>
    </w:p>
    <w:p w14:paraId="632A4B3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1.成交方持成交通知书作为与需方签订合同的凭证。</w:t>
      </w:r>
    </w:p>
    <w:p w14:paraId="05CCA98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2.本合同经需、供双方法定代表人（符合浙财采监【2013】24号第六条规定的为负责人）或其授权委托人签字并加盖单位公章后生效。</w:t>
      </w:r>
    </w:p>
    <w:p w14:paraId="0D2BD7E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3.本合同一式四份，需、供双方各执二份。</w:t>
      </w:r>
    </w:p>
    <w:p w14:paraId="7FD30C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需方（盖章）：                      供方（盖章）：</w:t>
      </w:r>
      <w:r>
        <w:rPr>
          <w:rFonts w:hint="eastAsia" w:ascii="宋体" w:hAnsi="宋体" w:cs="宋体"/>
          <w:color w:val="000000" w:themeColor="text1"/>
          <w:sz w:val="24"/>
          <w:highlight w:val="none"/>
          <w14:textFill>
            <w14:solidFill>
              <w14:schemeClr w14:val="tx1"/>
            </w14:solidFill>
          </w14:textFill>
        </w:rPr>
        <w:t></w:t>
      </w:r>
    </w:p>
    <w:p w14:paraId="1E3DC06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                             地址：</w:t>
      </w:r>
      <w:r>
        <w:rPr>
          <w:rFonts w:hint="eastAsia" w:ascii="宋体" w:hAnsi="宋体" w:cs="宋体"/>
          <w:color w:val="000000" w:themeColor="text1"/>
          <w:sz w:val="24"/>
          <w:highlight w:val="none"/>
          <w14:textFill>
            <w14:solidFill>
              <w14:schemeClr w14:val="tx1"/>
            </w14:solidFill>
          </w14:textFill>
        </w:rPr>
        <w:t></w:t>
      </w:r>
    </w:p>
    <w:p w14:paraId="1945599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法定代表人（或委托代理人）签名：   法定代表人（或委托代理人）签名：</w:t>
      </w:r>
    </w:p>
    <w:p w14:paraId="6E92EB0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联系电话：                         联系电话：</w:t>
      </w:r>
      <w:r>
        <w:rPr>
          <w:rFonts w:hint="eastAsia" w:ascii="宋体" w:hAnsi="宋体" w:cs="宋体"/>
          <w:color w:val="000000" w:themeColor="text1"/>
          <w:sz w:val="24"/>
          <w:highlight w:val="none"/>
          <w14:textFill>
            <w14:solidFill>
              <w14:schemeClr w14:val="tx1"/>
            </w14:solidFill>
          </w14:textFill>
        </w:rPr>
        <w:t></w:t>
      </w:r>
    </w:p>
    <w:p w14:paraId="07A64B1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                         邮政编码：</w:t>
      </w:r>
      <w:r>
        <w:rPr>
          <w:rFonts w:hint="eastAsia" w:ascii="宋体" w:hAnsi="宋体" w:cs="宋体"/>
          <w:color w:val="000000" w:themeColor="text1"/>
          <w:sz w:val="24"/>
          <w:highlight w:val="none"/>
          <w14:textFill>
            <w14:solidFill>
              <w14:schemeClr w14:val="tx1"/>
            </w14:solidFill>
          </w14:textFill>
        </w:rPr>
        <w:t></w:t>
      </w:r>
    </w:p>
    <w:p w14:paraId="6642122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开户银行：                         开户银行：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p>
    <w:p w14:paraId="5D506C7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帐号：                             帐号：</w:t>
      </w:r>
    </w:p>
    <w:bookmarkEnd w:id="45"/>
    <w:p w14:paraId="139337F4">
      <w:pPr>
        <w:spacing w:line="360" w:lineRule="auto"/>
        <w:jc w:val="center"/>
        <w:rPr>
          <w:rFonts w:ascii="宋体"/>
          <w:color w:val="000000" w:themeColor="text1"/>
          <w:sz w:val="24"/>
          <w:highlight w:val="none"/>
          <w14:textFill>
            <w14:solidFill>
              <w14:schemeClr w14:val="tx1"/>
            </w14:solidFill>
          </w14:textFill>
        </w:rPr>
      </w:pPr>
    </w:p>
    <w:p w14:paraId="31B77B8B">
      <w:pPr>
        <w:spacing w:line="360" w:lineRule="auto"/>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 xml:space="preserve"> </w:t>
      </w:r>
    </w:p>
    <w:sectPr>
      <w:footerReference r:id="rId8" w:type="default"/>
      <w:pgSz w:w="11906" w:h="16838"/>
      <w:pgMar w:top="1418" w:right="1286"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3A42">
    <w:pPr>
      <w:framePr w:wrap="around" w:vAnchor="text" w:hAnchor="margin" w:xAlign="center" w:y="1"/>
    </w:pPr>
    <w:r>
      <w:fldChar w:fldCharType="begin"/>
    </w:r>
    <w:r>
      <w:instrText xml:space="preserve">PAGE  </w:instrText>
    </w:r>
    <w:r>
      <w:fldChar w:fldCharType="separate"/>
    </w:r>
    <w:r>
      <w:t>2</w:t>
    </w:r>
    <w:r>
      <w:fldChar w:fldCharType="end"/>
    </w:r>
  </w:p>
  <w:p w14:paraId="6D9921D9">
    <w:pPr>
      <w:jc w:val="center"/>
      <w:rPr>
        <w:rFonts w:ascii="仿宋_GB2312" w:eastAsia="仿宋_GB2312"/>
      </w:rPr>
    </w:pPr>
    <w:r>
      <w:rPr>
        <w:rFonts w:hint="eastAsia" w:ascii="仿宋_GB2312" w:eastAsia="仿宋_GB2312"/>
        <w:kern w:val="0"/>
        <w:szCs w:val="21"/>
      </w:rPr>
      <w:t xml:space="preserve">第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3339">
    <w:pPr>
      <w:framePr w:wrap="around" w:vAnchor="text" w:hAnchor="margin" w:xAlign="center" w:y="1"/>
    </w:pPr>
    <w:r>
      <w:fldChar w:fldCharType="begin"/>
    </w:r>
    <w:r>
      <w:instrText xml:space="preserve">PAGE  </w:instrText>
    </w:r>
    <w:r>
      <w:fldChar w:fldCharType="end"/>
    </w:r>
  </w:p>
  <w:p w14:paraId="476E1B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5F796">
    <w:pPr>
      <w:framePr w:wrap="around" w:vAnchor="text" w:hAnchor="margin" w:xAlign="center" w:y="1"/>
    </w:pPr>
    <w:r>
      <w:fldChar w:fldCharType="begin"/>
    </w:r>
    <w:r>
      <w:instrText xml:space="preserve">PAGE  </w:instrText>
    </w:r>
    <w:r>
      <w:fldChar w:fldCharType="separate"/>
    </w:r>
    <w:r>
      <w:t>1</w:t>
    </w:r>
    <w:r>
      <w:fldChar w:fldCharType="end"/>
    </w:r>
  </w:p>
  <w:p w14:paraId="3FDE746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049E">
    <w:pPr>
      <w:jc w:val="center"/>
      <w:rPr>
        <w:rFonts w:ascii="??_GB2312" w:eastAsia="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DE2A8">
                          <w:pPr>
                            <w:pStyle w:val="2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1D7DE2A8">
                    <w:pPr>
                      <w:pStyle w:val="2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ascii="??_GB2312" w:eastAsia="Times New Roman"/>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0D49">
    <w:pPr>
      <w:jc w:val="right"/>
    </w:pPr>
    <w:r>
      <w:rPr>
        <w:rFonts w:eastAsia="仿宋_GB2312"/>
        <w:iC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161925</wp:posOffset>
              </wp:positionV>
              <wp:extent cx="5829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75pt;height:0pt;width:459pt;z-index:251661312;mso-width-relative:page;mso-height-relative:page;" filled="f" stroked="t" coordsize="21600,21600" o:gfxdata="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GujbT&#10;AAAABgEAAA8AAAAAAAAAAQAgAAAAIgAAAGRycy9kb3ducmV2LnhtbFBLAQIUABQAAAAIAIdO4kDA&#10;E3DY7AEAANgDAAAOAAAAAAAAAAEAIAAAACIBAABkcnMvZTJvRG9jLnhtbFBLBQYAAAAABgAGAFkB&#10;AACABQAAA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273A">
    <w:pPr>
      <w:wordWrap w:val="0"/>
      <w:jc w:val="right"/>
    </w:pPr>
    <w:r>
      <w:rPr>
        <w:rFonts w:eastAsia="仿宋_GB2312"/>
        <w:iC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161925</wp:posOffset>
              </wp:positionV>
              <wp:extent cx="5829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75pt;height:0pt;width:459pt;z-index:251659264;mso-width-relative:page;mso-height-relative:page;" filled="f" stroked="t" coordsize="21600,21600" o:gfxdata="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hro2&#10;0wAAAAYBAAAPAAAAAAAAAAEAIAAAACIAAABkcnMvZG93bnJldi54bWxQSwECFAAUAAAACACHTuJA&#10;Na7cGu0BAADYAwAADgAAAAAAAAABACAAAAAiAQAAZHJzL2Uyb0RvYy54bWxQSwUGAAAAAAYABgBZ&#10;AQAAg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C4473"/>
    <w:multiLevelType w:val="singleLevel"/>
    <w:tmpl w:val="CD9C4473"/>
    <w:lvl w:ilvl="0" w:tentative="0">
      <w:start w:val="1"/>
      <w:numFmt w:val="chineseCounting"/>
      <w:suff w:val="nothing"/>
      <w:lvlText w:val="%1、"/>
      <w:lvlJc w:val="left"/>
      <w:rPr>
        <w:rFonts w:hint="eastAsia"/>
      </w:rPr>
    </w:lvl>
  </w:abstractNum>
  <w:abstractNum w:abstractNumId="1">
    <w:nsid w:val="11744E57"/>
    <w:multiLevelType w:val="multilevel"/>
    <w:tmpl w:val="11744E57"/>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pStyle w:val="5"/>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
    <w:nsid w:val="1F63E122"/>
    <w:multiLevelType w:val="singleLevel"/>
    <w:tmpl w:val="1F63E122"/>
    <w:lvl w:ilvl="0" w:tentative="0">
      <w:start w:val="1"/>
      <w:numFmt w:val="chineseCounting"/>
      <w:suff w:val="space"/>
      <w:lvlText w:val="第%1部分"/>
      <w:lvlJc w:val="left"/>
      <w:rPr>
        <w:rFonts w:hint="eastAsia"/>
      </w:rPr>
    </w:lvl>
  </w:abstractNum>
  <w:abstractNum w:abstractNumId="3">
    <w:nsid w:val="5664F1FD"/>
    <w:multiLevelType w:val="singleLevel"/>
    <w:tmpl w:val="5664F1FD"/>
    <w:lvl w:ilvl="0" w:tentative="0">
      <w:start w:val="15"/>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dit="readOnly" w:formatting="1"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OTEzZTc2YzllZmE4ZGEyYTc0YzYwZDc4ZGY2YjcifQ=="/>
  </w:docVars>
  <w:rsids>
    <w:rsidRoot w:val="00544B12"/>
    <w:rsid w:val="00001FA6"/>
    <w:rsid w:val="00002B54"/>
    <w:rsid w:val="00005194"/>
    <w:rsid w:val="000052C6"/>
    <w:rsid w:val="00005CC3"/>
    <w:rsid w:val="00006B20"/>
    <w:rsid w:val="000075B4"/>
    <w:rsid w:val="00007EA9"/>
    <w:rsid w:val="000100CE"/>
    <w:rsid w:val="000109D4"/>
    <w:rsid w:val="00012179"/>
    <w:rsid w:val="00013440"/>
    <w:rsid w:val="0001361E"/>
    <w:rsid w:val="00014BCE"/>
    <w:rsid w:val="000162EA"/>
    <w:rsid w:val="00016F2C"/>
    <w:rsid w:val="0001703F"/>
    <w:rsid w:val="000175A3"/>
    <w:rsid w:val="0001771F"/>
    <w:rsid w:val="00020771"/>
    <w:rsid w:val="00020F6F"/>
    <w:rsid w:val="00021216"/>
    <w:rsid w:val="00022BD7"/>
    <w:rsid w:val="00022F36"/>
    <w:rsid w:val="0002300F"/>
    <w:rsid w:val="00023D39"/>
    <w:rsid w:val="000256F8"/>
    <w:rsid w:val="000257ED"/>
    <w:rsid w:val="00025D20"/>
    <w:rsid w:val="0002612E"/>
    <w:rsid w:val="00026132"/>
    <w:rsid w:val="00027946"/>
    <w:rsid w:val="00027ACD"/>
    <w:rsid w:val="00027DE7"/>
    <w:rsid w:val="00030501"/>
    <w:rsid w:val="000307B1"/>
    <w:rsid w:val="000326FA"/>
    <w:rsid w:val="00033B16"/>
    <w:rsid w:val="00033C56"/>
    <w:rsid w:val="00034263"/>
    <w:rsid w:val="0003592D"/>
    <w:rsid w:val="00036E33"/>
    <w:rsid w:val="0003732A"/>
    <w:rsid w:val="00040152"/>
    <w:rsid w:val="0004015D"/>
    <w:rsid w:val="00042DB3"/>
    <w:rsid w:val="00043242"/>
    <w:rsid w:val="00043383"/>
    <w:rsid w:val="00043694"/>
    <w:rsid w:val="00044218"/>
    <w:rsid w:val="0004467C"/>
    <w:rsid w:val="000446BF"/>
    <w:rsid w:val="00044EED"/>
    <w:rsid w:val="00044F3D"/>
    <w:rsid w:val="000452DE"/>
    <w:rsid w:val="000454F7"/>
    <w:rsid w:val="00045509"/>
    <w:rsid w:val="0004554D"/>
    <w:rsid w:val="000461EA"/>
    <w:rsid w:val="0004680A"/>
    <w:rsid w:val="00046998"/>
    <w:rsid w:val="00047DFF"/>
    <w:rsid w:val="000507AB"/>
    <w:rsid w:val="000528A8"/>
    <w:rsid w:val="0005488C"/>
    <w:rsid w:val="00057107"/>
    <w:rsid w:val="00057388"/>
    <w:rsid w:val="000576F1"/>
    <w:rsid w:val="00057E32"/>
    <w:rsid w:val="00061A4A"/>
    <w:rsid w:val="00061B98"/>
    <w:rsid w:val="00061F3A"/>
    <w:rsid w:val="00062C62"/>
    <w:rsid w:val="000646C7"/>
    <w:rsid w:val="00064F35"/>
    <w:rsid w:val="00065A15"/>
    <w:rsid w:val="00066990"/>
    <w:rsid w:val="00066F0E"/>
    <w:rsid w:val="0007001F"/>
    <w:rsid w:val="00070AD6"/>
    <w:rsid w:val="00070F3F"/>
    <w:rsid w:val="000711E7"/>
    <w:rsid w:val="0007168C"/>
    <w:rsid w:val="000729B5"/>
    <w:rsid w:val="00072AF5"/>
    <w:rsid w:val="000734BD"/>
    <w:rsid w:val="00074023"/>
    <w:rsid w:val="00074A29"/>
    <w:rsid w:val="00075345"/>
    <w:rsid w:val="000771BE"/>
    <w:rsid w:val="00080288"/>
    <w:rsid w:val="00080569"/>
    <w:rsid w:val="000811AC"/>
    <w:rsid w:val="000817DC"/>
    <w:rsid w:val="000825A6"/>
    <w:rsid w:val="00082A07"/>
    <w:rsid w:val="00083826"/>
    <w:rsid w:val="000838A2"/>
    <w:rsid w:val="00084A6D"/>
    <w:rsid w:val="00084D53"/>
    <w:rsid w:val="00084FFA"/>
    <w:rsid w:val="00085219"/>
    <w:rsid w:val="0008585F"/>
    <w:rsid w:val="00085C63"/>
    <w:rsid w:val="00087295"/>
    <w:rsid w:val="00087664"/>
    <w:rsid w:val="00087B0F"/>
    <w:rsid w:val="000904D3"/>
    <w:rsid w:val="0009075F"/>
    <w:rsid w:val="00090FA1"/>
    <w:rsid w:val="00091995"/>
    <w:rsid w:val="00092B17"/>
    <w:rsid w:val="0009368F"/>
    <w:rsid w:val="00094439"/>
    <w:rsid w:val="000945DB"/>
    <w:rsid w:val="00094C9C"/>
    <w:rsid w:val="00094E8D"/>
    <w:rsid w:val="00094F38"/>
    <w:rsid w:val="000951D2"/>
    <w:rsid w:val="00095B2C"/>
    <w:rsid w:val="000960F5"/>
    <w:rsid w:val="0009629A"/>
    <w:rsid w:val="000962AA"/>
    <w:rsid w:val="000965D2"/>
    <w:rsid w:val="00096A90"/>
    <w:rsid w:val="00096DBC"/>
    <w:rsid w:val="00096FF9"/>
    <w:rsid w:val="000973F8"/>
    <w:rsid w:val="000976E1"/>
    <w:rsid w:val="000979B6"/>
    <w:rsid w:val="000A05B4"/>
    <w:rsid w:val="000A0935"/>
    <w:rsid w:val="000A38BB"/>
    <w:rsid w:val="000A3D55"/>
    <w:rsid w:val="000A4175"/>
    <w:rsid w:val="000A53BC"/>
    <w:rsid w:val="000A5BF9"/>
    <w:rsid w:val="000A677E"/>
    <w:rsid w:val="000A6E24"/>
    <w:rsid w:val="000A7B05"/>
    <w:rsid w:val="000B03F6"/>
    <w:rsid w:val="000B17F5"/>
    <w:rsid w:val="000B1F26"/>
    <w:rsid w:val="000B4058"/>
    <w:rsid w:val="000B4DA2"/>
    <w:rsid w:val="000B57F7"/>
    <w:rsid w:val="000B5F9B"/>
    <w:rsid w:val="000B6A76"/>
    <w:rsid w:val="000B744A"/>
    <w:rsid w:val="000C1489"/>
    <w:rsid w:val="000C2C6D"/>
    <w:rsid w:val="000C2E7A"/>
    <w:rsid w:val="000C5250"/>
    <w:rsid w:val="000C5663"/>
    <w:rsid w:val="000C5805"/>
    <w:rsid w:val="000C5B4B"/>
    <w:rsid w:val="000C5CC4"/>
    <w:rsid w:val="000C6011"/>
    <w:rsid w:val="000C650D"/>
    <w:rsid w:val="000C7091"/>
    <w:rsid w:val="000C72AC"/>
    <w:rsid w:val="000C79EE"/>
    <w:rsid w:val="000C7E86"/>
    <w:rsid w:val="000D01F3"/>
    <w:rsid w:val="000D1D96"/>
    <w:rsid w:val="000D2252"/>
    <w:rsid w:val="000D2473"/>
    <w:rsid w:val="000D28CC"/>
    <w:rsid w:val="000D3CD8"/>
    <w:rsid w:val="000D3E4A"/>
    <w:rsid w:val="000D4A6D"/>
    <w:rsid w:val="000D562E"/>
    <w:rsid w:val="000D5CDE"/>
    <w:rsid w:val="000D6772"/>
    <w:rsid w:val="000D6E66"/>
    <w:rsid w:val="000E110D"/>
    <w:rsid w:val="000E38DF"/>
    <w:rsid w:val="000E4B07"/>
    <w:rsid w:val="000E4F7D"/>
    <w:rsid w:val="000E52B7"/>
    <w:rsid w:val="000E54B8"/>
    <w:rsid w:val="000E5DAB"/>
    <w:rsid w:val="000E6987"/>
    <w:rsid w:val="000E69E7"/>
    <w:rsid w:val="000E6F6B"/>
    <w:rsid w:val="000E6FE9"/>
    <w:rsid w:val="000F05C8"/>
    <w:rsid w:val="000F0E65"/>
    <w:rsid w:val="000F22D5"/>
    <w:rsid w:val="000F22FA"/>
    <w:rsid w:val="000F2402"/>
    <w:rsid w:val="000F40E2"/>
    <w:rsid w:val="000F5177"/>
    <w:rsid w:val="000F5BB8"/>
    <w:rsid w:val="000F752C"/>
    <w:rsid w:val="00100239"/>
    <w:rsid w:val="001004E8"/>
    <w:rsid w:val="00100879"/>
    <w:rsid w:val="001008AC"/>
    <w:rsid w:val="00100DE7"/>
    <w:rsid w:val="001029E3"/>
    <w:rsid w:val="00102FF7"/>
    <w:rsid w:val="00103D4E"/>
    <w:rsid w:val="00103F53"/>
    <w:rsid w:val="001040FE"/>
    <w:rsid w:val="0010431D"/>
    <w:rsid w:val="0010463E"/>
    <w:rsid w:val="001049A3"/>
    <w:rsid w:val="00104C8A"/>
    <w:rsid w:val="00104FC5"/>
    <w:rsid w:val="001056E1"/>
    <w:rsid w:val="00105A3B"/>
    <w:rsid w:val="00105D74"/>
    <w:rsid w:val="00105E11"/>
    <w:rsid w:val="001068D1"/>
    <w:rsid w:val="001072A9"/>
    <w:rsid w:val="0010764B"/>
    <w:rsid w:val="00107778"/>
    <w:rsid w:val="00107DCF"/>
    <w:rsid w:val="00111549"/>
    <w:rsid w:val="00112F1C"/>
    <w:rsid w:val="001130E7"/>
    <w:rsid w:val="0011508E"/>
    <w:rsid w:val="001154CE"/>
    <w:rsid w:val="00115574"/>
    <w:rsid w:val="0011596F"/>
    <w:rsid w:val="00117E49"/>
    <w:rsid w:val="0012043A"/>
    <w:rsid w:val="00120589"/>
    <w:rsid w:val="00121425"/>
    <w:rsid w:val="001218A7"/>
    <w:rsid w:val="00122442"/>
    <w:rsid w:val="001245FE"/>
    <w:rsid w:val="00124656"/>
    <w:rsid w:val="00124C53"/>
    <w:rsid w:val="0012537B"/>
    <w:rsid w:val="001264F4"/>
    <w:rsid w:val="0012692A"/>
    <w:rsid w:val="001269AA"/>
    <w:rsid w:val="001269AB"/>
    <w:rsid w:val="00126C79"/>
    <w:rsid w:val="00126CA9"/>
    <w:rsid w:val="0012701D"/>
    <w:rsid w:val="00127828"/>
    <w:rsid w:val="00131A4E"/>
    <w:rsid w:val="00132141"/>
    <w:rsid w:val="0013219D"/>
    <w:rsid w:val="00132877"/>
    <w:rsid w:val="00132F73"/>
    <w:rsid w:val="001337C7"/>
    <w:rsid w:val="00133AD5"/>
    <w:rsid w:val="00134145"/>
    <w:rsid w:val="001349D5"/>
    <w:rsid w:val="00134A5C"/>
    <w:rsid w:val="00135211"/>
    <w:rsid w:val="00135525"/>
    <w:rsid w:val="00135F61"/>
    <w:rsid w:val="00136B19"/>
    <w:rsid w:val="00136DDB"/>
    <w:rsid w:val="00140748"/>
    <w:rsid w:val="00140CA6"/>
    <w:rsid w:val="0014292D"/>
    <w:rsid w:val="00143D88"/>
    <w:rsid w:val="00144EAB"/>
    <w:rsid w:val="00145999"/>
    <w:rsid w:val="001460FF"/>
    <w:rsid w:val="00146E68"/>
    <w:rsid w:val="001479B5"/>
    <w:rsid w:val="001479CE"/>
    <w:rsid w:val="001501DC"/>
    <w:rsid w:val="001509B7"/>
    <w:rsid w:val="00150DEF"/>
    <w:rsid w:val="00151305"/>
    <w:rsid w:val="00151507"/>
    <w:rsid w:val="001518A7"/>
    <w:rsid w:val="00151A2B"/>
    <w:rsid w:val="00152176"/>
    <w:rsid w:val="00152DA4"/>
    <w:rsid w:val="00154413"/>
    <w:rsid w:val="00155032"/>
    <w:rsid w:val="00155953"/>
    <w:rsid w:val="00157A15"/>
    <w:rsid w:val="00157DA8"/>
    <w:rsid w:val="00160291"/>
    <w:rsid w:val="00160AC3"/>
    <w:rsid w:val="00164864"/>
    <w:rsid w:val="0016542A"/>
    <w:rsid w:val="00167392"/>
    <w:rsid w:val="00167EAF"/>
    <w:rsid w:val="00167F3B"/>
    <w:rsid w:val="0017046A"/>
    <w:rsid w:val="00172601"/>
    <w:rsid w:val="00173230"/>
    <w:rsid w:val="00173401"/>
    <w:rsid w:val="00173DFA"/>
    <w:rsid w:val="00174422"/>
    <w:rsid w:val="00176310"/>
    <w:rsid w:val="0018007E"/>
    <w:rsid w:val="00180C13"/>
    <w:rsid w:val="00181BE9"/>
    <w:rsid w:val="001827FE"/>
    <w:rsid w:val="00182ED8"/>
    <w:rsid w:val="001859B5"/>
    <w:rsid w:val="00185B2E"/>
    <w:rsid w:val="00186122"/>
    <w:rsid w:val="0018622A"/>
    <w:rsid w:val="0018633F"/>
    <w:rsid w:val="001900E9"/>
    <w:rsid w:val="001908DB"/>
    <w:rsid w:val="00190938"/>
    <w:rsid w:val="00190EDD"/>
    <w:rsid w:val="00191247"/>
    <w:rsid w:val="00191C34"/>
    <w:rsid w:val="0019323A"/>
    <w:rsid w:val="00193B16"/>
    <w:rsid w:val="00195055"/>
    <w:rsid w:val="001967CA"/>
    <w:rsid w:val="00197622"/>
    <w:rsid w:val="0019793F"/>
    <w:rsid w:val="00197F31"/>
    <w:rsid w:val="001A059F"/>
    <w:rsid w:val="001A07B6"/>
    <w:rsid w:val="001A0B1E"/>
    <w:rsid w:val="001A1DAB"/>
    <w:rsid w:val="001A217F"/>
    <w:rsid w:val="001A2312"/>
    <w:rsid w:val="001A33F6"/>
    <w:rsid w:val="001A3D07"/>
    <w:rsid w:val="001A407D"/>
    <w:rsid w:val="001A46E6"/>
    <w:rsid w:val="001A4719"/>
    <w:rsid w:val="001A4B66"/>
    <w:rsid w:val="001A5B5B"/>
    <w:rsid w:val="001A5DF9"/>
    <w:rsid w:val="001A78B7"/>
    <w:rsid w:val="001B02D1"/>
    <w:rsid w:val="001B070D"/>
    <w:rsid w:val="001B0F64"/>
    <w:rsid w:val="001B1D0B"/>
    <w:rsid w:val="001B2019"/>
    <w:rsid w:val="001B363B"/>
    <w:rsid w:val="001B41C5"/>
    <w:rsid w:val="001B426A"/>
    <w:rsid w:val="001B44B0"/>
    <w:rsid w:val="001B463F"/>
    <w:rsid w:val="001B5110"/>
    <w:rsid w:val="001B5FBE"/>
    <w:rsid w:val="001B66DE"/>
    <w:rsid w:val="001B67FA"/>
    <w:rsid w:val="001B6F58"/>
    <w:rsid w:val="001B7242"/>
    <w:rsid w:val="001B7869"/>
    <w:rsid w:val="001C017B"/>
    <w:rsid w:val="001C0766"/>
    <w:rsid w:val="001C0CCA"/>
    <w:rsid w:val="001C0F95"/>
    <w:rsid w:val="001C15DE"/>
    <w:rsid w:val="001C1F59"/>
    <w:rsid w:val="001C1F6E"/>
    <w:rsid w:val="001C2845"/>
    <w:rsid w:val="001C2F8D"/>
    <w:rsid w:val="001C32E2"/>
    <w:rsid w:val="001C333A"/>
    <w:rsid w:val="001C37E7"/>
    <w:rsid w:val="001C3A02"/>
    <w:rsid w:val="001C3B3C"/>
    <w:rsid w:val="001C3B54"/>
    <w:rsid w:val="001C3B63"/>
    <w:rsid w:val="001C4335"/>
    <w:rsid w:val="001C448A"/>
    <w:rsid w:val="001C49BA"/>
    <w:rsid w:val="001C559F"/>
    <w:rsid w:val="001C6B1C"/>
    <w:rsid w:val="001D06F9"/>
    <w:rsid w:val="001D0F34"/>
    <w:rsid w:val="001D2501"/>
    <w:rsid w:val="001D2B6F"/>
    <w:rsid w:val="001D39F1"/>
    <w:rsid w:val="001D47FB"/>
    <w:rsid w:val="001D50DC"/>
    <w:rsid w:val="001D50FF"/>
    <w:rsid w:val="001E0EFA"/>
    <w:rsid w:val="001E2C2E"/>
    <w:rsid w:val="001E3338"/>
    <w:rsid w:val="001E416B"/>
    <w:rsid w:val="001E5264"/>
    <w:rsid w:val="001E5EA3"/>
    <w:rsid w:val="001E66F4"/>
    <w:rsid w:val="001E6804"/>
    <w:rsid w:val="001E73B6"/>
    <w:rsid w:val="001E7D07"/>
    <w:rsid w:val="001F01BB"/>
    <w:rsid w:val="001F0AB8"/>
    <w:rsid w:val="001F1952"/>
    <w:rsid w:val="001F1B86"/>
    <w:rsid w:val="001F1D74"/>
    <w:rsid w:val="001F243C"/>
    <w:rsid w:val="001F29E5"/>
    <w:rsid w:val="001F2B50"/>
    <w:rsid w:val="001F2D8E"/>
    <w:rsid w:val="001F42E0"/>
    <w:rsid w:val="001F4668"/>
    <w:rsid w:val="001F5B2D"/>
    <w:rsid w:val="001F5DB2"/>
    <w:rsid w:val="001F5E15"/>
    <w:rsid w:val="001F62BF"/>
    <w:rsid w:val="001F6348"/>
    <w:rsid w:val="001F6AD0"/>
    <w:rsid w:val="001F7386"/>
    <w:rsid w:val="001F7E88"/>
    <w:rsid w:val="0020043E"/>
    <w:rsid w:val="002004E4"/>
    <w:rsid w:val="00202A66"/>
    <w:rsid w:val="0020344F"/>
    <w:rsid w:val="00203477"/>
    <w:rsid w:val="00204367"/>
    <w:rsid w:val="0020437D"/>
    <w:rsid w:val="002057A2"/>
    <w:rsid w:val="0020605E"/>
    <w:rsid w:val="00206483"/>
    <w:rsid w:val="00207239"/>
    <w:rsid w:val="0020787F"/>
    <w:rsid w:val="00211505"/>
    <w:rsid w:val="002116FB"/>
    <w:rsid w:val="00212135"/>
    <w:rsid w:val="002121F9"/>
    <w:rsid w:val="00212D17"/>
    <w:rsid w:val="00212D35"/>
    <w:rsid w:val="00212E23"/>
    <w:rsid w:val="002147FC"/>
    <w:rsid w:val="0021528E"/>
    <w:rsid w:val="002165D7"/>
    <w:rsid w:val="00216A80"/>
    <w:rsid w:val="002179FF"/>
    <w:rsid w:val="00217AFB"/>
    <w:rsid w:val="00220155"/>
    <w:rsid w:val="00220277"/>
    <w:rsid w:val="00220766"/>
    <w:rsid w:val="00220DD4"/>
    <w:rsid w:val="00221246"/>
    <w:rsid w:val="00221917"/>
    <w:rsid w:val="0022315B"/>
    <w:rsid w:val="00223615"/>
    <w:rsid w:val="00224850"/>
    <w:rsid w:val="002254B5"/>
    <w:rsid w:val="002255E5"/>
    <w:rsid w:val="00227130"/>
    <w:rsid w:val="002305C7"/>
    <w:rsid w:val="00230675"/>
    <w:rsid w:val="00230E2E"/>
    <w:rsid w:val="00231ADA"/>
    <w:rsid w:val="002321F7"/>
    <w:rsid w:val="00234D6E"/>
    <w:rsid w:val="002358B4"/>
    <w:rsid w:val="00236081"/>
    <w:rsid w:val="00236E59"/>
    <w:rsid w:val="00237654"/>
    <w:rsid w:val="00237CFF"/>
    <w:rsid w:val="002406FE"/>
    <w:rsid w:val="00240D2F"/>
    <w:rsid w:val="00240E54"/>
    <w:rsid w:val="00241280"/>
    <w:rsid w:val="00242071"/>
    <w:rsid w:val="00242747"/>
    <w:rsid w:val="002429D6"/>
    <w:rsid w:val="002437F2"/>
    <w:rsid w:val="002439D9"/>
    <w:rsid w:val="00244049"/>
    <w:rsid w:val="002474C1"/>
    <w:rsid w:val="00247B94"/>
    <w:rsid w:val="00247BF5"/>
    <w:rsid w:val="00250345"/>
    <w:rsid w:val="002519B4"/>
    <w:rsid w:val="00251A2F"/>
    <w:rsid w:val="00251A47"/>
    <w:rsid w:val="00254285"/>
    <w:rsid w:val="00254CF5"/>
    <w:rsid w:val="00256067"/>
    <w:rsid w:val="0026017A"/>
    <w:rsid w:val="0026037D"/>
    <w:rsid w:val="002607A0"/>
    <w:rsid w:val="00260808"/>
    <w:rsid w:val="00260BE8"/>
    <w:rsid w:val="00260FAE"/>
    <w:rsid w:val="002617EF"/>
    <w:rsid w:val="00262F59"/>
    <w:rsid w:val="00263029"/>
    <w:rsid w:val="00263039"/>
    <w:rsid w:val="00263867"/>
    <w:rsid w:val="00263E6E"/>
    <w:rsid w:val="0026604A"/>
    <w:rsid w:val="002670E4"/>
    <w:rsid w:val="00267D43"/>
    <w:rsid w:val="0027057E"/>
    <w:rsid w:val="00270CC4"/>
    <w:rsid w:val="002724EF"/>
    <w:rsid w:val="00272931"/>
    <w:rsid w:val="00273043"/>
    <w:rsid w:val="0027377E"/>
    <w:rsid w:val="00273B73"/>
    <w:rsid w:val="00274176"/>
    <w:rsid w:val="00274D40"/>
    <w:rsid w:val="00274EBF"/>
    <w:rsid w:val="00275717"/>
    <w:rsid w:val="002760DF"/>
    <w:rsid w:val="00276EE4"/>
    <w:rsid w:val="0027702F"/>
    <w:rsid w:val="0027703C"/>
    <w:rsid w:val="00280DFD"/>
    <w:rsid w:val="00280F52"/>
    <w:rsid w:val="002810D0"/>
    <w:rsid w:val="00281B6C"/>
    <w:rsid w:val="00281BF7"/>
    <w:rsid w:val="00281F18"/>
    <w:rsid w:val="00282072"/>
    <w:rsid w:val="00282519"/>
    <w:rsid w:val="00283156"/>
    <w:rsid w:val="00283205"/>
    <w:rsid w:val="00283804"/>
    <w:rsid w:val="00283DCE"/>
    <w:rsid w:val="00284592"/>
    <w:rsid w:val="00284681"/>
    <w:rsid w:val="0028501D"/>
    <w:rsid w:val="0028549C"/>
    <w:rsid w:val="00285A1D"/>
    <w:rsid w:val="00286115"/>
    <w:rsid w:val="00287295"/>
    <w:rsid w:val="00287ECE"/>
    <w:rsid w:val="00290A46"/>
    <w:rsid w:val="00292BA4"/>
    <w:rsid w:val="00294243"/>
    <w:rsid w:val="0029443B"/>
    <w:rsid w:val="0029448A"/>
    <w:rsid w:val="0029510E"/>
    <w:rsid w:val="002954AF"/>
    <w:rsid w:val="002967D4"/>
    <w:rsid w:val="00297348"/>
    <w:rsid w:val="00297F97"/>
    <w:rsid w:val="002A0045"/>
    <w:rsid w:val="002A04AF"/>
    <w:rsid w:val="002A1FB0"/>
    <w:rsid w:val="002A24F8"/>
    <w:rsid w:val="002A333E"/>
    <w:rsid w:val="002A5331"/>
    <w:rsid w:val="002A54C3"/>
    <w:rsid w:val="002A5707"/>
    <w:rsid w:val="002A5DA8"/>
    <w:rsid w:val="002A5DD2"/>
    <w:rsid w:val="002A60EA"/>
    <w:rsid w:val="002A62E5"/>
    <w:rsid w:val="002A6934"/>
    <w:rsid w:val="002A77B9"/>
    <w:rsid w:val="002B005A"/>
    <w:rsid w:val="002B04C5"/>
    <w:rsid w:val="002B07AB"/>
    <w:rsid w:val="002B0BA4"/>
    <w:rsid w:val="002B175B"/>
    <w:rsid w:val="002B17CD"/>
    <w:rsid w:val="002B1FF3"/>
    <w:rsid w:val="002B2EB5"/>
    <w:rsid w:val="002B33F2"/>
    <w:rsid w:val="002B367A"/>
    <w:rsid w:val="002B4600"/>
    <w:rsid w:val="002B5229"/>
    <w:rsid w:val="002B5336"/>
    <w:rsid w:val="002B5622"/>
    <w:rsid w:val="002B7AB6"/>
    <w:rsid w:val="002C2FD0"/>
    <w:rsid w:val="002C3026"/>
    <w:rsid w:val="002C3B62"/>
    <w:rsid w:val="002C631C"/>
    <w:rsid w:val="002D03EE"/>
    <w:rsid w:val="002D10F0"/>
    <w:rsid w:val="002D111A"/>
    <w:rsid w:val="002D15B3"/>
    <w:rsid w:val="002D18E8"/>
    <w:rsid w:val="002D190B"/>
    <w:rsid w:val="002D27F1"/>
    <w:rsid w:val="002D4833"/>
    <w:rsid w:val="002D5111"/>
    <w:rsid w:val="002D56CD"/>
    <w:rsid w:val="002D5A18"/>
    <w:rsid w:val="002D77B6"/>
    <w:rsid w:val="002E03DF"/>
    <w:rsid w:val="002E0BCE"/>
    <w:rsid w:val="002E107E"/>
    <w:rsid w:val="002E1CF8"/>
    <w:rsid w:val="002E3BBD"/>
    <w:rsid w:val="002E55C1"/>
    <w:rsid w:val="002E6492"/>
    <w:rsid w:val="002E6493"/>
    <w:rsid w:val="002E68C1"/>
    <w:rsid w:val="002E69A3"/>
    <w:rsid w:val="002E79B6"/>
    <w:rsid w:val="002F1274"/>
    <w:rsid w:val="002F22E0"/>
    <w:rsid w:val="002F3178"/>
    <w:rsid w:val="002F3869"/>
    <w:rsid w:val="002F4153"/>
    <w:rsid w:val="002F709E"/>
    <w:rsid w:val="002F74CD"/>
    <w:rsid w:val="002F74EF"/>
    <w:rsid w:val="002F7D4B"/>
    <w:rsid w:val="002F7FFE"/>
    <w:rsid w:val="00300FD8"/>
    <w:rsid w:val="003028B3"/>
    <w:rsid w:val="00303023"/>
    <w:rsid w:val="003041CC"/>
    <w:rsid w:val="00304CE9"/>
    <w:rsid w:val="003059DC"/>
    <w:rsid w:val="00305CBF"/>
    <w:rsid w:val="00307EA1"/>
    <w:rsid w:val="003110AC"/>
    <w:rsid w:val="003117AB"/>
    <w:rsid w:val="003122B5"/>
    <w:rsid w:val="0031403A"/>
    <w:rsid w:val="003142A5"/>
    <w:rsid w:val="00314DAF"/>
    <w:rsid w:val="00315A76"/>
    <w:rsid w:val="0031603D"/>
    <w:rsid w:val="0031605E"/>
    <w:rsid w:val="003160AA"/>
    <w:rsid w:val="003160DB"/>
    <w:rsid w:val="0031687E"/>
    <w:rsid w:val="00316E0B"/>
    <w:rsid w:val="00317460"/>
    <w:rsid w:val="00317858"/>
    <w:rsid w:val="00317C54"/>
    <w:rsid w:val="003203F9"/>
    <w:rsid w:val="00321491"/>
    <w:rsid w:val="00321698"/>
    <w:rsid w:val="00321BBA"/>
    <w:rsid w:val="0032201E"/>
    <w:rsid w:val="003225BD"/>
    <w:rsid w:val="00323233"/>
    <w:rsid w:val="003236C1"/>
    <w:rsid w:val="0032502B"/>
    <w:rsid w:val="00325544"/>
    <w:rsid w:val="0032684F"/>
    <w:rsid w:val="0032710F"/>
    <w:rsid w:val="00331DBB"/>
    <w:rsid w:val="00332DC2"/>
    <w:rsid w:val="00333053"/>
    <w:rsid w:val="003343B9"/>
    <w:rsid w:val="00334516"/>
    <w:rsid w:val="0033472C"/>
    <w:rsid w:val="003359BD"/>
    <w:rsid w:val="00335A7B"/>
    <w:rsid w:val="00335EE7"/>
    <w:rsid w:val="00336677"/>
    <w:rsid w:val="003367ED"/>
    <w:rsid w:val="00336D30"/>
    <w:rsid w:val="00337633"/>
    <w:rsid w:val="00337BCA"/>
    <w:rsid w:val="003401A2"/>
    <w:rsid w:val="003406B4"/>
    <w:rsid w:val="0034111E"/>
    <w:rsid w:val="00341157"/>
    <w:rsid w:val="0034123F"/>
    <w:rsid w:val="003412AC"/>
    <w:rsid w:val="00341C44"/>
    <w:rsid w:val="00342FCB"/>
    <w:rsid w:val="003438B6"/>
    <w:rsid w:val="00343B8A"/>
    <w:rsid w:val="003448DA"/>
    <w:rsid w:val="00344AC7"/>
    <w:rsid w:val="003453B0"/>
    <w:rsid w:val="00346227"/>
    <w:rsid w:val="0034698C"/>
    <w:rsid w:val="00347670"/>
    <w:rsid w:val="003508B4"/>
    <w:rsid w:val="00350DC5"/>
    <w:rsid w:val="003516BC"/>
    <w:rsid w:val="003517D1"/>
    <w:rsid w:val="00351CCE"/>
    <w:rsid w:val="00352AC9"/>
    <w:rsid w:val="00352BC4"/>
    <w:rsid w:val="0035346E"/>
    <w:rsid w:val="003535D5"/>
    <w:rsid w:val="00354682"/>
    <w:rsid w:val="0035472B"/>
    <w:rsid w:val="00354EC2"/>
    <w:rsid w:val="00356745"/>
    <w:rsid w:val="00356870"/>
    <w:rsid w:val="003578F7"/>
    <w:rsid w:val="00357926"/>
    <w:rsid w:val="003579F2"/>
    <w:rsid w:val="003618D2"/>
    <w:rsid w:val="0036278D"/>
    <w:rsid w:val="00363659"/>
    <w:rsid w:val="00364017"/>
    <w:rsid w:val="0036402A"/>
    <w:rsid w:val="003657F3"/>
    <w:rsid w:val="003661E3"/>
    <w:rsid w:val="0036642B"/>
    <w:rsid w:val="00366C39"/>
    <w:rsid w:val="00366C80"/>
    <w:rsid w:val="00366E03"/>
    <w:rsid w:val="00367308"/>
    <w:rsid w:val="00367363"/>
    <w:rsid w:val="00367B4D"/>
    <w:rsid w:val="00370625"/>
    <w:rsid w:val="00370895"/>
    <w:rsid w:val="0037107B"/>
    <w:rsid w:val="00372F5B"/>
    <w:rsid w:val="00374312"/>
    <w:rsid w:val="00375CBB"/>
    <w:rsid w:val="00376ECF"/>
    <w:rsid w:val="0038097E"/>
    <w:rsid w:val="00381F26"/>
    <w:rsid w:val="00383E4F"/>
    <w:rsid w:val="00383F54"/>
    <w:rsid w:val="0038436D"/>
    <w:rsid w:val="00384AD4"/>
    <w:rsid w:val="0038715A"/>
    <w:rsid w:val="00387328"/>
    <w:rsid w:val="003874AE"/>
    <w:rsid w:val="00387C65"/>
    <w:rsid w:val="00391981"/>
    <w:rsid w:val="00391A02"/>
    <w:rsid w:val="00392355"/>
    <w:rsid w:val="00393759"/>
    <w:rsid w:val="00393AFC"/>
    <w:rsid w:val="00393F51"/>
    <w:rsid w:val="0039445C"/>
    <w:rsid w:val="003944B5"/>
    <w:rsid w:val="00394636"/>
    <w:rsid w:val="003950FC"/>
    <w:rsid w:val="00395819"/>
    <w:rsid w:val="003958DF"/>
    <w:rsid w:val="00395BA1"/>
    <w:rsid w:val="003962C5"/>
    <w:rsid w:val="003962FD"/>
    <w:rsid w:val="00396E7B"/>
    <w:rsid w:val="00396F59"/>
    <w:rsid w:val="00397157"/>
    <w:rsid w:val="003971D3"/>
    <w:rsid w:val="003A02CD"/>
    <w:rsid w:val="003A03C9"/>
    <w:rsid w:val="003A11F2"/>
    <w:rsid w:val="003A17A0"/>
    <w:rsid w:val="003A201C"/>
    <w:rsid w:val="003A23B8"/>
    <w:rsid w:val="003A258B"/>
    <w:rsid w:val="003A26DA"/>
    <w:rsid w:val="003A2E5C"/>
    <w:rsid w:val="003A30F8"/>
    <w:rsid w:val="003A34DB"/>
    <w:rsid w:val="003A5A3A"/>
    <w:rsid w:val="003A6D00"/>
    <w:rsid w:val="003A72F1"/>
    <w:rsid w:val="003A73C8"/>
    <w:rsid w:val="003A76F1"/>
    <w:rsid w:val="003A778F"/>
    <w:rsid w:val="003B1727"/>
    <w:rsid w:val="003B21F3"/>
    <w:rsid w:val="003B220D"/>
    <w:rsid w:val="003B26C2"/>
    <w:rsid w:val="003B2882"/>
    <w:rsid w:val="003B2950"/>
    <w:rsid w:val="003B3FA8"/>
    <w:rsid w:val="003B48FA"/>
    <w:rsid w:val="003B4D85"/>
    <w:rsid w:val="003B57AC"/>
    <w:rsid w:val="003B5D5D"/>
    <w:rsid w:val="003B6FA5"/>
    <w:rsid w:val="003C01FE"/>
    <w:rsid w:val="003C179C"/>
    <w:rsid w:val="003C19CE"/>
    <w:rsid w:val="003C2178"/>
    <w:rsid w:val="003C34F3"/>
    <w:rsid w:val="003C3C58"/>
    <w:rsid w:val="003C5FF6"/>
    <w:rsid w:val="003C63E1"/>
    <w:rsid w:val="003C69CB"/>
    <w:rsid w:val="003C757F"/>
    <w:rsid w:val="003D0191"/>
    <w:rsid w:val="003D0719"/>
    <w:rsid w:val="003D0900"/>
    <w:rsid w:val="003D0D82"/>
    <w:rsid w:val="003D17AD"/>
    <w:rsid w:val="003D1C2A"/>
    <w:rsid w:val="003D2754"/>
    <w:rsid w:val="003D3FC2"/>
    <w:rsid w:val="003D3FF8"/>
    <w:rsid w:val="003D51DE"/>
    <w:rsid w:val="003D5298"/>
    <w:rsid w:val="003D5B21"/>
    <w:rsid w:val="003D6171"/>
    <w:rsid w:val="003D659C"/>
    <w:rsid w:val="003D6EB5"/>
    <w:rsid w:val="003D7B3F"/>
    <w:rsid w:val="003E0670"/>
    <w:rsid w:val="003E09B5"/>
    <w:rsid w:val="003E0CB2"/>
    <w:rsid w:val="003E0DD1"/>
    <w:rsid w:val="003E2E74"/>
    <w:rsid w:val="003E325F"/>
    <w:rsid w:val="003E3F54"/>
    <w:rsid w:val="003E5555"/>
    <w:rsid w:val="003E5A9D"/>
    <w:rsid w:val="003E5E3D"/>
    <w:rsid w:val="003E6B5E"/>
    <w:rsid w:val="003E6F73"/>
    <w:rsid w:val="003E7F12"/>
    <w:rsid w:val="003F1561"/>
    <w:rsid w:val="003F1C57"/>
    <w:rsid w:val="003F2125"/>
    <w:rsid w:val="003F2351"/>
    <w:rsid w:val="003F241D"/>
    <w:rsid w:val="003F3525"/>
    <w:rsid w:val="003F44A6"/>
    <w:rsid w:val="003F5177"/>
    <w:rsid w:val="003F5D1E"/>
    <w:rsid w:val="003F634D"/>
    <w:rsid w:val="003F6886"/>
    <w:rsid w:val="003F74FD"/>
    <w:rsid w:val="003F763D"/>
    <w:rsid w:val="004011AA"/>
    <w:rsid w:val="00401830"/>
    <w:rsid w:val="00401958"/>
    <w:rsid w:val="00401E67"/>
    <w:rsid w:val="00402C39"/>
    <w:rsid w:val="00402FF5"/>
    <w:rsid w:val="004033F3"/>
    <w:rsid w:val="00404C88"/>
    <w:rsid w:val="00404DC8"/>
    <w:rsid w:val="00406119"/>
    <w:rsid w:val="00407116"/>
    <w:rsid w:val="004071A3"/>
    <w:rsid w:val="00407965"/>
    <w:rsid w:val="00407B25"/>
    <w:rsid w:val="0041006A"/>
    <w:rsid w:val="0041087C"/>
    <w:rsid w:val="00410A91"/>
    <w:rsid w:val="00411823"/>
    <w:rsid w:val="0041344A"/>
    <w:rsid w:val="00413561"/>
    <w:rsid w:val="00413E24"/>
    <w:rsid w:val="0041433A"/>
    <w:rsid w:val="0041478A"/>
    <w:rsid w:val="004152D4"/>
    <w:rsid w:val="00415A2D"/>
    <w:rsid w:val="00416FB4"/>
    <w:rsid w:val="00417554"/>
    <w:rsid w:val="004176C7"/>
    <w:rsid w:val="004177CC"/>
    <w:rsid w:val="00420130"/>
    <w:rsid w:val="004204C0"/>
    <w:rsid w:val="00420A4C"/>
    <w:rsid w:val="00421079"/>
    <w:rsid w:val="0042135A"/>
    <w:rsid w:val="00421535"/>
    <w:rsid w:val="0042181D"/>
    <w:rsid w:val="00421A3A"/>
    <w:rsid w:val="00421D20"/>
    <w:rsid w:val="00421E7C"/>
    <w:rsid w:val="00422A6F"/>
    <w:rsid w:val="004232AE"/>
    <w:rsid w:val="0042427F"/>
    <w:rsid w:val="00424CA9"/>
    <w:rsid w:val="004254C8"/>
    <w:rsid w:val="00425A04"/>
    <w:rsid w:val="00425B4E"/>
    <w:rsid w:val="0042638E"/>
    <w:rsid w:val="00426A61"/>
    <w:rsid w:val="00430422"/>
    <w:rsid w:val="004306DD"/>
    <w:rsid w:val="0043100F"/>
    <w:rsid w:val="00431E2A"/>
    <w:rsid w:val="00432AB4"/>
    <w:rsid w:val="004330D9"/>
    <w:rsid w:val="004339A4"/>
    <w:rsid w:val="00433D80"/>
    <w:rsid w:val="0043410D"/>
    <w:rsid w:val="00434472"/>
    <w:rsid w:val="00434DB0"/>
    <w:rsid w:val="00435755"/>
    <w:rsid w:val="00435CE1"/>
    <w:rsid w:val="004363EC"/>
    <w:rsid w:val="00437CF3"/>
    <w:rsid w:val="0044011D"/>
    <w:rsid w:val="00442267"/>
    <w:rsid w:val="004450E5"/>
    <w:rsid w:val="0044649A"/>
    <w:rsid w:val="004470AD"/>
    <w:rsid w:val="0044721F"/>
    <w:rsid w:val="004475F3"/>
    <w:rsid w:val="00450BD4"/>
    <w:rsid w:val="004514D9"/>
    <w:rsid w:val="004515CC"/>
    <w:rsid w:val="00451945"/>
    <w:rsid w:val="004520E9"/>
    <w:rsid w:val="00452419"/>
    <w:rsid w:val="00452EDA"/>
    <w:rsid w:val="00453666"/>
    <w:rsid w:val="00454CDC"/>
    <w:rsid w:val="0045520F"/>
    <w:rsid w:val="00455236"/>
    <w:rsid w:val="0045548E"/>
    <w:rsid w:val="00455510"/>
    <w:rsid w:val="00461B51"/>
    <w:rsid w:val="00462FEF"/>
    <w:rsid w:val="00463220"/>
    <w:rsid w:val="004635D0"/>
    <w:rsid w:val="004645DD"/>
    <w:rsid w:val="004649F3"/>
    <w:rsid w:val="00465145"/>
    <w:rsid w:val="00467450"/>
    <w:rsid w:val="0046760F"/>
    <w:rsid w:val="00470453"/>
    <w:rsid w:val="004710A2"/>
    <w:rsid w:val="00471697"/>
    <w:rsid w:val="00471D6D"/>
    <w:rsid w:val="00472738"/>
    <w:rsid w:val="004736CD"/>
    <w:rsid w:val="00474022"/>
    <w:rsid w:val="00474331"/>
    <w:rsid w:val="004743B8"/>
    <w:rsid w:val="004762DC"/>
    <w:rsid w:val="00476574"/>
    <w:rsid w:val="00476AC8"/>
    <w:rsid w:val="00476D3A"/>
    <w:rsid w:val="00476D5D"/>
    <w:rsid w:val="00477034"/>
    <w:rsid w:val="004773A5"/>
    <w:rsid w:val="00480B99"/>
    <w:rsid w:val="00483946"/>
    <w:rsid w:val="0048491E"/>
    <w:rsid w:val="00487099"/>
    <w:rsid w:val="00487231"/>
    <w:rsid w:val="00487673"/>
    <w:rsid w:val="00490B7F"/>
    <w:rsid w:val="00491725"/>
    <w:rsid w:val="00491938"/>
    <w:rsid w:val="00491D86"/>
    <w:rsid w:val="00492FE5"/>
    <w:rsid w:val="00494A20"/>
    <w:rsid w:val="004951C7"/>
    <w:rsid w:val="00496BAD"/>
    <w:rsid w:val="00496E7C"/>
    <w:rsid w:val="004A04F8"/>
    <w:rsid w:val="004A2556"/>
    <w:rsid w:val="004A293A"/>
    <w:rsid w:val="004A3418"/>
    <w:rsid w:val="004A3659"/>
    <w:rsid w:val="004A5BA6"/>
    <w:rsid w:val="004A5D79"/>
    <w:rsid w:val="004A624A"/>
    <w:rsid w:val="004B3337"/>
    <w:rsid w:val="004B4513"/>
    <w:rsid w:val="004B4847"/>
    <w:rsid w:val="004B5BA7"/>
    <w:rsid w:val="004B617F"/>
    <w:rsid w:val="004B63C7"/>
    <w:rsid w:val="004C06DD"/>
    <w:rsid w:val="004C0748"/>
    <w:rsid w:val="004C13E3"/>
    <w:rsid w:val="004C2B0D"/>
    <w:rsid w:val="004C337E"/>
    <w:rsid w:val="004C477C"/>
    <w:rsid w:val="004C4AD7"/>
    <w:rsid w:val="004C5299"/>
    <w:rsid w:val="004C61EF"/>
    <w:rsid w:val="004C65A6"/>
    <w:rsid w:val="004C6A4F"/>
    <w:rsid w:val="004C6B62"/>
    <w:rsid w:val="004C6DBD"/>
    <w:rsid w:val="004D2525"/>
    <w:rsid w:val="004D331B"/>
    <w:rsid w:val="004D399E"/>
    <w:rsid w:val="004D4B95"/>
    <w:rsid w:val="004D4BD8"/>
    <w:rsid w:val="004D562F"/>
    <w:rsid w:val="004D5D0C"/>
    <w:rsid w:val="004D7752"/>
    <w:rsid w:val="004E0739"/>
    <w:rsid w:val="004E1308"/>
    <w:rsid w:val="004E2470"/>
    <w:rsid w:val="004E2C27"/>
    <w:rsid w:val="004E2C57"/>
    <w:rsid w:val="004E2F70"/>
    <w:rsid w:val="004E2F9D"/>
    <w:rsid w:val="004E370A"/>
    <w:rsid w:val="004E4B34"/>
    <w:rsid w:val="004E4DA9"/>
    <w:rsid w:val="004E5EF1"/>
    <w:rsid w:val="004E60EE"/>
    <w:rsid w:val="004E7CB0"/>
    <w:rsid w:val="004E7ED8"/>
    <w:rsid w:val="004F03D6"/>
    <w:rsid w:val="004F0563"/>
    <w:rsid w:val="004F0C0D"/>
    <w:rsid w:val="004F0F72"/>
    <w:rsid w:val="004F1B7A"/>
    <w:rsid w:val="004F237A"/>
    <w:rsid w:val="004F2779"/>
    <w:rsid w:val="004F3999"/>
    <w:rsid w:val="004F573B"/>
    <w:rsid w:val="004F5E27"/>
    <w:rsid w:val="004F673D"/>
    <w:rsid w:val="0050004F"/>
    <w:rsid w:val="00500111"/>
    <w:rsid w:val="00500D85"/>
    <w:rsid w:val="00501632"/>
    <w:rsid w:val="00501776"/>
    <w:rsid w:val="00501D4C"/>
    <w:rsid w:val="00501D6D"/>
    <w:rsid w:val="0050217F"/>
    <w:rsid w:val="0050251D"/>
    <w:rsid w:val="00502942"/>
    <w:rsid w:val="00502C1B"/>
    <w:rsid w:val="00502EE7"/>
    <w:rsid w:val="00503B76"/>
    <w:rsid w:val="00503D8D"/>
    <w:rsid w:val="00504247"/>
    <w:rsid w:val="005054AF"/>
    <w:rsid w:val="005066EF"/>
    <w:rsid w:val="00506756"/>
    <w:rsid w:val="00506FB0"/>
    <w:rsid w:val="00507BC2"/>
    <w:rsid w:val="0051058C"/>
    <w:rsid w:val="005112E3"/>
    <w:rsid w:val="00511CB9"/>
    <w:rsid w:val="00511EF5"/>
    <w:rsid w:val="00512E13"/>
    <w:rsid w:val="00514532"/>
    <w:rsid w:val="00514757"/>
    <w:rsid w:val="00514917"/>
    <w:rsid w:val="00514FF6"/>
    <w:rsid w:val="005161B5"/>
    <w:rsid w:val="0051683D"/>
    <w:rsid w:val="00517DBC"/>
    <w:rsid w:val="00520638"/>
    <w:rsid w:val="005209E0"/>
    <w:rsid w:val="00521099"/>
    <w:rsid w:val="005216C2"/>
    <w:rsid w:val="00521F95"/>
    <w:rsid w:val="005220A5"/>
    <w:rsid w:val="00522921"/>
    <w:rsid w:val="00522F87"/>
    <w:rsid w:val="00523643"/>
    <w:rsid w:val="005247C2"/>
    <w:rsid w:val="00524AB7"/>
    <w:rsid w:val="00524E61"/>
    <w:rsid w:val="005261EE"/>
    <w:rsid w:val="00530039"/>
    <w:rsid w:val="005314A5"/>
    <w:rsid w:val="00531946"/>
    <w:rsid w:val="00531A96"/>
    <w:rsid w:val="0053429D"/>
    <w:rsid w:val="005355CE"/>
    <w:rsid w:val="00540428"/>
    <w:rsid w:val="00540440"/>
    <w:rsid w:val="00540540"/>
    <w:rsid w:val="00540CF4"/>
    <w:rsid w:val="00540D4E"/>
    <w:rsid w:val="00541D51"/>
    <w:rsid w:val="005427C3"/>
    <w:rsid w:val="0054297C"/>
    <w:rsid w:val="005431FC"/>
    <w:rsid w:val="005435D4"/>
    <w:rsid w:val="00544B12"/>
    <w:rsid w:val="00544D26"/>
    <w:rsid w:val="0054572C"/>
    <w:rsid w:val="0054720C"/>
    <w:rsid w:val="00547779"/>
    <w:rsid w:val="00547B3E"/>
    <w:rsid w:val="00550253"/>
    <w:rsid w:val="00550317"/>
    <w:rsid w:val="005506C8"/>
    <w:rsid w:val="005507F2"/>
    <w:rsid w:val="00550E24"/>
    <w:rsid w:val="005516CA"/>
    <w:rsid w:val="0055285D"/>
    <w:rsid w:val="00552A53"/>
    <w:rsid w:val="00554BB5"/>
    <w:rsid w:val="00555144"/>
    <w:rsid w:val="00556126"/>
    <w:rsid w:val="0055632F"/>
    <w:rsid w:val="0055666A"/>
    <w:rsid w:val="00556D42"/>
    <w:rsid w:val="005573EB"/>
    <w:rsid w:val="005578DF"/>
    <w:rsid w:val="00560B70"/>
    <w:rsid w:val="00560D27"/>
    <w:rsid w:val="00561C80"/>
    <w:rsid w:val="00561DC9"/>
    <w:rsid w:val="005625A6"/>
    <w:rsid w:val="005633D6"/>
    <w:rsid w:val="005636FE"/>
    <w:rsid w:val="005640E4"/>
    <w:rsid w:val="00565619"/>
    <w:rsid w:val="00565653"/>
    <w:rsid w:val="00565D0A"/>
    <w:rsid w:val="00566791"/>
    <w:rsid w:val="00567C4A"/>
    <w:rsid w:val="005713E0"/>
    <w:rsid w:val="00571B45"/>
    <w:rsid w:val="00572FC5"/>
    <w:rsid w:val="00573776"/>
    <w:rsid w:val="00573951"/>
    <w:rsid w:val="00573ABC"/>
    <w:rsid w:val="00574916"/>
    <w:rsid w:val="00575B10"/>
    <w:rsid w:val="005762B6"/>
    <w:rsid w:val="00576467"/>
    <w:rsid w:val="00576C19"/>
    <w:rsid w:val="00576DFC"/>
    <w:rsid w:val="00577F0B"/>
    <w:rsid w:val="00580412"/>
    <w:rsid w:val="00580EFB"/>
    <w:rsid w:val="005819ED"/>
    <w:rsid w:val="00581FCF"/>
    <w:rsid w:val="0058217D"/>
    <w:rsid w:val="005823B3"/>
    <w:rsid w:val="00583C4F"/>
    <w:rsid w:val="00585C54"/>
    <w:rsid w:val="00585CC9"/>
    <w:rsid w:val="005864CB"/>
    <w:rsid w:val="00586FD8"/>
    <w:rsid w:val="005879EF"/>
    <w:rsid w:val="00587FE7"/>
    <w:rsid w:val="005901C2"/>
    <w:rsid w:val="00590CCB"/>
    <w:rsid w:val="00591007"/>
    <w:rsid w:val="0059162A"/>
    <w:rsid w:val="005966F1"/>
    <w:rsid w:val="00596AE1"/>
    <w:rsid w:val="00597160"/>
    <w:rsid w:val="00597312"/>
    <w:rsid w:val="00597A45"/>
    <w:rsid w:val="005A11BB"/>
    <w:rsid w:val="005A1424"/>
    <w:rsid w:val="005A1578"/>
    <w:rsid w:val="005A2C80"/>
    <w:rsid w:val="005A2DBC"/>
    <w:rsid w:val="005A33BC"/>
    <w:rsid w:val="005A4360"/>
    <w:rsid w:val="005A44A1"/>
    <w:rsid w:val="005A52E1"/>
    <w:rsid w:val="005A5B6E"/>
    <w:rsid w:val="005A618F"/>
    <w:rsid w:val="005A65F4"/>
    <w:rsid w:val="005A690B"/>
    <w:rsid w:val="005A69A2"/>
    <w:rsid w:val="005A6CE6"/>
    <w:rsid w:val="005A76C5"/>
    <w:rsid w:val="005A7C08"/>
    <w:rsid w:val="005A7CC7"/>
    <w:rsid w:val="005B02A4"/>
    <w:rsid w:val="005B2D86"/>
    <w:rsid w:val="005B3D6B"/>
    <w:rsid w:val="005B41D7"/>
    <w:rsid w:val="005B7600"/>
    <w:rsid w:val="005C0EB1"/>
    <w:rsid w:val="005C0EB6"/>
    <w:rsid w:val="005C0ED9"/>
    <w:rsid w:val="005C0EE4"/>
    <w:rsid w:val="005C1AF2"/>
    <w:rsid w:val="005C3709"/>
    <w:rsid w:val="005C4163"/>
    <w:rsid w:val="005C5022"/>
    <w:rsid w:val="005C69DD"/>
    <w:rsid w:val="005D0E40"/>
    <w:rsid w:val="005D0EA1"/>
    <w:rsid w:val="005D11E5"/>
    <w:rsid w:val="005D1229"/>
    <w:rsid w:val="005D1A2B"/>
    <w:rsid w:val="005D1BF5"/>
    <w:rsid w:val="005D2684"/>
    <w:rsid w:val="005D2BFB"/>
    <w:rsid w:val="005D3B0E"/>
    <w:rsid w:val="005D43D3"/>
    <w:rsid w:val="005D647D"/>
    <w:rsid w:val="005D6DFA"/>
    <w:rsid w:val="005E0F58"/>
    <w:rsid w:val="005E15E0"/>
    <w:rsid w:val="005E1600"/>
    <w:rsid w:val="005E175B"/>
    <w:rsid w:val="005E29AF"/>
    <w:rsid w:val="005E2ECA"/>
    <w:rsid w:val="005E3789"/>
    <w:rsid w:val="005E37C4"/>
    <w:rsid w:val="005E3D2D"/>
    <w:rsid w:val="005E493E"/>
    <w:rsid w:val="005E66AB"/>
    <w:rsid w:val="005E6E49"/>
    <w:rsid w:val="005E7A03"/>
    <w:rsid w:val="005F0F3A"/>
    <w:rsid w:val="005F1952"/>
    <w:rsid w:val="005F2D83"/>
    <w:rsid w:val="005F3B66"/>
    <w:rsid w:val="005F3EC3"/>
    <w:rsid w:val="005F425D"/>
    <w:rsid w:val="005F5262"/>
    <w:rsid w:val="005F531A"/>
    <w:rsid w:val="005F6B15"/>
    <w:rsid w:val="00601EC2"/>
    <w:rsid w:val="006028BB"/>
    <w:rsid w:val="00602B92"/>
    <w:rsid w:val="006035FB"/>
    <w:rsid w:val="00603C71"/>
    <w:rsid w:val="006059A7"/>
    <w:rsid w:val="00607026"/>
    <w:rsid w:val="00607DDC"/>
    <w:rsid w:val="006113C8"/>
    <w:rsid w:val="00612382"/>
    <w:rsid w:val="00612AA2"/>
    <w:rsid w:val="006134D5"/>
    <w:rsid w:val="006142BB"/>
    <w:rsid w:val="00615629"/>
    <w:rsid w:val="00615D14"/>
    <w:rsid w:val="006175CF"/>
    <w:rsid w:val="0061787F"/>
    <w:rsid w:val="006226CC"/>
    <w:rsid w:val="006227FC"/>
    <w:rsid w:val="00622A5D"/>
    <w:rsid w:val="00623E2C"/>
    <w:rsid w:val="0062441B"/>
    <w:rsid w:val="00625EAF"/>
    <w:rsid w:val="006266E1"/>
    <w:rsid w:val="00626C50"/>
    <w:rsid w:val="00630830"/>
    <w:rsid w:val="00630CCA"/>
    <w:rsid w:val="00631B62"/>
    <w:rsid w:val="006340FD"/>
    <w:rsid w:val="006346C2"/>
    <w:rsid w:val="006353A0"/>
    <w:rsid w:val="0063557B"/>
    <w:rsid w:val="00635925"/>
    <w:rsid w:val="006361EC"/>
    <w:rsid w:val="00636666"/>
    <w:rsid w:val="00636E6E"/>
    <w:rsid w:val="00637648"/>
    <w:rsid w:val="00637A05"/>
    <w:rsid w:val="006404AF"/>
    <w:rsid w:val="00642476"/>
    <w:rsid w:val="00642AC1"/>
    <w:rsid w:val="00642DD1"/>
    <w:rsid w:val="006455FF"/>
    <w:rsid w:val="00645DC7"/>
    <w:rsid w:val="0064616F"/>
    <w:rsid w:val="00646AC8"/>
    <w:rsid w:val="00647074"/>
    <w:rsid w:val="006473BC"/>
    <w:rsid w:val="0065021C"/>
    <w:rsid w:val="0065060E"/>
    <w:rsid w:val="00650B83"/>
    <w:rsid w:val="00650D24"/>
    <w:rsid w:val="006513CF"/>
    <w:rsid w:val="006527DB"/>
    <w:rsid w:val="00652BBB"/>
    <w:rsid w:val="006533F7"/>
    <w:rsid w:val="00653674"/>
    <w:rsid w:val="006541BF"/>
    <w:rsid w:val="00655550"/>
    <w:rsid w:val="00655D0F"/>
    <w:rsid w:val="0065671B"/>
    <w:rsid w:val="00657353"/>
    <w:rsid w:val="00657C1F"/>
    <w:rsid w:val="0066023D"/>
    <w:rsid w:val="00662BC8"/>
    <w:rsid w:val="00663108"/>
    <w:rsid w:val="00663F33"/>
    <w:rsid w:val="00664D52"/>
    <w:rsid w:val="00665609"/>
    <w:rsid w:val="00666140"/>
    <w:rsid w:val="006664C6"/>
    <w:rsid w:val="00666701"/>
    <w:rsid w:val="006670DE"/>
    <w:rsid w:val="00667315"/>
    <w:rsid w:val="00667767"/>
    <w:rsid w:val="00667B72"/>
    <w:rsid w:val="00667D66"/>
    <w:rsid w:val="00667FA1"/>
    <w:rsid w:val="00670DDE"/>
    <w:rsid w:val="00670E22"/>
    <w:rsid w:val="006724EF"/>
    <w:rsid w:val="00672F90"/>
    <w:rsid w:val="00673020"/>
    <w:rsid w:val="0067361D"/>
    <w:rsid w:val="00673B60"/>
    <w:rsid w:val="00674817"/>
    <w:rsid w:val="00674E22"/>
    <w:rsid w:val="00674F08"/>
    <w:rsid w:val="0067521D"/>
    <w:rsid w:val="006752F7"/>
    <w:rsid w:val="006762CD"/>
    <w:rsid w:val="00680685"/>
    <w:rsid w:val="0068080E"/>
    <w:rsid w:val="006809DA"/>
    <w:rsid w:val="00683C34"/>
    <w:rsid w:val="00684D97"/>
    <w:rsid w:val="00686223"/>
    <w:rsid w:val="00690AC4"/>
    <w:rsid w:val="0069108A"/>
    <w:rsid w:val="006912E2"/>
    <w:rsid w:val="0069181E"/>
    <w:rsid w:val="00692C95"/>
    <w:rsid w:val="00692D04"/>
    <w:rsid w:val="0069313A"/>
    <w:rsid w:val="006938FD"/>
    <w:rsid w:val="00693C72"/>
    <w:rsid w:val="0069739A"/>
    <w:rsid w:val="00697C47"/>
    <w:rsid w:val="006A03D1"/>
    <w:rsid w:val="006A1416"/>
    <w:rsid w:val="006A1951"/>
    <w:rsid w:val="006A2773"/>
    <w:rsid w:val="006A2C4A"/>
    <w:rsid w:val="006A2C58"/>
    <w:rsid w:val="006A3603"/>
    <w:rsid w:val="006A5C22"/>
    <w:rsid w:val="006A5CE6"/>
    <w:rsid w:val="006A6987"/>
    <w:rsid w:val="006A7EDA"/>
    <w:rsid w:val="006B01B0"/>
    <w:rsid w:val="006B10A5"/>
    <w:rsid w:val="006B12CA"/>
    <w:rsid w:val="006B1A1B"/>
    <w:rsid w:val="006B1B27"/>
    <w:rsid w:val="006B1EF4"/>
    <w:rsid w:val="006B2084"/>
    <w:rsid w:val="006B2847"/>
    <w:rsid w:val="006B424D"/>
    <w:rsid w:val="006B426D"/>
    <w:rsid w:val="006B4895"/>
    <w:rsid w:val="006B6311"/>
    <w:rsid w:val="006B6BDA"/>
    <w:rsid w:val="006B7342"/>
    <w:rsid w:val="006B76CF"/>
    <w:rsid w:val="006C0003"/>
    <w:rsid w:val="006C0930"/>
    <w:rsid w:val="006C197E"/>
    <w:rsid w:val="006C32E1"/>
    <w:rsid w:val="006C3678"/>
    <w:rsid w:val="006C450D"/>
    <w:rsid w:val="006C4DF3"/>
    <w:rsid w:val="006C5202"/>
    <w:rsid w:val="006C684F"/>
    <w:rsid w:val="006C7112"/>
    <w:rsid w:val="006C7956"/>
    <w:rsid w:val="006D06E4"/>
    <w:rsid w:val="006D09D1"/>
    <w:rsid w:val="006D153C"/>
    <w:rsid w:val="006D1860"/>
    <w:rsid w:val="006D1BCA"/>
    <w:rsid w:val="006D1DB5"/>
    <w:rsid w:val="006D1E4A"/>
    <w:rsid w:val="006D1F61"/>
    <w:rsid w:val="006D2374"/>
    <w:rsid w:val="006D24A9"/>
    <w:rsid w:val="006D2921"/>
    <w:rsid w:val="006D2E83"/>
    <w:rsid w:val="006D380B"/>
    <w:rsid w:val="006D3FE1"/>
    <w:rsid w:val="006D46D4"/>
    <w:rsid w:val="006D6C6A"/>
    <w:rsid w:val="006D6D86"/>
    <w:rsid w:val="006D7C0E"/>
    <w:rsid w:val="006E01AD"/>
    <w:rsid w:val="006E1092"/>
    <w:rsid w:val="006E17EA"/>
    <w:rsid w:val="006E2EA6"/>
    <w:rsid w:val="006E561C"/>
    <w:rsid w:val="006E63EC"/>
    <w:rsid w:val="006E6503"/>
    <w:rsid w:val="006E680D"/>
    <w:rsid w:val="006E774A"/>
    <w:rsid w:val="006E7E9D"/>
    <w:rsid w:val="006F1597"/>
    <w:rsid w:val="006F24BA"/>
    <w:rsid w:val="006F298D"/>
    <w:rsid w:val="006F2D8E"/>
    <w:rsid w:val="006F35A0"/>
    <w:rsid w:val="006F3BAD"/>
    <w:rsid w:val="006F40ED"/>
    <w:rsid w:val="006F5A14"/>
    <w:rsid w:val="006F5B99"/>
    <w:rsid w:val="006F6771"/>
    <w:rsid w:val="006F69C2"/>
    <w:rsid w:val="006F710D"/>
    <w:rsid w:val="006F752E"/>
    <w:rsid w:val="006F767D"/>
    <w:rsid w:val="0070060D"/>
    <w:rsid w:val="007013A1"/>
    <w:rsid w:val="00702DE0"/>
    <w:rsid w:val="007031B2"/>
    <w:rsid w:val="007038CD"/>
    <w:rsid w:val="0070418F"/>
    <w:rsid w:val="0070430C"/>
    <w:rsid w:val="007059FC"/>
    <w:rsid w:val="007061AE"/>
    <w:rsid w:val="007062FF"/>
    <w:rsid w:val="0070646C"/>
    <w:rsid w:val="0070652A"/>
    <w:rsid w:val="007103FD"/>
    <w:rsid w:val="00710897"/>
    <w:rsid w:val="00711692"/>
    <w:rsid w:val="007135EB"/>
    <w:rsid w:val="00713A2B"/>
    <w:rsid w:val="00714049"/>
    <w:rsid w:val="007141EA"/>
    <w:rsid w:val="00715E1A"/>
    <w:rsid w:val="00716A93"/>
    <w:rsid w:val="00717DBA"/>
    <w:rsid w:val="00720CDF"/>
    <w:rsid w:val="00721ED8"/>
    <w:rsid w:val="00722E35"/>
    <w:rsid w:val="007237D0"/>
    <w:rsid w:val="00725167"/>
    <w:rsid w:val="00725306"/>
    <w:rsid w:val="00725328"/>
    <w:rsid w:val="00725A5B"/>
    <w:rsid w:val="00726DFF"/>
    <w:rsid w:val="007271ED"/>
    <w:rsid w:val="0073054C"/>
    <w:rsid w:val="0073095F"/>
    <w:rsid w:val="00730F02"/>
    <w:rsid w:val="00732F12"/>
    <w:rsid w:val="007337F7"/>
    <w:rsid w:val="00733CB0"/>
    <w:rsid w:val="0073419E"/>
    <w:rsid w:val="00734537"/>
    <w:rsid w:val="00734661"/>
    <w:rsid w:val="0073481B"/>
    <w:rsid w:val="00734871"/>
    <w:rsid w:val="007353A0"/>
    <w:rsid w:val="00737133"/>
    <w:rsid w:val="0073748C"/>
    <w:rsid w:val="00737559"/>
    <w:rsid w:val="00737F10"/>
    <w:rsid w:val="007405F1"/>
    <w:rsid w:val="00740CD6"/>
    <w:rsid w:val="007425D7"/>
    <w:rsid w:val="007426A5"/>
    <w:rsid w:val="00742D2A"/>
    <w:rsid w:val="007443FC"/>
    <w:rsid w:val="00744768"/>
    <w:rsid w:val="00744BBE"/>
    <w:rsid w:val="00744E96"/>
    <w:rsid w:val="00745807"/>
    <w:rsid w:val="0074723E"/>
    <w:rsid w:val="00747631"/>
    <w:rsid w:val="00747F42"/>
    <w:rsid w:val="007503D4"/>
    <w:rsid w:val="00750526"/>
    <w:rsid w:val="0075126C"/>
    <w:rsid w:val="00751771"/>
    <w:rsid w:val="00752684"/>
    <w:rsid w:val="007528FF"/>
    <w:rsid w:val="00752A0C"/>
    <w:rsid w:val="00752ECE"/>
    <w:rsid w:val="00752FB1"/>
    <w:rsid w:val="007536F9"/>
    <w:rsid w:val="00755ABA"/>
    <w:rsid w:val="0075632B"/>
    <w:rsid w:val="0076011D"/>
    <w:rsid w:val="00760901"/>
    <w:rsid w:val="00761A19"/>
    <w:rsid w:val="00762191"/>
    <w:rsid w:val="00763701"/>
    <w:rsid w:val="00763ABB"/>
    <w:rsid w:val="00764DA7"/>
    <w:rsid w:val="0076538C"/>
    <w:rsid w:val="00765889"/>
    <w:rsid w:val="00767F73"/>
    <w:rsid w:val="00771905"/>
    <w:rsid w:val="00771D86"/>
    <w:rsid w:val="007721F9"/>
    <w:rsid w:val="00772292"/>
    <w:rsid w:val="007725D1"/>
    <w:rsid w:val="007729D6"/>
    <w:rsid w:val="00772B95"/>
    <w:rsid w:val="00773859"/>
    <w:rsid w:val="00773FF4"/>
    <w:rsid w:val="00775C9D"/>
    <w:rsid w:val="0077601A"/>
    <w:rsid w:val="00781B5E"/>
    <w:rsid w:val="00781BD9"/>
    <w:rsid w:val="0078237E"/>
    <w:rsid w:val="007830BF"/>
    <w:rsid w:val="00783723"/>
    <w:rsid w:val="00786089"/>
    <w:rsid w:val="0078643F"/>
    <w:rsid w:val="007867B0"/>
    <w:rsid w:val="007867EF"/>
    <w:rsid w:val="007875FE"/>
    <w:rsid w:val="00787C33"/>
    <w:rsid w:val="007900F9"/>
    <w:rsid w:val="00792267"/>
    <w:rsid w:val="0079241D"/>
    <w:rsid w:val="00792952"/>
    <w:rsid w:val="00792D2C"/>
    <w:rsid w:val="00793698"/>
    <w:rsid w:val="00793BC8"/>
    <w:rsid w:val="007940CB"/>
    <w:rsid w:val="00795360"/>
    <w:rsid w:val="0079556B"/>
    <w:rsid w:val="00795839"/>
    <w:rsid w:val="00795893"/>
    <w:rsid w:val="00795986"/>
    <w:rsid w:val="00796A6F"/>
    <w:rsid w:val="00797DC0"/>
    <w:rsid w:val="007A02F2"/>
    <w:rsid w:val="007A0CDE"/>
    <w:rsid w:val="007A144B"/>
    <w:rsid w:val="007A1607"/>
    <w:rsid w:val="007A182B"/>
    <w:rsid w:val="007A2338"/>
    <w:rsid w:val="007A437A"/>
    <w:rsid w:val="007A466A"/>
    <w:rsid w:val="007A5E10"/>
    <w:rsid w:val="007A62A8"/>
    <w:rsid w:val="007A7704"/>
    <w:rsid w:val="007B014E"/>
    <w:rsid w:val="007B0332"/>
    <w:rsid w:val="007B0A5E"/>
    <w:rsid w:val="007B16F9"/>
    <w:rsid w:val="007B2469"/>
    <w:rsid w:val="007B2632"/>
    <w:rsid w:val="007B4DB3"/>
    <w:rsid w:val="007B648B"/>
    <w:rsid w:val="007B7A71"/>
    <w:rsid w:val="007C0954"/>
    <w:rsid w:val="007C29B3"/>
    <w:rsid w:val="007C347D"/>
    <w:rsid w:val="007C3AFF"/>
    <w:rsid w:val="007C3B18"/>
    <w:rsid w:val="007C3F31"/>
    <w:rsid w:val="007C4012"/>
    <w:rsid w:val="007C4699"/>
    <w:rsid w:val="007C4839"/>
    <w:rsid w:val="007C4BA2"/>
    <w:rsid w:val="007C5405"/>
    <w:rsid w:val="007C5CA5"/>
    <w:rsid w:val="007C622C"/>
    <w:rsid w:val="007C62F3"/>
    <w:rsid w:val="007C6797"/>
    <w:rsid w:val="007D0588"/>
    <w:rsid w:val="007D175C"/>
    <w:rsid w:val="007D2FB3"/>
    <w:rsid w:val="007D37ED"/>
    <w:rsid w:val="007D3A3C"/>
    <w:rsid w:val="007D4DEA"/>
    <w:rsid w:val="007D7082"/>
    <w:rsid w:val="007E059A"/>
    <w:rsid w:val="007E110B"/>
    <w:rsid w:val="007E1DC0"/>
    <w:rsid w:val="007E2343"/>
    <w:rsid w:val="007E3AAA"/>
    <w:rsid w:val="007E4561"/>
    <w:rsid w:val="007E4994"/>
    <w:rsid w:val="007E5735"/>
    <w:rsid w:val="007E6930"/>
    <w:rsid w:val="007E6C55"/>
    <w:rsid w:val="007E7B0C"/>
    <w:rsid w:val="007F018E"/>
    <w:rsid w:val="007F0466"/>
    <w:rsid w:val="007F0CB7"/>
    <w:rsid w:val="007F12D4"/>
    <w:rsid w:val="007F17A2"/>
    <w:rsid w:val="007F3338"/>
    <w:rsid w:val="007F3364"/>
    <w:rsid w:val="007F35B0"/>
    <w:rsid w:val="007F3A74"/>
    <w:rsid w:val="007F4893"/>
    <w:rsid w:val="007F5117"/>
    <w:rsid w:val="007F5545"/>
    <w:rsid w:val="007F6453"/>
    <w:rsid w:val="007F6A31"/>
    <w:rsid w:val="007F6F39"/>
    <w:rsid w:val="007F7C26"/>
    <w:rsid w:val="007F7E42"/>
    <w:rsid w:val="00800BFF"/>
    <w:rsid w:val="00800FA6"/>
    <w:rsid w:val="008013A3"/>
    <w:rsid w:val="0080181A"/>
    <w:rsid w:val="0080277E"/>
    <w:rsid w:val="00803890"/>
    <w:rsid w:val="008048B1"/>
    <w:rsid w:val="00804E57"/>
    <w:rsid w:val="00805E1A"/>
    <w:rsid w:val="008064FA"/>
    <w:rsid w:val="00806FF2"/>
    <w:rsid w:val="0081072B"/>
    <w:rsid w:val="00810E37"/>
    <w:rsid w:val="00810EB0"/>
    <w:rsid w:val="00811712"/>
    <w:rsid w:val="0081215A"/>
    <w:rsid w:val="00812493"/>
    <w:rsid w:val="00812588"/>
    <w:rsid w:val="008147EA"/>
    <w:rsid w:val="00814BEC"/>
    <w:rsid w:val="00814F17"/>
    <w:rsid w:val="00815A32"/>
    <w:rsid w:val="00815E6E"/>
    <w:rsid w:val="00817310"/>
    <w:rsid w:val="008223DC"/>
    <w:rsid w:val="00822405"/>
    <w:rsid w:val="00823325"/>
    <w:rsid w:val="008249A8"/>
    <w:rsid w:val="0082672D"/>
    <w:rsid w:val="008301CB"/>
    <w:rsid w:val="00831A5C"/>
    <w:rsid w:val="00831AFF"/>
    <w:rsid w:val="00832013"/>
    <w:rsid w:val="00832017"/>
    <w:rsid w:val="00832D8A"/>
    <w:rsid w:val="00832E49"/>
    <w:rsid w:val="00833074"/>
    <w:rsid w:val="00833426"/>
    <w:rsid w:val="00834AB6"/>
    <w:rsid w:val="00835CCB"/>
    <w:rsid w:val="0083627C"/>
    <w:rsid w:val="00837F07"/>
    <w:rsid w:val="00837FA0"/>
    <w:rsid w:val="008401F3"/>
    <w:rsid w:val="008419C2"/>
    <w:rsid w:val="00842737"/>
    <w:rsid w:val="008427D3"/>
    <w:rsid w:val="00843584"/>
    <w:rsid w:val="00843644"/>
    <w:rsid w:val="00843DE6"/>
    <w:rsid w:val="00844006"/>
    <w:rsid w:val="0084438C"/>
    <w:rsid w:val="008449D9"/>
    <w:rsid w:val="00844BD0"/>
    <w:rsid w:val="00845A98"/>
    <w:rsid w:val="00845BBC"/>
    <w:rsid w:val="008469C5"/>
    <w:rsid w:val="00847194"/>
    <w:rsid w:val="00847953"/>
    <w:rsid w:val="00847C6B"/>
    <w:rsid w:val="00847D3E"/>
    <w:rsid w:val="00850B3C"/>
    <w:rsid w:val="00850BBB"/>
    <w:rsid w:val="00851B23"/>
    <w:rsid w:val="0085388F"/>
    <w:rsid w:val="0085682D"/>
    <w:rsid w:val="00857036"/>
    <w:rsid w:val="00857162"/>
    <w:rsid w:val="008575A3"/>
    <w:rsid w:val="00857873"/>
    <w:rsid w:val="0086068D"/>
    <w:rsid w:val="008608B1"/>
    <w:rsid w:val="008612E5"/>
    <w:rsid w:val="00861C20"/>
    <w:rsid w:val="00861D87"/>
    <w:rsid w:val="008639C9"/>
    <w:rsid w:val="00864446"/>
    <w:rsid w:val="00864B92"/>
    <w:rsid w:val="00866170"/>
    <w:rsid w:val="008661CE"/>
    <w:rsid w:val="008667BC"/>
    <w:rsid w:val="00866D06"/>
    <w:rsid w:val="00870995"/>
    <w:rsid w:val="00871153"/>
    <w:rsid w:val="00872673"/>
    <w:rsid w:val="008740C4"/>
    <w:rsid w:val="00874202"/>
    <w:rsid w:val="00874E3B"/>
    <w:rsid w:val="00875051"/>
    <w:rsid w:val="00875401"/>
    <w:rsid w:val="00875D30"/>
    <w:rsid w:val="008805FE"/>
    <w:rsid w:val="00880A35"/>
    <w:rsid w:val="00881E29"/>
    <w:rsid w:val="00882484"/>
    <w:rsid w:val="008827CE"/>
    <w:rsid w:val="00882A7F"/>
    <w:rsid w:val="00882CBE"/>
    <w:rsid w:val="00882D86"/>
    <w:rsid w:val="008837CC"/>
    <w:rsid w:val="00883F5C"/>
    <w:rsid w:val="00884A4B"/>
    <w:rsid w:val="00884D14"/>
    <w:rsid w:val="00884D31"/>
    <w:rsid w:val="008852D7"/>
    <w:rsid w:val="0088534D"/>
    <w:rsid w:val="00885529"/>
    <w:rsid w:val="0088554B"/>
    <w:rsid w:val="008859C0"/>
    <w:rsid w:val="00886E16"/>
    <w:rsid w:val="008871DF"/>
    <w:rsid w:val="00887395"/>
    <w:rsid w:val="00887A56"/>
    <w:rsid w:val="00890080"/>
    <w:rsid w:val="008907CB"/>
    <w:rsid w:val="008908A6"/>
    <w:rsid w:val="00891339"/>
    <w:rsid w:val="00893D3B"/>
    <w:rsid w:val="00894CEC"/>
    <w:rsid w:val="008953C3"/>
    <w:rsid w:val="00895B08"/>
    <w:rsid w:val="00895B24"/>
    <w:rsid w:val="00895E2B"/>
    <w:rsid w:val="008962A8"/>
    <w:rsid w:val="00896674"/>
    <w:rsid w:val="00896C77"/>
    <w:rsid w:val="008970C2"/>
    <w:rsid w:val="0089738E"/>
    <w:rsid w:val="008978DF"/>
    <w:rsid w:val="00897EA5"/>
    <w:rsid w:val="008A0CC7"/>
    <w:rsid w:val="008A17DC"/>
    <w:rsid w:val="008A3BF8"/>
    <w:rsid w:val="008A3C1F"/>
    <w:rsid w:val="008A6729"/>
    <w:rsid w:val="008A6F18"/>
    <w:rsid w:val="008A7F78"/>
    <w:rsid w:val="008B04A4"/>
    <w:rsid w:val="008B2B4F"/>
    <w:rsid w:val="008B2D92"/>
    <w:rsid w:val="008B4032"/>
    <w:rsid w:val="008B573C"/>
    <w:rsid w:val="008B7E43"/>
    <w:rsid w:val="008C0236"/>
    <w:rsid w:val="008C2356"/>
    <w:rsid w:val="008C23AB"/>
    <w:rsid w:val="008C2A2A"/>
    <w:rsid w:val="008C3546"/>
    <w:rsid w:val="008C4B60"/>
    <w:rsid w:val="008C4C36"/>
    <w:rsid w:val="008C4D05"/>
    <w:rsid w:val="008C52D4"/>
    <w:rsid w:val="008C5D5F"/>
    <w:rsid w:val="008C68E5"/>
    <w:rsid w:val="008C7065"/>
    <w:rsid w:val="008C71E6"/>
    <w:rsid w:val="008C7645"/>
    <w:rsid w:val="008D021F"/>
    <w:rsid w:val="008D02F9"/>
    <w:rsid w:val="008D0855"/>
    <w:rsid w:val="008D08DC"/>
    <w:rsid w:val="008D09BB"/>
    <w:rsid w:val="008D1C63"/>
    <w:rsid w:val="008D23EA"/>
    <w:rsid w:val="008D2A5F"/>
    <w:rsid w:val="008D3174"/>
    <w:rsid w:val="008D3A54"/>
    <w:rsid w:val="008D3A74"/>
    <w:rsid w:val="008D4065"/>
    <w:rsid w:val="008D47FE"/>
    <w:rsid w:val="008D4810"/>
    <w:rsid w:val="008D48D1"/>
    <w:rsid w:val="008D4E12"/>
    <w:rsid w:val="008D5004"/>
    <w:rsid w:val="008D5B90"/>
    <w:rsid w:val="008D62A9"/>
    <w:rsid w:val="008D6D04"/>
    <w:rsid w:val="008D6D56"/>
    <w:rsid w:val="008D75C0"/>
    <w:rsid w:val="008E098F"/>
    <w:rsid w:val="008E1359"/>
    <w:rsid w:val="008E157D"/>
    <w:rsid w:val="008E1B51"/>
    <w:rsid w:val="008E2374"/>
    <w:rsid w:val="008E32BF"/>
    <w:rsid w:val="008E32C0"/>
    <w:rsid w:val="008E4149"/>
    <w:rsid w:val="008E4EAD"/>
    <w:rsid w:val="008E6673"/>
    <w:rsid w:val="008E681C"/>
    <w:rsid w:val="008E6D21"/>
    <w:rsid w:val="008E73E4"/>
    <w:rsid w:val="008E7B70"/>
    <w:rsid w:val="008E7EAB"/>
    <w:rsid w:val="008F037F"/>
    <w:rsid w:val="008F08A5"/>
    <w:rsid w:val="008F08AD"/>
    <w:rsid w:val="008F11AE"/>
    <w:rsid w:val="008F29DC"/>
    <w:rsid w:val="008F2DE8"/>
    <w:rsid w:val="008F33F2"/>
    <w:rsid w:val="008F34C1"/>
    <w:rsid w:val="008F351C"/>
    <w:rsid w:val="008F3836"/>
    <w:rsid w:val="008F4137"/>
    <w:rsid w:val="008F4836"/>
    <w:rsid w:val="008F5295"/>
    <w:rsid w:val="008F5431"/>
    <w:rsid w:val="008F58E4"/>
    <w:rsid w:val="008F59DB"/>
    <w:rsid w:val="008F60CB"/>
    <w:rsid w:val="008F6A9B"/>
    <w:rsid w:val="008F7B45"/>
    <w:rsid w:val="00900617"/>
    <w:rsid w:val="00900619"/>
    <w:rsid w:val="0090081D"/>
    <w:rsid w:val="009014B4"/>
    <w:rsid w:val="009014FC"/>
    <w:rsid w:val="00902711"/>
    <w:rsid w:val="009042F4"/>
    <w:rsid w:val="00904659"/>
    <w:rsid w:val="009067CB"/>
    <w:rsid w:val="009070E8"/>
    <w:rsid w:val="009115F0"/>
    <w:rsid w:val="00911836"/>
    <w:rsid w:val="0091256A"/>
    <w:rsid w:val="009127B9"/>
    <w:rsid w:val="009128CD"/>
    <w:rsid w:val="0091549B"/>
    <w:rsid w:val="00915962"/>
    <w:rsid w:val="009160FE"/>
    <w:rsid w:val="0091789C"/>
    <w:rsid w:val="00917ABD"/>
    <w:rsid w:val="00920F19"/>
    <w:rsid w:val="009212B9"/>
    <w:rsid w:val="00922495"/>
    <w:rsid w:val="0092305A"/>
    <w:rsid w:val="00923E02"/>
    <w:rsid w:val="00924708"/>
    <w:rsid w:val="009247F9"/>
    <w:rsid w:val="009255C8"/>
    <w:rsid w:val="00925B28"/>
    <w:rsid w:val="00925D73"/>
    <w:rsid w:val="00926AD7"/>
    <w:rsid w:val="00927D25"/>
    <w:rsid w:val="00930038"/>
    <w:rsid w:val="009307F1"/>
    <w:rsid w:val="00930F72"/>
    <w:rsid w:val="00931671"/>
    <w:rsid w:val="00931902"/>
    <w:rsid w:val="009325C9"/>
    <w:rsid w:val="009326AA"/>
    <w:rsid w:val="0093414B"/>
    <w:rsid w:val="00935152"/>
    <w:rsid w:val="00935AF2"/>
    <w:rsid w:val="009378E8"/>
    <w:rsid w:val="00937B00"/>
    <w:rsid w:val="00937EC1"/>
    <w:rsid w:val="00937F5D"/>
    <w:rsid w:val="0094051C"/>
    <w:rsid w:val="00940702"/>
    <w:rsid w:val="009412BB"/>
    <w:rsid w:val="009419AA"/>
    <w:rsid w:val="00942D7F"/>
    <w:rsid w:val="00943629"/>
    <w:rsid w:val="009445C6"/>
    <w:rsid w:val="009448DB"/>
    <w:rsid w:val="00944A73"/>
    <w:rsid w:val="00945DD2"/>
    <w:rsid w:val="0094650E"/>
    <w:rsid w:val="00946648"/>
    <w:rsid w:val="00947A15"/>
    <w:rsid w:val="00947C5E"/>
    <w:rsid w:val="009501DE"/>
    <w:rsid w:val="00951682"/>
    <w:rsid w:val="00954351"/>
    <w:rsid w:val="00956AA2"/>
    <w:rsid w:val="0095707D"/>
    <w:rsid w:val="009575A8"/>
    <w:rsid w:val="00957B1E"/>
    <w:rsid w:val="00960188"/>
    <w:rsid w:val="009601E2"/>
    <w:rsid w:val="00960D57"/>
    <w:rsid w:val="00960EF2"/>
    <w:rsid w:val="0096198B"/>
    <w:rsid w:val="009623D0"/>
    <w:rsid w:val="00962475"/>
    <w:rsid w:val="0096350A"/>
    <w:rsid w:val="009636D1"/>
    <w:rsid w:val="0096462F"/>
    <w:rsid w:val="00964B48"/>
    <w:rsid w:val="009663BF"/>
    <w:rsid w:val="00966832"/>
    <w:rsid w:val="00971384"/>
    <w:rsid w:val="00971414"/>
    <w:rsid w:val="00971882"/>
    <w:rsid w:val="00971C33"/>
    <w:rsid w:val="00974722"/>
    <w:rsid w:val="0097483D"/>
    <w:rsid w:val="00976250"/>
    <w:rsid w:val="0097683C"/>
    <w:rsid w:val="0097786A"/>
    <w:rsid w:val="00977E5F"/>
    <w:rsid w:val="009806A2"/>
    <w:rsid w:val="009806F1"/>
    <w:rsid w:val="0098101B"/>
    <w:rsid w:val="0098147E"/>
    <w:rsid w:val="0098180F"/>
    <w:rsid w:val="009846E0"/>
    <w:rsid w:val="009858C8"/>
    <w:rsid w:val="009859BF"/>
    <w:rsid w:val="00985DEB"/>
    <w:rsid w:val="00986161"/>
    <w:rsid w:val="00987DEC"/>
    <w:rsid w:val="0099004F"/>
    <w:rsid w:val="00990614"/>
    <w:rsid w:val="00991051"/>
    <w:rsid w:val="00991C5B"/>
    <w:rsid w:val="00991D37"/>
    <w:rsid w:val="00991E4F"/>
    <w:rsid w:val="00992F7E"/>
    <w:rsid w:val="0099312E"/>
    <w:rsid w:val="00993456"/>
    <w:rsid w:val="00994801"/>
    <w:rsid w:val="009951B5"/>
    <w:rsid w:val="009956A2"/>
    <w:rsid w:val="00995C35"/>
    <w:rsid w:val="009963BA"/>
    <w:rsid w:val="009967A5"/>
    <w:rsid w:val="00997A3A"/>
    <w:rsid w:val="009A07C7"/>
    <w:rsid w:val="009A0828"/>
    <w:rsid w:val="009A1941"/>
    <w:rsid w:val="009A1F04"/>
    <w:rsid w:val="009A2B27"/>
    <w:rsid w:val="009A39D8"/>
    <w:rsid w:val="009A3EC3"/>
    <w:rsid w:val="009A42DB"/>
    <w:rsid w:val="009A44E8"/>
    <w:rsid w:val="009A57C2"/>
    <w:rsid w:val="009A5F12"/>
    <w:rsid w:val="009A5F15"/>
    <w:rsid w:val="009A6658"/>
    <w:rsid w:val="009A764F"/>
    <w:rsid w:val="009A7998"/>
    <w:rsid w:val="009A7F22"/>
    <w:rsid w:val="009B041E"/>
    <w:rsid w:val="009B0528"/>
    <w:rsid w:val="009B0E3D"/>
    <w:rsid w:val="009B159B"/>
    <w:rsid w:val="009B201A"/>
    <w:rsid w:val="009B2633"/>
    <w:rsid w:val="009B31ED"/>
    <w:rsid w:val="009B4265"/>
    <w:rsid w:val="009B4459"/>
    <w:rsid w:val="009B5B40"/>
    <w:rsid w:val="009B5EB6"/>
    <w:rsid w:val="009B6355"/>
    <w:rsid w:val="009B6687"/>
    <w:rsid w:val="009B6D39"/>
    <w:rsid w:val="009B72B8"/>
    <w:rsid w:val="009B7975"/>
    <w:rsid w:val="009C0AC4"/>
    <w:rsid w:val="009C0B23"/>
    <w:rsid w:val="009C0CC7"/>
    <w:rsid w:val="009C1BAC"/>
    <w:rsid w:val="009C24DF"/>
    <w:rsid w:val="009C2D14"/>
    <w:rsid w:val="009C2D1C"/>
    <w:rsid w:val="009C4030"/>
    <w:rsid w:val="009C5101"/>
    <w:rsid w:val="009C60DB"/>
    <w:rsid w:val="009C764F"/>
    <w:rsid w:val="009C7A8E"/>
    <w:rsid w:val="009C7AD0"/>
    <w:rsid w:val="009D082E"/>
    <w:rsid w:val="009D1574"/>
    <w:rsid w:val="009D2589"/>
    <w:rsid w:val="009E101F"/>
    <w:rsid w:val="009E107D"/>
    <w:rsid w:val="009E198B"/>
    <w:rsid w:val="009E2300"/>
    <w:rsid w:val="009E230D"/>
    <w:rsid w:val="009E2802"/>
    <w:rsid w:val="009E3851"/>
    <w:rsid w:val="009E4738"/>
    <w:rsid w:val="009E548B"/>
    <w:rsid w:val="009E67DE"/>
    <w:rsid w:val="009E6D6D"/>
    <w:rsid w:val="009E7214"/>
    <w:rsid w:val="009F00AD"/>
    <w:rsid w:val="009F03E0"/>
    <w:rsid w:val="009F04A9"/>
    <w:rsid w:val="009F0728"/>
    <w:rsid w:val="009F08D0"/>
    <w:rsid w:val="009F22DE"/>
    <w:rsid w:val="009F2D76"/>
    <w:rsid w:val="009F2E19"/>
    <w:rsid w:val="009F2FCA"/>
    <w:rsid w:val="009F4BDC"/>
    <w:rsid w:val="009F5045"/>
    <w:rsid w:val="009F53EE"/>
    <w:rsid w:val="009F556C"/>
    <w:rsid w:val="009F5B06"/>
    <w:rsid w:val="009F73A9"/>
    <w:rsid w:val="009F7F31"/>
    <w:rsid w:val="00A00AE4"/>
    <w:rsid w:val="00A02164"/>
    <w:rsid w:val="00A055F2"/>
    <w:rsid w:val="00A05C39"/>
    <w:rsid w:val="00A06A1B"/>
    <w:rsid w:val="00A06B45"/>
    <w:rsid w:val="00A06C24"/>
    <w:rsid w:val="00A07258"/>
    <w:rsid w:val="00A07CFE"/>
    <w:rsid w:val="00A10ACC"/>
    <w:rsid w:val="00A113E1"/>
    <w:rsid w:val="00A13163"/>
    <w:rsid w:val="00A133C6"/>
    <w:rsid w:val="00A14647"/>
    <w:rsid w:val="00A155FE"/>
    <w:rsid w:val="00A15984"/>
    <w:rsid w:val="00A16664"/>
    <w:rsid w:val="00A17A2F"/>
    <w:rsid w:val="00A2030F"/>
    <w:rsid w:val="00A20E46"/>
    <w:rsid w:val="00A21EB6"/>
    <w:rsid w:val="00A21FF6"/>
    <w:rsid w:val="00A22162"/>
    <w:rsid w:val="00A2224C"/>
    <w:rsid w:val="00A223F8"/>
    <w:rsid w:val="00A225B2"/>
    <w:rsid w:val="00A2301E"/>
    <w:rsid w:val="00A2350D"/>
    <w:rsid w:val="00A24688"/>
    <w:rsid w:val="00A25DFF"/>
    <w:rsid w:val="00A261FE"/>
    <w:rsid w:val="00A2628F"/>
    <w:rsid w:val="00A26A4A"/>
    <w:rsid w:val="00A3111F"/>
    <w:rsid w:val="00A322BC"/>
    <w:rsid w:val="00A33007"/>
    <w:rsid w:val="00A3357B"/>
    <w:rsid w:val="00A335E3"/>
    <w:rsid w:val="00A33AE9"/>
    <w:rsid w:val="00A35D00"/>
    <w:rsid w:val="00A35D4A"/>
    <w:rsid w:val="00A35E11"/>
    <w:rsid w:val="00A374D4"/>
    <w:rsid w:val="00A37CB2"/>
    <w:rsid w:val="00A40E12"/>
    <w:rsid w:val="00A410B6"/>
    <w:rsid w:val="00A413CF"/>
    <w:rsid w:val="00A42975"/>
    <w:rsid w:val="00A42ECB"/>
    <w:rsid w:val="00A43275"/>
    <w:rsid w:val="00A440FF"/>
    <w:rsid w:val="00A444F6"/>
    <w:rsid w:val="00A44C10"/>
    <w:rsid w:val="00A45121"/>
    <w:rsid w:val="00A4534A"/>
    <w:rsid w:val="00A46CCF"/>
    <w:rsid w:val="00A50388"/>
    <w:rsid w:val="00A50840"/>
    <w:rsid w:val="00A51072"/>
    <w:rsid w:val="00A5276A"/>
    <w:rsid w:val="00A527C2"/>
    <w:rsid w:val="00A52B27"/>
    <w:rsid w:val="00A53328"/>
    <w:rsid w:val="00A53425"/>
    <w:rsid w:val="00A535C0"/>
    <w:rsid w:val="00A53822"/>
    <w:rsid w:val="00A53AC9"/>
    <w:rsid w:val="00A5428C"/>
    <w:rsid w:val="00A54897"/>
    <w:rsid w:val="00A55C4A"/>
    <w:rsid w:val="00A55EA7"/>
    <w:rsid w:val="00A56D48"/>
    <w:rsid w:val="00A570EE"/>
    <w:rsid w:val="00A571F2"/>
    <w:rsid w:val="00A5790D"/>
    <w:rsid w:val="00A57DB0"/>
    <w:rsid w:val="00A57EAE"/>
    <w:rsid w:val="00A6072B"/>
    <w:rsid w:val="00A61583"/>
    <w:rsid w:val="00A61E8F"/>
    <w:rsid w:val="00A6229A"/>
    <w:rsid w:val="00A629BB"/>
    <w:rsid w:val="00A62D4A"/>
    <w:rsid w:val="00A65534"/>
    <w:rsid w:val="00A6574A"/>
    <w:rsid w:val="00A65C1E"/>
    <w:rsid w:val="00A66324"/>
    <w:rsid w:val="00A66668"/>
    <w:rsid w:val="00A668AB"/>
    <w:rsid w:val="00A669A0"/>
    <w:rsid w:val="00A66B82"/>
    <w:rsid w:val="00A6729B"/>
    <w:rsid w:val="00A676D9"/>
    <w:rsid w:val="00A761A4"/>
    <w:rsid w:val="00A76732"/>
    <w:rsid w:val="00A76877"/>
    <w:rsid w:val="00A76CF4"/>
    <w:rsid w:val="00A7753A"/>
    <w:rsid w:val="00A8071D"/>
    <w:rsid w:val="00A81182"/>
    <w:rsid w:val="00A84C72"/>
    <w:rsid w:val="00A86FD2"/>
    <w:rsid w:val="00A9006A"/>
    <w:rsid w:val="00A90D82"/>
    <w:rsid w:val="00A90FD2"/>
    <w:rsid w:val="00A9143E"/>
    <w:rsid w:val="00A91D92"/>
    <w:rsid w:val="00A91DB7"/>
    <w:rsid w:val="00A96935"/>
    <w:rsid w:val="00A9761A"/>
    <w:rsid w:val="00A97994"/>
    <w:rsid w:val="00A97A80"/>
    <w:rsid w:val="00A97F50"/>
    <w:rsid w:val="00AA0265"/>
    <w:rsid w:val="00AA18C0"/>
    <w:rsid w:val="00AA1E6F"/>
    <w:rsid w:val="00AA2592"/>
    <w:rsid w:val="00AA4686"/>
    <w:rsid w:val="00AA4A2E"/>
    <w:rsid w:val="00AA4BDE"/>
    <w:rsid w:val="00AA5291"/>
    <w:rsid w:val="00AA6003"/>
    <w:rsid w:val="00AA629C"/>
    <w:rsid w:val="00AA6FF0"/>
    <w:rsid w:val="00AA710A"/>
    <w:rsid w:val="00AB04A5"/>
    <w:rsid w:val="00AB371B"/>
    <w:rsid w:val="00AB3E4B"/>
    <w:rsid w:val="00AB4504"/>
    <w:rsid w:val="00AB5158"/>
    <w:rsid w:val="00AB52FA"/>
    <w:rsid w:val="00AB59DF"/>
    <w:rsid w:val="00AB5A3A"/>
    <w:rsid w:val="00AB5B25"/>
    <w:rsid w:val="00AB6AEE"/>
    <w:rsid w:val="00AB7B10"/>
    <w:rsid w:val="00AC00CB"/>
    <w:rsid w:val="00AC020E"/>
    <w:rsid w:val="00AC1B7B"/>
    <w:rsid w:val="00AC1CE2"/>
    <w:rsid w:val="00AC26D3"/>
    <w:rsid w:val="00AC3077"/>
    <w:rsid w:val="00AC36B6"/>
    <w:rsid w:val="00AC3A9A"/>
    <w:rsid w:val="00AC3D44"/>
    <w:rsid w:val="00AC532C"/>
    <w:rsid w:val="00AC7F22"/>
    <w:rsid w:val="00AD0531"/>
    <w:rsid w:val="00AD0C37"/>
    <w:rsid w:val="00AD1052"/>
    <w:rsid w:val="00AD1752"/>
    <w:rsid w:val="00AD176C"/>
    <w:rsid w:val="00AD2B8B"/>
    <w:rsid w:val="00AD32A3"/>
    <w:rsid w:val="00AD3580"/>
    <w:rsid w:val="00AD3B82"/>
    <w:rsid w:val="00AD46E4"/>
    <w:rsid w:val="00AD4C1F"/>
    <w:rsid w:val="00AD4E82"/>
    <w:rsid w:val="00AD50DC"/>
    <w:rsid w:val="00AD5531"/>
    <w:rsid w:val="00AD605D"/>
    <w:rsid w:val="00AD6602"/>
    <w:rsid w:val="00AE0FF5"/>
    <w:rsid w:val="00AE10CD"/>
    <w:rsid w:val="00AE18F4"/>
    <w:rsid w:val="00AE21C3"/>
    <w:rsid w:val="00AE330A"/>
    <w:rsid w:val="00AE40AB"/>
    <w:rsid w:val="00AE4893"/>
    <w:rsid w:val="00AE4EF1"/>
    <w:rsid w:val="00AE4FB1"/>
    <w:rsid w:val="00AE51BD"/>
    <w:rsid w:val="00AE59BD"/>
    <w:rsid w:val="00AE692E"/>
    <w:rsid w:val="00AE6DEA"/>
    <w:rsid w:val="00AE71D4"/>
    <w:rsid w:val="00AF0294"/>
    <w:rsid w:val="00AF05E5"/>
    <w:rsid w:val="00AF34CA"/>
    <w:rsid w:val="00AF3804"/>
    <w:rsid w:val="00AF3D76"/>
    <w:rsid w:val="00AF4305"/>
    <w:rsid w:val="00AF4B27"/>
    <w:rsid w:val="00AF63BA"/>
    <w:rsid w:val="00AF735B"/>
    <w:rsid w:val="00AF78EC"/>
    <w:rsid w:val="00B01AF5"/>
    <w:rsid w:val="00B01C60"/>
    <w:rsid w:val="00B021F1"/>
    <w:rsid w:val="00B0292C"/>
    <w:rsid w:val="00B029CB"/>
    <w:rsid w:val="00B03FDC"/>
    <w:rsid w:val="00B05E33"/>
    <w:rsid w:val="00B074EC"/>
    <w:rsid w:val="00B07C42"/>
    <w:rsid w:val="00B11071"/>
    <w:rsid w:val="00B11762"/>
    <w:rsid w:val="00B128B5"/>
    <w:rsid w:val="00B12F9C"/>
    <w:rsid w:val="00B13724"/>
    <w:rsid w:val="00B138EE"/>
    <w:rsid w:val="00B13EAB"/>
    <w:rsid w:val="00B1497B"/>
    <w:rsid w:val="00B14A08"/>
    <w:rsid w:val="00B14D00"/>
    <w:rsid w:val="00B1533D"/>
    <w:rsid w:val="00B1596C"/>
    <w:rsid w:val="00B15BAF"/>
    <w:rsid w:val="00B15BE5"/>
    <w:rsid w:val="00B15EA0"/>
    <w:rsid w:val="00B1649B"/>
    <w:rsid w:val="00B175A0"/>
    <w:rsid w:val="00B179A2"/>
    <w:rsid w:val="00B20FDA"/>
    <w:rsid w:val="00B23063"/>
    <w:rsid w:val="00B23D72"/>
    <w:rsid w:val="00B24A7D"/>
    <w:rsid w:val="00B24D87"/>
    <w:rsid w:val="00B2548A"/>
    <w:rsid w:val="00B25813"/>
    <w:rsid w:val="00B26717"/>
    <w:rsid w:val="00B2694B"/>
    <w:rsid w:val="00B26B41"/>
    <w:rsid w:val="00B27A8D"/>
    <w:rsid w:val="00B27F54"/>
    <w:rsid w:val="00B30F82"/>
    <w:rsid w:val="00B3158B"/>
    <w:rsid w:val="00B32D7B"/>
    <w:rsid w:val="00B338DC"/>
    <w:rsid w:val="00B3481F"/>
    <w:rsid w:val="00B34A8D"/>
    <w:rsid w:val="00B34F9D"/>
    <w:rsid w:val="00B351CC"/>
    <w:rsid w:val="00B3598E"/>
    <w:rsid w:val="00B36BDD"/>
    <w:rsid w:val="00B36CF3"/>
    <w:rsid w:val="00B36EEC"/>
    <w:rsid w:val="00B40098"/>
    <w:rsid w:val="00B40411"/>
    <w:rsid w:val="00B404DF"/>
    <w:rsid w:val="00B40948"/>
    <w:rsid w:val="00B40954"/>
    <w:rsid w:val="00B40BCE"/>
    <w:rsid w:val="00B41344"/>
    <w:rsid w:val="00B41884"/>
    <w:rsid w:val="00B4194F"/>
    <w:rsid w:val="00B41F59"/>
    <w:rsid w:val="00B425FA"/>
    <w:rsid w:val="00B4527E"/>
    <w:rsid w:val="00B503B5"/>
    <w:rsid w:val="00B515CD"/>
    <w:rsid w:val="00B530A6"/>
    <w:rsid w:val="00B530A8"/>
    <w:rsid w:val="00B5397C"/>
    <w:rsid w:val="00B53A84"/>
    <w:rsid w:val="00B55984"/>
    <w:rsid w:val="00B55B6A"/>
    <w:rsid w:val="00B55D83"/>
    <w:rsid w:val="00B56BAB"/>
    <w:rsid w:val="00B577BD"/>
    <w:rsid w:val="00B57F48"/>
    <w:rsid w:val="00B63023"/>
    <w:rsid w:val="00B634EF"/>
    <w:rsid w:val="00B64236"/>
    <w:rsid w:val="00B64BAD"/>
    <w:rsid w:val="00B652C8"/>
    <w:rsid w:val="00B66FF5"/>
    <w:rsid w:val="00B67B1A"/>
    <w:rsid w:val="00B67F58"/>
    <w:rsid w:val="00B70057"/>
    <w:rsid w:val="00B713CE"/>
    <w:rsid w:val="00B72AE0"/>
    <w:rsid w:val="00B7386D"/>
    <w:rsid w:val="00B7498E"/>
    <w:rsid w:val="00B758A0"/>
    <w:rsid w:val="00B765D4"/>
    <w:rsid w:val="00B7709F"/>
    <w:rsid w:val="00B8023D"/>
    <w:rsid w:val="00B807A5"/>
    <w:rsid w:val="00B80C2F"/>
    <w:rsid w:val="00B8140C"/>
    <w:rsid w:val="00B82380"/>
    <w:rsid w:val="00B826E3"/>
    <w:rsid w:val="00B82D09"/>
    <w:rsid w:val="00B85105"/>
    <w:rsid w:val="00B85180"/>
    <w:rsid w:val="00B853A9"/>
    <w:rsid w:val="00B86EF3"/>
    <w:rsid w:val="00B87018"/>
    <w:rsid w:val="00B87202"/>
    <w:rsid w:val="00B87411"/>
    <w:rsid w:val="00B90D85"/>
    <w:rsid w:val="00B91E54"/>
    <w:rsid w:val="00B93181"/>
    <w:rsid w:val="00B9411B"/>
    <w:rsid w:val="00B9449B"/>
    <w:rsid w:val="00B945E1"/>
    <w:rsid w:val="00B948A9"/>
    <w:rsid w:val="00B94AC5"/>
    <w:rsid w:val="00B95B42"/>
    <w:rsid w:val="00B95BE3"/>
    <w:rsid w:val="00B95C52"/>
    <w:rsid w:val="00BA0303"/>
    <w:rsid w:val="00BA07CA"/>
    <w:rsid w:val="00BA0B0D"/>
    <w:rsid w:val="00BA127C"/>
    <w:rsid w:val="00BA148A"/>
    <w:rsid w:val="00BA1C17"/>
    <w:rsid w:val="00BA2056"/>
    <w:rsid w:val="00BA2351"/>
    <w:rsid w:val="00BA26F2"/>
    <w:rsid w:val="00BA39CF"/>
    <w:rsid w:val="00BA45AD"/>
    <w:rsid w:val="00BA4DBD"/>
    <w:rsid w:val="00BA5316"/>
    <w:rsid w:val="00BA5403"/>
    <w:rsid w:val="00BA58B0"/>
    <w:rsid w:val="00BA6C0F"/>
    <w:rsid w:val="00BA7124"/>
    <w:rsid w:val="00BA72C3"/>
    <w:rsid w:val="00BA7FF0"/>
    <w:rsid w:val="00BB0509"/>
    <w:rsid w:val="00BB1C49"/>
    <w:rsid w:val="00BB3234"/>
    <w:rsid w:val="00BB3577"/>
    <w:rsid w:val="00BB4485"/>
    <w:rsid w:val="00BB47CF"/>
    <w:rsid w:val="00BB56B1"/>
    <w:rsid w:val="00BB57DA"/>
    <w:rsid w:val="00BB5909"/>
    <w:rsid w:val="00BB6B98"/>
    <w:rsid w:val="00BC035D"/>
    <w:rsid w:val="00BC09B7"/>
    <w:rsid w:val="00BC235E"/>
    <w:rsid w:val="00BC2708"/>
    <w:rsid w:val="00BC2C33"/>
    <w:rsid w:val="00BC3362"/>
    <w:rsid w:val="00BC3489"/>
    <w:rsid w:val="00BC3648"/>
    <w:rsid w:val="00BC404A"/>
    <w:rsid w:val="00BC5655"/>
    <w:rsid w:val="00BC5E27"/>
    <w:rsid w:val="00BC6142"/>
    <w:rsid w:val="00BC67B3"/>
    <w:rsid w:val="00BC6DE1"/>
    <w:rsid w:val="00BC72B6"/>
    <w:rsid w:val="00BD1050"/>
    <w:rsid w:val="00BD2791"/>
    <w:rsid w:val="00BD33A5"/>
    <w:rsid w:val="00BD3F54"/>
    <w:rsid w:val="00BD42AA"/>
    <w:rsid w:val="00BD4413"/>
    <w:rsid w:val="00BD5404"/>
    <w:rsid w:val="00BD60DA"/>
    <w:rsid w:val="00BD6BC6"/>
    <w:rsid w:val="00BD78EF"/>
    <w:rsid w:val="00BE02C3"/>
    <w:rsid w:val="00BE0A53"/>
    <w:rsid w:val="00BE11AB"/>
    <w:rsid w:val="00BE2AA0"/>
    <w:rsid w:val="00BE2FA4"/>
    <w:rsid w:val="00BE2FEA"/>
    <w:rsid w:val="00BE474D"/>
    <w:rsid w:val="00BE48F7"/>
    <w:rsid w:val="00BE5808"/>
    <w:rsid w:val="00BE61FA"/>
    <w:rsid w:val="00BE67DA"/>
    <w:rsid w:val="00BE7256"/>
    <w:rsid w:val="00BE74EC"/>
    <w:rsid w:val="00BF0A43"/>
    <w:rsid w:val="00BF2045"/>
    <w:rsid w:val="00BF4A64"/>
    <w:rsid w:val="00BF586C"/>
    <w:rsid w:val="00BF6FB4"/>
    <w:rsid w:val="00BF77BB"/>
    <w:rsid w:val="00C0049E"/>
    <w:rsid w:val="00C00BAC"/>
    <w:rsid w:val="00C011A6"/>
    <w:rsid w:val="00C0168A"/>
    <w:rsid w:val="00C01801"/>
    <w:rsid w:val="00C02461"/>
    <w:rsid w:val="00C02E24"/>
    <w:rsid w:val="00C02F4E"/>
    <w:rsid w:val="00C037BC"/>
    <w:rsid w:val="00C04D80"/>
    <w:rsid w:val="00C04F7C"/>
    <w:rsid w:val="00C05321"/>
    <w:rsid w:val="00C05B6B"/>
    <w:rsid w:val="00C05C92"/>
    <w:rsid w:val="00C068F5"/>
    <w:rsid w:val="00C07683"/>
    <w:rsid w:val="00C10680"/>
    <w:rsid w:val="00C10DAA"/>
    <w:rsid w:val="00C111CD"/>
    <w:rsid w:val="00C11507"/>
    <w:rsid w:val="00C120E4"/>
    <w:rsid w:val="00C12F2C"/>
    <w:rsid w:val="00C13649"/>
    <w:rsid w:val="00C13EAC"/>
    <w:rsid w:val="00C15901"/>
    <w:rsid w:val="00C15F8D"/>
    <w:rsid w:val="00C1606A"/>
    <w:rsid w:val="00C16103"/>
    <w:rsid w:val="00C162BB"/>
    <w:rsid w:val="00C17F87"/>
    <w:rsid w:val="00C20115"/>
    <w:rsid w:val="00C2036E"/>
    <w:rsid w:val="00C20422"/>
    <w:rsid w:val="00C21178"/>
    <w:rsid w:val="00C223E9"/>
    <w:rsid w:val="00C22512"/>
    <w:rsid w:val="00C22ED3"/>
    <w:rsid w:val="00C2314C"/>
    <w:rsid w:val="00C239BF"/>
    <w:rsid w:val="00C24C54"/>
    <w:rsid w:val="00C24D26"/>
    <w:rsid w:val="00C24E4D"/>
    <w:rsid w:val="00C251EE"/>
    <w:rsid w:val="00C25478"/>
    <w:rsid w:val="00C254EB"/>
    <w:rsid w:val="00C25822"/>
    <w:rsid w:val="00C268C9"/>
    <w:rsid w:val="00C27364"/>
    <w:rsid w:val="00C27B54"/>
    <w:rsid w:val="00C27C12"/>
    <w:rsid w:val="00C3129A"/>
    <w:rsid w:val="00C3282D"/>
    <w:rsid w:val="00C33A84"/>
    <w:rsid w:val="00C33C60"/>
    <w:rsid w:val="00C34DE2"/>
    <w:rsid w:val="00C353A1"/>
    <w:rsid w:val="00C35A5F"/>
    <w:rsid w:val="00C37DA9"/>
    <w:rsid w:val="00C409E5"/>
    <w:rsid w:val="00C40E36"/>
    <w:rsid w:val="00C41A33"/>
    <w:rsid w:val="00C420C6"/>
    <w:rsid w:val="00C430C7"/>
    <w:rsid w:val="00C4411A"/>
    <w:rsid w:val="00C446C3"/>
    <w:rsid w:val="00C446F3"/>
    <w:rsid w:val="00C465F5"/>
    <w:rsid w:val="00C50008"/>
    <w:rsid w:val="00C50129"/>
    <w:rsid w:val="00C50319"/>
    <w:rsid w:val="00C5086E"/>
    <w:rsid w:val="00C514AB"/>
    <w:rsid w:val="00C518D8"/>
    <w:rsid w:val="00C51FE9"/>
    <w:rsid w:val="00C52489"/>
    <w:rsid w:val="00C55900"/>
    <w:rsid w:val="00C57AA2"/>
    <w:rsid w:val="00C57D9A"/>
    <w:rsid w:val="00C60083"/>
    <w:rsid w:val="00C60AF0"/>
    <w:rsid w:val="00C621E2"/>
    <w:rsid w:val="00C62293"/>
    <w:rsid w:val="00C62542"/>
    <w:rsid w:val="00C62F3B"/>
    <w:rsid w:val="00C641CE"/>
    <w:rsid w:val="00C648AE"/>
    <w:rsid w:val="00C64B41"/>
    <w:rsid w:val="00C6701B"/>
    <w:rsid w:val="00C72311"/>
    <w:rsid w:val="00C723EC"/>
    <w:rsid w:val="00C72830"/>
    <w:rsid w:val="00C733C2"/>
    <w:rsid w:val="00C73F9E"/>
    <w:rsid w:val="00C74DF9"/>
    <w:rsid w:val="00C75706"/>
    <w:rsid w:val="00C760B9"/>
    <w:rsid w:val="00C76A31"/>
    <w:rsid w:val="00C76A9C"/>
    <w:rsid w:val="00C7740A"/>
    <w:rsid w:val="00C77FA8"/>
    <w:rsid w:val="00C80907"/>
    <w:rsid w:val="00C81FD3"/>
    <w:rsid w:val="00C82F02"/>
    <w:rsid w:val="00C83DE7"/>
    <w:rsid w:val="00C84EF2"/>
    <w:rsid w:val="00C862C5"/>
    <w:rsid w:val="00C87833"/>
    <w:rsid w:val="00C90984"/>
    <w:rsid w:val="00C925BB"/>
    <w:rsid w:val="00C92F8D"/>
    <w:rsid w:val="00C93980"/>
    <w:rsid w:val="00C9427A"/>
    <w:rsid w:val="00C94835"/>
    <w:rsid w:val="00C949CD"/>
    <w:rsid w:val="00C95270"/>
    <w:rsid w:val="00C95838"/>
    <w:rsid w:val="00C95D37"/>
    <w:rsid w:val="00C963D9"/>
    <w:rsid w:val="00CA00CC"/>
    <w:rsid w:val="00CA17B8"/>
    <w:rsid w:val="00CA2C21"/>
    <w:rsid w:val="00CA3161"/>
    <w:rsid w:val="00CA31FC"/>
    <w:rsid w:val="00CA61F3"/>
    <w:rsid w:val="00CA72A2"/>
    <w:rsid w:val="00CA7636"/>
    <w:rsid w:val="00CB04AC"/>
    <w:rsid w:val="00CB0859"/>
    <w:rsid w:val="00CB1236"/>
    <w:rsid w:val="00CB3A96"/>
    <w:rsid w:val="00CB4EBC"/>
    <w:rsid w:val="00CB57B5"/>
    <w:rsid w:val="00CB685B"/>
    <w:rsid w:val="00CB72A3"/>
    <w:rsid w:val="00CC0159"/>
    <w:rsid w:val="00CC0F52"/>
    <w:rsid w:val="00CC187E"/>
    <w:rsid w:val="00CC1BFE"/>
    <w:rsid w:val="00CC2545"/>
    <w:rsid w:val="00CC28F2"/>
    <w:rsid w:val="00CC398F"/>
    <w:rsid w:val="00CC44DA"/>
    <w:rsid w:val="00CC4B40"/>
    <w:rsid w:val="00CC5143"/>
    <w:rsid w:val="00CC58B9"/>
    <w:rsid w:val="00CC681F"/>
    <w:rsid w:val="00CC7940"/>
    <w:rsid w:val="00CC7D59"/>
    <w:rsid w:val="00CC7F76"/>
    <w:rsid w:val="00CD0467"/>
    <w:rsid w:val="00CD0530"/>
    <w:rsid w:val="00CD1432"/>
    <w:rsid w:val="00CD1CF5"/>
    <w:rsid w:val="00CD335C"/>
    <w:rsid w:val="00CD3448"/>
    <w:rsid w:val="00CD4342"/>
    <w:rsid w:val="00CD4C2B"/>
    <w:rsid w:val="00CD62F1"/>
    <w:rsid w:val="00CD6503"/>
    <w:rsid w:val="00CD7E28"/>
    <w:rsid w:val="00CD7FED"/>
    <w:rsid w:val="00CE06A8"/>
    <w:rsid w:val="00CE09F2"/>
    <w:rsid w:val="00CE0A55"/>
    <w:rsid w:val="00CE1AA3"/>
    <w:rsid w:val="00CE2437"/>
    <w:rsid w:val="00CE2EB4"/>
    <w:rsid w:val="00CE3700"/>
    <w:rsid w:val="00CE3890"/>
    <w:rsid w:val="00CE40BB"/>
    <w:rsid w:val="00CE46AA"/>
    <w:rsid w:val="00CE54C0"/>
    <w:rsid w:val="00CE5607"/>
    <w:rsid w:val="00CE567A"/>
    <w:rsid w:val="00CE5BDB"/>
    <w:rsid w:val="00CE62AA"/>
    <w:rsid w:val="00CE6C61"/>
    <w:rsid w:val="00CE6DEE"/>
    <w:rsid w:val="00CE6FD2"/>
    <w:rsid w:val="00CE7218"/>
    <w:rsid w:val="00CE7FE6"/>
    <w:rsid w:val="00CF079A"/>
    <w:rsid w:val="00CF1319"/>
    <w:rsid w:val="00CF1A11"/>
    <w:rsid w:val="00CF1DF9"/>
    <w:rsid w:val="00CF2A32"/>
    <w:rsid w:val="00CF3CEB"/>
    <w:rsid w:val="00CF3E1C"/>
    <w:rsid w:val="00CF4636"/>
    <w:rsid w:val="00CF53FC"/>
    <w:rsid w:val="00CF56E8"/>
    <w:rsid w:val="00CF5A7F"/>
    <w:rsid w:val="00CF6005"/>
    <w:rsid w:val="00CF65F3"/>
    <w:rsid w:val="00CF6A2D"/>
    <w:rsid w:val="00D01433"/>
    <w:rsid w:val="00D01DF4"/>
    <w:rsid w:val="00D02868"/>
    <w:rsid w:val="00D033EF"/>
    <w:rsid w:val="00D039FE"/>
    <w:rsid w:val="00D044B8"/>
    <w:rsid w:val="00D05223"/>
    <w:rsid w:val="00D052DB"/>
    <w:rsid w:val="00D056AA"/>
    <w:rsid w:val="00D05F49"/>
    <w:rsid w:val="00D07C6F"/>
    <w:rsid w:val="00D10195"/>
    <w:rsid w:val="00D11C4F"/>
    <w:rsid w:val="00D12C52"/>
    <w:rsid w:val="00D12C83"/>
    <w:rsid w:val="00D135FB"/>
    <w:rsid w:val="00D14AC3"/>
    <w:rsid w:val="00D1631D"/>
    <w:rsid w:val="00D16AD7"/>
    <w:rsid w:val="00D17124"/>
    <w:rsid w:val="00D1756A"/>
    <w:rsid w:val="00D17C86"/>
    <w:rsid w:val="00D20BC7"/>
    <w:rsid w:val="00D21019"/>
    <w:rsid w:val="00D213E8"/>
    <w:rsid w:val="00D217CB"/>
    <w:rsid w:val="00D21A6A"/>
    <w:rsid w:val="00D21F4B"/>
    <w:rsid w:val="00D222C0"/>
    <w:rsid w:val="00D225BC"/>
    <w:rsid w:val="00D22714"/>
    <w:rsid w:val="00D231D5"/>
    <w:rsid w:val="00D23F80"/>
    <w:rsid w:val="00D24BD5"/>
    <w:rsid w:val="00D25318"/>
    <w:rsid w:val="00D25EB7"/>
    <w:rsid w:val="00D26DCD"/>
    <w:rsid w:val="00D2782E"/>
    <w:rsid w:val="00D309E7"/>
    <w:rsid w:val="00D31223"/>
    <w:rsid w:val="00D32EC4"/>
    <w:rsid w:val="00D340F1"/>
    <w:rsid w:val="00D3495F"/>
    <w:rsid w:val="00D34E48"/>
    <w:rsid w:val="00D34E5D"/>
    <w:rsid w:val="00D35D70"/>
    <w:rsid w:val="00D36FEE"/>
    <w:rsid w:val="00D37A0A"/>
    <w:rsid w:val="00D37B29"/>
    <w:rsid w:val="00D40AF8"/>
    <w:rsid w:val="00D413B7"/>
    <w:rsid w:val="00D41BA6"/>
    <w:rsid w:val="00D42433"/>
    <w:rsid w:val="00D42912"/>
    <w:rsid w:val="00D42C03"/>
    <w:rsid w:val="00D4324A"/>
    <w:rsid w:val="00D44578"/>
    <w:rsid w:val="00D4530C"/>
    <w:rsid w:val="00D455E6"/>
    <w:rsid w:val="00D4651D"/>
    <w:rsid w:val="00D507F3"/>
    <w:rsid w:val="00D51C26"/>
    <w:rsid w:val="00D55E37"/>
    <w:rsid w:val="00D5633C"/>
    <w:rsid w:val="00D56946"/>
    <w:rsid w:val="00D57095"/>
    <w:rsid w:val="00D61164"/>
    <w:rsid w:val="00D618EA"/>
    <w:rsid w:val="00D61D06"/>
    <w:rsid w:val="00D61D49"/>
    <w:rsid w:val="00D631BF"/>
    <w:rsid w:val="00D6405A"/>
    <w:rsid w:val="00D6503C"/>
    <w:rsid w:val="00D65E21"/>
    <w:rsid w:val="00D65ECD"/>
    <w:rsid w:val="00D65ED5"/>
    <w:rsid w:val="00D66AC3"/>
    <w:rsid w:val="00D66ACE"/>
    <w:rsid w:val="00D67CC5"/>
    <w:rsid w:val="00D70033"/>
    <w:rsid w:val="00D70099"/>
    <w:rsid w:val="00D7059C"/>
    <w:rsid w:val="00D7090A"/>
    <w:rsid w:val="00D72F92"/>
    <w:rsid w:val="00D73EE4"/>
    <w:rsid w:val="00D7445E"/>
    <w:rsid w:val="00D748E4"/>
    <w:rsid w:val="00D74E3D"/>
    <w:rsid w:val="00D75762"/>
    <w:rsid w:val="00D757C8"/>
    <w:rsid w:val="00D759E0"/>
    <w:rsid w:val="00D761D4"/>
    <w:rsid w:val="00D7795C"/>
    <w:rsid w:val="00D81BE0"/>
    <w:rsid w:val="00D820E3"/>
    <w:rsid w:val="00D84547"/>
    <w:rsid w:val="00D84B72"/>
    <w:rsid w:val="00D84C30"/>
    <w:rsid w:val="00D87602"/>
    <w:rsid w:val="00D90DBE"/>
    <w:rsid w:val="00D90FDA"/>
    <w:rsid w:val="00D91A02"/>
    <w:rsid w:val="00D91A4F"/>
    <w:rsid w:val="00D91BC6"/>
    <w:rsid w:val="00D91E89"/>
    <w:rsid w:val="00D91F39"/>
    <w:rsid w:val="00D92CEB"/>
    <w:rsid w:val="00D94187"/>
    <w:rsid w:val="00D9441F"/>
    <w:rsid w:val="00D96AE8"/>
    <w:rsid w:val="00D971F0"/>
    <w:rsid w:val="00D9753B"/>
    <w:rsid w:val="00DA0093"/>
    <w:rsid w:val="00DA1659"/>
    <w:rsid w:val="00DA2433"/>
    <w:rsid w:val="00DA3688"/>
    <w:rsid w:val="00DA507D"/>
    <w:rsid w:val="00DA529E"/>
    <w:rsid w:val="00DB0D6E"/>
    <w:rsid w:val="00DB16C4"/>
    <w:rsid w:val="00DB190A"/>
    <w:rsid w:val="00DB1E03"/>
    <w:rsid w:val="00DB2EA4"/>
    <w:rsid w:val="00DB40C5"/>
    <w:rsid w:val="00DB4FC6"/>
    <w:rsid w:val="00DB5863"/>
    <w:rsid w:val="00DB5DF2"/>
    <w:rsid w:val="00DB6043"/>
    <w:rsid w:val="00DB6B1C"/>
    <w:rsid w:val="00DB748E"/>
    <w:rsid w:val="00DB7501"/>
    <w:rsid w:val="00DC023B"/>
    <w:rsid w:val="00DC0C05"/>
    <w:rsid w:val="00DC2060"/>
    <w:rsid w:val="00DC2C43"/>
    <w:rsid w:val="00DC376C"/>
    <w:rsid w:val="00DC4707"/>
    <w:rsid w:val="00DC4869"/>
    <w:rsid w:val="00DC5DE5"/>
    <w:rsid w:val="00DC62C4"/>
    <w:rsid w:val="00DC68E8"/>
    <w:rsid w:val="00DC74AD"/>
    <w:rsid w:val="00DD0F09"/>
    <w:rsid w:val="00DD16EE"/>
    <w:rsid w:val="00DD2E40"/>
    <w:rsid w:val="00DD342D"/>
    <w:rsid w:val="00DD3FDD"/>
    <w:rsid w:val="00DD40ED"/>
    <w:rsid w:val="00DD4557"/>
    <w:rsid w:val="00DD50E3"/>
    <w:rsid w:val="00DD5326"/>
    <w:rsid w:val="00DD70CF"/>
    <w:rsid w:val="00DD72E9"/>
    <w:rsid w:val="00DD7C94"/>
    <w:rsid w:val="00DE1462"/>
    <w:rsid w:val="00DE1C09"/>
    <w:rsid w:val="00DE29FB"/>
    <w:rsid w:val="00DE2A67"/>
    <w:rsid w:val="00DE31E1"/>
    <w:rsid w:val="00DE4070"/>
    <w:rsid w:val="00DE48C6"/>
    <w:rsid w:val="00DE5F74"/>
    <w:rsid w:val="00DF0189"/>
    <w:rsid w:val="00DF06FF"/>
    <w:rsid w:val="00DF1CD3"/>
    <w:rsid w:val="00DF29A7"/>
    <w:rsid w:val="00DF3871"/>
    <w:rsid w:val="00DF38BB"/>
    <w:rsid w:val="00DF3CC4"/>
    <w:rsid w:val="00DF3DD0"/>
    <w:rsid w:val="00DF3EB0"/>
    <w:rsid w:val="00DF49EA"/>
    <w:rsid w:val="00DF5A6F"/>
    <w:rsid w:val="00DF5D36"/>
    <w:rsid w:val="00E00430"/>
    <w:rsid w:val="00E00B7E"/>
    <w:rsid w:val="00E00DEC"/>
    <w:rsid w:val="00E02EAF"/>
    <w:rsid w:val="00E02F0E"/>
    <w:rsid w:val="00E03656"/>
    <w:rsid w:val="00E03DE6"/>
    <w:rsid w:val="00E04130"/>
    <w:rsid w:val="00E043A0"/>
    <w:rsid w:val="00E04498"/>
    <w:rsid w:val="00E04CDF"/>
    <w:rsid w:val="00E06053"/>
    <w:rsid w:val="00E07014"/>
    <w:rsid w:val="00E079FC"/>
    <w:rsid w:val="00E12B94"/>
    <w:rsid w:val="00E13665"/>
    <w:rsid w:val="00E14234"/>
    <w:rsid w:val="00E14D0C"/>
    <w:rsid w:val="00E1536C"/>
    <w:rsid w:val="00E159B2"/>
    <w:rsid w:val="00E17688"/>
    <w:rsid w:val="00E20917"/>
    <w:rsid w:val="00E216D5"/>
    <w:rsid w:val="00E2199E"/>
    <w:rsid w:val="00E21FC5"/>
    <w:rsid w:val="00E21FED"/>
    <w:rsid w:val="00E22AC5"/>
    <w:rsid w:val="00E22D88"/>
    <w:rsid w:val="00E23849"/>
    <w:rsid w:val="00E238BD"/>
    <w:rsid w:val="00E23AA2"/>
    <w:rsid w:val="00E2439C"/>
    <w:rsid w:val="00E2563F"/>
    <w:rsid w:val="00E25A5E"/>
    <w:rsid w:val="00E262FE"/>
    <w:rsid w:val="00E2648E"/>
    <w:rsid w:val="00E26EB6"/>
    <w:rsid w:val="00E27814"/>
    <w:rsid w:val="00E30098"/>
    <w:rsid w:val="00E30182"/>
    <w:rsid w:val="00E30C9D"/>
    <w:rsid w:val="00E313A2"/>
    <w:rsid w:val="00E32065"/>
    <w:rsid w:val="00E33DAB"/>
    <w:rsid w:val="00E341AD"/>
    <w:rsid w:val="00E34A5C"/>
    <w:rsid w:val="00E3631A"/>
    <w:rsid w:val="00E36DF5"/>
    <w:rsid w:val="00E37507"/>
    <w:rsid w:val="00E378C3"/>
    <w:rsid w:val="00E37A15"/>
    <w:rsid w:val="00E37EA8"/>
    <w:rsid w:val="00E4064C"/>
    <w:rsid w:val="00E40B0B"/>
    <w:rsid w:val="00E413A1"/>
    <w:rsid w:val="00E42FE6"/>
    <w:rsid w:val="00E43BFE"/>
    <w:rsid w:val="00E43E70"/>
    <w:rsid w:val="00E44E2D"/>
    <w:rsid w:val="00E47852"/>
    <w:rsid w:val="00E50166"/>
    <w:rsid w:val="00E5119A"/>
    <w:rsid w:val="00E51282"/>
    <w:rsid w:val="00E51DFF"/>
    <w:rsid w:val="00E522BC"/>
    <w:rsid w:val="00E53128"/>
    <w:rsid w:val="00E54825"/>
    <w:rsid w:val="00E5488F"/>
    <w:rsid w:val="00E56040"/>
    <w:rsid w:val="00E56393"/>
    <w:rsid w:val="00E60266"/>
    <w:rsid w:val="00E6120B"/>
    <w:rsid w:val="00E61DA4"/>
    <w:rsid w:val="00E62244"/>
    <w:rsid w:val="00E62A64"/>
    <w:rsid w:val="00E62DAA"/>
    <w:rsid w:val="00E62F4A"/>
    <w:rsid w:val="00E63041"/>
    <w:rsid w:val="00E642C6"/>
    <w:rsid w:val="00E64351"/>
    <w:rsid w:val="00E65217"/>
    <w:rsid w:val="00E661B3"/>
    <w:rsid w:val="00E664AF"/>
    <w:rsid w:val="00E66A93"/>
    <w:rsid w:val="00E7099E"/>
    <w:rsid w:val="00E70B01"/>
    <w:rsid w:val="00E71400"/>
    <w:rsid w:val="00E73413"/>
    <w:rsid w:val="00E74263"/>
    <w:rsid w:val="00E7492C"/>
    <w:rsid w:val="00E75DFE"/>
    <w:rsid w:val="00E766A3"/>
    <w:rsid w:val="00E76E08"/>
    <w:rsid w:val="00E77413"/>
    <w:rsid w:val="00E80D2B"/>
    <w:rsid w:val="00E81B87"/>
    <w:rsid w:val="00E82E14"/>
    <w:rsid w:val="00E843D8"/>
    <w:rsid w:val="00E85F4F"/>
    <w:rsid w:val="00E86395"/>
    <w:rsid w:val="00E868D0"/>
    <w:rsid w:val="00E8755E"/>
    <w:rsid w:val="00E87A8F"/>
    <w:rsid w:val="00E9008C"/>
    <w:rsid w:val="00E9252D"/>
    <w:rsid w:val="00E92563"/>
    <w:rsid w:val="00E92828"/>
    <w:rsid w:val="00E93393"/>
    <w:rsid w:val="00E945F2"/>
    <w:rsid w:val="00E969E8"/>
    <w:rsid w:val="00E96F23"/>
    <w:rsid w:val="00E96F64"/>
    <w:rsid w:val="00E976E2"/>
    <w:rsid w:val="00E97C40"/>
    <w:rsid w:val="00EA0B8D"/>
    <w:rsid w:val="00EA0FCA"/>
    <w:rsid w:val="00EA1043"/>
    <w:rsid w:val="00EA12D2"/>
    <w:rsid w:val="00EA1D8E"/>
    <w:rsid w:val="00EA2B14"/>
    <w:rsid w:val="00EA354C"/>
    <w:rsid w:val="00EA398D"/>
    <w:rsid w:val="00EA43EA"/>
    <w:rsid w:val="00EA4975"/>
    <w:rsid w:val="00EA525B"/>
    <w:rsid w:val="00EA5670"/>
    <w:rsid w:val="00EA6AC8"/>
    <w:rsid w:val="00EA73E4"/>
    <w:rsid w:val="00EA7F8C"/>
    <w:rsid w:val="00EB345F"/>
    <w:rsid w:val="00EB3CCD"/>
    <w:rsid w:val="00EB3D63"/>
    <w:rsid w:val="00EB503E"/>
    <w:rsid w:val="00EB51A2"/>
    <w:rsid w:val="00EB58A6"/>
    <w:rsid w:val="00EB5F67"/>
    <w:rsid w:val="00EB6617"/>
    <w:rsid w:val="00EC09F6"/>
    <w:rsid w:val="00EC1FD2"/>
    <w:rsid w:val="00EC223B"/>
    <w:rsid w:val="00EC2FE6"/>
    <w:rsid w:val="00EC5AAD"/>
    <w:rsid w:val="00EC61C4"/>
    <w:rsid w:val="00EC74C6"/>
    <w:rsid w:val="00ED0002"/>
    <w:rsid w:val="00ED007D"/>
    <w:rsid w:val="00ED2544"/>
    <w:rsid w:val="00ED58B8"/>
    <w:rsid w:val="00ED5B68"/>
    <w:rsid w:val="00ED5C13"/>
    <w:rsid w:val="00ED6337"/>
    <w:rsid w:val="00EE10F2"/>
    <w:rsid w:val="00EE1B7C"/>
    <w:rsid w:val="00EE2234"/>
    <w:rsid w:val="00EE2BE8"/>
    <w:rsid w:val="00EE2C12"/>
    <w:rsid w:val="00EE2ECA"/>
    <w:rsid w:val="00EE3E02"/>
    <w:rsid w:val="00EE4B74"/>
    <w:rsid w:val="00EE4CCD"/>
    <w:rsid w:val="00EE56AF"/>
    <w:rsid w:val="00EE65EC"/>
    <w:rsid w:val="00EE7308"/>
    <w:rsid w:val="00EF38C9"/>
    <w:rsid w:val="00EF499E"/>
    <w:rsid w:val="00EF5297"/>
    <w:rsid w:val="00EF55CA"/>
    <w:rsid w:val="00EF5620"/>
    <w:rsid w:val="00EF6FB9"/>
    <w:rsid w:val="00EF71B8"/>
    <w:rsid w:val="00F0095B"/>
    <w:rsid w:val="00F0158D"/>
    <w:rsid w:val="00F0179E"/>
    <w:rsid w:val="00F0287A"/>
    <w:rsid w:val="00F03425"/>
    <w:rsid w:val="00F06BD9"/>
    <w:rsid w:val="00F06EC7"/>
    <w:rsid w:val="00F06F11"/>
    <w:rsid w:val="00F11D35"/>
    <w:rsid w:val="00F12D82"/>
    <w:rsid w:val="00F13221"/>
    <w:rsid w:val="00F13590"/>
    <w:rsid w:val="00F13736"/>
    <w:rsid w:val="00F14A1F"/>
    <w:rsid w:val="00F16508"/>
    <w:rsid w:val="00F1793E"/>
    <w:rsid w:val="00F17A91"/>
    <w:rsid w:val="00F204F8"/>
    <w:rsid w:val="00F20EDF"/>
    <w:rsid w:val="00F21DD3"/>
    <w:rsid w:val="00F22080"/>
    <w:rsid w:val="00F238D0"/>
    <w:rsid w:val="00F23CD4"/>
    <w:rsid w:val="00F23E3A"/>
    <w:rsid w:val="00F2416A"/>
    <w:rsid w:val="00F244F9"/>
    <w:rsid w:val="00F244FA"/>
    <w:rsid w:val="00F25E01"/>
    <w:rsid w:val="00F302AC"/>
    <w:rsid w:val="00F31444"/>
    <w:rsid w:val="00F31547"/>
    <w:rsid w:val="00F33036"/>
    <w:rsid w:val="00F33BBB"/>
    <w:rsid w:val="00F35017"/>
    <w:rsid w:val="00F35C8A"/>
    <w:rsid w:val="00F36446"/>
    <w:rsid w:val="00F366D9"/>
    <w:rsid w:val="00F368AC"/>
    <w:rsid w:val="00F36966"/>
    <w:rsid w:val="00F36AB4"/>
    <w:rsid w:val="00F372BD"/>
    <w:rsid w:val="00F40A19"/>
    <w:rsid w:val="00F40D4F"/>
    <w:rsid w:val="00F43B89"/>
    <w:rsid w:val="00F4483F"/>
    <w:rsid w:val="00F476C4"/>
    <w:rsid w:val="00F47AF2"/>
    <w:rsid w:val="00F47DD3"/>
    <w:rsid w:val="00F50759"/>
    <w:rsid w:val="00F5164D"/>
    <w:rsid w:val="00F51D08"/>
    <w:rsid w:val="00F51D4D"/>
    <w:rsid w:val="00F52539"/>
    <w:rsid w:val="00F529B5"/>
    <w:rsid w:val="00F52BA2"/>
    <w:rsid w:val="00F52E1E"/>
    <w:rsid w:val="00F56244"/>
    <w:rsid w:val="00F56474"/>
    <w:rsid w:val="00F572C3"/>
    <w:rsid w:val="00F6047B"/>
    <w:rsid w:val="00F6071D"/>
    <w:rsid w:val="00F6141C"/>
    <w:rsid w:val="00F6142F"/>
    <w:rsid w:val="00F61526"/>
    <w:rsid w:val="00F62E5A"/>
    <w:rsid w:val="00F647E0"/>
    <w:rsid w:val="00F64DCB"/>
    <w:rsid w:val="00F6527F"/>
    <w:rsid w:val="00F65B5D"/>
    <w:rsid w:val="00F66053"/>
    <w:rsid w:val="00F67057"/>
    <w:rsid w:val="00F7030F"/>
    <w:rsid w:val="00F70562"/>
    <w:rsid w:val="00F70C5A"/>
    <w:rsid w:val="00F7232F"/>
    <w:rsid w:val="00F723E0"/>
    <w:rsid w:val="00F72C3A"/>
    <w:rsid w:val="00F731B2"/>
    <w:rsid w:val="00F7366F"/>
    <w:rsid w:val="00F73CC6"/>
    <w:rsid w:val="00F74760"/>
    <w:rsid w:val="00F76AB5"/>
    <w:rsid w:val="00F76B62"/>
    <w:rsid w:val="00F77BE1"/>
    <w:rsid w:val="00F808D7"/>
    <w:rsid w:val="00F8208B"/>
    <w:rsid w:val="00F8225C"/>
    <w:rsid w:val="00F83225"/>
    <w:rsid w:val="00F83473"/>
    <w:rsid w:val="00F834C8"/>
    <w:rsid w:val="00F844D8"/>
    <w:rsid w:val="00F859D6"/>
    <w:rsid w:val="00F860DB"/>
    <w:rsid w:val="00F86918"/>
    <w:rsid w:val="00F874F7"/>
    <w:rsid w:val="00F87F8B"/>
    <w:rsid w:val="00F90D67"/>
    <w:rsid w:val="00F90E33"/>
    <w:rsid w:val="00F9216C"/>
    <w:rsid w:val="00F92499"/>
    <w:rsid w:val="00F929DA"/>
    <w:rsid w:val="00F929F0"/>
    <w:rsid w:val="00F92ABC"/>
    <w:rsid w:val="00F92F3A"/>
    <w:rsid w:val="00F93637"/>
    <w:rsid w:val="00F9564B"/>
    <w:rsid w:val="00F95800"/>
    <w:rsid w:val="00F95B03"/>
    <w:rsid w:val="00F95CA0"/>
    <w:rsid w:val="00F95D0F"/>
    <w:rsid w:val="00F965CF"/>
    <w:rsid w:val="00F96A0A"/>
    <w:rsid w:val="00F96E45"/>
    <w:rsid w:val="00FA12EE"/>
    <w:rsid w:val="00FA1742"/>
    <w:rsid w:val="00FA1CAA"/>
    <w:rsid w:val="00FA1CAD"/>
    <w:rsid w:val="00FA21CE"/>
    <w:rsid w:val="00FA2880"/>
    <w:rsid w:val="00FA2E33"/>
    <w:rsid w:val="00FA2FDF"/>
    <w:rsid w:val="00FA4043"/>
    <w:rsid w:val="00FA4901"/>
    <w:rsid w:val="00FA6497"/>
    <w:rsid w:val="00FA6D3F"/>
    <w:rsid w:val="00FB0034"/>
    <w:rsid w:val="00FB120D"/>
    <w:rsid w:val="00FB1B9D"/>
    <w:rsid w:val="00FB2207"/>
    <w:rsid w:val="00FB2CAF"/>
    <w:rsid w:val="00FB2E06"/>
    <w:rsid w:val="00FB3805"/>
    <w:rsid w:val="00FB7800"/>
    <w:rsid w:val="00FB7965"/>
    <w:rsid w:val="00FB7F48"/>
    <w:rsid w:val="00FC0138"/>
    <w:rsid w:val="00FC05DD"/>
    <w:rsid w:val="00FC1344"/>
    <w:rsid w:val="00FC217C"/>
    <w:rsid w:val="00FC2EFA"/>
    <w:rsid w:val="00FC337D"/>
    <w:rsid w:val="00FC37FB"/>
    <w:rsid w:val="00FC3822"/>
    <w:rsid w:val="00FC412C"/>
    <w:rsid w:val="00FC415E"/>
    <w:rsid w:val="00FC4412"/>
    <w:rsid w:val="00FC5502"/>
    <w:rsid w:val="00FC5F67"/>
    <w:rsid w:val="00FC68F5"/>
    <w:rsid w:val="00FC6B6E"/>
    <w:rsid w:val="00FD0022"/>
    <w:rsid w:val="00FD102C"/>
    <w:rsid w:val="00FD3EC6"/>
    <w:rsid w:val="00FD3FC9"/>
    <w:rsid w:val="00FD42B9"/>
    <w:rsid w:val="00FD4550"/>
    <w:rsid w:val="00FD4D0F"/>
    <w:rsid w:val="00FD78C3"/>
    <w:rsid w:val="00FD7FEB"/>
    <w:rsid w:val="00FE12EB"/>
    <w:rsid w:val="00FE16B4"/>
    <w:rsid w:val="00FE1829"/>
    <w:rsid w:val="00FE1D92"/>
    <w:rsid w:val="00FE2859"/>
    <w:rsid w:val="00FE2915"/>
    <w:rsid w:val="00FE3C4B"/>
    <w:rsid w:val="00FE445C"/>
    <w:rsid w:val="00FE4E31"/>
    <w:rsid w:val="00FE5BB6"/>
    <w:rsid w:val="00FE613D"/>
    <w:rsid w:val="00FE627E"/>
    <w:rsid w:val="00FE6E28"/>
    <w:rsid w:val="00FE766D"/>
    <w:rsid w:val="00FF062B"/>
    <w:rsid w:val="00FF2119"/>
    <w:rsid w:val="00FF2C54"/>
    <w:rsid w:val="00FF2CD0"/>
    <w:rsid w:val="00FF4123"/>
    <w:rsid w:val="00FF4461"/>
    <w:rsid w:val="00FF454B"/>
    <w:rsid w:val="00FF48A5"/>
    <w:rsid w:val="00FF5302"/>
    <w:rsid w:val="00FF5FED"/>
    <w:rsid w:val="00FF6388"/>
    <w:rsid w:val="00FF7135"/>
    <w:rsid w:val="00FF774B"/>
    <w:rsid w:val="00FF7BC6"/>
    <w:rsid w:val="01544491"/>
    <w:rsid w:val="01BF386B"/>
    <w:rsid w:val="024B1582"/>
    <w:rsid w:val="0262722E"/>
    <w:rsid w:val="026D4C89"/>
    <w:rsid w:val="03A125E0"/>
    <w:rsid w:val="03AC5782"/>
    <w:rsid w:val="03C273E4"/>
    <w:rsid w:val="03CD6CBB"/>
    <w:rsid w:val="03FE1B9C"/>
    <w:rsid w:val="0417275B"/>
    <w:rsid w:val="041F7ED2"/>
    <w:rsid w:val="042B5EE3"/>
    <w:rsid w:val="04521873"/>
    <w:rsid w:val="048B6E32"/>
    <w:rsid w:val="04CD56ED"/>
    <w:rsid w:val="04ED3A23"/>
    <w:rsid w:val="052F7AFD"/>
    <w:rsid w:val="05890296"/>
    <w:rsid w:val="05A57ED4"/>
    <w:rsid w:val="05D9085D"/>
    <w:rsid w:val="05FB27D6"/>
    <w:rsid w:val="06287F27"/>
    <w:rsid w:val="06575AFE"/>
    <w:rsid w:val="06B6300F"/>
    <w:rsid w:val="06D505B2"/>
    <w:rsid w:val="070D3A1D"/>
    <w:rsid w:val="076E0A93"/>
    <w:rsid w:val="077943D1"/>
    <w:rsid w:val="07A55DB5"/>
    <w:rsid w:val="07DA3171"/>
    <w:rsid w:val="08115849"/>
    <w:rsid w:val="081C745E"/>
    <w:rsid w:val="08BF49F9"/>
    <w:rsid w:val="08F56968"/>
    <w:rsid w:val="09611CF3"/>
    <w:rsid w:val="09A549D8"/>
    <w:rsid w:val="09B94817"/>
    <w:rsid w:val="0A3E2E7F"/>
    <w:rsid w:val="0A960A6B"/>
    <w:rsid w:val="0AF36C07"/>
    <w:rsid w:val="0B331E63"/>
    <w:rsid w:val="0B605E91"/>
    <w:rsid w:val="0B781351"/>
    <w:rsid w:val="0B943BA0"/>
    <w:rsid w:val="0C2314F7"/>
    <w:rsid w:val="0C3F577A"/>
    <w:rsid w:val="0CB363E5"/>
    <w:rsid w:val="0CC54119"/>
    <w:rsid w:val="0CD84E88"/>
    <w:rsid w:val="0D205C25"/>
    <w:rsid w:val="0D277AA0"/>
    <w:rsid w:val="0D7359A1"/>
    <w:rsid w:val="0E216DBE"/>
    <w:rsid w:val="0E2430B3"/>
    <w:rsid w:val="0E2E459D"/>
    <w:rsid w:val="0E523EB8"/>
    <w:rsid w:val="0EC83C34"/>
    <w:rsid w:val="0ED77C89"/>
    <w:rsid w:val="0ED92CE9"/>
    <w:rsid w:val="0F0F6508"/>
    <w:rsid w:val="0F153F88"/>
    <w:rsid w:val="0F512852"/>
    <w:rsid w:val="102407A4"/>
    <w:rsid w:val="11021075"/>
    <w:rsid w:val="1181633F"/>
    <w:rsid w:val="11E74B6B"/>
    <w:rsid w:val="12195E5A"/>
    <w:rsid w:val="1253551F"/>
    <w:rsid w:val="1295225E"/>
    <w:rsid w:val="12FA5741"/>
    <w:rsid w:val="133A5E38"/>
    <w:rsid w:val="13B54FB5"/>
    <w:rsid w:val="13D9534A"/>
    <w:rsid w:val="13F46198"/>
    <w:rsid w:val="145972E0"/>
    <w:rsid w:val="1470181B"/>
    <w:rsid w:val="14DD26F0"/>
    <w:rsid w:val="14F5226F"/>
    <w:rsid w:val="150A6991"/>
    <w:rsid w:val="155D5602"/>
    <w:rsid w:val="15E43297"/>
    <w:rsid w:val="15F843A5"/>
    <w:rsid w:val="16236319"/>
    <w:rsid w:val="162A486A"/>
    <w:rsid w:val="16D8574E"/>
    <w:rsid w:val="16DA5D65"/>
    <w:rsid w:val="1703383B"/>
    <w:rsid w:val="17084259"/>
    <w:rsid w:val="17157DD9"/>
    <w:rsid w:val="172215DB"/>
    <w:rsid w:val="176434C4"/>
    <w:rsid w:val="17757D0A"/>
    <w:rsid w:val="177F007D"/>
    <w:rsid w:val="178F74D9"/>
    <w:rsid w:val="179E3EA1"/>
    <w:rsid w:val="17A056D1"/>
    <w:rsid w:val="17C52753"/>
    <w:rsid w:val="17C57E8F"/>
    <w:rsid w:val="181A7334"/>
    <w:rsid w:val="183101E9"/>
    <w:rsid w:val="18403461"/>
    <w:rsid w:val="18A671E5"/>
    <w:rsid w:val="18BA3C1F"/>
    <w:rsid w:val="18CB78CF"/>
    <w:rsid w:val="19101000"/>
    <w:rsid w:val="19593D2A"/>
    <w:rsid w:val="1988776F"/>
    <w:rsid w:val="19AB2189"/>
    <w:rsid w:val="1A0A00C9"/>
    <w:rsid w:val="1A2D01B8"/>
    <w:rsid w:val="1AAE7552"/>
    <w:rsid w:val="1B6A25A0"/>
    <w:rsid w:val="1B813B0F"/>
    <w:rsid w:val="1BD276B4"/>
    <w:rsid w:val="1BE43675"/>
    <w:rsid w:val="1BE93A56"/>
    <w:rsid w:val="1C1F1D32"/>
    <w:rsid w:val="1CE83979"/>
    <w:rsid w:val="1D0A4B5F"/>
    <w:rsid w:val="1D0C53AD"/>
    <w:rsid w:val="1D5929B3"/>
    <w:rsid w:val="1D6E1C52"/>
    <w:rsid w:val="1DD55A6E"/>
    <w:rsid w:val="1E0576CF"/>
    <w:rsid w:val="1ED43525"/>
    <w:rsid w:val="1EE01536"/>
    <w:rsid w:val="1F173C0E"/>
    <w:rsid w:val="1F2D3BB3"/>
    <w:rsid w:val="1F5867A6"/>
    <w:rsid w:val="1F5C1AA7"/>
    <w:rsid w:val="1F7D256F"/>
    <w:rsid w:val="1F8345C2"/>
    <w:rsid w:val="1F8B3A5A"/>
    <w:rsid w:val="1FA37075"/>
    <w:rsid w:val="202D7BC5"/>
    <w:rsid w:val="202F0F46"/>
    <w:rsid w:val="20C863C9"/>
    <w:rsid w:val="2127637C"/>
    <w:rsid w:val="216F08CE"/>
    <w:rsid w:val="21816606"/>
    <w:rsid w:val="21A1493D"/>
    <w:rsid w:val="21AC2CCE"/>
    <w:rsid w:val="21ED35E0"/>
    <w:rsid w:val="22A12D66"/>
    <w:rsid w:val="22A72B65"/>
    <w:rsid w:val="230F3D96"/>
    <w:rsid w:val="230F485D"/>
    <w:rsid w:val="23B52D23"/>
    <w:rsid w:val="23B5355F"/>
    <w:rsid w:val="24387A79"/>
    <w:rsid w:val="244305C4"/>
    <w:rsid w:val="244E7A1E"/>
    <w:rsid w:val="246D24D1"/>
    <w:rsid w:val="249038EE"/>
    <w:rsid w:val="24A15F4C"/>
    <w:rsid w:val="24AC0DC9"/>
    <w:rsid w:val="24FF54DD"/>
    <w:rsid w:val="25525FC7"/>
    <w:rsid w:val="2560231B"/>
    <w:rsid w:val="258506FB"/>
    <w:rsid w:val="25A20B86"/>
    <w:rsid w:val="25D52D1D"/>
    <w:rsid w:val="25DF10AE"/>
    <w:rsid w:val="265212EA"/>
    <w:rsid w:val="268E6F67"/>
    <w:rsid w:val="26A22471"/>
    <w:rsid w:val="26B545DA"/>
    <w:rsid w:val="27050E90"/>
    <w:rsid w:val="27715FC1"/>
    <w:rsid w:val="28493AA6"/>
    <w:rsid w:val="2880617F"/>
    <w:rsid w:val="288B7D93"/>
    <w:rsid w:val="28B740DA"/>
    <w:rsid w:val="290D4AE9"/>
    <w:rsid w:val="29854BC6"/>
    <w:rsid w:val="29AE210A"/>
    <w:rsid w:val="2A554C3B"/>
    <w:rsid w:val="2A683AA1"/>
    <w:rsid w:val="2A70229B"/>
    <w:rsid w:val="2A8A1A57"/>
    <w:rsid w:val="2AB4611E"/>
    <w:rsid w:val="2AEE4730"/>
    <w:rsid w:val="2B0F42EC"/>
    <w:rsid w:val="2B6C58CD"/>
    <w:rsid w:val="2C046D45"/>
    <w:rsid w:val="2C164A61"/>
    <w:rsid w:val="2CB20162"/>
    <w:rsid w:val="2CCE33F8"/>
    <w:rsid w:val="2CF4444F"/>
    <w:rsid w:val="2DC536C8"/>
    <w:rsid w:val="2DD87F45"/>
    <w:rsid w:val="2E0D299D"/>
    <w:rsid w:val="2E561D7E"/>
    <w:rsid w:val="2E667B44"/>
    <w:rsid w:val="2E7013BD"/>
    <w:rsid w:val="2E9B7ACA"/>
    <w:rsid w:val="2FF2750E"/>
    <w:rsid w:val="307054F7"/>
    <w:rsid w:val="30A06735"/>
    <w:rsid w:val="30AC37CA"/>
    <w:rsid w:val="30F702EE"/>
    <w:rsid w:val="317648C7"/>
    <w:rsid w:val="320240A0"/>
    <w:rsid w:val="32144C2C"/>
    <w:rsid w:val="32777385"/>
    <w:rsid w:val="328D33FB"/>
    <w:rsid w:val="32EE5A1E"/>
    <w:rsid w:val="33162246"/>
    <w:rsid w:val="331A1F70"/>
    <w:rsid w:val="333A4819"/>
    <w:rsid w:val="339C35B9"/>
    <w:rsid w:val="33A651CD"/>
    <w:rsid w:val="33D865A6"/>
    <w:rsid w:val="33E748EF"/>
    <w:rsid w:val="341F6E4D"/>
    <w:rsid w:val="348070AE"/>
    <w:rsid w:val="3491429F"/>
    <w:rsid w:val="352765C3"/>
    <w:rsid w:val="35AA3319"/>
    <w:rsid w:val="35C51944"/>
    <w:rsid w:val="362706E4"/>
    <w:rsid w:val="366849D0"/>
    <w:rsid w:val="366C0D1E"/>
    <w:rsid w:val="36970D78"/>
    <w:rsid w:val="370B7A5D"/>
    <w:rsid w:val="37377591"/>
    <w:rsid w:val="37737A0E"/>
    <w:rsid w:val="37CE559C"/>
    <w:rsid w:val="37F1025F"/>
    <w:rsid w:val="382F433C"/>
    <w:rsid w:val="383E6511"/>
    <w:rsid w:val="38650091"/>
    <w:rsid w:val="38811879"/>
    <w:rsid w:val="388A0DE6"/>
    <w:rsid w:val="38D821E6"/>
    <w:rsid w:val="38E93A82"/>
    <w:rsid w:val="390102EC"/>
    <w:rsid w:val="394C264B"/>
    <w:rsid w:val="39C27FB4"/>
    <w:rsid w:val="3A097FD2"/>
    <w:rsid w:val="3A53225E"/>
    <w:rsid w:val="3A595F4B"/>
    <w:rsid w:val="3A6E266D"/>
    <w:rsid w:val="3ACC7F53"/>
    <w:rsid w:val="3B3C1E59"/>
    <w:rsid w:val="3B80352B"/>
    <w:rsid w:val="3BBA1F4E"/>
    <w:rsid w:val="3BC56867"/>
    <w:rsid w:val="3BD52EB9"/>
    <w:rsid w:val="3C2C5732"/>
    <w:rsid w:val="3C8342D6"/>
    <w:rsid w:val="3CF01087"/>
    <w:rsid w:val="3D191A40"/>
    <w:rsid w:val="3D205459"/>
    <w:rsid w:val="3D301E70"/>
    <w:rsid w:val="3D527E27"/>
    <w:rsid w:val="3DA17D00"/>
    <w:rsid w:val="3DAB5CB2"/>
    <w:rsid w:val="3E1C4C16"/>
    <w:rsid w:val="3E4C634B"/>
    <w:rsid w:val="3E6B6375"/>
    <w:rsid w:val="3EEC5FA9"/>
    <w:rsid w:val="3F0F0E44"/>
    <w:rsid w:val="3F5056EE"/>
    <w:rsid w:val="40495906"/>
    <w:rsid w:val="40B2786A"/>
    <w:rsid w:val="40B52A37"/>
    <w:rsid w:val="40C50AD3"/>
    <w:rsid w:val="40C941CF"/>
    <w:rsid w:val="40EB31FF"/>
    <w:rsid w:val="41101C13"/>
    <w:rsid w:val="41373360"/>
    <w:rsid w:val="41444830"/>
    <w:rsid w:val="41475E5F"/>
    <w:rsid w:val="41881E87"/>
    <w:rsid w:val="418F019B"/>
    <w:rsid w:val="41DE2849"/>
    <w:rsid w:val="42056EE1"/>
    <w:rsid w:val="421459A7"/>
    <w:rsid w:val="426339F7"/>
    <w:rsid w:val="42F609E7"/>
    <w:rsid w:val="43643940"/>
    <w:rsid w:val="43C348B8"/>
    <w:rsid w:val="43D56AEB"/>
    <w:rsid w:val="44B6132C"/>
    <w:rsid w:val="44E9469A"/>
    <w:rsid w:val="45087844"/>
    <w:rsid w:val="452F4E0F"/>
    <w:rsid w:val="45A622AB"/>
    <w:rsid w:val="45B6056B"/>
    <w:rsid w:val="45CB0510"/>
    <w:rsid w:val="45F90983"/>
    <w:rsid w:val="45FA6038"/>
    <w:rsid w:val="46182B8E"/>
    <w:rsid w:val="462D493F"/>
    <w:rsid w:val="4664520C"/>
    <w:rsid w:val="46905CD0"/>
    <w:rsid w:val="46E63D44"/>
    <w:rsid w:val="47112DA6"/>
    <w:rsid w:val="472829CB"/>
    <w:rsid w:val="475016F4"/>
    <w:rsid w:val="47706301"/>
    <w:rsid w:val="47A97AA1"/>
    <w:rsid w:val="48087E3B"/>
    <w:rsid w:val="48212BE3"/>
    <w:rsid w:val="48247516"/>
    <w:rsid w:val="4886325D"/>
    <w:rsid w:val="48B72659"/>
    <w:rsid w:val="48CF4000"/>
    <w:rsid w:val="48F2194E"/>
    <w:rsid w:val="48FE48CC"/>
    <w:rsid w:val="49264A0F"/>
    <w:rsid w:val="492C6F20"/>
    <w:rsid w:val="495C70E7"/>
    <w:rsid w:val="499754D4"/>
    <w:rsid w:val="49A17BDC"/>
    <w:rsid w:val="49A3250D"/>
    <w:rsid w:val="4A0F48B1"/>
    <w:rsid w:val="4A273DC2"/>
    <w:rsid w:val="4A30171E"/>
    <w:rsid w:val="4B6B3277"/>
    <w:rsid w:val="4BBC270E"/>
    <w:rsid w:val="4BED6C79"/>
    <w:rsid w:val="4C2904FF"/>
    <w:rsid w:val="4C6912E9"/>
    <w:rsid w:val="4CA27E0A"/>
    <w:rsid w:val="4D21431B"/>
    <w:rsid w:val="4DC73A4B"/>
    <w:rsid w:val="4DF21E8F"/>
    <w:rsid w:val="4DFA2FD3"/>
    <w:rsid w:val="4E156E33"/>
    <w:rsid w:val="4E1B4533"/>
    <w:rsid w:val="4F2B6903"/>
    <w:rsid w:val="4F934CE7"/>
    <w:rsid w:val="4F9714A0"/>
    <w:rsid w:val="4FCE73FC"/>
    <w:rsid w:val="4FE262FD"/>
    <w:rsid w:val="50244588"/>
    <w:rsid w:val="50B22EF2"/>
    <w:rsid w:val="50BD744A"/>
    <w:rsid w:val="510C449A"/>
    <w:rsid w:val="515B02CF"/>
    <w:rsid w:val="51FD0FB8"/>
    <w:rsid w:val="523B1443"/>
    <w:rsid w:val="52770AE4"/>
    <w:rsid w:val="52A24668"/>
    <w:rsid w:val="52C00D3D"/>
    <w:rsid w:val="52D3278B"/>
    <w:rsid w:val="534863AE"/>
    <w:rsid w:val="538234F0"/>
    <w:rsid w:val="53F0794B"/>
    <w:rsid w:val="53F14A05"/>
    <w:rsid w:val="547870E5"/>
    <w:rsid w:val="54BF1F73"/>
    <w:rsid w:val="553B58E4"/>
    <w:rsid w:val="55745A14"/>
    <w:rsid w:val="55C7649D"/>
    <w:rsid w:val="55D04BDB"/>
    <w:rsid w:val="56355AFC"/>
    <w:rsid w:val="56AB4841"/>
    <w:rsid w:val="57220665"/>
    <w:rsid w:val="572F0E5E"/>
    <w:rsid w:val="577A0392"/>
    <w:rsid w:val="57B32401"/>
    <w:rsid w:val="57E722F1"/>
    <w:rsid w:val="580F6C5C"/>
    <w:rsid w:val="5846596F"/>
    <w:rsid w:val="588E594A"/>
    <w:rsid w:val="58B54896"/>
    <w:rsid w:val="58E10BDE"/>
    <w:rsid w:val="59A11982"/>
    <w:rsid w:val="59AE4AAE"/>
    <w:rsid w:val="59CC5AA2"/>
    <w:rsid w:val="59D65D1A"/>
    <w:rsid w:val="5A882213"/>
    <w:rsid w:val="5A9C585F"/>
    <w:rsid w:val="5AD44891"/>
    <w:rsid w:val="5B0A2B6C"/>
    <w:rsid w:val="5B451289"/>
    <w:rsid w:val="5B5560E4"/>
    <w:rsid w:val="5B7B161E"/>
    <w:rsid w:val="5BE31309"/>
    <w:rsid w:val="5BE34A4E"/>
    <w:rsid w:val="5C0F0D95"/>
    <w:rsid w:val="5C4437EE"/>
    <w:rsid w:val="5C593EB3"/>
    <w:rsid w:val="5CB1239F"/>
    <w:rsid w:val="5CC34F1B"/>
    <w:rsid w:val="5CD268D5"/>
    <w:rsid w:val="5CDC4C66"/>
    <w:rsid w:val="5D142BC1"/>
    <w:rsid w:val="5D8F5D8E"/>
    <w:rsid w:val="5DAA43BA"/>
    <w:rsid w:val="5DE16A92"/>
    <w:rsid w:val="5E2B78AB"/>
    <w:rsid w:val="5E595457"/>
    <w:rsid w:val="5E647842"/>
    <w:rsid w:val="5E797F0A"/>
    <w:rsid w:val="5E824444"/>
    <w:rsid w:val="5E86318D"/>
    <w:rsid w:val="5EC52588"/>
    <w:rsid w:val="5ED03A93"/>
    <w:rsid w:val="5F1C684E"/>
    <w:rsid w:val="5F6138E3"/>
    <w:rsid w:val="5FB80D62"/>
    <w:rsid w:val="602F70F3"/>
    <w:rsid w:val="607757D2"/>
    <w:rsid w:val="60AD7EAA"/>
    <w:rsid w:val="60B37BB5"/>
    <w:rsid w:val="60CA1F16"/>
    <w:rsid w:val="60E11ED9"/>
    <w:rsid w:val="61451322"/>
    <w:rsid w:val="61BF4CFA"/>
    <w:rsid w:val="61FE4354"/>
    <w:rsid w:val="625F67D2"/>
    <w:rsid w:val="62A173E0"/>
    <w:rsid w:val="62F324FA"/>
    <w:rsid w:val="63074B8F"/>
    <w:rsid w:val="632A209C"/>
    <w:rsid w:val="63590692"/>
    <w:rsid w:val="63891A79"/>
    <w:rsid w:val="63EA5D47"/>
    <w:rsid w:val="64315C05"/>
    <w:rsid w:val="644C685D"/>
    <w:rsid w:val="6484536A"/>
    <w:rsid w:val="64CB576C"/>
    <w:rsid w:val="650A7A96"/>
    <w:rsid w:val="652E2C0C"/>
    <w:rsid w:val="654308AD"/>
    <w:rsid w:val="654D2473"/>
    <w:rsid w:val="65646CE3"/>
    <w:rsid w:val="658713A2"/>
    <w:rsid w:val="65AE59DE"/>
    <w:rsid w:val="65C04CAC"/>
    <w:rsid w:val="65DC4915"/>
    <w:rsid w:val="65F016A0"/>
    <w:rsid w:val="66091326"/>
    <w:rsid w:val="66782EA9"/>
    <w:rsid w:val="66A81479"/>
    <w:rsid w:val="66B73AA7"/>
    <w:rsid w:val="66E02A7B"/>
    <w:rsid w:val="66FF1E88"/>
    <w:rsid w:val="67335595"/>
    <w:rsid w:val="674A652B"/>
    <w:rsid w:val="6771316C"/>
    <w:rsid w:val="67801135"/>
    <w:rsid w:val="67C21CB7"/>
    <w:rsid w:val="67CF7554"/>
    <w:rsid w:val="67DD3A75"/>
    <w:rsid w:val="682B2A31"/>
    <w:rsid w:val="68437CA3"/>
    <w:rsid w:val="685A0E40"/>
    <w:rsid w:val="685A46C3"/>
    <w:rsid w:val="68847BA6"/>
    <w:rsid w:val="68C272E9"/>
    <w:rsid w:val="695348DB"/>
    <w:rsid w:val="69955344"/>
    <w:rsid w:val="69B62418"/>
    <w:rsid w:val="69CB40C5"/>
    <w:rsid w:val="69CC0D87"/>
    <w:rsid w:val="69D02F1D"/>
    <w:rsid w:val="69F76D33"/>
    <w:rsid w:val="6A5247FE"/>
    <w:rsid w:val="6A8D656F"/>
    <w:rsid w:val="6AD51173"/>
    <w:rsid w:val="6B9F0C1C"/>
    <w:rsid w:val="6BD43675"/>
    <w:rsid w:val="6BFD36C4"/>
    <w:rsid w:val="6CA86ED0"/>
    <w:rsid w:val="6CFD464D"/>
    <w:rsid w:val="6D020EFC"/>
    <w:rsid w:val="6D384BA7"/>
    <w:rsid w:val="6D660588"/>
    <w:rsid w:val="6D706919"/>
    <w:rsid w:val="6E1E7D37"/>
    <w:rsid w:val="6E5F07A0"/>
    <w:rsid w:val="6E816F19"/>
    <w:rsid w:val="6ECD0DD4"/>
    <w:rsid w:val="6EF7549B"/>
    <w:rsid w:val="6F221B63"/>
    <w:rsid w:val="6F260556"/>
    <w:rsid w:val="6F314780"/>
    <w:rsid w:val="6F434296"/>
    <w:rsid w:val="6F4E5EAA"/>
    <w:rsid w:val="6F5D12C1"/>
    <w:rsid w:val="6F6E41E1"/>
    <w:rsid w:val="6F933393"/>
    <w:rsid w:val="6F9A0528"/>
    <w:rsid w:val="707D50FC"/>
    <w:rsid w:val="712D1592"/>
    <w:rsid w:val="716D5EA5"/>
    <w:rsid w:val="718F4062"/>
    <w:rsid w:val="71F0168F"/>
    <w:rsid w:val="721056AE"/>
    <w:rsid w:val="72E503E5"/>
    <w:rsid w:val="73055BBB"/>
    <w:rsid w:val="744359CE"/>
    <w:rsid w:val="746E71E1"/>
    <w:rsid w:val="74D20734"/>
    <w:rsid w:val="74DE67B8"/>
    <w:rsid w:val="74DF3EAF"/>
    <w:rsid w:val="7502042B"/>
    <w:rsid w:val="755D6AD0"/>
    <w:rsid w:val="755E741F"/>
    <w:rsid w:val="759D4340"/>
    <w:rsid w:val="75F3743F"/>
    <w:rsid w:val="762B32F0"/>
    <w:rsid w:val="77263187"/>
    <w:rsid w:val="773B78A9"/>
    <w:rsid w:val="77C96214"/>
    <w:rsid w:val="781D014F"/>
    <w:rsid w:val="788C75D7"/>
    <w:rsid w:val="78B04020"/>
    <w:rsid w:val="78BF6934"/>
    <w:rsid w:val="78EE6441"/>
    <w:rsid w:val="795E7C98"/>
    <w:rsid w:val="79707849"/>
    <w:rsid w:val="7A050A0D"/>
    <w:rsid w:val="7A1C3F4C"/>
    <w:rsid w:val="7B1567D7"/>
    <w:rsid w:val="7B952EA9"/>
    <w:rsid w:val="7B972A4A"/>
    <w:rsid w:val="7BCF3EB0"/>
    <w:rsid w:val="7BDB4BB9"/>
    <w:rsid w:val="7C1B2CAB"/>
    <w:rsid w:val="7C476FF2"/>
    <w:rsid w:val="7C8A0CB7"/>
    <w:rsid w:val="7D204AD7"/>
    <w:rsid w:val="7D572A32"/>
    <w:rsid w:val="7D8D1888"/>
    <w:rsid w:val="7DE45B1A"/>
    <w:rsid w:val="7DEE0E24"/>
    <w:rsid w:val="7E08551F"/>
    <w:rsid w:val="7E0E2EE7"/>
    <w:rsid w:val="7E4548B9"/>
    <w:rsid w:val="7E58384C"/>
    <w:rsid w:val="7E5E6199"/>
    <w:rsid w:val="7E976033"/>
    <w:rsid w:val="7EF32454"/>
    <w:rsid w:val="7F346740"/>
    <w:rsid w:val="7F361F54"/>
    <w:rsid w:val="7F3E5AA0"/>
    <w:rsid w:val="7F5A75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qFormat="1" w:unhideWhenUsed="0" w:uiPriority="99" w:name="table of authorities"/>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9"/>
    <w:pPr>
      <w:keepNext/>
      <w:keepLines/>
      <w:spacing w:before="240" w:after="60" w:line="360" w:lineRule="auto"/>
      <w:jc w:val="center"/>
      <w:outlineLvl w:val="0"/>
    </w:pPr>
    <w:rPr>
      <w:rFonts w:ascii="Arial" w:hAnsi="Arial" w:eastAsia="黑体" w:cs="Arial"/>
      <w:b/>
      <w:kern w:val="44"/>
      <w:sz w:val="32"/>
      <w:szCs w:val="44"/>
    </w:rPr>
  </w:style>
  <w:style w:type="paragraph" w:styleId="4">
    <w:name w:val="heading 2"/>
    <w:basedOn w:val="1"/>
    <w:next w:val="1"/>
    <w:link w:val="45"/>
    <w:qFormat/>
    <w:uiPriority w:val="99"/>
    <w:pPr>
      <w:keepNext/>
      <w:keepLines/>
      <w:spacing w:before="260" w:after="260" w:line="360" w:lineRule="auto"/>
      <w:jc w:val="center"/>
      <w:outlineLvl w:val="1"/>
    </w:pPr>
    <w:rPr>
      <w:rFonts w:ascii="Arial" w:hAnsi="Arial" w:eastAsia="黑体"/>
      <w:bCs/>
      <w:sz w:val="32"/>
      <w:szCs w:val="32"/>
    </w:rPr>
  </w:style>
  <w:style w:type="paragraph" w:styleId="2">
    <w:name w:val="heading 3"/>
    <w:basedOn w:val="1"/>
    <w:next w:val="1"/>
    <w:link w:val="46"/>
    <w:qFormat/>
    <w:uiPriority w:val="99"/>
    <w:pPr>
      <w:spacing w:line="360" w:lineRule="auto"/>
      <w:jc w:val="center"/>
      <w:outlineLvl w:val="2"/>
    </w:pPr>
    <w:rPr>
      <w:rFonts w:ascii="宋体" w:hAnsi="宋体"/>
      <w:b/>
      <w:sz w:val="24"/>
    </w:rPr>
  </w:style>
  <w:style w:type="paragraph" w:styleId="5">
    <w:name w:val="heading 4"/>
    <w:basedOn w:val="1"/>
    <w:next w:val="1"/>
    <w:link w:val="47"/>
    <w:qFormat/>
    <w:uiPriority w:val="99"/>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48"/>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9"/>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50"/>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51"/>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rFonts w:ascii="等线" w:eastAsia="等线"/>
      <w:sz w:val="18"/>
      <w:szCs w:val="18"/>
    </w:rPr>
  </w:style>
  <w:style w:type="paragraph" w:styleId="12">
    <w:name w:val="table of authorities"/>
    <w:basedOn w:val="1"/>
    <w:next w:val="1"/>
    <w:semiHidden/>
    <w:qFormat/>
    <w:uiPriority w:val="99"/>
    <w:pPr>
      <w:ind w:left="420" w:leftChars="200"/>
    </w:pPr>
  </w:style>
  <w:style w:type="paragraph" w:styleId="13">
    <w:name w:val="Normal Indent"/>
    <w:basedOn w:val="1"/>
    <w:link w:val="73"/>
    <w:qFormat/>
    <w:locked/>
    <w:uiPriority w:val="99"/>
    <w:pPr>
      <w:widowControl/>
      <w:adjustRightInd w:val="0"/>
      <w:snapToGrid w:val="0"/>
      <w:spacing w:line="480" w:lineRule="exact"/>
      <w:ind w:firstLine="567"/>
    </w:pPr>
    <w:rPr>
      <w:rFonts w:ascii="宋体"/>
      <w:snapToGrid w:val="0"/>
      <w:color w:val="000000"/>
      <w:kern w:val="28"/>
      <w:sz w:val="28"/>
      <w:szCs w:val="20"/>
    </w:rPr>
  </w:style>
  <w:style w:type="paragraph" w:styleId="14">
    <w:name w:val="Document Map"/>
    <w:basedOn w:val="1"/>
    <w:link w:val="53"/>
    <w:semiHidden/>
    <w:qFormat/>
    <w:uiPriority w:val="99"/>
    <w:pPr>
      <w:shd w:val="clear" w:color="auto" w:fill="000080"/>
    </w:pPr>
  </w:style>
  <w:style w:type="paragraph" w:styleId="15">
    <w:name w:val="toa heading"/>
    <w:basedOn w:val="1"/>
    <w:next w:val="1"/>
    <w:semiHidden/>
    <w:qFormat/>
    <w:uiPriority w:val="99"/>
    <w:pPr>
      <w:spacing w:before="120"/>
    </w:pPr>
    <w:rPr>
      <w:rFonts w:ascii="Arial" w:hAnsi="Arial" w:cs="Arial"/>
      <w:sz w:val="24"/>
    </w:rPr>
  </w:style>
  <w:style w:type="paragraph" w:styleId="16">
    <w:name w:val="annotation text"/>
    <w:basedOn w:val="1"/>
    <w:link w:val="54"/>
    <w:semiHidden/>
    <w:qFormat/>
    <w:uiPriority w:val="99"/>
    <w:pPr>
      <w:jc w:val="left"/>
    </w:pPr>
  </w:style>
  <w:style w:type="paragraph" w:styleId="17">
    <w:name w:val="Body Text"/>
    <w:basedOn w:val="1"/>
    <w:next w:val="1"/>
    <w:qFormat/>
    <w:locked/>
    <w:uiPriority w:val="0"/>
    <w:pPr>
      <w:autoSpaceDE w:val="0"/>
      <w:autoSpaceDN w:val="0"/>
      <w:spacing w:line="360" w:lineRule="auto"/>
    </w:pPr>
    <w:rPr>
      <w:rFonts w:ascii="宋体" w:hAnsi="Arial" w:cs="Arial"/>
      <w:snapToGrid w:val="0"/>
      <w:sz w:val="24"/>
      <w:szCs w:val="21"/>
      <w:lang w:val="zh-CN"/>
    </w:rPr>
  </w:style>
  <w:style w:type="paragraph" w:styleId="18">
    <w:name w:val="Body Text Indent"/>
    <w:basedOn w:val="1"/>
    <w:link w:val="55"/>
    <w:qFormat/>
    <w:locked/>
    <w:uiPriority w:val="99"/>
    <w:pPr>
      <w:adjustRightInd w:val="0"/>
      <w:spacing w:line="480" w:lineRule="exact"/>
      <w:ind w:firstLine="480" w:firstLineChars="200"/>
    </w:pPr>
    <w:rPr>
      <w:rFonts w:ascii="宋体"/>
      <w:sz w:val="24"/>
      <w:szCs w:val="20"/>
    </w:rPr>
  </w:style>
  <w:style w:type="paragraph" w:styleId="19">
    <w:name w:val="toc 5"/>
    <w:basedOn w:val="1"/>
    <w:next w:val="1"/>
    <w:qFormat/>
    <w:uiPriority w:val="99"/>
    <w:pPr>
      <w:ind w:left="840"/>
      <w:jc w:val="left"/>
    </w:pPr>
    <w:rPr>
      <w:rFonts w:ascii="等线" w:eastAsia="等线"/>
      <w:sz w:val="18"/>
      <w:szCs w:val="18"/>
    </w:rPr>
  </w:style>
  <w:style w:type="paragraph" w:styleId="20">
    <w:name w:val="toc 3"/>
    <w:basedOn w:val="1"/>
    <w:next w:val="1"/>
    <w:qFormat/>
    <w:uiPriority w:val="99"/>
    <w:pPr>
      <w:tabs>
        <w:tab w:val="right" w:leader="hyphen" w:pos="9192"/>
      </w:tabs>
      <w:ind w:left="420"/>
      <w:jc w:val="left"/>
    </w:pPr>
    <w:rPr>
      <w:rFonts w:ascii="等线" w:hAnsi="等线" w:eastAsia="等线"/>
      <w:iCs/>
      <w:sz w:val="20"/>
      <w:szCs w:val="20"/>
    </w:rPr>
  </w:style>
  <w:style w:type="paragraph" w:styleId="21">
    <w:name w:val="Plain Text"/>
    <w:basedOn w:val="1"/>
    <w:link w:val="56"/>
    <w:qFormat/>
    <w:locked/>
    <w:uiPriority w:val="99"/>
    <w:rPr>
      <w:rFonts w:ascii="宋体" w:hAnsi="Courier New"/>
      <w:szCs w:val="20"/>
    </w:rPr>
  </w:style>
  <w:style w:type="paragraph" w:styleId="22">
    <w:name w:val="toc 8"/>
    <w:basedOn w:val="1"/>
    <w:next w:val="1"/>
    <w:qFormat/>
    <w:uiPriority w:val="99"/>
    <w:pPr>
      <w:ind w:left="1470"/>
      <w:jc w:val="left"/>
    </w:pPr>
    <w:rPr>
      <w:rFonts w:ascii="等线" w:eastAsia="等线"/>
      <w:sz w:val="18"/>
      <w:szCs w:val="18"/>
    </w:rPr>
  </w:style>
  <w:style w:type="paragraph" w:styleId="23">
    <w:name w:val="endnote text"/>
    <w:basedOn w:val="1"/>
    <w:link w:val="57"/>
    <w:semiHidden/>
    <w:qFormat/>
    <w:uiPriority w:val="99"/>
    <w:pPr>
      <w:snapToGrid w:val="0"/>
      <w:jc w:val="left"/>
    </w:pPr>
  </w:style>
  <w:style w:type="paragraph" w:styleId="24">
    <w:name w:val="Balloon Text"/>
    <w:basedOn w:val="1"/>
    <w:link w:val="58"/>
    <w:semiHidden/>
    <w:qFormat/>
    <w:uiPriority w:val="99"/>
    <w:rPr>
      <w:sz w:val="18"/>
      <w:szCs w:val="18"/>
    </w:rPr>
  </w:style>
  <w:style w:type="paragraph" w:styleId="25">
    <w:name w:val="footer"/>
    <w:basedOn w:val="1"/>
    <w:link w:val="59"/>
    <w:qFormat/>
    <w:uiPriority w:val="99"/>
    <w:pPr>
      <w:tabs>
        <w:tab w:val="center" w:pos="4153"/>
        <w:tab w:val="right" w:pos="8306"/>
      </w:tabs>
      <w:snapToGrid w:val="0"/>
      <w:jc w:val="left"/>
    </w:pPr>
    <w:rPr>
      <w:sz w:val="18"/>
      <w:szCs w:val="18"/>
    </w:rPr>
  </w:style>
  <w:style w:type="paragraph" w:styleId="26">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pPr>
      <w:spacing w:before="120" w:after="120"/>
      <w:jc w:val="left"/>
    </w:pPr>
    <w:rPr>
      <w:rFonts w:ascii="等线" w:eastAsia="等线"/>
      <w:b/>
      <w:bCs/>
      <w:caps/>
      <w:sz w:val="20"/>
      <w:szCs w:val="20"/>
    </w:rPr>
  </w:style>
  <w:style w:type="paragraph" w:styleId="28">
    <w:name w:val="toc 4"/>
    <w:basedOn w:val="1"/>
    <w:next w:val="1"/>
    <w:qFormat/>
    <w:uiPriority w:val="99"/>
    <w:pPr>
      <w:ind w:left="630"/>
      <w:jc w:val="left"/>
    </w:pPr>
    <w:rPr>
      <w:rFonts w:ascii="等线" w:eastAsia="等线"/>
      <w:sz w:val="18"/>
      <w:szCs w:val="18"/>
    </w:rPr>
  </w:style>
  <w:style w:type="paragraph" w:styleId="29">
    <w:name w:val="toc 6"/>
    <w:basedOn w:val="1"/>
    <w:next w:val="1"/>
    <w:qFormat/>
    <w:uiPriority w:val="99"/>
    <w:pPr>
      <w:ind w:left="1050"/>
      <w:jc w:val="left"/>
    </w:pPr>
    <w:rPr>
      <w:rFonts w:ascii="等线" w:eastAsia="等线"/>
      <w:sz w:val="18"/>
      <w:szCs w:val="18"/>
    </w:rPr>
  </w:style>
  <w:style w:type="paragraph" w:styleId="30">
    <w:name w:val="toc 2"/>
    <w:basedOn w:val="1"/>
    <w:next w:val="1"/>
    <w:qFormat/>
    <w:uiPriority w:val="99"/>
    <w:pPr>
      <w:ind w:left="210"/>
      <w:jc w:val="left"/>
    </w:pPr>
    <w:rPr>
      <w:rFonts w:ascii="等线" w:eastAsia="等线"/>
      <w:smallCaps/>
      <w:sz w:val="20"/>
      <w:szCs w:val="20"/>
    </w:rPr>
  </w:style>
  <w:style w:type="paragraph" w:styleId="31">
    <w:name w:val="toc 9"/>
    <w:basedOn w:val="1"/>
    <w:next w:val="1"/>
    <w:qFormat/>
    <w:uiPriority w:val="99"/>
    <w:pPr>
      <w:ind w:left="1680"/>
      <w:jc w:val="left"/>
    </w:pPr>
    <w:rPr>
      <w:rFonts w:ascii="等线" w:eastAsia="等线"/>
      <w:sz w:val="18"/>
      <w:szCs w:val="18"/>
    </w:r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annotation subject"/>
    <w:basedOn w:val="16"/>
    <w:next w:val="16"/>
    <w:link w:val="61"/>
    <w:semiHidden/>
    <w:qFormat/>
    <w:uiPriority w:val="99"/>
    <w:rPr>
      <w:b/>
      <w:bCs/>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Theme"/>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99"/>
    <w:rPr>
      <w:rFonts w:cs="Times New Roman"/>
      <w:b/>
    </w:rPr>
  </w:style>
  <w:style w:type="character" w:styleId="39">
    <w:name w:val="endnote reference"/>
    <w:basedOn w:val="37"/>
    <w:semiHidden/>
    <w:qFormat/>
    <w:uiPriority w:val="99"/>
    <w:rPr>
      <w:rFonts w:cs="Times New Roman"/>
      <w:vertAlign w:val="superscript"/>
    </w:rPr>
  </w:style>
  <w:style w:type="character" w:styleId="40">
    <w:name w:val="page number"/>
    <w:basedOn w:val="37"/>
    <w:qFormat/>
    <w:uiPriority w:val="99"/>
    <w:rPr>
      <w:rFonts w:cs="Times New Roman"/>
    </w:rPr>
  </w:style>
  <w:style w:type="character" w:styleId="41">
    <w:name w:val="FollowedHyperlink"/>
    <w:basedOn w:val="37"/>
    <w:qFormat/>
    <w:uiPriority w:val="99"/>
    <w:rPr>
      <w:rFonts w:cs="Times New Roman"/>
      <w:color w:val="954F72"/>
      <w:u w:val="single"/>
    </w:rPr>
  </w:style>
  <w:style w:type="character" w:styleId="42">
    <w:name w:val="Hyperlink"/>
    <w:basedOn w:val="37"/>
    <w:qFormat/>
    <w:uiPriority w:val="99"/>
    <w:rPr>
      <w:rFonts w:cs="Times New Roman"/>
      <w:color w:val="0000FF"/>
      <w:u w:val="single"/>
    </w:rPr>
  </w:style>
  <w:style w:type="character" w:styleId="43">
    <w:name w:val="annotation reference"/>
    <w:basedOn w:val="37"/>
    <w:semiHidden/>
    <w:qFormat/>
    <w:uiPriority w:val="99"/>
    <w:rPr>
      <w:rFonts w:cs="Times New Roman"/>
      <w:sz w:val="21"/>
    </w:rPr>
  </w:style>
  <w:style w:type="character" w:customStyle="1" w:styleId="44">
    <w:name w:val="标题 1 字符"/>
    <w:basedOn w:val="37"/>
    <w:link w:val="3"/>
    <w:qFormat/>
    <w:locked/>
    <w:uiPriority w:val="99"/>
    <w:rPr>
      <w:rFonts w:cs="Times New Roman"/>
      <w:b/>
      <w:bCs/>
      <w:kern w:val="44"/>
      <w:sz w:val="44"/>
      <w:szCs w:val="44"/>
    </w:rPr>
  </w:style>
  <w:style w:type="character" w:customStyle="1" w:styleId="45">
    <w:name w:val="标题 2 字符"/>
    <w:basedOn w:val="37"/>
    <w:link w:val="4"/>
    <w:semiHidden/>
    <w:qFormat/>
    <w:locked/>
    <w:uiPriority w:val="99"/>
    <w:rPr>
      <w:rFonts w:ascii="Cambria" w:hAnsi="Cambria" w:eastAsia="宋体" w:cs="Times New Roman"/>
      <w:b/>
      <w:bCs/>
      <w:sz w:val="32"/>
      <w:szCs w:val="32"/>
    </w:rPr>
  </w:style>
  <w:style w:type="character" w:customStyle="1" w:styleId="46">
    <w:name w:val="标题 3 字符"/>
    <w:basedOn w:val="37"/>
    <w:link w:val="2"/>
    <w:semiHidden/>
    <w:qFormat/>
    <w:locked/>
    <w:uiPriority w:val="99"/>
    <w:rPr>
      <w:rFonts w:cs="Times New Roman"/>
      <w:b/>
      <w:bCs/>
      <w:sz w:val="32"/>
      <w:szCs w:val="32"/>
    </w:rPr>
  </w:style>
  <w:style w:type="character" w:customStyle="1" w:styleId="47">
    <w:name w:val="标题 4 字符"/>
    <w:basedOn w:val="37"/>
    <w:link w:val="5"/>
    <w:semiHidden/>
    <w:qFormat/>
    <w:locked/>
    <w:uiPriority w:val="99"/>
    <w:rPr>
      <w:rFonts w:ascii="Cambria" w:hAnsi="Cambria" w:eastAsia="宋体" w:cs="Times New Roman"/>
      <w:b/>
      <w:bCs/>
      <w:sz w:val="28"/>
      <w:szCs w:val="28"/>
    </w:rPr>
  </w:style>
  <w:style w:type="character" w:customStyle="1" w:styleId="48">
    <w:name w:val="标题 5 字符"/>
    <w:basedOn w:val="37"/>
    <w:link w:val="6"/>
    <w:semiHidden/>
    <w:qFormat/>
    <w:locked/>
    <w:uiPriority w:val="99"/>
    <w:rPr>
      <w:rFonts w:cs="Times New Roman"/>
      <w:b/>
      <w:bCs/>
      <w:sz w:val="28"/>
      <w:szCs w:val="28"/>
    </w:rPr>
  </w:style>
  <w:style w:type="character" w:customStyle="1" w:styleId="49">
    <w:name w:val="标题 6 字符"/>
    <w:basedOn w:val="37"/>
    <w:link w:val="7"/>
    <w:semiHidden/>
    <w:qFormat/>
    <w:locked/>
    <w:uiPriority w:val="99"/>
    <w:rPr>
      <w:rFonts w:ascii="Cambria" w:hAnsi="Cambria" w:eastAsia="宋体" w:cs="Times New Roman"/>
      <w:b/>
      <w:bCs/>
      <w:sz w:val="24"/>
      <w:szCs w:val="24"/>
    </w:rPr>
  </w:style>
  <w:style w:type="character" w:customStyle="1" w:styleId="50">
    <w:name w:val="标题 7 字符"/>
    <w:basedOn w:val="37"/>
    <w:link w:val="8"/>
    <w:semiHidden/>
    <w:qFormat/>
    <w:locked/>
    <w:uiPriority w:val="99"/>
    <w:rPr>
      <w:rFonts w:cs="Times New Roman"/>
      <w:b/>
      <w:bCs/>
      <w:sz w:val="24"/>
      <w:szCs w:val="24"/>
    </w:rPr>
  </w:style>
  <w:style w:type="character" w:customStyle="1" w:styleId="51">
    <w:name w:val="标题 8 字符"/>
    <w:basedOn w:val="37"/>
    <w:link w:val="9"/>
    <w:semiHidden/>
    <w:qFormat/>
    <w:locked/>
    <w:uiPriority w:val="99"/>
    <w:rPr>
      <w:rFonts w:ascii="Cambria" w:hAnsi="Cambria" w:eastAsia="宋体" w:cs="Times New Roman"/>
      <w:sz w:val="24"/>
      <w:szCs w:val="24"/>
    </w:rPr>
  </w:style>
  <w:style w:type="character" w:customStyle="1" w:styleId="52">
    <w:name w:val="标题 9 字符"/>
    <w:basedOn w:val="37"/>
    <w:link w:val="10"/>
    <w:semiHidden/>
    <w:qFormat/>
    <w:locked/>
    <w:uiPriority w:val="99"/>
    <w:rPr>
      <w:rFonts w:ascii="Cambria" w:hAnsi="Cambria" w:eastAsia="宋体" w:cs="Times New Roman"/>
      <w:sz w:val="21"/>
      <w:szCs w:val="21"/>
    </w:rPr>
  </w:style>
  <w:style w:type="character" w:customStyle="1" w:styleId="53">
    <w:name w:val="文档结构图 字符"/>
    <w:basedOn w:val="37"/>
    <w:link w:val="14"/>
    <w:semiHidden/>
    <w:qFormat/>
    <w:locked/>
    <w:uiPriority w:val="99"/>
    <w:rPr>
      <w:rFonts w:cs="Times New Roman"/>
      <w:sz w:val="2"/>
    </w:rPr>
  </w:style>
  <w:style w:type="character" w:customStyle="1" w:styleId="54">
    <w:name w:val="批注文字 字符"/>
    <w:basedOn w:val="37"/>
    <w:link w:val="16"/>
    <w:semiHidden/>
    <w:qFormat/>
    <w:locked/>
    <w:uiPriority w:val="99"/>
    <w:rPr>
      <w:rFonts w:cs="Times New Roman"/>
      <w:sz w:val="24"/>
      <w:szCs w:val="24"/>
    </w:rPr>
  </w:style>
  <w:style w:type="character" w:customStyle="1" w:styleId="55">
    <w:name w:val="正文文本缩进 字符"/>
    <w:basedOn w:val="37"/>
    <w:link w:val="18"/>
    <w:semiHidden/>
    <w:qFormat/>
    <w:locked/>
    <w:uiPriority w:val="99"/>
    <w:rPr>
      <w:rFonts w:cs="Times New Roman"/>
      <w:sz w:val="24"/>
      <w:szCs w:val="24"/>
    </w:rPr>
  </w:style>
  <w:style w:type="character" w:customStyle="1" w:styleId="56">
    <w:name w:val="纯文本 字符"/>
    <w:basedOn w:val="37"/>
    <w:link w:val="21"/>
    <w:semiHidden/>
    <w:qFormat/>
    <w:locked/>
    <w:uiPriority w:val="99"/>
    <w:rPr>
      <w:rFonts w:ascii="宋体" w:hAnsi="Courier New" w:cs="Courier New"/>
      <w:sz w:val="21"/>
      <w:szCs w:val="21"/>
    </w:rPr>
  </w:style>
  <w:style w:type="character" w:customStyle="1" w:styleId="57">
    <w:name w:val="尾注文本 字符"/>
    <w:basedOn w:val="37"/>
    <w:link w:val="23"/>
    <w:semiHidden/>
    <w:qFormat/>
    <w:locked/>
    <w:uiPriority w:val="99"/>
    <w:rPr>
      <w:rFonts w:cs="Times New Roman"/>
      <w:sz w:val="24"/>
      <w:szCs w:val="24"/>
    </w:rPr>
  </w:style>
  <w:style w:type="character" w:customStyle="1" w:styleId="58">
    <w:name w:val="批注框文本 字符"/>
    <w:basedOn w:val="37"/>
    <w:link w:val="24"/>
    <w:semiHidden/>
    <w:qFormat/>
    <w:locked/>
    <w:uiPriority w:val="99"/>
    <w:rPr>
      <w:rFonts w:cs="Times New Roman"/>
      <w:sz w:val="2"/>
    </w:rPr>
  </w:style>
  <w:style w:type="character" w:customStyle="1" w:styleId="59">
    <w:name w:val="页脚 字符"/>
    <w:basedOn w:val="37"/>
    <w:link w:val="25"/>
    <w:semiHidden/>
    <w:qFormat/>
    <w:locked/>
    <w:uiPriority w:val="99"/>
    <w:rPr>
      <w:rFonts w:cs="Times New Roman"/>
      <w:sz w:val="18"/>
      <w:szCs w:val="18"/>
    </w:rPr>
  </w:style>
  <w:style w:type="character" w:customStyle="1" w:styleId="60">
    <w:name w:val="页眉 字符"/>
    <w:basedOn w:val="37"/>
    <w:link w:val="26"/>
    <w:semiHidden/>
    <w:qFormat/>
    <w:locked/>
    <w:uiPriority w:val="99"/>
    <w:rPr>
      <w:rFonts w:cs="Times New Roman"/>
      <w:sz w:val="18"/>
      <w:szCs w:val="18"/>
    </w:rPr>
  </w:style>
  <w:style w:type="character" w:customStyle="1" w:styleId="61">
    <w:name w:val="批注主题 字符"/>
    <w:basedOn w:val="54"/>
    <w:link w:val="33"/>
    <w:semiHidden/>
    <w:qFormat/>
    <w:locked/>
    <w:uiPriority w:val="99"/>
    <w:rPr>
      <w:rFonts w:cs="Times New Roman"/>
      <w:b/>
      <w:bCs/>
      <w:sz w:val="24"/>
      <w:szCs w:val="24"/>
    </w:rPr>
  </w:style>
  <w:style w:type="paragraph" w:customStyle="1" w:styleId="62">
    <w:name w:val="标题6"/>
    <w:basedOn w:val="1"/>
    <w:next w:val="3"/>
    <w:qFormat/>
    <w:uiPriority w:val="99"/>
    <w:pPr>
      <w:widowControl/>
      <w:snapToGrid w:val="0"/>
      <w:spacing w:beforeLines="50" w:afterLines="50" w:line="520" w:lineRule="atLeast"/>
      <w:ind w:firstLine="200" w:firstLineChars="200"/>
    </w:pPr>
    <w:rPr>
      <w:rFonts w:cs="Arial"/>
      <w:b/>
      <w:sz w:val="24"/>
    </w:rPr>
  </w:style>
  <w:style w:type="paragraph" w:customStyle="1" w:styleId="63">
    <w:name w:val="封面编号"/>
    <w:basedOn w:val="1"/>
    <w:qFormat/>
    <w:uiPriority w:val="99"/>
    <w:pPr>
      <w:spacing w:line="360" w:lineRule="auto"/>
      <w:jc w:val="center"/>
    </w:pPr>
    <w:rPr>
      <w:rFonts w:ascii="黑体" w:hAnsi="宋体" w:eastAsia="黑体" w:cs="宋体"/>
      <w:b/>
      <w:bCs/>
      <w:sz w:val="38"/>
      <w:szCs w:val="20"/>
    </w:rPr>
  </w:style>
  <w:style w:type="paragraph" w:customStyle="1" w:styleId="64">
    <w:name w:val="封面第一行"/>
    <w:basedOn w:val="1"/>
    <w:qFormat/>
    <w:uiPriority w:val="99"/>
    <w:pPr>
      <w:spacing w:line="360" w:lineRule="auto"/>
      <w:jc w:val="center"/>
    </w:pPr>
    <w:rPr>
      <w:rFonts w:ascii="黑体" w:hAnsi="宋体" w:eastAsia="黑体" w:cs="宋体"/>
      <w:sz w:val="56"/>
      <w:szCs w:val="20"/>
    </w:rPr>
  </w:style>
  <w:style w:type="paragraph" w:customStyle="1" w:styleId="65">
    <w:name w:val="公开招标文件"/>
    <w:basedOn w:val="1"/>
    <w:qFormat/>
    <w:uiPriority w:val="99"/>
    <w:pPr>
      <w:spacing w:line="1000" w:lineRule="exact"/>
      <w:jc w:val="center"/>
    </w:pPr>
    <w:rPr>
      <w:rFonts w:ascii="宋体" w:hAnsi="宋体" w:cs="宋体"/>
      <w:b/>
      <w:bCs/>
      <w:sz w:val="92"/>
      <w:szCs w:val="20"/>
    </w:rPr>
  </w:style>
  <w:style w:type="paragraph" w:customStyle="1" w:styleId="66">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TOC Heading1"/>
    <w:basedOn w:val="3"/>
    <w:next w:val="1"/>
    <w:qFormat/>
    <w:uiPriority w:val="99"/>
    <w:pPr>
      <w:widowControl/>
      <w:spacing w:after="0" w:line="259" w:lineRule="auto"/>
      <w:jc w:val="left"/>
      <w:outlineLvl w:val="9"/>
    </w:pPr>
    <w:rPr>
      <w:rFonts w:ascii="等线 Light" w:hAnsi="等线 Light" w:eastAsia="等线 Light" w:cs="Times New Roman"/>
      <w:b w:val="0"/>
      <w:color w:val="2F5496"/>
      <w:kern w:val="0"/>
      <w:szCs w:val="32"/>
    </w:rPr>
  </w:style>
  <w:style w:type="character" w:customStyle="1" w:styleId="68">
    <w:name w:val="未处理的提及1"/>
    <w:semiHidden/>
    <w:qFormat/>
    <w:uiPriority w:val="99"/>
    <w:rPr>
      <w:color w:val="605E5C"/>
      <w:shd w:val="clear" w:color="auto" w:fill="E1DFDD"/>
    </w:rPr>
  </w:style>
  <w:style w:type="paragraph" w:customStyle="1" w:styleId="69">
    <w:name w:val="列出段落1"/>
    <w:basedOn w:val="1"/>
    <w:qFormat/>
    <w:uiPriority w:val="99"/>
    <w:pPr>
      <w:ind w:firstLine="420" w:firstLineChars="200"/>
    </w:pPr>
    <w:rPr>
      <w:rFonts w:ascii="Calibri" w:hAnsi="Calibri"/>
      <w:szCs w:val="22"/>
    </w:rPr>
  </w:style>
  <w:style w:type="paragraph" w:styleId="70">
    <w:name w:val="List Paragraph"/>
    <w:basedOn w:val="1"/>
    <w:qFormat/>
    <w:uiPriority w:val="99"/>
    <w:pPr>
      <w:ind w:firstLine="420" w:firstLineChars="200"/>
    </w:pPr>
  </w:style>
  <w:style w:type="paragraph" w:customStyle="1" w:styleId="71">
    <w:name w:val="正文2"/>
    <w:basedOn w:val="1"/>
    <w:qFormat/>
    <w:uiPriority w:val="99"/>
    <w:pPr>
      <w:spacing w:before="156" w:line="360" w:lineRule="auto"/>
      <w:ind w:firstLine="510" w:firstLineChars="200"/>
    </w:pPr>
    <w:rPr>
      <w:sz w:val="24"/>
      <w:szCs w:val="20"/>
    </w:rPr>
  </w:style>
  <w:style w:type="character" w:customStyle="1" w:styleId="72">
    <w:name w:val="Body Text Indent Char1"/>
    <w:qFormat/>
    <w:locked/>
    <w:uiPriority w:val="99"/>
    <w:rPr>
      <w:rFonts w:ascii="宋体" w:eastAsia="宋体"/>
      <w:kern w:val="2"/>
      <w:sz w:val="24"/>
    </w:rPr>
  </w:style>
  <w:style w:type="character" w:customStyle="1" w:styleId="73">
    <w:name w:val="正文缩进 字符"/>
    <w:link w:val="13"/>
    <w:qFormat/>
    <w:locked/>
    <w:uiPriority w:val="99"/>
    <w:rPr>
      <w:rFonts w:ascii="宋体" w:eastAsia="宋体"/>
      <w:snapToGrid w:val="0"/>
      <w:color w:val="000000"/>
      <w:kern w:val="28"/>
      <w:sz w:val="28"/>
      <w:lang w:val="en-US" w:eastAsia="zh-CN"/>
    </w:rPr>
  </w:style>
  <w:style w:type="paragraph" w:customStyle="1" w:styleId="74">
    <w:name w:val="正文段"/>
    <w:basedOn w:val="1"/>
    <w:qFormat/>
    <w:uiPriority w:val="99"/>
    <w:pPr>
      <w:widowControl/>
      <w:snapToGrid w:val="0"/>
      <w:spacing w:afterLines="50"/>
      <w:ind w:firstLine="200" w:firstLineChars="200"/>
    </w:pPr>
    <w:rPr>
      <w:kern w:val="0"/>
      <w:sz w:val="24"/>
      <w:szCs w:val="20"/>
    </w:rPr>
  </w:style>
  <w:style w:type="paragraph" w:customStyle="1" w:styleId="75">
    <w:name w:val="+正文 Char"/>
    <w:basedOn w:val="1"/>
    <w:qFormat/>
    <w:uiPriority w:val="0"/>
    <w:pPr>
      <w:spacing w:line="360" w:lineRule="auto"/>
      <w:ind w:firstLine="200" w:firstLineChars="200"/>
    </w:pPr>
    <w:rPr>
      <w:rFonts w:cs="Angsana New"/>
      <w:sz w:val="24"/>
      <w:szCs w:val="20"/>
      <w:lang w:bidi="th-TH"/>
    </w:rPr>
  </w:style>
  <w:style w:type="paragraph" w:customStyle="1" w:styleId="76">
    <w:name w:val="UserStyle_143"/>
    <w:basedOn w:val="1"/>
    <w:qFormat/>
    <w:uiPriority w:val="0"/>
    <w:pPr>
      <w:widowControl/>
      <w:snapToGrid w:val="0"/>
      <w:spacing w:after="156"/>
      <w:ind w:firstLine="200" w:firstLineChars="200"/>
      <w:textAlignment w:val="baseline"/>
    </w:pPr>
    <w:rPr>
      <w:kern w:val="0"/>
      <w:sz w:val="24"/>
    </w:rPr>
  </w:style>
  <w:style w:type="character" w:customStyle="1" w:styleId="77">
    <w:name w:val="NormalCharacter"/>
    <w:qFormat/>
    <w:uiPriority w:val="0"/>
  </w:style>
  <w:style w:type="paragraph" w:customStyle="1" w:styleId="78">
    <w:name w:val="PlainText"/>
    <w:basedOn w:val="1"/>
    <w:qFormat/>
    <w:uiPriority w:val="0"/>
    <w:pPr>
      <w:textAlignment w:val="baseline"/>
    </w:pPr>
    <w:rPr>
      <w:rFonts w:ascii="宋体" w:hAnsi="Courier New"/>
    </w:rPr>
  </w:style>
  <w:style w:type="paragraph" w:customStyle="1" w:styleId="79">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80">
    <w:name w:val="Body text|3"/>
    <w:basedOn w:val="1"/>
    <w:qFormat/>
    <w:uiPriority w:val="0"/>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芳向电脑工作室</Company>
  <Pages>42</Pages>
  <Words>11969</Words>
  <Characters>12670</Characters>
  <Lines>177</Lines>
  <Paragraphs>49</Paragraphs>
  <TotalTime>10</TotalTime>
  <ScaleCrop>false</ScaleCrop>
  <LinksUpToDate>false</LinksUpToDate>
  <CharactersWithSpaces>12936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2018-09-12T00:13:00Z</dcterms:created>
  <dc:creator>于卓伟</dc:creator>
  <cp:lastModifiedBy>49656</cp:lastModifiedBy>
  <cp:lastPrinted>2021-04-30T02:18:00Z</cp:lastPrinted>
  <dcterms:modified xsi:type="dcterms:W3CDTF">2025-06-20T04:50:54Z</dcterms:modified>
  <dc:title>公开招标文件</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4EBB22DF600D4938B0EAEEBBB8310F56_13</vt:lpwstr>
  </property>
  <property fmtid="{D5CDD505-2E9C-101B-9397-08002B2CF9AE}" pid="4" name="KSOTemplateDocerSaveRecord">
    <vt:lpwstr>eyJoZGlkIjoiOTM4MTYyZGIzOTU4YWZlNjdkODQ1ZDE5ZGY2NGMyY2YifQ==</vt:lpwstr>
  </property>
</Properties>
</file>