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C03A8">
      <w:pPr>
        <w:spacing w:line="360" w:lineRule="auto"/>
        <w:rPr>
          <w:rFonts w:hint="eastAsia" w:ascii="宋体" w:hAnsi="宋体" w:eastAsia="宋体" w:cs="宋体"/>
          <w:b/>
          <w:color w:val="000000" w:themeColor="text1"/>
          <w:sz w:val="44"/>
          <w:szCs w:val="44"/>
          <w:highlight w:val="none"/>
          <w14:textFill>
            <w14:solidFill>
              <w14:schemeClr w14:val="tx1"/>
            </w14:solidFill>
          </w14:textFill>
        </w:rPr>
      </w:pPr>
    </w:p>
    <w:p w14:paraId="48C946A8">
      <w:pPr>
        <w:adjustRightInd/>
        <w:spacing w:line="360" w:lineRule="auto"/>
        <w:jc w:val="center"/>
        <w:rPr>
          <w:rFonts w:hint="eastAsia" w:ascii="宋体" w:hAnsi="宋体" w:eastAsia="宋体" w:cs="宋体"/>
          <w:b/>
          <w:color w:val="000000" w:themeColor="text1"/>
          <w:sz w:val="48"/>
          <w:szCs w:val="48"/>
          <w:highlight w:val="none"/>
          <w:lang w:val="en-US" w:eastAsia="zh-CN"/>
          <w14:textFill>
            <w14:solidFill>
              <w14:schemeClr w14:val="tx1"/>
            </w14:solidFill>
          </w14:textFill>
        </w:rPr>
      </w:pPr>
      <w:r>
        <w:rPr>
          <w:rFonts w:hint="eastAsia" w:ascii="宋体" w:hAnsi="宋体" w:cs="宋体"/>
          <w:b/>
          <w:color w:val="000000" w:themeColor="text1"/>
          <w:sz w:val="48"/>
          <w:szCs w:val="48"/>
          <w:highlight w:val="none"/>
          <w:lang w:val="en-US" w:eastAsia="zh-CN"/>
          <w14:textFill>
            <w14:solidFill>
              <w14:schemeClr w14:val="tx1"/>
            </w14:solidFill>
          </w14:textFill>
        </w:rPr>
        <w:t xml:space="preserve"> </w:t>
      </w:r>
    </w:p>
    <w:p w14:paraId="7457D161">
      <w:pPr>
        <w:tabs>
          <w:tab w:val="left" w:pos="8222"/>
        </w:tabs>
        <w:adjustRightInd/>
        <w:spacing w:line="360" w:lineRule="auto"/>
        <w:jc w:val="center"/>
        <w:rPr>
          <w:rFonts w:hint="eastAsia" w:ascii="宋体" w:hAnsi="宋体" w:eastAsia="宋体" w:cs="宋体"/>
          <w:b/>
          <w:bCs/>
          <w:color w:val="000000" w:themeColor="text1"/>
          <w:sz w:val="44"/>
          <w:szCs w:val="44"/>
          <w:highlight w:val="none"/>
          <w:lang w:eastAsia="zh-CN"/>
          <w14:textFill>
            <w14:solidFill>
              <w14:schemeClr w14:val="tx1"/>
            </w14:solidFill>
          </w14:textFill>
        </w:rPr>
      </w:pPr>
      <w:r>
        <w:rPr>
          <w:rFonts w:hint="eastAsia" w:ascii="宋体" w:hAnsi="宋体" w:cs="宋体"/>
          <w:b/>
          <w:bCs/>
          <w:color w:val="000000" w:themeColor="text1"/>
          <w:sz w:val="44"/>
          <w:szCs w:val="44"/>
          <w:highlight w:val="none"/>
          <w:lang w:eastAsia="zh-CN"/>
          <w14:textFill>
            <w14:solidFill>
              <w14:schemeClr w14:val="tx1"/>
            </w14:solidFill>
          </w14:textFill>
        </w:rPr>
        <w:t>2025年数字教育资源支撑服务</w:t>
      </w:r>
      <w:bookmarkStart w:id="400" w:name="_GoBack"/>
      <w:bookmarkEnd w:id="400"/>
      <w:r>
        <w:rPr>
          <w:rFonts w:hint="eastAsia" w:ascii="宋体" w:hAnsi="宋体" w:cs="宋体"/>
          <w:b/>
          <w:bCs/>
          <w:color w:val="000000" w:themeColor="text1"/>
          <w:sz w:val="44"/>
          <w:szCs w:val="44"/>
          <w:highlight w:val="none"/>
          <w:lang w:eastAsia="zh-CN"/>
          <w14:textFill>
            <w14:solidFill>
              <w14:schemeClr w14:val="tx1"/>
            </w14:solidFill>
          </w14:textFill>
        </w:rPr>
        <w:t>升级及运维保障</w:t>
      </w:r>
    </w:p>
    <w:p w14:paraId="10B09037">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p>
    <w:p w14:paraId="043C8C2B">
      <w:pPr>
        <w:pStyle w:val="4"/>
        <w:rPr>
          <w:rFonts w:hint="eastAsia"/>
          <w:color w:val="000000" w:themeColor="text1"/>
          <w:highlight w:val="none"/>
          <w14:textFill>
            <w14:solidFill>
              <w14:schemeClr w14:val="tx1"/>
            </w14:solidFill>
          </w14:textFill>
        </w:rPr>
      </w:pPr>
    </w:p>
    <w:p w14:paraId="6A0F46E2">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竞争性磋商文件</w:t>
      </w:r>
    </w:p>
    <w:p w14:paraId="52830696">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w:t>
      </w:r>
      <w:r>
        <w:rPr>
          <w:rFonts w:hint="eastAsia" w:asciiTheme="minorEastAsia" w:hAnsiTheme="minorEastAsia" w:eastAsiaTheme="minorEastAsia" w:cstheme="minorEastAsia"/>
          <w:b/>
          <w:color w:val="auto"/>
          <w:sz w:val="44"/>
          <w:szCs w:val="44"/>
          <w:highlight w:val="none"/>
          <w:lang w:eastAsia="zh-CN"/>
        </w:rPr>
        <w:t>非政府采购</w:t>
      </w:r>
      <w:r>
        <w:rPr>
          <w:rFonts w:hint="eastAsia" w:asciiTheme="minorEastAsia" w:hAnsiTheme="minorEastAsia" w:eastAsiaTheme="minorEastAsia" w:cstheme="minorEastAsia"/>
          <w:b/>
          <w:color w:val="auto"/>
          <w:sz w:val="44"/>
          <w:szCs w:val="44"/>
          <w:highlight w:val="none"/>
          <w:lang w:val="en-US" w:eastAsia="zh-CN"/>
        </w:rPr>
        <w:t>-</w:t>
      </w:r>
      <w:r>
        <w:rPr>
          <w:rFonts w:hint="eastAsia" w:ascii="宋体" w:hAnsi="宋体" w:eastAsia="宋体" w:cs="宋体"/>
          <w:b/>
          <w:color w:val="000000" w:themeColor="text1"/>
          <w:sz w:val="44"/>
          <w:szCs w:val="44"/>
          <w:highlight w:val="none"/>
          <w14:textFill>
            <w14:solidFill>
              <w14:schemeClr w14:val="tx1"/>
            </w14:solidFill>
          </w14:textFill>
        </w:rPr>
        <w:t>电子交易）</w:t>
      </w:r>
    </w:p>
    <w:p w14:paraId="76FDEE5A">
      <w:pPr>
        <w:adjustRightInd/>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p w14:paraId="3A595FC3">
      <w:pPr>
        <w:adjustRightInd/>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项目编号:浙房咨2025【D-146】</w:t>
      </w:r>
    </w:p>
    <w:p w14:paraId="19EBCD07">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32F4F4E2">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6407BC3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B3E8CB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6011758">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eastAsia="宋体" w:cs="宋体"/>
          <w:bCs/>
          <w:color w:val="000000" w:themeColor="text1"/>
          <w:sz w:val="32"/>
          <w:szCs w:val="32"/>
          <w:highlight w:val="none"/>
          <w:lang w:eastAsia="zh-CN"/>
          <w14:textFill>
            <w14:solidFill>
              <w14:schemeClr w14:val="tx1"/>
            </w14:solidFill>
          </w14:textFill>
        </w:rPr>
        <w:t>采购人：</w:t>
      </w:r>
      <w:r>
        <w:rPr>
          <w:rFonts w:hint="eastAsia" w:ascii="宋体" w:hAnsi="宋体" w:cs="宋体"/>
          <w:bCs/>
          <w:color w:val="000000" w:themeColor="text1"/>
          <w:sz w:val="32"/>
          <w:szCs w:val="32"/>
          <w:highlight w:val="none"/>
          <w:lang w:eastAsia="zh-CN"/>
          <w14:textFill>
            <w14:solidFill>
              <w14:schemeClr w14:val="tx1"/>
            </w14:solidFill>
          </w14:textFill>
        </w:rPr>
        <w:t>杭州市教育发展服务中心</w:t>
      </w:r>
    </w:p>
    <w:p w14:paraId="683F9533">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lang w:eastAsia="zh-CN"/>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浙江省房地产管理咨询有限公司</w:t>
      </w:r>
    </w:p>
    <w:p w14:paraId="48516558">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14:paraId="14F2A169">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bCs/>
          <w:color w:val="000000" w:themeColor="text1"/>
          <w:sz w:val="32"/>
          <w:szCs w:val="32"/>
          <w:highlight w:val="none"/>
          <w14:textFill>
            <w14:solidFill>
              <w14:schemeClr w14:val="tx1"/>
            </w14:solidFill>
          </w14:textFill>
        </w:rPr>
        <w:t>月</w:t>
      </w:r>
      <w:bookmarkStart w:id="0" w:name="_Hlt67893495"/>
      <w:bookmarkEnd w:id="0"/>
    </w:p>
    <w:p w14:paraId="33157CD5">
      <w:pPr>
        <w:widowControl/>
        <w:adjustRightInd/>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br w:type="page"/>
      </w:r>
      <w:r>
        <w:rPr>
          <w:rFonts w:hint="eastAsia" w:ascii="宋体" w:hAnsi="宋体" w:eastAsia="宋体" w:cs="宋体"/>
          <w:b/>
          <w:color w:val="000000" w:themeColor="text1"/>
          <w:sz w:val="48"/>
          <w:szCs w:val="48"/>
          <w:highlight w:val="none"/>
          <w14:textFill>
            <w14:solidFill>
              <w14:schemeClr w14:val="tx1"/>
            </w14:solidFill>
          </w14:textFill>
        </w:rPr>
        <w:t>目录</w:t>
      </w:r>
    </w:p>
    <w:p w14:paraId="35645C6E">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5A7A7B9F">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28ECAE1B">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bookmarkStart w:id="1" w:name="_Hlt91233176"/>
      <w:bookmarkEnd w:id="1"/>
      <w:bookmarkStart w:id="2" w:name="_Toc91899869"/>
      <w:r>
        <w:rPr>
          <w:rFonts w:hint="eastAsia" w:ascii="宋体" w:hAnsi="宋体" w:eastAsia="宋体" w:cs="宋体"/>
          <w:color w:val="000000" w:themeColor="text1"/>
          <w:sz w:val="32"/>
          <w:szCs w:val="32"/>
          <w:highlight w:val="none"/>
          <w14:textFill>
            <w14:solidFill>
              <w14:schemeClr w14:val="tx1"/>
            </w14:solidFill>
          </w14:textFill>
        </w:rPr>
        <w:t>第一部分      邀请供应商</w:t>
      </w:r>
    </w:p>
    <w:p w14:paraId="7C3936E3">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竞争性磋商流程</w:t>
      </w:r>
    </w:p>
    <w:p w14:paraId="4D7CC9F4">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供应商须知</w:t>
      </w:r>
    </w:p>
    <w:p w14:paraId="045B5BCA">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采购需求</w:t>
      </w:r>
    </w:p>
    <w:p w14:paraId="6CE736EF">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评审方法及评审标准</w:t>
      </w:r>
    </w:p>
    <w:p w14:paraId="2FA7C992">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拟签订的合同文本</w:t>
      </w:r>
    </w:p>
    <w:p w14:paraId="4B280C99">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第七部分      应提交的有关格式范例</w:t>
      </w:r>
    </w:p>
    <w:p w14:paraId="106A3742">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第八部分      最后报价格式</w:t>
      </w:r>
    </w:p>
    <w:p w14:paraId="0573A9FD">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18DBA4D6">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3" w:name="第一部分"/>
      <w:r>
        <w:rPr>
          <w:rFonts w:hint="eastAsia" w:ascii="宋体" w:hAnsi="宋体" w:eastAsia="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000000" w:themeColor="text1"/>
          <w:sz w:val="36"/>
          <w:szCs w:val="20"/>
          <w:highlight w:val="none"/>
          <w14:textFill>
            <w14:solidFill>
              <w14:schemeClr w14:val="tx1"/>
            </w14:solidFill>
          </w14:textFill>
        </w:rPr>
        <w:t>第一部分邀请供应商</w:t>
      </w:r>
    </w:p>
    <w:p w14:paraId="01ABC323">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竞争性磋商邀请公告</w:t>
      </w:r>
    </w:p>
    <w:p w14:paraId="14FA759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16BB119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sz w:val="24"/>
          <w:highlight w:val="none"/>
          <w14:textFill>
            <w14:solidFill>
              <w14:schemeClr w14:val="tx1"/>
            </w14:solidFill>
          </w14:textFill>
        </w:rPr>
        <w:t>的潜在投标人应在</w:t>
      </w:r>
      <w:r>
        <w:rPr>
          <w:rFonts w:hint="eastAsia" w:ascii="宋体" w:hAnsi="宋体" w:cs="宋体"/>
          <w:color w:val="000000" w:themeColor="text1"/>
          <w:sz w:val="24"/>
          <w:highlight w:val="none"/>
          <w:lang w:eastAsia="zh-CN"/>
          <w14:textFill>
            <w14:solidFill>
              <w14:schemeClr w14:val="tx1"/>
            </w14:solidFill>
          </w14:textFill>
        </w:rPr>
        <w:t>杭州市教育局非依法招标（小额）项目平台</w:t>
      </w:r>
      <w:r>
        <w:rPr>
          <w:rFonts w:hint="eastAsia" w:ascii="宋体" w:hAnsi="宋体" w:eastAsia="宋体" w:cs="宋体"/>
          <w:color w:val="000000" w:themeColor="text1"/>
          <w:sz w:val="24"/>
          <w:highlight w:val="none"/>
          <w14:textFill>
            <w14:solidFill>
              <w14:schemeClr w14:val="tx1"/>
            </w14:solidFill>
          </w14:textFill>
        </w:rPr>
        <w:t>https://hzjyg.lecaiyun.com/获取（下载）招标文件，并于</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9:30</w:t>
      </w:r>
      <w:r>
        <w:rPr>
          <w:rFonts w:hint="eastAsia" w:ascii="宋体" w:hAnsi="宋体" w:eastAsia="宋体" w:cs="宋体"/>
          <w:color w:val="000000" w:themeColor="text1"/>
          <w:sz w:val="24"/>
          <w:highlight w:val="none"/>
          <w14:textFill>
            <w14:solidFill>
              <w14:schemeClr w14:val="tx1"/>
            </w14:solidFill>
          </w14:textFill>
        </w:rPr>
        <w:t>（北京时间）前递交（上传）投标文件。</w:t>
      </w:r>
    </w:p>
    <w:p w14:paraId="02537800">
      <w:pPr>
        <w:spacing w:line="360" w:lineRule="auto"/>
        <w:rPr>
          <w:rStyle w:val="18"/>
          <w:rFonts w:hint="eastAsia" w:ascii="宋体" w:hAnsi="宋体" w:eastAsia="宋体" w:cs="宋体"/>
          <w:color w:val="000000" w:themeColor="text1"/>
          <w:sz w:val="24"/>
          <w:szCs w:val="24"/>
          <w:highlight w:val="none"/>
          <w14:textFill>
            <w14:solidFill>
              <w14:schemeClr w14:val="tx1"/>
            </w14:solidFill>
          </w14:textFill>
        </w:rPr>
      </w:pPr>
      <w:r>
        <w:rPr>
          <w:rStyle w:val="18"/>
          <w:rFonts w:hint="eastAsia" w:ascii="宋体" w:hAnsi="宋体" w:eastAsia="宋体" w:cs="宋体"/>
          <w:b w:val="0"/>
          <w:bCs w:val="0"/>
          <w:color w:val="000000" w:themeColor="text1"/>
          <w:sz w:val="24"/>
          <w:szCs w:val="24"/>
          <w:highlight w:val="none"/>
          <w14:textFill>
            <w14:solidFill>
              <w14:schemeClr w14:val="tx1"/>
            </w14:solidFill>
          </w14:textFill>
        </w:rPr>
        <w:t>一、</w:t>
      </w:r>
      <w:r>
        <w:rPr>
          <w:rStyle w:val="18"/>
          <w:rFonts w:hint="eastAsia" w:ascii="宋体" w:hAnsi="宋体" w:eastAsia="宋体" w:cs="宋体"/>
          <w:color w:val="000000" w:themeColor="text1"/>
          <w:sz w:val="24"/>
          <w:szCs w:val="24"/>
          <w:highlight w:val="none"/>
          <w14:textFill>
            <w14:solidFill>
              <w14:schemeClr w14:val="tx1"/>
            </w14:solidFill>
          </w14:textFill>
        </w:rPr>
        <w:t>项目基本情况</w:t>
      </w:r>
    </w:p>
    <w:p w14:paraId="194A0CA8">
      <w:pPr>
        <w:spacing w:line="360" w:lineRule="auto"/>
        <w:ind w:firstLine="426"/>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项目编号：浙房咨2025【D-146】</w:t>
      </w:r>
      <w:r>
        <w:rPr>
          <w:rFonts w:hint="eastAsia" w:ascii="宋体" w:hAnsi="宋体" w:cs="宋体"/>
          <w:b w:val="0"/>
          <w:bCs/>
          <w:color w:val="000000" w:themeColor="text1"/>
          <w:sz w:val="24"/>
          <w:highlight w:val="none"/>
          <w:lang w:val="en-US" w:eastAsia="zh-CN"/>
          <w14:textFill>
            <w14:solidFill>
              <w14:schemeClr w14:val="tx1"/>
            </w14:solidFill>
          </w14:textFill>
        </w:rPr>
        <w:t xml:space="preserve"> </w:t>
      </w:r>
    </w:p>
    <w:p w14:paraId="20CF0C7D">
      <w:pPr>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项目名称：</w:t>
      </w:r>
      <w:r>
        <w:rPr>
          <w:rFonts w:hint="eastAsia" w:ascii="宋体" w:hAnsi="宋体" w:cs="宋体"/>
          <w:b w:val="0"/>
          <w:bCs/>
          <w:color w:val="000000" w:themeColor="text1"/>
          <w:sz w:val="24"/>
          <w:highlight w:val="none"/>
          <w:lang w:eastAsia="zh-CN"/>
          <w14:textFill>
            <w14:solidFill>
              <w14:schemeClr w14:val="tx1"/>
            </w14:solidFill>
          </w14:textFill>
        </w:rPr>
        <w:t>2025年数字教育资源支撑服务升级及运维保障</w:t>
      </w:r>
    </w:p>
    <w:p w14:paraId="5646C022">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采购方式：</w:t>
      </w:r>
      <w:r>
        <w:rPr>
          <w:rFonts w:hint="eastAsia" w:ascii="宋体" w:hAnsi="宋体" w:eastAsia="宋体" w:cs="宋体"/>
          <w:b w:val="0"/>
          <w:bCs/>
          <w:color w:val="000000" w:themeColor="text1"/>
          <w:sz w:val="24"/>
          <w:highlight w:val="none"/>
          <w14:textFill>
            <w14:solidFill>
              <w14:schemeClr w14:val="tx1"/>
            </w14:solidFill>
          </w14:textFill>
        </w:rPr>
        <w:t>竞争性磋商</w:t>
      </w:r>
    </w:p>
    <w:p w14:paraId="13EA73B2">
      <w:pPr>
        <w:spacing w:line="360" w:lineRule="auto"/>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预算金额（元）：</w:t>
      </w:r>
      <w:r>
        <w:rPr>
          <w:rFonts w:hint="eastAsia" w:ascii="宋体" w:hAnsi="宋体" w:cs="宋体"/>
          <w:b w:val="0"/>
          <w:bCs/>
          <w:color w:val="000000" w:themeColor="text1"/>
          <w:sz w:val="24"/>
          <w:highlight w:val="none"/>
          <w:lang w:val="en-US" w:eastAsia="zh-CN"/>
          <w14:textFill>
            <w14:solidFill>
              <w14:schemeClr w14:val="tx1"/>
            </w14:solidFill>
          </w14:textFill>
        </w:rPr>
        <w:t>496</w:t>
      </w:r>
      <w:r>
        <w:rPr>
          <w:rFonts w:hint="eastAsia" w:ascii="宋体" w:hAnsi="宋体" w:cs="宋体"/>
          <w:b w:val="0"/>
          <w:bCs/>
          <w:color w:val="000000" w:themeColor="text1"/>
          <w:sz w:val="24"/>
          <w:highlight w:val="none"/>
          <w:lang w:eastAsia="zh-CN"/>
          <w14:textFill>
            <w14:solidFill>
              <w14:schemeClr w14:val="tx1"/>
            </w14:solidFill>
          </w14:textFill>
        </w:rPr>
        <w:t>000.00</w:t>
      </w:r>
    </w:p>
    <w:p w14:paraId="00EBDC82">
      <w:pPr>
        <w:spacing w:line="360" w:lineRule="auto"/>
        <w:ind w:firstLine="480"/>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cs="宋体"/>
          <w:b w:val="0"/>
          <w:bCs/>
          <w:color w:val="000000" w:themeColor="text1"/>
          <w:sz w:val="24"/>
          <w:highlight w:val="none"/>
          <w:lang w:val="en-US" w:eastAsia="zh-CN"/>
          <w14:textFill>
            <w14:solidFill>
              <w14:schemeClr w14:val="tx1"/>
            </w14:solidFill>
          </w14:textFill>
        </w:rPr>
        <w:t>496</w:t>
      </w:r>
      <w:r>
        <w:rPr>
          <w:rFonts w:hint="eastAsia" w:ascii="宋体" w:hAnsi="宋体" w:cs="宋体"/>
          <w:b w:val="0"/>
          <w:bCs/>
          <w:color w:val="000000" w:themeColor="text1"/>
          <w:sz w:val="24"/>
          <w:highlight w:val="none"/>
          <w:lang w:eastAsia="zh-CN"/>
          <w14:textFill>
            <w14:solidFill>
              <w14:schemeClr w14:val="tx1"/>
            </w14:solidFill>
          </w14:textFill>
        </w:rPr>
        <w:t>000.00</w:t>
      </w:r>
    </w:p>
    <w:p w14:paraId="16E1C7EE">
      <w:pPr>
        <w:spacing w:line="360" w:lineRule="auto"/>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eastAsia="宋体" w:cs="宋体"/>
          <w:b w:val="0"/>
          <w:bCs/>
          <w:color w:val="000000" w:themeColor="text1"/>
          <w:sz w:val="24"/>
          <w:highlight w:val="none"/>
          <w14:textFill>
            <w14:solidFill>
              <w14:schemeClr w14:val="tx1"/>
            </w14:solidFill>
          </w14:textFill>
        </w:rPr>
        <w:t>2025年数字教育资源支撑服务升级及运维保障，具体内容详见采购需求。</w:t>
      </w:r>
    </w:p>
    <w:p w14:paraId="1061E0AC">
      <w:pPr>
        <w:spacing w:line="360" w:lineRule="auto"/>
        <w:ind w:firstLine="482" w:firstLineChars="20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合同履约期限：</w:t>
      </w:r>
      <w:r>
        <w:rPr>
          <w:rFonts w:hint="eastAsia" w:ascii="宋体" w:hAnsi="宋体" w:cs="宋体"/>
          <w:color w:val="000000" w:themeColor="text1"/>
          <w:sz w:val="24"/>
          <w:highlight w:val="none"/>
          <w:lang w:eastAsia="zh-CN"/>
          <w14:textFill>
            <w14:solidFill>
              <w14:schemeClr w14:val="tx1"/>
            </w14:solidFill>
          </w14:textFill>
        </w:rPr>
        <w:t>自项目合同生效之日起，至所有项目正式验收（终验）时止。（具体时间以实际为准，如有调整，供应商需无条件服从）。</w:t>
      </w:r>
    </w:p>
    <w:p w14:paraId="173EB3CA">
      <w:pPr>
        <w:pStyle w:val="5"/>
        <w:spacing w:line="360" w:lineRule="auto"/>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sdt>
        <w:sdtPr>
          <w:rPr>
            <w:rFonts w:hint="eastAsia" w:ascii="宋体" w:hAnsi="宋体" w:eastAsia="宋体" w:cs="宋体"/>
            <w:color w:val="000000" w:themeColor="text1"/>
            <w:kern w:val="0"/>
            <w:sz w:val="24"/>
            <w:highlight w:val="none"/>
            <w14:textFill>
              <w14:solidFill>
                <w14:schemeClr w14:val="tx1"/>
              </w14:solidFill>
            </w14:textFill>
          </w:rPr>
          <w:id w:val="203545383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99463391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64424193"/>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sdtContent>
          </w:sdt>
        </w:sdtContent>
      </w:sdt>
      <w:r>
        <w:rPr>
          <w:rFonts w:hint="eastAsia" w:ascii="宋体" w:hAnsi="宋体" w:eastAsia="宋体" w:cs="宋体"/>
          <w:b/>
          <w:color w:val="000000" w:themeColor="text1"/>
          <w:sz w:val="24"/>
          <w:highlight w:val="none"/>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176552672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522065007"/>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p>
    <w:p w14:paraId="16141EAD">
      <w:pPr>
        <w:spacing w:line="360" w:lineRule="auto"/>
        <w:rPr>
          <w:rStyle w:val="18"/>
          <w:rFonts w:hint="eastAsia" w:ascii="宋体" w:hAnsi="宋体" w:eastAsia="宋体" w:cs="宋体"/>
          <w:b/>
          <w:bCs/>
          <w:color w:val="000000" w:themeColor="text1"/>
          <w:sz w:val="24"/>
          <w:szCs w:val="24"/>
          <w:highlight w:val="none"/>
          <w14:textFill>
            <w14:solidFill>
              <w14:schemeClr w14:val="tx1"/>
            </w14:solidFill>
          </w14:textFill>
        </w:rPr>
      </w:pPr>
      <w:r>
        <w:rPr>
          <w:rStyle w:val="18"/>
          <w:rFonts w:hint="eastAsia" w:ascii="宋体" w:hAnsi="宋体" w:eastAsia="宋体" w:cs="宋体"/>
          <w:b/>
          <w:bCs/>
          <w:color w:val="000000" w:themeColor="text1"/>
          <w:sz w:val="24"/>
          <w:szCs w:val="24"/>
          <w:highlight w:val="none"/>
          <w14:textFill>
            <w14:solidFill>
              <w14:schemeClr w14:val="tx1"/>
            </w14:solidFill>
          </w14:textFill>
        </w:rPr>
        <w:t>二、申请人的资格要求：</w:t>
      </w:r>
    </w:p>
    <w:p w14:paraId="18D735E1">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6B25D25">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以联合体形式响应的，提供联合协议(本项目不接受联合体响应或者供应商不以联合体形式响应的，则不需要提供) ；</w:t>
      </w:r>
    </w:p>
    <w:p w14:paraId="70F12A16">
      <w:pP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3.落实政府采购政策需满足的资格要求：</w:t>
      </w:r>
    </w:p>
    <w:p w14:paraId="597CF80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（注：不得限制大中型企业与小微企业组成联合体参与响应）</w:t>
      </w:r>
      <w:r>
        <w:rPr>
          <w:rFonts w:hint="eastAsia" w:ascii="宋体" w:hAnsi="宋体" w:eastAsia="宋体" w:cs="宋体"/>
          <w:color w:val="000000" w:themeColor="text1"/>
          <w:sz w:val="24"/>
          <w:highlight w:val="none"/>
          <w14:textFill>
            <w14:solidFill>
              <w14:schemeClr w14:val="tx1"/>
            </w14:solidFill>
          </w14:textFill>
        </w:rPr>
        <w:t>；</w:t>
      </w:r>
    </w:p>
    <w:p w14:paraId="34B0DBF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14:paraId="03F9488D">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14:paraId="3E998CA5">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14:paraId="3F61C06C">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pacing w:val="8"/>
          <w:kern w:val="0"/>
          <w:sz w:val="24"/>
          <w:highlight w:val="none"/>
          <w14:textFill>
            <w14:solidFill>
              <w14:schemeClr w14:val="tx1"/>
            </w14:solidFill>
          </w14:textFill>
        </w:rPr>
        <w:t>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p w14:paraId="637E9BC9">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pacing w:val="8"/>
          <w:kern w:val="0"/>
          <w:sz w:val="24"/>
          <w:highlight w:val="none"/>
          <w14:textFill>
            <w14:solidFill>
              <w14:schemeClr w14:val="tx1"/>
            </w14:solidFill>
          </w14:textFill>
        </w:rPr>
        <w:t>视同符合了资格条件，无需再向中小企业分包，无需提供分包意向协议</w:t>
      </w:r>
      <w:r>
        <w:rPr>
          <w:rFonts w:hint="eastAsia" w:ascii="宋体" w:hAnsi="宋体" w:eastAsia="宋体" w:cs="宋体"/>
          <w:color w:val="000000" w:themeColor="text1"/>
          <w:sz w:val="24"/>
          <w:highlight w:val="none"/>
          <w14:textFill>
            <w14:solidFill>
              <w14:schemeClr w14:val="tx1"/>
            </w14:solidFill>
          </w14:textFill>
        </w:rPr>
        <w:t>；</w:t>
      </w:r>
    </w:p>
    <w:p w14:paraId="3D49BF0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4.本项目的特定资格要求：无；</w:t>
      </w:r>
    </w:p>
    <w:p w14:paraId="6F43CE79">
      <w:pPr>
        <w:spacing w:line="360" w:lineRule="auto"/>
        <w:ind w:firstLine="480" w:firstLineChars="200"/>
        <w:rPr>
          <w:rStyle w:val="18"/>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F1B29C">
      <w:pPr>
        <w:spacing w:line="360" w:lineRule="auto"/>
        <w:rPr>
          <w:rStyle w:val="18"/>
          <w:rFonts w:hint="eastAsia" w:ascii="宋体" w:hAnsi="宋体" w:eastAsia="宋体" w:cs="宋体"/>
          <w:b/>
          <w:bCs/>
          <w:color w:val="000000" w:themeColor="text1"/>
          <w:sz w:val="24"/>
          <w:szCs w:val="24"/>
          <w:highlight w:val="none"/>
          <w14:textFill>
            <w14:solidFill>
              <w14:schemeClr w14:val="tx1"/>
            </w14:solidFill>
          </w14:textFill>
        </w:rPr>
      </w:pPr>
      <w:r>
        <w:rPr>
          <w:rStyle w:val="18"/>
          <w:rFonts w:hint="eastAsia" w:ascii="宋体" w:hAnsi="宋体" w:eastAsia="宋体" w:cs="宋体"/>
          <w:b/>
          <w:bCs/>
          <w:color w:val="000000" w:themeColor="text1"/>
          <w:sz w:val="24"/>
          <w:szCs w:val="24"/>
          <w:highlight w:val="none"/>
          <w14:textFill>
            <w14:solidFill>
              <w14:schemeClr w14:val="tx1"/>
            </w14:solidFill>
          </w14:textFill>
        </w:rPr>
        <w:t>三、获取（下载）采购文件</w:t>
      </w:r>
    </w:p>
    <w:p w14:paraId="4400778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lang w:eastAsia="zh-CN"/>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lang w:eastAsia="zh-CN"/>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0C3EA8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lang w:eastAsia="zh-CN"/>
          <w14:textFill>
            <w14:solidFill>
              <w14:schemeClr w14:val="tx1"/>
            </w14:solidFill>
          </w14:textFill>
        </w:rPr>
        <w:t>杭州市教育局非依法招标（小额）项目平台</w:t>
      </w:r>
      <w:r>
        <w:rPr>
          <w:rFonts w:hint="eastAsia" w:ascii="宋体" w:hAnsi="宋体" w:eastAsia="宋体" w:cs="宋体"/>
          <w:color w:val="000000" w:themeColor="text1"/>
          <w:sz w:val="24"/>
          <w:highlight w:val="none"/>
          <w14:textFill>
            <w14:solidFill>
              <w14:schemeClr w14:val="tx1"/>
            </w14:solidFill>
          </w14:textFill>
        </w:rPr>
        <w:t xml:space="preserve">线上获取 </w:t>
      </w:r>
    </w:p>
    <w:p w14:paraId="358345C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方式：供</w:t>
      </w:r>
      <w:r>
        <w:rPr>
          <w:rFonts w:hint="eastAsia" w:ascii="宋体" w:hAnsi="宋体" w:eastAsia="宋体" w:cs="宋体"/>
          <w:color w:val="000000" w:themeColor="text1"/>
          <w:sz w:val="24"/>
          <w:highlight w:val="none"/>
          <w14:textFill>
            <w14:solidFill>
              <w14:schemeClr w14:val="tx1"/>
            </w14:solidFill>
          </w14:textFill>
        </w:rPr>
        <w:t>应商登录</w:t>
      </w:r>
      <w:r>
        <w:rPr>
          <w:rFonts w:hint="eastAsia" w:ascii="宋体" w:hAnsi="宋体" w:cs="宋体"/>
          <w:color w:val="000000" w:themeColor="text1"/>
          <w:sz w:val="24"/>
          <w:highlight w:val="none"/>
          <w:lang w:eastAsia="zh-CN"/>
          <w14:textFill>
            <w14:solidFill>
              <w14:schemeClr w14:val="tx1"/>
            </w14:solidFill>
          </w14:textFill>
        </w:rPr>
        <w:t>杭州市教育局非依法招标（小额）项目平台</w:t>
      </w:r>
      <w:r>
        <w:rPr>
          <w:rFonts w:hint="eastAsia" w:ascii="宋体" w:hAnsi="宋体" w:eastAsia="宋体" w:cs="宋体"/>
          <w:color w:val="000000" w:themeColor="text1"/>
          <w:sz w:val="24"/>
          <w:highlight w:val="none"/>
          <w14:textFill>
            <w14:solidFill>
              <w14:schemeClr w14:val="tx1"/>
            </w14:solidFill>
          </w14:textFill>
        </w:rPr>
        <w:t>https://hzjyg.lecaiyun.com/在线申请获取采购文件（进入“项目采购”应用，在获取采购文件菜单中选择项目，申请获取采购文件）</w:t>
      </w:r>
    </w:p>
    <w:p w14:paraId="572336F3">
      <w:pPr>
        <w:spacing w:line="360" w:lineRule="auto"/>
        <w:ind w:firstLine="480" w:firstLineChars="20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 xml:space="preserve">售价（元）：0 </w:t>
      </w:r>
    </w:p>
    <w:p w14:paraId="483DDC6A">
      <w:pPr>
        <w:spacing w:line="360" w:lineRule="auto"/>
        <w:rPr>
          <w:rStyle w:val="18"/>
          <w:rFonts w:hint="eastAsia" w:ascii="宋体" w:hAnsi="宋体" w:eastAsia="宋体" w:cs="宋体"/>
          <w:b w:val="0"/>
          <w:bCs w:val="0"/>
          <w:color w:val="000000" w:themeColor="text1"/>
          <w:sz w:val="27"/>
          <w:szCs w:val="27"/>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四、响应文件提交（上传）</w:t>
      </w:r>
      <w:r>
        <w:rPr>
          <w:rStyle w:val="18"/>
          <w:rFonts w:hint="eastAsia" w:ascii="宋体" w:hAnsi="宋体" w:eastAsia="宋体" w:cs="宋体"/>
          <w:b w:val="0"/>
          <w:bCs w:val="0"/>
          <w:color w:val="000000" w:themeColor="text1"/>
          <w:sz w:val="27"/>
          <w:szCs w:val="27"/>
          <w:highlight w:val="none"/>
          <w14:textFill>
            <w14:solidFill>
              <w14:schemeClr w14:val="tx1"/>
            </w14:solidFill>
          </w14:textFill>
        </w:rPr>
        <w:t> </w:t>
      </w:r>
    </w:p>
    <w:p w14:paraId="1336BEE6">
      <w:pPr>
        <w:spacing w:line="360" w:lineRule="auto"/>
        <w:ind w:firstLine="424" w:firstLineChars="177"/>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截止时间：</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9:30</w:t>
      </w:r>
      <w:r>
        <w:rPr>
          <w:rFonts w:hint="eastAsia" w:ascii="宋体" w:hAnsi="宋体" w:eastAsia="宋体" w:cs="宋体"/>
          <w:snapToGrid w:val="0"/>
          <w:color w:val="000000" w:themeColor="text1"/>
          <w:kern w:val="28"/>
          <w:sz w:val="24"/>
          <w:szCs w:val="20"/>
          <w:highlight w:val="none"/>
          <w14:textFill>
            <w14:solidFill>
              <w14:schemeClr w14:val="tx1"/>
            </w14:solidFill>
          </w14:textFill>
        </w:rPr>
        <w:t>（北京时间）</w:t>
      </w:r>
    </w:p>
    <w:p w14:paraId="33E5045A">
      <w:pPr>
        <w:spacing w:line="360" w:lineRule="auto"/>
        <w:ind w:firstLine="424" w:firstLineChars="177"/>
        <w:jc w:val="both"/>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地点（网址）：</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杭州市教育局非依法招标（小额）项目平台，</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https://hzjyg.lecaiyun.com/</w:t>
      </w:r>
    </w:p>
    <w:p w14:paraId="0FA79E9F">
      <w:pPr>
        <w:spacing w:line="360" w:lineRule="auto"/>
        <w:rPr>
          <w:rStyle w:val="18"/>
          <w:rFonts w:hint="eastAsia" w:ascii="宋体" w:hAnsi="宋体" w:eastAsia="宋体" w:cs="宋体"/>
          <w:b w:val="0"/>
          <w:bCs w:val="0"/>
          <w:color w:val="000000" w:themeColor="text1"/>
          <w:sz w:val="27"/>
          <w:szCs w:val="27"/>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五、响应文件开启</w:t>
      </w:r>
      <w:r>
        <w:rPr>
          <w:rStyle w:val="18"/>
          <w:rFonts w:hint="eastAsia" w:ascii="宋体" w:hAnsi="宋体" w:eastAsia="宋体" w:cs="宋体"/>
          <w:b w:val="0"/>
          <w:bCs w:val="0"/>
          <w:color w:val="000000" w:themeColor="text1"/>
          <w:sz w:val="27"/>
          <w:szCs w:val="27"/>
          <w:highlight w:val="none"/>
          <w14:textFill>
            <w14:solidFill>
              <w14:schemeClr w14:val="tx1"/>
            </w14:solidFill>
          </w14:textFill>
        </w:rPr>
        <w:t> </w:t>
      </w:r>
    </w:p>
    <w:p w14:paraId="57C183A9">
      <w:pPr>
        <w:spacing w:line="360" w:lineRule="auto"/>
        <w:ind w:firstLine="424" w:firstLineChars="177"/>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开启时间：</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9:30（</w:t>
      </w:r>
      <w:r>
        <w:rPr>
          <w:rFonts w:hint="eastAsia" w:ascii="宋体" w:hAnsi="宋体" w:eastAsia="宋体" w:cs="宋体"/>
          <w:snapToGrid w:val="0"/>
          <w:color w:val="000000" w:themeColor="text1"/>
          <w:kern w:val="28"/>
          <w:sz w:val="24"/>
          <w:szCs w:val="20"/>
          <w:highlight w:val="none"/>
          <w14:textFill>
            <w14:solidFill>
              <w14:schemeClr w14:val="tx1"/>
            </w14:solidFill>
          </w14:textFill>
        </w:rPr>
        <w:t>北京时间）</w:t>
      </w:r>
    </w:p>
    <w:p w14:paraId="441802FB">
      <w:pPr>
        <w:spacing w:line="360" w:lineRule="auto"/>
        <w:ind w:firstLine="424" w:firstLineChars="177"/>
        <w:jc w:val="both"/>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地点（网址）：</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杭州市教育局非依法招标（小额）项目平台</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https://hzjyg.lecaiyun.com/</w:t>
      </w:r>
    </w:p>
    <w:p w14:paraId="0A2C5BC8">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六、公告期限</w:t>
      </w:r>
    </w:p>
    <w:p w14:paraId="5ACBF70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自本公告发布之日起3个工作日。</w:t>
      </w:r>
    </w:p>
    <w:p w14:paraId="0D76CA06">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七、其他补充事宜</w:t>
      </w:r>
    </w:p>
    <w:p w14:paraId="79C1C59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（1）需要落实的政府采购政策：包括节约资源、保护环境、支持创新、促进中小企业发展等。详见招标文件的第二部分总则。</w:t>
      </w:r>
    </w:p>
    <w:p w14:paraId="5BD0440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w:t>
      </w:r>
      <w:r>
        <w:rPr>
          <w:rFonts w:hint="eastAsia" w:ascii="宋体" w:hAnsi="宋体" w:cs="宋体"/>
          <w:color w:val="000000" w:themeColor="text1"/>
          <w:sz w:val="24"/>
          <w:highlight w:val="none"/>
          <w:lang w:eastAsia="zh-CN"/>
          <w14:textFill>
            <w14:solidFill>
              <w14:schemeClr w14:val="tx1"/>
            </w14:solidFill>
          </w14:textFill>
        </w:rPr>
        <w:t>杭州市教育局非依法招标（小额）项目平台</w:t>
      </w:r>
      <w:r>
        <w:rPr>
          <w:rFonts w:hint="eastAsia" w:ascii="宋体" w:hAnsi="宋体" w:eastAsia="宋体" w:cs="宋体"/>
          <w:color w:val="000000" w:themeColor="text1"/>
          <w:sz w:val="24"/>
          <w:highlight w:val="none"/>
          <w14:textFill>
            <w14:solidFill>
              <w14:schemeClr w14:val="tx1"/>
            </w14:solidFill>
          </w14:textFill>
        </w:rPr>
        <w:t>；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w:t>
      </w:r>
      <w:r>
        <w:rPr>
          <w:rFonts w:hint="eastAsia" w:ascii="宋体" w:hAnsi="宋体" w:cs="宋体"/>
          <w:color w:val="000000" w:themeColor="text1"/>
          <w:sz w:val="24"/>
          <w:highlight w:val="none"/>
          <w:lang w:eastAsia="zh-CN"/>
          <w14:textFill>
            <w14:solidFill>
              <w14:schemeClr w14:val="tx1"/>
            </w14:solidFill>
          </w14:textFill>
        </w:rPr>
        <w:t>杭州市教育局非依法招标（小额）项目平台</w:t>
      </w:r>
      <w:r>
        <w:rPr>
          <w:rFonts w:hint="eastAsia" w:ascii="宋体" w:hAnsi="宋体" w:eastAsia="宋体" w:cs="宋体"/>
          <w:color w:val="000000" w:themeColor="text1"/>
          <w:sz w:val="24"/>
          <w:highlight w:val="none"/>
          <w14:textFill>
            <w14:solidFill>
              <w14:schemeClr w14:val="tx1"/>
            </w14:solidFill>
          </w14:textFill>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5130B56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（3）招标文件公告期限与招标公告的公告期限一致。</w:t>
      </w:r>
    </w:p>
    <w:p w14:paraId="0EC9684D">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八、对本次采购提出询问、质疑、投诉，请按以下方式联系</w:t>
      </w:r>
    </w:p>
    <w:p w14:paraId="033B222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1.采购人信息</w:t>
      </w:r>
    </w:p>
    <w:p w14:paraId="7CBDD341">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杭州市教育发展服务中心</w:t>
      </w:r>
    </w:p>
    <w:p w14:paraId="64C48772">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lang w:eastAsia="zh-CN"/>
          <w14:textFill>
            <w14:solidFill>
              <w14:schemeClr w14:val="tx1"/>
            </w14:solidFill>
          </w14:textFill>
        </w:rPr>
        <w:t>杭州市拱墅区东新路重机巷56号</w:t>
      </w:r>
    </w:p>
    <w:p w14:paraId="0E57DC7E">
      <w:pPr>
        <w:widowControl/>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 xml:space="preserve">联系人: </w:t>
      </w:r>
      <w:r>
        <w:rPr>
          <w:rFonts w:hint="eastAsia" w:ascii="宋体" w:hAnsi="宋体" w:cs="宋体"/>
          <w:bCs/>
          <w:color w:val="000000" w:themeColor="text1"/>
          <w:kern w:val="0"/>
          <w:sz w:val="24"/>
          <w:highlight w:val="none"/>
          <w:lang w:val="en-US" w:eastAsia="zh-CN"/>
          <w14:textFill>
            <w14:solidFill>
              <w14:schemeClr w14:val="tx1"/>
            </w14:solidFill>
          </w14:textFill>
        </w:rPr>
        <w:t>娄老师</w:t>
      </w:r>
      <w:r>
        <w:rPr>
          <w:rFonts w:hint="eastAsia" w:ascii="宋体" w:hAnsi="宋体" w:cs="宋体"/>
          <w:bCs/>
          <w:color w:val="000000" w:themeColor="text1"/>
          <w:kern w:val="0"/>
          <w:sz w:val="24"/>
          <w:highlight w:val="none"/>
          <w14:textFill>
            <w14:solidFill>
              <w14:schemeClr w14:val="tx1"/>
            </w14:solidFill>
          </w14:textFill>
        </w:rPr>
        <w:t xml:space="preserve"> </w:t>
      </w:r>
    </w:p>
    <w:p w14:paraId="54141582">
      <w:pPr>
        <w:widowControl/>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联系电话：0571-85886276</w:t>
      </w:r>
      <w:r>
        <w:rPr>
          <w:rFonts w:ascii="宋体" w:hAnsi="宋体" w:cs="宋体"/>
          <w:bCs/>
          <w:color w:val="000000" w:themeColor="text1"/>
          <w:kern w:val="0"/>
          <w:sz w:val="24"/>
          <w:highlight w:val="none"/>
          <w14:textFill>
            <w14:solidFill>
              <w14:schemeClr w14:val="tx1"/>
            </w14:solidFill>
          </w14:textFill>
        </w:rPr>
        <w:t xml:space="preserve"> </w:t>
      </w:r>
    </w:p>
    <w:p w14:paraId="32FA40D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w:t>
      </w:r>
    </w:p>
    <w:p w14:paraId="329E4359">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浙江省房地产管理咨询有限公司</w:t>
      </w:r>
    </w:p>
    <w:p w14:paraId="2D9AC374">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址：杭州市</w:t>
      </w:r>
      <w:r>
        <w:rPr>
          <w:rFonts w:hint="eastAsia" w:ascii="宋体" w:hAnsi="宋体" w:cs="宋体"/>
          <w:color w:val="000000" w:themeColor="text1"/>
          <w:sz w:val="24"/>
          <w:highlight w:val="none"/>
          <w:lang w:val="en-US" w:eastAsia="zh-CN"/>
          <w14:textFill>
            <w14:solidFill>
              <w14:schemeClr w14:val="tx1"/>
            </w14:solidFill>
          </w14:textFill>
        </w:rPr>
        <w:t>拱墅区</w:t>
      </w:r>
      <w:r>
        <w:rPr>
          <w:rFonts w:hint="eastAsia" w:ascii="宋体" w:hAnsi="宋体" w:eastAsia="宋体" w:cs="宋体"/>
          <w:color w:val="000000" w:themeColor="text1"/>
          <w:sz w:val="24"/>
          <w:highlight w:val="none"/>
          <w14:textFill>
            <w14:solidFill>
              <w14:schemeClr w14:val="tx1"/>
            </w14:solidFill>
          </w14:textFill>
        </w:rPr>
        <w:t>文晖路42号现代置业大厦西楼</w:t>
      </w:r>
      <w:r>
        <w:rPr>
          <w:rFonts w:hint="eastAsia" w:ascii="宋体" w:hAnsi="宋体" w:eastAsia="宋体" w:cs="宋体"/>
          <w:color w:val="000000" w:themeColor="text1"/>
          <w:sz w:val="24"/>
          <w:highlight w:val="none"/>
          <w:lang w:val="en-US" w:eastAsia="zh-CN"/>
          <w14:textFill>
            <w14:solidFill>
              <w14:schemeClr w14:val="tx1"/>
            </w14:solidFill>
          </w14:textFill>
        </w:rPr>
        <w:t>1301</w:t>
      </w:r>
    </w:p>
    <w:p w14:paraId="1F0D0EA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项目联系人（询问）：王莎莎</w:t>
      </w:r>
    </w:p>
    <w:p w14:paraId="5CF30DD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w:t>
      </w:r>
      <w:r>
        <w:rPr>
          <w:rFonts w:hint="eastAsia" w:ascii="宋体" w:hAnsi="宋体" w:eastAsia="宋体" w:cs="宋体"/>
          <w:bCs/>
          <w:color w:val="000000" w:themeColor="text1"/>
          <w:kern w:val="0"/>
          <w:sz w:val="24"/>
          <w:highlight w:val="none"/>
          <w14:textFill>
            <w14:solidFill>
              <w14:schemeClr w14:val="tx1"/>
            </w14:solidFill>
          </w14:textFill>
        </w:rPr>
        <w:t>18767146095</w:t>
      </w:r>
    </w:p>
    <w:p w14:paraId="4090E1D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质疑联系人：赵工</w:t>
      </w:r>
    </w:p>
    <w:p w14:paraId="31F219A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质疑联系方式：13757196173</w:t>
      </w:r>
    </w:p>
    <w:p w14:paraId="4959D1D8">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p>
    <w:p w14:paraId="632049FA">
      <w:pPr>
        <w:widowControl/>
        <w:adjustRightInd/>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若对项目采购电子交易系统操作有疑问，可登录乐采云（https://hzjyg.lecaiyun.com），点击右侧咨询小采，获取采小蜜智能服务管家帮助，或拨打乐采云服务热线95763获取热线服务帮助。       </w:t>
      </w:r>
    </w:p>
    <w:p w14:paraId="7D91DBD3">
      <w:pPr>
        <w:widowControl/>
        <w:adjustRightInd/>
        <w:spacing w:line="360" w:lineRule="auto"/>
        <w:jc w:val="left"/>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r>
        <w:rPr>
          <w:rFonts w:hint="eastAsia" w:ascii="宋体" w:hAnsi="宋体" w:eastAsia="宋体" w:cs="宋体"/>
          <w:b/>
          <w:color w:val="000000" w:themeColor="text1"/>
          <w:sz w:val="36"/>
          <w:szCs w:val="20"/>
          <w:highlight w:val="none"/>
          <w14:textFill>
            <w14:solidFill>
              <w14:schemeClr w14:val="tx1"/>
            </w14:solidFill>
          </w14:textFill>
        </w:rPr>
        <w:br w:type="page"/>
      </w:r>
    </w:p>
    <w:p w14:paraId="439C2193">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 竞争性磋商流程</w:t>
      </w:r>
    </w:p>
    <w:p w14:paraId="741041F4">
      <w:pPr>
        <w:pStyle w:val="22"/>
        <w:spacing w:before="0"/>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1.征集供应商</w:t>
      </w:r>
    </w:p>
    <w:p w14:paraId="547E344E">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1.1邀请供应商。</w:t>
      </w:r>
    </w:p>
    <w:p w14:paraId="2FED5A43">
      <w:pPr>
        <w:pStyle w:val="22"/>
        <w:numPr>
          <w:ilvl w:val="0"/>
          <w:numId w:val="1"/>
        </w:numPr>
        <w:spacing w:before="0"/>
        <w:ind w:firstLineChars="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采用公告方式邀请供应商的，</w:t>
      </w:r>
      <w:r>
        <w:rPr>
          <w:rFonts w:hint="eastAsia" w:ascii="宋体" w:hAnsi="宋体" w:eastAsia="宋体" w:cs="宋体"/>
          <w:color w:val="000000" w:themeColor="text1"/>
          <w:szCs w:val="24"/>
          <w:highlight w:val="none"/>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14:paraId="3FE477EC">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1.2供应商获取磋商文件。</w:t>
      </w:r>
    </w:p>
    <w:p w14:paraId="583207F1">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1.3组织现场考察或召开答疑会（如果有）。</w:t>
      </w:r>
    </w:p>
    <w:p w14:paraId="3EF9F78F">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1.4发布更正（延期）公告，澄清或修改磋商文件（如果有）。</w:t>
      </w:r>
    </w:p>
    <w:p w14:paraId="6C6AD3A6">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1.5供应商按磋商文件要求编制响应文件。</w:t>
      </w:r>
    </w:p>
    <w:p w14:paraId="1C448CA2">
      <w:pPr>
        <w:pStyle w:val="22"/>
        <w:spacing w:before="0"/>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2.响应文件开启与信用信息查询</w:t>
      </w:r>
    </w:p>
    <w:p w14:paraId="29684E0F">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0727075C">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2.2</w:t>
      </w:r>
      <w:r>
        <w:rPr>
          <w:rFonts w:hint="eastAsia" w:ascii="宋体" w:hAnsi="宋体" w:eastAsia="宋体" w:cs="宋体"/>
          <w:color w:val="000000" w:themeColor="text1"/>
          <w:kern w:val="0"/>
          <w:szCs w:val="24"/>
          <w:highlight w:val="none"/>
          <w14:textFill>
            <w14:solidFill>
              <w14:schemeClr w14:val="tx1"/>
            </w14:solidFill>
          </w14:textFill>
        </w:rPr>
        <w:t>采购代理机构将通过“信用中国”网站(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20"/>
          <w:rFonts w:hint="eastAsia" w:ascii="宋体" w:hAnsi="宋体" w:eastAsia="宋体" w:cs="宋体"/>
          <w:color w:val="000000" w:themeColor="text1"/>
          <w:szCs w:val="24"/>
          <w:highlight w:val="none"/>
          <w14:textFill>
            <w14:solidFill>
              <w14:schemeClr w14:val="tx1"/>
            </w14:solidFill>
          </w14:textFill>
        </w:rPr>
        <w:t>www.creditchina.gov.cn</w:t>
      </w:r>
      <w:r>
        <w:rPr>
          <w:rStyle w:val="20"/>
          <w:rFonts w:hint="eastAsia" w:ascii="宋体" w:hAnsi="宋体" w:eastAsia="宋体" w:cs="宋体"/>
          <w:color w:val="000000" w:themeColor="text1"/>
          <w:szCs w:val="24"/>
          <w:highlight w:val="none"/>
          <w14:textFill>
            <w14:solidFill>
              <w14:schemeClr w14:val="tx1"/>
            </w14:solidFill>
          </w14:textFill>
        </w:rPr>
        <w:fldChar w:fldCharType="end"/>
      </w:r>
      <w:r>
        <w:rPr>
          <w:rFonts w:hint="eastAsia" w:ascii="宋体" w:hAnsi="宋体" w:eastAsia="宋体" w:cs="宋体"/>
          <w:color w:val="000000" w:themeColor="text1"/>
          <w:kern w:val="0"/>
          <w:szCs w:val="24"/>
          <w:highlight w:val="none"/>
          <w14:textFill>
            <w14:solidFill>
              <w14:schemeClr w14:val="tx1"/>
            </w14:solidFill>
          </w14:textFill>
        </w:rPr>
        <w:t>)和中国政府采购网(www.ccgp.gov.cn)渠道查询供应商响应截止时间当日的信用记录。</w:t>
      </w:r>
    </w:p>
    <w:p w14:paraId="4522575D">
      <w:pPr>
        <w:pStyle w:val="22"/>
        <w:spacing w:before="0"/>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3.磋商与评审</w:t>
      </w:r>
    </w:p>
    <w:p w14:paraId="4B535FE4">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3.1磋商小组签到。</w:t>
      </w:r>
    </w:p>
    <w:p w14:paraId="20595219">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3.2采购代理机构宣布有关纪律以及磋商、评审工作程序。</w:t>
      </w:r>
    </w:p>
    <w:p w14:paraId="4E4B7525">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3.3磋商小组审查确认磋商文件。磋商文件内容违反国家有关强制性规定的，磋商小组应当停止评审并向采购代理机构说明情况。</w:t>
      </w:r>
    </w:p>
    <w:p w14:paraId="318E5842">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3.4磋商小组对供应商的资格进行审查。</w:t>
      </w:r>
    </w:p>
    <w:p w14:paraId="726C8A2B">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3.5磋商小组审查响应文件。</w:t>
      </w:r>
    </w:p>
    <w:p w14:paraId="04372BF1">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3.6对于未实质性响应磋商文件的响应文件由磋商小组认定响应无效，并告知该供应商。</w:t>
      </w:r>
    </w:p>
    <w:p w14:paraId="2493B05C">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6E77348">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3.8磋商小组与符合要求的供应商进行磋商。磋商小组所有成员与单一供应商分别进行磋商（以发送磋商函的形式），并给予所有参加磋商的供应商平等的磋商机会。磋商过程中，磋商小组可以根据磋商情况调整轮次。在最终轮磋商截止时间后未回复磋商函的或对磋商内容不响应的视为退出磋商。</w:t>
      </w:r>
    </w:p>
    <w:p w14:paraId="3FA96325">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5A514911">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3.10 供应商应当按照磋商文件的变动情况及磋商小组的要求通过电子交易平台重新提交响应文件和最后报价。已提交响应文件的供应商，在提交最后报价之前，可以根据磋商情况退出磋商。如供应商未按磋商小组的要求在规定的时间内提交最后报价的，视为退出磋商。</w:t>
      </w:r>
    </w:p>
    <w:p w14:paraId="471EDFB4">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3.11磋商小组按照下列方式确定提交最后报价的供应商，有特殊规定的从其规定：</w:t>
      </w:r>
    </w:p>
    <w:p w14:paraId="1F95920A">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4B504160">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8BFF2D5">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3.12确定进入最后报价的供应商在规定时间内提交最后报价。</w:t>
      </w:r>
    </w:p>
    <w:p w14:paraId="75ADA2DC">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3.13采购代理机构唱价。</w:t>
      </w:r>
    </w:p>
    <w:p w14:paraId="3716418F">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FD63C18">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3.15磋商小组应当根据综合评分情况，按照评审得分由高到低顺序推荐3名成交候选供应商，并编写评审报告。</w:t>
      </w:r>
    </w:p>
    <w:p w14:paraId="671A3D12">
      <w:pPr>
        <w:pStyle w:val="22"/>
        <w:spacing w:before="0"/>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4. 成交</w:t>
      </w:r>
    </w:p>
    <w:p w14:paraId="2E3FC1A3">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E6724FA">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214EA33">
      <w:pPr>
        <w:pStyle w:val="22"/>
        <w:spacing w:before="0"/>
        <w:ind w:firstLine="0" w:firstLineChars="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5.合同及履约验收</w:t>
      </w:r>
    </w:p>
    <w:p w14:paraId="0C9287D8">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5.1采购人与成交供应商应当在成交通知书发出之日起10个工作日内签订政府采购合同。</w:t>
      </w:r>
    </w:p>
    <w:p w14:paraId="66088E8B">
      <w:pPr>
        <w:tabs>
          <w:tab w:val="left" w:pos="0"/>
        </w:tabs>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5.2成交供应商按照政策要求及合同约定缴纳履约保证金。</w:t>
      </w:r>
    </w:p>
    <w:p w14:paraId="6E707CAF">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5.3合同履约。</w:t>
      </w:r>
    </w:p>
    <w:p w14:paraId="2CB91AC5">
      <w:pPr>
        <w:pStyle w:val="2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5.4采购人组织验收。</w:t>
      </w:r>
    </w:p>
    <w:p w14:paraId="179BF51D">
      <w:pPr>
        <w:widowControl/>
        <w:adjustRightInd/>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14:paraId="5C2B27D4">
      <w:pPr>
        <w:pStyle w:val="22"/>
        <w:spacing w:before="0"/>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6.竞争性磋商流程图</w:t>
      </w:r>
    </w:p>
    <w:p w14:paraId="7FD751F2">
      <w:pPr>
        <w:pStyle w:val="22"/>
        <w:spacing w:before="0"/>
        <w:ind w:firstLine="0" w:firstLineChars="0"/>
        <w:rPr>
          <w:rFonts w:hint="eastAsia" w:ascii="宋体" w:hAnsi="宋体" w:eastAsia="宋体" w:cs="宋体"/>
          <w:b/>
          <w:color w:val="000000" w:themeColor="text1"/>
          <w:highlight w:val="none"/>
          <w14:textFill>
            <w14:solidFill>
              <w14:schemeClr w14:val="tx1"/>
            </w14:solidFill>
          </w14:textFill>
        </w:rPr>
      </w:pPr>
    </w:p>
    <w:p w14:paraId="35B1E6D3">
      <w:pPr>
        <w:widowControl/>
        <w:adjustRightInd/>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6E6C0D47">
      <w:pPr>
        <w:widowControl/>
        <w:adjustRightInd/>
        <w:jc w:val="left"/>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143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10B4E">
                            <w:pPr>
                              <w:rPr>
                                <w:rFonts w:asciiTheme="minorEastAsia" w:hAnsiTheme="minorEastAsia" w:eastAsiaTheme="minorEastAsia"/>
                              </w:rPr>
                            </w:pPr>
                            <w:r>
                              <w:rPr>
                                <w:rFonts w:hint="eastAsia" w:asciiTheme="minorEastAsia" w:hAnsiTheme="minorEastAsia" w:eastAsiaTheme="minorEastAsia"/>
                              </w:rPr>
                              <w:t>验收</w:t>
                            </w:r>
                          </w:p>
                          <w:p w14:paraId="562CCBC9">
                            <w:pPr>
                              <w:rPr>
                                <w:rFonts w:ascii="仿宋_GB2312" w:eastAsia="仿宋_GB2312"/>
                              </w:rPr>
                            </w:pPr>
                            <w:r>
                              <w:rPr>
                                <w:rFonts w:hint="eastAsia" w:ascii="仿宋_GB2312" w:eastAsia="仿宋_GB2312"/>
                              </w:rPr>
                              <w:t>立项</w:t>
                            </w:r>
                          </w:p>
                          <w:p w14:paraId="3CF47A6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4F4F2 [664]" filled="t" stroked="t" coordsize="21600,21600" o:gfxdata="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YTnFdkAAAALAQAADwAAAAAAAAABACAA&#10;AAAiAAAAZHJzL2Rvd25yZXYueG1sUEsBAhQAFAAAAAgAh07iQJ+2OWR+AgAA/QQAAA4AAAAAAAAA&#10;AQAgAAAAKAEAAGRycy9lMm9Eb2MueG1sUEsFBgAAAAAGAAYAWQEAABgGAAAAAA==&#10;">
                <v:fill on="t" focussize="0,0"/>
                <v:stroke weight="0.5pt" color="#000000 [3204]" joinstyle="round"/>
                <v:imagedata o:title=""/>
                <o:lock v:ext="edit" aspectratio="f"/>
                <v:textbox>
                  <w:txbxContent>
                    <w:p w14:paraId="4B410B4E">
                      <w:pPr>
                        <w:rPr>
                          <w:rFonts w:asciiTheme="minorEastAsia" w:hAnsiTheme="minorEastAsia" w:eastAsiaTheme="minorEastAsia"/>
                        </w:rPr>
                      </w:pPr>
                      <w:r>
                        <w:rPr>
                          <w:rFonts w:hint="eastAsia" w:asciiTheme="minorEastAsia" w:hAnsiTheme="minorEastAsia" w:eastAsiaTheme="minorEastAsia"/>
                        </w:rPr>
                        <w:t>验收</w:t>
                      </w:r>
                    </w:p>
                    <w:p w14:paraId="562CCBC9">
                      <w:pPr>
                        <w:rPr>
                          <w:rFonts w:ascii="仿宋_GB2312" w:eastAsia="仿宋_GB2312"/>
                        </w:rPr>
                      </w:pPr>
                      <w:r>
                        <w:rPr>
                          <w:rFonts w:hint="eastAsia" w:ascii="仿宋_GB2312" w:eastAsia="仿宋_GB2312"/>
                        </w:rPr>
                        <w:t>立项</w:t>
                      </w:r>
                    </w:p>
                    <w:p w14:paraId="3CF47A60">
                      <w:pPr>
                        <w:rPr>
                          <w:rFonts w:ascii="仿宋_GB2312" w:eastAsia="仿宋_GB2312"/>
                        </w:rPr>
                      </w:pPr>
                    </w:p>
                  </w:txbxContent>
                </v:textbox>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50800" t="0" r="60325" b="7620"/>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&#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K28d1wAAAAsBAAAPAAAAAAAAAAEAIAAAACIAAABk&#10;cnMvZG93bnJldi54bWxQSwECFAAUAAAACACHTuJAQx2gQAcCAADeAwAADgAAAAAAAAABACAAAAAm&#10;AQAAZHJzL2Uyb0RvYy54bWxQSwUGAAAAAAYABgBZAQAAnw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143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AEACF6">
                            <w:pPr>
                              <w:rPr>
                                <w:rFonts w:asciiTheme="minorEastAsia" w:hAnsiTheme="minorEastAsia" w:eastAsiaTheme="minorEastAsia"/>
                              </w:rPr>
                            </w:pPr>
                            <w:r>
                              <w:rPr>
                                <w:rFonts w:hint="eastAsia" w:asciiTheme="minorEastAsia" w:hAnsiTheme="minorEastAsia" w:eastAsiaTheme="minorEastAsia"/>
                              </w:rPr>
                              <w:t>履约</w:t>
                            </w:r>
                          </w:p>
                          <w:p w14:paraId="25BFD1D1">
                            <w:pPr>
                              <w:rPr>
                                <w:rFonts w:ascii="仿宋_GB2312" w:eastAsia="仿宋_GB2312"/>
                              </w:rPr>
                            </w:pPr>
                            <w:r>
                              <w:rPr>
                                <w:rFonts w:hint="eastAsia" w:ascii="仿宋_GB2312" w:eastAsia="仿宋_GB2312"/>
                              </w:rPr>
                              <w:t>立项</w:t>
                            </w:r>
                          </w:p>
                          <w:p w14:paraId="710A61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4F4F2 [664]" filled="t" stroked="t" coordsize="21600,21600" o:gfxdata="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iPeu/aAAAACwEAAA8AAAAAAAAAAQAg&#10;AAAAIgAAAGRycy9kb3ducmV2LnhtbFBLAQIUABQAAAAIAIdO4kBYUgfTfgIAAP0EAAAOAAAAAAAA&#10;AAEAIAAAACkBAABkcnMvZTJvRG9jLnhtbFBLBQYAAAAABgAGAFkBAAAZBgAAAAA=&#10;">
                <v:fill on="t" focussize="0,0"/>
                <v:stroke weight="0.5pt" color="#000000 [3204]" joinstyle="round"/>
                <v:imagedata o:title=""/>
                <o:lock v:ext="edit" aspectratio="f"/>
                <v:textbox>
                  <w:txbxContent>
                    <w:p w14:paraId="0FAEACF6">
                      <w:pPr>
                        <w:rPr>
                          <w:rFonts w:asciiTheme="minorEastAsia" w:hAnsiTheme="minorEastAsia" w:eastAsiaTheme="minorEastAsia"/>
                        </w:rPr>
                      </w:pPr>
                      <w:r>
                        <w:rPr>
                          <w:rFonts w:hint="eastAsia" w:asciiTheme="minorEastAsia" w:hAnsiTheme="minorEastAsia" w:eastAsiaTheme="minorEastAsia"/>
                        </w:rPr>
                        <w:t>履约</w:t>
                      </w:r>
                    </w:p>
                    <w:p w14:paraId="25BFD1D1">
                      <w:pPr>
                        <w:rPr>
                          <w:rFonts w:ascii="仿宋_GB2312" w:eastAsia="仿宋_GB2312"/>
                        </w:rPr>
                      </w:pPr>
                      <w:r>
                        <w:rPr>
                          <w:rFonts w:hint="eastAsia" w:ascii="仿宋_GB2312" w:eastAsia="仿宋_GB2312"/>
                        </w:rPr>
                        <w:t>立项</w:t>
                      </w:r>
                    </w:p>
                    <w:p w14:paraId="710A61C2">
                      <w:pPr>
                        <w:rPr>
                          <w:rFonts w:ascii="仿宋_GB2312" w:eastAsia="仿宋_GB2312"/>
                        </w:rPr>
                      </w:pPr>
                    </w:p>
                  </w:txbxContent>
                </v:textbox>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18415"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96D1E">
                            <w:pPr>
                              <w:jc w:val="center"/>
                              <w:rPr>
                                <w:rFonts w:asciiTheme="minorEastAsia" w:hAnsiTheme="minorEastAsia" w:eastAsiaTheme="minorEastAsia"/>
                              </w:rPr>
                            </w:pPr>
                            <w:r>
                              <w:rPr>
                                <w:rFonts w:hint="eastAsia" w:asciiTheme="minorEastAsia" w:hAnsiTheme="minorEastAsia" w:eastAsiaTheme="minorEastAsia"/>
                              </w:rPr>
                              <w:t>签订合同</w:t>
                            </w:r>
                          </w:p>
                          <w:p w14:paraId="5489FDDB">
                            <w:pPr>
                              <w:rPr>
                                <w:rFonts w:ascii="仿宋_GB2312" w:eastAsia="仿宋_GB2312"/>
                              </w:rPr>
                            </w:pPr>
                            <w:r>
                              <w:rPr>
                                <w:rFonts w:hint="eastAsia" w:ascii="仿宋_GB2312" w:eastAsia="仿宋_GB2312"/>
                              </w:rPr>
                              <w:t>立项</w:t>
                            </w:r>
                          </w:p>
                          <w:p w14:paraId="7E016B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4F4F2 [664]" filled="t" stroked="t" coordsize="21600,21600" o:gfxdata="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AP/ZvZAAAACwEAAA8AAAAAAAAAAQAgAAAA&#10;IgAAAGRycy9kb3ducmV2LnhtbFBLAQIUABQAAAAIAIdO4kCWkmpmfAIAAAAFAAAOAAAAAAAAAAEA&#10;IAAAACgBAABkcnMvZTJvRG9jLnhtbFBLBQYAAAAABgAGAFkBAAAWBgAAAAA=&#10;">
                <v:fill on="t" focussize="0,0"/>
                <v:stroke weight="0.5pt" color="#000000 [3204]" joinstyle="round"/>
                <v:imagedata o:title=""/>
                <o:lock v:ext="edit" aspectratio="f"/>
                <v:textbox>
                  <w:txbxContent>
                    <w:p w14:paraId="50D96D1E">
                      <w:pPr>
                        <w:jc w:val="center"/>
                        <w:rPr>
                          <w:rFonts w:asciiTheme="minorEastAsia" w:hAnsiTheme="minorEastAsia" w:eastAsiaTheme="minorEastAsia"/>
                        </w:rPr>
                      </w:pPr>
                      <w:r>
                        <w:rPr>
                          <w:rFonts w:hint="eastAsia" w:asciiTheme="minorEastAsia" w:hAnsiTheme="minorEastAsia" w:eastAsiaTheme="minorEastAsia"/>
                        </w:rPr>
                        <w:t>签订合同</w:t>
                      </w:r>
                    </w:p>
                    <w:p w14:paraId="5489FDDB">
                      <w:pPr>
                        <w:rPr>
                          <w:rFonts w:ascii="仿宋_GB2312" w:eastAsia="仿宋_GB2312"/>
                        </w:rPr>
                      </w:pPr>
                      <w:r>
                        <w:rPr>
                          <w:rFonts w:hint="eastAsia" w:ascii="仿宋_GB2312" w:eastAsia="仿宋_GB2312"/>
                        </w:rPr>
                        <w:t>立项</w:t>
                      </w:r>
                    </w:p>
                    <w:p w14:paraId="7E016B58">
                      <w:pPr>
                        <w:rPr>
                          <w:rFonts w:ascii="仿宋_GB2312" w:eastAsia="仿宋_GB2312"/>
                        </w:rPr>
                      </w:pPr>
                    </w:p>
                  </w:txbxContent>
                </v:textbox>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7145"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CF5434">
                            <w:pPr>
                              <w:rPr>
                                <w:rFonts w:asciiTheme="minorEastAsia" w:hAnsiTheme="minorEastAsia" w:eastAsiaTheme="minorEastAsia"/>
                              </w:rPr>
                            </w:pPr>
                            <w:r>
                              <w:rPr>
                                <w:rFonts w:hint="eastAsia" w:asciiTheme="minorEastAsia" w:hAnsiTheme="minorEastAsia" w:eastAsiaTheme="minorEastAsia"/>
                              </w:rPr>
                              <w:t>成交公告；成交通知书</w:t>
                            </w:r>
                          </w:p>
                          <w:p w14:paraId="6F9892EF">
                            <w:pPr>
                              <w:rPr>
                                <w:rFonts w:ascii="仿宋_GB2312" w:eastAsia="仿宋_GB2312"/>
                              </w:rPr>
                            </w:pPr>
                            <w:r>
                              <w:rPr>
                                <w:rFonts w:hint="eastAsia" w:ascii="仿宋_GB2312" w:eastAsia="仿宋_GB2312"/>
                              </w:rPr>
                              <w:t>立项</w:t>
                            </w:r>
                          </w:p>
                          <w:p w14:paraId="53F102C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4F4F2 [664]" filled="t" stroked="t" coordsize="21600,21600" o:gfxdata="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kBKDbYAAAACwEAAA8AAAAAAAAAAQAgAAAA&#10;IgAAAGRycy9kb3ducmV2LnhtbFBLAQIUABQAAAAIAIdO4kCUBq67fQIAAAAFAAAOAAAAAAAAAAEA&#10;IAAAACcBAABkcnMvZTJvRG9jLnhtbFBLBQYAAAAABgAGAFkBAAAWBgAAAAA=&#10;">
                <v:fill on="t" focussize="0,0"/>
                <v:stroke weight="0.5pt" color="#000000 [3204]" joinstyle="round"/>
                <v:imagedata o:title=""/>
                <o:lock v:ext="edit" aspectratio="f"/>
                <v:textbox>
                  <w:txbxContent>
                    <w:p w14:paraId="3CCF5434">
                      <w:pPr>
                        <w:rPr>
                          <w:rFonts w:asciiTheme="minorEastAsia" w:hAnsiTheme="minorEastAsia" w:eastAsiaTheme="minorEastAsia"/>
                        </w:rPr>
                      </w:pPr>
                      <w:r>
                        <w:rPr>
                          <w:rFonts w:hint="eastAsia" w:asciiTheme="minorEastAsia" w:hAnsiTheme="minorEastAsia" w:eastAsiaTheme="minorEastAsia"/>
                        </w:rPr>
                        <w:t>成交公告；成交通知书</w:t>
                      </w:r>
                    </w:p>
                    <w:p w14:paraId="6F9892EF">
                      <w:pPr>
                        <w:rPr>
                          <w:rFonts w:ascii="仿宋_GB2312" w:eastAsia="仿宋_GB2312"/>
                        </w:rPr>
                      </w:pPr>
                      <w:r>
                        <w:rPr>
                          <w:rFonts w:hint="eastAsia" w:ascii="仿宋_GB2312" w:eastAsia="仿宋_GB2312"/>
                        </w:rPr>
                        <w:t>立项</w:t>
                      </w:r>
                    </w:p>
                    <w:p w14:paraId="53F102C8">
                      <w:pPr>
                        <w:rPr>
                          <w:rFonts w:ascii="仿宋_GB2312" w:eastAsia="仿宋_GB2312"/>
                        </w:rPr>
                      </w:pPr>
                    </w:p>
                  </w:txbxContent>
                </v:textbox>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18415"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16C0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3A33D3B">
                            <w:pPr>
                              <w:rPr>
                                <w:rFonts w:ascii="仿宋_GB2312" w:eastAsia="仿宋_GB2312"/>
                              </w:rPr>
                            </w:pPr>
                            <w:r>
                              <w:rPr>
                                <w:rFonts w:hint="eastAsia" w:ascii="仿宋_GB2312" w:eastAsia="仿宋_GB2312"/>
                              </w:rPr>
                              <w:t>立项</w:t>
                            </w:r>
                          </w:p>
                          <w:p w14:paraId="3940CD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4F4F2 [664]" filled="t" stroked="t" coordsize="21600,21600" o:gfxdata="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LgbntoAAAALAQAADwAAAAAAAAABACAA&#10;AAAiAAAAZHJzL2Rvd25yZXYueG1sUEsBAhQAFAAAAAgAh07iQPz6Zgl9AgAAAAUAAA4AAAAAAAAA&#10;AQAgAAAAKQEAAGRycy9lMm9Eb2MueG1sUEsFBgAAAAAGAAYAWQEAABgGAAAAAA==&#10;">
                <v:fill on="t" focussize="0,0"/>
                <v:stroke weight="0.5pt" color="#000000 [3204]" joinstyle="round"/>
                <v:imagedata o:title=""/>
                <o:lock v:ext="edit" aspectratio="f"/>
                <v:textbox>
                  <w:txbxContent>
                    <w:p w14:paraId="06716C0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3A33D3B">
                      <w:pPr>
                        <w:rPr>
                          <w:rFonts w:ascii="仿宋_GB2312" w:eastAsia="仿宋_GB2312"/>
                        </w:rPr>
                      </w:pPr>
                      <w:r>
                        <w:rPr>
                          <w:rFonts w:hint="eastAsia" w:ascii="仿宋_GB2312" w:eastAsia="仿宋_GB2312"/>
                        </w:rPr>
                        <w:t>立项</w:t>
                      </w:r>
                    </w:p>
                    <w:p w14:paraId="3940CD24">
                      <w:pPr>
                        <w:rPr>
                          <w:rFonts w:ascii="仿宋_GB2312" w:eastAsia="仿宋_GB2312"/>
                        </w:rPr>
                      </w:pPr>
                    </w:p>
                  </w:txbxContent>
                </v:textbox>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17780"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75285C">
                            <w:pPr>
                              <w:jc w:val="center"/>
                              <w:rPr>
                                <w:rFonts w:asciiTheme="minorEastAsia" w:hAnsiTheme="minorEastAsia" w:eastAsiaTheme="minorEastAsia"/>
                              </w:rPr>
                            </w:pPr>
                            <w:r>
                              <w:rPr>
                                <w:rFonts w:hint="eastAsia" w:asciiTheme="minorEastAsia" w:hAnsiTheme="minorEastAsia" w:eastAsiaTheme="minorEastAsia"/>
                              </w:rPr>
                              <w:t>评审打分</w:t>
                            </w:r>
                          </w:p>
                          <w:p w14:paraId="3BDCC8EF">
                            <w:pPr>
                              <w:rPr>
                                <w:rFonts w:ascii="仿宋_GB2312" w:eastAsia="仿宋_GB2312"/>
                              </w:rPr>
                            </w:pPr>
                            <w:r>
                              <w:rPr>
                                <w:rFonts w:hint="eastAsia" w:ascii="仿宋_GB2312" w:eastAsia="仿宋_GB2312"/>
                              </w:rPr>
                              <w:t>立项</w:t>
                            </w:r>
                          </w:p>
                          <w:p w14:paraId="3807DB0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4F4F2 [664]" filled="t" stroked="t" coordsize="21600,21600" o:gfxdata="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cQYEd2QAAAAsBAAAPAAAAAAAAAAEAIAAAACIA&#10;AABkcnMvZG93bnJldi54bWxQSwECFAAUAAAACACHTuJAzZe64noCAAAABQAADgAAAAAAAAABACAA&#10;AAAoAQAAZHJzL2Uyb0RvYy54bWxQSwUGAAAAAAYABgBZAQAAFAYAAAAA&#10;">
                <v:fill on="t" focussize="0,0"/>
                <v:stroke weight="0.5pt" color="#000000 [3204]" joinstyle="round"/>
                <v:imagedata o:title=""/>
                <o:lock v:ext="edit" aspectratio="f"/>
                <v:textbox>
                  <w:txbxContent>
                    <w:p w14:paraId="3575285C">
                      <w:pPr>
                        <w:jc w:val="center"/>
                        <w:rPr>
                          <w:rFonts w:asciiTheme="minorEastAsia" w:hAnsiTheme="minorEastAsia" w:eastAsiaTheme="minorEastAsia"/>
                        </w:rPr>
                      </w:pPr>
                      <w:r>
                        <w:rPr>
                          <w:rFonts w:hint="eastAsia" w:asciiTheme="minorEastAsia" w:hAnsiTheme="minorEastAsia" w:eastAsiaTheme="minorEastAsia"/>
                        </w:rPr>
                        <w:t>评审打分</w:t>
                      </w:r>
                    </w:p>
                    <w:p w14:paraId="3BDCC8EF">
                      <w:pPr>
                        <w:rPr>
                          <w:rFonts w:ascii="仿宋_GB2312" w:eastAsia="仿宋_GB2312"/>
                        </w:rPr>
                      </w:pPr>
                      <w:r>
                        <w:rPr>
                          <w:rFonts w:hint="eastAsia" w:ascii="仿宋_GB2312" w:eastAsia="仿宋_GB2312"/>
                        </w:rPr>
                        <w:t>立项</w:t>
                      </w:r>
                    </w:p>
                    <w:p w14:paraId="3807DB02">
                      <w:pPr>
                        <w:rPr>
                          <w:rFonts w:ascii="仿宋_GB2312" w:eastAsia="仿宋_GB2312"/>
                        </w:rPr>
                      </w:pPr>
                    </w:p>
                  </w:txbxContent>
                </v:textbox>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18415"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6CB3F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6383A8">
                            <w:pPr>
                              <w:rPr>
                                <w:rFonts w:ascii="仿宋_GB2312" w:eastAsia="仿宋_GB2312"/>
                              </w:rPr>
                            </w:pPr>
                            <w:r>
                              <w:rPr>
                                <w:rFonts w:hint="eastAsia" w:ascii="仿宋_GB2312" w:eastAsia="仿宋_GB2312"/>
                              </w:rPr>
                              <w:t>立项</w:t>
                            </w:r>
                          </w:p>
                          <w:p w14:paraId="413608E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4F4F2 [664]" filled="t" stroked="t" coordsize="21600,21600" o:gfxdata="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4BQd42AAAAAsBAAAPAAAAAAAAAAEAIAAA&#10;ACIAAABkcnMvZG93bnJldi54bWxQSwECFAAUAAAACACHTuJAUCmf7n4CAAAABQAADgAAAAAAAAAB&#10;ACAAAAAnAQAAZHJzL2Uyb0RvYy54bWxQSwUGAAAAAAYABgBZAQAAFwYAAAAA&#10;">
                <v:fill on="t" focussize="0,0"/>
                <v:stroke weight="0.5pt" color="#000000 [3204]" joinstyle="round"/>
                <v:imagedata o:title=""/>
                <o:lock v:ext="edit" aspectratio="f"/>
                <v:textbox>
                  <w:txbxContent>
                    <w:p w14:paraId="086CB3F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6383A8">
                      <w:pPr>
                        <w:rPr>
                          <w:rFonts w:ascii="仿宋_GB2312" w:eastAsia="仿宋_GB2312"/>
                        </w:rPr>
                      </w:pPr>
                      <w:r>
                        <w:rPr>
                          <w:rFonts w:hint="eastAsia" w:ascii="仿宋_GB2312" w:eastAsia="仿宋_GB2312"/>
                        </w:rPr>
                        <w:t>立项</w:t>
                      </w:r>
                    </w:p>
                    <w:p w14:paraId="413608EC">
                      <w:pPr>
                        <w:rPr>
                          <w:rFonts w:ascii="仿宋_GB2312" w:eastAsia="仿宋_GB2312"/>
                        </w:rPr>
                      </w:pPr>
                    </w:p>
                  </w:txbxContent>
                </v:textbox>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778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104D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4F4F2 [664]" filled="t" stroked="t" coordsize="21600,21600" o:gfxdata="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UB5IdoAAAALAQAADwAAAAAAAAABACAA&#10;AAAiAAAAZHJzL2Rvd25yZXYueG1sUEsBAhQAFAAAAAgAh07iQIgm8SZ9AgAAAAUAAA4AAAAAAAAA&#10;AQAgAAAAKQEAAGRycy9lMm9Eb2MueG1sUEsFBgAAAAAGAAYAWQEAABgGAAAAAA==&#10;">
                <v:fill on="t" focussize="0,0"/>
                <v:stroke weight="0.5pt" color="#000000 [3204]" joinstyle="round"/>
                <v:imagedata o:title=""/>
                <o:lock v:ext="edit" aspectratio="f"/>
                <v:textbox>
                  <w:txbxContent>
                    <w:p w14:paraId="2AF104D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841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818655">
                            <w:pPr>
                              <w:jc w:val="center"/>
                              <w:rPr>
                                <w:rFonts w:asciiTheme="minorEastAsia" w:hAnsiTheme="minorEastAsia" w:eastAsiaTheme="minorEastAsia"/>
                              </w:rPr>
                            </w:pPr>
                            <w:r>
                              <w:rPr>
                                <w:rFonts w:hint="eastAsia" w:asciiTheme="minorEastAsia" w:hAnsiTheme="minorEastAsia" w:eastAsiaTheme="minorEastAsia"/>
                              </w:rPr>
                              <w:t>资格审查</w:t>
                            </w:r>
                          </w:p>
                          <w:p w14:paraId="53554F15">
                            <w:pPr>
                              <w:jc w:val="center"/>
                              <w:rPr>
                                <w:rFonts w:ascii="仿宋_GB2312" w:eastAsia="仿宋_GB2312"/>
                              </w:rPr>
                            </w:pPr>
                          </w:p>
                          <w:p w14:paraId="6CCC625C">
                            <w:pPr>
                              <w:rPr>
                                <w:rFonts w:ascii="仿宋_GB2312" w:eastAsia="仿宋_GB2312"/>
                              </w:rPr>
                            </w:pPr>
                            <w:r>
                              <w:rPr>
                                <w:rFonts w:hint="eastAsia" w:ascii="仿宋_GB2312" w:eastAsia="仿宋_GB2312"/>
                              </w:rPr>
                              <w:t>立项</w:t>
                            </w:r>
                          </w:p>
                          <w:p w14:paraId="0DD47CD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4F4F2 [664]" filled="t" stroked="t" coordsize="21600,21600" o:gfxdata="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ozDF12QAAAAsBAAAPAAAAAAAAAAEAIAAA&#10;ACIAAABkcnMvZG93bnJldi54bWxQSwECFAAUAAAACACHTuJAD3AFon0CAAAABQAADgAAAAAAAAAB&#10;ACAAAAAoAQAAZHJzL2Uyb0RvYy54bWxQSwUGAAAAAAYABgBZAQAAFwYAAAAA&#10;">
                <v:fill on="t" focussize="0,0"/>
                <v:stroke weight="0.5pt" color="#000000 [3204]" joinstyle="round"/>
                <v:imagedata o:title=""/>
                <o:lock v:ext="edit" aspectratio="f"/>
                <v:textbox>
                  <w:txbxContent>
                    <w:p w14:paraId="6B818655">
                      <w:pPr>
                        <w:jc w:val="center"/>
                        <w:rPr>
                          <w:rFonts w:asciiTheme="minorEastAsia" w:hAnsiTheme="minorEastAsia" w:eastAsiaTheme="minorEastAsia"/>
                        </w:rPr>
                      </w:pPr>
                      <w:r>
                        <w:rPr>
                          <w:rFonts w:hint="eastAsia" w:asciiTheme="minorEastAsia" w:hAnsiTheme="minorEastAsia" w:eastAsiaTheme="minorEastAsia"/>
                        </w:rPr>
                        <w:t>资格审查</w:t>
                      </w:r>
                    </w:p>
                    <w:p w14:paraId="53554F15">
                      <w:pPr>
                        <w:jc w:val="center"/>
                        <w:rPr>
                          <w:rFonts w:ascii="仿宋_GB2312" w:eastAsia="仿宋_GB2312"/>
                        </w:rPr>
                      </w:pPr>
                    </w:p>
                    <w:p w14:paraId="6CCC625C">
                      <w:pPr>
                        <w:rPr>
                          <w:rFonts w:ascii="仿宋_GB2312" w:eastAsia="仿宋_GB2312"/>
                        </w:rPr>
                      </w:pPr>
                      <w:r>
                        <w:rPr>
                          <w:rFonts w:hint="eastAsia" w:ascii="仿宋_GB2312" w:eastAsia="仿宋_GB2312"/>
                        </w:rPr>
                        <w:t>立项</w:t>
                      </w:r>
                    </w:p>
                    <w:p w14:paraId="0DD47CDA">
                      <w:pPr>
                        <w:rPr>
                          <w:rFonts w:ascii="仿宋_GB2312" w:eastAsia="仿宋_GB2312"/>
                        </w:rPr>
                      </w:pPr>
                    </w:p>
                  </w:txbxContent>
                </v:textbox>
              </v:shape>
            </w:pict>
          </mc:Fallback>
        </mc:AlternateContent>
      </w:r>
      <w:r>
        <w:rPr>
          <w:rFonts w:hint="eastAsia" w:ascii="宋体" w:hAnsi="宋体" w:eastAsia="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50800" t="0" r="60325" b="8255"/>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&#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tkrWv1wAAAAsBAAAPAAAAAAAAAAEAIAAAACIAAABk&#10;cnMvZG93bnJldi54bWxQSwECFAAUAAAACACHTuJACmoxBgcCAADgAwAADgAAAAAAAAABACAAAAAm&#10;AQAAZHJzL2Uyb0RvYy54bWxQSwUGAAAAAAYABgBZAQAAnw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50800" t="0" r="60325" b="8255"/>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UI5SrWAAAACwEAAA8AAAAAAAAAAQAgAAAAIgAAAGRy&#10;cy9kb3ducmV2LnhtbFBLAQIUABQAAAAIAIdO4kBF0uND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4445" t="4445" r="1778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589233">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4F4F2 [664]" filled="t" stroked="t" coordsize="21600,21600" o:gfxdata="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tEpUDYAAAACQEAAA8AAAAAAAAAAQAgAAAA&#10;IgAAAGRycy9kb3ducmV2LnhtbFBLAQIUABQAAAAIAIdO4kCbDqdufQIAAAAFAAAOAAAAAAAAAAEA&#10;IAAAACcBAABkcnMvZTJvRG9jLnhtbFBLBQYAAAAABgAGAFkBAAAWBgAAAAA=&#10;">
                <v:fill on="t" focussize="0,0"/>
                <v:stroke weight="0.5pt" color="#000000 [3204]" joinstyle="round"/>
                <v:imagedata o:title=""/>
                <o:lock v:ext="edit" aspectratio="f"/>
                <v:textbox>
                  <w:txbxContent>
                    <w:p w14:paraId="0B58923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841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A067A2">
                            <w:pPr>
                              <w:jc w:val="center"/>
                              <w:rPr>
                                <w:rFonts w:asciiTheme="minorEastAsia" w:hAnsiTheme="minorEastAsia" w:eastAsiaTheme="minorEastAsia"/>
                              </w:rPr>
                            </w:pPr>
                            <w:r>
                              <w:rPr>
                                <w:rFonts w:hint="eastAsia" w:asciiTheme="minorEastAsia" w:hAnsiTheme="minorEastAsia" w:eastAsiaTheme="minorEastAsia"/>
                              </w:rPr>
                              <w:t>开启响应文件</w:t>
                            </w:r>
                          </w:p>
                          <w:p w14:paraId="289048B7">
                            <w:pPr>
                              <w:rPr>
                                <w:rFonts w:ascii="仿宋_GB2312" w:eastAsia="仿宋_GB2312"/>
                              </w:rPr>
                            </w:pPr>
                            <w:r>
                              <w:rPr>
                                <w:rFonts w:hint="eastAsia" w:ascii="仿宋_GB2312" w:eastAsia="仿宋_GB2312"/>
                              </w:rPr>
                              <w:t>立项</w:t>
                            </w:r>
                          </w:p>
                          <w:p w14:paraId="2E8027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4F4F2 [664]" filled="t" stroked="t" coordsize="21600,21600" o:gfxdata="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tY+YbYAAAACwEAAA8AAAAAAAAAAQAgAAAA&#10;IgAAAGRycy9kb3ducmV2LnhtbFBLAQIUABQAAAAIAIdO4kD1i3shfQIAAAAFAAAOAAAAAAAAAAEA&#10;IAAAACcBAABkcnMvZTJvRG9jLnhtbFBLBQYAAAAABgAGAFkBAAAWBgAAAAA=&#10;">
                <v:fill on="t" focussize="0,0"/>
                <v:stroke weight="0.5pt" color="#000000 [3204]" joinstyle="round"/>
                <v:imagedata o:title=""/>
                <o:lock v:ext="edit" aspectratio="f"/>
                <v:textbox>
                  <w:txbxContent>
                    <w:p w14:paraId="69A067A2">
                      <w:pPr>
                        <w:jc w:val="center"/>
                        <w:rPr>
                          <w:rFonts w:asciiTheme="minorEastAsia" w:hAnsiTheme="minorEastAsia" w:eastAsiaTheme="minorEastAsia"/>
                        </w:rPr>
                      </w:pPr>
                      <w:r>
                        <w:rPr>
                          <w:rFonts w:hint="eastAsia" w:asciiTheme="minorEastAsia" w:hAnsiTheme="minorEastAsia" w:eastAsiaTheme="minorEastAsia"/>
                        </w:rPr>
                        <w:t>开启响应文件</w:t>
                      </w:r>
                    </w:p>
                    <w:p w14:paraId="289048B7">
                      <w:pPr>
                        <w:rPr>
                          <w:rFonts w:ascii="仿宋_GB2312" w:eastAsia="仿宋_GB2312"/>
                        </w:rPr>
                      </w:pPr>
                      <w:r>
                        <w:rPr>
                          <w:rFonts w:hint="eastAsia" w:ascii="仿宋_GB2312" w:eastAsia="仿宋_GB2312"/>
                        </w:rPr>
                        <w:t>立项</w:t>
                      </w:r>
                    </w:p>
                    <w:p w14:paraId="2E802703">
                      <w:pPr>
                        <w:rPr>
                          <w:rFonts w:ascii="仿宋_GB2312" w:eastAsia="仿宋_GB2312"/>
                        </w:rPr>
                      </w:pPr>
                    </w:p>
                  </w:txbxContent>
                </v:textbox>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4445" t="4445" r="17780"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C0DFDB">
                            <w:pPr>
                              <w:jc w:val="center"/>
                              <w:rPr>
                                <w:rFonts w:asciiTheme="minorEastAsia" w:hAnsiTheme="minorEastAsia" w:eastAsiaTheme="minorEastAsia"/>
                              </w:rPr>
                            </w:pPr>
                            <w:r>
                              <w:rPr>
                                <w:rFonts w:hint="eastAsia" w:asciiTheme="minorEastAsia" w:hAnsiTheme="minorEastAsia" w:eastAsiaTheme="minorEastAsia"/>
                              </w:rPr>
                              <w:t>邀请供应商</w:t>
                            </w:r>
                          </w:p>
                          <w:p w14:paraId="122D72E1">
                            <w:pPr>
                              <w:rPr>
                                <w:rFonts w:ascii="仿宋_GB2312" w:eastAsia="仿宋_GB2312"/>
                              </w:rPr>
                            </w:pPr>
                            <w:r>
                              <w:rPr>
                                <w:rFonts w:hint="eastAsia" w:ascii="仿宋_GB2312" w:eastAsia="仿宋_GB2312"/>
                              </w:rPr>
                              <w:t>立项</w:t>
                            </w:r>
                          </w:p>
                          <w:p w14:paraId="53F07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4F4F2 [664]" filled="t" stroked="t" coordsize="21600,21600" o:gfxdata="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8XWkPYAAAACgEAAA8AAAAAAAAAAQAgAAAA&#10;IgAAAGRycy9kb3ducmV2LnhtbFBLAQIUABQAAAAIAIdO4kDV6+7ufQIAAAAFAAAOAAAAAAAAAAEA&#10;IAAAACcBAABkcnMvZTJvRG9jLnhtbFBLBQYAAAAABgAGAFkBAAAWBgAAAAA=&#10;">
                <v:fill on="t" focussize="0,0"/>
                <v:stroke weight="0.5pt" color="#000000 [3204]" joinstyle="round"/>
                <v:imagedata o:title=""/>
                <o:lock v:ext="edit" aspectratio="f"/>
                <v:textbox>
                  <w:txbxContent>
                    <w:p w14:paraId="60C0DFDB">
                      <w:pPr>
                        <w:jc w:val="center"/>
                        <w:rPr>
                          <w:rFonts w:asciiTheme="minorEastAsia" w:hAnsiTheme="minorEastAsia" w:eastAsiaTheme="minorEastAsia"/>
                        </w:rPr>
                      </w:pPr>
                      <w:r>
                        <w:rPr>
                          <w:rFonts w:hint="eastAsia" w:asciiTheme="minorEastAsia" w:hAnsiTheme="minorEastAsia" w:eastAsiaTheme="minorEastAsia"/>
                        </w:rPr>
                        <w:t>邀请供应商</w:t>
                      </w:r>
                    </w:p>
                    <w:p w14:paraId="122D72E1">
                      <w:pPr>
                        <w:rPr>
                          <w:rFonts w:ascii="仿宋_GB2312" w:eastAsia="仿宋_GB2312"/>
                        </w:rPr>
                      </w:pPr>
                      <w:r>
                        <w:rPr>
                          <w:rFonts w:hint="eastAsia" w:ascii="仿宋_GB2312" w:eastAsia="仿宋_GB2312"/>
                        </w:rPr>
                        <w:t>立项</w:t>
                      </w:r>
                    </w:p>
                    <w:p w14:paraId="53F072DF">
                      <w:pPr>
                        <w:rPr>
                          <w:rFonts w:ascii="仿宋_GB2312" w:eastAsia="仿宋_GB2312"/>
                        </w:rPr>
                      </w:pPr>
                    </w:p>
                  </w:txbxContent>
                </v:textbox>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50800" t="0" r="60325" b="762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YCxDVAAAACQEAAA8AAAAAAAAAAQAgAAAAIgAAAGRy&#10;cy9kb3ducmV2LnhtbFBLAQIUABQAAAAIAIdO4kAlWOkACAIAAOADAAAOAAAAAAAAAAEAIAAAACQB&#10;AABkcnMvZTJvRG9jLnhtbFBLBQYAAAAABgAGAFkBAACeBQ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50800" t="0" r="60325" b="762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j2LK9YAAAALAQAADwAAAAAAAAABACAAAAAiAAAA&#10;ZHJzL2Rvd25yZXYueG1sUEsBAhQAFAAAAAgAh07iQD+rP2oJAgAA4AMAAA4AAAAAAAAAAQAgAAAA&#10;JQ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50800" t="0" r="60325" b="762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rIhedcAAAALAQAADwAAAAAAAAABACAAAAAiAAAA&#10;ZHJzL2Rvd25yZXYueG1sUEsBAhQAFAAAAAgAh07iQDh0bqU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50800" t="0" r="60325" b="762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eHWuNYAAAALAQAADwAAAAAAAAABACAAAAAiAAAA&#10;ZHJzL2Rvd25yZXYueG1sUEsBAhQAFAAAAAgAh07iQCKHuM8JAgAA4AMAAA4AAAAAAAAAAQAgAAAA&#10;JQ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50800" t="0" r="60325" b="762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&#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ztPY1gAAAAsBAAAPAAAAAAAAAAEAIAAAACIAAABk&#10;cnMvZG93bnJldi54bWxQSwECFAAUAAAACACHTuJADJLDcAgCAADgAwAADgAAAAAAAAABACAAAAAl&#10;AQAAZHJzL2Uyb0RvYy54bWxQSwUGAAAAAAYABgBZAQAAnw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50800" t="0" r="60325" b="762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I1gDdcAAAALAQAADwAAAAAAAAABACAAAAAiAAAA&#10;ZHJzL2Rvd25yZXYueG1sUEsBAhQAFAAAAAgAh07iQBZhFRo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50800" t="0" r="60325" b="762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GX5S9cAAAALAQAADwAAAAAAAAABACAAAAAiAAAA&#10;ZHJzL2Rvd25yZXYueG1sUEsBAhQAFAAAAAgAh07iQEMqETU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50800" t="0" r="60325" b="762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8GlCvWAAAACwEAAA8AAAAAAAAAAQAgAAAAIgAAAGRy&#10;cy9kb3ducmV2LnhtbFBLAQIUABQAAAAIAIdO4kBZ2cdf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000000" w:themeColor="text1"/>
          <w:sz w:val="36"/>
          <w:szCs w:val="20"/>
          <w:highlight w:val="none"/>
          <w14:textFill>
            <w14:solidFill>
              <w14:schemeClr w14:val="tx1"/>
            </w14:solidFill>
          </w14:textFill>
        </w:rPr>
        <w:br w:type="page"/>
      </w:r>
    </w:p>
    <w:p w14:paraId="6003400D">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第三部分</w:t>
      </w:r>
      <w:bookmarkEnd w:id="8"/>
      <w:r>
        <w:rPr>
          <w:rFonts w:hint="eastAsia" w:ascii="宋体" w:hAnsi="宋体" w:eastAsia="宋体" w:cs="宋体"/>
          <w:b/>
          <w:color w:val="000000" w:themeColor="text1"/>
          <w:sz w:val="36"/>
          <w:szCs w:val="2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20"/>
          <w:highlight w:val="none"/>
          <w14:textFill>
            <w14:solidFill>
              <w14:schemeClr w14:val="tx1"/>
            </w14:solidFill>
          </w14:textFill>
        </w:rPr>
        <w:t>供应商须知</w:t>
      </w:r>
      <w:bookmarkEnd w:id="9"/>
    </w:p>
    <w:bookmarkEnd w:id="10"/>
    <w:p w14:paraId="250456DC">
      <w:pPr>
        <w:spacing w:line="360" w:lineRule="auto"/>
        <w:jc w:val="center"/>
        <w:outlineLvl w:val="1"/>
        <w:rPr>
          <w:rFonts w:hint="eastAsia" w:ascii="宋体" w:hAnsi="宋体" w:eastAsia="宋体" w:cs="宋体"/>
          <w:b/>
          <w:color w:val="000000" w:themeColor="text1"/>
          <w:sz w:val="36"/>
          <w:szCs w:val="36"/>
          <w:highlight w:val="none"/>
          <w14:textFill>
            <w14:solidFill>
              <w14:schemeClr w14:val="tx1"/>
            </w14:solidFill>
          </w14:textFill>
        </w:rPr>
      </w:pPr>
      <w:bookmarkStart w:id="11" w:name="第三部分"/>
      <w:bookmarkStart w:id="12" w:name="_Toc164416483"/>
      <w:r>
        <w:rPr>
          <w:rFonts w:hint="eastAsia" w:ascii="宋体" w:hAnsi="宋体" w:cs="宋体"/>
          <w:b/>
          <w:color w:val="000000" w:themeColor="text1"/>
          <w:sz w:val="36"/>
          <w:szCs w:val="36"/>
          <w:highlight w:val="none"/>
          <w:lang w:val="en-US" w:eastAsia="zh-CN"/>
          <w14:textFill>
            <w14:solidFill>
              <w14:schemeClr w14:val="tx1"/>
            </w14:solidFill>
          </w14:textFill>
        </w:rPr>
        <w:t>一、</w:t>
      </w:r>
      <w:r>
        <w:rPr>
          <w:rFonts w:hint="eastAsia" w:ascii="宋体" w:hAnsi="宋体" w:eastAsia="宋体" w:cs="宋体"/>
          <w:b/>
          <w:color w:val="000000" w:themeColor="text1"/>
          <w:sz w:val="36"/>
          <w:szCs w:val="36"/>
          <w:highlight w:val="none"/>
          <w14:textFill>
            <w14:solidFill>
              <w14:schemeClr w14:val="tx1"/>
            </w14:solidFill>
          </w14:textFill>
        </w:rPr>
        <w:t>前附表</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05E2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71A36989">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843" w:type="dxa"/>
            <w:vAlign w:val="center"/>
          </w:tcPr>
          <w:p w14:paraId="2083C8FD">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事项</w:t>
            </w:r>
          </w:p>
        </w:tc>
        <w:tc>
          <w:tcPr>
            <w:tcW w:w="6095" w:type="dxa"/>
            <w:vAlign w:val="center"/>
          </w:tcPr>
          <w:p w14:paraId="075BFFA6">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本项目的特别规定</w:t>
            </w:r>
          </w:p>
        </w:tc>
      </w:tr>
      <w:tr w14:paraId="4681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3152A11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843" w:type="dxa"/>
            <w:vAlign w:val="center"/>
          </w:tcPr>
          <w:p w14:paraId="37EAFF54">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项目属性</w:t>
            </w:r>
          </w:p>
        </w:tc>
        <w:tc>
          <w:tcPr>
            <w:tcW w:w="6095" w:type="dxa"/>
            <w:vAlign w:val="center"/>
          </w:tcPr>
          <w:p w14:paraId="1C67016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w:t>
            </w:r>
          </w:p>
        </w:tc>
      </w:tr>
      <w:tr w14:paraId="16D6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6B20F9E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843" w:type="dxa"/>
            <w:vAlign w:val="center"/>
          </w:tcPr>
          <w:p w14:paraId="3A8F737E">
            <w:pPr>
              <w:snapToGrid w:val="0"/>
              <w:spacing w:line="360" w:lineRule="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采购标的及其对应的中小企业划分标准所属行业</w:t>
            </w:r>
          </w:p>
        </w:tc>
        <w:tc>
          <w:tcPr>
            <w:tcW w:w="6095" w:type="dxa"/>
            <w:vAlign w:val="center"/>
          </w:tcPr>
          <w:p w14:paraId="4ABC81D0">
            <w:pPr>
              <w:snapToGrid w:val="0"/>
              <w:spacing w:line="360" w:lineRule="auto"/>
              <w:rPr>
                <w:rFonts w:hint="eastAsia" w:ascii="宋体" w:hAnsi="宋体" w:cs="宋体"/>
                <w:b/>
                <w:bCs/>
                <w:color w:val="000000" w:themeColor="text1"/>
                <w:kern w:val="0"/>
                <w:sz w:val="24"/>
                <w:highlight w:val="none"/>
                <w:u w:val="singl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标的：</w:t>
            </w:r>
            <w:r>
              <w:rPr>
                <w:rFonts w:hint="eastAsia" w:ascii="宋体" w:hAnsi="宋体" w:cs="宋体"/>
                <w:b w:val="0"/>
                <w:bCs w:val="0"/>
                <w:color w:val="000000" w:themeColor="text1"/>
                <w:kern w:val="0"/>
                <w:sz w:val="24"/>
                <w:highlight w:val="none"/>
                <w:u w:val="single"/>
                <w:lang w:eastAsia="zh-CN"/>
                <w14:textFill>
                  <w14:solidFill>
                    <w14:schemeClr w14:val="tx1"/>
                  </w14:solidFill>
                </w14:textFill>
              </w:rPr>
              <w:t>2025年数字教育资源支撑服务升级及运维保障</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其他未列明</w:t>
            </w:r>
            <w:r>
              <w:rPr>
                <w:rFonts w:hint="eastAsia" w:asciiTheme="minorEastAsia" w:hAnsiTheme="minorEastAsia" w:eastAsiaTheme="minorEastAsia" w:cstheme="minorEastAsia"/>
                <w:color w:val="auto"/>
                <w:kern w:val="0"/>
                <w:sz w:val="24"/>
                <w:highlight w:val="none"/>
              </w:rPr>
              <w:t>行业；</w:t>
            </w:r>
          </w:p>
          <w:p w14:paraId="0EF8C339">
            <w:pPr>
              <w:pStyle w:val="2"/>
              <w:numPr>
                <w:ilvl w:val="0"/>
                <w:numId w:val="0"/>
              </w:numPr>
              <w:jc w:val="both"/>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根据</w:t>
            </w:r>
            <w:r>
              <w:rPr>
                <w:rFonts w:hint="eastAsia" w:asciiTheme="minorEastAsia" w:hAnsiTheme="minorEastAsia" w:eastAsiaTheme="minorEastAsia" w:cstheme="minorEastAsia"/>
                <w:b w:val="0"/>
                <w:bCs w:val="0"/>
                <w:color w:val="auto"/>
                <w:kern w:val="0"/>
                <w:sz w:val="24"/>
                <w:szCs w:val="24"/>
                <w:highlight w:val="none"/>
                <w:lang w:val="en-US"/>
              </w:rPr>
              <w:t>《关于印发中小企业划型标准规定的通知》（工信部联企业〔2011〕300）：</w:t>
            </w:r>
            <w:r>
              <w:rPr>
                <w:rFonts w:hint="eastAsia" w:ascii="宋体" w:hAnsi="宋体" w:eastAsia="宋体" w:cs="宋体"/>
                <w:color w:val="000000" w:themeColor="text1"/>
                <w:sz w:val="24"/>
                <w:highlight w:val="none"/>
                <w:lang w:eastAsia="zh-CN"/>
                <w14:textFill>
                  <w14:solidFill>
                    <w14:schemeClr w14:val="tx1"/>
                  </w14:solidFill>
                </w14:textFill>
              </w:rPr>
              <w:t>其他未列明行业：</w:t>
            </w:r>
            <w:r>
              <w:rPr>
                <w:rFonts w:hint="eastAsia" w:ascii="宋体" w:hAnsi="宋体" w:eastAsia="宋体" w:cs="宋体"/>
                <w:b w:val="0"/>
                <w:bCs w:val="0"/>
                <w:color w:val="000000" w:themeColor="text1"/>
                <w:sz w:val="24"/>
                <w:highlight w:val="none"/>
                <w:lang w:eastAsia="zh-CN"/>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14:paraId="1E2D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7" w:hRule="atLeast"/>
          <w:tblHeader/>
        </w:trPr>
        <w:tc>
          <w:tcPr>
            <w:tcW w:w="629" w:type="dxa"/>
            <w:vAlign w:val="center"/>
          </w:tcPr>
          <w:p w14:paraId="5407631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843" w:type="dxa"/>
            <w:vAlign w:val="center"/>
          </w:tcPr>
          <w:p w14:paraId="742BE92A">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是否允许采购进口产品</w:t>
            </w:r>
          </w:p>
        </w:tc>
        <w:tc>
          <w:tcPr>
            <w:tcW w:w="6095" w:type="dxa"/>
            <w:vAlign w:val="center"/>
          </w:tcPr>
          <w:p w14:paraId="632A80B4">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4AD9969E">
            <w:pPr>
              <w:spacing w:line="360" w:lineRule="auto"/>
              <w:rPr>
                <w:rFonts w:hint="eastAsia" w:ascii="宋体" w:hAnsi="宋体" w:eastAsia="宋体" w:cs="宋体"/>
                <w:color w:val="000000" w:themeColor="text1"/>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采购进口产品。</w:t>
            </w:r>
          </w:p>
        </w:tc>
      </w:tr>
      <w:tr w14:paraId="426F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7" w:hRule="atLeast"/>
          <w:tblHeader/>
        </w:trPr>
        <w:tc>
          <w:tcPr>
            <w:tcW w:w="629" w:type="dxa"/>
            <w:vAlign w:val="center"/>
          </w:tcPr>
          <w:p w14:paraId="27BDD01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843" w:type="dxa"/>
            <w:vAlign w:val="center"/>
          </w:tcPr>
          <w:p w14:paraId="6467BB12">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分包</w:t>
            </w:r>
          </w:p>
        </w:tc>
        <w:tc>
          <w:tcPr>
            <w:tcW w:w="6095" w:type="dxa"/>
            <w:vAlign w:val="center"/>
          </w:tcPr>
          <w:p w14:paraId="15E03DFF">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 xml:space="preserve"> A</w:t>
            </w:r>
            <w:r>
              <w:rPr>
                <w:rFonts w:hint="eastAsia" w:ascii="宋体" w:hAnsi="宋体" w:eastAsia="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工作分包。</w:t>
            </w:r>
            <w:sdt>
              <w:sdtPr>
                <w:rPr>
                  <w:rFonts w:hint="eastAsia" w:ascii="宋体" w:hAnsi="宋体" w:eastAsia="宋体" w:cs="宋体"/>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 xml:space="preserve"> B</w:t>
            </w:r>
            <w:r>
              <w:rPr>
                <w:rFonts w:hint="eastAsia" w:ascii="宋体" w:hAnsi="宋体" w:eastAsia="宋体" w:cs="宋体"/>
                <w:color w:val="000000" w:themeColor="text1"/>
                <w:sz w:val="24"/>
                <w:highlight w:val="none"/>
                <w14:textFill>
                  <w14:solidFill>
                    <w14:schemeClr w14:val="tx1"/>
                  </w14:solidFill>
                </w14:textFill>
              </w:rPr>
              <w:t>不同意分包。</w:t>
            </w:r>
          </w:p>
          <w:p w14:paraId="2A4507E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注：不得限制大中型企业向小微企业合理分包。</w:t>
            </w:r>
          </w:p>
        </w:tc>
      </w:tr>
      <w:tr w14:paraId="22FA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181A52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843" w:type="dxa"/>
            <w:vAlign w:val="center"/>
          </w:tcPr>
          <w:p w14:paraId="417C9259">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开标前答疑会或现场考察</w:t>
            </w:r>
          </w:p>
        </w:tc>
        <w:tc>
          <w:tcPr>
            <w:tcW w:w="6095" w:type="dxa"/>
            <w:vAlign w:val="center"/>
          </w:tcPr>
          <w:p w14:paraId="3CF37597">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14:paraId="37487750">
            <w:pPr>
              <w:spacing w:line="360" w:lineRule="auto"/>
              <w:rPr>
                <w:rFonts w:hint="eastAsia" w:ascii="宋体" w:hAnsi="宋体" w:eastAsia="宋体" w:cs="宋体"/>
                <w:color w:val="000000" w:themeColor="text1"/>
                <w:sz w:val="24"/>
                <w:szCs w:val="20"/>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w:t>
            </w:r>
          </w:p>
        </w:tc>
      </w:tr>
      <w:tr w14:paraId="5150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C1D417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843" w:type="dxa"/>
            <w:vAlign w:val="center"/>
          </w:tcPr>
          <w:p w14:paraId="08AAF407">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样品提供</w:t>
            </w:r>
          </w:p>
        </w:tc>
        <w:tc>
          <w:tcPr>
            <w:tcW w:w="6095" w:type="dxa"/>
            <w:vAlign w:val="center"/>
          </w:tcPr>
          <w:p w14:paraId="4AEA716F">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不要求提供。</w:t>
            </w:r>
          </w:p>
          <w:p w14:paraId="1D6D44F5">
            <w:pPr>
              <w:spacing w:line="360" w:lineRule="auto"/>
              <w:rPr>
                <w:rFonts w:hint="eastAsia" w:ascii="宋体" w:hAnsi="宋体" w:eastAsia="宋体" w:cs="宋体"/>
                <w:b/>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B要求提供，</w:t>
            </w:r>
          </w:p>
        </w:tc>
      </w:tr>
      <w:tr w14:paraId="18B1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E31089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843" w:type="dxa"/>
            <w:vAlign w:val="center"/>
          </w:tcPr>
          <w:p w14:paraId="16400331">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方案讲解演示</w:t>
            </w:r>
          </w:p>
        </w:tc>
        <w:tc>
          <w:tcPr>
            <w:tcW w:w="6095" w:type="dxa"/>
            <w:vAlign w:val="center"/>
          </w:tcPr>
          <w:p w14:paraId="49EB4D02">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14:paraId="3EE25F15">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p>
        </w:tc>
      </w:tr>
      <w:tr w14:paraId="7078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0" w:hRule="atLeast"/>
          <w:tblHeader/>
        </w:trPr>
        <w:tc>
          <w:tcPr>
            <w:tcW w:w="629" w:type="dxa"/>
            <w:vMerge w:val="restart"/>
            <w:vAlign w:val="center"/>
          </w:tcPr>
          <w:p w14:paraId="4B3B89E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843" w:type="dxa"/>
            <w:vMerge w:val="restart"/>
            <w:vAlign w:val="center"/>
          </w:tcPr>
          <w:p w14:paraId="424C640B">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供应商应当提供的资格、资信证明文件</w:t>
            </w:r>
          </w:p>
        </w:tc>
        <w:tc>
          <w:tcPr>
            <w:tcW w:w="6095" w:type="dxa"/>
            <w:vAlign w:val="center"/>
          </w:tcPr>
          <w:p w14:paraId="372DECF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（1）资格证明文件：见招标文件第二部分11.1。</w:t>
            </w:r>
          </w:p>
          <w:p w14:paraId="643F3740">
            <w:pPr>
              <w:spacing w:line="36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供应商未提供有效的资格证明文件的，视为供应商不具备磋商文件中规定的资格要求，响应无效。</w:t>
            </w:r>
          </w:p>
        </w:tc>
      </w:tr>
      <w:tr w14:paraId="081B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continue"/>
            <w:vAlign w:val="center"/>
          </w:tcPr>
          <w:p w14:paraId="3D0B21B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vAlign w:val="center"/>
          </w:tcPr>
          <w:p w14:paraId="6B64E62D">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095" w:type="dxa"/>
            <w:vAlign w:val="center"/>
          </w:tcPr>
          <w:p w14:paraId="30B99C6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（2）资信证明文件：根据磋商文件第五部分评审标准提供。</w:t>
            </w:r>
          </w:p>
        </w:tc>
      </w:tr>
      <w:tr w14:paraId="4E2D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6C7C97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843" w:type="dxa"/>
            <w:vAlign w:val="center"/>
          </w:tcPr>
          <w:p w14:paraId="5F70A797">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节能产品、环境标志产品</w:t>
            </w:r>
          </w:p>
        </w:tc>
        <w:tc>
          <w:tcPr>
            <w:tcW w:w="6095" w:type="dxa"/>
            <w:vAlign w:val="center"/>
          </w:tcPr>
          <w:p w14:paraId="65D985CD">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AE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42524C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843" w:type="dxa"/>
            <w:vAlign w:val="center"/>
          </w:tcPr>
          <w:p w14:paraId="21B774A4">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最后报价要求</w:t>
            </w:r>
          </w:p>
        </w:tc>
        <w:tc>
          <w:tcPr>
            <w:tcW w:w="6095" w:type="dxa"/>
            <w:vAlign w:val="center"/>
          </w:tcPr>
          <w:p w14:paraId="3D0BBF4B">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有关本项目实施所需的所有费用（含税费）均计入最后报价。《最后报价</w:t>
            </w:r>
            <w:r>
              <w:rPr>
                <w:rFonts w:hint="eastAsia" w:ascii="宋体" w:hAnsi="宋体" w:eastAsia="宋体" w:cs="宋体"/>
                <w:color w:val="000000" w:themeColor="text1"/>
                <w:sz w:val="24"/>
                <w:highlight w:val="none"/>
                <w14:textFill>
                  <w14:solidFill>
                    <w14:schemeClr w14:val="tx1"/>
                  </w14:solidFill>
                </w14:textFill>
              </w:rPr>
              <w:t>一览表（报价表）</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是最后报价的唯一载体</w:t>
            </w:r>
            <w:r>
              <w:rPr>
                <w:rFonts w:hint="eastAsia" w:ascii="宋体" w:hAnsi="宋体" w:eastAsia="宋体" w:cs="宋体"/>
                <w:color w:val="000000" w:themeColor="text1"/>
                <w:kern w:val="0"/>
                <w:sz w:val="24"/>
                <w:highlight w:val="none"/>
                <w:lang w:val="zh-CN"/>
                <w14:textFill>
                  <w14:solidFill>
                    <w14:schemeClr w14:val="tx1"/>
                  </w14:solidFill>
                </w14:textFill>
              </w:rPr>
              <w:t>。磋商文件中价格全部采用人民币报价。磋商文件未列明，而供应商认为必需的费用也需列入报价。</w:t>
            </w:r>
          </w:p>
          <w:p w14:paraId="3FA7BC39">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最后报价出现下列情形的，响应无效：</w:t>
            </w:r>
          </w:p>
          <w:p w14:paraId="480D167A">
            <w:pPr>
              <w:snapToGrid w:val="0"/>
              <w:spacing w:line="360" w:lineRule="auto"/>
              <w:ind w:firstLine="241" w:firstLineChars="100"/>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响应文件出现不是唯一的、有选择性的最后报价的；</w:t>
            </w:r>
          </w:p>
          <w:p w14:paraId="43056387">
            <w:pPr>
              <w:snapToGrid w:val="0"/>
              <w:spacing w:line="360" w:lineRule="auto"/>
              <w:ind w:firstLine="241"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最后报价超过磋商文件中规定的预算金额或者最高限价的;</w:t>
            </w:r>
          </w:p>
          <w:p w14:paraId="64815588">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1"/>
                <w:highlight w:val="none"/>
                <w14:textFill>
                  <w14:solidFill>
                    <w14:schemeClr w14:val="tx1"/>
                  </w14:solidFill>
                </w14:textFill>
              </w:rPr>
              <w:t>;</w:t>
            </w:r>
          </w:p>
          <w:p w14:paraId="3B64B345">
            <w:pPr>
              <w:spacing w:line="360" w:lineRule="auto"/>
              <w:ind w:firstLine="241"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供应商对根据修正原则修正后的报价不确认的</w:t>
            </w:r>
            <w:r>
              <w:rPr>
                <w:rFonts w:hint="eastAsia" w:ascii="宋体" w:hAnsi="宋体" w:eastAsia="宋体" w:cs="宋体"/>
                <w:b/>
                <w:color w:val="000000" w:themeColor="text1"/>
                <w:sz w:val="24"/>
                <w:highlight w:val="none"/>
                <w14:textFill>
                  <w14:solidFill>
                    <w14:schemeClr w14:val="tx1"/>
                  </w14:solidFill>
                </w14:textFill>
              </w:rPr>
              <w:t>。</w:t>
            </w:r>
          </w:p>
        </w:tc>
      </w:tr>
      <w:tr w14:paraId="6578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9" w:hRule="atLeast"/>
          <w:tblHeader/>
        </w:trPr>
        <w:tc>
          <w:tcPr>
            <w:tcW w:w="629" w:type="dxa"/>
            <w:vAlign w:val="center"/>
          </w:tcPr>
          <w:p w14:paraId="29C9C8A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843" w:type="dxa"/>
            <w:vAlign w:val="center"/>
          </w:tcPr>
          <w:p w14:paraId="2E464FC8">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中小企业信用融资</w:t>
            </w:r>
          </w:p>
        </w:tc>
        <w:tc>
          <w:tcPr>
            <w:tcW w:w="6095" w:type="dxa"/>
            <w:vAlign w:val="center"/>
          </w:tcPr>
          <w:p w14:paraId="0D07EDB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938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74F8030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1843" w:type="dxa"/>
            <w:vAlign w:val="center"/>
          </w:tcPr>
          <w:p w14:paraId="1F9F7DBD">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备份响应文件送达地点和签收人员 </w:t>
            </w:r>
          </w:p>
        </w:tc>
        <w:tc>
          <w:tcPr>
            <w:tcW w:w="6095" w:type="dxa"/>
            <w:vAlign w:val="center"/>
          </w:tcPr>
          <w:p w14:paraId="5CF25BEF">
            <w:pPr>
              <w:pStyle w:val="9"/>
              <w:spacing w:line="360" w:lineRule="auto"/>
              <w:rPr>
                <w:rFonts w:hint="eastAsia" w:ascii="宋体" w:hAnsi="宋体" w:eastAsia="宋体" w:cs="宋体"/>
                <w:color w:val="000000" w:themeColor="text1"/>
                <w:kern w:val="28"/>
                <w:sz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备份响应文件送达地点：</w:t>
            </w:r>
            <w:r>
              <w:rPr>
                <w:rFonts w:hint="eastAsia" w:ascii="宋体" w:hAnsi="宋体" w:eastAsia="宋体" w:cs="宋体"/>
                <w:color w:val="000000" w:themeColor="text1"/>
                <w:kern w:val="28"/>
                <w:sz w:val="24"/>
                <w:szCs w:val="24"/>
                <w:highlight w:val="none"/>
                <w:u w:val="single"/>
                <w14:textFill>
                  <w14:solidFill>
                    <w14:schemeClr w14:val="tx1"/>
                  </w14:solidFill>
                </w14:textFill>
              </w:rPr>
              <w:t>杭州市拱墅区绍兴路538号三立时代广场A座1206室</w:t>
            </w:r>
            <w:r>
              <w:rPr>
                <w:rFonts w:hint="eastAsia" w:ascii="宋体" w:hAnsi="宋体" w:eastAsia="宋体" w:cs="宋体"/>
                <w:color w:val="000000" w:themeColor="text1"/>
                <w:kern w:val="28"/>
                <w:sz w:val="24"/>
                <w:szCs w:val="24"/>
                <w:highlight w:val="none"/>
                <w14:textFill>
                  <w14:solidFill>
                    <w14:schemeClr w14:val="tx1"/>
                  </w14:solidFill>
                </w14:textFill>
              </w:rPr>
              <w:t>；备份响应文件签收人员联系电话：</w:t>
            </w:r>
            <w:r>
              <w:rPr>
                <w:rFonts w:hint="eastAsia" w:ascii="宋体" w:hAnsi="宋体" w:eastAsia="宋体" w:cs="宋体"/>
                <w:color w:val="000000" w:themeColor="text1"/>
                <w:kern w:val="28"/>
                <w:sz w:val="24"/>
                <w:szCs w:val="24"/>
                <w:highlight w:val="none"/>
                <w:u w:val="single"/>
                <w14:textFill>
                  <w14:solidFill>
                    <w14:schemeClr w14:val="tx1"/>
                  </w14:solidFill>
                </w14:textFill>
              </w:rPr>
              <w:t>王莎莎</w:t>
            </w:r>
            <w:r>
              <w:rPr>
                <w:rFonts w:hint="eastAsia" w:hAnsi="宋体" w:cs="宋体"/>
                <w:color w:val="000000" w:themeColor="text1"/>
                <w:sz w:val="24"/>
                <w:highlight w:val="none"/>
                <w:u w:val="single"/>
                <w14:textFill>
                  <w14:solidFill>
                    <w14:schemeClr w14:val="tx1"/>
                  </w14:solidFill>
                </w14:textFill>
              </w:rPr>
              <w:t>，18767146095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采购人、采购代理机构不强制或变相强制供应商提交备份响应文件。</w:t>
            </w:r>
          </w:p>
        </w:tc>
      </w:tr>
      <w:tr w14:paraId="0265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restart"/>
            <w:vAlign w:val="center"/>
          </w:tcPr>
          <w:p w14:paraId="028B097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1843" w:type="dxa"/>
            <w:vMerge w:val="restart"/>
            <w:vAlign w:val="center"/>
          </w:tcPr>
          <w:p w14:paraId="7AECF164">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w:t>
            </w:r>
          </w:p>
        </w:tc>
        <w:tc>
          <w:tcPr>
            <w:tcW w:w="6095" w:type="dxa"/>
            <w:vAlign w:val="center"/>
          </w:tcPr>
          <w:p w14:paraId="3A7FB4AB">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5F61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continue"/>
            <w:vAlign w:val="center"/>
          </w:tcPr>
          <w:p w14:paraId="4D896D1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vAlign w:val="center"/>
          </w:tcPr>
          <w:p w14:paraId="61C87A4D">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095" w:type="dxa"/>
            <w:vAlign w:val="center"/>
          </w:tcPr>
          <w:p w14:paraId="6E5AAD9C">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联合体响应的，联合体各方均需按磋商文件第五部分评审标准要求提供资信证明文件，否则视为不符合相关要求。</w:t>
            </w:r>
          </w:p>
          <w:p w14:paraId="1A97A4D3">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联合体响应的，联合体中有一方或者联合体成员根据分工按磋商文件第五部分评审标准要求提供资信证明文件的，视为符合了相关要求。</w:t>
            </w:r>
          </w:p>
        </w:tc>
      </w:tr>
      <w:tr w14:paraId="0DFA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1F1BB50C">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1843" w:type="dxa"/>
            <w:vAlign w:val="center"/>
          </w:tcPr>
          <w:p w14:paraId="667C948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pacing w:val="-6"/>
                <w:sz w:val="24"/>
                <w:highlight w:val="none"/>
                <w14:textFill>
                  <w14:solidFill>
                    <w14:schemeClr w14:val="tx1"/>
                  </w14:solidFill>
                </w14:textFill>
              </w:rPr>
              <w:t>推荐</w:t>
            </w:r>
            <w:r>
              <w:rPr>
                <w:rFonts w:hint="eastAsia" w:ascii="宋体" w:hAnsi="宋体" w:cs="宋体"/>
                <w:b/>
                <w:bCs/>
                <w:color w:val="000000" w:themeColor="text1"/>
                <w:spacing w:val="-6"/>
                <w:sz w:val="24"/>
                <w:highlight w:val="none"/>
                <w:lang w:val="en-US" w:eastAsia="zh-CN"/>
                <w14:textFill>
                  <w14:solidFill>
                    <w14:schemeClr w14:val="tx1"/>
                  </w14:solidFill>
                </w14:textFill>
              </w:rPr>
              <w:t>成交</w:t>
            </w:r>
            <w:r>
              <w:rPr>
                <w:rFonts w:hint="eastAsia" w:ascii="宋体" w:hAnsi="宋体" w:cs="宋体"/>
                <w:b/>
                <w:bCs/>
                <w:color w:val="000000" w:themeColor="text1"/>
                <w:spacing w:val="-6"/>
                <w:sz w:val="24"/>
                <w:highlight w:val="none"/>
                <w14:textFill>
                  <w14:solidFill>
                    <w14:schemeClr w14:val="tx1"/>
                  </w14:solidFill>
                </w14:textFill>
              </w:rPr>
              <w:t>候选人数量</w:t>
            </w:r>
          </w:p>
        </w:tc>
        <w:tc>
          <w:tcPr>
            <w:tcW w:w="6095" w:type="dxa"/>
            <w:vAlign w:val="center"/>
          </w:tcPr>
          <w:p w14:paraId="79B64C71">
            <w:pPr>
              <w:spacing w:line="360" w:lineRule="auto"/>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推荐</w:t>
            </w:r>
            <w:r>
              <w:rPr>
                <w:rFonts w:hint="eastAsia" w:ascii="宋体" w:hAnsi="宋体" w:cs="宋体"/>
                <w:color w:val="000000" w:themeColor="text1"/>
                <w:spacing w:val="-6"/>
                <w:sz w:val="24"/>
                <w:highlight w:val="none"/>
                <w:lang w:val="en-US" w:eastAsia="zh-CN"/>
                <w14:textFill>
                  <w14:solidFill>
                    <w14:schemeClr w14:val="tx1"/>
                  </w14:solidFill>
                </w14:textFill>
              </w:rPr>
              <w:t>成交</w:t>
            </w:r>
            <w:r>
              <w:rPr>
                <w:rFonts w:hint="eastAsia" w:ascii="宋体" w:hAnsi="宋体" w:cs="宋体"/>
                <w:color w:val="000000" w:themeColor="text1"/>
                <w:spacing w:val="-6"/>
                <w:sz w:val="24"/>
                <w:highlight w:val="none"/>
                <w14:textFill>
                  <w14:solidFill>
                    <w14:schemeClr w14:val="tx1"/>
                  </w14:solidFill>
                </w14:textFill>
              </w:rPr>
              <w:t>候选人数量：</w:t>
            </w:r>
            <w:r>
              <w:rPr>
                <w:rFonts w:hint="eastAsia" w:ascii="宋体" w:hAnsi="宋体" w:cs="宋体"/>
                <w:color w:val="000000" w:themeColor="text1"/>
                <w:spacing w:val="-6"/>
                <w:sz w:val="24"/>
                <w:highlight w:val="none"/>
                <w:u w:val="single"/>
                <w:lang w:val="en-US" w:eastAsia="zh-CN"/>
                <w14:textFill>
                  <w14:solidFill>
                    <w14:schemeClr w14:val="tx1"/>
                  </w14:solidFill>
                </w14:textFill>
              </w:rPr>
              <w:t>1</w:t>
            </w:r>
            <w:r>
              <w:rPr>
                <w:rFonts w:hint="eastAsia" w:ascii="宋体" w:hAnsi="宋体" w:cs="宋体"/>
                <w:color w:val="000000" w:themeColor="text1"/>
                <w:spacing w:val="-6"/>
                <w:sz w:val="24"/>
                <w:highlight w:val="none"/>
                <w14:textFill>
                  <w14:solidFill>
                    <w14:schemeClr w14:val="tx1"/>
                  </w14:solidFill>
                </w14:textFill>
              </w:rPr>
              <w:t>名</w:t>
            </w:r>
          </w:p>
        </w:tc>
      </w:tr>
      <w:tr w14:paraId="6330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A97A931">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5</w:t>
            </w:r>
          </w:p>
        </w:tc>
        <w:tc>
          <w:tcPr>
            <w:tcW w:w="1843" w:type="dxa"/>
            <w:vAlign w:val="center"/>
          </w:tcPr>
          <w:p w14:paraId="1E1C5343">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代理服务费</w:t>
            </w:r>
          </w:p>
        </w:tc>
        <w:tc>
          <w:tcPr>
            <w:tcW w:w="6095" w:type="dxa"/>
            <w:vAlign w:val="center"/>
          </w:tcPr>
          <w:p w14:paraId="2BDD1CE4">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1、本项目的采购代理费由中标人支付，计费标准：以中标价为计费基准，参考《招标代理服务收费管理暂行办法》(计价格[2002]1980 号文件)的收费标准。计费标准：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020"/>
            </w:tblGrid>
            <w:tr w14:paraId="552C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14:paraId="4DF80FF0">
                  <w:pPr>
                    <w:spacing w:line="360" w:lineRule="auto"/>
                    <w:jc w:val="center"/>
                    <w:rPr>
                      <w:rFonts w:hint="eastAsia" w:ascii="宋体" w:hAnsi="宋体" w:eastAsia="宋体" w:cs="宋体"/>
                      <w:snapToGrid w:val="0"/>
                      <w:color w:val="auto"/>
                      <w:kern w:val="28"/>
                      <w:sz w:val="24"/>
                      <w:szCs w:val="24"/>
                      <w:highlight w:val="none"/>
                      <w:vertAlign w:val="baseline"/>
                      <w:lang w:val="en-US" w:eastAsia="zh-CN"/>
                    </w:rPr>
                  </w:pPr>
                  <w:r>
                    <w:rPr>
                      <w:rFonts w:hint="eastAsia" w:ascii="宋体" w:hAnsi="宋体" w:eastAsia="宋体" w:cs="宋体"/>
                      <w:snapToGrid w:val="0"/>
                      <w:color w:val="auto"/>
                      <w:kern w:val="28"/>
                      <w:sz w:val="24"/>
                      <w:szCs w:val="24"/>
                      <w:highlight w:val="none"/>
                      <w:vertAlign w:val="baseline"/>
                      <w:lang w:val="en-US" w:eastAsia="zh-CN"/>
                    </w:rPr>
                    <w:t>中标金额</w:t>
                  </w:r>
                </w:p>
              </w:tc>
              <w:tc>
                <w:tcPr>
                  <w:tcW w:w="3020" w:type="dxa"/>
                </w:tcPr>
                <w:p w14:paraId="6498E50F">
                  <w:pPr>
                    <w:spacing w:line="360" w:lineRule="auto"/>
                    <w:jc w:val="center"/>
                    <w:rPr>
                      <w:rFonts w:hint="eastAsia" w:ascii="宋体" w:hAnsi="宋体" w:eastAsia="宋体" w:cs="宋体"/>
                      <w:snapToGrid w:val="0"/>
                      <w:color w:val="auto"/>
                      <w:kern w:val="28"/>
                      <w:sz w:val="24"/>
                      <w:szCs w:val="24"/>
                      <w:highlight w:val="none"/>
                      <w:vertAlign w:val="baseline"/>
                      <w:lang w:val="en-US" w:eastAsia="zh-CN"/>
                    </w:rPr>
                  </w:pPr>
                  <w:r>
                    <w:rPr>
                      <w:rFonts w:hint="eastAsia" w:ascii="宋体" w:hAnsi="宋体" w:eastAsia="宋体" w:cs="宋体"/>
                      <w:snapToGrid w:val="0"/>
                      <w:color w:val="auto"/>
                      <w:kern w:val="28"/>
                      <w:sz w:val="24"/>
                      <w:szCs w:val="24"/>
                      <w:highlight w:val="none"/>
                      <w:vertAlign w:val="baseline"/>
                      <w:lang w:val="en-US" w:eastAsia="zh-CN"/>
                    </w:rPr>
                    <w:t>收费费率</w:t>
                  </w:r>
                </w:p>
              </w:tc>
            </w:tr>
            <w:tr w14:paraId="35D1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14:paraId="7BB1CF07">
                  <w:pPr>
                    <w:spacing w:line="360" w:lineRule="auto"/>
                    <w:jc w:val="center"/>
                    <w:rPr>
                      <w:rFonts w:hint="eastAsia" w:ascii="宋体" w:hAnsi="宋体" w:eastAsia="宋体" w:cs="宋体"/>
                      <w:snapToGrid w:val="0"/>
                      <w:color w:val="auto"/>
                      <w:kern w:val="28"/>
                      <w:sz w:val="24"/>
                      <w:szCs w:val="24"/>
                      <w:highlight w:val="none"/>
                      <w:vertAlign w:val="baseline"/>
                      <w:lang w:val="en-US" w:eastAsia="zh-CN"/>
                    </w:rPr>
                  </w:pPr>
                  <w:r>
                    <w:rPr>
                      <w:rFonts w:hint="eastAsia" w:ascii="宋体" w:hAnsi="宋体" w:eastAsia="宋体" w:cs="宋体"/>
                      <w:snapToGrid w:val="0"/>
                      <w:color w:val="auto"/>
                      <w:kern w:val="28"/>
                      <w:sz w:val="24"/>
                      <w:szCs w:val="24"/>
                      <w:highlight w:val="none"/>
                      <w:vertAlign w:val="baseline"/>
                      <w:lang w:val="en-US" w:eastAsia="zh-CN"/>
                    </w:rPr>
                    <w:t>≤100万元</w:t>
                  </w:r>
                </w:p>
              </w:tc>
              <w:tc>
                <w:tcPr>
                  <w:tcW w:w="3020" w:type="dxa"/>
                </w:tcPr>
                <w:p w14:paraId="5C6CBC43">
                  <w:pPr>
                    <w:spacing w:line="360" w:lineRule="auto"/>
                    <w:jc w:val="center"/>
                    <w:rPr>
                      <w:rFonts w:hint="eastAsia" w:ascii="宋体" w:hAnsi="宋体" w:eastAsia="宋体" w:cs="宋体"/>
                      <w:snapToGrid w:val="0"/>
                      <w:color w:val="auto"/>
                      <w:kern w:val="28"/>
                      <w:sz w:val="24"/>
                      <w:szCs w:val="24"/>
                      <w:highlight w:val="none"/>
                      <w:vertAlign w:val="baseline"/>
                      <w:lang w:val="en-US" w:eastAsia="zh-CN"/>
                    </w:rPr>
                  </w:pPr>
                  <w:r>
                    <w:rPr>
                      <w:rFonts w:hint="eastAsia" w:ascii="宋体" w:hAnsi="宋体" w:eastAsia="宋体" w:cs="宋体"/>
                      <w:snapToGrid w:val="0"/>
                      <w:color w:val="auto"/>
                      <w:kern w:val="28"/>
                      <w:sz w:val="24"/>
                      <w:szCs w:val="24"/>
                      <w:highlight w:val="none"/>
                      <w:vertAlign w:val="baseline"/>
                      <w:lang w:val="en-US" w:eastAsia="zh-CN"/>
                    </w:rPr>
                    <w:t>1.50%</w:t>
                  </w:r>
                </w:p>
              </w:tc>
            </w:tr>
          </w:tbl>
          <w:p w14:paraId="08654ED4">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2、结算方式及时间为：在领取中标通知书时由中标人一次性向采购代理机构付清。</w:t>
            </w:r>
          </w:p>
          <w:p w14:paraId="771865F3">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3、代理服务费汇入以下账户：</w:t>
            </w:r>
          </w:p>
          <w:p w14:paraId="696ED088">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收款单位（户名）：浙江省房地产管理咨询有限公司</w:t>
            </w:r>
          </w:p>
          <w:p w14:paraId="28483C75">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开  户：杭州银行保俶支行</w:t>
            </w:r>
          </w:p>
          <w:p w14:paraId="51080236">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账  号：77508100150602</w:t>
            </w:r>
          </w:p>
          <w:p w14:paraId="7224FD87">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4、增值税发票开具资料：单位名称、税号（统一社会信用代码）、开户行名称、账号、地址及联系电话。</w:t>
            </w:r>
          </w:p>
        </w:tc>
      </w:tr>
    </w:tbl>
    <w:p w14:paraId="419B508E">
      <w:pPr>
        <w:spacing w:line="360" w:lineRule="auto"/>
        <w:jc w:val="center"/>
        <w:outlineLvl w:val="9"/>
        <w:rPr>
          <w:rFonts w:hint="eastAsia" w:ascii="宋体" w:hAnsi="宋体" w:eastAsia="宋体" w:cs="宋体"/>
          <w:b/>
          <w:color w:val="000000" w:themeColor="text1"/>
          <w:sz w:val="36"/>
          <w:szCs w:val="36"/>
          <w:highlight w:val="none"/>
          <w14:textFill>
            <w14:solidFill>
              <w14:schemeClr w14:val="tx1"/>
            </w14:solidFill>
          </w14:textFill>
        </w:rPr>
      </w:pPr>
    </w:p>
    <w:p w14:paraId="27C2C8F7">
      <w:pPr>
        <w:spacing w:line="240" w:lineRule="auto"/>
        <w:jc w:val="left"/>
        <w:outlineLvl w:val="9"/>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7A87BB6D">
      <w:pPr>
        <w:pStyle w:val="2"/>
        <w:jc w:val="center"/>
        <w:rPr>
          <w:rFonts w:hint="eastAsia" w:ascii="宋体" w:hAnsi="宋体" w:eastAsia="宋体" w:cs="宋体"/>
          <w:b w:val="0"/>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二</w:t>
      </w:r>
      <w:r>
        <w:rPr>
          <w:rFonts w:hint="eastAsia" w:ascii="宋体" w:hAnsi="宋体" w:eastAsia="宋体" w:cs="宋体"/>
          <w:color w:val="000000" w:themeColor="text1"/>
          <w:sz w:val="36"/>
          <w:szCs w:val="36"/>
          <w:highlight w:val="none"/>
          <w14:textFill>
            <w14:solidFill>
              <w14:schemeClr w14:val="tx1"/>
            </w14:solidFill>
          </w14:textFill>
        </w:rPr>
        <w:t>、总则</w:t>
      </w:r>
    </w:p>
    <w:p w14:paraId="53310FA7">
      <w:pPr>
        <w:snapToGrid w:val="0"/>
        <w:spacing w:line="360" w:lineRule="auto"/>
        <w:jc w:val="left"/>
        <w:outlineLvl w:val="9"/>
        <w:rPr>
          <w:rFonts w:hint="eastAsia" w:ascii="宋体" w:hAnsi="宋体" w:eastAsia="宋体" w:cs="宋体"/>
          <w:b/>
          <w:color w:val="000000" w:themeColor="text1"/>
          <w:sz w:val="24"/>
          <w:highlight w:val="none"/>
          <w14:textFill>
            <w14:solidFill>
              <w14:schemeClr w14:val="tx1"/>
            </w14:solidFill>
          </w14:textFill>
        </w:rPr>
      </w:pPr>
      <w:bookmarkStart w:id="13" w:name="_Toc91899903"/>
      <w:r>
        <w:rPr>
          <w:rFonts w:hint="eastAsia" w:ascii="宋体" w:hAnsi="宋体" w:eastAsia="宋体" w:cs="宋体"/>
          <w:b/>
          <w:color w:val="000000" w:themeColor="text1"/>
          <w:sz w:val="24"/>
          <w:highlight w:val="none"/>
          <w14:textFill>
            <w14:solidFill>
              <w14:schemeClr w14:val="tx1"/>
            </w14:solidFill>
          </w14:textFill>
        </w:rPr>
        <w:t>1. 适用范围</w:t>
      </w:r>
    </w:p>
    <w:p w14:paraId="3582AB18">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3E0605D9">
      <w:pPr>
        <w:adjustRightInd/>
        <w:spacing w:line="360" w:lineRule="auto"/>
        <w:outlineLvl w:val="9"/>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2.定义</w:t>
      </w:r>
    </w:p>
    <w:p w14:paraId="718C0E8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“采购人”系指磋商邀请公告中载明的本项目的采购人。</w:t>
      </w:r>
    </w:p>
    <w:p w14:paraId="17C8AA4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“采购代理机构”系指磋商邀请公告中载明的本项目的采购代理机构。</w:t>
      </w:r>
    </w:p>
    <w:p w14:paraId="6E0939D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“供应商”系指响应磋商、参加本次竞争的法人、其他组织或自然人。</w:t>
      </w:r>
    </w:p>
    <w:p w14:paraId="4E026B3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436F6BD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 “成交人”系指经评审确定的成交供应商。</w:t>
      </w:r>
    </w:p>
    <w:p w14:paraId="1069E0E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27420BB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2.7“电子交易平台”是指本项目政府采购活动所依托的乐采云平台（https://hzjyg.lecaiyun.com）。</w:t>
      </w:r>
    </w:p>
    <w:p w14:paraId="3308ABD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6D7C4F2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2.9 </w:t>
      </w:r>
      <w:r>
        <w:rPr>
          <w:rFonts w:hint="eastAsia" w:ascii="宋体" w:hAnsi="宋体" w:eastAsia="宋体" w:cs="宋体"/>
          <w:color w:val="000000" w:themeColor="text1"/>
          <w:sz w:val="24"/>
          <w:highlight w:val="none"/>
          <w:u w:val="single"/>
          <w14:textFill>
            <w14:solidFill>
              <w14:schemeClr w14:val="tx1"/>
            </w14:solidFill>
          </w14:textFill>
        </w:rPr>
        <w:t>“书面形式”包括数据电文形式与纸质形式。数据电文形式与纸质形式的采购活动具有同等法律效力。</w:t>
      </w:r>
    </w:p>
    <w:p w14:paraId="4DE9EAFF">
      <w:pPr>
        <w:snapToGrid w:val="0"/>
        <w:spacing w:line="360" w:lineRule="auto"/>
        <w:ind w:firstLine="480"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2.10 “▲”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系指不适用本项目的要求。</w:t>
      </w:r>
    </w:p>
    <w:p w14:paraId="0A72CA17">
      <w:pPr>
        <w:adjustRightInd/>
        <w:spacing w:line="360" w:lineRule="auto"/>
        <w:outlineLvl w:val="9"/>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 响应有效期</w:t>
      </w:r>
    </w:p>
    <w:p w14:paraId="16219857">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▲3.1</w:t>
      </w:r>
      <w:r>
        <w:rPr>
          <w:rFonts w:hint="eastAsia" w:ascii="宋体" w:hAnsi="宋体" w:eastAsia="宋体" w:cs="宋体"/>
          <w:b/>
          <w:color w:val="000000" w:themeColor="text1"/>
          <w:sz w:val="24"/>
          <w:szCs w:val="20"/>
          <w:highlight w:val="none"/>
          <w14:textFill>
            <w14:solidFill>
              <w14:schemeClr w14:val="tx1"/>
            </w14:solidFill>
          </w14:textFill>
        </w:rPr>
        <w:t>响应有效期为从提交响应文件的截止之日起90天。供应商的响应文件中承</w:t>
      </w:r>
      <w:r>
        <w:rPr>
          <w:rFonts w:hint="eastAsia" w:ascii="宋体" w:hAnsi="宋体" w:eastAsia="宋体" w:cs="宋体"/>
          <w:b/>
          <w:color w:val="000000" w:themeColor="text1"/>
          <w:sz w:val="24"/>
          <w:szCs w:val="21"/>
          <w:highlight w:val="none"/>
          <w14:textFill>
            <w14:solidFill>
              <w14:schemeClr w14:val="tx1"/>
            </w14:solidFill>
          </w14:textFill>
        </w:rPr>
        <w:t>诺的响应有效期少于磋商文件中载明的磋商有效期的，响应无效。</w:t>
      </w:r>
    </w:p>
    <w:p w14:paraId="09515433">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3.2响应文件合格提交后，自响应截止日期起，在响应有效期内有效。</w:t>
      </w:r>
    </w:p>
    <w:p w14:paraId="79EE773E">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宋体" w:hAnsi="宋体" w:eastAsia="宋体" w:cs="宋体"/>
          <w:color w:val="000000" w:themeColor="text1"/>
          <w:szCs w:val="24"/>
          <w:highlight w:val="none"/>
          <w14:textFill>
            <w14:solidFill>
              <w14:schemeClr w14:val="tx1"/>
            </w14:solidFill>
          </w14:textFill>
        </w:rPr>
        <w:t>拒绝延长磋商有效期的供应商不得再参与该项目后续采购活动。</w:t>
      </w:r>
    </w:p>
    <w:p w14:paraId="281E3AE6">
      <w:pPr>
        <w:tabs>
          <w:tab w:val="left" w:pos="3780"/>
        </w:tabs>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4．响应费用</w:t>
      </w:r>
    </w:p>
    <w:p w14:paraId="73EF9BCB">
      <w:pPr>
        <w:pStyle w:val="9"/>
        <w:spacing w:line="360" w:lineRule="auto"/>
        <w:ind w:right="-512" w:firstLine="360" w:firstLineChars="15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供应商需自行承担涉及响应的一切费用</w:t>
      </w:r>
      <w:r>
        <w:rPr>
          <w:rFonts w:hint="eastAsia" w:ascii="宋体" w:hAnsi="宋体" w:eastAsia="宋体" w:cs="宋体"/>
          <w:color w:val="000000" w:themeColor="text1"/>
          <w:sz w:val="24"/>
          <w:highlight w:val="none"/>
          <w:lang w:val="zh-CN"/>
          <w14:textFill>
            <w14:solidFill>
              <w14:schemeClr w14:val="tx1"/>
            </w14:solidFill>
          </w14:textFill>
        </w:rPr>
        <w:t>。</w:t>
      </w:r>
    </w:p>
    <w:p w14:paraId="0CEB290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47186130">
      <w:pPr>
        <w:pStyle w:val="2"/>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三、需要落实的政府采购政策</w:t>
      </w:r>
    </w:p>
    <w:p w14:paraId="3399B8E1">
      <w:pPr>
        <w:pStyle w:val="2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1.是否允许采购进口产品要求</w:t>
      </w:r>
    </w:p>
    <w:p w14:paraId="13CD0EEA">
      <w:pPr>
        <w:pStyle w:val="9"/>
        <w:spacing w:line="360" w:lineRule="auto"/>
        <w:ind w:right="-512"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highlight w:val="none"/>
          <w14:textFill>
            <w14:solidFill>
              <w14:schemeClr w14:val="tx1"/>
            </w14:solidFill>
          </w14:textFill>
        </w:rPr>
        <w:t>。</w:t>
      </w:r>
    </w:p>
    <w:p w14:paraId="54E372FE">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2.支持绿色发展</w:t>
      </w:r>
    </w:p>
    <w:p w14:paraId="715D7E58">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3852307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14:paraId="7090181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692E46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43C18AC">
      <w:pPr>
        <w:pStyle w:val="9"/>
        <w:spacing w:line="360" w:lineRule="auto"/>
        <w:ind w:right="-51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3.支持中小企业发展</w:t>
      </w:r>
    </w:p>
    <w:p w14:paraId="1290386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79DD85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14:paraId="3B4ACEE8">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3.2</w:t>
      </w:r>
      <w:r>
        <w:rPr>
          <w:rFonts w:hint="eastAsia" w:ascii="宋体" w:hAnsi="宋体" w:eastAsia="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54E3F971">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9AAECA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8B0B08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14:paraId="1862ED0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3A64C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4EBC00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06091C1E">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w:t>
      </w:r>
      <w:r>
        <w:rPr>
          <w:rFonts w:hint="eastAsia" w:ascii="宋体" w:hAnsi="宋体" w:eastAsia="宋体" w:cs="宋体"/>
          <w:b/>
          <w:bCs/>
          <w:color w:val="000000" w:themeColor="text1"/>
          <w:sz w:val="24"/>
          <w:highlight w:val="none"/>
          <w14:textFill>
            <w14:solidFill>
              <w14:schemeClr w14:val="tx1"/>
            </w14:solidFill>
          </w14:textFill>
        </w:rPr>
        <w:t>支持创新发展</w:t>
      </w:r>
    </w:p>
    <w:p w14:paraId="187E214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 采购人优先采购被认定为首台套产品和“制造精品”的自主创新产品。</w:t>
      </w:r>
    </w:p>
    <w:p w14:paraId="4F3BE67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3845E74">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5.平等对待内外资企业和符合条件的破产重整企业</w:t>
      </w:r>
    </w:p>
    <w:p w14:paraId="6946AB2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306E12D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1256CAF">
      <w:pPr>
        <w:pStyle w:val="2"/>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四、询问、质疑与投诉</w:t>
      </w:r>
    </w:p>
    <w:p w14:paraId="1068D53F">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1.在线询问、质疑、投诉</w:t>
      </w:r>
    </w:p>
    <w:p w14:paraId="3DD97611">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乐采云-投诉处理-在线办理。</w:t>
      </w:r>
    </w:p>
    <w:p w14:paraId="099E1B3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 供应商询问</w:t>
      </w:r>
    </w:p>
    <w:p w14:paraId="393638D6">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BF09AA">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 供应商质疑</w:t>
      </w:r>
    </w:p>
    <w:p w14:paraId="687D561A">
      <w:pPr>
        <w:pStyle w:val="9"/>
        <w:spacing w:line="360" w:lineRule="auto"/>
        <w:ind w:right="-512"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.1质疑提出时效</w:t>
      </w:r>
    </w:p>
    <w:p w14:paraId="40EA4DB4">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196E0464">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4A89576">
      <w:pPr>
        <w:pStyle w:val="5"/>
        <w:spacing w:line="360" w:lineRule="auto"/>
        <w:ind w:firstLine="434" w:firstLineChars="181"/>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51A32811">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3.1.2.2对采购过程提出质疑的，质疑期限为各采购程序环节结束之日起计算。</w:t>
      </w:r>
    </w:p>
    <w:p w14:paraId="3CB0A8B5">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3.1.2.3对采购结果提出质疑的，质疑期限自采购结果公告期限届满之日起计算。</w:t>
      </w:r>
    </w:p>
    <w:p w14:paraId="30C5E9CF">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3.1.2.4对同一采购程序环节的质疑，供应商须一次性提出。</w:t>
      </w:r>
    </w:p>
    <w:p w14:paraId="790A678E">
      <w:pPr>
        <w:pStyle w:val="9"/>
        <w:spacing w:line="360" w:lineRule="auto"/>
        <w:ind w:right="-512"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3.2质疑答复</w:t>
      </w:r>
    </w:p>
    <w:p w14:paraId="1F6A6288">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9818F7C">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2.2询问或者质疑事项可能影响采购结果的，采购人应当暂停签订合同，已经签订合同的，应当中止履行合同。</w:t>
      </w:r>
    </w:p>
    <w:p w14:paraId="01D5F012">
      <w:pPr>
        <w:pStyle w:val="9"/>
        <w:spacing w:line="360" w:lineRule="auto"/>
        <w:ind w:right="-512"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3.3质疑函</w:t>
      </w:r>
    </w:p>
    <w:p w14:paraId="7A1E6049">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3.3.1供应商提出质疑应当提交质疑函和必要的证明材料。质疑函应当包括下列内容：</w:t>
      </w:r>
    </w:p>
    <w:p w14:paraId="506DF8A0">
      <w:pPr>
        <w:pStyle w:val="9"/>
        <w:numPr>
          <w:ilvl w:val="0"/>
          <w:numId w:val="2"/>
        </w:numPr>
        <w:tabs>
          <w:tab w:val="left" w:pos="426"/>
          <w:tab w:val="clear" w:pos="840"/>
        </w:tabs>
        <w:spacing w:line="360" w:lineRule="auto"/>
        <w:ind w:left="-359"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供应商的姓名或者名称、地址、邮编、联系人及联系电话；</w:t>
      </w:r>
    </w:p>
    <w:p w14:paraId="5EF77248">
      <w:pPr>
        <w:pStyle w:val="9"/>
        <w:numPr>
          <w:ilvl w:val="0"/>
          <w:numId w:val="2"/>
        </w:numPr>
        <w:tabs>
          <w:tab w:val="left" w:pos="426"/>
          <w:tab w:val="clear" w:pos="840"/>
        </w:tabs>
        <w:spacing w:line="360" w:lineRule="auto"/>
        <w:ind w:left="-359"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质疑项目的名称、编号；</w:t>
      </w:r>
    </w:p>
    <w:p w14:paraId="6DB89B45">
      <w:pPr>
        <w:pStyle w:val="9"/>
        <w:numPr>
          <w:ilvl w:val="0"/>
          <w:numId w:val="2"/>
        </w:numPr>
        <w:tabs>
          <w:tab w:val="left" w:pos="426"/>
          <w:tab w:val="clear" w:pos="840"/>
        </w:tabs>
        <w:spacing w:line="360" w:lineRule="auto"/>
        <w:ind w:left="-359"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具体、明确的质疑事项和与质疑事项相关的请求；</w:t>
      </w:r>
    </w:p>
    <w:p w14:paraId="1D49956A">
      <w:pPr>
        <w:pStyle w:val="9"/>
        <w:numPr>
          <w:ilvl w:val="0"/>
          <w:numId w:val="2"/>
        </w:numPr>
        <w:tabs>
          <w:tab w:val="left" w:pos="426"/>
          <w:tab w:val="clear" w:pos="840"/>
        </w:tabs>
        <w:spacing w:line="360" w:lineRule="auto"/>
        <w:ind w:left="-359"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事实依据；</w:t>
      </w:r>
    </w:p>
    <w:p w14:paraId="24C82512">
      <w:pPr>
        <w:pStyle w:val="9"/>
        <w:numPr>
          <w:ilvl w:val="0"/>
          <w:numId w:val="2"/>
        </w:numPr>
        <w:tabs>
          <w:tab w:val="left" w:pos="426"/>
          <w:tab w:val="clear" w:pos="840"/>
        </w:tabs>
        <w:spacing w:line="360" w:lineRule="auto"/>
        <w:ind w:left="-359"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必要的法律依据；</w:t>
      </w:r>
    </w:p>
    <w:p w14:paraId="69BD33F4">
      <w:pPr>
        <w:pStyle w:val="9"/>
        <w:numPr>
          <w:ilvl w:val="0"/>
          <w:numId w:val="2"/>
        </w:numPr>
        <w:tabs>
          <w:tab w:val="left" w:pos="426"/>
          <w:tab w:val="clear" w:pos="840"/>
        </w:tabs>
        <w:spacing w:line="360" w:lineRule="auto"/>
        <w:ind w:left="-359"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提出质疑的日期。</w:t>
      </w:r>
    </w:p>
    <w:p w14:paraId="3323573B">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DB7868C">
      <w:pPr>
        <w:pStyle w:val="9"/>
        <w:spacing w:line="360" w:lineRule="auto"/>
        <w:ind w:right="-512"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质疑函范本及制作说明详见附件1。</w:t>
      </w:r>
    </w:p>
    <w:p w14:paraId="3A7750A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4.供应商投诉</w:t>
      </w:r>
    </w:p>
    <w:p w14:paraId="0485A859">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4.1质疑供应商对采购人、采购代理机构的答复不满意或者采购人、采购代理机构未在规定的时间内作出答复的，可以在答复期满后十五个工作日内向同级政府采购监督管理部门提出投诉。</w:t>
      </w:r>
    </w:p>
    <w:p w14:paraId="0CEEC880">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4.2供应商投诉的事项不得超出已质疑事项的范围，基于质疑答复内容提出的投诉事项除外。</w:t>
      </w:r>
    </w:p>
    <w:p w14:paraId="47700383">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4.3供应商投诉应当有明确的请求和必要的证明材料。</w:t>
      </w:r>
    </w:p>
    <w:p w14:paraId="37C10FB8">
      <w:pPr>
        <w:pStyle w:val="9"/>
        <w:spacing w:line="360" w:lineRule="auto"/>
        <w:ind w:right="-512"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4.4以联合体形式参加政府采购活动的，其投诉应当由组成联合体的所有供应商共同提出。</w:t>
      </w:r>
    </w:p>
    <w:p w14:paraId="7343C34D">
      <w:pPr>
        <w:pStyle w:val="9"/>
        <w:spacing w:line="360" w:lineRule="auto"/>
        <w:ind w:right="-512"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投诉书范本及制作说明详见附件2。</w:t>
      </w:r>
    </w:p>
    <w:p w14:paraId="31A0C389">
      <w:pPr>
        <w:pStyle w:val="2"/>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五、磋商文件构成、修改、解释</w:t>
      </w:r>
    </w:p>
    <w:p w14:paraId="1FB80DC8">
      <w:pPr>
        <w:autoSpaceDE w:val="0"/>
        <w:autoSpaceDN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1．磋商文件的构成</w:t>
      </w:r>
    </w:p>
    <w:p w14:paraId="18C233BE">
      <w:pPr>
        <w:pStyle w:val="9"/>
        <w:spacing w:line="360" w:lineRule="auto"/>
        <w:ind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磋商文件包括下列文件及附件</w:t>
      </w:r>
    </w:p>
    <w:p w14:paraId="45767075">
      <w:pPr>
        <w:pStyle w:val="9"/>
        <w:numPr>
          <w:ilvl w:val="0"/>
          <w:numId w:val="2"/>
        </w:numPr>
        <w:spacing w:line="360" w:lineRule="auto"/>
        <w:ind w:left="-359"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第一部分  供应商邀请</w:t>
      </w:r>
    </w:p>
    <w:p w14:paraId="29EC5FDC">
      <w:pPr>
        <w:pStyle w:val="9"/>
        <w:numPr>
          <w:ilvl w:val="0"/>
          <w:numId w:val="2"/>
        </w:numPr>
        <w:spacing w:line="360" w:lineRule="auto"/>
        <w:ind w:left="-359"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第二部分  竞争性磋商流程</w:t>
      </w:r>
    </w:p>
    <w:p w14:paraId="10C3D4A7">
      <w:pPr>
        <w:pStyle w:val="9"/>
        <w:numPr>
          <w:ilvl w:val="0"/>
          <w:numId w:val="2"/>
        </w:numPr>
        <w:spacing w:line="360" w:lineRule="auto"/>
        <w:ind w:left="-359"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第三部分  供应商须知</w:t>
      </w:r>
    </w:p>
    <w:p w14:paraId="09144D94">
      <w:pPr>
        <w:pStyle w:val="9"/>
        <w:numPr>
          <w:ilvl w:val="0"/>
          <w:numId w:val="2"/>
        </w:numPr>
        <w:spacing w:line="360" w:lineRule="auto"/>
        <w:ind w:left="-359"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第四部分  采购需求</w:t>
      </w:r>
    </w:p>
    <w:p w14:paraId="137961D0">
      <w:pPr>
        <w:pStyle w:val="9"/>
        <w:numPr>
          <w:ilvl w:val="0"/>
          <w:numId w:val="2"/>
        </w:numPr>
        <w:spacing w:line="360" w:lineRule="auto"/>
        <w:ind w:left="-359"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第五部分  评审方法及评审标准</w:t>
      </w:r>
    </w:p>
    <w:p w14:paraId="582257C4">
      <w:pPr>
        <w:pStyle w:val="9"/>
        <w:numPr>
          <w:ilvl w:val="0"/>
          <w:numId w:val="2"/>
        </w:numPr>
        <w:spacing w:line="360" w:lineRule="auto"/>
        <w:ind w:left="-359"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第六部分  拟签订的合同文本</w:t>
      </w:r>
    </w:p>
    <w:p w14:paraId="4A6E3B54">
      <w:pPr>
        <w:pStyle w:val="9"/>
        <w:numPr>
          <w:ilvl w:val="0"/>
          <w:numId w:val="2"/>
        </w:numPr>
        <w:spacing w:line="360" w:lineRule="auto"/>
        <w:ind w:left="-359"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第七部分  应提交的有关格式范例</w:t>
      </w:r>
    </w:p>
    <w:p w14:paraId="4A917D7E">
      <w:pPr>
        <w:pStyle w:val="9"/>
        <w:spacing w:line="360" w:lineRule="auto"/>
        <w:ind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1.2 </w:t>
      </w:r>
      <w:r>
        <w:rPr>
          <w:rFonts w:hint="eastAsia" w:ascii="宋体" w:hAnsi="宋体" w:eastAsia="宋体" w:cs="宋体"/>
          <w:color w:val="000000" w:themeColor="text1"/>
          <w:sz w:val="24"/>
          <w:highlight w:val="none"/>
          <w14:textFill>
            <w14:solidFill>
              <w14:schemeClr w14:val="tx1"/>
            </w14:solidFill>
          </w14:textFill>
        </w:rPr>
        <w:t>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澄清或者修改的内容为磋商文件的组成部分</w:t>
      </w:r>
      <w:r>
        <w:rPr>
          <w:rFonts w:hint="eastAsia" w:ascii="宋体" w:hAnsi="宋体" w:eastAsia="宋体" w:cs="宋体"/>
          <w:color w:val="000000" w:themeColor="text1"/>
          <w:sz w:val="24"/>
          <w:highlight w:val="none"/>
          <w14:textFill>
            <w14:solidFill>
              <w14:schemeClr w14:val="tx1"/>
            </w14:solidFill>
          </w14:textFill>
        </w:rPr>
        <w:t>。</w:t>
      </w:r>
    </w:p>
    <w:p w14:paraId="7E94061B">
      <w:pPr>
        <w:pStyle w:val="9"/>
        <w:spacing w:line="360" w:lineRule="auto"/>
        <w:ind w:right="-512" w:firstLine="57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 磋商文件的澄清、修改</w:t>
      </w:r>
    </w:p>
    <w:p w14:paraId="658289FB">
      <w:pPr>
        <w:pStyle w:val="2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2.1已获取磋商文件的潜在供应商，若有问题需要澄清，应于提交首次响应文件截止时间前，以书面形式向采购代理机构提出。</w:t>
      </w:r>
    </w:p>
    <w:p w14:paraId="5B723A81">
      <w:pPr>
        <w:pStyle w:val="2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5B50E61">
      <w:pPr>
        <w:pStyle w:val="2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6DFFE44D">
      <w:pPr>
        <w:pStyle w:val="22"/>
        <w:snapToGrid w:val="0"/>
        <w:spacing w:before="0"/>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响应文件未按磋商文件的澄清、修改的内容编制，又不符合实质性要求的，响应无效。</w:t>
      </w:r>
    </w:p>
    <w:p w14:paraId="57462F15">
      <w:pPr>
        <w:pStyle w:val="2"/>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六、响应文件的编制</w:t>
      </w:r>
    </w:p>
    <w:p w14:paraId="3618F3E6">
      <w:pPr>
        <w:pStyle w:val="9"/>
        <w:spacing w:line="360" w:lineRule="auto"/>
        <w:ind w:right="-512" w:firstLine="57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响应文件的语言</w:t>
      </w:r>
    </w:p>
    <w:p w14:paraId="40F99ECF">
      <w:pPr>
        <w:pStyle w:val="9"/>
        <w:spacing w:line="360" w:lineRule="auto"/>
        <w:ind w:right="-512"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响应文件及供应商与采购有关的来往通知、函件和文件均应使用中文。</w:t>
      </w:r>
    </w:p>
    <w:p w14:paraId="23297795">
      <w:pPr>
        <w:pStyle w:val="9"/>
        <w:spacing w:line="360" w:lineRule="auto"/>
        <w:ind w:right="-512" w:firstLine="57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 响应文件的组成</w:t>
      </w:r>
    </w:p>
    <w:p w14:paraId="61D7FB43">
      <w:pPr>
        <w:pStyle w:val="9"/>
        <w:spacing w:line="360" w:lineRule="auto"/>
        <w:ind w:right="-512"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响应文件应当包括以下主要内容：</w:t>
      </w:r>
    </w:p>
    <w:p w14:paraId="2C6DCBBF">
      <w:pPr>
        <w:pStyle w:val="9"/>
        <w:spacing w:line="360" w:lineRule="auto"/>
        <w:ind w:right="-512"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资格文件、商务技术文件、报价文件</w:t>
      </w:r>
    </w:p>
    <w:p w14:paraId="60CF8834">
      <w:pPr>
        <w:pStyle w:val="9"/>
        <w:spacing w:line="360" w:lineRule="auto"/>
        <w:ind w:right="-512"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 响应文件的编制和签署</w:t>
      </w:r>
    </w:p>
    <w:p w14:paraId="466C6022">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3FFA9EB1">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736AAD90">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21201DFD">
      <w:pPr>
        <w:pStyle w:val="22"/>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3.4响应文件按照磋商文件第七部分格式要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▲供应商的响应文件未按照磋商文件要求签署、盖章的，其响应无效</w:t>
      </w:r>
      <w:r>
        <w:rPr>
          <w:rFonts w:hint="eastAsia" w:ascii="宋体" w:hAnsi="宋体" w:eastAsia="宋体" w:cs="宋体"/>
          <w:color w:val="000000" w:themeColor="text1"/>
          <w:szCs w:val="24"/>
          <w:highlight w:val="none"/>
          <w14:textFill>
            <w14:solidFill>
              <w14:schemeClr w14:val="tx1"/>
            </w14:solidFill>
          </w14:textFill>
        </w:rPr>
        <w:t>。</w:t>
      </w:r>
    </w:p>
    <w:p w14:paraId="1FB1D4FF">
      <w:pPr>
        <w:pStyle w:val="2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51B062D4">
      <w:pPr>
        <w:pStyle w:val="22"/>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3.6磋商文件对响应文件签署、盖章的要求适用于电子签名。</w:t>
      </w:r>
    </w:p>
    <w:p w14:paraId="6424C8BE">
      <w:pPr>
        <w:pStyle w:val="9"/>
        <w:spacing w:line="360" w:lineRule="auto"/>
        <w:ind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D7405C5">
      <w:pPr>
        <w:pStyle w:val="2"/>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七、响应文件的提交和备份</w:t>
      </w:r>
    </w:p>
    <w:p w14:paraId="50A5B5EA">
      <w:pPr>
        <w:pStyle w:val="2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p>
    <w:p w14:paraId="63268646">
      <w:pPr>
        <w:pStyle w:val="22"/>
        <w:spacing w:before="0"/>
        <w:ind w:firstLine="482" w:firstLineChars="20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1.响应文件的提交、补充、修改、撤回</w:t>
      </w:r>
    </w:p>
    <w:p w14:paraId="4C736561">
      <w:pPr>
        <w:pStyle w:val="22"/>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A3EFC4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 在响应截止时间以后，不能补充、修改响应文件。</w:t>
      </w:r>
    </w:p>
    <w:p w14:paraId="3323280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 在提交“最后报价”后，供应商不能退出磋商。</w:t>
      </w:r>
    </w:p>
    <w:p w14:paraId="600A3BA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27CDA81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0D0D6944">
      <w:pPr>
        <w:pStyle w:val="9"/>
        <w:spacing w:line="360" w:lineRule="auto"/>
        <w:ind w:right="-512" w:firstLine="57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2.备份响应文件</w:t>
      </w:r>
    </w:p>
    <w:p w14:paraId="6A104F8C">
      <w:pPr>
        <w:pStyle w:val="9"/>
        <w:spacing w:line="360" w:lineRule="auto"/>
        <w:ind w:right="-512"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宋体" w:hAnsi="宋体" w:eastAsia="宋体" w:cs="宋体"/>
          <w:b/>
          <w:color w:val="000000" w:themeColor="text1"/>
          <w:sz w:val="24"/>
          <w:szCs w:val="24"/>
          <w:highlight w:val="none"/>
          <w14:textFill>
            <w14:solidFill>
              <w14:schemeClr w14:val="tx1"/>
            </w14:solidFill>
          </w14:textFill>
        </w:rPr>
        <w:t>但采购人、采购代理机构不强制或变相强制供应商提交备份响应文件。</w:t>
      </w:r>
    </w:p>
    <w:p w14:paraId="35C8C870">
      <w:pPr>
        <w:pStyle w:val="9"/>
        <w:spacing w:line="360" w:lineRule="auto"/>
        <w:ind w:right="-512"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备份响应文件须在“政采云投标客户端”制作生成，并储存在不可修改的</w:t>
      </w:r>
      <w:r>
        <w:rPr>
          <w:rFonts w:hint="eastAsia" w:ascii="宋体" w:hAnsi="宋体" w:eastAsia="宋体" w:cs="宋体"/>
          <w:b/>
          <w:color w:val="000000" w:themeColor="text1"/>
          <w:sz w:val="24"/>
          <w:highlight w:val="none"/>
          <w:u w:val="single"/>
          <w14:textFill>
            <w14:solidFill>
              <w14:schemeClr w14:val="tx1"/>
            </w14:solidFill>
          </w14:textFill>
        </w:rPr>
        <w:t>电子光盘等存储介质</w:t>
      </w:r>
      <w:r>
        <w:rPr>
          <w:rFonts w:hint="eastAsia" w:ascii="宋体" w:hAnsi="宋体" w:eastAsia="宋体" w:cs="宋体"/>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000000" w:themeColor="text1"/>
          <w:sz w:val="24"/>
          <w:highlight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14:textFill>
            <w14:solidFill>
              <w14:schemeClr w14:val="tx1"/>
            </w14:solidFill>
          </w14:textFill>
        </w:rPr>
        <w:t>存储、密封规定的备份响应文件将被视为无效或者被拒绝接收。</w:t>
      </w:r>
    </w:p>
    <w:p w14:paraId="34671287">
      <w:pPr>
        <w:pStyle w:val="9"/>
        <w:spacing w:line="360" w:lineRule="auto"/>
        <w:ind w:right="-512"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直接提交备份响应文件的，供应商应于响应截止时间前在磋商公告中载明的开启响应文件的地点将备份响应文件提交给采购代理机构，采购代理机构将拒绝接受逾期送达的备份响应文件。</w:t>
      </w:r>
    </w:p>
    <w:p w14:paraId="0A34604A">
      <w:pPr>
        <w:pStyle w:val="9"/>
        <w:spacing w:line="360" w:lineRule="auto"/>
        <w:ind w:right="-512"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6C306CC">
      <w:pPr>
        <w:pStyle w:val="9"/>
        <w:spacing w:line="360" w:lineRule="auto"/>
        <w:ind w:right="-512" w:firstLine="361"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2.5 </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2BAF0DB1">
      <w:pPr>
        <w:pStyle w:val="2"/>
        <w:spacing w:line="360" w:lineRule="auto"/>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八、开启响应文件与信用信息查询</w:t>
      </w:r>
    </w:p>
    <w:p w14:paraId="065B050E">
      <w:pPr>
        <w:pStyle w:val="9"/>
        <w:spacing w:line="360" w:lineRule="auto"/>
        <w:ind w:right="-512" w:firstLine="57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 开启响应文件</w:t>
      </w:r>
    </w:p>
    <w:p w14:paraId="129FEB53">
      <w:pPr>
        <w:pStyle w:val="9"/>
        <w:spacing w:line="360" w:lineRule="auto"/>
        <w:ind w:right="-512"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采购代理机构按照磋商文件规定的时间通过电子交易平台组织响应文件开启，所有供应商均应当准时在线参加。</w:t>
      </w:r>
      <w:r>
        <w:rPr>
          <w:rFonts w:hint="eastAsia" w:ascii="宋体" w:hAnsi="宋体" w:eastAsia="宋体" w:cs="宋体"/>
          <w:b/>
          <w:color w:val="000000" w:themeColor="text1"/>
          <w:sz w:val="24"/>
          <w:szCs w:val="24"/>
          <w:highlight w:val="none"/>
          <w14:textFill>
            <w14:solidFill>
              <w14:schemeClr w14:val="tx1"/>
            </w14:solidFill>
          </w14:textFill>
        </w:rPr>
        <w:t>供应商数量不符合规定的，不得开启响应文件。</w:t>
      </w:r>
    </w:p>
    <w:p w14:paraId="2CC34BDA">
      <w:pPr>
        <w:pStyle w:val="9"/>
        <w:spacing w:line="360" w:lineRule="auto"/>
        <w:ind w:right="-512"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14:paraId="421AB3D5">
      <w:pPr>
        <w:pStyle w:val="9"/>
        <w:spacing w:line="360" w:lineRule="auto"/>
        <w:ind w:right="-512" w:firstLine="361"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7D54BB4E">
      <w:pPr>
        <w:pStyle w:val="2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2.信用信息查询</w:t>
      </w:r>
    </w:p>
    <w:p w14:paraId="77F353A2">
      <w:pPr>
        <w:pStyle w:val="22"/>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2.1信用信息查询渠道及截止时间：采购代理机构将通过“信用中国”网站(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20"/>
          <w:rFonts w:hint="eastAsia" w:ascii="宋体" w:hAnsi="宋体" w:eastAsia="宋体" w:cs="宋体"/>
          <w:color w:val="000000" w:themeColor="text1"/>
          <w:szCs w:val="24"/>
          <w:highlight w:val="none"/>
          <w14:textFill>
            <w14:solidFill>
              <w14:schemeClr w14:val="tx1"/>
            </w14:solidFill>
          </w14:textFill>
        </w:rPr>
        <w:t>www.creditchina.gov.cn</w:t>
      </w:r>
      <w:r>
        <w:rPr>
          <w:rStyle w:val="20"/>
          <w:rFonts w:hint="eastAsia" w:ascii="宋体" w:hAnsi="宋体" w:eastAsia="宋体" w:cs="宋体"/>
          <w:color w:val="000000" w:themeColor="text1"/>
          <w:szCs w:val="24"/>
          <w:highlight w:val="none"/>
          <w14:textFill>
            <w14:solidFill>
              <w14:schemeClr w14:val="tx1"/>
            </w14:solidFill>
          </w14:textFill>
        </w:rPr>
        <w:fldChar w:fldCharType="end"/>
      </w:r>
      <w:r>
        <w:rPr>
          <w:rFonts w:hint="eastAsia" w:ascii="宋体" w:hAnsi="宋体" w:eastAsia="宋体" w:cs="宋体"/>
          <w:color w:val="000000" w:themeColor="text1"/>
          <w:kern w:val="0"/>
          <w:szCs w:val="24"/>
          <w:highlight w:val="none"/>
          <w14:textFill>
            <w14:solidFill>
              <w14:schemeClr w14:val="tx1"/>
            </w14:solidFill>
          </w14:textFill>
        </w:rPr>
        <w:t>)、中国政府采购网(www.ccgp.gov.cn)渠道查询供应商响应截止时间前的信用记录。</w:t>
      </w:r>
    </w:p>
    <w:p w14:paraId="6C3E4C82">
      <w:pPr>
        <w:pStyle w:val="22"/>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18259C85">
      <w:pPr>
        <w:pStyle w:val="22"/>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707BBEEC">
      <w:pPr>
        <w:pStyle w:val="22"/>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88AA4E">
      <w:pPr>
        <w:pStyle w:val="9"/>
        <w:spacing w:line="360" w:lineRule="auto"/>
        <w:ind w:right="-512" w:firstLine="576"/>
        <w:rPr>
          <w:rFonts w:hint="eastAsia" w:ascii="宋体" w:hAnsi="宋体" w:eastAsia="宋体" w:cs="宋体"/>
          <w:b/>
          <w:color w:val="000000" w:themeColor="text1"/>
          <w:sz w:val="24"/>
          <w:szCs w:val="24"/>
          <w:highlight w:val="none"/>
          <w14:textFill>
            <w14:solidFill>
              <w14:schemeClr w14:val="tx1"/>
            </w14:solidFill>
          </w14:textFill>
        </w:rPr>
      </w:pPr>
    </w:p>
    <w:p w14:paraId="203A1A5E">
      <w:pPr>
        <w:pStyle w:val="2"/>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九、提交最后报价</w:t>
      </w:r>
    </w:p>
    <w:p w14:paraId="5FF61141">
      <w:pPr>
        <w:snapToGrid w:val="0"/>
        <w:spacing w:line="360" w:lineRule="auto"/>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供应商的</w:t>
      </w:r>
      <w:r>
        <w:rPr>
          <w:rFonts w:hint="eastAsia" w:ascii="宋体" w:hAnsi="宋体" w:eastAsia="宋体" w:cs="宋体"/>
          <w:b/>
          <w:color w:val="000000" w:themeColor="text1"/>
          <w:sz w:val="24"/>
          <w:highlight w:val="none"/>
          <w14:textFill>
            <w14:solidFill>
              <w14:schemeClr w14:val="tx1"/>
            </w14:solidFill>
          </w14:textFill>
        </w:rPr>
        <w:t>最后报价文件</w:t>
      </w:r>
      <w:r>
        <w:rPr>
          <w:rFonts w:hint="eastAsia" w:ascii="宋体" w:hAnsi="宋体" w:eastAsia="宋体" w:cs="宋体"/>
          <w:color w:val="000000" w:themeColor="text1"/>
          <w:sz w:val="24"/>
          <w:highlight w:val="none"/>
          <w14:textFill>
            <w14:solidFill>
              <w14:schemeClr w14:val="tx1"/>
            </w14:solidFill>
          </w14:textFill>
        </w:rPr>
        <w:t>应包括以下内容：</w:t>
      </w:r>
    </w:p>
    <w:p w14:paraId="2D3B36F8">
      <w:pPr>
        <w:pStyle w:val="9"/>
        <w:snapToGrid w:val="0"/>
        <w:spacing w:line="360" w:lineRule="auto"/>
        <w:ind w:right="-5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1.1最后报价一览表；</w:t>
      </w:r>
    </w:p>
    <w:p w14:paraId="563BDD9C">
      <w:pPr>
        <w:pStyle w:val="2"/>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十、评审</w:t>
      </w:r>
    </w:p>
    <w:p w14:paraId="731C3928">
      <w:pPr>
        <w:pStyle w:val="22"/>
        <w:spacing w:before="0"/>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w:t>
      </w:r>
      <w:r>
        <w:rPr>
          <w:rFonts w:hint="eastAsia" w:ascii="宋体" w:hAnsi="宋体" w:eastAsia="宋体" w:cs="宋体"/>
          <w:b/>
          <w:color w:val="000000" w:themeColor="text1"/>
          <w:highlight w:val="none"/>
          <w14:textFill>
            <w14:solidFill>
              <w14:schemeClr w14:val="tx1"/>
            </w14:solidFill>
          </w14:textFill>
        </w:rPr>
        <w:t xml:space="preserve"> 评审方法：</w:t>
      </w:r>
      <w:r>
        <w:rPr>
          <w:rFonts w:hint="eastAsia" w:ascii="宋体" w:hAnsi="宋体" w:eastAsia="宋体" w:cs="宋体"/>
          <w:color w:val="000000" w:themeColor="text1"/>
          <w:highlight w:val="none"/>
          <w14:textFill>
            <w14:solidFill>
              <w14:schemeClr w14:val="tx1"/>
            </w14:solidFill>
          </w14:textFill>
        </w:rPr>
        <w:t>综合评分法。</w:t>
      </w:r>
    </w:p>
    <w:p w14:paraId="62633346">
      <w:pPr>
        <w:pStyle w:val="22"/>
        <w:spacing w:before="0"/>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 价格分计算方法：</w:t>
      </w:r>
      <w:r>
        <w:rPr>
          <w:rFonts w:hint="eastAsia" w:ascii="宋体" w:hAnsi="宋体" w:eastAsia="宋体" w:cs="宋体"/>
          <w:color w:val="000000" w:themeColor="text1"/>
          <w:highlight w:val="none"/>
          <w14:textFill>
            <w14:solidFill>
              <w14:schemeClr w14:val="tx1"/>
            </w14:solidFill>
          </w14:textFill>
        </w:rPr>
        <w:t>低价优先法。</w:t>
      </w:r>
    </w:p>
    <w:p w14:paraId="73DFE7F6">
      <w:pPr>
        <w:pStyle w:val="22"/>
        <w:spacing w:before="0"/>
        <w:ind w:firstLine="0" w:firstLineChars="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 评审要求：</w:t>
      </w:r>
      <w:r>
        <w:rPr>
          <w:rFonts w:hint="eastAsia" w:ascii="宋体" w:hAnsi="宋体" w:eastAsia="宋体" w:cs="宋体"/>
          <w:color w:val="000000" w:themeColor="text1"/>
          <w:highlight w:val="none"/>
          <w14:textFill>
            <w14:solidFill>
              <w14:schemeClr w14:val="tx1"/>
            </w14:solidFill>
          </w14:textFill>
        </w:rPr>
        <w:t>详见磋商文件第五部分“评审方法及评审标准”。</w:t>
      </w:r>
    </w:p>
    <w:p w14:paraId="21981731">
      <w:pPr>
        <w:pStyle w:val="2"/>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十一、成交</w:t>
      </w:r>
    </w:p>
    <w:p w14:paraId="052BF830">
      <w:pPr>
        <w:pStyle w:val="9"/>
        <w:spacing w:line="360" w:lineRule="auto"/>
        <w:ind w:right="-512" w:firstLine="57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推荐成交候选供应商</w:t>
      </w:r>
    </w:p>
    <w:p w14:paraId="19228227">
      <w:pPr>
        <w:spacing w:line="360" w:lineRule="auto"/>
        <w:ind w:firstLine="465" w:firstLineChars="194"/>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78CB938D">
      <w:pPr>
        <w:pStyle w:val="9"/>
        <w:spacing w:line="360" w:lineRule="auto"/>
        <w:ind w:right="-512" w:firstLine="57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 确定成交供应商</w:t>
      </w:r>
    </w:p>
    <w:p w14:paraId="65CB3140">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7D82EB1">
      <w:pPr>
        <w:tabs>
          <w:tab w:val="left" w:pos="0"/>
        </w:tabs>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3．成交通知及成交结果公告</w:t>
      </w:r>
    </w:p>
    <w:p w14:paraId="5EB77E9A">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3.1自成交人确定之日起2个工作日内，采购代理机构通过电子交易平台向成交人发出成交通知书，</w:t>
      </w:r>
      <w:r>
        <w:rPr>
          <w:rFonts w:hint="eastAsia" w:ascii="宋体" w:hAnsi="宋体" w:eastAsia="宋体" w:cs="宋体"/>
          <w:color w:val="000000" w:themeColor="text1"/>
          <w:sz w:val="24"/>
          <w:highlight w:val="none"/>
          <w14:textFill>
            <w14:solidFill>
              <w14:schemeClr w14:val="tx1"/>
            </w14:solidFill>
          </w14:textFill>
        </w:rPr>
        <w:t>同时编制发布采购</w:t>
      </w:r>
      <w:r>
        <w:rPr>
          <w:rFonts w:hint="eastAsia" w:ascii="宋体" w:hAnsi="宋体" w:eastAsia="宋体" w:cs="宋体"/>
          <w:color w:val="000000" w:themeColor="text1"/>
          <w:sz w:val="24"/>
          <w:szCs w:val="21"/>
          <w:highlight w:val="none"/>
          <w14:textFill>
            <w14:solidFill>
              <w14:schemeClr w14:val="tx1"/>
            </w14:solidFill>
          </w14:textFill>
        </w:rPr>
        <w:t>成交结果公告。</w:t>
      </w:r>
      <w:r>
        <w:rPr>
          <w:rFonts w:hint="eastAsia" w:ascii="宋体" w:hAnsi="宋体" w:eastAsia="宋体" w:cs="宋体"/>
          <w:color w:val="000000" w:themeColor="text1"/>
          <w:sz w:val="24"/>
          <w:highlight w:val="none"/>
          <w14:textFill>
            <w14:solidFill>
              <w14:schemeClr w14:val="tx1"/>
            </w14:solidFill>
          </w14:textFill>
        </w:rPr>
        <w:t>采购代理机构也可以以纸质形式进行成交通知。</w:t>
      </w:r>
    </w:p>
    <w:p w14:paraId="5C1208ED">
      <w:pPr>
        <w:spacing w:line="360" w:lineRule="auto"/>
        <w:ind w:firstLine="360" w:firstLineChars="15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w:t>
      </w:r>
      <w:r>
        <w:rPr>
          <w:rFonts w:hint="eastAsia" w:ascii="宋体" w:hAnsi="宋体" w:eastAsia="宋体" w:cs="宋体"/>
          <w:color w:val="000000" w:themeColor="text1"/>
          <w:sz w:val="24"/>
          <w:szCs w:val="21"/>
          <w:highlight w:val="none"/>
          <w14:textFill>
            <w14:solidFill>
              <w14:schemeClr w14:val="tx1"/>
            </w14:solidFill>
          </w14:textFill>
        </w:rPr>
        <w:t>成交</w:t>
      </w:r>
      <w:r>
        <w:rPr>
          <w:rFonts w:hint="eastAsia" w:ascii="宋体" w:hAnsi="宋体" w:eastAsia="宋体" w:cs="宋体"/>
          <w:color w:val="000000" w:themeColor="text1"/>
          <w:sz w:val="24"/>
          <w:highlight w:val="none"/>
          <w14:textFill>
            <w14:solidFill>
              <w14:schemeClr w14:val="tx1"/>
            </w14:solidFill>
          </w14:textFill>
        </w:rPr>
        <w:t>结果公告内容包括采购人及其委托的采购代理机构的名称、地址、联系方式，项目名称和项目编号，成交人名称、地址和成交金额，主要中标标的的名称、规格型号、数量、单价、服务要求，开标记录、</w:t>
      </w:r>
      <w:bookmarkStart w:id="14" w:name="_Hlk101184471"/>
      <w:r>
        <w:rPr>
          <w:rFonts w:hint="eastAsia" w:ascii="宋体" w:hAnsi="宋体" w:eastAsia="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eastAsia="宋体" w:cs="宋体"/>
          <w:color w:val="000000" w:themeColor="text1"/>
          <w:sz w:val="24"/>
          <w:highlight w:val="none"/>
          <w14:textFill>
            <w14:solidFill>
              <w14:schemeClr w14:val="tx1"/>
            </w14:solidFill>
          </w14:textFill>
        </w:rPr>
        <w:t>未成交情况说明、成交公告期限以及评审专家名单、评分汇总及明细。</w:t>
      </w:r>
    </w:p>
    <w:p w14:paraId="0DF8424D">
      <w:pPr>
        <w:spacing w:line="360" w:lineRule="auto"/>
        <w:ind w:firstLine="360" w:firstLineChars="15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3.3公告期限为1个工作日。</w:t>
      </w:r>
    </w:p>
    <w:p w14:paraId="0671B293">
      <w:pPr>
        <w:pStyle w:val="2"/>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十二、合同</w:t>
      </w:r>
    </w:p>
    <w:p w14:paraId="7667DC6D">
      <w:pPr>
        <w:tabs>
          <w:tab w:val="left" w:pos="0"/>
        </w:tabs>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1.合同主要条款：</w:t>
      </w:r>
      <w:r>
        <w:rPr>
          <w:rFonts w:hint="eastAsia" w:ascii="宋体" w:hAnsi="宋体" w:eastAsia="宋体" w:cs="宋体"/>
          <w:color w:val="000000" w:themeColor="text1"/>
          <w:sz w:val="24"/>
          <w:highlight w:val="none"/>
          <w14:textFill>
            <w14:solidFill>
              <w14:schemeClr w14:val="tx1"/>
            </w14:solidFill>
          </w14:textFill>
        </w:rPr>
        <w:t>详见“第六部分拟签订的合同文本”。</w:t>
      </w:r>
    </w:p>
    <w:p w14:paraId="567AA80F">
      <w:pPr>
        <w:tabs>
          <w:tab w:val="left" w:pos="0"/>
        </w:tabs>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2.合同的签订</w:t>
      </w:r>
    </w:p>
    <w:p w14:paraId="608E05D5">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w:t>
      </w:r>
      <w:r>
        <w:rPr>
          <w:rFonts w:hint="eastAsia" w:ascii="宋体" w:hAnsi="宋体" w:eastAsia="宋体" w:cs="宋体"/>
          <w:color w:val="000000" w:themeColor="text1"/>
          <w:kern w:val="0"/>
          <w:sz w:val="24"/>
          <w:highlight w:val="none"/>
          <w14:textFill>
            <w14:solidFill>
              <w14:schemeClr w14:val="tx1"/>
            </w14:solidFill>
          </w14:textFill>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57DA160">
      <w:pPr>
        <w:pStyle w:val="22"/>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62DE072D">
      <w:pPr>
        <w:spacing w:line="360" w:lineRule="auto"/>
        <w:ind w:firstLine="465" w:firstLineChars="194"/>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5C04AB2">
      <w:pPr>
        <w:spacing w:line="360" w:lineRule="auto"/>
        <w:ind w:firstLine="465" w:firstLineChars="194"/>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BB8DDA4">
      <w:pPr>
        <w:spacing w:line="360" w:lineRule="auto"/>
        <w:ind w:firstLine="465" w:firstLineChars="194"/>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2.5如签订合同并生效后，供应商无故拒绝或延期，除按照合同条款处理外，列入不良行为记录一次，并给予通报。</w:t>
      </w:r>
    </w:p>
    <w:p w14:paraId="7EE642F6">
      <w:pPr>
        <w:pStyle w:val="22"/>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2.6采购合同由采购人与成交供应商根据磋商文件、响应文件等内容通过乐采云平台在线签订，自动备案。</w:t>
      </w:r>
    </w:p>
    <w:p w14:paraId="1C93A037">
      <w:pPr>
        <w:tabs>
          <w:tab w:val="left" w:pos="0"/>
        </w:tabs>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3．履约保证金</w:t>
      </w:r>
    </w:p>
    <w:p w14:paraId="7A24E4A2">
      <w:pPr>
        <w:tabs>
          <w:tab w:val="left" w:pos="0"/>
        </w:tabs>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D0450CC">
      <w:pPr>
        <w:tabs>
          <w:tab w:val="left" w:pos="0"/>
        </w:tabs>
        <w:spacing w:line="360" w:lineRule="auto"/>
        <w:ind w:firstLine="482"/>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可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乐采云金融专线400-903-9583。</w:t>
      </w:r>
    </w:p>
    <w:p w14:paraId="54601A5D">
      <w:pPr>
        <w:tabs>
          <w:tab w:val="left" w:pos="0"/>
        </w:tabs>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4.预付款</w:t>
      </w:r>
    </w:p>
    <w:p w14:paraId="1FECDE73">
      <w:pPr>
        <w:adjustRightInd/>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【保函保险服务】出具预付款保函，具体步骤：选择产品—填写供应商信息—选择中标项目—确认信息—等待保险/保函受理—确认保单—支付保费—成功出单。乐采云金融专线400-903-9583。</w:t>
      </w:r>
    </w:p>
    <w:p w14:paraId="4A360A87">
      <w:pPr>
        <w:tabs>
          <w:tab w:val="left" w:pos="0"/>
        </w:tabs>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p>
    <w:p w14:paraId="41CFA1F9">
      <w:pPr>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p>
    <w:p w14:paraId="43944155">
      <w:pPr>
        <w:pStyle w:val="2"/>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十三、验收</w:t>
      </w:r>
    </w:p>
    <w:p w14:paraId="40BF1BAE">
      <w:pPr>
        <w:pStyle w:val="7"/>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1.验收</w:t>
      </w:r>
    </w:p>
    <w:p w14:paraId="23AE03E0">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FFC5E6">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26A0CD17">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E35E4D">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CC542F">
      <w:pPr>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p>
    <w:p w14:paraId="46490C19">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十四、电子交易活动的中止</w:t>
      </w:r>
    </w:p>
    <w:p w14:paraId="623BB8B0">
      <w:pPr>
        <w:tabs>
          <w:tab w:val="left" w:pos="0"/>
        </w:tabs>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电子交易活动的中止</w:t>
      </w:r>
    </w:p>
    <w:p w14:paraId="6DFD3761">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47920778">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1.1电子交易平台发生故障而无法登录访问的； </w:t>
      </w:r>
    </w:p>
    <w:p w14:paraId="4752576F">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1.2电子交易平台应用或数据库出现错误，不能进行正常操作的；</w:t>
      </w:r>
    </w:p>
    <w:p w14:paraId="3FB32620">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1.3电子交易平台发现严重安全漏洞，有潜在泄密危险的；</w:t>
      </w:r>
    </w:p>
    <w:p w14:paraId="14350F6E">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1.4病毒发作导致不能进行正常操作的； </w:t>
      </w:r>
    </w:p>
    <w:p w14:paraId="44F3CE0F">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1.5其他无法保证电子交易的公平、公正和安全的情况。</w:t>
      </w:r>
    </w:p>
    <w:p w14:paraId="03165BB3">
      <w:pPr>
        <w:tabs>
          <w:tab w:val="left" w:pos="0"/>
        </w:tabs>
        <w:spacing w:line="360" w:lineRule="auto"/>
        <w:ind w:firstLine="48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bookmarkEnd w:id="13"/>
    <w:p w14:paraId="733A4905">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5" w:name="_Hlt68072998"/>
      <w:bookmarkEnd w:id="15"/>
      <w:bookmarkStart w:id="16" w:name="_Hlt75236290"/>
      <w:bookmarkEnd w:id="16"/>
      <w:bookmarkStart w:id="17" w:name="_Hlt68073093"/>
      <w:bookmarkEnd w:id="17"/>
      <w:bookmarkStart w:id="18" w:name="_Hlt74729768"/>
      <w:bookmarkEnd w:id="18"/>
      <w:bookmarkStart w:id="19" w:name="_Hlt68072990"/>
      <w:bookmarkEnd w:id="19"/>
      <w:bookmarkStart w:id="20" w:name="_Hlt74707468"/>
      <w:bookmarkEnd w:id="20"/>
      <w:bookmarkStart w:id="21" w:name="_Hlt75236101"/>
      <w:bookmarkEnd w:id="21"/>
      <w:bookmarkStart w:id="22" w:name="_Hlt75236011"/>
      <w:bookmarkEnd w:id="22"/>
      <w:bookmarkStart w:id="23" w:name="_Hlt68057669"/>
      <w:bookmarkEnd w:id="23"/>
      <w:bookmarkStart w:id="24" w:name="_Hlt74714665"/>
      <w:bookmarkEnd w:id="24"/>
      <w:bookmarkStart w:id="25" w:name="_Hlt74730295"/>
      <w:bookmarkEnd w:id="25"/>
      <w:bookmarkStart w:id="26" w:name="_Hlt68403820"/>
      <w:bookmarkEnd w:id="26"/>
    </w:p>
    <w:bookmarkEnd w:id="11"/>
    <w:bookmarkEnd w:id="12"/>
    <w:p w14:paraId="1461CEBB">
      <w:pPr>
        <w:adjustRightInd/>
        <w:spacing w:line="360" w:lineRule="auto"/>
        <w:jc w:val="center"/>
        <w:outlineLvl w:val="0"/>
        <w:rPr>
          <w:rFonts w:hint="eastAsia" w:ascii="宋体" w:hAnsi="宋体" w:cs="宋体"/>
          <w:b/>
          <w:bCs/>
          <w:color w:val="000000" w:themeColor="text1"/>
          <w:sz w:val="24"/>
          <w:highlight w:val="none"/>
          <w14:textFill>
            <w14:solidFill>
              <w14:schemeClr w14:val="tx1"/>
            </w14:solidFill>
          </w14:textFill>
        </w:rPr>
      </w:pPr>
      <w:bookmarkStart w:id="27" w:name="第四部分"/>
      <w:r>
        <w:rPr>
          <w:rFonts w:hint="eastAsia" w:ascii="宋体" w:hAnsi="宋体" w:eastAsia="宋体" w:cs="宋体"/>
          <w:b/>
          <w:color w:val="000000" w:themeColor="text1"/>
          <w:sz w:val="36"/>
          <w:szCs w:val="20"/>
          <w:highlight w:val="none"/>
          <w14:textFill>
            <w14:solidFill>
              <w14:schemeClr w14:val="tx1"/>
            </w14:solidFill>
          </w14:textFill>
        </w:rPr>
        <w:t>第</w:t>
      </w:r>
      <w:bookmarkStart w:id="28" w:name="_Hlk104380249"/>
      <w:r>
        <w:rPr>
          <w:rFonts w:hint="eastAsia" w:ascii="宋体" w:hAnsi="宋体" w:eastAsia="宋体" w:cs="宋体"/>
          <w:b/>
          <w:color w:val="000000" w:themeColor="text1"/>
          <w:sz w:val="36"/>
          <w:szCs w:val="20"/>
          <w:highlight w:val="none"/>
          <w14:textFill>
            <w14:solidFill>
              <w14:schemeClr w14:val="tx1"/>
            </w14:solidFill>
          </w14:textFill>
        </w:rPr>
        <w:t>四部分</w:t>
      </w:r>
      <w:r>
        <w:rPr>
          <w:rFonts w:hint="eastAsia" w:ascii="宋体" w:hAnsi="宋体" w:eastAsia="宋体" w:cs="宋体"/>
          <w:b/>
          <w:color w:val="000000" w:themeColor="text1"/>
          <w:sz w:val="36"/>
          <w:szCs w:val="2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20"/>
          <w:highlight w:val="none"/>
          <w14:textFill>
            <w14:solidFill>
              <w14:schemeClr w14:val="tx1"/>
            </w14:solidFill>
          </w14:textFill>
        </w:rPr>
        <w:t>采购需求</w:t>
      </w:r>
    </w:p>
    <w:p w14:paraId="4087EFEB">
      <w:pPr>
        <w:wordWrap w:val="0"/>
        <w:topLinePunct/>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1、项目背景</w:t>
      </w:r>
    </w:p>
    <w:p w14:paraId="4875002F">
      <w:pPr>
        <w:wordWrap w:val="0"/>
        <w:topLinePunct/>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在当今数字化变革浪潮下，教育信息化成为推动教育高质量发展和促进教育公平的关键力量。党的二十大明确提出推进教育数字化，办好人民满意的教育。杭州积极相应号召全面推进数字化改革，致力于撬动教育领域的全面变革。杭州市美好教育云平台作为教育数字化转型的关键项目，承载着汇聚优质教育资源、推动教育均衡发展等使命。需对杭州市美好教育云平台实行统一运维服务</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保障平台安全、稳定、高效运行的关键支撑。及时解决技术问题，优化资源利用效率，促进优质资源共享，缩小教育差距，为师生、家长提供优质服务。建立科学高效的运维体系，推动平台持续稳定运行，是杭州教育事业在数字化时代实现跨越式发展的重要保障。</w:t>
      </w:r>
    </w:p>
    <w:p w14:paraId="19A75B3F">
      <w:pPr>
        <w:wordWrap w:val="0"/>
        <w:topLinePunct/>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2、服务目标</w:t>
      </w:r>
    </w:p>
    <w:p w14:paraId="2A0BAC90">
      <w:pPr>
        <w:wordWrap w:val="0"/>
        <w:topLinePunct/>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2.1保障杭州市美好教育云平台的安全、稳定、高效运行</w:t>
      </w:r>
    </w:p>
    <w:p w14:paraId="5DC5BD19">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通过对杭州市美好教育云平台的日常维护、智能运维、安全运维保障、重大活动及节假日保障、应急支持等多维度、多方位的保障，确保杭州市美好教育云平台安全、稳定、高效的持续运行。</w:t>
      </w:r>
    </w:p>
    <w:p w14:paraId="23A446F7">
      <w:pPr>
        <w:wordWrap w:val="0"/>
        <w:topLinePunct/>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2.2依托杭州市美好教育云平台，推动优质资源共建共享</w:t>
      </w:r>
    </w:p>
    <w:p w14:paraId="5639B2FB">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推动区域内资源的共建共享，促进教育均衡优质发展通过建立资源征集和资源交换机制，利用市场机制和市场化引导，鼓励区域内教师通过平台分享教学资源，拉近教育欠发达区域和发达区域资源分配的差距，促进区域教育均衡优质发展。</w:t>
      </w:r>
    </w:p>
    <w:p w14:paraId="124153D3">
      <w:pPr>
        <w:wordWrap w:val="0"/>
        <w:topLinePunct/>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2.3扎实服务用户，促进平台应用建设，提升平台影响力</w:t>
      </w:r>
    </w:p>
    <w:p w14:paraId="31D44335">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过对区域信息化建设成果的挖掘、创新教育理念的推介、用户使用场景的展示、本地特色活动的宣传等，加强用户对杭州市美好教育云平台及相关服务应用的了解，以及日常使用频次。强化杭州市美好教育云平台与教师、学生、家长用户之间的黏性关系，提升杭州市美好教育云平台影响力。</w:t>
      </w:r>
    </w:p>
    <w:p w14:paraId="2AF63686">
      <w:pPr>
        <w:wordWrap w:val="0"/>
        <w:topLinePunct/>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2.4通过多样化的客服支持，帮助区域教育用户答疑解惑</w:t>
      </w:r>
    </w:p>
    <w:p w14:paraId="20D58FC7">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通过日常对用户使用杭州市美好教育云平台的培训和多样化的客服体系支持（如建立客服QQ群/微信群、电话客服、专家咨询等），解决一线用户在使用过程中的疑惑。</w:t>
      </w:r>
    </w:p>
    <w:p w14:paraId="2A3A5F7D">
      <w:pPr>
        <w:wordWrap w:val="0"/>
        <w:topLinePunct/>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3、服务内容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339"/>
        <w:gridCol w:w="5738"/>
        <w:gridCol w:w="961"/>
      </w:tblGrid>
      <w:tr w14:paraId="4D95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2AE3C6A1">
            <w:pPr>
              <w:wordWrap w:val="0"/>
              <w:topLinePunct/>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339" w:type="dxa"/>
            <w:vAlign w:val="center"/>
          </w:tcPr>
          <w:p w14:paraId="7F7CEC69">
            <w:pPr>
              <w:wordWrap w:val="0"/>
              <w:topLinePunct/>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服务名称</w:t>
            </w:r>
          </w:p>
        </w:tc>
        <w:tc>
          <w:tcPr>
            <w:tcW w:w="5738" w:type="dxa"/>
            <w:vAlign w:val="center"/>
          </w:tcPr>
          <w:p w14:paraId="54B40258">
            <w:pPr>
              <w:wordWrap w:val="0"/>
              <w:topLinePunct/>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tc>
        <w:tc>
          <w:tcPr>
            <w:tcW w:w="961" w:type="dxa"/>
            <w:vAlign w:val="center"/>
          </w:tcPr>
          <w:p w14:paraId="6EEAD2F5">
            <w:pPr>
              <w:wordWrap w:val="0"/>
              <w:topLinePunct/>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w:t>
            </w:r>
          </w:p>
        </w:tc>
      </w:tr>
      <w:tr w14:paraId="5E62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6168CBC4">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39" w:type="dxa"/>
            <w:vAlign w:val="center"/>
          </w:tcPr>
          <w:p w14:paraId="0546ACC8">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省级资源服务体系接入服务</w:t>
            </w:r>
          </w:p>
        </w:tc>
        <w:tc>
          <w:tcPr>
            <w:tcW w:w="5738" w:type="dxa"/>
            <w:vAlign w:val="center"/>
          </w:tcPr>
          <w:p w14:paraId="6D649CE8">
            <w:pPr>
              <w:wordWrap w:val="0"/>
              <w:topLinePunct/>
              <w:spacing w:line="3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持续保障杭州美好教育云平台与之江汇</w:t>
            </w:r>
            <w:r>
              <w:rPr>
                <w:rFonts w:hint="eastAsia" w:ascii="宋体" w:hAnsi="宋体" w:eastAsia="宋体" w:cs="宋体"/>
                <w:sz w:val="24"/>
                <w:szCs w:val="24"/>
                <w:highlight w:val="none"/>
                <w:lang w:val="en-US" w:eastAsia="zh-CN"/>
              </w:rPr>
              <w:t>互联网学校</w:t>
            </w:r>
            <w:r>
              <w:rPr>
                <w:rFonts w:hint="eastAsia" w:ascii="宋体" w:hAnsi="宋体" w:eastAsia="宋体" w:cs="宋体"/>
                <w:sz w:val="24"/>
                <w:szCs w:val="24"/>
                <w:highlight w:val="none"/>
              </w:rPr>
              <w:t>平台的无缝对接服务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若</w:t>
            </w:r>
            <w:r>
              <w:rPr>
                <w:rFonts w:hint="eastAsia" w:ascii="宋体" w:hAnsi="宋体" w:eastAsia="宋体" w:cs="宋体"/>
                <w:sz w:val="24"/>
                <w:szCs w:val="24"/>
                <w:highlight w:val="none"/>
              </w:rPr>
              <w:t>之江汇</w:t>
            </w:r>
            <w:r>
              <w:rPr>
                <w:rFonts w:hint="eastAsia" w:ascii="宋体" w:hAnsi="宋体" w:eastAsia="宋体" w:cs="宋体"/>
                <w:sz w:val="24"/>
                <w:szCs w:val="24"/>
                <w:highlight w:val="none"/>
                <w:lang w:val="en-US" w:eastAsia="zh-CN"/>
              </w:rPr>
              <w:t>互联网学校有部分功能调整变动，</w:t>
            </w:r>
            <w:r>
              <w:rPr>
                <w:rFonts w:hint="eastAsia" w:ascii="宋体" w:hAnsi="宋体" w:eastAsia="宋体" w:cs="宋体"/>
                <w:sz w:val="24"/>
                <w:szCs w:val="24"/>
                <w:highlight w:val="none"/>
              </w:rPr>
              <w:t>杭州美好教育云平台</w:t>
            </w:r>
            <w:r>
              <w:rPr>
                <w:rFonts w:hint="eastAsia" w:ascii="宋体" w:hAnsi="宋体" w:eastAsia="宋体" w:cs="宋体"/>
                <w:sz w:val="24"/>
                <w:szCs w:val="24"/>
                <w:highlight w:val="none"/>
                <w:lang w:val="en-US" w:eastAsia="zh-CN"/>
              </w:rPr>
              <w:t>需要及时响应。</w:t>
            </w:r>
          </w:p>
        </w:tc>
        <w:tc>
          <w:tcPr>
            <w:tcW w:w="961" w:type="dxa"/>
            <w:vAlign w:val="center"/>
          </w:tcPr>
          <w:p w14:paraId="605BD0C6">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年全年</w:t>
            </w:r>
          </w:p>
        </w:tc>
      </w:tr>
      <w:tr w14:paraId="1C4C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5C32899B">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339" w:type="dxa"/>
            <w:vAlign w:val="center"/>
          </w:tcPr>
          <w:p w14:paraId="13B5326F">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日常维护服务</w:t>
            </w:r>
          </w:p>
        </w:tc>
        <w:tc>
          <w:tcPr>
            <w:tcW w:w="5738" w:type="dxa"/>
            <w:vAlign w:val="center"/>
          </w:tcPr>
          <w:p w14:paraId="7595C2AC">
            <w:pPr>
              <w:wordWrap w:val="0"/>
              <w:topLinePunct/>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提供平台日常维护以及临时任务开发要求等服务，</w:t>
            </w:r>
            <w:r>
              <w:rPr>
                <w:rFonts w:hint="eastAsia" w:ascii="宋体" w:hAnsi="宋体" w:eastAsia="宋体" w:cs="宋体"/>
                <w:sz w:val="24"/>
                <w:szCs w:val="24"/>
                <w:highlight w:val="none"/>
                <w:lang w:val="en-US" w:eastAsia="zh-CN"/>
              </w:rPr>
              <w:t>新栏目上架、</w:t>
            </w:r>
            <w:r>
              <w:rPr>
                <w:rFonts w:hint="eastAsia" w:ascii="宋体" w:hAnsi="宋体" w:eastAsia="宋体" w:cs="宋体"/>
                <w:sz w:val="24"/>
                <w:szCs w:val="24"/>
                <w:highlight w:val="none"/>
              </w:rPr>
              <w:t>系统计算资源运维、系统软件平台运维、数据备份维护服务以及日志分析、补丁升级服务。</w:t>
            </w:r>
          </w:p>
        </w:tc>
        <w:tc>
          <w:tcPr>
            <w:tcW w:w="961" w:type="dxa"/>
            <w:vAlign w:val="center"/>
          </w:tcPr>
          <w:p w14:paraId="3AB926BD">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年全年</w:t>
            </w:r>
          </w:p>
        </w:tc>
      </w:tr>
      <w:tr w14:paraId="157F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4DD9B731">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339" w:type="dxa"/>
            <w:vAlign w:val="center"/>
          </w:tcPr>
          <w:p w14:paraId="6438096F">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智能运维服务</w:t>
            </w:r>
          </w:p>
        </w:tc>
        <w:tc>
          <w:tcPr>
            <w:tcW w:w="5738" w:type="dxa"/>
            <w:vAlign w:val="center"/>
          </w:tcPr>
          <w:p w14:paraId="0DB28213">
            <w:pPr>
              <w:wordWrap w:val="0"/>
              <w:topLinePunct/>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为杭州市美好教育云平台提供智能化运维服务。</w:t>
            </w:r>
          </w:p>
        </w:tc>
        <w:tc>
          <w:tcPr>
            <w:tcW w:w="961" w:type="dxa"/>
            <w:vAlign w:val="center"/>
          </w:tcPr>
          <w:p w14:paraId="25CA8755">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年全年</w:t>
            </w:r>
          </w:p>
        </w:tc>
      </w:tr>
      <w:tr w14:paraId="499D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6DD17FBD">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339" w:type="dxa"/>
            <w:vAlign w:val="center"/>
          </w:tcPr>
          <w:p w14:paraId="62614E59">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安全保障服务</w:t>
            </w:r>
          </w:p>
        </w:tc>
        <w:tc>
          <w:tcPr>
            <w:tcW w:w="5738" w:type="dxa"/>
            <w:vAlign w:val="center"/>
          </w:tcPr>
          <w:p w14:paraId="2CF470F5">
            <w:pPr>
              <w:wordWrap w:val="0"/>
              <w:topLinePunct/>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需提供敏感词库管理措施、安全漏洞修复措施。</w:t>
            </w:r>
          </w:p>
        </w:tc>
        <w:tc>
          <w:tcPr>
            <w:tcW w:w="961" w:type="dxa"/>
            <w:vAlign w:val="center"/>
          </w:tcPr>
          <w:p w14:paraId="2BCDBAF7">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年全年</w:t>
            </w:r>
          </w:p>
        </w:tc>
      </w:tr>
      <w:tr w14:paraId="0B92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266C926A">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339" w:type="dxa"/>
            <w:vAlign w:val="center"/>
          </w:tcPr>
          <w:p w14:paraId="2DE9D426">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重大活动、节假日保障服务</w:t>
            </w:r>
          </w:p>
        </w:tc>
        <w:tc>
          <w:tcPr>
            <w:tcW w:w="5738" w:type="dxa"/>
            <w:vAlign w:val="center"/>
          </w:tcPr>
          <w:p w14:paraId="1831AE90">
            <w:pPr>
              <w:wordWrap w:val="0"/>
              <w:topLinePunct/>
              <w:spacing w:line="3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提供网络安全措施、软件系统保障措施、数据库保障措施、服务器保障措施</w:t>
            </w:r>
            <w:r>
              <w:rPr>
                <w:rFonts w:hint="eastAsia" w:ascii="宋体" w:hAnsi="宋体" w:eastAsia="宋体" w:cs="宋体"/>
                <w:sz w:val="24"/>
                <w:szCs w:val="24"/>
                <w:highlight w:val="none"/>
                <w:lang w:val="en-US" w:eastAsia="zh-CN"/>
              </w:rPr>
              <w:t>及运维值班表。</w:t>
            </w:r>
          </w:p>
        </w:tc>
        <w:tc>
          <w:tcPr>
            <w:tcW w:w="961" w:type="dxa"/>
            <w:vAlign w:val="center"/>
          </w:tcPr>
          <w:p w14:paraId="5A1FEA5B">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年全年</w:t>
            </w:r>
          </w:p>
        </w:tc>
      </w:tr>
      <w:tr w14:paraId="49BE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255FB3FD">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339" w:type="dxa"/>
            <w:vAlign w:val="center"/>
          </w:tcPr>
          <w:p w14:paraId="718EE7CF">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应急保障服务</w:t>
            </w:r>
          </w:p>
        </w:tc>
        <w:tc>
          <w:tcPr>
            <w:tcW w:w="5738" w:type="dxa"/>
            <w:vAlign w:val="center"/>
          </w:tcPr>
          <w:p w14:paraId="593C1EAD">
            <w:pPr>
              <w:wordWrap w:val="0"/>
              <w:topLinePunct/>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为杭州市美好教育云平台提供应急维护支持服务。</w:t>
            </w:r>
          </w:p>
        </w:tc>
        <w:tc>
          <w:tcPr>
            <w:tcW w:w="961" w:type="dxa"/>
            <w:vAlign w:val="center"/>
          </w:tcPr>
          <w:p w14:paraId="451D09D4">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年全年</w:t>
            </w:r>
          </w:p>
        </w:tc>
      </w:tr>
      <w:tr w14:paraId="2200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4EF2F504">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339" w:type="dxa"/>
            <w:vAlign w:val="center"/>
          </w:tcPr>
          <w:p w14:paraId="1720DBF3">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技术支持服务</w:t>
            </w:r>
          </w:p>
        </w:tc>
        <w:tc>
          <w:tcPr>
            <w:tcW w:w="5738" w:type="dxa"/>
            <w:vAlign w:val="center"/>
          </w:tcPr>
          <w:p w14:paraId="67B5F85E">
            <w:pPr>
              <w:wordWrap w:val="0"/>
              <w:topLinePunct/>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根据甲方要求提供技术支持及修改服务，非核心功能（经评估工作量不超过2个工作日）的增加与修改服务，3天内响应完成。</w:t>
            </w:r>
          </w:p>
        </w:tc>
        <w:tc>
          <w:tcPr>
            <w:tcW w:w="961" w:type="dxa"/>
            <w:vAlign w:val="center"/>
          </w:tcPr>
          <w:p w14:paraId="23679CE1">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年全年</w:t>
            </w:r>
          </w:p>
        </w:tc>
      </w:tr>
      <w:tr w14:paraId="4B44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41F71989">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339" w:type="dxa"/>
            <w:vAlign w:val="center"/>
          </w:tcPr>
          <w:p w14:paraId="26B6DFF8">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人员驻场服务</w:t>
            </w:r>
          </w:p>
        </w:tc>
        <w:tc>
          <w:tcPr>
            <w:tcW w:w="5738" w:type="dxa"/>
            <w:vAlign w:val="center"/>
          </w:tcPr>
          <w:p w14:paraId="70E6A7E8">
            <w:pPr>
              <w:wordWrap w:val="0"/>
              <w:topLinePunct/>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为支撑平台及系统的培训推广、客服服务、系统操作培训等，为保障工作的正常开展，要求提供本地驻场人员1名。</w:t>
            </w:r>
          </w:p>
        </w:tc>
        <w:tc>
          <w:tcPr>
            <w:tcW w:w="961" w:type="dxa"/>
            <w:vAlign w:val="center"/>
          </w:tcPr>
          <w:p w14:paraId="3B2262E7">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年全年</w:t>
            </w:r>
          </w:p>
        </w:tc>
      </w:tr>
      <w:tr w14:paraId="3EB0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7" w:type="dxa"/>
            <w:vAlign w:val="center"/>
          </w:tcPr>
          <w:p w14:paraId="143D1440">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339" w:type="dxa"/>
            <w:vAlign w:val="center"/>
          </w:tcPr>
          <w:p w14:paraId="29F51E58">
            <w:pPr>
              <w:wordWrap w:val="0"/>
              <w:topLinePunct/>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软件服务</w:t>
            </w:r>
          </w:p>
        </w:tc>
        <w:tc>
          <w:tcPr>
            <w:tcW w:w="5738" w:type="dxa"/>
            <w:vAlign w:val="center"/>
          </w:tcPr>
          <w:p w14:paraId="5E8E9EB1">
            <w:pPr>
              <w:wordWrap w:val="0"/>
              <w:topLinePunct/>
              <w:spacing w:line="3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对接浙里办APP-学在杭州，按照甲方要求上架相应栏目内容</w:t>
            </w:r>
          </w:p>
        </w:tc>
        <w:tc>
          <w:tcPr>
            <w:tcW w:w="961" w:type="dxa"/>
            <w:vAlign w:val="center"/>
          </w:tcPr>
          <w:p w14:paraId="7651F167">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年全年</w:t>
            </w:r>
          </w:p>
        </w:tc>
      </w:tr>
      <w:tr w14:paraId="06DD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0" w:type="auto"/>
            <w:vAlign w:val="center"/>
          </w:tcPr>
          <w:p w14:paraId="4CD3AABB">
            <w:pPr>
              <w:wordWrap w:val="0"/>
              <w:topLinePunct/>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339" w:type="dxa"/>
            <w:vAlign w:val="center"/>
          </w:tcPr>
          <w:p w14:paraId="78F33358">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其他服务</w:t>
            </w:r>
          </w:p>
        </w:tc>
        <w:tc>
          <w:tcPr>
            <w:tcW w:w="5738" w:type="dxa"/>
            <w:vAlign w:val="center"/>
          </w:tcPr>
          <w:p w14:paraId="4415A8E8">
            <w:pPr>
              <w:wordWrap w:val="0"/>
              <w:topLinePunct/>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提供域名、SSL安全证书服务；</w:t>
            </w:r>
          </w:p>
          <w:p w14:paraId="6D14D1C8">
            <w:pPr>
              <w:wordWrap w:val="0"/>
              <w:topLinePunct/>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配合完成三级等保测评及整改、密码测评工作；</w:t>
            </w:r>
          </w:p>
          <w:p w14:paraId="6BA413ED">
            <w:pPr>
              <w:wordWrap w:val="0"/>
              <w:topLinePunct/>
              <w:spacing w:line="3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数据统计服务：配合做好平台资源数据统计工作，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要求每</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个月统计1次。</w:t>
            </w:r>
          </w:p>
          <w:p w14:paraId="64AEDF0F">
            <w:pPr>
              <w:wordWrap w:val="0"/>
              <w:topLinePunct/>
              <w:spacing w:line="360" w:lineRule="exact"/>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根据需要，提供上线国家中小学智慧教育平台杭州频道技术服务。</w:t>
            </w:r>
          </w:p>
        </w:tc>
        <w:tc>
          <w:tcPr>
            <w:tcW w:w="961" w:type="dxa"/>
            <w:vAlign w:val="center"/>
          </w:tcPr>
          <w:p w14:paraId="64104A29">
            <w:pPr>
              <w:wordWrap w:val="0"/>
              <w:topLinePunct/>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年全年</w:t>
            </w:r>
          </w:p>
        </w:tc>
      </w:tr>
    </w:tbl>
    <w:p w14:paraId="72B8F4AA">
      <w:pPr>
        <w:wordWrap w:val="0"/>
        <w:topLinePunct/>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4、具体服务要求</w:t>
      </w:r>
    </w:p>
    <w:p w14:paraId="2C67E7C0">
      <w:pPr>
        <w:wordWrap w:val="0"/>
        <w:topLinePunct/>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4.1 总体要求</w:t>
      </w:r>
    </w:p>
    <w:p w14:paraId="7428D3C3">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杭州市数字资源学习系统建设总体上需遵循浙江省教育技术中心于2022年发布的《浙江省教育资源公共服务体系数据交换与共享导则》，同时满足杭州市教育局相关部门制定的相关技术规范要求，具体要求如下：</w:t>
      </w:r>
    </w:p>
    <w:p w14:paraId="1A83A72A">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杭州市数字资源学习系统是基于之江汇教育广场提供的认证、用户、资源元数据和空间服务，与之江汇教育广场使用相同（或相似）的计算、存储、网络等环境，同时利用本地资源建成的区域独立自治的教育资源公共服务平台。</w:t>
      </w:r>
    </w:p>
    <w:p w14:paraId="7CF1A22D">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杭州市数字资源学习系统可自主对通过国家枢纽浙江节点接入的第三方应用类资源进行各类接口授权，在遵循国家服务体系相关技术规范的同时，开放本区域的用户组织架构、用户扩展信息、资源编目、资源整合类接口，实现第三方应用资源与数字资源学习系统的深度融合。</w:t>
      </w:r>
    </w:p>
    <w:p w14:paraId="6C8D7F6F">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杭州市数字资源学习系统建设需遵循“用户唯一，空间唯一”原则，以用户为中心，确保用户基本数据的唯一性，使用之江汇全省统一的身份认证服务或实名校验服务，基础数据根据杭州市教育局相关部门的规范维护管理；杭州市数字资源学习系统可通过其节点互联网关实现网络学习空间的本地缓存和渲染为本地用户提供服务。</w:t>
      </w:r>
    </w:p>
    <w:p w14:paraId="68C3865D">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4、省级共享资源数据由之江汇统一维护，并可通过数据交换服务将资源元数据等基础数据同步到杭州市数字资源学习系统，实现本地资源检索服务；杭州市本地自建特色资源数据由本地存储并完成维护管理。</w:t>
      </w:r>
    </w:p>
    <w:p w14:paraId="4264B0F6">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5、★杭州市数字资源学习系统用户可通过“免登录”方式，使用之江汇网络学习空间、省级资源和省级应用。</w:t>
      </w:r>
    </w:p>
    <w:p w14:paraId="22863F43">
      <w:pPr>
        <w:wordWrap w:val="0"/>
        <w:topLinePunct/>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4.2服务内容</w:t>
      </w:r>
    </w:p>
    <w:p w14:paraId="4575A077">
      <w:pPr>
        <w:wordWrap w:val="0"/>
        <w:topLinePunct/>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4.2.1体系接入服务</w:t>
      </w:r>
    </w:p>
    <w:p w14:paraId="1763FA20">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★服务期限内，服务商应持续保障杭州美好教育云平台与之江汇2.0平台的无缝对接服务。</w:t>
      </w:r>
    </w:p>
    <w:p w14:paraId="18CB97E4">
      <w:pPr>
        <w:wordWrap w:val="0"/>
        <w:topLinePunct/>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4.2.2日常维护服务</w:t>
      </w:r>
    </w:p>
    <w:p w14:paraId="4BF39290">
      <w:pPr>
        <w:wordWrap w:val="0"/>
        <w:topLinePunct/>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4.2.2.1系统计算资源运维</w:t>
      </w:r>
    </w:p>
    <w:p w14:paraId="006CBF7C">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要求提供杭州市美好教育云平台的安全、优化和维护等管理工作；提供相关故障、疑难问题排查处理，定期提交各种故障、问题汇总报告；提供系统日常维护及监控，提供系统方面的服务和支持，保证系统的安全稳定，确保杭州市美好教育云平台7*24小时持续正常运行。通过杭州市美好教育云平台管理软件的多面板视图，运维人员可同时监控虚拟机、与虚拟机相关的用户服务实例的运行情况与性能指标。对虚拟机的故障和性能监控，包括虚拟机启停状态、虚拟机名称、虚拟机IP地址、CPU利用率、内存利用率、负载、磁盘使用量、所属用户、所属的服务实例（包括服务实例的名称、版本号）等。</w:t>
      </w:r>
    </w:p>
    <w:p w14:paraId="2918AEE6">
      <w:pPr>
        <w:wordWrap w:val="0"/>
        <w:topLinePunct/>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4.2.2.2系统软件平台运维</w:t>
      </w:r>
    </w:p>
    <w:p w14:paraId="3B8938CE">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杭州市美好教育云平台和应用软件稳定性规范定期监测，输出应用稳定性报告，服务线性稳定性能力检测，服务负载能力检测。对服务做实时访问检测，超过3秒响应或7秒钟无法完成主体框架展现的服务将做出预警邮件或短信和应用支撑方。</w:t>
      </w:r>
    </w:p>
    <w:p w14:paraId="0336E4DC">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提供7*24全面的技术支撑服务，远程保障对杭州市美好教育云平台云服务相关系统服务运行健康状态、数据安全实时监控，并支撑向系统管理员提供邮件、短信预警服务，远程人工系统服务维护和系统巡检服务，确保杭州市美好教育云平台的稳定性。</w:t>
      </w:r>
    </w:p>
    <w:p w14:paraId="244B197D">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杭州市美好教育云平台数据支撑服务基于用户管理系统服务提供模板化区域性的用户信息表格工具，每年对机构、学校、用户信息的导入问题支撑，以及每年学生升班、升学等异常用户数据的处理。协助区域提高相关用户基础数据的完整性和准确性。</w:t>
      </w:r>
    </w:p>
    <w:p w14:paraId="7F869FAF">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对杭州市美好教育云平台版本进行管理，及时向客户方通报系统软件升级情况。每日安排人员拨测杭州市美好教育云平台主功能，确保杭州市美好教育云平台稳定。</w:t>
      </w:r>
    </w:p>
    <w:p w14:paraId="4F6FC595">
      <w:pPr>
        <w:wordWrap w:val="0"/>
        <w:topLinePunct/>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rPr>
        <w:t>4.2.2.2.1</w:t>
      </w:r>
      <w:r>
        <w:rPr>
          <w:rFonts w:hint="eastAsia" w:ascii="宋体" w:hAnsi="宋体" w:eastAsia="宋体" w:cs="宋体"/>
          <w:b/>
          <w:bCs/>
          <w:sz w:val="24"/>
          <w:szCs w:val="24"/>
          <w:highlight w:val="none"/>
        </w:rPr>
        <w:t>平台系统运行维护</w:t>
      </w:r>
    </w:p>
    <w:p w14:paraId="0F363392">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（1）软件故障处理</w:t>
      </w:r>
    </w:p>
    <w:p w14:paraId="70B0BA84">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接受客户和用户的报障以及内部的软件系统监控预警，对应用软件进行完善性修改和处理应用软件存在的问题。</w:t>
      </w:r>
    </w:p>
    <w:p w14:paraId="147D2506">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（2）软件系统优化</w:t>
      </w:r>
    </w:p>
    <w:p w14:paraId="01051BA6">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定期对软件系统运行情况检查服务，并结合日常运行状态分析和总结软件系统优化建议，并进行有针对性软件运行效率优化。以及主线版本的补丁升级处理。</w:t>
      </w:r>
    </w:p>
    <w:p w14:paraId="1A343C4A">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（3）业务数据处理</w:t>
      </w:r>
    </w:p>
    <w:p w14:paraId="31776BAB">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协助处理杭州市美好教育云平台年度的数据初始化工作；配合完成日常的统计报表，完成特殊的查询统计需求；按客户的实际要求进行数据批量处理工作。</w:t>
      </w:r>
    </w:p>
    <w:p w14:paraId="217FD566">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（4）软件迭代升级</w:t>
      </w:r>
    </w:p>
    <w:p w14:paraId="7F103FC7">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根据业务发展的需求对存在的bug进行功能迭代开发，并选择合适时间进行升级维护，升级前发送消息给相关负责人，告知系统升级信息。</w:t>
      </w:r>
    </w:p>
    <w:p w14:paraId="35DAA9DA">
      <w:pPr>
        <w:wordWrap w:val="0"/>
        <w:topLinePunct/>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4.2.2.2.2数据库运维</w:t>
      </w:r>
    </w:p>
    <w:p w14:paraId="38EC9334">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数据库运行维护服务是根据数据库当前的运行情况，对健康，性能，资源情况做出分析，发现并解决数据库系统中存在的隐患，为数据库的持续正常运行提供保证。</w:t>
      </w:r>
    </w:p>
    <w:p w14:paraId="0BAFB528">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数据库运行维护服务还包括快速发现、诊断和解决性能问题，在出现问题时，及时找出性能瓶颈，解决数据库性能问题，维护高效的应用系统。</w:t>
      </w:r>
    </w:p>
    <w:p w14:paraId="080021D1">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数据库运行维护服务，主要工作是使用技术手段来达到管理的目标，以系统最终的运行维护为目标，提高用户的工作效率。</w:t>
      </w:r>
    </w:p>
    <w:p w14:paraId="6BFEB310">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了确保数据库系统能够安全、稳定、高效运行，需要对数据库进行定期巡检。目的在于诊断当前数据库环境是否存在安全隐患，数据库系统是否存在明显的系统瓶颈，定位重要SQL，跟踪重要的性能指标，分析告警日志信息。</w:t>
      </w:r>
    </w:p>
    <w:p w14:paraId="343DE46D">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数据库运行维护服务是根据数据库当前的运行情况，对健康，性能，资源情况做出分析，发现并解决数据库系统中存在的隐患，为数据库的持续正常运行提供保证。</w:t>
      </w:r>
    </w:p>
    <w:p w14:paraId="4EB9FF81">
      <w:pPr>
        <w:wordWrap w:val="0"/>
        <w:topLinePunct/>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4.2.2.2.3系统安全运维</w:t>
      </w:r>
    </w:p>
    <w:p w14:paraId="3E804182">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在互联网上出现新型病毒或者新出现漏洞时，同步升级杭州市美好教育云平台系统软件，最大限度避免病毒和漏洞对杭州市美好教育云平台造成破坏；</w:t>
      </w:r>
    </w:p>
    <w:p w14:paraId="77463286">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提供操作系统和系统软件安全加固服务。安全加固内容主要包括：</w:t>
      </w:r>
    </w:p>
    <w:p w14:paraId="7C8254AF">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（1）日常安全加固工作，主要是根据风险评估结果进行系统安全调优服务，根据系统运行需要适时调整各类基础设施及系统配置、合理规划系统资源、消除系统漏洞，提高系统稳定性和可靠性；</w:t>
      </w:r>
    </w:p>
    <w:p w14:paraId="3C679A30">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（2）主动安全加固，在未出现安全事故之前就对已经通报或者暴露出来的软件漏洞或最新病毒库更新，就主动进计划的升级和改进，从而避免出现安全事故。</w:t>
      </w:r>
    </w:p>
    <w:p w14:paraId="21CA0ACF">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具体加固内容包括但不限于：帐户策略、帐户锁定策略、审核策略、用户权限分配、系统服务策略、补丁管理、事件日志、应用软件和操作系统的更新等。</w:t>
      </w:r>
    </w:p>
    <w:p w14:paraId="10CDF9EE">
      <w:pPr>
        <w:wordWrap w:val="0"/>
        <w:topLinePunct/>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4.2.2.3数据备份维护</w:t>
      </w:r>
    </w:p>
    <w:p w14:paraId="7DA93CBD">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数据文件备份服务要求提供给远程自动化软件工程程序、数据库数据和资源文件的每日周期性备份服务、备份文件的归档和巡检服务，文件备份采用以日为周期全量覆盖性的备份模式，根据存储条件文件备份至少保存1天，数据库备份以日为周期进行全量性的数据备份，根据存储条件至少保存7天。</w:t>
      </w:r>
    </w:p>
    <w:p w14:paraId="610B1724">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（1）数据库备份</w:t>
      </w:r>
    </w:p>
    <w:p w14:paraId="3236E846">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数据库采用逻辑备份的方式，每日定时进行数据库全量备份。保存最近7天的全量数据。并部署数据库主从复制集群技术，存储两份数据，保证数据的安全性。</w:t>
      </w:r>
    </w:p>
    <w:p w14:paraId="65C8CC64">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每日凌晨2点备份数据，执行整库备份</w:t>
      </w:r>
    </w:p>
    <w:p w14:paraId="4B2A6941">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这里需要特别注意的是，备份文件和数据文件不得在物理上的一块磁盘内。</w:t>
      </w:r>
    </w:p>
    <w:p w14:paraId="09F1E5FC">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接入监控报警，对备份情况进行监控，一旦出现预警，邮件或者短信提醒通知。</w:t>
      </w:r>
    </w:p>
    <w:p w14:paraId="0CF49AA0">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（2）静态资源备份</w:t>
      </w:r>
    </w:p>
    <w:p w14:paraId="6C96A9B9">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静态资源主要是指存放在服务器上的图片、课件、多媒体等文件，目前静态资源文件以glusterfs服务的方式提供给各应用服务器共享。备份方式要求：</w:t>
      </w:r>
    </w:p>
    <w:p w14:paraId="3225D98C">
      <w:pPr>
        <w:wordWrap w:val="0"/>
        <w:topLinePunct/>
        <w:spacing w:line="360" w:lineRule="auto"/>
        <w:ind w:firstLine="456"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静态资源数据备份要求采用rsync工具把生产数据同步到其他服务器磁盘中，从而完成静态数据的备份。</w:t>
      </w:r>
    </w:p>
    <w:p w14:paraId="484BD33F">
      <w:pPr>
        <w:wordWrap w:val="0"/>
        <w:topLinePunct/>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rPr>
        <w:t>4.2.2.4</w:t>
      </w:r>
      <w:r>
        <w:rPr>
          <w:rFonts w:hint="eastAsia" w:ascii="宋体" w:hAnsi="宋体" w:eastAsia="宋体" w:cs="宋体"/>
          <w:b/>
          <w:bCs/>
          <w:sz w:val="24"/>
          <w:szCs w:val="24"/>
          <w:highlight w:val="none"/>
        </w:rPr>
        <w:t>日志分析</w:t>
      </w:r>
    </w:p>
    <w:p w14:paraId="74647DA9">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日志分析和查看。每周对各类日志（包括但不限于用户操作日志、访问日志）进行分析，及时发现异常行为并及时处理，做好相应登记并提供运维报告。</w:t>
      </w:r>
    </w:p>
    <w:p w14:paraId="6848CD76">
      <w:pPr>
        <w:wordWrap w:val="0"/>
        <w:topLinePunct/>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rPr>
        <w:t>4.2.2.5</w:t>
      </w:r>
      <w:r>
        <w:rPr>
          <w:rFonts w:hint="eastAsia" w:ascii="宋体" w:hAnsi="宋体" w:eastAsia="宋体" w:cs="宋体"/>
          <w:b/>
          <w:bCs/>
          <w:sz w:val="24"/>
          <w:szCs w:val="24"/>
          <w:highlight w:val="none"/>
        </w:rPr>
        <w:t>补丁升级</w:t>
      </w:r>
    </w:p>
    <w:p w14:paraId="4BF67C01">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系统补丁升级。每季度对系统操作系统、数据库补丁做好升级并提供补丁升级服务报告。</w:t>
      </w:r>
    </w:p>
    <w:p w14:paraId="09EC8225">
      <w:pPr>
        <w:wordWrap w:val="0"/>
        <w:topLinePunct/>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4.2.3智能运维服务</w:t>
      </w:r>
    </w:p>
    <w:p w14:paraId="10B29482">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★要求服务商为杭州市美好教育云平台提供智能化运维服务。包括提供可视化控制台服务、运维配置服务、容器管理服务、运维管控服务、运维作业服务、运维监控服务。服务商需对以上服务展开详细描述。</w:t>
      </w:r>
    </w:p>
    <w:p w14:paraId="755166BC">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运维监控服务应当提供数据大屏服务、监控告警服务、统计报表服务。</w:t>
      </w:r>
    </w:p>
    <w:p w14:paraId="388E2D6E">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数据大屏服务需能展示基础设施资源或系统服务的状态信息。通过对比展现多个监控对象的CPU、内存、磁盘、连接数等数据的使用率和总数，以及系统服务的延迟和状态码，来预测杭州市美好教育云平台的资源消耗，为运维人员提供增减配的参考依据。</w:t>
      </w:r>
    </w:p>
    <w:p w14:paraId="2DFF9092">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监控告警需能提供http服务、缓存服务、数据库、服务器、中间件、应用性能、容器集群的监控告警配置，同时提供标准化的短信邮件提醒模版。监控告警指标涵盖常用的监控指标，包括http请求和响应延迟、端口Ping、http状态码、CPU、内存、流量、磁盘空间、磁盘IO、连接数、缓存读写、JVM性能等。</w:t>
      </w:r>
    </w:p>
    <w:p w14:paraId="5230F870">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统计报表需能提供监控数据统计图和报表。包括基础设施和系统服务两个方面，基础设施统计图包括多站点对比统计、指定站点故障比例、日故障统计、项目系统故障、故障趋势；系统服务统计图包括服务状态码统计、指定服务状态码比例、服务延迟和异常状态码趋势。报表包含指定站点的基础设施和业务服务在指定时间内的故障报告，以及针对指定站点的综合评定报告。</w:t>
      </w:r>
    </w:p>
    <w:p w14:paraId="3A3A075F">
      <w:pPr>
        <w:wordWrap w:val="0"/>
        <w:topLinePunct/>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4.2.4安全保障服务</w:t>
      </w:r>
    </w:p>
    <w:p w14:paraId="5B9A6547">
      <w:pPr>
        <w:wordWrap w:val="0"/>
        <w:topLinePunct/>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要求服务商提供敏感词库管理措施和安全漏洞修复措施服务。</w:t>
      </w:r>
    </w:p>
    <w:p w14:paraId="587341C7">
      <w:pPr>
        <w:wordWrap w:val="0"/>
        <w:topLinePunct/>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4.2.5重大活动、节假日保障服务</w:t>
      </w:r>
    </w:p>
    <w:p w14:paraId="6EDCBA72">
      <w:pPr>
        <w:wordWrap w:val="0"/>
        <w:topLinePunct/>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4.2.5.1网络安全措施</w:t>
      </w:r>
    </w:p>
    <w:p w14:paraId="15807E0D">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（1）网站、网页由值班人员随时密切监视信息内容。每天早、中、晚三次。</w:t>
      </w:r>
    </w:p>
    <w:p w14:paraId="35EFC1E3">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发现网上出现非法信息时，值班人员应立即向部门负责人通报情况；情况紧急的应先及时采取删除等处理措施，再按程序报告。技术人员应在接到通知后立即清理非法信息，强化安全防范措施，并将网站网页重新投入使用。</w:t>
      </w:r>
    </w:p>
    <w:p w14:paraId="20DC14A1">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（3）当发现有网页内容被篡改，或通过入侵检测系统发现有黑客正在进行攻击时,首先应将被攻击的服务器等设备从网络中隔离出来，同时向领导汇报情况。技术人员立即进行被破坏系统的恢复与重建工作</w:t>
      </w:r>
    </w:p>
    <w:p w14:paraId="42B84C5D">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（4）技术人员应妥善保存有关记录及日志或审计记录。</w:t>
      </w:r>
    </w:p>
    <w:p w14:paraId="3713A25D">
      <w:pPr>
        <w:wordWrap w:val="0"/>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（5）技术人员应立即追查非法信息来源，将有关情况向安全领导小组领导汇报。</w:t>
      </w:r>
    </w:p>
    <w:p w14:paraId="0046C3D1">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（6）领导小组召开安全领导小组会议，如认为情况严重，应及时向有关上级机关和公安部门报告。</w:t>
      </w:r>
    </w:p>
    <w:p w14:paraId="0ED84056">
      <w:pPr>
        <w:wordWrap w:val="0"/>
        <w:topLinePunct/>
        <w:spacing w:line="348"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4.2.5.2软件系统保障措施</w:t>
      </w:r>
    </w:p>
    <w:p w14:paraId="6B670F69">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pacing w:val="-6"/>
          <w:sz w:val="24"/>
          <w:szCs w:val="24"/>
          <w:highlight w:val="none"/>
        </w:rPr>
        <w:t>重要的软件系统必须存有备份，与软件系统相对应的数据必须有多日备份，并将它们保存于安全处。</w:t>
      </w:r>
    </w:p>
    <w:p w14:paraId="58E33D74">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（2）一旦软件遭到破坏性攻击，应立即向技术人员、部门负责人报告，并将系统停止运行。</w:t>
      </w:r>
    </w:p>
    <w:p w14:paraId="16E51066">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（3）网站技术人员立即进行软件系统和数据的恢复。</w:t>
      </w:r>
    </w:p>
    <w:p w14:paraId="78EE801F">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（4）技术人员检查日志等资料，确认攻击来源。将有关情况向安全领导小组领导汇报。</w:t>
      </w:r>
    </w:p>
    <w:p w14:paraId="423280B7">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（5）领导小组认为情况极为严重的，应立即向公安部门或上级机关报告。</w:t>
      </w:r>
    </w:p>
    <w:p w14:paraId="3B1D437C">
      <w:pPr>
        <w:wordWrap w:val="0"/>
        <w:topLinePunct/>
        <w:spacing w:line="348"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4.2.5.3数据库保障措施</w:t>
      </w:r>
    </w:p>
    <w:p w14:paraId="6F2B02F7">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（1）各数据库系统要至少准备两个以上数据库备份。</w:t>
      </w:r>
    </w:p>
    <w:p w14:paraId="61169C3B">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（2）一旦数据库崩溃，应立即向技术人员报告。</w:t>
      </w:r>
    </w:p>
    <w:p w14:paraId="3FA27581">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（3）系统修复启动后，将第一个数据库备份取出，按照要求将其恢复到主机系统中。</w:t>
      </w:r>
    </w:p>
    <w:p w14:paraId="738B5ECA">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（4）如因第一个备份损坏，导致数据库无法恢复，则应取出第二套数据库备份加以恢复。</w:t>
      </w:r>
    </w:p>
    <w:p w14:paraId="1B270DDE">
      <w:pPr>
        <w:wordWrap w:val="0"/>
        <w:topLinePunct/>
        <w:spacing w:line="348"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4.2.5.4服务器保障措施</w:t>
      </w:r>
    </w:p>
    <w:p w14:paraId="54C150F0">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（1）服务器等关键设备损坏后，有关人员应立即向技术人员报告。</w:t>
      </w:r>
    </w:p>
    <w:p w14:paraId="0AF2E28A">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pacing w:val="-6"/>
          <w:sz w:val="24"/>
          <w:szCs w:val="24"/>
          <w:highlight w:val="none"/>
        </w:rPr>
        <w:t>技术人员应立即查明原因。如果能够自行恢复，应立即用备件替换受损部件，或用备用服务器替换。</w:t>
      </w:r>
    </w:p>
    <w:p w14:paraId="0C25C3FC">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（3）如果不能自行恢复的，立即与设备提供商联系，请求派维修人员前来维修。</w:t>
      </w:r>
    </w:p>
    <w:p w14:paraId="4EFA3C8C">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（4）如果设备一时不能修复，及时向领导汇报采取措施。</w:t>
      </w:r>
    </w:p>
    <w:p w14:paraId="2B845B98">
      <w:pPr>
        <w:wordWrap w:val="0"/>
        <w:topLinePunct/>
        <w:spacing w:line="348"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4.2.6应急保障服务</w:t>
      </w:r>
    </w:p>
    <w:p w14:paraId="724C4C8A">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为杭州市美好教育云平台提供应急维护支持，保障系统在硬件故障、软件故障和突发偶然故障而导致杭州市美好教育云平台系统不能正常使用，影响办公时具有可行的应急维护措施。</w:t>
      </w:r>
    </w:p>
    <w:p w14:paraId="59F3016F">
      <w:pPr>
        <w:wordWrap w:val="0"/>
        <w:topLinePunct/>
        <w:spacing w:line="348"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4.2.7技术支持服务</w:t>
      </w:r>
    </w:p>
    <w:p w14:paraId="4015D45C">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根据甲方要求提供技术支持及修改服务，非核心功能(经评估工作量不超过2个工作日)的增加与修改服务,3天内响应。</w:t>
      </w:r>
    </w:p>
    <w:p w14:paraId="444CF214">
      <w:pPr>
        <w:wordWrap w:val="0"/>
        <w:topLinePunct/>
        <w:spacing w:line="348"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4.2.8人员驻场服务</w:t>
      </w:r>
    </w:p>
    <w:p w14:paraId="7D4B281E">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★为支撑平台及系统的培训推广、客服服务、系统操作培训等，为保障工作的正常开展，要求提供本地驻场人员1名。</w:t>
      </w:r>
    </w:p>
    <w:p w14:paraId="66FF542A">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驻场人员要求本科学历，有责任心，且具有运营岗位或者驻场等相关工作经历。</w:t>
      </w:r>
    </w:p>
    <w:p w14:paraId="71525E1D">
      <w:pPr>
        <w:wordWrap w:val="0"/>
        <w:topLinePunct/>
        <w:spacing w:line="348"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4.2.9其他服务</w:t>
      </w:r>
    </w:p>
    <w:p w14:paraId="729CD2B8">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提供域名、SSL安全证书服务；</w:t>
      </w:r>
    </w:p>
    <w:p w14:paraId="016EAE96">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配合采购人完成三级等保测评及整改、密码测评工作；</w:t>
      </w:r>
    </w:p>
    <w:p w14:paraId="650A817B">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数据统计服务：配合做好平台资源数据统计工作，要求每3个月统计1次。</w:t>
      </w:r>
    </w:p>
    <w:p w14:paraId="05917E3C">
      <w:pPr>
        <w:wordWrap w:val="0"/>
        <w:topLinePunct/>
        <w:spacing w:line="348"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根据需要，提供上线国家中小学智慧教育平台杭州频道技术服务。</w:t>
      </w:r>
    </w:p>
    <w:p w14:paraId="326520C9">
      <w:pPr>
        <w:wordWrap w:val="0"/>
        <w:topLinePunct/>
        <w:spacing w:line="348"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5.项目实施及人员要求</w:t>
      </w:r>
    </w:p>
    <w:p w14:paraId="5AD93AC3">
      <w:pPr>
        <w:wordWrap w:val="0"/>
        <w:topLinePunct/>
        <w:spacing w:line="34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1、供应商应充分考虑满足投标项目的服务要求，应提出完整的运维保障服务方案。</w:t>
      </w:r>
    </w:p>
    <w:p w14:paraId="12D934E6">
      <w:pPr>
        <w:wordWrap w:val="0"/>
        <w:topLinePunct/>
        <w:spacing w:line="348" w:lineRule="auto"/>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2、供应商应本着认真负责的态度组织项目团队，提供项目组主要成员名单。根据对项目的理解作出项目的人员配置管理计划，包括组织架构、项目负责人和技术负责人、组成人员及分工职责等。</w:t>
      </w:r>
    </w:p>
    <w:p w14:paraId="2292B0A5">
      <w:pPr>
        <w:widowControl w:val="0"/>
        <w:wordWrap/>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38F11EA">
      <w:pPr>
        <w:widowControl w:val="0"/>
        <w:wordWrap/>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55479D7">
      <w:pPr>
        <w:widowControl w:val="0"/>
        <w:wordWrap/>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C9B0064">
      <w:pPr>
        <w:widowControl w:val="0"/>
        <w:wordWrap/>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29C92BF">
      <w:pPr>
        <w:widowControl w:val="0"/>
        <w:wordWrap/>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A945236">
      <w:pPr>
        <w:widowControl w:val="0"/>
        <w:wordWrap/>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D8CBCC5">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20"/>
          <w:highlight w:val="none"/>
          <w14:textFill>
            <w14:solidFill>
              <w14:schemeClr w14:val="tx1"/>
            </w14:solidFill>
          </w14:textFill>
        </w:rPr>
        <w:t>第五部分</w:t>
      </w:r>
      <w:bookmarkStart w:id="29" w:name="_Toc184312081"/>
      <w:bookmarkEnd w:id="29"/>
      <w:bookmarkStart w:id="30" w:name="_Toc184314479"/>
      <w:bookmarkEnd w:id="30"/>
      <w:bookmarkStart w:id="31" w:name="_Toc184308051"/>
      <w:bookmarkEnd w:id="31"/>
      <w:bookmarkStart w:id="32" w:name="_Toc184312129"/>
      <w:bookmarkEnd w:id="32"/>
      <w:bookmarkStart w:id="33" w:name="_Toc184312069"/>
      <w:bookmarkEnd w:id="33"/>
      <w:bookmarkStart w:id="34" w:name="_Toc184310278"/>
      <w:bookmarkEnd w:id="34"/>
      <w:bookmarkStart w:id="35" w:name="_Toc184314429"/>
      <w:bookmarkEnd w:id="35"/>
      <w:bookmarkStart w:id="36" w:name="_Toc184314437"/>
      <w:bookmarkEnd w:id="36"/>
      <w:bookmarkStart w:id="37" w:name="_Toc184312113"/>
      <w:bookmarkEnd w:id="37"/>
      <w:bookmarkStart w:id="38" w:name="_Toc184312127"/>
      <w:bookmarkEnd w:id="38"/>
      <w:bookmarkStart w:id="39" w:name="_Toc184310304"/>
      <w:bookmarkEnd w:id="39"/>
      <w:bookmarkStart w:id="40" w:name="_Toc184313246"/>
      <w:bookmarkEnd w:id="40"/>
      <w:bookmarkStart w:id="41" w:name="_Toc184314449"/>
      <w:bookmarkEnd w:id="41"/>
      <w:bookmarkStart w:id="42" w:name="_Toc184313245"/>
      <w:bookmarkEnd w:id="42"/>
      <w:bookmarkStart w:id="43" w:name="_Toc184312120"/>
      <w:bookmarkEnd w:id="43"/>
      <w:bookmarkStart w:id="44" w:name="_Toc184313248"/>
      <w:bookmarkEnd w:id="44"/>
      <w:bookmarkStart w:id="45" w:name="_Toc184308078"/>
      <w:bookmarkEnd w:id="45"/>
      <w:bookmarkStart w:id="46" w:name="_Toc184314480"/>
      <w:bookmarkEnd w:id="46"/>
      <w:bookmarkStart w:id="47" w:name="_Toc184308042"/>
      <w:bookmarkEnd w:id="47"/>
      <w:bookmarkStart w:id="48" w:name="_Toc184308061"/>
      <w:bookmarkEnd w:id="48"/>
      <w:bookmarkStart w:id="49" w:name="_Toc184308050"/>
      <w:bookmarkEnd w:id="49"/>
      <w:bookmarkStart w:id="50" w:name="_Toc184314421"/>
      <w:bookmarkEnd w:id="50"/>
      <w:bookmarkStart w:id="51" w:name="_Toc184310332"/>
      <w:bookmarkEnd w:id="51"/>
      <w:bookmarkStart w:id="52" w:name="_Toc184308062"/>
      <w:bookmarkEnd w:id="52"/>
      <w:bookmarkStart w:id="53" w:name="_Toc184312124"/>
      <w:bookmarkEnd w:id="53"/>
      <w:bookmarkStart w:id="54" w:name="_Toc184310303"/>
      <w:bookmarkEnd w:id="54"/>
      <w:bookmarkStart w:id="55" w:name="_Toc184308047"/>
      <w:bookmarkEnd w:id="55"/>
      <w:bookmarkStart w:id="56" w:name="_Toc184310322"/>
      <w:bookmarkEnd w:id="56"/>
      <w:bookmarkStart w:id="57" w:name="_Toc184310281"/>
      <w:bookmarkEnd w:id="57"/>
      <w:bookmarkStart w:id="58" w:name="_Toc184314465"/>
      <w:bookmarkEnd w:id="58"/>
      <w:bookmarkStart w:id="59" w:name="_Toc184314452"/>
      <w:bookmarkEnd w:id="59"/>
      <w:bookmarkStart w:id="60" w:name="_Toc184313274"/>
      <w:bookmarkEnd w:id="60"/>
      <w:bookmarkStart w:id="61" w:name="_Toc184310325"/>
      <w:bookmarkEnd w:id="61"/>
      <w:bookmarkStart w:id="62" w:name="_Toc184313289"/>
      <w:bookmarkEnd w:id="62"/>
      <w:bookmarkStart w:id="63" w:name="_Toc184310340"/>
      <w:bookmarkEnd w:id="63"/>
      <w:bookmarkStart w:id="64" w:name="_Toc184313253"/>
      <w:bookmarkEnd w:id="64"/>
      <w:bookmarkStart w:id="65" w:name="_Toc184310282"/>
      <w:bookmarkEnd w:id="65"/>
      <w:bookmarkStart w:id="66" w:name="_Toc184312070"/>
      <w:bookmarkEnd w:id="66"/>
      <w:bookmarkStart w:id="67" w:name="_Toc184313276"/>
      <w:bookmarkEnd w:id="67"/>
      <w:bookmarkStart w:id="68" w:name="_Toc184312067"/>
      <w:bookmarkEnd w:id="68"/>
      <w:bookmarkStart w:id="69" w:name="_Toc184313258"/>
      <w:bookmarkEnd w:id="69"/>
      <w:bookmarkStart w:id="70" w:name="_Toc184314467"/>
      <w:bookmarkEnd w:id="70"/>
      <w:bookmarkStart w:id="71" w:name="_Toc184314418"/>
      <w:bookmarkEnd w:id="71"/>
      <w:bookmarkStart w:id="72" w:name="_Toc184310316"/>
      <w:bookmarkEnd w:id="72"/>
      <w:bookmarkStart w:id="73" w:name="_Toc184312088"/>
      <w:bookmarkEnd w:id="73"/>
      <w:bookmarkStart w:id="74" w:name="_Toc184310314"/>
      <w:bookmarkEnd w:id="74"/>
      <w:bookmarkStart w:id="75" w:name="_Toc184310276"/>
      <w:bookmarkEnd w:id="75"/>
      <w:bookmarkStart w:id="76" w:name="_Toc184310294"/>
      <w:bookmarkEnd w:id="76"/>
      <w:bookmarkStart w:id="77" w:name="_Toc184308103"/>
      <w:bookmarkEnd w:id="77"/>
      <w:bookmarkStart w:id="78" w:name="_Toc184308088"/>
      <w:bookmarkEnd w:id="78"/>
      <w:bookmarkStart w:id="79" w:name="_Toc184314425"/>
      <w:bookmarkEnd w:id="79"/>
      <w:bookmarkStart w:id="80" w:name="_Toc184312071"/>
      <w:bookmarkEnd w:id="80"/>
      <w:bookmarkStart w:id="81" w:name="_Toc184313306"/>
      <w:bookmarkEnd w:id="81"/>
      <w:bookmarkStart w:id="82" w:name="_Toc184314417"/>
      <w:bookmarkEnd w:id="82"/>
      <w:bookmarkStart w:id="83" w:name="_Toc184313240"/>
      <w:bookmarkEnd w:id="83"/>
      <w:bookmarkStart w:id="84" w:name="_Toc184312109"/>
      <w:bookmarkEnd w:id="84"/>
      <w:bookmarkStart w:id="85" w:name="_Toc184314441"/>
      <w:bookmarkEnd w:id="85"/>
      <w:bookmarkStart w:id="86" w:name="_Toc184310319"/>
      <w:bookmarkEnd w:id="86"/>
      <w:bookmarkStart w:id="87" w:name="_Toc184314473"/>
      <w:bookmarkEnd w:id="87"/>
      <w:bookmarkStart w:id="88" w:name="_Toc184313305"/>
      <w:bookmarkEnd w:id="88"/>
      <w:bookmarkStart w:id="89" w:name="_Toc184310290"/>
      <w:bookmarkEnd w:id="89"/>
      <w:bookmarkStart w:id="90" w:name="_Toc184314474"/>
      <w:bookmarkEnd w:id="90"/>
      <w:bookmarkStart w:id="91" w:name="_Toc184308065"/>
      <w:bookmarkEnd w:id="91"/>
      <w:bookmarkStart w:id="92" w:name="_Toc184314464"/>
      <w:bookmarkEnd w:id="92"/>
      <w:bookmarkStart w:id="93" w:name="_Toc184313241"/>
      <w:bookmarkEnd w:id="93"/>
      <w:bookmarkStart w:id="94" w:name="_Toc184312093"/>
      <w:bookmarkEnd w:id="94"/>
      <w:bookmarkStart w:id="95" w:name="_Toc184308099"/>
      <w:bookmarkEnd w:id="95"/>
      <w:bookmarkStart w:id="96" w:name="_Toc184312095"/>
      <w:bookmarkEnd w:id="96"/>
      <w:bookmarkStart w:id="97" w:name="_Toc184310334"/>
      <w:bookmarkEnd w:id="97"/>
      <w:bookmarkStart w:id="98" w:name="_Toc184313296"/>
      <w:bookmarkEnd w:id="98"/>
      <w:bookmarkStart w:id="99" w:name="_Toc184310283"/>
      <w:bookmarkEnd w:id="99"/>
      <w:bookmarkStart w:id="100" w:name="_Toc184310310"/>
      <w:bookmarkEnd w:id="100"/>
      <w:bookmarkStart w:id="101" w:name="_Toc184312133"/>
      <w:bookmarkEnd w:id="101"/>
      <w:bookmarkStart w:id="102" w:name="_Toc184313277"/>
      <w:bookmarkEnd w:id="102"/>
      <w:bookmarkStart w:id="103" w:name="_Toc184310315"/>
      <w:bookmarkEnd w:id="103"/>
      <w:bookmarkStart w:id="104" w:name="_Toc184308069"/>
      <w:bookmarkEnd w:id="104"/>
      <w:bookmarkStart w:id="105" w:name="_Toc184314468"/>
      <w:bookmarkEnd w:id="105"/>
      <w:bookmarkStart w:id="106" w:name="_Toc184312074"/>
      <w:bookmarkEnd w:id="106"/>
      <w:bookmarkStart w:id="107" w:name="_Toc184310292"/>
      <w:bookmarkEnd w:id="107"/>
      <w:bookmarkStart w:id="108" w:name="_Toc184310323"/>
      <w:bookmarkEnd w:id="108"/>
      <w:bookmarkStart w:id="109" w:name="_Toc184313286"/>
      <w:bookmarkEnd w:id="109"/>
      <w:bookmarkStart w:id="110" w:name="_Toc184312097"/>
      <w:bookmarkEnd w:id="110"/>
      <w:bookmarkStart w:id="111" w:name="_Toc184308108"/>
      <w:bookmarkEnd w:id="111"/>
      <w:bookmarkStart w:id="112" w:name="_Toc184310344"/>
      <w:bookmarkEnd w:id="112"/>
      <w:bookmarkStart w:id="113" w:name="_Toc184312076"/>
      <w:bookmarkEnd w:id="113"/>
      <w:bookmarkStart w:id="114" w:name="_Toc184312118"/>
      <w:bookmarkEnd w:id="114"/>
      <w:bookmarkStart w:id="115" w:name="_Toc184314454"/>
      <w:bookmarkEnd w:id="115"/>
      <w:bookmarkStart w:id="116" w:name="_Toc184308098"/>
      <w:bookmarkEnd w:id="116"/>
      <w:bookmarkStart w:id="117" w:name="_Toc184312099"/>
      <w:bookmarkEnd w:id="117"/>
      <w:bookmarkStart w:id="118" w:name="_Toc184308090"/>
      <w:bookmarkEnd w:id="118"/>
      <w:bookmarkStart w:id="119" w:name="_Toc184312110"/>
      <w:bookmarkEnd w:id="119"/>
      <w:bookmarkStart w:id="120" w:name="_Toc184310302"/>
      <w:bookmarkEnd w:id="120"/>
      <w:bookmarkStart w:id="121" w:name="_Toc184312079"/>
      <w:bookmarkEnd w:id="121"/>
      <w:bookmarkStart w:id="122" w:name="_Toc184313300"/>
      <w:bookmarkEnd w:id="122"/>
      <w:bookmarkStart w:id="123" w:name="_Toc184308075"/>
      <w:bookmarkEnd w:id="123"/>
      <w:bookmarkStart w:id="124" w:name="_Toc184310299"/>
      <w:bookmarkEnd w:id="124"/>
      <w:bookmarkStart w:id="125" w:name="_Toc184308049"/>
      <w:bookmarkEnd w:id="125"/>
      <w:bookmarkStart w:id="126" w:name="_Toc184312090"/>
      <w:bookmarkEnd w:id="126"/>
      <w:bookmarkStart w:id="127" w:name="_Toc184310293"/>
      <w:bookmarkEnd w:id="127"/>
      <w:bookmarkStart w:id="128" w:name="_Toc184310273"/>
      <w:bookmarkEnd w:id="128"/>
      <w:bookmarkStart w:id="129" w:name="_Toc184312080"/>
      <w:bookmarkEnd w:id="129"/>
      <w:bookmarkStart w:id="130" w:name="_Toc184313293"/>
      <w:bookmarkEnd w:id="130"/>
      <w:bookmarkStart w:id="131" w:name="_Toc184312072"/>
      <w:bookmarkEnd w:id="131"/>
      <w:bookmarkStart w:id="132" w:name="_Toc184314455"/>
      <w:bookmarkEnd w:id="132"/>
      <w:bookmarkStart w:id="133" w:name="_Toc184313297"/>
      <w:bookmarkEnd w:id="133"/>
      <w:bookmarkStart w:id="134" w:name="_Toc184310287"/>
      <w:bookmarkEnd w:id="134"/>
      <w:bookmarkStart w:id="135" w:name="_Toc184310297"/>
      <w:bookmarkEnd w:id="135"/>
      <w:bookmarkStart w:id="136" w:name="_Toc184310343"/>
      <w:bookmarkEnd w:id="136"/>
      <w:bookmarkStart w:id="137" w:name="_Toc184310307"/>
      <w:bookmarkEnd w:id="137"/>
      <w:bookmarkStart w:id="138" w:name="_Toc184310309"/>
      <w:bookmarkEnd w:id="138"/>
      <w:bookmarkStart w:id="139" w:name="_Toc184314462"/>
      <w:bookmarkEnd w:id="139"/>
      <w:bookmarkStart w:id="140" w:name="_Toc184313239"/>
      <w:bookmarkEnd w:id="140"/>
      <w:bookmarkStart w:id="141" w:name="_Toc184310274"/>
      <w:bookmarkEnd w:id="141"/>
      <w:bookmarkStart w:id="142" w:name="_Toc184313270"/>
      <w:bookmarkEnd w:id="142"/>
      <w:bookmarkStart w:id="143" w:name="_Toc184314424"/>
      <w:bookmarkEnd w:id="143"/>
      <w:bookmarkStart w:id="144" w:name="_Toc184308058"/>
      <w:bookmarkEnd w:id="144"/>
      <w:bookmarkStart w:id="145" w:name="_Toc184314430"/>
      <w:bookmarkEnd w:id="145"/>
      <w:bookmarkStart w:id="146" w:name="_Toc184308040"/>
      <w:bookmarkEnd w:id="146"/>
      <w:bookmarkStart w:id="147" w:name="_Toc184312128"/>
      <w:bookmarkEnd w:id="147"/>
      <w:bookmarkStart w:id="148" w:name="_Toc184312117"/>
      <w:bookmarkEnd w:id="148"/>
      <w:bookmarkStart w:id="149" w:name="_Toc184310329"/>
      <w:bookmarkEnd w:id="149"/>
      <w:bookmarkStart w:id="150" w:name="_Toc184314477"/>
      <w:bookmarkEnd w:id="150"/>
      <w:bookmarkStart w:id="151" w:name="_Toc184313294"/>
      <w:bookmarkEnd w:id="151"/>
      <w:bookmarkStart w:id="152" w:name="_Toc184313272"/>
      <w:bookmarkEnd w:id="152"/>
      <w:bookmarkStart w:id="153" w:name="_Toc184310337"/>
      <w:bookmarkEnd w:id="153"/>
      <w:bookmarkStart w:id="154" w:name="_Toc184314419"/>
      <w:bookmarkEnd w:id="154"/>
      <w:bookmarkStart w:id="155" w:name="_Toc184308045"/>
      <w:bookmarkEnd w:id="155"/>
      <w:bookmarkStart w:id="156" w:name="_Toc184308074"/>
      <w:bookmarkEnd w:id="156"/>
      <w:bookmarkStart w:id="157" w:name="_Toc184310301"/>
      <w:bookmarkEnd w:id="157"/>
      <w:bookmarkStart w:id="158" w:name="_Toc184308079"/>
      <w:bookmarkEnd w:id="158"/>
      <w:bookmarkStart w:id="159" w:name="_Toc184308101"/>
      <w:bookmarkEnd w:id="159"/>
      <w:bookmarkStart w:id="160" w:name="_Toc184310306"/>
      <w:bookmarkEnd w:id="160"/>
      <w:bookmarkStart w:id="161" w:name="_Toc184314436"/>
      <w:bookmarkEnd w:id="161"/>
      <w:bookmarkStart w:id="162" w:name="_Toc184314463"/>
      <w:bookmarkEnd w:id="162"/>
      <w:bookmarkStart w:id="163" w:name="_Toc184314440"/>
      <w:bookmarkEnd w:id="163"/>
      <w:bookmarkStart w:id="164" w:name="_Toc184314433"/>
      <w:bookmarkEnd w:id="164"/>
      <w:bookmarkStart w:id="165" w:name="_Toc184312123"/>
      <w:bookmarkEnd w:id="165"/>
      <w:bookmarkStart w:id="166" w:name="_Toc184314457"/>
      <w:bookmarkEnd w:id="166"/>
      <w:bookmarkStart w:id="167" w:name="_Toc184312105"/>
      <w:bookmarkEnd w:id="167"/>
      <w:bookmarkStart w:id="168" w:name="_Toc184310313"/>
      <w:bookmarkEnd w:id="168"/>
      <w:bookmarkStart w:id="169" w:name="_Toc184310305"/>
      <w:bookmarkEnd w:id="169"/>
      <w:bookmarkStart w:id="170" w:name="_Toc184310272"/>
      <w:bookmarkEnd w:id="170"/>
      <w:bookmarkStart w:id="171" w:name="_Toc184308041"/>
      <w:bookmarkEnd w:id="171"/>
      <w:bookmarkStart w:id="172" w:name="_Toc184308089"/>
      <w:bookmarkEnd w:id="172"/>
      <w:bookmarkStart w:id="173" w:name="_Toc184312084"/>
      <w:bookmarkEnd w:id="173"/>
      <w:bookmarkStart w:id="174" w:name="_Toc184313273"/>
      <w:bookmarkEnd w:id="174"/>
      <w:bookmarkStart w:id="175" w:name="_Toc184313267"/>
      <w:bookmarkEnd w:id="175"/>
      <w:bookmarkStart w:id="176" w:name="_Toc184310312"/>
      <w:bookmarkEnd w:id="176"/>
      <w:bookmarkStart w:id="177" w:name="_Toc184308097"/>
      <w:bookmarkEnd w:id="177"/>
      <w:bookmarkStart w:id="178" w:name="_Toc184313282"/>
      <w:bookmarkEnd w:id="178"/>
      <w:bookmarkStart w:id="179" w:name="_Toc184310338"/>
      <w:bookmarkEnd w:id="179"/>
      <w:bookmarkStart w:id="180" w:name="_Toc184314410"/>
      <w:bookmarkEnd w:id="180"/>
      <w:bookmarkStart w:id="181" w:name="_Toc184313292"/>
      <w:bookmarkEnd w:id="181"/>
      <w:bookmarkStart w:id="182" w:name="_Toc184314420"/>
      <w:bookmarkEnd w:id="182"/>
      <w:bookmarkStart w:id="183" w:name="_Toc184313281"/>
      <w:bookmarkEnd w:id="183"/>
      <w:bookmarkStart w:id="184" w:name="_Toc184313308"/>
      <w:bookmarkEnd w:id="184"/>
      <w:bookmarkStart w:id="185" w:name="_Toc184308063"/>
      <w:bookmarkEnd w:id="185"/>
      <w:bookmarkStart w:id="186" w:name="_Toc184313284"/>
      <w:bookmarkEnd w:id="186"/>
      <w:bookmarkStart w:id="187" w:name="_Toc184314427"/>
      <w:bookmarkEnd w:id="187"/>
      <w:bookmarkStart w:id="188" w:name="_Toc184310328"/>
      <w:bookmarkEnd w:id="188"/>
      <w:bookmarkStart w:id="189" w:name="_Toc184313243"/>
      <w:bookmarkEnd w:id="189"/>
      <w:bookmarkStart w:id="190" w:name="_Toc184313242"/>
      <w:bookmarkEnd w:id="190"/>
      <w:bookmarkStart w:id="191" w:name="_Toc184314472"/>
      <w:bookmarkEnd w:id="191"/>
      <w:bookmarkStart w:id="192" w:name="_Toc184308104"/>
      <w:bookmarkEnd w:id="192"/>
      <w:bookmarkStart w:id="193" w:name="_Toc184314444"/>
      <w:bookmarkEnd w:id="193"/>
      <w:bookmarkStart w:id="194" w:name="_Toc184308094"/>
      <w:bookmarkEnd w:id="194"/>
      <w:bookmarkStart w:id="195" w:name="_Toc184308044"/>
      <w:bookmarkEnd w:id="195"/>
      <w:bookmarkStart w:id="196" w:name="_Toc184310318"/>
      <w:bookmarkEnd w:id="196"/>
      <w:bookmarkStart w:id="197" w:name="_Toc184314414"/>
      <w:bookmarkEnd w:id="197"/>
      <w:bookmarkStart w:id="198" w:name="_Toc184312075"/>
      <w:bookmarkEnd w:id="198"/>
      <w:bookmarkStart w:id="199" w:name="_Toc184312091"/>
      <w:bookmarkEnd w:id="199"/>
      <w:bookmarkStart w:id="200" w:name="_Toc184308060"/>
      <w:bookmarkEnd w:id="200"/>
      <w:bookmarkStart w:id="201" w:name="_Toc184308055"/>
      <w:bookmarkEnd w:id="201"/>
      <w:bookmarkStart w:id="202" w:name="_Toc184310300"/>
      <w:bookmarkEnd w:id="202"/>
      <w:bookmarkStart w:id="203" w:name="_Toc184314415"/>
      <w:bookmarkEnd w:id="203"/>
      <w:bookmarkStart w:id="204" w:name="_Toc184308056"/>
      <w:bookmarkEnd w:id="204"/>
      <w:bookmarkStart w:id="205" w:name="_Toc184308085"/>
      <w:bookmarkEnd w:id="205"/>
      <w:bookmarkStart w:id="206" w:name="_Toc184308086"/>
      <w:bookmarkEnd w:id="206"/>
      <w:bookmarkStart w:id="207" w:name="_Toc184310336"/>
      <w:bookmarkEnd w:id="207"/>
      <w:bookmarkStart w:id="208" w:name="_Toc184308068"/>
      <w:bookmarkEnd w:id="208"/>
      <w:bookmarkStart w:id="209" w:name="_Toc184312092"/>
      <w:bookmarkEnd w:id="209"/>
      <w:bookmarkStart w:id="210" w:name="_Toc184308057"/>
      <w:bookmarkEnd w:id="210"/>
      <w:bookmarkStart w:id="211" w:name="_Toc184308100"/>
      <w:bookmarkEnd w:id="211"/>
      <w:bookmarkStart w:id="212" w:name="_Toc184314445"/>
      <w:bookmarkEnd w:id="212"/>
      <w:bookmarkStart w:id="213" w:name="_Toc184312082"/>
      <w:bookmarkEnd w:id="213"/>
      <w:bookmarkStart w:id="214" w:name="_Toc184312138"/>
      <w:bookmarkEnd w:id="214"/>
      <w:bookmarkStart w:id="215" w:name="_Toc184308064"/>
      <w:bookmarkEnd w:id="215"/>
      <w:bookmarkStart w:id="216" w:name="_Toc184312135"/>
      <w:bookmarkEnd w:id="216"/>
      <w:bookmarkStart w:id="217" w:name="_Toc184310279"/>
      <w:bookmarkEnd w:id="217"/>
      <w:bookmarkStart w:id="218" w:name="_Toc184310324"/>
      <w:bookmarkEnd w:id="218"/>
      <w:bookmarkStart w:id="219" w:name="_Toc184314456"/>
      <w:bookmarkEnd w:id="219"/>
      <w:bookmarkStart w:id="220" w:name="_Toc184312085"/>
      <w:bookmarkEnd w:id="220"/>
      <w:bookmarkStart w:id="221" w:name="_Toc184313304"/>
      <w:bookmarkEnd w:id="221"/>
      <w:bookmarkStart w:id="222" w:name="_Toc184314453"/>
      <w:bookmarkEnd w:id="222"/>
      <w:bookmarkStart w:id="223" w:name="_Toc184308066"/>
      <w:bookmarkEnd w:id="223"/>
      <w:bookmarkStart w:id="224" w:name="_Toc184313271"/>
      <w:bookmarkEnd w:id="224"/>
      <w:bookmarkStart w:id="225" w:name="_Toc184313256"/>
      <w:bookmarkEnd w:id="225"/>
      <w:bookmarkStart w:id="226" w:name="_Toc184313252"/>
      <w:bookmarkEnd w:id="226"/>
      <w:bookmarkStart w:id="227" w:name="_Toc184312101"/>
      <w:bookmarkEnd w:id="227"/>
      <w:bookmarkStart w:id="228" w:name="_Toc184313262"/>
      <w:bookmarkEnd w:id="228"/>
      <w:bookmarkStart w:id="229" w:name="_Toc184313290"/>
      <w:bookmarkEnd w:id="229"/>
      <w:bookmarkStart w:id="230" w:name="_Toc184308092"/>
      <w:bookmarkEnd w:id="230"/>
      <w:bookmarkStart w:id="231" w:name="_Toc184310317"/>
      <w:bookmarkEnd w:id="231"/>
      <w:bookmarkStart w:id="232" w:name="_Toc184308084"/>
      <w:bookmarkEnd w:id="232"/>
      <w:bookmarkStart w:id="233" w:name="_Toc184313287"/>
      <w:bookmarkEnd w:id="233"/>
      <w:bookmarkStart w:id="234" w:name="_Toc184312083"/>
      <w:bookmarkEnd w:id="234"/>
      <w:bookmarkStart w:id="235" w:name="_Toc184314435"/>
      <w:bookmarkEnd w:id="235"/>
      <w:bookmarkStart w:id="236" w:name="_Toc184313280"/>
      <w:bookmarkEnd w:id="236"/>
      <w:bookmarkStart w:id="237" w:name="_Toc184314450"/>
      <w:bookmarkEnd w:id="237"/>
      <w:bookmarkStart w:id="238" w:name="_Toc184314431"/>
      <w:bookmarkEnd w:id="238"/>
      <w:bookmarkStart w:id="239" w:name="_Toc184310335"/>
      <w:bookmarkEnd w:id="239"/>
      <w:bookmarkStart w:id="240" w:name="_Toc184310295"/>
      <w:bookmarkEnd w:id="240"/>
      <w:bookmarkStart w:id="241" w:name="_Toc184310275"/>
      <w:bookmarkEnd w:id="241"/>
      <w:bookmarkStart w:id="242" w:name="_Toc184312114"/>
      <w:bookmarkEnd w:id="242"/>
      <w:bookmarkStart w:id="243" w:name="_Toc184312130"/>
      <w:bookmarkEnd w:id="243"/>
      <w:bookmarkStart w:id="244" w:name="_Toc184312096"/>
      <w:bookmarkEnd w:id="244"/>
      <w:bookmarkStart w:id="245" w:name="_Toc184308076"/>
      <w:bookmarkEnd w:id="245"/>
      <w:bookmarkStart w:id="246" w:name="_Toc184313238"/>
      <w:bookmarkEnd w:id="246"/>
      <w:bookmarkStart w:id="247" w:name="_Toc184312073"/>
      <w:bookmarkEnd w:id="247"/>
      <w:bookmarkStart w:id="248" w:name="_Toc184313251"/>
      <w:bookmarkEnd w:id="248"/>
      <w:bookmarkStart w:id="249" w:name="_Toc184308073"/>
      <w:bookmarkEnd w:id="249"/>
      <w:bookmarkStart w:id="250" w:name="_Toc184310296"/>
      <w:bookmarkEnd w:id="250"/>
      <w:bookmarkStart w:id="251" w:name="_Toc184308072"/>
      <w:bookmarkEnd w:id="251"/>
      <w:bookmarkStart w:id="252" w:name="_Toc184312098"/>
      <w:bookmarkEnd w:id="252"/>
      <w:bookmarkStart w:id="253" w:name="_Toc184313288"/>
      <w:bookmarkEnd w:id="253"/>
      <w:bookmarkStart w:id="254" w:name="_Toc184308081"/>
      <w:bookmarkEnd w:id="254"/>
      <w:bookmarkStart w:id="255" w:name="_Toc184310284"/>
      <w:bookmarkEnd w:id="255"/>
      <w:bookmarkStart w:id="256" w:name="_Toc184312132"/>
      <w:bookmarkEnd w:id="256"/>
      <w:bookmarkStart w:id="257" w:name="_Toc184312119"/>
      <w:bookmarkEnd w:id="257"/>
      <w:bookmarkStart w:id="258" w:name="_Toc184313254"/>
      <w:bookmarkEnd w:id="258"/>
      <w:bookmarkStart w:id="259" w:name="_Toc184314439"/>
      <w:bookmarkEnd w:id="259"/>
      <w:bookmarkStart w:id="260" w:name="_Toc184312137"/>
      <w:bookmarkEnd w:id="260"/>
      <w:bookmarkStart w:id="261" w:name="_Toc184312136"/>
      <w:bookmarkEnd w:id="261"/>
      <w:bookmarkStart w:id="262" w:name="_Toc184313250"/>
      <w:bookmarkEnd w:id="262"/>
      <w:bookmarkStart w:id="263" w:name="_Toc184314434"/>
      <w:bookmarkEnd w:id="263"/>
      <w:bookmarkStart w:id="264" w:name="_Toc184314448"/>
      <w:bookmarkEnd w:id="264"/>
      <w:bookmarkStart w:id="265" w:name="_Toc184308083"/>
      <w:bookmarkEnd w:id="265"/>
      <w:bookmarkStart w:id="266" w:name="_Toc184308071"/>
      <w:bookmarkEnd w:id="266"/>
      <w:bookmarkStart w:id="267" w:name="_Toc184313310"/>
      <w:bookmarkEnd w:id="267"/>
      <w:bookmarkStart w:id="268" w:name="_Toc184312094"/>
      <w:bookmarkEnd w:id="268"/>
      <w:bookmarkStart w:id="269" w:name="_Toc184310339"/>
      <w:bookmarkEnd w:id="269"/>
      <w:bookmarkStart w:id="270" w:name="_Toc184313279"/>
      <w:bookmarkEnd w:id="270"/>
      <w:bookmarkStart w:id="271" w:name="_Toc184308054"/>
      <w:bookmarkEnd w:id="271"/>
      <w:bookmarkStart w:id="272" w:name="_Toc184313255"/>
      <w:bookmarkEnd w:id="272"/>
      <w:bookmarkStart w:id="273" w:name="_Toc184313285"/>
      <w:bookmarkEnd w:id="273"/>
      <w:bookmarkStart w:id="274" w:name="_Toc184313307"/>
      <w:bookmarkEnd w:id="274"/>
      <w:bookmarkStart w:id="275" w:name="_Toc184308093"/>
      <w:bookmarkEnd w:id="275"/>
      <w:bookmarkStart w:id="276" w:name="_Toc184314423"/>
      <w:bookmarkEnd w:id="276"/>
      <w:bookmarkStart w:id="277" w:name="_Toc184312134"/>
      <w:bookmarkEnd w:id="277"/>
      <w:bookmarkStart w:id="278" w:name="_Toc184310308"/>
      <w:bookmarkEnd w:id="278"/>
      <w:bookmarkStart w:id="279" w:name="_Toc184313309"/>
      <w:bookmarkEnd w:id="279"/>
      <w:bookmarkStart w:id="280" w:name="_Toc184314411"/>
      <w:bookmarkEnd w:id="280"/>
      <w:bookmarkStart w:id="281" w:name="_Toc184310321"/>
      <w:bookmarkEnd w:id="281"/>
      <w:bookmarkStart w:id="282" w:name="_Toc184312078"/>
      <w:bookmarkEnd w:id="282"/>
      <w:bookmarkStart w:id="283" w:name="_Toc184314422"/>
      <w:bookmarkEnd w:id="283"/>
      <w:bookmarkStart w:id="284" w:name="_Toc184314413"/>
      <w:bookmarkEnd w:id="284"/>
      <w:bookmarkStart w:id="285" w:name="_Toc184312115"/>
      <w:bookmarkEnd w:id="285"/>
      <w:bookmarkStart w:id="286" w:name="_Toc184312068"/>
      <w:bookmarkEnd w:id="286"/>
      <w:bookmarkStart w:id="287" w:name="_Toc184310342"/>
      <w:bookmarkEnd w:id="287"/>
      <w:bookmarkStart w:id="288" w:name="_Toc184308048"/>
      <w:bookmarkEnd w:id="288"/>
      <w:bookmarkStart w:id="289" w:name="_Toc184310326"/>
      <w:bookmarkEnd w:id="289"/>
      <w:bookmarkStart w:id="290" w:name="_Toc184312077"/>
      <w:bookmarkEnd w:id="290"/>
      <w:bookmarkStart w:id="291" w:name="_Toc184314447"/>
      <w:bookmarkEnd w:id="291"/>
      <w:bookmarkStart w:id="292" w:name="_Toc184314432"/>
      <w:bookmarkEnd w:id="292"/>
      <w:bookmarkStart w:id="293" w:name="_Toc184314443"/>
      <w:bookmarkEnd w:id="293"/>
      <w:bookmarkStart w:id="294" w:name="_Toc184313260"/>
      <w:bookmarkEnd w:id="294"/>
      <w:bookmarkStart w:id="295" w:name="_Toc184314478"/>
      <w:bookmarkEnd w:id="295"/>
      <w:bookmarkStart w:id="296" w:name="_Toc184313257"/>
      <w:bookmarkEnd w:id="296"/>
      <w:bookmarkStart w:id="297" w:name="_Toc184308039"/>
      <w:bookmarkEnd w:id="297"/>
      <w:bookmarkStart w:id="298" w:name="_Toc184312112"/>
      <w:bookmarkEnd w:id="298"/>
      <w:bookmarkStart w:id="299" w:name="_Toc184313291"/>
      <w:bookmarkEnd w:id="299"/>
      <w:bookmarkStart w:id="300" w:name="_Toc184314442"/>
      <w:bookmarkEnd w:id="300"/>
      <w:bookmarkStart w:id="301" w:name="_Toc184308096"/>
      <w:bookmarkEnd w:id="301"/>
      <w:bookmarkStart w:id="302" w:name="_Toc184314469"/>
      <w:bookmarkEnd w:id="302"/>
      <w:bookmarkStart w:id="303" w:name="_Toc184312131"/>
      <w:bookmarkEnd w:id="303"/>
      <w:bookmarkStart w:id="304" w:name="_Toc184312089"/>
      <w:bookmarkEnd w:id="304"/>
      <w:bookmarkStart w:id="305" w:name="_Toc184313301"/>
      <w:bookmarkEnd w:id="305"/>
      <w:bookmarkStart w:id="306" w:name="_Toc184310331"/>
      <w:bookmarkEnd w:id="306"/>
      <w:bookmarkStart w:id="307" w:name="_Toc184310311"/>
      <w:bookmarkEnd w:id="307"/>
      <w:bookmarkStart w:id="308" w:name="_Toc184313283"/>
      <w:bookmarkEnd w:id="308"/>
      <w:bookmarkStart w:id="309" w:name="_Toc184313265"/>
      <w:bookmarkEnd w:id="309"/>
      <w:bookmarkStart w:id="310" w:name="_Toc184312139"/>
      <w:bookmarkEnd w:id="310"/>
      <w:bookmarkStart w:id="311" w:name="_Toc184313269"/>
      <w:bookmarkEnd w:id="311"/>
      <w:bookmarkStart w:id="312" w:name="_Toc184308080"/>
      <w:bookmarkEnd w:id="312"/>
      <w:bookmarkStart w:id="313" w:name="_Toc184313278"/>
      <w:bookmarkEnd w:id="313"/>
      <w:bookmarkStart w:id="314" w:name="_Toc184313247"/>
      <w:bookmarkEnd w:id="314"/>
      <w:bookmarkStart w:id="315" w:name="_Toc184314460"/>
      <w:bookmarkEnd w:id="315"/>
      <w:bookmarkStart w:id="316" w:name="_Toc184308106"/>
      <w:bookmarkEnd w:id="316"/>
      <w:bookmarkStart w:id="317" w:name="_Toc184308105"/>
      <w:bookmarkEnd w:id="317"/>
      <w:bookmarkStart w:id="318" w:name="_Toc184308037"/>
      <w:bookmarkEnd w:id="318"/>
      <w:bookmarkStart w:id="319" w:name="_Toc184308077"/>
      <w:bookmarkEnd w:id="319"/>
      <w:bookmarkStart w:id="320" w:name="_Toc184310320"/>
      <w:bookmarkEnd w:id="320"/>
      <w:bookmarkStart w:id="321" w:name="_Toc184308043"/>
      <w:bookmarkEnd w:id="321"/>
      <w:bookmarkStart w:id="322" w:name="_Toc184314481"/>
      <w:bookmarkEnd w:id="322"/>
      <w:bookmarkStart w:id="323" w:name="_Toc184314476"/>
      <w:bookmarkEnd w:id="323"/>
      <w:bookmarkStart w:id="324" w:name="_Toc184313298"/>
      <w:bookmarkEnd w:id="324"/>
      <w:bookmarkStart w:id="325" w:name="_Toc184312107"/>
      <w:bookmarkEnd w:id="325"/>
      <w:bookmarkStart w:id="326" w:name="_Toc184308107"/>
      <w:bookmarkEnd w:id="326"/>
      <w:bookmarkStart w:id="327" w:name="_Toc184308082"/>
      <w:bookmarkEnd w:id="327"/>
      <w:bookmarkStart w:id="328" w:name="_Toc184308087"/>
      <w:bookmarkEnd w:id="328"/>
      <w:bookmarkStart w:id="329" w:name="_Toc184313275"/>
      <w:bookmarkEnd w:id="329"/>
      <w:bookmarkStart w:id="330" w:name="_Toc184314446"/>
      <w:bookmarkEnd w:id="330"/>
      <w:bookmarkStart w:id="331" w:name="_Toc184308091"/>
      <w:bookmarkEnd w:id="331"/>
      <w:bookmarkStart w:id="332" w:name="_Toc184313266"/>
      <w:bookmarkEnd w:id="332"/>
      <w:bookmarkStart w:id="333" w:name="_Toc184310330"/>
      <w:bookmarkEnd w:id="333"/>
      <w:bookmarkStart w:id="334" w:name="_Toc184312126"/>
      <w:bookmarkEnd w:id="334"/>
      <w:bookmarkStart w:id="335" w:name="_Toc184308038"/>
      <w:bookmarkEnd w:id="335"/>
      <w:bookmarkStart w:id="336" w:name="_Toc184314475"/>
      <w:bookmarkEnd w:id="336"/>
      <w:bookmarkStart w:id="337" w:name="_Toc184310288"/>
      <w:bookmarkEnd w:id="337"/>
      <w:bookmarkStart w:id="338" w:name="_Toc184314458"/>
      <w:bookmarkEnd w:id="338"/>
      <w:bookmarkStart w:id="339" w:name="_Toc184310291"/>
      <w:bookmarkEnd w:id="339"/>
      <w:bookmarkStart w:id="340" w:name="_Toc184313249"/>
      <w:bookmarkEnd w:id="340"/>
      <w:bookmarkStart w:id="341" w:name="_Toc184310285"/>
      <w:bookmarkEnd w:id="341"/>
      <w:bookmarkStart w:id="342" w:name="_Toc184314426"/>
      <w:bookmarkEnd w:id="342"/>
      <w:bookmarkStart w:id="343" w:name="_Toc184314466"/>
      <w:bookmarkEnd w:id="343"/>
      <w:bookmarkStart w:id="344" w:name="_Toc184312087"/>
      <w:bookmarkEnd w:id="344"/>
      <w:bookmarkStart w:id="345" w:name="_Toc184308070"/>
      <w:bookmarkEnd w:id="345"/>
      <w:bookmarkStart w:id="346" w:name="_Toc184308059"/>
      <w:bookmarkEnd w:id="346"/>
      <w:bookmarkStart w:id="347" w:name="_Toc184310277"/>
      <w:bookmarkEnd w:id="347"/>
      <w:bookmarkStart w:id="348" w:name="_Toc184314428"/>
      <w:bookmarkEnd w:id="348"/>
      <w:bookmarkStart w:id="349" w:name="_Toc184312106"/>
      <w:bookmarkEnd w:id="349"/>
      <w:bookmarkStart w:id="350" w:name="_Toc184310298"/>
      <w:bookmarkEnd w:id="350"/>
      <w:bookmarkStart w:id="351" w:name="_Toc184312100"/>
      <w:bookmarkEnd w:id="351"/>
      <w:bookmarkStart w:id="352" w:name="_Toc184310333"/>
      <w:bookmarkEnd w:id="352"/>
      <w:bookmarkStart w:id="353" w:name="_Toc184313263"/>
      <w:bookmarkEnd w:id="353"/>
      <w:bookmarkStart w:id="354" w:name="_Toc184313303"/>
      <w:bookmarkEnd w:id="354"/>
      <w:bookmarkStart w:id="355" w:name="_Toc184310289"/>
      <w:bookmarkEnd w:id="355"/>
      <w:bookmarkStart w:id="356" w:name="_Toc184308067"/>
      <w:bookmarkEnd w:id="356"/>
      <w:bookmarkStart w:id="357" w:name="_Toc184313244"/>
      <w:bookmarkEnd w:id="357"/>
      <w:bookmarkStart w:id="358" w:name="_Toc184310327"/>
      <w:bookmarkEnd w:id="358"/>
      <w:bookmarkStart w:id="359" w:name="_Toc184312102"/>
      <w:bookmarkEnd w:id="359"/>
      <w:bookmarkStart w:id="360" w:name="_Toc184308046"/>
      <w:bookmarkEnd w:id="360"/>
      <w:bookmarkStart w:id="361" w:name="_Toc184312121"/>
      <w:bookmarkEnd w:id="361"/>
      <w:bookmarkStart w:id="362" w:name="_Toc184313302"/>
      <w:bookmarkEnd w:id="362"/>
      <w:bookmarkStart w:id="363" w:name="_Toc184314470"/>
      <w:bookmarkEnd w:id="363"/>
      <w:bookmarkStart w:id="364" w:name="_Toc184312116"/>
      <w:bookmarkEnd w:id="364"/>
      <w:bookmarkStart w:id="365" w:name="_Toc184314451"/>
      <w:bookmarkEnd w:id="365"/>
      <w:bookmarkStart w:id="366" w:name="_Toc184310341"/>
      <w:bookmarkEnd w:id="366"/>
      <w:bookmarkStart w:id="367" w:name="_Toc184313295"/>
      <w:bookmarkEnd w:id="367"/>
      <w:bookmarkStart w:id="368" w:name="_Toc184314412"/>
      <w:bookmarkEnd w:id="368"/>
      <w:bookmarkStart w:id="369" w:name="_Toc184312103"/>
      <w:bookmarkEnd w:id="369"/>
      <w:bookmarkStart w:id="370" w:name="_Toc184313264"/>
      <w:bookmarkEnd w:id="370"/>
      <w:bookmarkStart w:id="371" w:name="_Toc184312122"/>
      <w:bookmarkEnd w:id="371"/>
      <w:bookmarkStart w:id="372" w:name="_Toc184312086"/>
      <w:bookmarkEnd w:id="372"/>
      <w:bookmarkStart w:id="373" w:name="_Toc184313299"/>
      <w:bookmarkEnd w:id="373"/>
      <w:bookmarkStart w:id="374" w:name="_Toc184314438"/>
      <w:bookmarkEnd w:id="374"/>
      <w:bookmarkStart w:id="375" w:name="_Toc184314482"/>
      <w:bookmarkEnd w:id="375"/>
      <w:bookmarkStart w:id="376" w:name="_Toc184308036"/>
      <w:bookmarkEnd w:id="376"/>
      <w:bookmarkStart w:id="377" w:name="_Toc184308052"/>
      <w:bookmarkEnd w:id="377"/>
      <w:bookmarkStart w:id="378" w:name="_Toc184314471"/>
      <w:bookmarkEnd w:id="378"/>
      <w:bookmarkStart w:id="379" w:name="_Toc184308095"/>
      <w:bookmarkEnd w:id="379"/>
      <w:bookmarkStart w:id="380" w:name="_Toc184310286"/>
      <w:bookmarkEnd w:id="380"/>
      <w:bookmarkStart w:id="381" w:name="_Toc184308053"/>
      <w:bookmarkEnd w:id="381"/>
      <w:bookmarkStart w:id="382" w:name="_Toc184313268"/>
      <w:bookmarkEnd w:id="382"/>
      <w:bookmarkStart w:id="383" w:name="_Toc184312104"/>
      <w:bookmarkEnd w:id="383"/>
      <w:bookmarkStart w:id="384" w:name="_Toc184312125"/>
      <w:bookmarkEnd w:id="384"/>
      <w:bookmarkStart w:id="385" w:name="_Toc184313259"/>
      <w:bookmarkEnd w:id="385"/>
      <w:bookmarkStart w:id="386" w:name="_Toc184308102"/>
      <w:bookmarkEnd w:id="386"/>
      <w:bookmarkStart w:id="387" w:name="_Toc184312111"/>
      <w:bookmarkEnd w:id="387"/>
      <w:bookmarkStart w:id="388" w:name="_Toc184314416"/>
      <w:bookmarkEnd w:id="388"/>
      <w:bookmarkStart w:id="389" w:name="_Toc184314461"/>
      <w:bookmarkEnd w:id="389"/>
      <w:bookmarkStart w:id="390" w:name="_Toc184312108"/>
      <w:bookmarkEnd w:id="390"/>
      <w:bookmarkStart w:id="391" w:name="_Toc184314459"/>
      <w:bookmarkEnd w:id="391"/>
      <w:bookmarkStart w:id="392" w:name="_Toc184313261"/>
      <w:bookmarkEnd w:id="392"/>
      <w:bookmarkStart w:id="393" w:name="_Toc184310280"/>
      <w:bookmarkEnd w:id="393"/>
      <w:r>
        <w:rPr>
          <w:rFonts w:hint="eastAsia" w:ascii="宋体" w:hAnsi="宋体" w:eastAsia="宋体" w:cs="宋体"/>
          <w:b/>
          <w:color w:val="000000" w:themeColor="text1"/>
          <w:sz w:val="36"/>
          <w:szCs w:val="2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20"/>
          <w:highlight w:val="none"/>
          <w14:textFill>
            <w14:solidFill>
              <w14:schemeClr w14:val="tx1"/>
            </w14:solidFill>
          </w14:textFill>
        </w:rPr>
        <w:t>评审方法及评审标准</w:t>
      </w:r>
    </w:p>
    <w:p w14:paraId="0A01DC5A">
      <w:pPr>
        <w:spacing w:line="360" w:lineRule="auto"/>
        <w:jc w:val="center"/>
        <w:outlineLvl w:val="1"/>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评标办法前附表</w:t>
      </w:r>
    </w:p>
    <w:p w14:paraId="4DD9B1F8">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（一）商务报价（</w:t>
      </w:r>
      <w:r>
        <w:rPr>
          <w:rFonts w:hint="eastAsia" w:ascii="宋体" w:hAnsi="宋体" w:eastAsia="宋体" w:cs="宋体"/>
          <w:b/>
          <w:color w:val="auto"/>
          <w:sz w:val="24"/>
          <w:szCs w:val="24"/>
          <w:highlight w:val="none"/>
          <w:lang w:eastAsia="zh-CN"/>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分）</w:t>
      </w:r>
    </w:p>
    <w:p w14:paraId="7490A64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1.商务报价分采用低价优先法计算，即满足招标文件要求且投标价格最低的投标报价为评标基准价，其他供应商的价格分按照下列公式计算：</w:t>
      </w:r>
    </w:p>
    <w:p w14:paraId="12DB6FE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商务报价分=（评标基准价/有效投标报价）×</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0</w:t>
      </w:r>
    </w:p>
    <w:p w14:paraId="4613ED5E">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（二）资信部分（</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分）</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57"/>
        <w:gridCol w:w="1317"/>
        <w:gridCol w:w="7512"/>
      </w:tblGrid>
      <w:tr w14:paraId="2CA463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0" w:type="auto"/>
            <w:tcBorders>
              <w:tl2br w:val="nil"/>
              <w:tr2bl w:val="nil"/>
            </w:tcBorders>
            <w:vAlign w:val="center"/>
          </w:tcPr>
          <w:p w14:paraId="3FD1AA8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69" w:type="dxa"/>
            <w:tcBorders>
              <w:tl2br w:val="nil"/>
              <w:tr2bl w:val="nil"/>
            </w:tcBorders>
            <w:vAlign w:val="center"/>
          </w:tcPr>
          <w:p w14:paraId="7A6742C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p w14:paraId="00EFAA9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分项</w:t>
            </w:r>
          </w:p>
        </w:tc>
        <w:tc>
          <w:tcPr>
            <w:tcW w:w="8067" w:type="dxa"/>
            <w:tcBorders>
              <w:tl2br w:val="nil"/>
              <w:tr2bl w:val="nil"/>
            </w:tcBorders>
            <w:vAlign w:val="center"/>
          </w:tcPr>
          <w:p w14:paraId="3528AFB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4DF603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0" w:type="auto"/>
            <w:tcBorders>
              <w:tl2br w:val="nil"/>
              <w:tr2bl w:val="nil"/>
            </w:tcBorders>
            <w:shd w:val="clear" w:color="auto" w:fill="auto"/>
            <w:vAlign w:val="center"/>
          </w:tcPr>
          <w:p w14:paraId="3654C47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69" w:type="dxa"/>
            <w:tcBorders>
              <w:tl2br w:val="nil"/>
              <w:tr2bl w:val="nil"/>
            </w:tcBorders>
            <w:vAlign w:val="center"/>
          </w:tcPr>
          <w:p w14:paraId="5A1B77B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投标人类似服务的业绩（1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c>
          <w:tcPr>
            <w:tcW w:w="8067" w:type="dxa"/>
            <w:tcBorders>
              <w:tl2br w:val="nil"/>
              <w:tr2bl w:val="nil"/>
            </w:tcBorders>
            <w:vAlign w:val="center"/>
          </w:tcPr>
          <w:p w14:paraId="3965A4EC">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投标人自2020年1月1日以来（以合同签订时间为准）同类合同业绩：每提供1份合同业绩得0.5分，最高得1分。</w:t>
            </w:r>
          </w:p>
          <w:p w14:paraId="6739B530">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证明材料：</w:t>
            </w:r>
            <w:r>
              <w:rPr>
                <w:rFonts w:hint="eastAsia" w:ascii="宋体" w:hAnsi="宋体" w:eastAsia="宋体" w:cs="宋体"/>
                <w:bCs/>
                <w:color w:val="auto"/>
                <w:sz w:val="24"/>
                <w:szCs w:val="24"/>
                <w:highlight w:val="none"/>
              </w:rPr>
              <w:t>以提供的合同扫描件为准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未提供不得分。</w:t>
            </w:r>
            <w:r>
              <w:rPr>
                <w:rFonts w:hint="eastAsia" w:ascii="宋体" w:hAnsi="宋体" w:eastAsia="宋体" w:cs="宋体"/>
                <w:bCs/>
                <w:color w:val="auto"/>
                <w:sz w:val="24"/>
                <w:szCs w:val="24"/>
                <w:highlight w:val="none"/>
                <w:lang w:eastAsia="zh-CN"/>
              </w:rPr>
              <w:t>】</w:t>
            </w:r>
          </w:p>
        </w:tc>
      </w:tr>
    </w:tbl>
    <w:p w14:paraId="558C3CAA">
      <w:pPr>
        <w:pStyle w:val="9"/>
        <w:spacing w:before="157" w:beforeLines="50"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（三）技术部分（</w:t>
      </w:r>
      <w:r>
        <w:rPr>
          <w:rFonts w:hint="eastAsia" w:ascii="宋体" w:hAnsi="宋体" w:eastAsia="宋体" w:cs="宋体"/>
          <w:b/>
          <w:color w:val="auto"/>
          <w:sz w:val="24"/>
          <w:szCs w:val="24"/>
          <w:highlight w:val="none"/>
          <w:lang w:val="en-US" w:eastAsia="zh-CN"/>
        </w:rPr>
        <w:t>89</w:t>
      </w:r>
      <w:r>
        <w:rPr>
          <w:rFonts w:hint="eastAsia" w:ascii="宋体" w:hAnsi="宋体" w:eastAsia="宋体" w:cs="宋体"/>
          <w:b/>
          <w:color w:val="auto"/>
          <w:sz w:val="24"/>
          <w:szCs w:val="24"/>
          <w:highlight w:val="none"/>
        </w:rPr>
        <w:t>分）</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2" w:space="0"/>
          <w:insideV w:val="single" w:color="auto" w:sz="6" w:space="0"/>
        </w:tblBorders>
        <w:shd w:val="clear" w:color="auto" w:fill="auto"/>
        <w:tblLayout w:type="autofit"/>
        <w:tblCellMar>
          <w:top w:w="0" w:type="dxa"/>
          <w:left w:w="108" w:type="dxa"/>
          <w:bottom w:w="0" w:type="dxa"/>
          <w:right w:w="108" w:type="dxa"/>
        </w:tblCellMar>
      </w:tblPr>
      <w:tblGrid>
        <w:gridCol w:w="457"/>
        <w:gridCol w:w="1343"/>
        <w:gridCol w:w="7486"/>
      </w:tblGrid>
      <w:tr w14:paraId="6D8F118D">
        <w:tblPrEx>
          <w:tblBorders>
            <w:top w:val="double" w:color="auto" w:sz="4" w:space="0"/>
            <w:left w:val="double" w:color="auto" w:sz="4" w:space="0"/>
            <w:bottom w:val="double" w:color="auto" w:sz="4" w:space="0"/>
            <w:right w:val="double" w:color="auto" w:sz="4" w:space="0"/>
            <w:insideH w:val="single" w:color="auto" w:sz="2" w:space="0"/>
            <w:insideV w:val="single" w:color="auto" w:sz="6" w:space="0"/>
          </w:tblBorders>
          <w:tblCellMar>
            <w:top w:w="0" w:type="dxa"/>
            <w:left w:w="108" w:type="dxa"/>
            <w:bottom w:w="0" w:type="dxa"/>
            <w:right w:w="108" w:type="dxa"/>
          </w:tblCellMar>
        </w:tblPrEx>
        <w:trPr>
          <w:trHeight w:val="650" w:hRule="atLeast"/>
          <w:jc w:val="center"/>
        </w:trPr>
        <w:tc>
          <w:tcPr>
            <w:tcW w:w="0" w:type="auto"/>
            <w:tcBorders>
              <w:tl2br w:val="nil"/>
              <w:tr2bl w:val="nil"/>
            </w:tcBorders>
            <w:shd w:val="clear" w:color="auto" w:fill="auto"/>
            <w:vAlign w:val="center"/>
          </w:tcPr>
          <w:p w14:paraId="5C04B604">
            <w:pPr>
              <w:spacing w:line="3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01" w:type="dxa"/>
            <w:tcBorders>
              <w:tl2br w:val="nil"/>
              <w:tr2bl w:val="nil"/>
            </w:tcBorders>
            <w:shd w:val="clear" w:color="auto" w:fill="auto"/>
            <w:vAlign w:val="center"/>
          </w:tcPr>
          <w:p w14:paraId="6A02BC6D">
            <w:pPr>
              <w:spacing w:line="3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p w14:paraId="71EBE3CC">
            <w:pPr>
              <w:spacing w:line="3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分项</w:t>
            </w:r>
          </w:p>
        </w:tc>
        <w:tc>
          <w:tcPr>
            <w:tcW w:w="8075" w:type="dxa"/>
            <w:tcBorders>
              <w:tl2br w:val="nil"/>
              <w:tr2bl w:val="nil"/>
            </w:tcBorders>
            <w:shd w:val="clear" w:color="auto" w:fill="auto"/>
            <w:vAlign w:val="center"/>
          </w:tcPr>
          <w:p w14:paraId="01A7781D">
            <w:pPr>
              <w:spacing w:line="3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20E5BE89">
        <w:tblPrEx>
          <w:tblBorders>
            <w:top w:val="double" w:color="auto" w:sz="4" w:space="0"/>
            <w:left w:val="double" w:color="auto" w:sz="4" w:space="0"/>
            <w:bottom w:val="double" w:color="auto" w:sz="4" w:space="0"/>
            <w:right w:val="double" w:color="auto" w:sz="4" w:space="0"/>
            <w:insideH w:val="single" w:color="auto" w:sz="2" w:space="0"/>
            <w:insideV w:val="single" w:color="auto" w:sz="6" w:space="0"/>
          </w:tblBorders>
          <w:tblCellMar>
            <w:top w:w="0" w:type="dxa"/>
            <w:left w:w="108" w:type="dxa"/>
            <w:bottom w:w="0" w:type="dxa"/>
            <w:right w:w="108" w:type="dxa"/>
          </w:tblCellMar>
        </w:tblPrEx>
        <w:trPr>
          <w:trHeight w:val="650" w:hRule="atLeast"/>
          <w:jc w:val="center"/>
        </w:trPr>
        <w:tc>
          <w:tcPr>
            <w:tcW w:w="0" w:type="auto"/>
            <w:tcBorders>
              <w:tl2br w:val="nil"/>
              <w:tr2bl w:val="nil"/>
            </w:tcBorders>
            <w:shd w:val="clear" w:color="auto" w:fill="auto"/>
            <w:vAlign w:val="center"/>
          </w:tcPr>
          <w:p w14:paraId="358A10A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01" w:type="dxa"/>
            <w:tcBorders>
              <w:tl2br w:val="nil"/>
              <w:tr2bl w:val="nil"/>
            </w:tcBorders>
            <w:shd w:val="clear" w:color="auto" w:fill="auto"/>
            <w:vAlign w:val="center"/>
          </w:tcPr>
          <w:p w14:paraId="03ABCEE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w:t>
            </w:r>
          </w:p>
          <w:p w14:paraId="3FA08B8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分）</w:t>
            </w:r>
          </w:p>
        </w:tc>
        <w:tc>
          <w:tcPr>
            <w:tcW w:w="8075" w:type="dxa"/>
            <w:tcBorders>
              <w:tl2br w:val="nil"/>
              <w:tr2bl w:val="nil"/>
            </w:tcBorders>
            <w:shd w:val="clear" w:color="auto" w:fill="auto"/>
            <w:vAlign w:val="center"/>
          </w:tcPr>
          <w:p w14:paraId="07625B69">
            <w:pPr>
              <w:widowControl/>
              <w:shd w:val="clear" w:color="auto"/>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能够充分理解项目建设背景，对需求有深入分析，技术服务方案思路清晰，先进、合理、可行、可靠、规范和完备，为了有效评审各投标人技术方案的真实可信度，综合评价其方案的先进性、成熟性、开放性、安全性、可管理性、规范性，包括：</w:t>
            </w:r>
          </w:p>
          <w:p w14:paraId="728A0E32">
            <w:pPr>
              <w:widowControl/>
              <w:shd w:val="clear" w:color="auto"/>
              <w:spacing w:line="32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（1）总体服务要求。</w:t>
            </w:r>
          </w:p>
          <w:p w14:paraId="3B5D43FF">
            <w:pPr>
              <w:widowControl/>
              <w:shd w:val="clear" w:color="auto"/>
              <w:spacing w:line="32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（2）体系接入服务。</w:t>
            </w:r>
          </w:p>
          <w:p w14:paraId="64B78DC8">
            <w:pPr>
              <w:widowControl/>
              <w:shd w:val="clear" w:color="auto"/>
              <w:spacing w:line="32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（3）日常运维服务。</w:t>
            </w:r>
          </w:p>
          <w:p w14:paraId="70373FDE">
            <w:pPr>
              <w:widowControl/>
              <w:shd w:val="clear" w:color="auto"/>
              <w:spacing w:line="32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（4）智能运维服务。</w:t>
            </w:r>
          </w:p>
          <w:p w14:paraId="7DA2FADC">
            <w:pPr>
              <w:widowControl/>
              <w:shd w:val="clear" w:color="auto"/>
              <w:spacing w:line="32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（5）安全保障服务。</w:t>
            </w:r>
          </w:p>
          <w:p w14:paraId="7FE8A3A1">
            <w:pPr>
              <w:widowControl/>
              <w:shd w:val="clear" w:color="auto"/>
              <w:spacing w:line="32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（6）重大活动、节假日保障服务。</w:t>
            </w:r>
          </w:p>
          <w:p w14:paraId="0481695D">
            <w:pPr>
              <w:widowControl/>
              <w:shd w:val="clear" w:color="auto"/>
              <w:spacing w:line="32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（7）应急保障服务。</w:t>
            </w:r>
          </w:p>
          <w:p w14:paraId="138DC325">
            <w:pPr>
              <w:widowControl/>
              <w:shd w:val="clear" w:color="auto"/>
              <w:spacing w:line="32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（8）技术支持服务。</w:t>
            </w:r>
          </w:p>
          <w:p w14:paraId="6BA0F00F">
            <w:pPr>
              <w:widowControl/>
              <w:shd w:val="clear" w:color="auto"/>
              <w:spacing w:line="32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（9）人员驻场服务。</w:t>
            </w:r>
          </w:p>
          <w:p w14:paraId="17B68F96">
            <w:pPr>
              <w:widowControl/>
              <w:shd w:val="clear" w:color="auto"/>
              <w:spacing w:line="32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（10）其他服务。</w:t>
            </w:r>
          </w:p>
          <w:p w14:paraId="6F077C56">
            <w:pPr>
              <w:widowControl/>
              <w:shd w:val="clear" w:color="auto"/>
              <w:spacing w:line="3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技术服务方案在先进性、成熟性、开放性、安全性，可管理性、规范性等方面符合性高的，每项得</w:t>
            </w:r>
            <w:r>
              <w:rPr>
                <w:rFonts w:hint="eastAsia" w:ascii="宋体" w:hAnsi="宋体" w:eastAsia="宋体" w:cs="宋体"/>
                <w:color w:val="auto"/>
                <w:sz w:val="24"/>
                <w:szCs w:val="24"/>
                <w:highlight w:val="none"/>
                <w:lang w:val="en-US" w:eastAsia="zh-CN"/>
              </w:rPr>
              <w:t>2.1-4</w:t>
            </w:r>
            <w:r>
              <w:rPr>
                <w:rFonts w:hint="eastAsia" w:ascii="宋体" w:hAnsi="宋体" w:eastAsia="宋体" w:cs="宋体"/>
                <w:color w:val="auto"/>
                <w:sz w:val="24"/>
                <w:szCs w:val="24"/>
                <w:highlight w:val="none"/>
              </w:rPr>
              <w:t>分，技术方案符合性一般的，每项得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，技术方案符合性较差不能满足项目要求的或者项目缺失的，该项不得分。</w:t>
            </w:r>
          </w:p>
          <w:p w14:paraId="3445F9B0">
            <w:pPr>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为持续确保杭州美好教育云平台与之江汇2.0平台的无缝对接，供应商在投标文件中需提供杭州美好教育云平台接入省级资源服务体系的承诺函并加盖本单位公章。能出具该服务承诺函的得3分，未提供或其他不得分。</w:t>
            </w:r>
          </w:p>
        </w:tc>
      </w:tr>
      <w:tr w14:paraId="763EADA0">
        <w:tblPrEx>
          <w:tblBorders>
            <w:top w:val="double" w:color="auto" w:sz="4" w:space="0"/>
            <w:left w:val="double" w:color="auto" w:sz="4" w:space="0"/>
            <w:bottom w:val="double" w:color="auto" w:sz="4" w:space="0"/>
            <w:right w:val="double" w:color="auto" w:sz="4" w:space="0"/>
            <w:insideH w:val="single" w:color="auto" w:sz="2" w:space="0"/>
            <w:insideV w:val="single" w:color="auto" w:sz="6" w:space="0"/>
          </w:tblBorders>
          <w:shd w:val="clear" w:color="auto" w:fill="auto"/>
          <w:tblCellMar>
            <w:top w:w="0" w:type="dxa"/>
            <w:left w:w="108" w:type="dxa"/>
            <w:bottom w:w="0" w:type="dxa"/>
            <w:right w:w="108" w:type="dxa"/>
          </w:tblCellMar>
        </w:tblPrEx>
        <w:trPr>
          <w:trHeight w:val="650" w:hRule="atLeast"/>
          <w:jc w:val="center"/>
        </w:trPr>
        <w:tc>
          <w:tcPr>
            <w:tcW w:w="0" w:type="auto"/>
            <w:tcBorders>
              <w:tl2br w:val="nil"/>
              <w:tr2bl w:val="nil"/>
            </w:tcBorders>
            <w:shd w:val="clear" w:color="auto" w:fill="auto"/>
            <w:vAlign w:val="center"/>
          </w:tcPr>
          <w:p w14:paraId="6725B6C4">
            <w:pPr>
              <w:spacing w:line="320" w:lineRule="exact"/>
              <w:jc w:val="center"/>
              <w:rPr>
                <w:rFonts w:hint="eastAsia" w:ascii="宋体" w:hAnsi="宋体" w:eastAsia="宋体" w:cs="宋体"/>
                <w:color w:val="auto"/>
                <w:sz w:val="24"/>
                <w:szCs w:val="24"/>
                <w:highlight w:val="none"/>
              </w:rPr>
            </w:pPr>
          </w:p>
        </w:tc>
        <w:tc>
          <w:tcPr>
            <w:tcW w:w="1401" w:type="dxa"/>
            <w:tcBorders>
              <w:tl2br w:val="nil"/>
              <w:tr2bl w:val="nil"/>
            </w:tcBorders>
            <w:shd w:val="clear" w:color="auto" w:fill="auto"/>
            <w:vAlign w:val="center"/>
          </w:tcPr>
          <w:p w14:paraId="44A72BC5">
            <w:pPr>
              <w:spacing w:line="240" w:lineRule="auto"/>
              <w:jc w:val="center"/>
              <w:rPr>
                <w:rFonts w:hint="eastAsia" w:ascii="宋体" w:hAnsi="宋体" w:eastAsia="宋体" w:cs="宋体"/>
                <w:color w:val="auto"/>
                <w:sz w:val="24"/>
                <w:szCs w:val="24"/>
                <w:highlight w:val="none"/>
              </w:rPr>
            </w:pPr>
          </w:p>
        </w:tc>
        <w:tc>
          <w:tcPr>
            <w:tcW w:w="8075" w:type="dxa"/>
            <w:tcBorders>
              <w:tl2br w:val="nil"/>
              <w:tr2bl w:val="nil"/>
            </w:tcBorders>
            <w:shd w:val="clear" w:color="auto" w:fill="auto"/>
            <w:vAlign w:val="center"/>
          </w:tcPr>
          <w:p w14:paraId="6A9B13B3">
            <w:pPr>
              <w:spacing w:line="320" w:lineRule="exact"/>
              <w:rPr>
                <w:rFonts w:hint="eastAsia" w:ascii="宋体" w:hAnsi="宋体" w:eastAsia="宋体" w:cs="宋体"/>
                <w:color w:val="auto"/>
                <w:sz w:val="24"/>
                <w:szCs w:val="24"/>
                <w:highlight w:val="none"/>
              </w:rPr>
            </w:pPr>
          </w:p>
        </w:tc>
      </w:tr>
      <w:tr w14:paraId="6F0387E8">
        <w:tblPrEx>
          <w:tblBorders>
            <w:top w:val="double" w:color="auto" w:sz="4" w:space="0"/>
            <w:left w:val="double" w:color="auto" w:sz="4" w:space="0"/>
            <w:bottom w:val="double" w:color="auto" w:sz="4" w:space="0"/>
            <w:right w:val="double" w:color="auto" w:sz="4" w:space="0"/>
            <w:insideH w:val="single" w:color="auto" w:sz="2" w:space="0"/>
            <w:insideV w:val="single" w:color="auto" w:sz="6" w:space="0"/>
          </w:tblBorders>
          <w:tblCellMar>
            <w:top w:w="0" w:type="dxa"/>
            <w:left w:w="108" w:type="dxa"/>
            <w:bottom w:w="0" w:type="dxa"/>
            <w:right w:w="108" w:type="dxa"/>
          </w:tblCellMar>
        </w:tblPrEx>
        <w:trPr>
          <w:trHeight w:val="984" w:hRule="atLeast"/>
          <w:jc w:val="center"/>
        </w:trPr>
        <w:tc>
          <w:tcPr>
            <w:tcW w:w="0" w:type="auto"/>
            <w:tcBorders>
              <w:tl2br w:val="nil"/>
              <w:tr2bl w:val="nil"/>
            </w:tcBorders>
            <w:shd w:val="clear" w:color="auto" w:fill="auto"/>
            <w:vAlign w:val="center"/>
          </w:tcPr>
          <w:p w14:paraId="3FCBFC7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01" w:type="dxa"/>
            <w:tcBorders>
              <w:tl2br w:val="nil"/>
              <w:tr2bl w:val="nil"/>
            </w:tcBorders>
            <w:shd w:val="clear" w:color="auto" w:fill="auto"/>
            <w:vAlign w:val="center"/>
          </w:tcPr>
          <w:p w14:paraId="77C6B4D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w:t>
            </w:r>
          </w:p>
          <w:p w14:paraId="36DBEE2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情况</w:t>
            </w:r>
          </w:p>
          <w:p w14:paraId="17C7FD0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c>
          <w:tcPr>
            <w:tcW w:w="8075" w:type="dxa"/>
            <w:tcBorders>
              <w:tl2br w:val="nil"/>
              <w:tr2bl w:val="nil"/>
            </w:tcBorders>
            <w:shd w:val="clear" w:color="auto" w:fill="auto"/>
            <w:vAlign w:val="center"/>
          </w:tcPr>
          <w:p w14:paraId="6864F6A0">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主要技术规格、配置要求全部满足招标文件要求的得20分；标注“★”标记项为重要参数，每一项负偏离扣减2分，主要技术规格、配置要求中未标记的每一项负偏离扣减1分，扣完为止。</w:t>
            </w:r>
          </w:p>
        </w:tc>
      </w:tr>
      <w:tr w14:paraId="1E5CD617">
        <w:tblPrEx>
          <w:tblBorders>
            <w:top w:val="double" w:color="auto" w:sz="4" w:space="0"/>
            <w:left w:val="double" w:color="auto" w:sz="4" w:space="0"/>
            <w:bottom w:val="double" w:color="auto" w:sz="4" w:space="0"/>
            <w:right w:val="double" w:color="auto" w:sz="4" w:space="0"/>
            <w:insideH w:val="single" w:color="auto" w:sz="2" w:space="0"/>
            <w:insideV w:val="single" w:color="auto" w:sz="6" w:space="0"/>
          </w:tblBorders>
          <w:shd w:val="clear" w:color="auto" w:fill="auto"/>
          <w:tblCellMar>
            <w:top w:w="0" w:type="dxa"/>
            <w:left w:w="108" w:type="dxa"/>
            <w:bottom w:w="0" w:type="dxa"/>
            <w:right w:w="108" w:type="dxa"/>
          </w:tblCellMar>
        </w:tblPrEx>
        <w:trPr>
          <w:trHeight w:val="650" w:hRule="atLeast"/>
          <w:jc w:val="center"/>
        </w:trPr>
        <w:tc>
          <w:tcPr>
            <w:tcW w:w="0" w:type="auto"/>
            <w:tcBorders>
              <w:tl2br w:val="nil"/>
              <w:tr2bl w:val="nil"/>
            </w:tcBorders>
            <w:shd w:val="clear" w:color="auto" w:fill="auto"/>
            <w:vAlign w:val="center"/>
          </w:tcPr>
          <w:p w14:paraId="17A6FCD5">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01" w:type="dxa"/>
            <w:tcBorders>
              <w:tl2br w:val="nil"/>
              <w:tr2bl w:val="nil"/>
            </w:tcBorders>
            <w:shd w:val="clear" w:color="auto" w:fill="auto"/>
            <w:vAlign w:val="center"/>
          </w:tcPr>
          <w:p w14:paraId="63B8F6B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w:t>
            </w:r>
          </w:p>
          <w:p w14:paraId="5DB68AE9">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p>
          <w:p w14:paraId="16EB426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分）</w:t>
            </w:r>
          </w:p>
        </w:tc>
        <w:tc>
          <w:tcPr>
            <w:tcW w:w="8075" w:type="dxa"/>
            <w:tcBorders>
              <w:tl2br w:val="nil"/>
              <w:tr2bl w:val="nil"/>
            </w:tcBorders>
            <w:shd w:val="clear" w:color="auto" w:fill="auto"/>
            <w:vAlign w:val="center"/>
          </w:tcPr>
          <w:p w14:paraId="3020DDBB">
            <w:pPr>
              <w:widowControl/>
              <w:shd w:val="clear" w:color="auto"/>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w:t>
            </w:r>
            <w:r>
              <w:rPr>
                <w:rFonts w:hint="eastAsia" w:ascii="宋体" w:hAnsi="宋体" w:eastAsia="宋体" w:cs="宋体"/>
                <w:color w:val="auto"/>
                <w:sz w:val="24"/>
                <w:szCs w:val="24"/>
                <w:highlight w:val="none"/>
                <w:lang w:val="en-US" w:eastAsia="zh-CN"/>
              </w:rPr>
              <w:t>整体运维方案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059AF284">
            <w:pPr>
              <w:widowControl/>
              <w:shd w:val="clear" w:color="auto"/>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人提供的采购需求，对本项目的整体运维</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包括工作时间进度、工作程序和步骤等</w:t>
            </w:r>
            <w:r>
              <w:rPr>
                <w:rFonts w:hint="eastAsia" w:ascii="宋体" w:hAnsi="宋体" w:eastAsia="宋体" w:cs="宋体"/>
                <w:color w:val="auto"/>
                <w:sz w:val="24"/>
                <w:szCs w:val="24"/>
                <w:highlight w:val="none"/>
                <w:lang w:eastAsia="zh-CN"/>
              </w:rPr>
              <w:t>。</w:t>
            </w:r>
          </w:p>
          <w:p w14:paraId="1F46A531">
            <w:pPr>
              <w:widowControl/>
              <w:shd w:val="clear" w:color="auto"/>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①整体阐述完整性高，内容合理、清晰，系统性及可操作性强的最高可得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2D136326">
            <w:pPr>
              <w:widowControl/>
              <w:shd w:val="clear" w:color="auto"/>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②整体阐述较为完整，内容较为合理、清晰，具有一定系统性及可操作性的最高可得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分；③整体阐述较为粗略，内容存在缺陷、不够合理清晰，系统性及可操作性较弱的最高可得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241CBC9E">
            <w:pPr>
              <w:widowControl/>
              <w:shd w:val="clear" w:color="auto"/>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④未提供相关内容阐述或不符合项目的不得分。</w:t>
            </w:r>
          </w:p>
          <w:p w14:paraId="5580C3B5">
            <w:pPr>
              <w:widowControl/>
              <w:shd w:val="clear" w:color="auto"/>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2、服务管理（6分）</w:t>
            </w:r>
          </w:p>
          <w:p w14:paraId="2F25A82D">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明确的建设质量目标，②完善的质量保证措施，③并具有详细可行的实施内容、计划的可行性及合理性。完全符合项目实施的，每项得2分；较为符合本项目实施的，每项得1分；不符合本项目实施的，不得分；</w:t>
            </w:r>
          </w:p>
        </w:tc>
      </w:tr>
      <w:tr w14:paraId="63736F13">
        <w:tblPrEx>
          <w:tblBorders>
            <w:top w:val="double" w:color="auto" w:sz="4" w:space="0"/>
            <w:left w:val="double" w:color="auto" w:sz="4" w:space="0"/>
            <w:bottom w:val="double" w:color="auto" w:sz="4" w:space="0"/>
            <w:right w:val="double" w:color="auto" w:sz="4" w:space="0"/>
            <w:insideH w:val="single" w:color="auto" w:sz="2" w:space="0"/>
            <w:insideV w:val="single" w:color="auto" w:sz="6" w:space="0"/>
          </w:tblBorders>
          <w:tblCellMar>
            <w:top w:w="0" w:type="dxa"/>
            <w:left w:w="108" w:type="dxa"/>
            <w:bottom w:w="0" w:type="dxa"/>
            <w:right w:w="108" w:type="dxa"/>
          </w:tblCellMar>
        </w:tblPrEx>
        <w:trPr>
          <w:trHeight w:val="650" w:hRule="atLeast"/>
          <w:jc w:val="center"/>
        </w:trPr>
        <w:tc>
          <w:tcPr>
            <w:tcW w:w="0" w:type="auto"/>
            <w:tcBorders>
              <w:tl2br w:val="nil"/>
              <w:tr2bl w:val="nil"/>
            </w:tcBorders>
            <w:shd w:val="clear" w:color="auto" w:fill="auto"/>
            <w:vAlign w:val="center"/>
          </w:tcPr>
          <w:p w14:paraId="323C0998">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01" w:type="dxa"/>
            <w:tcBorders>
              <w:tl2br w:val="nil"/>
              <w:tr2bl w:val="nil"/>
            </w:tcBorders>
            <w:shd w:val="clear" w:color="auto" w:fill="auto"/>
            <w:vAlign w:val="center"/>
          </w:tcPr>
          <w:p w14:paraId="1623EEC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应急保障</w:t>
            </w:r>
          </w:p>
          <w:p w14:paraId="25B5E76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预案</w:t>
            </w:r>
          </w:p>
          <w:p w14:paraId="79BA101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（8分）</w:t>
            </w:r>
          </w:p>
        </w:tc>
        <w:tc>
          <w:tcPr>
            <w:tcW w:w="8075" w:type="dxa"/>
            <w:tcBorders>
              <w:tl2br w:val="nil"/>
              <w:tr2bl w:val="nil"/>
            </w:tcBorders>
            <w:shd w:val="clear" w:color="auto" w:fill="auto"/>
            <w:vAlign w:val="center"/>
          </w:tcPr>
          <w:p w14:paraId="6D3AFCAC">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在投标文件中提供本项目相关应急预案，包括①系统崩溃应对方面、②系统被恶意攻击应对方面、③大型活动支撑方面、④数据库异常应对方面，应急预案表述完整且合理有效的，每一点得2分；表述一般，针对性及可操作性基本满足平台维护，可基本保障项目实施的，每一点得1分；表述不明确，方案无针对性，可操作性无法实现，措施不到位的得0分。本项最高得8分。</w:t>
            </w:r>
          </w:p>
        </w:tc>
      </w:tr>
      <w:tr w14:paraId="7AFDF3CE">
        <w:tblPrEx>
          <w:tblBorders>
            <w:top w:val="double" w:color="auto" w:sz="4" w:space="0"/>
            <w:left w:val="double" w:color="auto" w:sz="4" w:space="0"/>
            <w:bottom w:val="double" w:color="auto" w:sz="4" w:space="0"/>
            <w:right w:val="double" w:color="auto" w:sz="4" w:space="0"/>
            <w:insideH w:val="single" w:color="auto" w:sz="2" w:space="0"/>
            <w:insideV w:val="single" w:color="auto" w:sz="6" w:space="0"/>
          </w:tblBorders>
          <w:tblCellMar>
            <w:top w:w="0" w:type="dxa"/>
            <w:left w:w="108" w:type="dxa"/>
            <w:bottom w:w="0" w:type="dxa"/>
            <w:right w:w="108" w:type="dxa"/>
          </w:tblCellMar>
        </w:tblPrEx>
        <w:trPr>
          <w:trHeight w:val="650" w:hRule="atLeast"/>
          <w:jc w:val="center"/>
        </w:trPr>
        <w:tc>
          <w:tcPr>
            <w:tcW w:w="0" w:type="auto"/>
            <w:tcBorders>
              <w:tl2br w:val="nil"/>
              <w:tr2bl w:val="nil"/>
            </w:tcBorders>
            <w:shd w:val="clear" w:color="auto" w:fill="auto"/>
            <w:vAlign w:val="center"/>
          </w:tcPr>
          <w:p w14:paraId="0CA948C9">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01" w:type="dxa"/>
            <w:tcBorders>
              <w:tl2br w:val="nil"/>
              <w:tr2bl w:val="nil"/>
            </w:tcBorders>
            <w:shd w:val="clear" w:color="auto" w:fill="auto"/>
            <w:vAlign w:val="center"/>
          </w:tcPr>
          <w:p w14:paraId="3A4B452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p w14:paraId="0502CD1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075" w:type="dxa"/>
            <w:tcBorders>
              <w:tl2br w:val="nil"/>
              <w:tr2bl w:val="nil"/>
            </w:tcBorders>
            <w:shd w:val="clear" w:color="auto" w:fill="auto"/>
            <w:vAlign w:val="center"/>
          </w:tcPr>
          <w:p w14:paraId="3773BB44">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提供运行维护及售后服务方案符合</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文件要求，并提供①</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内的服务承诺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后的服务承诺；③售后服务技术保障方案</w:t>
            </w:r>
            <w:r>
              <w:rPr>
                <w:rFonts w:hint="eastAsia" w:ascii="宋体" w:hAnsi="宋体" w:eastAsia="宋体" w:cs="宋体"/>
                <w:color w:val="auto"/>
                <w:sz w:val="24"/>
                <w:szCs w:val="24"/>
                <w:highlight w:val="none"/>
                <w:lang w:eastAsia="zh-CN"/>
              </w:rPr>
              <w:t>；④</w:t>
            </w:r>
            <w:r>
              <w:rPr>
                <w:rFonts w:hint="eastAsia" w:ascii="宋体" w:hAnsi="宋体" w:eastAsia="宋体" w:cs="宋体"/>
                <w:color w:val="auto"/>
                <w:sz w:val="24"/>
                <w:szCs w:val="24"/>
                <w:highlight w:val="none"/>
              </w:rPr>
              <w:t>售后服务内容</w:t>
            </w:r>
            <w:r>
              <w:rPr>
                <w:rFonts w:hint="eastAsia" w:ascii="宋体" w:hAnsi="宋体" w:eastAsia="宋体" w:cs="宋体"/>
                <w:color w:val="auto"/>
                <w:sz w:val="24"/>
                <w:szCs w:val="24"/>
                <w:highlight w:val="none"/>
                <w:lang w:eastAsia="zh-CN"/>
              </w:rPr>
              <w:t>。</w:t>
            </w:r>
          </w:p>
          <w:p w14:paraId="1719E624">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①方案全面，针对性强的最高可得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49F6915D">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②方案基本可行，针对性较强的最高可得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2E0CDCB">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③方案一般，基本满足采购需求的最高可得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F5E95A6">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④方案不完整、与项目不匹配的不得分。</w:t>
            </w:r>
          </w:p>
        </w:tc>
      </w:tr>
      <w:tr w14:paraId="1688C117">
        <w:tblPrEx>
          <w:tblBorders>
            <w:top w:val="double" w:color="auto" w:sz="4" w:space="0"/>
            <w:left w:val="double" w:color="auto" w:sz="4" w:space="0"/>
            <w:bottom w:val="double" w:color="auto" w:sz="4" w:space="0"/>
            <w:right w:val="double" w:color="auto" w:sz="4" w:space="0"/>
            <w:insideH w:val="single" w:color="auto" w:sz="2" w:space="0"/>
            <w:insideV w:val="single" w:color="auto" w:sz="6" w:space="0"/>
          </w:tblBorders>
          <w:shd w:val="clear" w:color="auto" w:fill="auto"/>
          <w:tblCellMar>
            <w:top w:w="0" w:type="dxa"/>
            <w:left w:w="108" w:type="dxa"/>
            <w:bottom w:w="0" w:type="dxa"/>
            <w:right w:w="108" w:type="dxa"/>
          </w:tblCellMar>
        </w:tblPrEx>
        <w:trPr>
          <w:trHeight w:val="650" w:hRule="atLeast"/>
          <w:jc w:val="center"/>
        </w:trPr>
        <w:tc>
          <w:tcPr>
            <w:tcW w:w="0" w:type="auto"/>
            <w:tcBorders>
              <w:tl2br w:val="nil"/>
              <w:tr2bl w:val="nil"/>
            </w:tcBorders>
            <w:shd w:val="clear" w:color="auto" w:fill="auto"/>
            <w:vAlign w:val="center"/>
          </w:tcPr>
          <w:p w14:paraId="3A68EBB7">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01" w:type="dxa"/>
            <w:tcBorders>
              <w:tl2br w:val="nil"/>
              <w:tr2bl w:val="nil"/>
            </w:tcBorders>
            <w:shd w:val="clear" w:color="auto" w:fill="auto"/>
            <w:vAlign w:val="center"/>
          </w:tcPr>
          <w:p w14:paraId="509ADA6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标书制作</w:t>
            </w:r>
          </w:p>
          <w:p w14:paraId="59367B6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p w14:paraId="09C018E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075" w:type="dxa"/>
            <w:tcBorders>
              <w:tl2br w:val="nil"/>
              <w:tr2bl w:val="nil"/>
            </w:tcBorders>
            <w:shd w:val="clear" w:color="auto" w:fill="auto"/>
            <w:vAlign w:val="center"/>
          </w:tcPr>
          <w:p w14:paraId="23727241">
            <w:pPr>
              <w:spacing w:line="32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根据投标人所提供的标书质量进行评分，标书编写整体质量优秀的得2分，一般的得1分，较差的得0分。</w:t>
            </w:r>
          </w:p>
        </w:tc>
      </w:tr>
    </w:tbl>
    <w:p w14:paraId="5248FBBE">
      <w:pPr>
        <w:wordWrap w:val="0"/>
        <w:topLinePunct/>
        <w:snapToGrid/>
        <w:spacing w:line="34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综</w:t>
      </w:r>
      <w:r>
        <w:rPr>
          <w:rFonts w:hint="eastAsia" w:ascii="宋体" w:hAnsi="宋体" w:eastAsia="宋体" w:cs="宋体"/>
          <w:b/>
          <w:color w:val="auto"/>
          <w:sz w:val="24"/>
          <w:szCs w:val="24"/>
          <w:highlight w:val="none"/>
        </w:rPr>
        <w:t>合得分=商务报价分+技术得分+资信得分</w:t>
      </w:r>
    </w:p>
    <w:p w14:paraId="42CE879F">
      <w:pPr>
        <w:pStyle w:val="13"/>
        <w:ind w:left="0" w:leftChars="0" w:firstLine="0" w:firstLineChars="0"/>
        <w:rPr>
          <w:rFonts w:hint="eastAsia" w:ascii="宋体" w:hAnsi="宋体" w:eastAsia="宋体" w:cs="宋体"/>
          <w:b/>
          <w:color w:val="000000" w:themeColor="text1"/>
          <w:sz w:val="36"/>
          <w:szCs w:val="36"/>
          <w:highlight w:val="none"/>
          <w14:textFill>
            <w14:solidFill>
              <w14:schemeClr w14:val="tx1"/>
            </w14:solidFill>
          </w14:textFill>
        </w:rPr>
      </w:pPr>
    </w:p>
    <w:p w14:paraId="2C9C4283">
      <w:pPr>
        <w:pStyle w:val="13"/>
        <w:rPr>
          <w:rFonts w:hint="eastAsia" w:ascii="宋体" w:hAnsi="宋体" w:eastAsia="宋体" w:cs="宋体"/>
          <w:b/>
          <w:color w:val="000000" w:themeColor="text1"/>
          <w:sz w:val="36"/>
          <w:szCs w:val="36"/>
          <w:highlight w:val="none"/>
          <w14:textFill>
            <w14:solidFill>
              <w14:schemeClr w14:val="tx1"/>
            </w14:solidFill>
          </w14:textFill>
        </w:rPr>
      </w:pPr>
    </w:p>
    <w:p w14:paraId="236D2E7D">
      <w:pPr>
        <w:rPr>
          <w:rFonts w:hint="eastAsia"/>
          <w:color w:val="000000" w:themeColor="text1"/>
          <w:highlight w:val="none"/>
          <w14:textFill>
            <w14:solidFill>
              <w14:schemeClr w14:val="tx1"/>
            </w14:solidFill>
          </w14:textFill>
        </w:rPr>
      </w:pPr>
    </w:p>
    <w:bookmarkEnd w:id="28"/>
    <w:p w14:paraId="346631AD">
      <w:pPr>
        <w:rPr>
          <w:rFonts w:hint="eastAsia" w:ascii="宋体" w:hAnsi="宋体" w:eastAsia="宋体" w:cs="宋体"/>
          <w:color w:val="000000" w:themeColor="text1"/>
          <w:highlight w:val="none"/>
          <w14:textFill>
            <w14:solidFill>
              <w14:schemeClr w14:val="tx1"/>
            </w14:solidFill>
          </w14:textFill>
        </w:rPr>
      </w:pPr>
    </w:p>
    <w:p w14:paraId="6A708C57">
      <w:pPr>
        <w:widowControl/>
        <w:adjustRightInd/>
        <w:jc w:val="left"/>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p>
    <w:p w14:paraId="557C1996">
      <w:pPr>
        <w:pStyle w:val="22"/>
        <w:spacing w:before="0"/>
        <w:ind w:firstLine="0" w:firstLineChars="0"/>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一、评审方法</w:t>
      </w:r>
    </w:p>
    <w:p w14:paraId="3AE49B25">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33B66980">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14:paraId="7C52EABE">
      <w:pPr>
        <w:snapToGrid w:val="0"/>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二、磋商小组的组成</w:t>
      </w:r>
    </w:p>
    <w:p w14:paraId="61EB232A">
      <w:pPr>
        <w:pStyle w:val="22"/>
        <w:spacing w:before="0"/>
        <w:ind w:firstLine="0" w:firstLineChars="0"/>
        <w:rPr>
          <w:rFonts w:hint="eastAsia"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1.磋商小组的组成。</w:t>
      </w:r>
    </w:p>
    <w:p w14:paraId="7B4E1FB6">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EDA90F9">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C6B70B1">
      <w:pPr>
        <w:snapToGrid w:val="0"/>
        <w:spacing w:line="360" w:lineRule="auto"/>
        <w:rPr>
          <w:rFonts w:hint="eastAsia" w:ascii="宋体" w:hAnsi="宋体" w:eastAsia="宋体" w:cs="宋体"/>
          <w:b/>
          <w:color w:val="000000" w:themeColor="text1"/>
          <w:kern w:val="0"/>
          <w:sz w:val="24"/>
          <w:szCs w:val="20"/>
          <w:highlight w:val="none"/>
          <w14:textFill>
            <w14:solidFill>
              <w14:schemeClr w14:val="tx1"/>
            </w14:solidFill>
          </w14:textFill>
        </w:rPr>
      </w:pPr>
      <w:r>
        <w:rPr>
          <w:rFonts w:hint="eastAsia" w:ascii="宋体" w:hAnsi="宋体" w:eastAsia="宋体" w:cs="宋体"/>
          <w:b/>
          <w:color w:val="000000" w:themeColor="text1"/>
          <w:kern w:val="0"/>
          <w:sz w:val="24"/>
          <w:szCs w:val="20"/>
          <w:highlight w:val="none"/>
          <w14:textFill>
            <w14:solidFill>
              <w14:schemeClr w14:val="tx1"/>
            </w14:solidFill>
          </w14:textFill>
        </w:rPr>
        <w:t>2.磋商小组的组成人员的回避。</w:t>
      </w:r>
    </w:p>
    <w:p w14:paraId="1F627B1A">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在政府采购活动中，磋商小组的组成人员与供应商有下列利害关系之一的，应当回避：</w:t>
      </w:r>
    </w:p>
    <w:p w14:paraId="0B27BC7B">
      <w:pPr>
        <w:pStyle w:val="22"/>
        <w:spacing w:before="0"/>
        <w:ind w:firstLine="0" w:firstLineChars="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2.1参加采购活动前3年内与供应商存在劳动关系；</w:t>
      </w:r>
    </w:p>
    <w:p w14:paraId="5BBF7226">
      <w:pPr>
        <w:pStyle w:val="22"/>
        <w:spacing w:before="0"/>
        <w:ind w:firstLine="0" w:firstLineChars="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2.2参加采购活动前3年内担任供应商的董事、监事；</w:t>
      </w:r>
    </w:p>
    <w:p w14:paraId="4D638A5D">
      <w:pPr>
        <w:pStyle w:val="22"/>
        <w:spacing w:before="0"/>
        <w:ind w:firstLine="0" w:firstLineChars="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2.3参加采购活动前3年内是供应商的控股股东或者实际控制人；</w:t>
      </w:r>
    </w:p>
    <w:p w14:paraId="77418A97">
      <w:pPr>
        <w:pStyle w:val="22"/>
        <w:spacing w:before="0"/>
        <w:ind w:firstLine="480" w:firstLineChars="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2.4与供应商的法定代表人或者负责人有夫妻、直系血亲、三代以内旁系血亲或者近姻亲关系；</w:t>
      </w:r>
    </w:p>
    <w:p w14:paraId="00E9D971">
      <w:pPr>
        <w:pStyle w:val="22"/>
        <w:spacing w:before="0"/>
        <w:ind w:firstLine="480" w:firstLineChars="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2.5与供应商有其他可能影响政府采购活动公平、公正进行的关系。</w:t>
      </w:r>
    </w:p>
    <w:p w14:paraId="34C2867A">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p>
    <w:p w14:paraId="4B8AA844">
      <w:pPr>
        <w:snapToGrid w:val="0"/>
        <w:spacing w:line="360" w:lineRule="auto"/>
        <w:ind w:left="120" w:leftChars="57" w:firstLine="482" w:firstLineChars="150"/>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三、磋商小组的职责</w:t>
      </w:r>
    </w:p>
    <w:p w14:paraId="2B7674CE">
      <w:pPr>
        <w:pStyle w:val="22"/>
        <w:spacing w:before="0"/>
        <w:ind w:firstLine="0" w:firstLineChars="0"/>
        <w:rPr>
          <w:rFonts w:hint="eastAsia"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1.磋商小组负责具体评审事务，并独立履行下列职责：</w:t>
      </w:r>
    </w:p>
    <w:p w14:paraId="2A6FF6EC">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szCs w:val="24"/>
          <w:highlight w:val="none"/>
          <w14:textFill>
            <w14:solidFill>
              <w14:schemeClr w14:val="tx1"/>
            </w14:solidFill>
          </w14:textFill>
        </w:rPr>
        <w:t>对供应商的资格进行审查；</w:t>
      </w:r>
      <w:r>
        <w:rPr>
          <w:rFonts w:hint="eastAsia" w:ascii="宋体" w:hAnsi="宋体" w:eastAsia="宋体" w:cs="宋体"/>
          <w:color w:val="000000" w:themeColor="text1"/>
          <w:highlight w:val="none"/>
          <w14:textFill>
            <w14:solidFill>
              <w14:schemeClr w14:val="tx1"/>
            </w14:solidFill>
          </w14:textFill>
        </w:rPr>
        <w:t>对响应文件的有效性、完整性和响应程度进行审查；</w:t>
      </w:r>
    </w:p>
    <w:p w14:paraId="5EA1CB75">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1.2审查、评价响应文件是否符合磋商文件的商务、技术等实质性要求；</w:t>
      </w:r>
    </w:p>
    <w:p w14:paraId="408BAA1C">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1.3要求供应商对响应文件有关事项作出澄清、说明或者更正；</w:t>
      </w:r>
    </w:p>
    <w:p w14:paraId="53EE1AE1">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1.4磋商小组集中与单一供应商分别进行磋商；</w:t>
      </w:r>
    </w:p>
    <w:p w14:paraId="4ACB7124">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1.5确定磋商文件的变动情况，并确定提交最后报价的供应商；</w:t>
      </w:r>
    </w:p>
    <w:p w14:paraId="5DAD45A9">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5915C8F2">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1.7编制评审报告，确定成交候选人名单，以及根据采购人委托直接确定成交人；</w:t>
      </w:r>
    </w:p>
    <w:p w14:paraId="72114F8F">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1.8向采购人、采购代理机构或者有关部门报告评审中发现的违法行为；</w:t>
      </w:r>
    </w:p>
    <w:p w14:paraId="4CC6AD2C">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1.9法律、法规、规章、磋商文件等规定的其它事项。</w:t>
      </w:r>
    </w:p>
    <w:p w14:paraId="315842F8">
      <w:pPr>
        <w:pStyle w:val="22"/>
        <w:spacing w:before="0"/>
        <w:ind w:firstLine="0" w:firstLineChars="0"/>
        <w:rPr>
          <w:rFonts w:hint="eastAsia"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2.磋商小组及其成员不得有下列行为：</w:t>
      </w:r>
    </w:p>
    <w:p w14:paraId="13B0BCF1">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2.1确定参与本项目至评审结束前私自接触供应商；</w:t>
      </w:r>
    </w:p>
    <w:p w14:paraId="620F8CEF">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2.2接受供应商提出的“超出响应文件的范围或者改变响应文件的实质性内容”的澄清、说明或者更正； </w:t>
      </w:r>
    </w:p>
    <w:p w14:paraId="21239308">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2.3违反评审纪律发表倾向性意见或者征询采购人的倾向性意见；</w:t>
      </w:r>
    </w:p>
    <w:p w14:paraId="2B42EAF9">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2.4对需要专业判断的主观评审因素协商评分；</w:t>
      </w:r>
    </w:p>
    <w:p w14:paraId="63DBD918">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2.5在评审过程中擅离职守，影响评审程序正常进行的；</w:t>
      </w:r>
    </w:p>
    <w:p w14:paraId="6EB286F1">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2.6记录、复制或者带走任何评审资料；</w:t>
      </w:r>
    </w:p>
    <w:p w14:paraId="47D6CABE">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2.7其他不遵守评审纪律的行为。</w:t>
      </w:r>
    </w:p>
    <w:p w14:paraId="2086B999">
      <w:pPr>
        <w:pStyle w:val="2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磋商小组成员有2.1-2.5行为之一的，其评审意见无效，并不得获取评审劳务报酬和报销异地评审差旅费。</w:t>
      </w:r>
    </w:p>
    <w:p w14:paraId="5AAE08AC">
      <w:pPr>
        <w:pStyle w:val="22"/>
        <w:spacing w:before="0"/>
        <w:ind w:firstLine="0" w:firstLineChars="0"/>
        <w:rPr>
          <w:rFonts w:hint="eastAsia" w:ascii="宋体" w:hAnsi="宋体" w:eastAsia="宋体" w:cs="宋体"/>
          <w:b/>
          <w:color w:val="000000" w:themeColor="text1"/>
          <w:highlight w:val="none"/>
          <w14:textFill>
            <w14:solidFill>
              <w14:schemeClr w14:val="tx1"/>
            </w14:solidFill>
          </w14:textFill>
        </w:rPr>
      </w:pPr>
    </w:p>
    <w:p w14:paraId="3A05FC8E">
      <w:pPr>
        <w:pStyle w:val="22"/>
        <w:spacing w:before="0"/>
        <w:ind w:firstLine="0" w:firstLineChars="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四、评审程序</w:t>
      </w:r>
    </w:p>
    <w:p w14:paraId="0C89362D">
      <w:pPr>
        <w:pStyle w:val="22"/>
        <w:spacing w:before="0"/>
        <w:ind w:firstLine="472" w:firstLineChars="196"/>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详见磋商文件“第二部分 竞争性磋商流程”。</w:t>
      </w:r>
    </w:p>
    <w:p w14:paraId="68FBEAA4">
      <w:pPr>
        <w:pStyle w:val="22"/>
        <w:spacing w:before="0"/>
        <w:ind w:firstLine="0" w:firstLineChars="0"/>
        <w:rPr>
          <w:rFonts w:hint="eastAsia" w:ascii="宋体" w:hAnsi="宋体" w:eastAsia="宋体" w:cs="宋体"/>
          <w:b/>
          <w:color w:val="000000" w:themeColor="text1"/>
          <w:highlight w:val="none"/>
          <w14:textFill>
            <w14:solidFill>
              <w14:schemeClr w14:val="tx1"/>
            </w14:solidFill>
          </w14:textFill>
        </w:rPr>
      </w:pPr>
    </w:p>
    <w:p w14:paraId="4BD1A263">
      <w:pPr>
        <w:pStyle w:val="22"/>
        <w:spacing w:before="0"/>
        <w:ind w:firstLine="0" w:firstLineChars="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五、评审须知</w:t>
      </w:r>
    </w:p>
    <w:p w14:paraId="58C37C56">
      <w:pPr>
        <w:pStyle w:val="2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 响应文件的澄清</w:t>
      </w:r>
    </w:p>
    <w:p w14:paraId="106614AF">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7270F88">
      <w:pPr>
        <w:pStyle w:val="2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2.最后报价的修正原则</w:t>
      </w:r>
    </w:p>
    <w:p w14:paraId="555F3FFC">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磋商小组对响应文件的最后报价进行审核，对发现计算、书写等错误的，按以下原则进行修正：</w:t>
      </w:r>
    </w:p>
    <w:p w14:paraId="589089D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2.1《最后报价一览表》内容与响应文件中响应内容不一致的，以《最后报价一览表》为准;</w:t>
      </w:r>
    </w:p>
    <w:p w14:paraId="1D85A34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2.2大写金额和小写金额不一致的，以大写金额为准;</w:t>
      </w:r>
    </w:p>
    <w:p w14:paraId="6A7D9EC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2.3单价金额小数点或者百分比有明显错位的，以《最后报价一览表》的总价为准，并修改单价;</w:t>
      </w:r>
    </w:p>
    <w:p w14:paraId="70235A2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2.4总价金额与按单价汇总金额不一致的，以单价金额计算结果为准。</w:t>
      </w:r>
    </w:p>
    <w:p w14:paraId="0CA052E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2.5同时出现两种以上不一致的，按照前款规定的顺序修正。</w:t>
      </w:r>
    </w:p>
    <w:p w14:paraId="0326E7B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2.6以修正后的总价作为最后报价。</w:t>
      </w:r>
    </w:p>
    <w:p w14:paraId="3FFA2CB0">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供应商对根据修正原则修正后的最后报价不确认的，响应无效。</w:t>
      </w:r>
    </w:p>
    <w:p w14:paraId="2F01765F">
      <w:pPr>
        <w:pStyle w:val="2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w:t>
      </w:r>
      <w:r>
        <w:rPr>
          <w:rFonts w:hint="eastAsia" w:ascii="宋体" w:hAnsi="宋体" w:eastAsia="宋体" w:cs="宋体"/>
          <w:b/>
          <w:color w:val="000000" w:themeColor="text1"/>
          <w:spacing w:val="20"/>
          <w:highlight w:val="none"/>
          <w14:textFill>
            <w14:solidFill>
              <w14:schemeClr w14:val="tx1"/>
            </w14:solidFill>
          </w14:textFill>
        </w:rPr>
        <w:t>响应无效</w:t>
      </w:r>
    </w:p>
    <w:p w14:paraId="746CACC9">
      <w:pPr>
        <w:pStyle w:val="7"/>
        <w:spacing w:line="360" w:lineRule="auto"/>
        <w:ind w:firstLine="600" w:firstLineChars="2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有下列情况之一的，响应无效：</w:t>
      </w:r>
    </w:p>
    <w:p w14:paraId="5BB591F8">
      <w:pPr>
        <w:spacing w:line="360" w:lineRule="auto"/>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w:t>
      </w:r>
      <w:r>
        <w:rPr>
          <w:rFonts w:hint="eastAsia" w:ascii="宋体" w:hAnsi="宋体" w:eastAsia="宋体" w:cs="宋体"/>
          <w:color w:val="000000" w:themeColor="text1"/>
          <w:sz w:val="24"/>
          <w:szCs w:val="21"/>
          <w:highlight w:val="none"/>
          <w14:textFill>
            <w14:solidFill>
              <w14:schemeClr w14:val="tx1"/>
            </w14:solidFill>
          </w14:textFill>
        </w:rPr>
        <w:t>单位负责人为同一人或者存在直接控股、管理关系的不同供应商参加同一合同项下的政府采购活动的（均无效）；</w:t>
      </w:r>
    </w:p>
    <w:p w14:paraId="4EC6426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4B6D02E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49E278E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3.4如以联合体形式参加政府采购活动的，联合协议不符合磋商文件规定的联合协议要求的；</w:t>
      </w:r>
    </w:p>
    <w:p w14:paraId="3E602B6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3.5响应文件未按磋商文件的澄清、修改的内容编制，又不符合实质性要求的；</w:t>
      </w:r>
    </w:p>
    <w:p w14:paraId="5982A20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3.6响应文件组成漏项，内容不全或内容字迹模糊辨认不清的；</w:t>
      </w:r>
    </w:p>
    <w:p w14:paraId="6F2E756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3.7响应文件中法人授权书所载内容与本项目内容有异的；</w:t>
      </w:r>
    </w:p>
    <w:p w14:paraId="005CD32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3.8响应文件未按照磋商文件要求签署、盖章的；</w:t>
      </w:r>
    </w:p>
    <w:p w14:paraId="519F408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3.9</w:t>
      </w:r>
      <w:r>
        <w:rPr>
          <w:rFonts w:hint="eastAsia" w:ascii="宋体" w:hAnsi="宋体" w:eastAsia="宋体" w:cs="宋体"/>
          <w:color w:val="000000" w:themeColor="text1"/>
          <w:kern w:val="0"/>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20C2354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3.10响应文件含有采购人不能接受的附加条件的；</w:t>
      </w:r>
    </w:p>
    <w:p w14:paraId="7E76CC3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3.11响应文件中承诺的响应有效期少于磋商文件中载明的响应有效期的；</w:t>
      </w:r>
    </w:p>
    <w:p w14:paraId="02FC33C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3.12供应商所投内容不符合磋商文件中实质性要求的；</w:t>
      </w:r>
    </w:p>
    <w:p w14:paraId="31819B3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3.13所提交的《最后报价一览表》中出现不是唯一的、有选择性的报价的;</w:t>
      </w:r>
    </w:p>
    <w:p w14:paraId="7301075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3.14最后报价高于本项目采购预算或者最高限价的;</w:t>
      </w:r>
    </w:p>
    <w:p w14:paraId="6C2A9D9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3.15最后报价明显低于其他供应商的最后报价，有可能影响产品质量或者不能诚信履约的，未能按要求提供书面说明或者提交相关证明材料，不能证明其报价合理性的;</w:t>
      </w:r>
    </w:p>
    <w:p w14:paraId="2BE401A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3.16《最后报价一览表》填写不完整或字迹不能辨认或有漏项的；</w:t>
      </w:r>
    </w:p>
    <w:p w14:paraId="0C98216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3.17供应商对根据修正原则修正后的最后报价不确认的；</w:t>
      </w:r>
    </w:p>
    <w:p w14:paraId="72351FE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3.18供应商提供虚假材料响应的（包括但不限于以下情节）；</w:t>
      </w:r>
    </w:p>
    <w:p w14:paraId="603DCB8A">
      <w:pPr>
        <w:pStyle w:val="23"/>
        <w:numPr>
          <w:ilvl w:val="0"/>
          <w:numId w:val="3"/>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使用伪造、变造的许可证件；</w:t>
      </w:r>
    </w:p>
    <w:p w14:paraId="0F1A4706">
      <w:pPr>
        <w:pStyle w:val="23"/>
        <w:numPr>
          <w:ilvl w:val="0"/>
          <w:numId w:val="3"/>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提供虚假的财务状况或者业绩；</w:t>
      </w:r>
    </w:p>
    <w:p w14:paraId="65870F48">
      <w:pPr>
        <w:pStyle w:val="23"/>
        <w:numPr>
          <w:ilvl w:val="0"/>
          <w:numId w:val="3"/>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提供虚假的项目负责人或者主要技术人员简历、劳动关系证明；</w:t>
      </w:r>
    </w:p>
    <w:p w14:paraId="2BFF80C2">
      <w:pPr>
        <w:pStyle w:val="23"/>
        <w:numPr>
          <w:ilvl w:val="0"/>
          <w:numId w:val="3"/>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提供虚假的信用状况；</w:t>
      </w:r>
    </w:p>
    <w:p w14:paraId="00AE9B6D">
      <w:pPr>
        <w:pStyle w:val="23"/>
        <w:numPr>
          <w:ilvl w:val="0"/>
          <w:numId w:val="3"/>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其他弄虚作假的行为。</w:t>
      </w:r>
    </w:p>
    <w:p w14:paraId="7735F3BB">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3.19供应商有恶意串通、妨碍其他供应商的竞争行为、损害采购人或者其他供应商的合法权益情形的。</w:t>
      </w:r>
    </w:p>
    <w:p w14:paraId="39251CB9">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有下列情形之一的，属于或视为恶意串通，其响应无效：</w:t>
      </w:r>
    </w:p>
    <w:p w14:paraId="4B90974D">
      <w:pPr>
        <w:pStyle w:val="23"/>
        <w:numPr>
          <w:ilvl w:val="0"/>
          <w:numId w:val="4"/>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供应商直接或者间接从采购人或者采购代理机构处获得其他供应商的相关情况并修改其响应文件；</w:t>
      </w:r>
    </w:p>
    <w:p w14:paraId="1457A8A8">
      <w:pPr>
        <w:pStyle w:val="23"/>
        <w:numPr>
          <w:ilvl w:val="0"/>
          <w:numId w:val="4"/>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供应商按照采购人或者采购代理机构的授意撤换、修改投标文件或者响应文件；</w:t>
      </w:r>
    </w:p>
    <w:p w14:paraId="624DB71B">
      <w:pPr>
        <w:pStyle w:val="23"/>
        <w:numPr>
          <w:ilvl w:val="0"/>
          <w:numId w:val="4"/>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供应商之间协商报价、技术方案等投标文件或者响应文件的实质性内容；</w:t>
      </w:r>
    </w:p>
    <w:p w14:paraId="526954F2">
      <w:pPr>
        <w:pStyle w:val="23"/>
        <w:numPr>
          <w:ilvl w:val="0"/>
          <w:numId w:val="4"/>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属于同一集团、协会、商会等组织成员的供应商按照该组织要求协同参加政府采购活动；</w:t>
      </w:r>
    </w:p>
    <w:p w14:paraId="39D03ABF">
      <w:pPr>
        <w:pStyle w:val="23"/>
        <w:numPr>
          <w:ilvl w:val="0"/>
          <w:numId w:val="4"/>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供应商之间事先约定由某一特定供应商中标、成交；</w:t>
      </w:r>
    </w:p>
    <w:p w14:paraId="76AF2B72">
      <w:pPr>
        <w:pStyle w:val="23"/>
        <w:numPr>
          <w:ilvl w:val="0"/>
          <w:numId w:val="4"/>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供应商之间商定部分供应商放弃参加政府采购活动或者放弃中标、成交；</w:t>
      </w:r>
    </w:p>
    <w:p w14:paraId="04E6E9D1">
      <w:pPr>
        <w:pStyle w:val="23"/>
        <w:numPr>
          <w:ilvl w:val="0"/>
          <w:numId w:val="4"/>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供应商与采购人或者采购代理机构之间、供应商相互之间，为谋求特定供应商中标、成交或者排斥其他供应商的其他串通行为。</w:t>
      </w:r>
    </w:p>
    <w:p w14:paraId="6F61ABCE">
      <w:pPr>
        <w:pStyle w:val="23"/>
        <w:numPr>
          <w:ilvl w:val="0"/>
          <w:numId w:val="4"/>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不同供应商的响应文件由同一单位或者个人编制；</w:t>
      </w:r>
    </w:p>
    <w:p w14:paraId="43B7E9EA">
      <w:pPr>
        <w:pStyle w:val="23"/>
        <w:numPr>
          <w:ilvl w:val="0"/>
          <w:numId w:val="4"/>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不同供应商委托同一单位或者个人办理响应事宜；</w:t>
      </w:r>
    </w:p>
    <w:p w14:paraId="283B4DBF">
      <w:pPr>
        <w:pStyle w:val="23"/>
        <w:numPr>
          <w:ilvl w:val="0"/>
          <w:numId w:val="4"/>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不同供应商的响应文件载明的项目管理成员或者联系人员为同一人；</w:t>
      </w:r>
    </w:p>
    <w:p w14:paraId="33A38993">
      <w:pPr>
        <w:pStyle w:val="23"/>
        <w:numPr>
          <w:ilvl w:val="0"/>
          <w:numId w:val="4"/>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不同供应商的响应文件异常一致或者最后报价呈规律性差异；</w:t>
      </w:r>
    </w:p>
    <w:p w14:paraId="5E7D99AC">
      <w:pPr>
        <w:pStyle w:val="23"/>
        <w:numPr>
          <w:ilvl w:val="0"/>
          <w:numId w:val="4"/>
        </w:numPr>
        <w:adjustRightIn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不同供应商的响应文件相互混装。</w:t>
      </w:r>
    </w:p>
    <w:p w14:paraId="62F16AB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3.20供应商仅提交备份响应文件，没有在电子交易平台传输提交响应文件的，响应无效；</w:t>
      </w:r>
    </w:p>
    <w:p w14:paraId="7507122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3.21法律、法规、规章（适用本市的）及省级以上规范性文件（适用本市的）规定的其他无效情形。</w:t>
      </w:r>
    </w:p>
    <w:p w14:paraId="69A5912A">
      <w:pPr>
        <w:pStyle w:val="2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4. 重新开展采购活动</w:t>
      </w:r>
    </w:p>
    <w:p w14:paraId="2DECE5D0">
      <w:pPr>
        <w:spacing w:line="360" w:lineRule="auto"/>
        <w:ind w:firstLine="407" w:firstLineChars="194"/>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出现下列情形之一的，采购代理机构应当终止竞争性磋商采购活动，通过电子交易平台发布项目终止公告并说明原因，重新开展采购活动：</w:t>
      </w:r>
    </w:p>
    <w:p w14:paraId="0D722C34">
      <w:pPr>
        <w:spacing w:line="360" w:lineRule="auto"/>
        <w:ind w:firstLine="465" w:firstLineChars="194"/>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（1）因情况变化，不再符合规定的竞争性磋商采购方式适用情形的；</w:t>
      </w:r>
    </w:p>
    <w:p w14:paraId="7F9D9F21">
      <w:pPr>
        <w:spacing w:line="360" w:lineRule="auto"/>
        <w:ind w:firstLine="465" w:firstLineChars="194"/>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（2）出现影响采购公正的违法、违规行为的；</w:t>
      </w:r>
    </w:p>
    <w:p w14:paraId="6CBECC7F">
      <w:pPr>
        <w:spacing w:line="360" w:lineRule="auto"/>
        <w:ind w:firstLine="465" w:firstLineChars="194"/>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（3）在采购过程中符合要求的供应商或者最后报价未超过采购预算的供应商不足3家的（有特殊规定的从其规定）。</w:t>
      </w:r>
    </w:p>
    <w:p w14:paraId="1DF7900E">
      <w:pPr>
        <w:pStyle w:val="2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5. 终止采购活动</w:t>
      </w:r>
    </w:p>
    <w:p w14:paraId="06047777">
      <w:pPr>
        <w:spacing w:line="360" w:lineRule="auto"/>
        <w:ind w:firstLine="465" w:firstLineChars="194"/>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3FD12AC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6.采购代理机构有权对磋商小组各成员的评分情况和评审意见进行合理性和合规性审查</w:t>
      </w:r>
      <w:r>
        <w:rPr>
          <w:rFonts w:hint="eastAsia" w:ascii="宋体" w:hAnsi="宋体" w:eastAsia="宋体" w:cs="宋体"/>
          <w:color w:val="000000" w:themeColor="text1"/>
          <w:sz w:val="24"/>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E03ACD6">
      <w:pPr>
        <w:widowControl/>
        <w:adjustRightInd/>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14:paraId="07217D2B">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六、评审过程的保密与录像</w:t>
      </w:r>
    </w:p>
    <w:p w14:paraId="17AF83CE">
      <w:pPr>
        <w:widowControl/>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1.保密。</w:t>
      </w:r>
      <w:r>
        <w:rPr>
          <w:rFonts w:hint="eastAsia" w:ascii="宋体" w:hAnsi="宋体" w:eastAsia="宋体" w:cs="宋体"/>
          <w:color w:val="000000" w:themeColor="text1"/>
          <w:sz w:val="24"/>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5F23896">
      <w:pPr>
        <w:widowControl/>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2.录音录像。</w:t>
      </w:r>
      <w:r>
        <w:rPr>
          <w:rFonts w:hint="eastAsia" w:ascii="宋体" w:hAnsi="宋体" w:eastAsia="宋体" w:cs="宋体"/>
          <w:color w:val="000000" w:themeColor="text1"/>
          <w:sz w:val="24"/>
          <w:highlight w:val="none"/>
          <w14:textFill>
            <w14:solidFill>
              <w14:schemeClr w14:val="tx1"/>
            </w14:solidFill>
          </w14:textFill>
        </w:rPr>
        <w:t>采购代理机构对评审工作现场进行全过程录音录像，录音录像资料作为采购项目文件随其他文件一并存档。</w:t>
      </w:r>
    </w:p>
    <w:bookmarkEnd w:id="27"/>
    <w:p w14:paraId="74C184BC">
      <w:pPr>
        <w:widowControl/>
        <w:adjustRightInd/>
        <w:spacing w:line="360" w:lineRule="auto"/>
        <w:jc w:val="left"/>
        <w:rPr>
          <w:rFonts w:hint="eastAsia" w:ascii="宋体" w:hAnsi="宋体" w:eastAsia="宋体" w:cs="宋体"/>
          <w:b/>
          <w:color w:val="000000" w:themeColor="text1"/>
          <w:sz w:val="36"/>
          <w:szCs w:val="36"/>
          <w:highlight w:val="none"/>
          <w14:textFill>
            <w14:solidFill>
              <w14:schemeClr w14:val="tx1"/>
            </w14:solidFill>
          </w14:textFill>
        </w:rPr>
      </w:pPr>
      <w:bookmarkStart w:id="394" w:name="_Toc86217003"/>
      <w:bookmarkStart w:id="395" w:name="第五部分"/>
    </w:p>
    <w:p w14:paraId="03C436AF">
      <w:pPr>
        <w:widowControl/>
        <w:adjustRightInd/>
        <w:jc w:val="left"/>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63E153A8">
      <w:pPr>
        <w:tabs>
          <w:tab w:val="left" w:pos="1276"/>
        </w:tabs>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w:t>
      </w:r>
      <w:r>
        <w:rPr>
          <w:rFonts w:hint="eastAsia" w:ascii="宋体" w:hAnsi="宋体" w:eastAsia="宋体" w:cs="宋体"/>
          <w:b/>
          <w:color w:val="000000" w:themeColor="text1"/>
          <w:sz w:val="36"/>
          <w:szCs w:val="36"/>
          <w:highlight w:val="none"/>
          <w:lang w:val="en-US" w:eastAsia="zh-CN"/>
          <w14:textFill>
            <w14:solidFill>
              <w14:schemeClr w14:val="tx1"/>
            </w14:solidFill>
          </w14:textFill>
        </w:rPr>
        <w:t>六</w:t>
      </w:r>
      <w:r>
        <w:rPr>
          <w:rFonts w:hint="eastAsia" w:ascii="宋体" w:hAnsi="宋体" w:eastAsia="宋体" w:cs="宋体"/>
          <w:b/>
          <w:color w:val="000000" w:themeColor="text1"/>
          <w:sz w:val="36"/>
          <w:szCs w:val="36"/>
          <w:highlight w:val="none"/>
          <w14:textFill>
            <w14:solidFill>
              <w14:schemeClr w14:val="tx1"/>
            </w14:solidFill>
          </w14:textFill>
        </w:rPr>
        <w:t>部分</w:t>
      </w:r>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36"/>
          <w:highlight w:val="none"/>
          <w14:textFill>
            <w14:solidFill>
              <w14:schemeClr w14:val="tx1"/>
            </w14:solidFill>
          </w14:textFill>
        </w:rPr>
        <w:t>拟签订的合同文本</w:t>
      </w:r>
    </w:p>
    <w:p w14:paraId="6E7A397E">
      <w:pPr>
        <w:pStyle w:val="3"/>
        <w:snapToGrid w:val="0"/>
        <w:spacing w:before="0" w:after="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（本章所述《合同条款》为指引性文件。在合同签订时，招标人有权合理修改或增加本合同条款。若招标人和</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人双方同意，合同格式也可以按照其他形式。）</w:t>
      </w:r>
    </w:p>
    <w:p w14:paraId="328911CC">
      <w:pPr>
        <w:spacing w:line="360" w:lineRule="auto"/>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合同编号：</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542FFA19">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u w:val="single"/>
        </w:rPr>
        <w:t xml:space="preserve">                      </w:t>
      </w:r>
    </w:p>
    <w:p w14:paraId="66DF5A63">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u w:val="single"/>
        </w:rPr>
        <w:t xml:space="preserve">                      </w:t>
      </w:r>
    </w:p>
    <w:p w14:paraId="67EF81C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 xml:space="preserve">     年   月   日</w:t>
      </w:r>
      <w:r>
        <w:rPr>
          <w:rFonts w:hint="eastAsia" w:ascii="宋体" w:hAnsi="宋体" w:eastAsia="宋体" w:cs="宋体"/>
          <w:color w:val="auto"/>
          <w:sz w:val="24"/>
          <w:szCs w:val="24"/>
          <w:highlight w:val="none"/>
          <w:u w:val="single"/>
          <w:lang w:eastAsia="zh-CN"/>
        </w:rPr>
        <w:t>2025年数字教育资源支撑服务升级及运维保障</w:t>
      </w:r>
      <w:r>
        <w:rPr>
          <w:rFonts w:hint="eastAsia" w:ascii="宋体" w:hAnsi="宋体" w:eastAsia="宋体" w:cs="宋体"/>
          <w:color w:val="auto"/>
          <w:sz w:val="24"/>
          <w:szCs w:val="24"/>
          <w:highlight w:val="none"/>
        </w:rPr>
        <w:t>公开招标结果和招标文件的要求，并依照《中华人民共和国民法典》等有关法律、行政法规的规定，同时在平等、公平、诚实和信用的原则下，经双方协商一致，订立本合同。</w:t>
      </w:r>
    </w:p>
    <w:p w14:paraId="7251332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1、组成合同文件及其优先顺序（按顺序号的先后）</w:t>
      </w:r>
    </w:p>
    <w:p w14:paraId="5AE02C9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组成合同的各项文件应相互解释，互为说明。除合同另有规定外，其优先顺序如下：</w:t>
      </w:r>
    </w:p>
    <w:p w14:paraId="2066A50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（1）合同文本。</w:t>
      </w:r>
    </w:p>
    <w:p w14:paraId="3A42BC6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55A6E28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pacing w:val="-6"/>
          <w:sz w:val="24"/>
          <w:szCs w:val="24"/>
          <w:highlight w:val="none"/>
        </w:rPr>
        <w:t>投标文件及其附件（含询标纪要）；【如有负偏离招标文件要求的内容，则无条件按招标文件执行】。</w:t>
      </w:r>
    </w:p>
    <w:p w14:paraId="4DC42A2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（4）招标文件（含补充文件、答疑纪要）。</w:t>
      </w:r>
    </w:p>
    <w:p w14:paraId="1A6D6F8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（5）标准、规范及有关技术文件。</w:t>
      </w:r>
    </w:p>
    <w:p w14:paraId="380494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甲乙双方有关项目实施过程中的洽商、变更等书面协议或文件作为本合同的组成部分。</w:t>
      </w:r>
    </w:p>
    <w:p w14:paraId="15C304C3">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（签订合同时，招标要求、投标的优惠承诺等均可作为合同条款。）</w:t>
      </w:r>
    </w:p>
    <w:p w14:paraId="76ED2CF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w:t>
      </w:r>
      <w:r>
        <w:rPr>
          <w:rFonts w:hint="eastAsia" w:ascii="宋体" w:hAnsi="宋体" w:eastAsia="宋体" w:cs="宋体"/>
          <w:color w:val="auto"/>
          <w:sz w:val="24"/>
          <w:szCs w:val="24"/>
          <w:highlight w:val="none"/>
          <w:u w:val="single"/>
        </w:rPr>
        <w:t>20  年  月  日至20  年  月  日</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如若服务期</w:t>
      </w:r>
      <w:r>
        <w:rPr>
          <w:rFonts w:hint="eastAsia" w:ascii="宋体" w:hAnsi="宋体" w:eastAsia="宋体" w:cs="宋体"/>
          <w:color w:val="auto"/>
          <w:sz w:val="24"/>
          <w:szCs w:val="24"/>
          <w:highlight w:val="none"/>
          <w:u w:val="single"/>
          <w:lang w:eastAsia="zh-CN"/>
        </w:rPr>
        <w:t>到期，下一年度财政下达资金</w:t>
      </w:r>
      <w:r>
        <w:rPr>
          <w:rFonts w:hint="eastAsia" w:ascii="宋体" w:hAnsi="宋体" w:eastAsia="宋体" w:cs="宋体"/>
          <w:color w:val="auto"/>
          <w:sz w:val="24"/>
          <w:szCs w:val="24"/>
          <w:highlight w:val="none"/>
          <w:u w:val="single"/>
          <w:lang w:val="en-US" w:eastAsia="zh-CN"/>
        </w:rPr>
        <w:t>未</w:t>
      </w:r>
      <w:r>
        <w:rPr>
          <w:rFonts w:hint="eastAsia" w:ascii="宋体" w:hAnsi="宋体" w:eastAsia="宋体" w:cs="宋体"/>
          <w:color w:val="auto"/>
          <w:sz w:val="24"/>
          <w:szCs w:val="24"/>
          <w:highlight w:val="none"/>
          <w:u w:val="single"/>
          <w:lang w:eastAsia="zh-CN"/>
        </w:rPr>
        <w:t>到达之前，</w:t>
      </w:r>
      <w:r>
        <w:rPr>
          <w:rFonts w:hint="eastAsia" w:ascii="宋体" w:hAnsi="宋体" w:eastAsia="宋体" w:cs="宋体"/>
          <w:color w:val="auto"/>
          <w:sz w:val="24"/>
          <w:szCs w:val="24"/>
          <w:highlight w:val="none"/>
          <w:u w:val="single"/>
          <w:lang w:val="en-US" w:eastAsia="zh-CN"/>
        </w:rPr>
        <w:t>乙方须</w:t>
      </w:r>
      <w:r>
        <w:rPr>
          <w:rFonts w:hint="eastAsia" w:ascii="宋体" w:hAnsi="宋体" w:eastAsia="宋体" w:cs="宋体"/>
          <w:color w:val="auto"/>
          <w:sz w:val="24"/>
          <w:szCs w:val="24"/>
          <w:highlight w:val="none"/>
          <w:u w:val="single"/>
          <w:lang w:eastAsia="zh-CN"/>
        </w:rPr>
        <w:t>延续</w:t>
      </w:r>
      <w:r>
        <w:rPr>
          <w:rFonts w:hint="eastAsia" w:ascii="宋体" w:hAnsi="宋体" w:eastAsia="宋体" w:cs="宋体"/>
          <w:color w:val="auto"/>
          <w:sz w:val="24"/>
          <w:szCs w:val="24"/>
          <w:highlight w:val="none"/>
          <w:u w:val="single"/>
          <w:lang w:val="en-US" w:eastAsia="zh-CN"/>
        </w:rPr>
        <w:t>延续维护</w:t>
      </w:r>
      <w:r>
        <w:rPr>
          <w:rFonts w:hint="eastAsia" w:ascii="宋体" w:hAnsi="宋体" w:eastAsia="宋体" w:cs="宋体"/>
          <w:color w:val="auto"/>
          <w:sz w:val="24"/>
          <w:szCs w:val="24"/>
          <w:highlight w:val="none"/>
          <w:u w:val="single"/>
          <w:lang w:eastAsia="zh-CN"/>
        </w:rPr>
        <w:t>服务</w:t>
      </w:r>
      <w:r>
        <w:rPr>
          <w:rFonts w:hint="eastAsia" w:ascii="宋体" w:hAnsi="宋体" w:eastAsia="宋体" w:cs="宋体"/>
          <w:color w:val="auto"/>
          <w:sz w:val="24"/>
          <w:szCs w:val="24"/>
          <w:highlight w:val="none"/>
          <w:u w:val="single"/>
          <w:lang w:val="en-US" w:eastAsia="zh-CN"/>
        </w:rPr>
        <w:t>至下一年度中标服务单位产生前，相关运维费用由下一年度中标单位按本年度中标价格支付至本年度中标单位</w:t>
      </w:r>
      <w:r>
        <w:rPr>
          <w:rFonts w:hint="eastAsia" w:ascii="宋体" w:hAnsi="宋体" w:eastAsia="宋体" w:cs="宋体"/>
          <w:color w:val="auto"/>
          <w:sz w:val="24"/>
          <w:szCs w:val="24"/>
          <w:highlight w:val="none"/>
        </w:rPr>
        <w:t>。</w:t>
      </w:r>
    </w:p>
    <w:p w14:paraId="5AFFA92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3、服务要求：</w:t>
      </w:r>
      <w:r>
        <w:rPr>
          <w:rFonts w:hint="eastAsia" w:ascii="宋体" w:hAnsi="宋体" w:eastAsia="宋体" w:cs="宋体"/>
          <w:color w:val="auto"/>
          <w:sz w:val="24"/>
          <w:szCs w:val="24"/>
          <w:highlight w:val="none"/>
          <w:u w:val="single"/>
        </w:rPr>
        <w:t>按招标文件要求执行（如投标文件有更优承诺，则按投标文件响应要求执行）。</w:t>
      </w:r>
    </w:p>
    <w:p w14:paraId="02A4C9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927663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5、合同价款</w:t>
      </w:r>
    </w:p>
    <w:p w14:paraId="79ADFE7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本项目合同总价为人民币</w:t>
      </w:r>
      <w:r>
        <w:rPr>
          <w:rFonts w:hint="eastAsia" w:ascii="宋体" w:hAnsi="宋体" w:eastAsia="宋体" w:cs="宋体"/>
          <w:color w:val="auto"/>
          <w:sz w:val="24"/>
          <w:szCs w:val="24"/>
          <w:highlight w:val="none"/>
          <w:u w:val="single"/>
        </w:rPr>
        <w:t>______________</w:t>
      </w:r>
      <w:r>
        <w:rPr>
          <w:rFonts w:hint="eastAsia" w:ascii="宋体" w:hAnsi="宋体" w:eastAsia="宋体" w:cs="宋体"/>
          <w:color w:val="auto"/>
          <w:sz w:val="24"/>
          <w:szCs w:val="24"/>
          <w:highlight w:val="none"/>
        </w:rPr>
        <w:t>元整。</w:t>
      </w:r>
    </w:p>
    <w:p w14:paraId="7DE08C5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6、变更</w:t>
      </w:r>
    </w:p>
    <w:p w14:paraId="3B2A060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14:paraId="1D13FEB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6.2当变更只是采购量增减时，按应标报价明细单中的单价进行结算。</w:t>
      </w:r>
    </w:p>
    <w:p w14:paraId="48FF1EB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7、专利权</w:t>
      </w:r>
    </w:p>
    <w:p w14:paraId="137506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14:paraId="4AC57B3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8、考核和验收</w:t>
      </w:r>
    </w:p>
    <w:p w14:paraId="3B13CCB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8.1甲方在乙方提供相关服务的过程中，根据招标文件要求，对乙方运维工作完成情况进行考核；考核达不到要求的，甲方将要求乙方及时整改并承担相应的责任。根据考核结果，有权对乙方扣除运维费用。</w:t>
      </w:r>
    </w:p>
    <w:p w14:paraId="279821C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8.2招标文件及其补充文件、响应文件、澄清文件、承诺文件、成交通知书、合同等作为考核依据。</w:t>
      </w:r>
    </w:p>
    <w:p w14:paraId="1C6143E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8.3甲方负责对项目服务及相关资料进行验收，乙方应全力协助。</w:t>
      </w:r>
    </w:p>
    <w:p w14:paraId="2ECA7C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9、结算原则</w:t>
      </w:r>
    </w:p>
    <w:p w14:paraId="6217EA7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9.1成交总价一次性包干，不再调整。</w:t>
      </w:r>
    </w:p>
    <w:p w14:paraId="17809D6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9.2乙方收款信息如下：</w:t>
      </w:r>
    </w:p>
    <w:p w14:paraId="01467667">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收款户名：</w:t>
      </w:r>
      <w:r>
        <w:rPr>
          <w:rFonts w:hint="eastAsia" w:ascii="宋体" w:hAnsi="宋体" w:eastAsia="宋体" w:cs="宋体"/>
          <w:color w:val="auto"/>
          <w:sz w:val="24"/>
          <w:szCs w:val="24"/>
          <w:highlight w:val="none"/>
          <w:u w:val="single"/>
        </w:rPr>
        <w:t xml:space="preserve">                </w:t>
      </w:r>
    </w:p>
    <w:p w14:paraId="3935B1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3A2A9DA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收款账号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9130B8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10、合同款支付</w:t>
      </w:r>
    </w:p>
    <w:p w14:paraId="76F3945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采用分期付款方式，具体如下：</w:t>
      </w:r>
    </w:p>
    <w:p w14:paraId="54F819E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本项目采取分期付款方式，付款期限自收到投标人开具的发票之日起计算，具体到账期限以财政拨付实际到账为准。付款方式具体如下：</w:t>
      </w:r>
    </w:p>
    <w:p w14:paraId="015E50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第一期款支付：合同签订生效后，乙方启动运维服务，并提供运维实施方案，经甲方审查通过，预付合同总价的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p w14:paraId="70EF6DF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期款支付：通过项目验收后15个工作日内，支付合同剩余款项。</w:t>
      </w:r>
    </w:p>
    <w:p w14:paraId="3739B137">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各期实际金额应根据合同相应条款扣除款项后按实结算。合同最终支付金额以财政拨付为准，其中202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年度支付金额不超过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p w14:paraId="0DBECCC0">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原项目服务到期后至本项目服务</w:t>
      </w:r>
      <w:r>
        <w:rPr>
          <w:rFonts w:hint="eastAsia" w:ascii="宋体" w:hAnsi="宋体" w:eastAsia="宋体" w:cs="宋体"/>
          <w:color w:val="auto"/>
          <w:sz w:val="24"/>
          <w:szCs w:val="24"/>
          <w:highlight w:val="none"/>
          <w:lang w:val="en-US" w:eastAsia="zh-CN"/>
        </w:rPr>
        <w:t>合同签订</w:t>
      </w:r>
      <w:r>
        <w:rPr>
          <w:rFonts w:hint="eastAsia" w:ascii="宋体" w:hAnsi="宋体" w:eastAsia="宋体" w:cs="宋体"/>
          <w:color w:val="auto"/>
          <w:sz w:val="24"/>
          <w:szCs w:val="24"/>
          <w:highlight w:val="none"/>
        </w:rPr>
        <w:t>前的运维服务由上一年度中标单位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提供，相关运维费用由</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年度中标单位</w:t>
      </w:r>
      <w:r>
        <w:rPr>
          <w:rFonts w:hint="eastAsia" w:ascii="宋体" w:hAnsi="宋体" w:eastAsia="宋体" w:cs="宋体"/>
          <w:color w:val="auto"/>
          <w:sz w:val="24"/>
          <w:szCs w:val="24"/>
          <w:highlight w:val="none"/>
          <w:lang w:val="en-US" w:eastAsia="zh-CN"/>
        </w:rPr>
        <w:t>按上年度中标价格支付</w:t>
      </w:r>
      <w:r>
        <w:rPr>
          <w:rFonts w:hint="eastAsia" w:ascii="宋体" w:hAnsi="宋体" w:eastAsia="宋体" w:cs="宋体"/>
          <w:color w:val="auto"/>
          <w:sz w:val="24"/>
          <w:szCs w:val="24"/>
          <w:highlight w:val="none"/>
        </w:rPr>
        <w:t>，采购人不予另行支付。</w:t>
      </w:r>
    </w:p>
    <w:p w14:paraId="7A8FC16F">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本年度中标单位延续维护至下一年度中标服务单位产生前，相关运维费用由下一年度中标单位按本年度中标价格支付至本年度中标单位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不予另行支付。</w:t>
      </w:r>
    </w:p>
    <w:p w14:paraId="66C8027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上述款项的支付时间以财政下达资金为前提，如有达到支付条件但财政资金未到位的情形，则支付时间顺延。</w:t>
      </w:r>
    </w:p>
    <w:p w14:paraId="3F5C647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支付前，乙方应提供符合甲方要求的等额发票，否则甲方可顺延支付，所造成的迟延风险由乙方自行承担。本合同执行中相关的一切税费均由乙方负担。注：各期实际金额应根据合同相应条款扣除款项后按实结算。合同最终支付金额以财政拨付为准。且上述款项的支付时间以财政下达资金为前提，如有达到支付条件但财政资金未到位的情形，则支付时间顺延。</w:t>
      </w:r>
    </w:p>
    <w:p w14:paraId="6336FF6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11、履约保证金</w:t>
      </w:r>
    </w:p>
    <w:p w14:paraId="4C9F64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（1）中标人在签订合同后的10个工作日内必须向招标人交纳合同总价的1%作为履约保证金。</w:t>
      </w:r>
    </w:p>
    <w:p w14:paraId="467BF5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（2）履约保证金缴纳方式：收款人为汇票、同城支票、</w:t>
      </w:r>
      <w:r>
        <w:rPr>
          <w:rFonts w:hint="eastAsia" w:ascii="宋体" w:hAnsi="宋体" w:eastAsia="宋体" w:cs="宋体"/>
          <w:color w:val="auto"/>
          <w:sz w:val="24"/>
          <w:szCs w:val="24"/>
          <w:highlight w:val="none"/>
          <w:lang w:eastAsia="zh-CN"/>
        </w:rPr>
        <w:t>银行转账</w:t>
      </w:r>
      <w:r>
        <w:rPr>
          <w:rFonts w:hint="eastAsia" w:ascii="宋体" w:hAnsi="宋体" w:eastAsia="宋体" w:cs="宋体"/>
          <w:color w:val="auto"/>
          <w:sz w:val="24"/>
          <w:szCs w:val="24"/>
          <w:highlight w:val="none"/>
        </w:rPr>
        <w:t>以及金融机构、担保机构出具的以保函形式提交的履约保证金。</w:t>
      </w:r>
    </w:p>
    <w:p w14:paraId="2EF1397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（3）履约保证金在服务期满后退还（不计利息）。</w:t>
      </w:r>
    </w:p>
    <w:p w14:paraId="4717192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12、合同修改与解除</w:t>
      </w:r>
    </w:p>
    <w:p w14:paraId="11ADADA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12.1本合同供需双方的任何一方无权对合同内容进行修改，本合同如需修改，必须达成书面协议，并作为该合同的有效组成部分。</w:t>
      </w:r>
    </w:p>
    <w:p w14:paraId="14DF1EC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12.2合同可以经双方协商一致解除，或按照《中华人民共和国民法典》的规定单方解除。</w:t>
      </w:r>
    </w:p>
    <w:p w14:paraId="61C9DA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13、乙方的责任和义务</w:t>
      </w:r>
    </w:p>
    <w:p w14:paraId="4F3ED0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13.1根据供应商响应文件的承诺组建项目组人员，并确定项目负责人与甲方保持联系、沟通。</w:t>
      </w:r>
    </w:p>
    <w:p w14:paraId="616F5CB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13.2在履行本合同义务的期间，应运用合理的技能，认真、勤奋的工作。</w:t>
      </w:r>
    </w:p>
    <w:p w14:paraId="3D590C3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13.3在本合同期内或合同终止后，来征得有关方同意，不得泄漏与本项目、本合同有关的技术、资料等，不得以任何形式侵害甲方的知识产权。</w:t>
      </w:r>
    </w:p>
    <w:p w14:paraId="656C700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13.4负责处理好与相关项目实施单位的协调工作。</w:t>
      </w:r>
    </w:p>
    <w:p w14:paraId="19329D6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14、甲方的责任与义务</w:t>
      </w:r>
    </w:p>
    <w:p w14:paraId="37F684E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14.1甲方应当主要负责项目的所有外部关系的联系与协调，为乙方工作提供良好的外部条件。</w:t>
      </w:r>
    </w:p>
    <w:p w14:paraId="4CB23E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14.2甲方应当按双方约定的内容和时间，向乙方提供与项目有关的资料。</w:t>
      </w:r>
    </w:p>
    <w:p w14:paraId="1A93B7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14.3甲方应授权一名熟悉本项目情况，能迅速做出决定的项目代表，负责与乙方的联系，更换代表，要提前通知乙方。</w:t>
      </w:r>
    </w:p>
    <w:p w14:paraId="438AE1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14.4甲方有与乙方订立补充合同的签订权。</w:t>
      </w:r>
    </w:p>
    <w:p w14:paraId="00F02C2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15、违约责任</w:t>
      </w:r>
    </w:p>
    <w:p w14:paraId="478913E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15.1甲方无正当理由拒绝履行合同，甲方向乙方偿付合同款项的百分之五作为违约金。</w:t>
      </w:r>
    </w:p>
    <w:p w14:paraId="6ED44E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15.2甲方无故逾期办理款项支付手续的，甲方应按逾期付款总额每日万分之五向乙方支付违约金</w:t>
      </w:r>
    </w:p>
    <w:p w14:paraId="30CB404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15.3乙方未能按其承诺的经甲方同意的服务实施进度如期提供服务的，甲方有权要求乙方每日支付合同款项的千分之五作为违约金。乙方超过约定日期10个工作日仍不能提供服务的，甲方有权解除本合同。</w:t>
      </w:r>
    </w:p>
    <w:p w14:paraId="709E857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15.4如乙方出现下述情况：未能实现服务承诺；考核不符合管理要求；出现重大工作失误造成不良社会影响的；甲方有权视情节严重，要求乙方作出相应经济赔偿，直至终止其承包服务。</w:t>
      </w:r>
    </w:p>
    <w:p w14:paraId="51EF946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16、争议处理</w:t>
      </w:r>
    </w:p>
    <w:p w14:paraId="4D586EC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16.1合同在履行过程中发生争议时，甲方与乙方及时协商解决。协商不成时，提请杭州仲裁委员会根据仲裁规则仲裁。</w:t>
      </w:r>
    </w:p>
    <w:p w14:paraId="037CD55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16.2对于因违反或终止合同而引起的损失、损害的赔偿，由甲方与乙方友好协商解决，经协商仍未能达成一致的，提交杭州仲裁委员会仲裁。</w:t>
      </w:r>
    </w:p>
    <w:p w14:paraId="10B7B12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17、不可抗力</w:t>
      </w:r>
    </w:p>
    <w:p w14:paraId="7BA5F2F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不可抗力是指《中华人民共和国民法典》所列举的不可抗力。不可抗力一旦发生，证明文件由法律规定部门签署，并由甲、乙双方协商合同逾期履行和继续履行的方法，在此情况下，任何一方不能要求损失赔偿。</w:t>
      </w:r>
    </w:p>
    <w:p w14:paraId="6FB7B4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18、合同的生效、变更与终止</w:t>
      </w:r>
    </w:p>
    <w:p w14:paraId="041EEBE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18.1本合同由甲、乙双方签字盖章，经采购单位报杭州市政府采购办备案后生效。</w:t>
      </w:r>
    </w:p>
    <w:p w14:paraId="200371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18.2合同履行期内甲乙双方均不得随意变更或解除合同。合同若有未尽事宜，需经双方共同协商，订立补充协议，补充协议与本合同有同等法律效力。</w:t>
      </w:r>
    </w:p>
    <w:p w14:paraId="7E8E15A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18.3乙方履行义务不符合国家有关规定或者合同约定，甲方可随时以书面形式通知乙方解除合同，并不免除乙方赔偿损失的责任。</w:t>
      </w:r>
    </w:p>
    <w:p w14:paraId="4E70D1A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18.4招标文件、响应文件及评审（谈判）过程中形成的文字资料、澄清文件、承诺文件均作为本合同的组成部分，具有同等效力。</w:t>
      </w:r>
    </w:p>
    <w:p w14:paraId="18C9E02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18.5乙方在本合同外通过书面形式或大众媒体方式公开做出的服务承诺，自动成为本合同的组成部分，但其中为用户设定的义务，未经甲方同意的，不成为本合同的组成部分。</w:t>
      </w:r>
    </w:p>
    <w:p w14:paraId="2AF791F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18.6本合同如有未尽事项，由双方协商解决。协商不成的，提请杭州仲裁委员会仲裁。</w:t>
      </w:r>
    </w:p>
    <w:p w14:paraId="4E984A5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18.7本合同一式六份，甲方、乙方各执二份，采购代理机构执二份。</w:t>
      </w:r>
    </w:p>
    <w:p w14:paraId="11FB8A8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18.8适用法律：本合同应按照中华人民共和国的法律进行解释。</w:t>
      </w:r>
    </w:p>
    <w:p w14:paraId="4910123B">
      <w:pPr>
        <w:spacing w:line="360" w:lineRule="auto"/>
        <w:ind w:firstLine="480" w:firstLineChars="200"/>
        <w:jc w:val="left"/>
        <w:rPr>
          <w:rFonts w:hint="eastAsia" w:ascii="宋体" w:hAnsi="宋体" w:eastAsia="宋体" w:cs="宋体"/>
          <w:color w:val="auto"/>
          <w:sz w:val="24"/>
          <w:szCs w:val="24"/>
          <w:highlight w:val="none"/>
          <w:u w:val="single"/>
        </w:rPr>
      </w:pPr>
    </w:p>
    <w:p w14:paraId="4936B607">
      <w:pPr>
        <w:spacing w:line="360" w:lineRule="auto"/>
        <w:ind w:firstLine="480" w:firstLineChars="200"/>
        <w:rPr>
          <w:rFonts w:hint="eastAsia" w:ascii="宋体" w:hAnsi="宋体" w:eastAsia="宋体" w:cs="宋体"/>
          <w:color w:val="auto"/>
          <w:sz w:val="24"/>
          <w:szCs w:val="24"/>
          <w:highlight w:val="none"/>
          <w:u w:val="single"/>
        </w:rPr>
      </w:pPr>
    </w:p>
    <w:tbl>
      <w:tblPr>
        <w:tblStyle w:val="15"/>
        <w:tblW w:w="0" w:type="auto"/>
        <w:jc w:val="center"/>
        <w:tblLayout w:type="fixed"/>
        <w:tblCellMar>
          <w:top w:w="0" w:type="dxa"/>
          <w:left w:w="108" w:type="dxa"/>
          <w:bottom w:w="0" w:type="dxa"/>
          <w:right w:w="108" w:type="dxa"/>
        </w:tblCellMar>
      </w:tblPr>
      <w:tblGrid>
        <w:gridCol w:w="4200"/>
        <w:gridCol w:w="4553"/>
      </w:tblGrid>
      <w:tr w14:paraId="34D3B9EF">
        <w:tblPrEx>
          <w:tblCellMar>
            <w:top w:w="0" w:type="dxa"/>
            <w:left w:w="108" w:type="dxa"/>
            <w:bottom w:w="0" w:type="dxa"/>
            <w:right w:w="108" w:type="dxa"/>
          </w:tblCellMar>
        </w:tblPrEx>
        <w:trPr>
          <w:trHeight w:val="486" w:hRule="atLeast"/>
          <w:jc w:val="center"/>
        </w:trPr>
        <w:tc>
          <w:tcPr>
            <w:tcW w:w="4200" w:type="dxa"/>
          </w:tcPr>
          <w:p w14:paraId="7CEDA1D9">
            <w:pPr>
              <w:autoSpaceDE w:val="0"/>
              <w:autoSpaceDN w:val="0"/>
              <w:adjustRightInd w:val="0"/>
              <w:snapToGri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（甲方）（盖章）</w:t>
            </w:r>
          </w:p>
        </w:tc>
        <w:tc>
          <w:tcPr>
            <w:tcW w:w="4553" w:type="dxa"/>
          </w:tcPr>
          <w:p w14:paraId="3F69A6FE">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（乙方）（盖章）</w:t>
            </w:r>
          </w:p>
        </w:tc>
      </w:tr>
      <w:tr w14:paraId="508AA61A">
        <w:tblPrEx>
          <w:tblCellMar>
            <w:top w:w="0" w:type="dxa"/>
            <w:left w:w="108" w:type="dxa"/>
            <w:bottom w:w="0" w:type="dxa"/>
            <w:right w:w="108" w:type="dxa"/>
          </w:tblCellMar>
        </w:tblPrEx>
        <w:trPr>
          <w:trHeight w:val="486" w:hRule="atLeast"/>
          <w:jc w:val="center"/>
        </w:trPr>
        <w:tc>
          <w:tcPr>
            <w:tcW w:w="4200" w:type="dxa"/>
          </w:tcPr>
          <w:p w14:paraId="725EF034">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法定代表人（签字或盖章）</w:t>
            </w:r>
          </w:p>
          <w:p w14:paraId="6E409CE4">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委托代理人：                                            </w:t>
            </w:r>
          </w:p>
        </w:tc>
        <w:tc>
          <w:tcPr>
            <w:tcW w:w="4553" w:type="dxa"/>
          </w:tcPr>
          <w:p w14:paraId="06615880">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法定代表人（签字或盖章）：</w:t>
            </w:r>
          </w:p>
          <w:p w14:paraId="400D521D">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委托代理人：</w:t>
            </w:r>
          </w:p>
        </w:tc>
      </w:tr>
      <w:tr w14:paraId="5582727D">
        <w:tblPrEx>
          <w:tblCellMar>
            <w:top w:w="0" w:type="dxa"/>
            <w:left w:w="108" w:type="dxa"/>
            <w:bottom w:w="0" w:type="dxa"/>
            <w:right w:w="108" w:type="dxa"/>
          </w:tblCellMar>
        </w:tblPrEx>
        <w:trPr>
          <w:trHeight w:val="486" w:hRule="atLeast"/>
          <w:jc w:val="center"/>
        </w:trPr>
        <w:tc>
          <w:tcPr>
            <w:tcW w:w="4200" w:type="dxa"/>
          </w:tcPr>
          <w:p w14:paraId="74FB8C09">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通讯地址： </w:t>
            </w:r>
          </w:p>
        </w:tc>
        <w:tc>
          <w:tcPr>
            <w:tcW w:w="4553" w:type="dxa"/>
          </w:tcPr>
          <w:p w14:paraId="033B0AD3">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通讯地址： </w:t>
            </w:r>
          </w:p>
        </w:tc>
      </w:tr>
      <w:tr w14:paraId="770BABC2">
        <w:tblPrEx>
          <w:tblCellMar>
            <w:top w:w="0" w:type="dxa"/>
            <w:left w:w="108" w:type="dxa"/>
            <w:bottom w:w="0" w:type="dxa"/>
            <w:right w:w="108" w:type="dxa"/>
          </w:tblCellMar>
        </w:tblPrEx>
        <w:trPr>
          <w:trHeight w:val="486" w:hRule="atLeast"/>
          <w:jc w:val="center"/>
        </w:trPr>
        <w:tc>
          <w:tcPr>
            <w:tcW w:w="4200" w:type="dxa"/>
          </w:tcPr>
          <w:p w14:paraId="09A579B4">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开 户 行： </w:t>
            </w:r>
          </w:p>
        </w:tc>
        <w:tc>
          <w:tcPr>
            <w:tcW w:w="4553" w:type="dxa"/>
          </w:tcPr>
          <w:p w14:paraId="1CD905A2">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开 户 行： </w:t>
            </w:r>
          </w:p>
        </w:tc>
      </w:tr>
      <w:tr w14:paraId="056A7DCF">
        <w:tblPrEx>
          <w:tblCellMar>
            <w:top w:w="0" w:type="dxa"/>
            <w:left w:w="108" w:type="dxa"/>
            <w:bottom w:w="0" w:type="dxa"/>
            <w:right w:w="108" w:type="dxa"/>
          </w:tblCellMar>
        </w:tblPrEx>
        <w:trPr>
          <w:trHeight w:val="486" w:hRule="atLeast"/>
          <w:jc w:val="center"/>
        </w:trPr>
        <w:tc>
          <w:tcPr>
            <w:tcW w:w="4200" w:type="dxa"/>
          </w:tcPr>
          <w:p w14:paraId="7054C942">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帐    号： </w:t>
            </w:r>
          </w:p>
        </w:tc>
        <w:tc>
          <w:tcPr>
            <w:tcW w:w="4553" w:type="dxa"/>
          </w:tcPr>
          <w:p w14:paraId="11CB43B8">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帐    号：</w:t>
            </w:r>
          </w:p>
        </w:tc>
      </w:tr>
      <w:tr w14:paraId="076BF22A">
        <w:tblPrEx>
          <w:tblCellMar>
            <w:top w:w="0" w:type="dxa"/>
            <w:left w:w="108" w:type="dxa"/>
            <w:bottom w:w="0" w:type="dxa"/>
            <w:right w:w="108" w:type="dxa"/>
          </w:tblCellMar>
        </w:tblPrEx>
        <w:trPr>
          <w:trHeight w:val="486" w:hRule="atLeast"/>
          <w:jc w:val="center"/>
        </w:trPr>
        <w:tc>
          <w:tcPr>
            <w:tcW w:w="4200" w:type="dxa"/>
          </w:tcPr>
          <w:p w14:paraId="671A36F3">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电    话： </w:t>
            </w:r>
          </w:p>
        </w:tc>
        <w:tc>
          <w:tcPr>
            <w:tcW w:w="4553" w:type="dxa"/>
          </w:tcPr>
          <w:p w14:paraId="508ACAEF">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电    话：</w:t>
            </w:r>
          </w:p>
        </w:tc>
      </w:tr>
      <w:tr w14:paraId="5A2C68AF">
        <w:tblPrEx>
          <w:tblCellMar>
            <w:top w:w="0" w:type="dxa"/>
            <w:left w:w="108" w:type="dxa"/>
            <w:bottom w:w="0" w:type="dxa"/>
            <w:right w:w="108" w:type="dxa"/>
          </w:tblCellMar>
        </w:tblPrEx>
        <w:trPr>
          <w:trHeight w:val="996" w:hRule="atLeast"/>
          <w:jc w:val="center"/>
        </w:trPr>
        <w:tc>
          <w:tcPr>
            <w:tcW w:w="4200" w:type="dxa"/>
          </w:tcPr>
          <w:p w14:paraId="29652901">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    期：     年   月  日</w:t>
            </w:r>
          </w:p>
        </w:tc>
        <w:tc>
          <w:tcPr>
            <w:tcW w:w="4553" w:type="dxa"/>
          </w:tcPr>
          <w:p w14:paraId="25DD2D24">
            <w:pPr>
              <w:autoSpaceDE w:val="0"/>
              <w:autoSpaceDN w:val="0"/>
              <w:adjustRightInd w:val="0"/>
              <w:snapToGrid w:val="0"/>
              <w:spacing w:line="360" w:lineRule="auto"/>
              <w:ind w:left="105" w:leftChars="5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    期：     年   月    日</w:t>
            </w:r>
          </w:p>
        </w:tc>
      </w:tr>
    </w:tbl>
    <w:p w14:paraId="28CCB57F">
      <w:pPr>
        <w:widowControl/>
        <w:adjustRightInd/>
        <w:jc w:val="left"/>
        <w:rPr>
          <w:rFonts w:hint="eastAsia" w:ascii="宋体" w:hAnsi="宋体" w:eastAsia="宋体" w:cs="宋体"/>
          <w:b/>
          <w:color w:val="000000" w:themeColor="text1"/>
          <w:sz w:val="36"/>
          <w:szCs w:val="20"/>
          <w:highlight w:val="none"/>
          <w14:textFill>
            <w14:solidFill>
              <w14:schemeClr w14:val="tx1"/>
            </w14:solidFill>
          </w14:textFill>
        </w:rPr>
      </w:pPr>
    </w:p>
    <w:p w14:paraId="7C4F9841">
      <w:pP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52249B88">
      <w:pPr>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第七部分</w:t>
      </w:r>
      <w:bookmarkEnd w:id="394"/>
      <w:bookmarkEnd w:id="395"/>
      <w:r>
        <w:rPr>
          <w:rFonts w:hint="eastAsia" w:ascii="宋体" w:hAnsi="宋体" w:eastAsia="宋体" w:cs="宋体"/>
          <w:b/>
          <w:color w:val="000000" w:themeColor="text1"/>
          <w:sz w:val="36"/>
          <w:szCs w:val="2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14:paraId="1973F853">
      <w:pPr>
        <w:spacing w:line="360" w:lineRule="auto"/>
        <w:ind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供应商按照以下格式编制响应文件。</w:t>
      </w:r>
    </w:p>
    <w:p w14:paraId="197736F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2A7150E">
      <w:pPr>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6E2337B0">
      <w:pPr>
        <w:pStyle w:val="27"/>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（1）响应函………………………………………………………………（页码）</w:t>
      </w:r>
    </w:p>
    <w:p w14:paraId="78D39338">
      <w:pPr>
        <w:pStyle w:val="27"/>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（2）资格文件……………………………………………………………（页码）</w:t>
      </w:r>
    </w:p>
    <w:p w14:paraId="7A8E6289">
      <w:pPr>
        <w:pStyle w:val="27"/>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（3）法人授权书</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14:paraId="1F555E22">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（4）分包意向协议</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（页码）</w:t>
      </w:r>
    </w:p>
    <w:p w14:paraId="2D9E4C3B">
      <w:pPr>
        <w:pStyle w:val="27"/>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（5）所有资信文件（复印件）…………………………………………（页码）</w:t>
      </w:r>
    </w:p>
    <w:p w14:paraId="32E5072B">
      <w:pPr>
        <w:pStyle w:val="27"/>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（6）主要业绩证明</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14:paraId="4C47ED19">
      <w:pPr>
        <w:pStyle w:val="27"/>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lang w:val="zh-CN"/>
          <w14:textFill>
            <w14:solidFill>
              <w14:schemeClr w14:val="tx1"/>
            </w14:solidFill>
          </w14:textFill>
        </w:rPr>
        <w:t>关于对磋商文件中有关条款的拒绝声明……</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14:paraId="5136D72D">
      <w:pPr>
        <w:pStyle w:val="27"/>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（8）认为需要的其他商务文件或说明…………………………………（页码）</w:t>
      </w:r>
    </w:p>
    <w:p w14:paraId="432F85C2">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（9）技术解决方案…………………………………</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……………（页码）</w:t>
      </w:r>
    </w:p>
    <w:p w14:paraId="5B6631EB">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（10）组织实施方案………………………………………</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……………（页码）</w:t>
      </w:r>
    </w:p>
    <w:p w14:paraId="6CAB113C">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（11）项目小组人员名单……………………………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……………（页码）</w:t>
      </w:r>
    </w:p>
    <w:p w14:paraId="73C00407">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w:t>
      </w:r>
      <w:r>
        <w:rPr>
          <w:rFonts w:hint="eastAsia" w:ascii="宋体" w:hAnsi="宋体" w:eastAsia="宋体" w:cs="宋体"/>
          <w:color w:val="000000" w:themeColor="text1"/>
          <w:kern w:val="0"/>
          <w:sz w:val="24"/>
          <w:highlight w:val="none"/>
          <w:lang w:val="zh-CN"/>
          <w14:textFill>
            <w14:solidFill>
              <w14:schemeClr w14:val="tx1"/>
            </w14:solidFill>
          </w14:textFill>
        </w:rPr>
        <w:t>优惠条件及特殊承诺………………………………</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（页码）</w:t>
      </w:r>
    </w:p>
    <w:p w14:paraId="30D00A4D">
      <w:pPr>
        <w:spacing w:line="360" w:lineRule="auto"/>
        <w:ind w:firstLine="48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w:t>
      </w:r>
      <w:r>
        <w:rPr>
          <w:rFonts w:hint="eastAsia" w:ascii="宋体" w:hAnsi="宋体" w:eastAsia="宋体" w:cs="宋体"/>
          <w:color w:val="000000" w:themeColor="text1"/>
          <w:kern w:val="0"/>
          <w:sz w:val="24"/>
          <w:highlight w:val="none"/>
          <w:lang w:val="zh-CN"/>
          <w14:textFill>
            <w14:solidFill>
              <w14:schemeClr w14:val="tx1"/>
            </w14:solidFill>
          </w14:textFill>
        </w:rPr>
        <w:t>认为需要的其他技术文件或说明…………………………………</w:t>
      </w:r>
      <w:r>
        <w:rPr>
          <w:rFonts w:hint="eastAsia" w:ascii="宋体" w:hAnsi="宋体" w:eastAsia="宋体" w:cs="宋体"/>
          <w:color w:val="000000" w:themeColor="text1"/>
          <w:kern w:val="0"/>
          <w:sz w:val="24"/>
          <w:highlight w:val="none"/>
          <w14:textFill>
            <w14:solidFill>
              <w14:schemeClr w14:val="tx1"/>
            </w14:solidFill>
          </w14:textFill>
        </w:rPr>
        <w:t>（页码）</w:t>
      </w:r>
    </w:p>
    <w:p w14:paraId="1EF45BCE">
      <w:pPr>
        <w:spacing w:line="360" w:lineRule="auto"/>
        <w:ind w:firstLine="48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（14）商务技术偏离表</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（页码）</w:t>
      </w:r>
    </w:p>
    <w:p w14:paraId="03651203">
      <w:pPr>
        <w:tabs>
          <w:tab w:val="left" w:pos="0"/>
        </w:tabs>
        <w:autoSpaceDE w:val="0"/>
        <w:autoSpaceDN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w:t>
      </w:r>
      <w:r>
        <w:rPr>
          <w:rFonts w:hint="eastAsia" w:ascii="宋体" w:hAnsi="宋体" w:eastAsia="宋体" w:cs="宋体"/>
          <w:color w:val="000000" w:themeColor="text1"/>
          <w:kern w:val="0"/>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kern w:val="0"/>
          <w:sz w:val="24"/>
          <w:highlight w:val="none"/>
          <w14:textFill>
            <w14:solidFill>
              <w14:schemeClr w14:val="tx1"/>
            </w14:solidFill>
          </w14:textFill>
        </w:rPr>
        <w:t>（页码）</w:t>
      </w:r>
    </w:p>
    <w:p w14:paraId="2C91158F">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注：以上目录是编制供应商响应文件的基本格式要求，各供应商可根据自身情况进一步细化。</w:t>
      </w:r>
    </w:p>
    <w:p w14:paraId="20E34944">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br w:type="page"/>
      </w:r>
    </w:p>
    <w:p w14:paraId="165296C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一、响应</w:t>
      </w:r>
      <w:r>
        <w:rPr>
          <w:rFonts w:hint="eastAsia" w:ascii="宋体" w:hAnsi="宋体" w:eastAsia="宋体" w:cs="宋体"/>
          <w:b/>
          <w:color w:val="000000" w:themeColor="text1"/>
          <w:sz w:val="32"/>
          <w:szCs w:val="32"/>
          <w:highlight w:val="none"/>
          <w14:textFill>
            <w14:solidFill>
              <w14:schemeClr w14:val="tx1"/>
            </w14:solidFill>
          </w14:textFill>
        </w:rPr>
        <w:t>函</w:t>
      </w:r>
    </w:p>
    <w:p w14:paraId="44F018C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6DAE8C9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(供应商全称)授权</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(全权代表姓名)</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(职务、职称)为全权代表，参加贵方组织的</w:t>
      </w:r>
      <w:r>
        <w:rPr>
          <w:rFonts w:hint="eastAsia" w:ascii="宋体" w:hAnsi="宋体" w:cs="宋体"/>
          <w:color w:val="000000" w:themeColor="text1"/>
          <w:sz w:val="24"/>
          <w:highlight w:val="non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】的有关活动，并对此项目进行响应。为此：</w:t>
      </w:r>
    </w:p>
    <w:p w14:paraId="40823E5B">
      <w:pPr>
        <w:pStyle w:val="23"/>
        <w:numPr>
          <w:ilvl w:val="0"/>
          <w:numId w:val="5"/>
        </w:numPr>
        <w:snapToGrid w:val="0"/>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我方承诺响应有效期从提交响应文件的截止之日起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90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天，（不少于90天），本响应文件在响应有效期满之前均具有约束力。</w:t>
      </w:r>
    </w:p>
    <w:p w14:paraId="15DC353A">
      <w:pPr>
        <w:numPr>
          <w:ilvl w:val="0"/>
          <w:numId w:val="5"/>
        </w:numPr>
        <w:adjustRightIn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eastAsia="宋体" w:cs="宋体"/>
          <w:bCs/>
          <w:color w:val="000000" w:themeColor="text1"/>
          <w:kern w:val="44"/>
          <w:sz w:val="24"/>
          <w:szCs w:val="24"/>
          <w:highlight w:val="none"/>
          <w14:textFill>
            <w14:solidFill>
              <w14:schemeClr w14:val="tx1"/>
            </w14:solidFill>
          </w14:textFill>
        </w:rPr>
        <w:t>磋商文件中</w:t>
      </w:r>
      <w:r>
        <w:rPr>
          <w:rFonts w:hint="eastAsia" w:ascii="宋体" w:hAnsi="宋体" w:eastAsia="宋体" w:cs="宋体"/>
          <w:color w:val="000000" w:themeColor="text1"/>
          <w:sz w:val="24"/>
          <w:szCs w:val="24"/>
          <w:highlight w:val="none"/>
          <w14:textFill>
            <w14:solidFill>
              <w14:schemeClr w14:val="tx1"/>
            </w14:solidFill>
          </w14:textFill>
        </w:rPr>
        <w:t>规定的全部响应文件。</w:t>
      </w:r>
    </w:p>
    <w:p w14:paraId="3A54623C">
      <w:pPr>
        <w:numPr>
          <w:ilvl w:val="0"/>
          <w:numId w:val="5"/>
        </w:numPr>
        <w:adjustRightIn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我方承诺除响应文件列出的偏离外，我方响应磋商文件的全部要求。</w:t>
      </w:r>
    </w:p>
    <w:p w14:paraId="014D2F72">
      <w:pPr>
        <w:numPr>
          <w:ilvl w:val="0"/>
          <w:numId w:val="5"/>
        </w:numPr>
        <w:adjustRightIn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保证遵守磋商文件中的其他有关规定。</w:t>
      </w:r>
    </w:p>
    <w:p w14:paraId="0CD9B1D9">
      <w:pPr>
        <w:numPr>
          <w:ilvl w:val="0"/>
          <w:numId w:val="5"/>
        </w:numPr>
        <w:adjustRightInd/>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2A265256">
      <w:pPr>
        <w:numPr>
          <w:ilvl w:val="0"/>
          <w:numId w:val="5"/>
        </w:numPr>
        <w:adjustRightInd/>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我方已详细阅读全部磋商文件，包括磋商文件“更正（延期）公告”（如果有）、参考资料及有关附件，确认无误。</w:t>
      </w:r>
    </w:p>
    <w:p w14:paraId="39009651">
      <w:pPr>
        <w:numPr>
          <w:ilvl w:val="0"/>
          <w:numId w:val="5"/>
        </w:numPr>
        <w:adjustRightInd/>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如我方成交，我方承诺：</w:t>
      </w:r>
    </w:p>
    <w:p w14:paraId="4ACB3E03">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 xml:space="preserve">.1在收到成交通知书后，在成交通知书规定的期限内与你方签订合同； </w:t>
      </w:r>
    </w:p>
    <w:p w14:paraId="72DD1845">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 xml:space="preserve">.2在签订合同时不向你方提出附加条件； </w:t>
      </w:r>
    </w:p>
    <w:p w14:paraId="09DA5C62">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 xml:space="preserve">.3按照磋商文件要求提交履约保证金； </w:t>
      </w:r>
    </w:p>
    <w:p w14:paraId="1DDD6375">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 xml:space="preserve">.4在合同约定的期限内完成合同规定的全部义务。 </w:t>
      </w:r>
    </w:p>
    <w:p w14:paraId="1939517F">
      <w:pPr>
        <w:numPr>
          <w:ilvl w:val="0"/>
          <w:numId w:val="5"/>
        </w:numPr>
        <w:adjustRightInd/>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其他补充说明:                                        。</w:t>
      </w:r>
    </w:p>
    <w:p w14:paraId="1801055C">
      <w:pPr>
        <w:autoSpaceDE w:val="0"/>
        <w:autoSpaceDN w:val="0"/>
        <w:spacing w:line="360" w:lineRule="auto"/>
        <w:ind w:firstLine="3960" w:firstLineChars="1650"/>
        <w:rPr>
          <w:rFonts w:hint="eastAsia" w:ascii="宋体" w:hAnsi="宋体" w:eastAsia="宋体" w:cs="宋体"/>
          <w:color w:val="000000" w:themeColor="text1"/>
          <w:kern w:val="0"/>
          <w:sz w:val="24"/>
          <w:highlight w:val="none"/>
          <w:lang w:val="zh-CN"/>
          <w14:textFill>
            <w14:solidFill>
              <w14:schemeClr w14:val="tx1"/>
            </w14:solidFill>
          </w14:textFill>
        </w:rPr>
      </w:pPr>
    </w:p>
    <w:p w14:paraId="64AC13A3">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供应商名称（电子签名）：                          </w:t>
      </w:r>
    </w:p>
    <w:p w14:paraId="0997468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29F17121">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505A4B54">
      <w:pPr>
        <w:autoSpaceDE w:val="0"/>
        <w:autoSpaceDN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14:paraId="6E991E57">
      <w:pPr>
        <w:pStyle w:val="28"/>
        <w:keepNext w:val="0"/>
        <w:pageBreakBefore w:val="0"/>
        <w:tabs>
          <w:tab w:val="clear" w:pos="720"/>
        </w:tabs>
        <w:jc w:val="both"/>
        <w:outlineLvl w:val="9"/>
        <w:rPr>
          <w:rFonts w:hint="eastAsia" w:ascii="宋体" w:hAnsi="宋体" w:eastAsia="宋体" w:cs="宋体"/>
          <w:color w:val="000000" w:themeColor="text1"/>
          <w:sz w:val="24"/>
          <w:szCs w:val="24"/>
          <w:highlight w:val="none"/>
          <w14:textFill>
            <w14:solidFill>
              <w14:schemeClr w14:val="tx1"/>
            </w14:solidFill>
          </w14:textFill>
        </w:rPr>
      </w:pPr>
    </w:p>
    <w:p w14:paraId="2A558ABE">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639337A8">
      <w:pPr>
        <w:spacing w:line="360" w:lineRule="auto"/>
        <w:rPr>
          <w:rFonts w:hint="eastAsia" w:ascii="宋体" w:hAnsi="宋体" w:eastAsia="宋体" w:cs="宋体"/>
          <w:color w:val="000000" w:themeColor="text1"/>
          <w:sz w:val="18"/>
          <w:szCs w:val="18"/>
          <w:highlight w:val="none"/>
          <w14:textFill>
            <w14:solidFill>
              <w14:schemeClr w14:val="tx1"/>
            </w14:solidFill>
          </w14:textFill>
        </w:rPr>
      </w:pPr>
    </w:p>
    <w:p w14:paraId="07941636">
      <w:pPr>
        <w:spacing w:line="360" w:lineRule="auto"/>
        <w:rPr>
          <w:rFonts w:hint="eastAsia" w:ascii="宋体" w:hAnsi="宋体" w:eastAsia="宋体" w:cs="宋体"/>
          <w:color w:val="000000" w:themeColor="text1"/>
          <w:sz w:val="18"/>
          <w:szCs w:val="18"/>
          <w:highlight w:val="none"/>
          <w14:textFill>
            <w14:solidFill>
              <w14:schemeClr w14:val="tx1"/>
            </w14:solidFill>
          </w14:textFill>
        </w:rPr>
      </w:pPr>
    </w:p>
    <w:p w14:paraId="1808B53D">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6192293E">
      <w:pPr>
        <w:widowControl/>
        <w:tabs>
          <w:tab w:val="left" w:pos="1200"/>
        </w:tabs>
        <w:adjustRightInd/>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二、资格文件</w:t>
      </w:r>
    </w:p>
    <w:p w14:paraId="52F9166D">
      <w:pPr>
        <w:pStyle w:val="23"/>
        <w:widowControl/>
        <w:tabs>
          <w:tab w:val="left" w:pos="1200"/>
          <w:tab w:val="left" w:pos="1560"/>
        </w:tabs>
        <w:adjustRightInd/>
        <w:ind w:left="1560" w:firstLine="0" w:firstLineChars="0"/>
        <w:jc w:val="left"/>
        <w:rPr>
          <w:rFonts w:hint="eastAsia" w:ascii="宋体" w:hAnsi="宋体" w:eastAsia="宋体" w:cs="宋体"/>
          <w:b/>
          <w:color w:val="000000" w:themeColor="text1"/>
          <w:sz w:val="30"/>
          <w:szCs w:val="30"/>
          <w:highlight w:val="none"/>
          <w14:textFill>
            <w14:solidFill>
              <w14:schemeClr w14:val="tx1"/>
            </w14:solidFill>
          </w14:textFill>
        </w:rPr>
      </w:pPr>
    </w:p>
    <w:p w14:paraId="718292D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A、符合参加政府采购活动应当具备的一般条件的承诺函</w:t>
      </w:r>
    </w:p>
    <w:p w14:paraId="79F1F45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371BBA0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政府采购活动，郑重承诺：</w:t>
      </w:r>
    </w:p>
    <w:p w14:paraId="33D18915">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6BBCA7E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0F04C0D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5A265F6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637C4FE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0B21680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0C63FE1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109C707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8663AA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195EB10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60DEB66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B952A25">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供应商名称(电子签名)：</w:t>
      </w:r>
    </w:p>
    <w:p w14:paraId="2D3BCD9E">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489C5E4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4CB737D">
      <w:pPr>
        <w:widowControl/>
        <w:adjustRightInd/>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14:paraId="4B95DFA3">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B、联合协议（如果有）</w:t>
      </w:r>
    </w:p>
    <w:p w14:paraId="60F2D0AC">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（以联合体形式响应的，提供联合协议；本项目不接受联合体响应或者供应商不以联合体形式响应的，则不需要提供）</w:t>
      </w:r>
    </w:p>
    <w:p w14:paraId="3576E38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】响应。 </w:t>
      </w:r>
    </w:p>
    <w:p w14:paraId="6A4263A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，代表所有联合体成员负责响应和合同实施阶段的主办、协调工作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351B56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7FAC71F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三、本次联合响应中，分工如下：</w:t>
      </w:r>
    </w:p>
    <w:p w14:paraId="7595E40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A57D03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F2E15C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515C45F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四、联合体成员中小企业合同份额（如果有）。</w:t>
      </w:r>
    </w:p>
    <w:p w14:paraId="027E7998">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w:t>
      </w:r>
      <w:bookmarkStart w:id="396" w:name="_Hlk101131882"/>
      <w:r>
        <w:rPr>
          <w:rFonts w:hint="eastAsia" w:ascii="宋体" w:hAnsi="宋体" w:eastAsia="宋体" w:cs="宋体"/>
          <w:color w:val="000000" w:themeColor="text1"/>
          <w:kern w:val="0"/>
          <w:sz w:val="24"/>
          <w:highlight w:val="none"/>
          <w:u w:val="single"/>
          <w14:textFill>
            <w14:solidFill>
              <w14:schemeClr w14:val="tx1"/>
            </w14:solidFill>
          </w14:textFill>
        </w:rPr>
        <w:t>联合体成员X,……</w:t>
      </w:r>
      <w:bookmarkEnd w:id="396"/>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w:t>
      </w:r>
      <w:bookmarkStart w:id="397" w:name="_Hlk101133598"/>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bookmarkEnd w:id="397"/>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190CE428">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398"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398"/>
    </w:p>
    <w:p w14:paraId="669B2EE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五、如果成交，</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8E0301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六、有关本次联合响应的其他事宜：</w:t>
      </w:r>
    </w:p>
    <w:p w14:paraId="61DA2DD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72FFC05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B110D4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6D0B1939">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317AE26">
      <w:pPr>
        <w:snapToGrid w:val="0"/>
        <w:spacing w:line="360" w:lineRule="auto"/>
        <w:ind w:firstLine="5040" w:firstLineChars="2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2A9516B">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4E91C8B9">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005751D9">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59E96104">
      <w:pPr>
        <w:snapToGrid w:val="0"/>
        <w:spacing w:line="360" w:lineRule="auto"/>
        <w:ind w:right="480"/>
        <w:jc w:val="center"/>
        <w:rPr>
          <w:rFonts w:hint="eastAsia" w:ascii="宋体" w:hAnsi="宋体" w:eastAsia="宋体" w:cs="宋体"/>
          <w:b/>
          <w:color w:val="000000" w:themeColor="text1"/>
          <w:sz w:val="32"/>
          <w:szCs w:val="32"/>
          <w:highlight w:val="none"/>
          <w14:textFill>
            <w14:solidFill>
              <w14:schemeClr w14:val="tx1"/>
            </w14:solidFill>
          </w14:textFill>
        </w:rPr>
      </w:pPr>
    </w:p>
    <w:p w14:paraId="099CC419">
      <w:pPr>
        <w:widowControl/>
        <w:adjustRightInd/>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14:paraId="727237D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C、</w:t>
      </w:r>
      <w:r>
        <w:rPr>
          <w:rFonts w:hint="eastAsia" w:ascii="宋体" w:hAnsi="宋体" w:eastAsia="宋体" w:cs="宋体"/>
          <w:b/>
          <w:color w:val="000000" w:themeColor="text1"/>
          <w:kern w:val="0"/>
          <w:sz w:val="32"/>
          <w:szCs w:val="32"/>
          <w:highlight w:val="none"/>
          <w14:textFill>
            <w14:solidFill>
              <w14:schemeClr w14:val="tx1"/>
            </w14:solidFill>
          </w14:textFill>
        </w:rPr>
        <w:t>落实政府采购政策需满足的资格要求</w:t>
      </w:r>
    </w:p>
    <w:p w14:paraId="5D6B12E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w:t>
      </w:r>
      <w:r>
        <w:rPr>
          <w:rFonts w:hint="eastAsia" w:ascii="宋体" w:hAnsi="宋体" w:eastAsia="宋体" w:cs="宋体"/>
          <w:b/>
          <w:bCs/>
          <w:color w:val="000000" w:themeColor="text1"/>
          <w:sz w:val="24"/>
          <w:highlight w:val="none"/>
          <w14:textFill>
            <w14:solidFill>
              <w14:schemeClr w14:val="tx1"/>
            </w14:solidFill>
          </w14:textFill>
        </w:rPr>
        <w:t>磋商文件第一部分竞争性磋商邀请公告中</w:t>
      </w:r>
      <w:r>
        <w:rPr>
          <w:rFonts w:hint="eastAsia" w:ascii="宋体" w:hAnsi="宋体" w:eastAsia="宋体" w:cs="宋体"/>
          <w:color w:val="000000" w:themeColor="text1"/>
          <w:sz w:val="24"/>
          <w:highlight w:val="none"/>
          <w14:textFill>
            <w14:solidFill>
              <w14:schemeClr w14:val="tx1"/>
            </w14:solidFill>
          </w14:textFill>
        </w:rPr>
        <w:t>落实政府采购政策需满足的资格要求选择提供相应的材料；未要求的，无需提供）</w:t>
      </w:r>
    </w:p>
    <w:p w14:paraId="6C80FE16">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.专门面向中小企业，服务全部由符合政策要求的中小企业（或小微企业）承接的，提供相应的中小企业声明函（附件5）。 </w:t>
      </w:r>
    </w:p>
    <w:p w14:paraId="2EA20F5D">
      <w:pPr>
        <w:adjustRightInd/>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中小企业声明函（服务）</w:t>
      </w:r>
    </w:p>
    <w:p w14:paraId="5160BDDB">
      <w:pPr>
        <w:spacing w:line="360" w:lineRule="auto"/>
        <w:ind w:firstLine="360" w:firstLineChars="1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2ABC710">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b/>
          <w:bCs/>
          <w:color w:val="000000" w:themeColor="text1"/>
          <w:sz w:val="24"/>
          <w:highlight w:val="none"/>
          <w:u w:val="singl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b/>
          <w:bCs/>
          <w:color w:val="000000" w:themeColor="text1"/>
          <w:kern w:val="0"/>
          <w:sz w:val="24"/>
          <w:highlight w:val="none"/>
          <w:u w:val="single"/>
          <w:lang w:eastAsia="zh-CN"/>
          <w14:textFill>
            <w14:solidFill>
              <w14:schemeClr w14:val="tx1"/>
            </w14:solidFill>
          </w14:textFill>
        </w:rPr>
        <w:t>租赁和商务服务业</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人，营业收入为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20D3E568">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b/>
          <w:bCs/>
          <w:color w:val="000000" w:themeColor="text1"/>
          <w:sz w:val="24"/>
          <w:highlight w:val="none"/>
          <w:u w:val="singl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b/>
          <w:bCs/>
          <w:color w:val="000000" w:themeColor="text1"/>
          <w:kern w:val="0"/>
          <w:sz w:val="24"/>
          <w:highlight w:val="none"/>
          <w:u w:val="single"/>
          <w:lang w:eastAsia="zh-CN"/>
          <w14:textFill>
            <w14:solidFill>
              <w14:schemeClr w14:val="tx1"/>
            </w14:solidFill>
          </w14:textFill>
        </w:rPr>
        <w:t>租赁和商务服务业</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62FDE74E">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5915E588">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4AEF147">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2AF75A9F">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供应商名称（电子签名）：</w:t>
      </w:r>
    </w:p>
    <w:p w14:paraId="46A2B48A">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15E2F2FB">
      <w:pPr>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6CB2CE93">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p>
    <w:p w14:paraId="172A3781">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DBB1960">
      <w:pPr>
        <w:spacing w:line="360" w:lineRule="auto"/>
        <w:ind w:right="420"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5F1850">
      <w:pPr>
        <w:spacing w:line="360" w:lineRule="auto"/>
        <w:ind w:right="420" w:firstLine="720" w:firstLineChars="300"/>
        <w:rPr>
          <w:rFonts w:hint="eastAsia" w:ascii="宋体" w:hAnsi="宋体" w:eastAsia="宋体" w:cs="宋体"/>
          <w:color w:val="000000" w:themeColor="text1"/>
          <w:sz w:val="24"/>
          <w:highlight w:val="none"/>
          <w14:textFill>
            <w14:solidFill>
              <w14:schemeClr w14:val="tx1"/>
            </w14:solidFill>
          </w14:textFill>
        </w:rPr>
      </w:pPr>
    </w:p>
    <w:p w14:paraId="6C1FE6B5">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37AC346F">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552DAA27">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D、符合特定资格条件要求的资质文件（复印件）</w:t>
      </w:r>
    </w:p>
    <w:p w14:paraId="0767A29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（由供应商根据“磋商文件第一部分”中“合格的供应商应具备的特定资格要求”编制；如果本项目没有设置特定资格条件，则不需要提供）</w:t>
      </w:r>
    </w:p>
    <w:p w14:paraId="29CCB2C1">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14:paraId="6E0E5894">
      <w:pPr>
        <w:snapToGrid w:val="0"/>
        <w:spacing w:line="360" w:lineRule="auto"/>
        <w:ind w:firstLine="5880" w:firstLineChars="245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供应商名称(电子签名)：</w:t>
      </w:r>
    </w:p>
    <w:p w14:paraId="43A0712A">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5855F0AC">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p>
    <w:p w14:paraId="51C2D24E">
      <w:pPr>
        <w:snapToGrid w:val="0"/>
        <w:spacing w:line="360" w:lineRule="auto"/>
        <w:ind w:right="480"/>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sectPr>
          <w:footerReference r:id="rId8" w:type="default"/>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CE81CFD">
      <w:pPr>
        <w:widowControl/>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三、法人授权书</w:t>
      </w:r>
    </w:p>
    <w:p w14:paraId="55A5DF2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6D16D20">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兹委派我公司</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先生/女士(其在本公司的职务是：</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，联系电话：</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传真：</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)，代表我公司全权处理</w:t>
      </w:r>
      <w:r>
        <w:rPr>
          <w:rFonts w:hint="eastAsia" w:ascii="宋体" w:hAnsi="宋体" w:cs="宋体"/>
          <w:color w:val="000000" w:themeColor="text1"/>
          <w:sz w:val="24"/>
          <w:highlight w:val="non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政府采购响应的一切事项，若成交则全权代表本公司签订相关合同，并负责处理合同履行等事宜。</w:t>
      </w:r>
    </w:p>
    <w:p w14:paraId="5011B829">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本委托书有效期：自    年 月  日起至    年  月  日止。</w:t>
      </w:r>
    </w:p>
    <w:p w14:paraId="00E0F05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特此告知。</w:t>
      </w:r>
    </w:p>
    <w:p w14:paraId="3EAFD263">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供应商名称(电子签名)：</w:t>
      </w:r>
    </w:p>
    <w:p w14:paraId="2643BCD5">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4B45F395">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p>
    <w:p w14:paraId="259C4E84">
      <w:pPr>
        <w:widowControl/>
        <w:adjustRightInd/>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联合体响应授权书（扫描件加盖上传单位电子签名）</w:t>
      </w:r>
    </w:p>
    <w:p w14:paraId="1106E316">
      <w:pPr>
        <w:snapToGrid w:val="0"/>
        <w:spacing w:line="360" w:lineRule="auto"/>
        <w:jc w:val="center"/>
        <w:rPr>
          <w:rFonts w:hint="eastAsia" w:ascii="宋体" w:hAnsi="宋体" w:eastAsia="宋体" w:cs="宋体"/>
          <w:b/>
          <w:color w:val="000000" w:themeColor="text1"/>
          <w:kern w:val="0"/>
          <w:sz w:val="30"/>
          <w:szCs w:val="30"/>
          <w:highlight w:val="none"/>
          <w:lang w:val="zh-CN"/>
          <w14:textFill>
            <w14:solidFill>
              <w14:schemeClr w14:val="tx1"/>
            </w14:solidFill>
          </w14:textFill>
        </w:rPr>
      </w:pPr>
      <w:r>
        <w:rPr>
          <w:rFonts w:hint="eastAsia" w:ascii="宋体" w:hAnsi="宋体" w:eastAsia="宋体" w:cs="宋体"/>
          <w:b/>
          <w:color w:val="000000" w:themeColor="text1"/>
          <w:kern w:val="0"/>
          <w:sz w:val="30"/>
          <w:szCs w:val="30"/>
          <w:highlight w:val="none"/>
          <w:lang w:val="zh-CN"/>
          <w14:textFill>
            <w14:solidFill>
              <w14:schemeClr w14:val="tx1"/>
            </w14:solidFill>
          </w14:textFill>
        </w:rPr>
        <w:t>（适用于联合体响应）</w:t>
      </w:r>
    </w:p>
    <w:p w14:paraId="2F21FB6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52AE488">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】政府采购响应的一切事项，其法律后果由我方承担。。</w:t>
      </w:r>
    </w:p>
    <w:p w14:paraId="13E3A1C8">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本授权书有效期：自   年 月  日起至  年  月  日止。</w:t>
      </w:r>
    </w:p>
    <w:p w14:paraId="5FB4D735">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特此告知。</w:t>
      </w:r>
    </w:p>
    <w:p w14:paraId="21D3AEE6">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6B9358F">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5800771C">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2734DA63">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31EDC0EC">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42724025">
      <w:pPr>
        <w:widowControl/>
        <w:adjustRightInd/>
        <w:jc w:val="left"/>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br w:type="page"/>
      </w:r>
    </w:p>
    <w:p w14:paraId="226CB404">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授权代表的身份证（复印件）</w:t>
      </w:r>
    </w:p>
    <w:p w14:paraId="3EA77731">
      <w:pPr>
        <w:pStyle w:val="29"/>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授权代表身份证件扫描件：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02C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43AC27B">
            <w:pPr>
              <w:pStyle w:val="29"/>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00F15516">
            <w:pPr>
              <w:pStyle w:val="29"/>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6785CB73">
      <w:pPr>
        <w:snapToGrid w:val="0"/>
        <w:spacing w:line="360" w:lineRule="auto"/>
        <w:ind w:firstLine="576"/>
        <w:jc w:val="right"/>
        <w:rPr>
          <w:rFonts w:hint="eastAsia" w:ascii="宋体" w:hAnsi="宋体" w:eastAsia="宋体" w:cs="宋体"/>
          <w:color w:val="000000" w:themeColor="text1"/>
          <w:kern w:val="0"/>
          <w:sz w:val="24"/>
          <w:highlight w:val="none"/>
          <w:lang w:val="zh-CN"/>
          <w14:textFill>
            <w14:solidFill>
              <w14:schemeClr w14:val="tx1"/>
            </w14:solidFill>
          </w14:textFill>
        </w:rPr>
      </w:pPr>
    </w:p>
    <w:p w14:paraId="43994FAC">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供应商名称(电子签名)：                              </w:t>
      </w:r>
    </w:p>
    <w:p w14:paraId="5558A356">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w:t>
      </w:r>
    </w:p>
    <w:p w14:paraId="136797F4">
      <w:pPr>
        <w:snapToGrid w:val="0"/>
        <w:spacing w:line="360" w:lineRule="auto"/>
        <w:ind w:firstLine="576"/>
        <w:jc w:val="center"/>
        <w:rPr>
          <w:rFonts w:hint="eastAsia" w:ascii="宋体" w:hAnsi="宋体" w:eastAsia="宋体" w:cs="宋体"/>
          <w:color w:val="000000" w:themeColor="text1"/>
          <w:sz w:val="28"/>
          <w:szCs w:val="28"/>
          <w:highlight w:val="none"/>
          <w14:textFill>
            <w14:solidFill>
              <w14:schemeClr w14:val="tx1"/>
            </w14:solidFill>
          </w14:textFill>
        </w:rPr>
      </w:pPr>
    </w:p>
    <w:p w14:paraId="0948F8E8">
      <w:pPr>
        <w:widowControl/>
        <w:adjustRightInd/>
        <w:jc w:val="left"/>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4508C46A">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四</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14:textFill>
            <w14:solidFill>
              <w14:schemeClr w14:val="tx1"/>
            </w14:solidFill>
          </w14:textFill>
        </w:rPr>
        <w:t>分包意向协议（如果有）</w:t>
      </w:r>
    </w:p>
    <w:p w14:paraId="6A0C1E52">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674873B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（供应商名称）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的成交供应商，将依法采取分包方式履行合同。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（供应商名称）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3AADD5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3F001D8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（供应商名称）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（分包供应商2名称），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3B8EA73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14:paraId="538EF397">
      <w:pPr>
        <w:ind w:firstLine="30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28000E87">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二、分包供应商中小企业合同份额（如果有）</w:t>
      </w:r>
    </w:p>
    <w:p w14:paraId="53A7561A">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64642679">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要求合同分包形式参加的项目或采购包，供应商按磋商文件第一部分竞争性磋商邀请公告申请人的资格要求中规定的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7021746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42250FC2">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3B0F6F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40E7B3F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3B987AB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5F4300F2">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303482C">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707F870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33EDDE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0729D05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287B887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八、其他</w:t>
      </w:r>
    </w:p>
    <w:p w14:paraId="245BF9A0">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                                           供应商名称(电子签名)：</w:t>
      </w:r>
    </w:p>
    <w:p w14:paraId="0A3375E5">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45E062DC">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37674048">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490E7CC4">
      <w:pPr>
        <w:widowControl/>
        <w:adjustRightInd/>
        <w:jc w:val="left"/>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780DD90B">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五</w:t>
      </w:r>
      <w:r>
        <w:rPr>
          <w:rFonts w:hint="eastAsia" w:ascii="宋体" w:hAnsi="宋体" w:eastAsia="宋体" w:cs="宋体"/>
          <w:b/>
          <w:color w:val="000000" w:themeColor="text1"/>
          <w:sz w:val="32"/>
          <w:szCs w:val="32"/>
          <w:highlight w:val="none"/>
          <w14:textFill>
            <w14:solidFill>
              <w14:schemeClr w14:val="tx1"/>
            </w14:solidFill>
          </w14:textFill>
        </w:rPr>
        <w:t>、所有资信文件（复印件）</w:t>
      </w:r>
    </w:p>
    <w:p w14:paraId="3D5A2BF1">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（由供应商根据采购需求及磋商文件要求编制）</w:t>
      </w:r>
    </w:p>
    <w:p w14:paraId="71EEFFC7">
      <w:pPr>
        <w:spacing w:line="360" w:lineRule="auto"/>
        <w:jc w:val="center"/>
        <w:rPr>
          <w:rFonts w:hint="eastAsia" w:ascii="宋体" w:hAnsi="宋体" w:eastAsia="宋体" w:cs="宋体"/>
          <w:b/>
          <w:color w:val="000000" w:themeColor="text1"/>
          <w:sz w:val="30"/>
          <w:szCs w:val="30"/>
          <w:highlight w:val="none"/>
          <w14:textFill>
            <w14:solidFill>
              <w14:schemeClr w14:val="tx1"/>
            </w14:solidFill>
          </w14:textFill>
        </w:rPr>
      </w:pPr>
    </w:p>
    <w:p w14:paraId="681839DA">
      <w:pPr>
        <w:snapToGrid w:val="0"/>
        <w:spacing w:line="360" w:lineRule="auto"/>
        <w:ind w:firstLine="5160" w:firstLineChars="215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供应商名称(电子签名)：</w:t>
      </w:r>
    </w:p>
    <w:p w14:paraId="3F019B10">
      <w:pPr>
        <w:snapToGrid w:val="0"/>
        <w:spacing w:line="360" w:lineRule="auto"/>
        <w:ind w:firstLine="5160" w:firstLineChars="215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375DB27C">
      <w:pPr>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9F891C2">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w:t>
      </w: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主要业绩证明</w:t>
      </w:r>
    </w:p>
    <w:p w14:paraId="7B703822">
      <w:pPr>
        <w:autoSpaceDE w:val="0"/>
        <w:autoSpaceDN w:val="0"/>
        <w:spacing w:line="360" w:lineRule="auto"/>
        <w:ind w:firstLine="12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 :相关项目建设业绩一览表</w:t>
      </w:r>
    </w:p>
    <w:tbl>
      <w:tblPr>
        <w:tblStyle w:val="1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EE85C8C">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75DAB1C">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86DD465">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p w14:paraId="25BBFF5C">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FA09414">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D24A66A">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p w14:paraId="221E1EDD">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投资</w:t>
            </w:r>
          </w:p>
          <w:p w14:paraId="7C126B02">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26C18C5">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3E864ED">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8425D88">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所在页码</w:t>
            </w:r>
          </w:p>
        </w:tc>
      </w:tr>
      <w:tr w14:paraId="030E9A86">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03465E50">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1571D142">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146A9E41">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4FCD4125">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1A3BB405">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5176D187">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7EF67E00">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CE3823C">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9DAE468">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16288E55">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5366F32D">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78874EF6">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65B28FA7">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7103DDC6">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70B5EC1">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E11AFF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E6D2D11">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403A0FFD">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F8CB60A">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5E240181">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74455A3B">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7364B0CA">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667F5A42">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5FF59C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24107AB">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718F646F">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7DC888BC">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2029E21C">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376D586E">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1D94061E">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6BC7C9FD">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3CE58AB">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6250B61">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02643A46">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09823C6C">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4BCE6E78">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6139DA75">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3D5B8C2E">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6D85BD20">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2EFBE65B">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注：供应商可按上述的格式自行编制，须随表提交相应的合同复印件和用户单位验收证明并注明所在文件页码。</w:t>
      </w:r>
    </w:p>
    <w:p w14:paraId="20267B7B">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38FF24D4">
      <w:pPr>
        <w:autoSpaceDE w:val="0"/>
        <w:autoSpaceDN w:val="0"/>
        <w:spacing w:line="360" w:lineRule="auto"/>
        <w:ind w:firstLine="5280" w:firstLineChars="2200"/>
        <w:rPr>
          <w:rFonts w:hint="eastAsia" w:ascii="宋体" w:hAnsi="宋体" w:eastAsia="宋体" w:cs="宋体"/>
          <w:color w:val="000000" w:themeColor="text1"/>
          <w:kern w:val="0"/>
          <w:sz w:val="24"/>
          <w:highlight w:val="none"/>
          <w14:textFill>
            <w14:solidFill>
              <w14:schemeClr w14:val="tx1"/>
            </w14:solidFill>
          </w14:textFill>
        </w:rPr>
      </w:pPr>
    </w:p>
    <w:p w14:paraId="12A45525">
      <w:pPr>
        <w:autoSpaceDE w:val="0"/>
        <w:autoSpaceDN w:val="0"/>
        <w:spacing w:line="360" w:lineRule="auto"/>
        <w:ind w:firstLine="5280" w:firstLineChars="2200"/>
        <w:rPr>
          <w:rFonts w:hint="eastAsia" w:ascii="宋体" w:hAnsi="宋体" w:eastAsia="宋体" w:cs="宋体"/>
          <w:color w:val="000000" w:themeColor="text1"/>
          <w:kern w:val="0"/>
          <w:sz w:val="24"/>
          <w:highlight w:val="none"/>
          <w14:textFill>
            <w14:solidFill>
              <w14:schemeClr w14:val="tx1"/>
            </w14:solidFill>
          </w14:textFill>
        </w:rPr>
      </w:pPr>
    </w:p>
    <w:p w14:paraId="4CB11498">
      <w:pPr>
        <w:autoSpaceDE w:val="0"/>
        <w:autoSpaceDN w:val="0"/>
        <w:spacing w:line="360" w:lineRule="auto"/>
        <w:ind w:firstLine="4560" w:firstLineChars="19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val="zh-CN"/>
          <w14:textFill>
            <w14:solidFill>
              <w14:schemeClr w14:val="tx1"/>
            </w14:solidFill>
          </w14:textFill>
        </w:rPr>
        <w:t>电子签名</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5D04F8E1">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日期：  年  月   日</w:t>
      </w:r>
    </w:p>
    <w:p w14:paraId="20CD8395">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08506677">
      <w:pPr>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七、关于</w:t>
      </w:r>
      <w:r>
        <w:rPr>
          <w:rFonts w:hint="eastAsia" w:ascii="宋体" w:hAnsi="宋体" w:eastAsia="宋体" w:cs="宋体"/>
          <w:b/>
          <w:color w:val="000000" w:themeColor="text1"/>
          <w:kern w:val="0"/>
          <w:sz w:val="32"/>
          <w:szCs w:val="32"/>
          <w:highlight w:val="none"/>
          <w:lang w:val="zh-CN"/>
          <w14:textFill>
            <w14:solidFill>
              <w14:schemeClr w14:val="tx1"/>
            </w14:solidFill>
          </w14:textFill>
        </w:rPr>
        <w:t>对磋商文件中有关条款的拒绝声明</w:t>
      </w:r>
    </w:p>
    <w:p w14:paraId="6A68653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（由供应商根据采购需求自行编制）</w:t>
      </w:r>
    </w:p>
    <w:p w14:paraId="0FEE956D">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7D632E15">
      <w:pPr>
        <w:autoSpaceDE w:val="0"/>
        <w:autoSpaceDN w:val="0"/>
        <w:spacing w:line="360" w:lineRule="auto"/>
        <w:ind w:firstLine="4560" w:firstLineChars="19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val="zh-CN"/>
          <w14:textFill>
            <w14:solidFill>
              <w14:schemeClr w14:val="tx1"/>
            </w14:solidFill>
          </w14:textFill>
        </w:rPr>
        <w:t>电子签名</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3B73FD04">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日期：  年  月   日</w:t>
      </w:r>
    </w:p>
    <w:p w14:paraId="12150038">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0DAE26BA">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2A30998B">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0DF48C6A">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120F0863">
      <w:pPr>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八、认为需要的</w:t>
      </w:r>
      <w:r>
        <w:rPr>
          <w:rFonts w:hint="eastAsia" w:ascii="宋体" w:hAnsi="宋体" w:eastAsia="宋体" w:cs="宋体"/>
          <w:b/>
          <w:color w:val="000000" w:themeColor="text1"/>
          <w:kern w:val="0"/>
          <w:sz w:val="32"/>
          <w:szCs w:val="32"/>
          <w:highlight w:val="none"/>
          <w:lang w:val="zh-CN"/>
          <w14:textFill>
            <w14:solidFill>
              <w14:schemeClr w14:val="tx1"/>
            </w14:solidFill>
          </w14:textFill>
        </w:rPr>
        <w:t>其他商务文件或说明</w:t>
      </w:r>
    </w:p>
    <w:p w14:paraId="58FE87E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（由供应商根据采购需求自行编制）</w:t>
      </w:r>
    </w:p>
    <w:p w14:paraId="4636A71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37F63220">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1C1F4F97">
      <w:pPr>
        <w:autoSpaceDE w:val="0"/>
        <w:autoSpaceDN w:val="0"/>
        <w:spacing w:line="360" w:lineRule="auto"/>
        <w:ind w:firstLine="4560" w:firstLineChars="19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val="zh-CN"/>
          <w14:textFill>
            <w14:solidFill>
              <w14:schemeClr w14:val="tx1"/>
            </w14:solidFill>
          </w14:textFill>
        </w:rPr>
        <w:t>电子签名</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737F5B5F">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日期：  年  月   日</w:t>
      </w:r>
    </w:p>
    <w:p w14:paraId="69173D14">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5CD00F12">
      <w:pPr>
        <w:spacing w:line="360" w:lineRule="auto"/>
        <w:rPr>
          <w:rFonts w:hint="eastAsia" w:ascii="宋体" w:hAnsi="宋体" w:eastAsia="宋体" w:cs="宋体"/>
          <w:b/>
          <w:bCs/>
          <w:color w:val="000000" w:themeColor="text1"/>
          <w:kern w:val="0"/>
          <w:sz w:val="24"/>
          <w:highlight w:val="none"/>
          <w14:textFill>
            <w14:solidFill>
              <w14:schemeClr w14:val="tx1"/>
            </w14:solidFill>
          </w14:textFill>
        </w:rPr>
      </w:pPr>
    </w:p>
    <w:p w14:paraId="7464AEC9">
      <w:pPr>
        <w:widowControl/>
        <w:adjustRightInd/>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AAD6DE4">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九、技术解决方案</w:t>
      </w:r>
    </w:p>
    <w:p w14:paraId="71FCA88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（由供应商根据采购需求及磋商文件要求编制）</w:t>
      </w:r>
    </w:p>
    <w:p w14:paraId="318CA79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374212A">
      <w:pPr>
        <w:autoSpaceDE w:val="0"/>
        <w:autoSpaceDN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14:paraId="292EE897">
      <w:pPr>
        <w:autoSpaceDE w:val="0"/>
        <w:autoSpaceDN w:val="0"/>
        <w:spacing w:line="360" w:lineRule="auto"/>
        <w:ind w:firstLine="4560" w:firstLineChars="19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val="zh-CN"/>
          <w14:textFill>
            <w14:solidFill>
              <w14:schemeClr w14:val="tx1"/>
            </w14:solidFill>
          </w14:textFill>
        </w:rPr>
        <w:t>电子签名</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139AE5F3">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日期：  年  月   日</w:t>
      </w:r>
    </w:p>
    <w:p w14:paraId="4E08FB09">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7A58B07A">
      <w:pPr>
        <w:tabs>
          <w:tab w:val="left" w:pos="2790"/>
          <w:tab w:val="left" w:pos="4230"/>
        </w:tabs>
        <w:autoSpaceDE w:val="0"/>
        <w:autoSpaceDN w:val="0"/>
        <w:spacing w:line="360" w:lineRule="auto"/>
        <w:ind w:right="1400"/>
        <w:jc w:val="center"/>
        <w:rPr>
          <w:rFonts w:hint="eastAsia"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十、组织实施方案</w:t>
      </w:r>
    </w:p>
    <w:p w14:paraId="502A67A3">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（由供应商根据采购需求及磋商文件要求编制）</w:t>
      </w:r>
    </w:p>
    <w:p w14:paraId="13086641">
      <w:pPr>
        <w:tabs>
          <w:tab w:val="left" w:pos="2790"/>
          <w:tab w:val="left" w:pos="4230"/>
        </w:tabs>
        <w:autoSpaceDE w:val="0"/>
        <w:autoSpaceDN w:val="0"/>
        <w:spacing w:line="360" w:lineRule="auto"/>
        <w:ind w:right="14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b/>
          <w:bCs/>
          <w:color w:val="000000" w:themeColor="text1"/>
          <w:kern w:val="0"/>
          <w:sz w:val="24"/>
          <w:highlight w:val="none"/>
          <w:lang w:val="zh-CN"/>
          <w14:textFill>
            <w14:solidFill>
              <w14:schemeClr w14:val="tx1"/>
            </w14:solidFill>
          </w14:textFill>
        </w:rPr>
        <w:t>附表:项目实施进度计划表</w:t>
      </w:r>
      <w:r>
        <w:rPr>
          <w:rFonts w:hint="eastAsia" w:ascii="宋体" w:hAnsi="宋体" w:eastAsia="宋体" w:cs="宋体"/>
          <w:b/>
          <w:color w:val="000000" w:themeColor="text1"/>
          <w:sz w:val="24"/>
          <w:highlight w:val="none"/>
          <w14:textFill>
            <w14:solidFill>
              <w14:schemeClr w14:val="tx1"/>
            </w14:solidFill>
          </w14:textFill>
        </w:rPr>
        <w:t xml:space="preserve">(以生效日算起) </w:t>
      </w:r>
    </w:p>
    <w:tbl>
      <w:tblPr>
        <w:tblStyle w:val="15"/>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BB9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2AA48C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mc:AlternateContent>
                <mc:Choice Requires="wpg">
                  <w:drawing>
                    <wp:anchor distT="0" distB="0" distL="114300" distR="114300" simplePos="0" relativeHeight="251682816" behindDoc="0" locked="0" layoutInCell="1" allowOverlap="1">
                      <wp:simplePos x="0" y="0"/>
                      <wp:positionH relativeFrom="column">
                        <wp:posOffset>-65405</wp:posOffset>
                      </wp:positionH>
                      <wp:positionV relativeFrom="paragraph">
                        <wp:posOffset>0</wp:posOffset>
                      </wp:positionV>
                      <wp:extent cx="748030" cy="1181100"/>
                      <wp:effectExtent l="3810" t="2540" r="10160" b="6985"/>
                      <wp:wrapNone/>
                      <wp:docPr id="6"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7" name="__TH_L2"/>
                              <wps:cNvCnPr/>
                              <wps:spPr bwMode="auto">
                                <a:xfrm>
                                  <a:off x="0" y="0"/>
                                  <a:ext cx="1178" cy="1860"/>
                                </a:xfrm>
                                <a:prstGeom prst="line">
                                  <a:avLst/>
                                </a:prstGeom>
                                <a:noFill/>
                                <a:ln w="6350">
                                  <a:solidFill>
                                    <a:srgbClr val="000000"/>
                                  </a:solidFill>
                                  <a:round/>
                                </a:ln>
                                <a:effectLst/>
                              </wps:spPr>
                              <wps:bodyPr/>
                            </wps:wsp>
                            <wps:wsp>
                              <wps:cNvPr id="8" name="__TH_B113"/>
                              <wps:cNvSpPr txBox="1">
                                <a:spLocks noChangeArrowheads="1"/>
                              </wps:cNvSpPr>
                              <wps:spPr bwMode="auto">
                                <a:xfrm>
                                  <a:off x="455" y="122"/>
                                  <a:ext cx="253" cy="263"/>
                                </a:xfrm>
                                <a:prstGeom prst="rect">
                                  <a:avLst/>
                                </a:prstGeom>
                                <a:noFill/>
                                <a:ln>
                                  <a:noFill/>
                                </a:ln>
                                <a:effectLst/>
                              </wps:spPr>
                              <wps:txbx>
                                <w:txbxContent>
                                  <w:p w14:paraId="0F91D7E3">
                                    <w:pPr>
                                      <w:snapToGrid w:val="0"/>
                                    </w:pPr>
                                    <w:r>
                                      <w:rPr>
                                        <w:rFonts w:hint="eastAsia"/>
                                      </w:rPr>
                                      <w:t>工</w:t>
                                    </w:r>
                                  </w:p>
                                </w:txbxContent>
                              </wps:txbx>
                              <wps:bodyPr rot="0" vert="horz" wrap="square" lIns="0" tIns="0" rIns="0" bIns="0" anchor="t" anchorCtr="0" upright="1">
                                <a:noAutofit/>
                              </wps:bodyPr>
                            </wps:wsp>
                            <wps:wsp>
                              <wps:cNvPr id="18" name="__TH_B124"/>
                              <wps:cNvSpPr txBox="1">
                                <a:spLocks noChangeArrowheads="1"/>
                              </wps:cNvSpPr>
                              <wps:spPr bwMode="auto">
                                <a:xfrm>
                                  <a:off x="643" y="419"/>
                                  <a:ext cx="253" cy="263"/>
                                </a:xfrm>
                                <a:prstGeom prst="rect">
                                  <a:avLst/>
                                </a:prstGeom>
                                <a:noFill/>
                                <a:ln>
                                  <a:noFill/>
                                </a:ln>
                                <a:effectLst/>
                              </wps:spPr>
                              <wps:txbx>
                                <w:txbxContent>
                                  <w:p w14:paraId="68729DCB">
                                    <w:pPr>
                                      <w:snapToGrid w:val="0"/>
                                    </w:pPr>
                                    <w:r>
                                      <w:rPr>
                                        <w:rFonts w:hint="eastAsia"/>
                                      </w:rPr>
                                      <w:t>作</w:t>
                                    </w:r>
                                  </w:p>
                                </w:txbxContent>
                              </wps:txbx>
                              <wps:bodyPr rot="0" vert="horz" wrap="square" lIns="0" tIns="0" rIns="0" bIns="0" anchor="t" anchorCtr="0" upright="1">
                                <a:noAutofit/>
                              </wps:bodyPr>
                            </wps:wsp>
                            <wps:wsp>
                              <wps:cNvPr id="20" name="__TH_B135"/>
                              <wps:cNvSpPr txBox="1">
                                <a:spLocks noChangeArrowheads="1"/>
                              </wps:cNvSpPr>
                              <wps:spPr bwMode="auto">
                                <a:xfrm>
                                  <a:off x="831" y="717"/>
                                  <a:ext cx="253" cy="262"/>
                                </a:xfrm>
                                <a:prstGeom prst="rect">
                                  <a:avLst/>
                                </a:prstGeom>
                                <a:noFill/>
                                <a:ln>
                                  <a:noFill/>
                                </a:ln>
                                <a:effectLst/>
                              </wps:spPr>
                              <wps:txbx>
                                <w:txbxContent>
                                  <w:p w14:paraId="13EB8BBE">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281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D1y1ye&#10;2AAAAAgBAAAPAAAAAAAAAAEAIAAAACIAAABkcnMvZG93bnJldi54bWxQSwECFAAUAAAACACHTuJA&#10;+99cxAUDAABFCwAADgAAAAAAAAABACAAAAAnAQAAZHJzL2Uyb0RvYy54bWxQSwUGAAAAAAYABgBZ&#10;AQAAngYAAAAA&#10;">
                      <o:lock v:ext="edit" aspectratio="f"/>
                      <v:line id="__TH_L2" o:spid="_x0000_s1026" o:spt="20" style="position:absolute;left:0;top:0;height:1860;width:1178;" filled="f" stroked="t" coordsize="21600,21600" o:gfxdata="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I1kr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F91D7E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8729DC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13EB8BBE">
                              <w:pPr>
                                <w:snapToGrid w:val="0"/>
                              </w:pPr>
                              <w:r>
                                <w:rPr>
                                  <w:rFonts w:hint="eastAsia"/>
                                </w:rPr>
                                <w:t>日</w:t>
                              </w:r>
                            </w:p>
                          </w:txbxContent>
                        </v:textbox>
                      </v:shape>
                    </v:group>
                  </w:pict>
                </mc:Fallback>
              </mc:AlternateContent>
            </w:r>
          </w:p>
          <w:p w14:paraId="2E202777">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659006F0">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4C76ABD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内容</w:t>
            </w:r>
          </w:p>
        </w:tc>
        <w:tc>
          <w:tcPr>
            <w:tcW w:w="552" w:type="dxa"/>
            <w:vAlign w:val="center"/>
          </w:tcPr>
          <w:p w14:paraId="722B5ED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552" w:type="dxa"/>
            <w:vAlign w:val="center"/>
          </w:tcPr>
          <w:p w14:paraId="0D92E21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552" w:type="dxa"/>
            <w:vAlign w:val="center"/>
          </w:tcPr>
          <w:p w14:paraId="2AE989B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552" w:type="dxa"/>
            <w:vAlign w:val="center"/>
          </w:tcPr>
          <w:p w14:paraId="39F6FE4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552" w:type="dxa"/>
            <w:vAlign w:val="center"/>
          </w:tcPr>
          <w:p w14:paraId="7C471D6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552" w:type="dxa"/>
            <w:vAlign w:val="center"/>
          </w:tcPr>
          <w:p w14:paraId="5D9C0AD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553" w:type="dxa"/>
            <w:vAlign w:val="center"/>
          </w:tcPr>
          <w:p w14:paraId="1F6101C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553" w:type="dxa"/>
            <w:vAlign w:val="center"/>
          </w:tcPr>
          <w:p w14:paraId="4523B72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553" w:type="dxa"/>
            <w:vAlign w:val="center"/>
          </w:tcPr>
          <w:p w14:paraId="1EEC605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553" w:type="dxa"/>
            <w:vAlign w:val="center"/>
          </w:tcPr>
          <w:p w14:paraId="3D3C6F9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553" w:type="dxa"/>
            <w:vAlign w:val="center"/>
          </w:tcPr>
          <w:p w14:paraId="4754D28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553" w:type="dxa"/>
            <w:vAlign w:val="center"/>
          </w:tcPr>
          <w:p w14:paraId="39D0D8F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553" w:type="dxa"/>
            <w:vAlign w:val="center"/>
          </w:tcPr>
          <w:p w14:paraId="7CCFCC4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553" w:type="dxa"/>
            <w:vAlign w:val="center"/>
          </w:tcPr>
          <w:p w14:paraId="2F4F67D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553" w:type="dxa"/>
            <w:vAlign w:val="center"/>
          </w:tcPr>
          <w:p w14:paraId="11D5778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p>
        </w:tc>
        <w:tc>
          <w:tcPr>
            <w:tcW w:w="553" w:type="dxa"/>
            <w:vAlign w:val="center"/>
          </w:tcPr>
          <w:p w14:paraId="4C7CAAE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14:paraId="31F7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5A9B6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4DC5DAF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008F791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2BF39E8D">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39CBEC7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71A3CFE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52EEA7F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A64424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131D11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1DFF04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E9939A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5B0066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ADD9D9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F060C2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BA12B5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4C270FD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5BAAAA8">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354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C3C5E4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64CD58B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0B752B0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0547020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4496840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3D5EC0D2">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640166E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3B2E11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CE55FC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D1E4F72">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30F3E3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8E5C9ED">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5234B7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9E6073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5685D5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50A200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D43171D">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0F6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25D679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0370342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6361F59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08271A0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7338938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528855E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3C467D1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624936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07C29B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A8AE02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48C06A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4567F5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DC8731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D54BC9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7BB607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2525B77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045D8A6">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4B2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103B03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1188F86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74561FD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2170E69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52E2784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136C6DB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0E3AD94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446D07E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48F2F85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1A1968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75D54E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73B00C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20EA087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24A6FD4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F184EC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27AAA3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CAC385D">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5C8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93977F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5E683B0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1FE55B9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5D94484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07E617C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2F31DDC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559897E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1BC212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2BF443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F573E1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F4AE76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407CE27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006624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068543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1025D22">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B932D1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AC825E7">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D2D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2E1D6B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686CBDD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547F241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3EDCBC82">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5815385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4CE508F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282ECEA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D53C3A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A6E8DB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2133191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7896CE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B7F238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1E8CADD">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FFBEBBD">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2AA4EDD">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69F695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910B4B1">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1E4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03A6A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7245DEA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6D95002D">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0F789BD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26B5A7F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0E38D6E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2FA1AA3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54B2BF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872A46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1B781D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58275A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CFA285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5D2240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B2DAA4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E71CFE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EEEEAA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3604E20">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7706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F818E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0B36BC5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7E39398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13D6542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6C1D1CD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6E12ED62">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4830F5C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23A99F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9DF6EC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441A178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0880FD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389B5A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5492B4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78BA82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BCA77DD">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4F49EAB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D1F06A5">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448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AC7827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14A005A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02CEBB8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7EA7789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1A7CD21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3A0CF5C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20583AF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7D4DD3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168F1E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DE8E47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F29281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A4BFE3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424B75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6FBD4B2">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BAC7A7D">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27A5C68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9D785A8">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48D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47695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7A94D2B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280BBA7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28BE8A3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06F6549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70CF4AC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5B6FE29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47AFE73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47B94B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3DA43E6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229E94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F7E9DD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2566EED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A20A06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45B7E2C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0A7548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122CA47">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27F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24905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3C4AED8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5EA2974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76B5F05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465BB8B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420AB52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2" w:type="dxa"/>
          </w:tcPr>
          <w:p w14:paraId="427B5B6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2DE793B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051C981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473CD56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DCE6F2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5C8FF3F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2E612DC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6C3CA3E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1D04BF5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2552775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53" w:type="dxa"/>
          </w:tcPr>
          <w:p w14:paraId="77A08FE5">
            <w:pP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28458FCB">
      <w:pPr>
        <w:autoSpaceDE w:val="0"/>
        <w:autoSpaceDN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注：供应商可按上述时间表的格式自行编制切合实际的具体时间表。</w:t>
      </w:r>
    </w:p>
    <w:p w14:paraId="2175401C">
      <w:pPr>
        <w:autoSpaceDE w:val="0"/>
        <w:autoSpaceDN w:val="0"/>
        <w:spacing w:line="360" w:lineRule="auto"/>
        <w:ind w:firstLine="4560" w:firstLineChars="1900"/>
        <w:rPr>
          <w:rFonts w:hint="eastAsia" w:ascii="宋体" w:hAnsi="宋体" w:eastAsia="宋体" w:cs="宋体"/>
          <w:color w:val="000000" w:themeColor="text1"/>
          <w:kern w:val="0"/>
          <w:sz w:val="24"/>
          <w:highlight w:val="none"/>
          <w14:textFill>
            <w14:solidFill>
              <w14:schemeClr w14:val="tx1"/>
            </w14:solidFill>
          </w14:textFill>
        </w:rPr>
      </w:pPr>
    </w:p>
    <w:p w14:paraId="42EB42CE">
      <w:pPr>
        <w:autoSpaceDE w:val="0"/>
        <w:autoSpaceDN w:val="0"/>
        <w:spacing w:line="360" w:lineRule="auto"/>
        <w:ind w:firstLine="4560" w:firstLineChars="19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val="zh-CN"/>
          <w14:textFill>
            <w14:solidFill>
              <w14:schemeClr w14:val="tx1"/>
            </w14:solidFill>
          </w14:textFill>
        </w:rPr>
        <w:t>电子签名</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7382C426">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日期：  年  月   日</w:t>
      </w:r>
    </w:p>
    <w:p w14:paraId="48C91B18">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十一、项目小组人员名单</w:t>
      </w:r>
    </w:p>
    <w:p w14:paraId="1D9CB10E">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（由供应商根据采购需求及磋商文件要求编制）</w:t>
      </w:r>
    </w:p>
    <w:p w14:paraId="4F8E980F">
      <w:pPr>
        <w:keepNext/>
        <w:autoSpaceDE w:val="0"/>
        <w:autoSpaceDN w:val="0"/>
        <w:spacing w:line="360" w:lineRule="auto"/>
        <w:ind w:firstLine="47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附表A:本项目的项目经理情况表</w:t>
      </w:r>
    </w:p>
    <w:tbl>
      <w:tblPr>
        <w:tblStyle w:val="15"/>
        <w:tblW w:w="9286" w:type="dxa"/>
        <w:tblInd w:w="0" w:type="dxa"/>
        <w:tblLayout w:type="fixed"/>
        <w:tblCellMar>
          <w:top w:w="0" w:type="dxa"/>
          <w:left w:w="108" w:type="dxa"/>
          <w:bottom w:w="0" w:type="dxa"/>
          <w:right w:w="108" w:type="dxa"/>
        </w:tblCellMar>
      </w:tblPr>
      <w:tblGrid>
        <w:gridCol w:w="2554"/>
        <w:gridCol w:w="1595"/>
        <w:gridCol w:w="5137"/>
      </w:tblGrid>
      <w:tr w14:paraId="0DA9B85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171084D">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1A3A32F">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6E44064A">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响应截止时间近3年业绩及承担的主要工作情况，曾担任项目经理的项目应列明细</w:t>
            </w:r>
          </w:p>
        </w:tc>
      </w:tr>
      <w:tr w14:paraId="156B7D7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0F9956F">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7AF19C2">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C8146FE">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765623D">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BAC3CAC">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0EDF68F">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F0AD753">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D1E281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B95678E">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F264412">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3C348DD">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89E505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89A265F">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D49F843">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1099AE1">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33FC833">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2F97BC2">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FF498EF">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87EADE6">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C40186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A09BD75">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A4EBF37">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E6D5A78">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8A6FC67">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08B745D">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17AA8DB">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A1704DF">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2DA89A0">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24E0B36">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1535A66">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3732711">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44571DE">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7887694">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53FD865">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CFC9EF">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0D941F7B">
      <w:pPr>
        <w:autoSpaceDE w:val="0"/>
        <w:autoSpaceDN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注：须随表提交相应的证书复印件并注明所在响应文件页码。</w:t>
      </w:r>
    </w:p>
    <w:p w14:paraId="313EB824">
      <w:pPr>
        <w:autoSpaceDE w:val="0"/>
        <w:autoSpaceDN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附表B:本项目的项目小组人员情况表</w:t>
      </w:r>
      <w:r>
        <w:rPr>
          <w:rFonts w:hint="eastAsia" w:ascii="宋体" w:hAnsi="宋体" w:eastAsia="宋体" w:cs="宋体"/>
          <w:color w:val="000000" w:themeColor="text1"/>
          <w:sz w:val="24"/>
          <w:highlight w:val="none"/>
          <w14:textFill>
            <w14:solidFill>
              <w14:schemeClr w14:val="tx1"/>
            </w14:solidFill>
          </w14:textFill>
        </w:rPr>
        <w:t>（按此格式自制）</w:t>
      </w:r>
    </w:p>
    <w:tbl>
      <w:tblPr>
        <w:tblStyle w:val="1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E0CB1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A2B471E">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84B413C">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A793EA6">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EE741C9">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9245CA9">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学历</w:t>
            </w:r>
          </w:p>
          <w:p w14:paraId="698F131A">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1B88492">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专业</w:t>
            </w:r>
          </w:p>
          <w:p w14:paraId="1D8D7C7E">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2EA01F6">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p w14:paraId="2EB849DC">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82F5876">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0D25002">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BBA5E7C">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参与本项目的到位情况</w:t>
            </w:r>
          </w:p>
        </w:tc>
      </w:tr>
      <w:tr w14:paraId="38DE2F7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4699E9A">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50474EE7">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028122E6">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442FFF16">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350818D8">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DAFE9E0">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EE5AEED">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E153D56">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2279042B">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10DF3FAB">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00DDB5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90F3C96">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49A95B5E">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1DDECD0">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4B4E131A">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214095CB">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AA7D63C">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591D4B2">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D928202">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1C901A1E">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2E657A68">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3738CD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611F7F49">
            <w:pPr>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7A2F587B">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3D87A2FF">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1E32D4A9">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0D1C71E1">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2A2CD1C">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E1514D2">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4931E1A">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7B9B1C92">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480C05F8">
            <w:pPr>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6078E15A">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注：供应商可按上述的格式自行编制，须随表提交相应的证书复印件并注明所在响应文件页码。</w:t>
      </w:r>
    </w:p>
    <w:p w14:paraId="088A879B">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CB347AE">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附表C:本项目的项目经理和小组人员交纳社保记录情况表</w:t>
      </w:r>
      <w:r>
        <w:rPr>
          <w:rFonts w:hint="eastAsia" w:ascii="宋体" w:hAnsi="宋体" w:eastAsia="宋体" w:cs="宋体"/>
          <w:color w:val="000000" w:themeColor="text1"/>
          <w:sz w:val="24"/>
          <w:highlight w:val="none"/>
          <w14:textFill>
            <w14:solidFill>
              <w14:schemeClr w14:val="tx1"/>
            </w14:solidFill>
          </w14:textFill>
        </w:rPr>
        <w:t>（以社保局缴纳凭证作附件）</w:t>
      </w:r>
    </w:p>
    <w:p w14:paraId="62F2FABD">
      <w:pPr>
        <w:autoSpaceDE w:val="0"/>
        <w:autoSpaceDN w:val="0"/>
        <w:spacing w:line="360" w:lineRule="auto"/>
        <w:ind w:firstLine="4560" w:firstLineChars="19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val="zh-CN"/>
          <w14:textFill>
            <w14:solidFill>
              <w14:schemeClr w14:val="tx1"/>
            </w14:solidFill>
          </w14:textFill>
        </w:rPr>
        <w:t>电子签名</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458A6B8D">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日期：  年  月   日</w:t>
      </w:r>
    </w:p>
    <w:p w14:paraId="58D5EF62">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2DF9B1FA">
      <w:pPr>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color w:val="000000" w:themeColor="text1"/>
          <w:kern w:val="0"/>
          <w:sz w:val="32"/>
          <w:szCs w:val="32"/>
          <w:highlight w:val="none"/>
          <w14:textFill>
            <w14:solidFill>
              <w14:schemeClr w14:val="tx1"/>
            </w14:solidFill>
          </w14:textFill>
        </w:rPr>
        <w:t>二</w:t>
      </w: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优惠条件及特殊承诺</w:t>
      </w:r>
    </w:p>
    <w:p w14:paraId="20924EC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（由供应商根据采购需求自行编制）</w:t>
      </w:r>
    </w:p>
    <w:p w14:paraId="374D3F8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51B3186">
      <w:pPr>
        <w:autoSpaceDE w:val="0"/>
        <w:autoSpaceDN w:val="0"/>
        <w:spacing w:line="360" w:lineRule="auto"/>
        <w:ind w:firstLine="4560" w:firstLineChars="19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val="zh-CN"/>
          <w14:textFill>
            <w14:solidFill>
              <w14:schemeClr w14:val="tx1"/>
            </w14:solidFill>
          </w14:textFill>
        </w:rPr>
        <w:t>电子签名</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2CB333B1">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日期：  年  月   日</w:t>
      </w:r>
    </w:p>
    <w:p w14:paraId="2010EDEC">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11107443">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783E6B41">
      <w:pPr>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十三、认为需求的</w:t>
      </w:r>
      <w:r>
        <w:rPr>
          <w:rFonts w:hint="eastAsia" w:ascii="宋体" w:hAnsi="宋体" w:eastAsia="宋体" w:cs="宋体"/>
          <w:b/>
          <w:color w:val="000000" w:themeColor="text1"/>
          <w:kern w:val="0"/>
          <w:sz w:val="32"/>
          <w:szCs w:val="32"/>
          <w:highlight w:val="none"/>
          <w:lang w:val="zh-CN"/>
          <w14:textFill>
            <w14:solidFill>
              <w14:schemeClr w14:val="tx1"/>
            </w14:solidFill>
          </w14:textFill>
        </w:rPr>
        <w:t>其他技术文件或说明</w:t>
      </w:r>
    </w:p>
    <w:p w14:paraId="1FE1FA4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（由供应商根据采购需求自行编制）</w:t>
      </w:r>
    </w:p>
    <w:p w14:paraId="0B90D3A3">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73A018F5">
      <w:pPr>
        <w:autoSpaceDE w:val="0"/>
        <w:autoSpaceDN w:val="0"/>
        <w:spacing w:line="360" w:lineRule="auto"/>
        <w:ind w:firstLine="4560" w:firstLineChars="19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val="zh-CN"/>
          <w14:textFill>
            <w14:solidFill>
              <w14:schemeClr w14:val="tx1"/>
            </w14:solidFill>
          </w14:textFill>
        </w:rPr>
        <w:t>电子签名</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195AB9CD">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日期：  年  月   日</w:t>
      </w:r>
    </w:p>
    <w:p w14:paraId="49DD6C4F">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B96FDC7">
      <w:pPr>
        <w:tabs>
          <w:tab w:val="left" w:pos="0"/>
        </w:tabs>
        <w:autoSpaceDE w:val="0"/>
        <w:autoSpaceDN w:val="0"/>
        <w:spacing w:line="360" w:lineRule="auto"/>
        <w:rPr>
          <w:rFonts w:hint="eastAsia" w:ascii="宋体" w:hAnsi="宋体" w:eastAsia="宋体" w:cs="宋体"/>
          <w:b/>
          <w:bCs/>
          <w:color w:val="000000" w:themeColor="text1"/>
          <w:sz w:val="30"/>
          <w:szCs w:val="30"/>
          <w:highlight w:val="none"/>
          <w14:textFill>
            <w14:solidFill>
              <w14:schemeClr w14:val="tx1"/>
            </w14:solidFill>
          </w14:textFill>
        </w:rPr>
      </w:pPr>
    </w:p>
    <w:p w14:paraId="5D4C202B">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十四</w:t>
      </w:r>
      <w:r>
        <w:rPr>
          <w:rFonts w:hint="eastAsia" w:ascii="宋体" w:hAnsi="宋体" w:eastAsia="宋体" w:cs="宋体"/>
          <w:b/>
          <w:color w:val="000000" w:themeColor="text1"/>
          <w:kern w:val="0"/>
          <w:sz w:val="32"/>
          <w:szCs w:val="32"/>
          <w:highlight w:val="none"/>
          <w14:textFill>
            <w14:solidFill>
              <w14:schemeClr w14:val="tx1"/>
            </w14:solidFill>
          </w14:textFill>
        </w:rPr>
        <w:t>、商务技术偏离表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4F5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86F37B">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167A30AF">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磋商文件章节及具体内容</w:t>
            </w:r>
          </w:p>
        </w:tc>
        <w:tc>
          <w:tcPr>
            <w:tcW w:w="3546" w:type="dxa"/>
          </w:tcPr>
          <w:p w14:paraId="5CA717E0">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响应文件章节及具体内容</w:t>
            </w:r>
          </w:p>
        </w:tc>
        <w:tc>
          <w:tcPr>
            <w:tcW w:w="1276" w:type="dxa"/>
          </w:tcPr>
          <w:p w14:paraId="2ECECA42">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241A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DF318C">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064AB54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7DA4D41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6410261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3AC0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EE25A9">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5316B11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117A3BD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643990F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3B75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95BB96">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59F3CD0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432A6F8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4A3E547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47124AAF">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投标人保证：除商务技术偏离表列出的偏离外，投标人响应磋商文件的全部要求</w:t>
      </w:r>
    </w:p>
    <w:p w14:paraId="7F33B39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7EDBEAD">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3878CDEF">
      <w:pPr>
        <w:widowControl/>
        <w:adjustRightInd/>
        <w:jc w:val="left"/>
        <w:rPr>
          <w:rFonts w:hint="eastAsia" w:ascii="宋体" w:hAnsi="宋体" w:eastAsia="宋体" w:cs="宋体"/>
          <w:b/>
          <w:bCs/>
          <w:color w:val="000000" w:themeColor="text1"/>
          <w:sz w:val="30"/>
          <w:szCs w:val="30"/>
          <w:highlight w:val="none"/>
          <w14:textFill>
            <w14:solidFill>
              <w14:schemeClr w14:val="tx1"/>
            </w14:solidFill>
          </w14:textFill>
        </w:rPr>
      </w:pPr>
    </w:p>
    <w:p w14:paraId="1C29857A">
      <w:pPr>
        <w:tabs>
          <w:tab w:val="left" w:pos="0"/>
        </w:tabs>
        <w:autoSpaceDE w:val="0"/>
        <w:autoSpaceDN w:val="0"/>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1E229A49">
      <w:pPr>
        <w:tabs>
          <w:tab w:val="left" w:pos="0"/>
        </w:tabs>
        <w:autoSpaceDE w:val="0"/>
        <w:autoSpaceDN w:val="0"/>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0A5FF640">
      <w:pPr>
        <w:tabs>
          <w:tab w:val="left" w:pos="0"/>
        </w:tabs>
        <w:autoSpaceDE w:val="0"/>
        <w:autoSpaceDN w:val="0"/>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46086762">
      <w:pPr>
        <w:tabs>
          <w:tab w:val="left" w:pos="0"/>
        </w:tabs>
        <w:autoSpaceDE w:val="0"/>
        <w:autoSpaceDN w:val="0"/>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78EC2631">
      <w:pPr>
        <w:tabs>
          <w:tab w:val="left" w:pos="0"/>
        </w:tabs>
        <w:autoSpaceDE w:val="0"/>
        <w:autoSpaceDN w:val="0"/>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17BE1D1E">
      <w:pPr>
        <w:tabs>
          <w:tab w:val="left" w:pos="0"/>
        </w:tabs>
        <w:autoSpaceDE w:val="0"/>
        <w:autoSpaceDN w:val="0"/>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443E6E54">
      <w:pPr>
        <w:tabs>
          <w:tab w:val="left" w:pos="0"/>
        </w:tabs>
        <w:autoSpaceDE w:val="0"/>
        <w:autoSpaceDN w:val="0"/>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十五、</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178CCE19">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4F5937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1CFE5FB4">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B7B67C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EE4E52A">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3D424B25">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1D512F38">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3FFF7AB">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4CB032FC">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189A5D3F">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进行项目建设或其他经营活动，并通报区财政局。由此引起的相应损失均由我单位承担。</w:t>
      </w:r>
    </w:p>
    <w:p w14:paraId="723D57D0">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653530AE">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2F35EBC9">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543E3B1C">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1F6573D6">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0B950557">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p>
    <w:p w14:paraId="5C1E68B6">
      <w:pPr>
        <w:widowControl/>
        <w:adjustRightInd/>
        <w:jc w:val="left"/>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5D92717E">
      <w:pPr>
        <w:pStyle w:val="28"/>
        <w:keepNext w:val="0"/>
        <w:pageBreakBefore w:val="0"/>
        <w:tabs>
          <w:tab w:val="clear" w:pos="720"/>
        </w:tabs>
        <w:ind w:firstLine="640"/>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9D76492">
      <w:pPr>
        <w:pStyle w:val="22"/>
        <w:ind w:firstLine="0" w:firstLineChars="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第八部分 最后报价格式</w:t>
      </w:r>
    </w:p>
    <w:p w14:paraId="4F4E479E">
      <w:pPr>
        <w:pStyle w:val="28"/>
        <w:keepNext w:val="0"/>
        <w:pageBreakBefore w:val="0"/>
        <w:tabs>
          <w:tab w:val="clear" w:pos="720"/>
        </w:tabs>
        <w:ind w:firstLine="640"/>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（一）最后报价一览表</w:t>
      </w:r>
    </w:p>
    <w:p w14:paraId="03308809">
      <w:pPr>
        <w:autoSpaceDE w:val="0"/>
        <w:autoSpaceDN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62558F9">
      <w:pPr>
        <w:spacing w:line="360" w:lineRule="auto"/>
        <w:ind w:firstLine="72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按你方磋商文件要求，</w:t>
      </w:r>
      <w:r>
        <w:rPr>
          <w:rFonts w:hint="eastAsia" w:ascii="宋体" w:hAnsi="宋体" w:eastAsia="宋体" w:cs="宋体"/>
          <w:color w:val="000000" w:themeColor="text1"/>
          <w:sz w:val="24"/>
          <w:highlight w:val="none"/>
          <w14:textFill>
            <w14:solidFill>
              <w14:schemeClr w14:val="tx1"/>
            </w14:solidFill>
          </w14:textFill>
        </w:rPr>
        <w:t>我们即</w:t>
      </w:r>
      <w:r>
        <w:rPr>
          <w:rFonts w:hint="eastAsia" w:ascii="宋体" w:hAnsi="宋体" w:eastAsia="宋体" w:cs="宋体"/>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宋体" w:hAnsi="宋体" w:cs="宋体"/>
          <w:color w:val="000000" w:themeColor="text1"/>
          <w:sz w:val="24"/>
          <w:highlight w:val="non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的实施。</w:t>
      </w:r>
    </w:p>
    <w:p w14:paraId="14861F73">
      <w:pPr>
        <w:snapToGrid w:val="0"/>
        <w:spacing w:line="360" w:lineRule="auto"/>
        <w:ind w:left="480"/>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最后</w:t>
      </w:r>
      <w:r>
        <w:rPr>
          <w:rFonts w:hint="eastAsia" w:ascii="宋体" w:hAnsi="宋体" w:eastAsia="宋体" w:cs="宋体"/>
          <w:b/>
          <w:color w:val="000000" w:themeColor="text1"/>
          <w:kern w:val="0"/>
          <w:sz w:val="24"/>
          <w:highlight w:val="none"/>
          <w:lang w:val="zh-CN"/>
          <w14:textFill>
            <w14:solidFill>
              <w14:schemeClr w14:val="tx1"/>
            </w14:solidFill>
          </w14:textFill>
        </w:rPr>
        <w:t>报价一览表(单位均为人民币元)</w:t>
      </w:r>
    </w:p>
    <w:tbl>
      <w:tblPr>
        <w:tblStyle w:val="1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427"/>
        <w:gridCol w:w="1850"/>
        <w:gridCol w:w="2745"/>
        <w:gridCol w:w="1620"/>
        <w:gridCol w:w="1795"/>
        <w:gridCol w:w="849"/>
      </w:tblGrid>
      <w:tr w14:paraId="25384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7" w:hRule="atLeast"/>
          <w:jc w:val="center"/>
        </w:trPr>
        <w:tc>
          <w:tcPr>
            <w:tcW w:w="0" w:type="auto"/>
            <w:shd w:val="clear" w:color="auto" w:fill="E0E0E0"/>
            <w:vAlign w:val="center"/>
          </w:tcPr>
          <w:p w14:paraId="4A37CB7C">
            <w:pPr>
              <w:pStyle w:val="31"/>
              <w:spacing w:line="240" w:lineRule="auto"/>
              <w:ind w:left="0"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54" w:type="dxa"/>
            <w:shd w:val="clear" w:color="auto" w:fill="E0E0E0"/>
            <w:vAlign w:val="center"/>
          </w:tcPr>
          <w:p w14:paraId="28592C18">
            <w:pPr>
              <w:pStyle w:val="31"/>
              <w:spacing w:line="240" w:lineRule="auto"/>
              <w:ind w:left="422" w:hanging="42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w:t>
            </w:r>
          </w:p>
        </w:tc>
        <w:tc>
          <w:tcPr>
            <w:tcW w:w="2942" w:type="dxa"/>
            <w:tcBorders>
              <w:right w:val="single" w:color="auto" w:sz="4" w:space="0"/>
            </w:tcBorders>
            <w:shd w:val="clear" w:color="auto" w:fill="E0E0E0"/>
            <w:vAlign w:val="center"/>
          </w:tcPr>
          <w:p w14:paraId="2876B4C2">
            <w:pPr>
              <w:pStyle w:val="31"/>
              <w:spacing w:line="240" w:lineRule="auto"/>
              <w:ind w:left="422" w:hanging="42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投标总价</w:t>
            </w:r>
          </w:p>
        </w:tc>
        <w:tc>
          <w:tcPr>
            <w:tcW w:w="1700" w:type="dxa"/>
            <w:tcBorders>
              <w:right w:val="single" w:color="auto" w:sz="4" w:space="0"/>
            </w:tcBorders>
            <w:shd w:val="clear" w:color="auto" w:fill="E0E0E0"/>
            <w:vAlign w:val="center"/>
          </w:tcPr>
          <w:p w14:paraId="4703F525">
            <w:pPr>
              <w:pStyle w:val="31"/>
              <w:spacing w:line="240" w:lineRule="auto"/>
              <w:ind w:left="422" w:hanging="42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项目负责人</w:t>
            </w:r>
          </w:p>
        </w:tc>
        <w:tc>
          <w:tcPr>
            <w:tcW w:w="1893" w:type="dxa"/>
            <w:tcBorders>
              <w:right w:val="single" w:color="auto" w:sz="4" w:space="0"/>
            </w:tcBorders>
            <w:shd w:val="clear" w:color="auto" w:fill="E0E0E0"/>
            <w:vAlign w:val="center"/>
          </w:tcPr>
          <w:p w14:paraId="2CBAD5F8">
            <w:pPr>
              <w:pStyle w:val="31"/>
              <w:spacing w:line="240" w:lineRule="auto"/>
              <w:ind w:left="422" w:hanging="422"/>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服务期</w:t>
            </w:r>
          </w:p>
        </w:tc>
        <w:tc>
          <w:tcPr>
            <w:tcW w:w="0" w:type="auto"/>
            <w:shd w:val="clear" w:color="auto" w:fill="E0E0E0"/>
            <w:vAlign w:val="center"/>
          </w:tcPr>
          <w:p w14:paraId="452551F4">
            <w:pPr>
              <w:pStyle w:val="31"/>
              <w:spacing w:line="240" w:lineRule="auto"/>
              <w:ind w:left="422" w:hanging="42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tc>
      </w:tr>
      <w:tr w14:paraId="265FD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93" w:hRule="atLeast"/>
          <w:jc w:val="center"/>
        </w:trPr>
        <w:tc>
          <w:tcPr>
            <w:tcW w:w="0" w:type="auto"/>
            <w:vAlign w:val="center"/>
          </w:tcPr>
          <w:p w14:paraId="0D16F288">
            <w:pPr>
              <w:pStyle w:val="31"/>
              <w:spacing w:line="240" w:lineRule="auto"/>
              <w:ind w:left="420" w:hanging="4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54" w:type="dxa"/>
            <w:vAlign w:val="center"/>
          </w:tcPr>
          <w:p w14:paraId="04E79369">
            <w:pPr>
              <w:jc w:val="center"/>
              <w:rPr>
                <w:rFonts w:hint="eastAsia" w:ascii="宋体" w:hAnsi="宋体" w:eastAsia="宋体" w:cs="宋体"/>
                <w:b/>
                <w:color w:val="auto"/>
                <w:szCs w:val="21"/>
                <w:highlight w:val="none"/>
              </w:rPr>
            </w:pPr>
          </w:p>
        </w:tc>
        <w:tc>
          <w:tcPr>
            <w:tcW w:w="2942" w:type="dxa"/>
            <w:tcBorders>
              <w:right w:val="single" w:color="auto" w:sz="4" w:space="0"/>
            </w:tcBorders>
            <w:vAlign w:val="center"/>
          </w:tcPr>
          <w:p w14:paraId="4F34245F">
            <w:pPr>
              <w:spacing w:beforeLines="50" w:line="240" w:lineRule="auto"/>
              <w:ind w:right="-21"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p w14:paraId="2E471103">
            <w:pPr>
              <w:spacing w:beforeLines="50" w:line="240" w:lineRule="auto"/>
              <w:ind w:right="-21"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1700" w:type="dxa"/>
            <w:tcBorders>
              <w:right w:val="single" w:color="auto" w:sz="4" w:space="0"/>
            </w:tcBorders>
            <w:vAlign w:val="center"/>
          </w:tcPr>
          <w:p w14:paraId="2FF4050B">
            <w:pPr>
              <w:widowControl/>
              <w:jc w:val="center"/>
              <w:rPr>
                <w:rFonts w:hint="eastAsia" w:ascii="宋体" w:hAnsi="宋体" w:eastAsia="宋体" w:cs="宋体"/>
                <w:color w:val="auto"/>
                <w:szCs w:val="21"/>
                <w:highlight w:val="none"/>
              </w:rPr>
            </w:pPr>
          </w:p>
        </w:tc>
        <w:tc>
          <w:tcPr>
            <w:tcW w:w="1893" w:type="dxa"/>
            <w:tcBorders>
              <w:right w:val="single" w:color="auto" w:sz="4" w:space="0"/>
            </w:tcBorders>
            <w:vAlign w:val="center"/>
          </w:tcPr>
          <w:p w14:paraId="75B4B69F">
            <w:pPr>
              <w:pStyle w:val="31"/>
              <w:spacing w:line="240" w:lineRule="auto"/>
              <w:ind w:left="0"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自项目合同生效之日起，至所有项目正式验收（终验）时止。</w:t>
            </w:r>
          </w:p>
        </w:tc>
        <w:tc>
          <w:tcPr>
            <w:tcW w:w="0" w:type="auto"/>
            <w:vAlign w:val="center"/>
          </w:tcPr>
          <w:p w14:paraId="154118EF">
            <w:pPr>
              <w:jc w:val="center"/>
              <w:rPr>
                <w:rFonts w:hint="eastAsia" w:ascii="宋体" w:hAnsi="宋体" w:eastAsia="宋体" w:cs="宋体"/>
                <w:color w:val="auto"/>
                <w:szCs w:val="21"/>
                <w:highlight w:val="none"/>
              </w:rPr>
            </w:pPr>
          </w:p>
        </w:tc>
      </w:tr>
    </w:tbl>
    <w:p w14:paraId="1D7557EA">
      <w:pPr>
        <w:snapToGrid w:val="0"/>
        <w:spacing w:line="360" w:lineRule="auto"/>
        <w:jc w:val="left"/>
        <w:rPr>
          <w:rFonts w:hint="eastAsia" w:ascii="宋体" w:hAnsi="宋体" w:cs="仿宋"/>
          <w:b/>
          <w:bCs/>
          <w:color w:val="000000" w:themeColor="text1"/>
          <w:sz w:val="24"/>
          <w:highlight w:val="none"/>
          <w:u w:color="000000"/>
          <w:lang w:val="en-US" w:eastAsia="zh-CN"/>
          <w14:textFill>
            <w14:solidFill>
              <w14:schemeClr w14:val="tx1"/>
            </w14:solidFill>
          </w14:textFill>
        </w:rPr>
      </w:pPr>
    </w:p>
    <w:p w14:paraId="78603920">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kern w:val="0"/>
          <w:sz w:val="24"/>
          <w:highlight w:val="none"/>
          <w:lang w:val="zh-CN"/>
          <w14:textFill>
            <w14:solidFill>
              <w14:schemeClr w14:val="tx1"/>
            </w14:solidFill>
          </w14:textFill>
        </w:rPr>
        <w:t>1、供应商需按本表格式填写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响应文件含有采购人不能接受的附加条件，响应无效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A82D363">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最后报价文件含有采购人不能接受的附加条件，响应无效</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w:t>
      </w:r>
      <w:r>
        <w:rPr>
          <w:rFonts w:hint="eastAsia" w:ascii="宋体" w:hAnsi="宋体" w:eastAsia="宋体" w:cs="宋体"/>
          <w:b/>
          <w:color w:val="000000" w:themeColor="text1"/>
          <w:kern w:val="0"/>
          <w:sz w:val="24"/>
          <w:highlight w:val="none"/>
          <w14:textFill>
            <w14:solidFill>
              <w14:schemeClr w14:val="tx1"/>
            </w14:solidFill>
          </w14:textFill>
        </w:rPr>
        <w:t>最后</w:t>
      </w:r>
      <w:r>
        <w:rPr>
          <w:rFonts w:hint="eastAsia" w:ascii="宋体" w:hAnsi="宋体" w:eastAsia="宋体" w:cs="宋体"/>
          <w:b/>
          <w:color w:val="000000" w:themeColor="text1"/>
          <w:kern w:val="0"/>
          <w:sz w:val="24"/>
          <w:highlight w:val="none"/>
          <w:lang w:val="zh-CN"/>
          <w14:textFill>
            <w14:solidFill>
              <w14:schemeClr w14:val="tx1"/>
            </w14:solidFill>
          </w14:textFill>
        </w:rPr>
        <w:t>报价一览表》名称栏中，供应商不能作出合理解释的，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响应文件含有采购人不能接受的附加条件的，响应无效。</w:t>
      </w:r>
    </w:p>
    <w:p w14:paraId="280A460C">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3、特别提示：采购代理机构将对项目名称和项目编号，成交供应商名称、地址和成交金额，主要成交标的名称、服务范围、服务要求、服务时间、服务标准等予以公示。</w:t>
      </w:r>
    </w:p>
    <w:p w14:paraId="3360B9E6">
      <w:pPr>
        <w:spacing w:line="360" w:lineRule="auto"/>
        <w:ind w:right="-874" w:rightChars="-416"/>
        <w:rPr>
          <w:rFonts w:hint="eastAsia" w:ascii="宋体" w:hAnsi="宋体" w:eastAsia="宋体" w:cs="宋体"/>
          <w:color w:val="000000" w:themeColor="text1"/>
          <w:sz w:val="24"/>
          <w:highlight w:val="none"/>
          <w14:textFill>
            <w14:solidFill>
              <w14:schemeClr w14:val="tx1"/>
            </w14:solidFill>
          </w14:textFill>
        </w:rPr>
      </w:pPr>
    </w:p>
    <w:p w14:paraId="16DD1503">
      <w:pPr>
        <w:spacing w:line="360" w:lineRule="auto"/>
        <w:ind w:right="-874" w:rightChars="-41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供应商名称（电子签名）：</w:t>
      </w:r>
    </w:p>
    <w:p w14:paraId="1D7BB171">
      <w:pPr>
        <w:autoSpaceDE w:val="0"/>
        <w:autoSpaceDN w:val="0"/>
        <w:spacing w:line="360" w:lineRule="auto"/>
        <w:ind w:left="5040"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1610DD85">
      <w:pPr>
        <w:widowControl/>
        <w:adjustRightInd/>
        <w:jc w:val="left"/>
        <w:rPr>
          <w:rFonts w:hint="eastAsia" w:ascii="宋体" w:hAnsi="宋体" w:eastAsia="宋体" w:cs="宋体"/>
          <w:color w:val="000000" w:themeColor="text1"/>
          <w:kern w:val="0"/>
          <w:sz w:val="24"/>
          <w:highlight w:val="none"/>
          <w:lang w:val="zh-CN"/>
          <w14:textFill>
            <w14:solidFill>
              <w14:schemeClr w14:val="tx1"/>
            </w14:solidFill>
          </w14:textFill>
        </w:rPr>
        <w:sectPr>
          <w:pgSz w:w="11906" w:h="16838"/>
          <w:pgMar w:top="471" w:right="1418" w:bottom="77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A78E200">
      <w:pPr>
        <w:widowControl/>
        <w:adjustRightInd/>
        <w:jc w:val="center"/>
        <w:rPr>
          <w:rFonts w:hint="eastAsia" w:ascii="宋体" w:hAnsi="宋体" w:eastAsia="宋体" w:cs="宋体"/>
          <w:color w:val="000000" w:themeColor="text1"/>
          <w:sz w:val="24"/>
          <w:highlight w:val="none"/>
          <w14:textFill>
            <w14:solidFill>
              <w14:schemeClr w14:val="tx1"/>
            </w14:solidFill>
          </w14:textFill>
        </w:rPr>
      </w:pPr>
      <w:bookmarkStart w:id="399" w:name="_Toc465665161"/>
    </w:p>
    <w:p w14:paraId="06901EDE">
      <w:pPr>
        <w:jc w:val="center"/>
        <w:rPr>
          <w:rFonts w:hint="eastAsia"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14:textFill>
            <w14:solidFill>
              <w14:schemeClr w14:val="tx1"/>
            </w14:solidFill>
          </w14:textFill>
        </w:rPr>
        <w:t>附件</w:t>
      </w:r>
      <w:bookmarkEnd w:id="399"/>
    </w:p>
    <w:p w14:paraId="4BBD5419">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附件1：质疑函范本及制作说明</w:t>
      </w:r>
    </w:p>
    <w:p w14:paraId="03E771D3">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026B3B92">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1EB3EF4C">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EFCB93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83135F9">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4F0CC0E">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B3786E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0B9573A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F0ADC6C">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55C163E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635D1B6">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B6EFD16">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ED8715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BAA712A">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69B02268">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00B1F27">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465578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5D104A9">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41C69D0">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52AA682">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3F55BAE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3C6D3805">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51F2A1A7">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B7F6599">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6060C53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70B11A6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6D5E47B7">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26ED0630">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71831456">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C3731D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0EBB847E">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14F057F0">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18531847">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403DDB3">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7C133C3F">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pacing w:val="6"/>
          <w:sz w:val="32"/>
          <w:szCs w:val="32"/>
          <w:highlight w:val="none"/>
          <w14:textFill>
            <w14:solidFill>
              <w14:schemeClr w14:val="tx1"/>
            </w14:solidFill>
          </w14:textFill>
        </w:rPr>
        <w:t>附件2：投诉书范本及制作说明</w:t>
      </w:r>
    </w:p>
    <w:p w14:paraId="519135E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1ED27968">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702A2EB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1A8EC9AE">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C0469E5">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B1FFC9F">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04C0E380">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4C1379B">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38EA726">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3610472">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97624C2">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549EDCD">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3ED3E6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194B4793">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48A7F0FD">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140E50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6D67A56">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CCFC54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2660A7D4">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96A60A2">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CFD5B7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4F63DED">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E15A20E">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0F3F122">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3DBC80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253069E5">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0AD61F7">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713E0488">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2A70604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01F84E45">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BADD39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589A4F3">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A5340B9">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004F0BD">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2C426C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0F667E07">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4882304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2CF0CC8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2F1B0ED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CA4463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5CE9E5E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642BC6DF">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F0BBB34">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A6632D3">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6CB08B3E">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BC8EEF2">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D2B41A9">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1EA0A19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51507BAB">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31BAC310">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5F55F968">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9D52B5A">
      <w:pPr>
        <w:rPr>
          <w:rFonts w:hint="eastAsia" w:ascii="宋体" w:hAnsi="宋体" w:eastAsia="宋体" w:cs="宋体"/>
          <w:b/>
          <w:color w:val="000000" w:themeColor="text1"/>
          <w:sz w:val="24"/>
          <w:highlight w:val="none"/>
          <w14:textFill>
            <w14:solidFill>
              <w14:schemeClr w14:val="tx1"/>
            </w14:solidFill>
          </w14:textFill>
        </w:rPr>
      </w:pPr>
    </w:p>
    <w:p w14:paraId="1583BACC">
      <w:pPr>
        <w:widowControl/>
        <w:adjustRightInd/>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5B37574F">
      <w:pPr>
        <w:spacing w:line="360" w:lineRule="auto"/>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附件3：</w:t>
      </w:r>
    </w:p>
    <w:p w14:paraId="3D2C091F">
      <w:pPr>
        <w:spacing w:line="360" w:lineRule="auto"/>
        <w:rPr>
          <w:rFonts w:hint="eastAsia" w:ascii="宋体" w:hAnsi="宋体" w:eastAsia="宋体" w:cs="宋体"/>
          <w:b/>
          <w:color w:val="000000" w:themeColor="text1"/>
          <w:spacing w:val="6"/>
          <w:sz w:val="32"/>
          <w:szCs w:val="32"/>
          <w:highlight w:val="none"/>
          <w14:textFill>
            <w14:solidFill>
              <w14:schemeClr w14:val="tx1"/>
            </w14:solidFill>
          </w14:textFill>
        </w:rPr>
      </w:pPr>
    </w:p>
    <w:p w14:paraId="0C55DDC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p w14:paraId="51F7732D">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59321A6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highlight w:val="none"/>
          <w:u w:val="single"/>
          <w14:textFill>
            <w14:solidFill>
              <w14:schemeClr w14:val="tx1"/>
            </w14:solidFill>
          </w14:textFill>
        </w:rPr>
        <w:t xml:space="preserve">   （采购人）    </w:t>
      </w:r>
      <w:r>
        <w:rPr>
          <w:rFonts w:hint="eastAsia" w:ascii="宋体" w:hAnsi="宋体" w:eastAsia="宋体" w:cs="宋体"/>
          <w:color w:val="000000" w:themeColor="text1"/>
          <w:sz w:val="24"/>
          <w:highlight w:val="none"/>
          <w14:textFill>
            <w14:solidFill>
              <w14:schemeClr w14:val="tx1"/>
            </w14:solidFill>
          </w14:textFill>
        </w:rPr>
        <w:t>单位的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F703E0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4285DB4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C897A7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8D0D413">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单位名称（</w:t>
      </w:r>
      <w:r>
        <w:rPr>
          <w:rFonts w:hint="eastAsia" w:ascii="宋体" w:hAnsi="宋体" w:eastAsia="宋体" w:cs="宋体"/>
          <w:color w:val="000000" w:themeColor="text1"/>
          <w:kern w:val="0"/>
          <w:sz w:val="24"/>
          <w:highlight w:val="none"/>
          <w14:textFill>
            <w14:solidFill>
              <w14:schemeClr w14:val="tx1"/>
            </w14:solidFill>
          </w14:textFill>
        </w:rPr>
        <w:t>电子签名</w:t>
      </w:r>
      <w:r>
        <w:rPr>
          <w:rFonts w:hint="eastAsia" w:ascii="宋体" w:hAnsi="宋体" w:eastAsia="宋体" w:cs="宋体"/>
          <w:color w:val="000000" w:themeColor="text1"/>
          <w:sz w:val="24"/>
          <w:highlight w:val="none"/>
          <w14:textFill>
            <w14:solidFill>
              <w14:schemeClr w14:val="tx1"/>
            </w14:solidFill>
          </w14:textFill>
        </w:rPr>
        <w:t>）：</w:t>
      </w:r>
    </w:p>
    <w:p w14:paraId="6AFCA3D0">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2D84A8F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AF412DF">
      <w:pPr>
        <w:widowControl/>
        <w:adjustRightInd/>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14:paraId="477FAD2F">
      <w:pPr>
        <w:autoSpaceDE w:val="0"/>
        <w:autoSpaceDN w:val="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附件4：</w:t>
      </w:r>
    </w:p>
    <w:p w14:paraId="61327FE6">
      <w:pPr>
        <w:spacing w:line="360" w:lineRule="auto"/>
        <w:jc w:val="left"/>
        <w:rPr>
          <w:rFonts w:hint="eastAsia" w:ascii="宋体" w:hAnsi="宋体" w:eastAsia="宋体" w:cs="宋体"/>
          <w:b/>
          <w:color w:val="000000" w:themeColor="text1"/>
          <w:sz w:val="24"/>
          <w:highlight w:val="none"/>
          <w14:textFill>
            <w14:solidFill>
              <w14:schemeClr w14:val="tx1"/>
            </w14:solidFill>
          </w14:textFill>
        </w:rPr>
      </w:pPr>
    </w:p>
    <w:p w14:paraId="53223565">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5A4AD488">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0E29A7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33A951A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贵方组织的</w:t>
      </w:r>
      <w:r>
        <w:rPr>
          <w:rFonts w:hint="eastAsia" w:ascii="宋体" w:hAnsi="宋体" w:cs="宋体"/>
          <w:color w:val="000000" w:themeColor="text1"/>
          <w:sz w:val="24"/>
          <w:highlight w:val="non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采购活动中作如下说明：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61A872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48147250">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235F4775">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612B619E">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428AB407">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11A73255">
      <w:pPr>
        <w:spacing w:line="360" w:lineRule="auto"/>
        <w:ind w:right="482"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供应商（法定名称章）：</w:t>
      </w:r>
    </w:p>
    <w:p w14:paraId="45481BD8">
      <w:pPr>
        <w:spacing w:line="360" w:lineRule="auto"/>
        <w:ind w:right="482"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0FC221B8">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2E97D73E">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5080" t="4445" r="5080" b="12065"/>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8osd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JvKLH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12065"/>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Dt6K9kNQIAAHIEAAAOAAAAAAAAAAEAIAAAACcBAABkcnMvZTJv&#10;RG9jLnhtbFBLBQYAAAAABgAGAFkBAADOBQ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供应商法定名称章（印模）                供应商“XX专用章”（印模）</w:t>
      </w:r>
    </w:p>
    <w:p w14:paraId="352D0B5E">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28E68DF2">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52348B43">
      <w:pPr>
        <w:widowControl/>
        <w:adjustRightInd/>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25CC6BDC">
      <w:pPr>
        <w:autoSpaceDE w:val="0"/>
        <w:autoSpaceDN w:val="0"/>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附件5：</w:t>
      </w:r>
    </w:p>
    <w:p w14:paraId="029B181D">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18AD3D5A">
      <w:pPr>
        <w:adjustRightInd/>
        <w:spacing w:line="360" w:lineRule="auto"/>
        <w:jc w:val="center"/>
        <w:outlineLvl w:val="9"/>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中小企业声明函（服务）</w:t>
      </w:r>
    </w:p>
    <w:p w14:paraId="285D0742">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13E7C813">
      <w:pPr>
        <w:spacing w:line="360" w:lineRule="auto"/>
        <w:ind w:firstLine="360" w:firstLineChars="1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74A8A94">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b/>
          <w:bCs/>
          <w:color w:val="000000" w:themeColor="text1"/>
          <w:sz w:val="24"/>
          <w:highlight w:val="none"/>
          <w:u w:val="singl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人，营业收入为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68DE8E59">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b/>
          <w:bCs/>
          <w:color w:val="000000" w:themeColor="text1"/>
          <w:sz w:val="24"/>
          <w:highlight w:val="none"/>
          <w:u w:val="single"/>
          <w:lang w:eastAsia="zh-CN"/>
          <w14:textFill>
            <w14:solidFill>
              <w14:schemeClr w14:val="tx1"/>
            </w14:solidFill>
          </w14:textFill>
        </w:rPr>
        <w:t>2025年数字教育资源支撑服务升级及运维保障</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4254D8AE">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196043DC">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FACCFF5">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1BEC1E38">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供应商名称（电子签名）：</w:t>
      </w:r>
    </w:p>
    <w:p w14:paraId="55C7C98C">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2AF7C527">
      <w:pPr>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7CB8AC02">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p>
    <w:p w14:paraId="1F0C6BA9">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C27726">
      <w:pPr>
        <w:spacing w:line="360" w:lineRule="auto"/>
        <w:ind w:right="420"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B189088">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p>
    <w:p w14:paraId="1880D821">
      <w:pPr>
        <w:snapToGrid w:val="0"/>
        <w:spacing w:line="360" w:lineRule="auto"/>
        <w:ind w:right="720" w:firstLine="5040" w:firstLineChars="2100"/>
        <w:jc w:val="right"/>
        <w:rPr>
          <w:rFonts w:hint="eastAsia" w:ascii="宋体" w:hAnsi="宋体" w:eastAsia="宋体" w:cs="宋体"/>
          <w:color w:val="000000" w:themeColor="text1"/>
          <w:kern w:val="0"/>
          <w:sz w:val="24"/>
          <w:highlight w:val="none"/>
          <w:lang w:val="zh-CN"/>
          <w14:textFill>
            <w14:solidFill>
              <w14:schemeClr w14:val="tx1"/>
            </w14:solidFill>
          </w14:textFill>
        </w:rPr>
      </w:pPr>
    </w:p>
    <w:p w14:paraId="4C34A329">
      <w:pPr>
        <w:rPr>
          <w:highlight w:val="none"/>
        </w:rPr>
      </w:pPr>
    </w:p>
    <w:sectPr>
      <w:headerReference r:id="rId15" w:type="first"/>
      <w:footerReference r:id="rId17" w:type="first"/>
      <w:headerReference r:id="rId14" w:type="default"/>
      <w:footerReference r:id="rId1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4DE6">
    <w:pPr>
      <w:pStyle w:val="10"/>
      <w:jc w:val="center"/>
      <w:rPr>
        <w:rFonts w:ascii="仿宋_GB2312" w:eastAsia="仿宋_GB2312"/>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208EF">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6208E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00FF8">
    <w:pPr>
      <w:pStyle w:val="10"/>
      <w:framePr w:wrap="around" w:vAnchor="text" w:hAnchor="margin" w:xAlign="right" w:y="1"/>
      <w:rPr>
        <w:rStyle w:val="19"/>
      </w:rPr>
    </w:pPr>
    <w:r>
      <w:fldChar w:fldCharType="begin"/>
    </w:r>
    <w:r>
      <w:rPr>
        <w:rStyle w:val="19"/>
      </w:rPr>
      <w:instrText xml:space="preserve">PAGE  </w:instrText>
    </w:r>
    <w:r>
      <w:fldChar w:fldCharType="end"/>
    </w:r>
  </w:p>
  <w:p w14:paraId="7A078AED">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75AC2">
    <w:pPr>
      <w:pStyle w:val="10"/>
      <w:jc w:val="center"/>
      <w:rPr>
        <w:rFonts w:ascii="仿宋_GB2312" w:eastAsia="仿宋_GB2312"/>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5D9B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FF5D9B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7755">
    <w:pPr>
      <w:pStyle w:val="10"/>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A450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EFA450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80EC">
    <w:pPr>
      <w:pStyle w:val="10"/>
      <w:jc w:val="center"/>
      <w:rPr>
        <w:rFonts w:ascii="仿宋_GB2312" w:eastAsia="仿宋_GB2312"/>
        <w:szCs w:val="24"/>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7BC91">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907BC91">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6B0C">
    <w:pPr>
      <w:pStyle w:val="10"/>
      <w:framePr w:wrap="around" w:vAnchor="text" w:hAnchor="margin" w:xAlign="right" w:y="1"/>
      <w:rPr>
        <w:rStyle w:val="19"/>
      </w:rPr>
    </w:pPr>
    <w:r>
      <w:fldChar w:fldCharType="begin"/>
    </w:r>
    <w:r>
      <w:rPr>
        <w:rStyle w:val="19"/>
      </w:rPr>
      <w:instrText xml:space="preserve">PAGE  </w:instrText>
    </w:r>
    <w:r>
      <w:fldChar w:fldCharType="end"/>
    </w:r>
  </w:p>
  <w:p w14:paraId="2A0C01E7">
    <w:pPr>
      <w:pStyle w:val="1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3B5EC">
    <w:pPr>
      <w:pStyle w:val="10"/>
      <w:jc w:val="center"/>
      <w:rPr>
        <w:rFonts w:ascii="仿宋_GB2312" w:eastAsia="仿宋_GB2312"/>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8AE19">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C18AE19">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9E48">
    <w:pPr>
      <w:pStyle w:val="10"/>
      <w:jc w:val="center"/>
      <w:rPr>
        <w:rFonts w:ascii="仿宋_GB2312" w:eastAsia="仿宋_GB2312"/>
        <w:szCs w:val="24"/>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F439C">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00F439C">
                    <w:pPr>
                      <w:pStyle w:val="10"/>
                    </w:pPr>
                    <w:r>
                      <w:fldChar w:fldCharType="begin"/>
                    </w:r>
                    <w:r>
                      <w:instrText xml:space="preserve"> PAGE  \* MERGEFORMAT </w:instrText>
                    </w:r>
                    <w:r>
                      <w:fldChar w:fldCharType="separate"/>
                    </w:r>
                    <w:r>
                      <w:t>42</w:t>
                    </w:r>
                    <w:r>
                      <w:fldChar w:fldCharType="end"/>
                    </w:r>
                  </w:p>
                </w:txbxContent>
              </v:textbox>
            </v:shape>
          </w:pict>
        </mc:Fallback>
      </mc:AlternateContent>
    </w:r>
  </w:p>
  <w:p w14:paraId="091CFBE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E9662">
    <w:pPr>
      <w:pStyle w:val="10"/>
      <w:jc w:val="center"/>
      <w:rPr>
        <w:rFonts w:ascii="仿宋_GB2312" w:eastAsia="仿宋_GB2312"/>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15D93">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5015D93">
                    <w:pPr>
                      <w:pStyle w:val="10"/>
                    </w:pPr>
                    <w:r>
                      <w:fldChar w:fldCharType="begin"/>
                    </w:r>
                    <w:r>
                      <w:instrText xml:space="preserve"> PAGE  \* MERGEFORMAT </w:instrText>
                    </w:r>
                    <w:r>
                      <w:fldChar w:fldCharType="separate"/>
                    </w:r>
                    <w:r>
                      <w:t>41</w:t>
                    </w:r>
                    <w:r>
                      <w:fldChar w:fldCharType="end"/>
                    </w:r>
                  </w:p>
                </w:txbxContent>
              </v:textbox>
            </v:shape>
          </w:pict>
        </mc:Fallback>
      </mc:AlternateContent>
    </w:r>
  </w:p>
  <w:p w14:paraId="0626768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88B1">
    <w:pPr>
      <w:pStyle w:val="11"/>
      <w:pBdr>
        <w:bottom w:val="single" w:color="auto" w:sz="6"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CAB0">
    <w:pPr>
      <w:pStyle w:val="1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w:t>
    </w:r>
    <w:r>
      <w:rPr>
        <w:rFonts w:hint="eastAsia"/>
        <w:lang w:val="zh-CN"/>
      </w:rPr>
      <w:t>竞争性磋商</w:t>
    </w:r>
    <w:r>
      <w:rPr>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4196">
    <w:pPr>
      <w:pStyle w:val="11"/>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6A10C">
    <w:pPr>
      <w:pStyle w:val="11"/>
      <w:jc w:val="right"/>
      <w:rPr>
        <w:rFonts w:eastAsia="仿宋_GB2312"/>
      </w:rPr>
    </w:pP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9834">
    <w:pPr>
      <w:pStyle w:val="11"/>
      <w:jc w:val="right"/>
      <w:rPr>
        <w:rFonts w:ascii="仿宋_GB2312" w:eastAsia="仿宋_GB2312"/>
        <w:b/>
        <w:i/>
        <w:iCs/>
        <w:u w:val="single"/>
      </w:rPr>
    </w:pPr>
    <w:r>
      <w:t></w:t>
    </w:r>
  </w:p>
  <w:p w14:paraId="16FF59C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B6AF">
    <w:pPr>
      <w:pStyle w:val="11"/>
    </w:pPr>
    <w:r>
      <w:t></w:t>
    </w:r>
  </w:p>
  <w:p w14:paraId="0AAB9D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E253C"/>
    <w:multiLevelType w:val="multilevel"/>
    <w:tmpl w:val="C30E253C"/>
    <w:lvl w:ilvl="0" w:tentative="0">
      <w:start w:val="1"/>
      <w:numFmt w:val="bullet"/>
      <w:suff w:val="nothing"/>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
    <w:nsid w:val="E3D53228"/>
    <w:multiLevelType w:val="multilevel"/>
    <w:tmpl w:val="E3D53228"/>
    <w:lvl w:ilvl="0" w:tentative="0">
      <w:start w:val="1"/>
      <w:numFmt w:val="bullet"/>
      <w:suff w:val="nothing"/>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0618A"/>
    <w:rsid w:val="19E5593D"/>
    <w:rsid w:val="1AB07CF9"/>
    <w:rsid w:val="22494E26"/>
    <w:rsid w:val="23304646"/>
    <w:rsid w:val="5BD0618A"/>
    <w:rsid w:val="5CF80AB0"/>
    <w:rsid w:val="624834CE"/>
    <w:rsid w:val="6C2D72F4"/>
    <w:rsid w:val="6E2E314F"/>
    <w:rsid w:val="71810B07"/>
    <w:rsid w:val="75E6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360" w:lineRule="auto"/>
      <w:jc w:val="center"/>
      <w:outlineLvl w:val="0"/>
    </w:pPr>
    <w:rPr>
      <w:rFonts w:eastAsia="黑体"/>
      <w:b/>
      <w:kern w:val="44"/>
      <w:sz w:val="36"/>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7">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qFormat/>
    <w:uiPriority w:val="99"/>
    <w:pPr>
      <w:autoSpaceDE w:val="0"/>
      <w:autoSpaceDN w:val="0"/>
      <w:spacing w:line="360" w:lineRule="auto"/>
    </w:pPr>
    <w:rPr>
      <w:rFonts w:ascii="宋体" w:hAnsi="Arial" w:cs="Arial"/>
      <w:snapToGrid w:val="0"/>
      <w:sz w:val="24"/>
      <w:szCs w:val="21"/>
      <w:lang w:val="zh-CN"/>
    </w:r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1"/>
    <w:next w:val="1"/>
    <w:qFormat/>
    <w:uiPriority w:val="0"/>
    <w:pPr>
      <w:ind w:firstLine="420"/>
    </w:pPr>
    <w:rPr>
      <w:rFonts w:hAnsi="Calibri" w:cs="Times New Roman"/>
      <w:snapToGrid/>
      <w:szCs w:val="20"/>
    </w:rPr>
  </w:style>
  <w:style w:type="paragraph" w:styleId="14">
    <w:name w:val="Body Text First Indent 2"/>
    <w:basedOn w:val="7"/>
    <w:qFormat/>
    <w:uiPriority w:val="0"/>
    <w:pPr>
      <w:adjustRightInd/>
      <w:spacing w:after="120" w:line="240" w:lineRule="auto"/>
      <w:ind w:left="420" w:leftChars="200" w:firstLine="210"/>
    </w:pPr>
    <w:rPr>
      <w:sz w:val="21"/>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qFormat/>
    <w:uiPriority w:val="0"/>
    <w:rPr>
      <w:rFonts w:ascii="Arial" w:hAnsi="Arial" w:eastAsia="黑体" w:cs="Arial"/>
      <w:snapToGrid w:val="0"/>
      <w:kern w:val="0"/>
      <w:szCs w:val="21"/>
    </w:rPr>
  </w:style>
  <w:style w:type="character" w:styleId="20">
    <w:name w:val="Hyperlink"/>
    <w:qFormat/>
    <w:uiPriority w:val="0"/>
    <w:rPr>
      <w:rFonts w:ascii="Arial" w:hAnsi="Arial" w:eastAsia="黑体" w:cs="Arial"/>
      <w:snapToGrid w:val="0"/>
      <w:color w:val="000000"/>
      <w:kern w:val="0"/>
      <w:sz w:val="18"/>
      <w:szCs w:val="18"/>
      <w:u w:val="none"/>
    </w:rPr>
  </w:style>
  <w:style w:type="paragraph" w:customStyle="1" w:styleId="21">
    <w:name w:val="jd-正文1"/>
    <w:basedOn w:val="1"/>
    <w:autoRedefine/>
    <w:qFormat/>
    <w:uiPriority w:val="0"/>
    <w:pPr>
      <w:widowControl/>
      <w:adjustRightInd/>
      <w:spacing w:line="360" w:lineRule="auto"/>
      <w:ind w:firstLine="482" w:firstLineChars="200"/>
    </w:pPr>
    <w:rPr>
      <w:rFonts w:ascii="宋体" w:hAnsi="宋体" w:cs="宋体"/>
      <w:sz w:val="24"/>
      <w:szCs w:val="20"/>
    </w:rPr>
  </w:style>
  <w:style w:type="paragraph" w:customStyle="1" w:styleId="22">
    <w:name w:val="正文2"/>
    <w:basedOn w:val="1"/>
    <w:qFormat/>
    <w:uiPriority w:val="0"/>
    <w:pPr>
      <w:spacing w:before="156" w:line="360" w:lineRule="auto"/>
      <w:ind w:firstLine="510" w:firstLineChars="200"/>
    </w:pPr>
    <w:rPr>
      <w:sz w:val="24"/>
      <w:szCs w:val="20"/>
    </w:rPr>
  </w:style>
  <w:style w:type="paragraph" w:styleId="23">
    <w:name w:val="List Paragraph"/>
    <w:basedOn w:val="1"/>
    <w:qFormat/>
    <w:uiPriority w:val="34"/>
    <w:pPr>
      <w:adjustRightInd/>
      <w:ind w:firstLine="420" w:firstLineChars="200"/>
    </w:pPr>
  </w:style>
  <w:style w:type="paragraph" w:customStyle="1" w:styleId="24">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索引 11"/>
    <w:basedOn w:val="1"/>
    <w:next w:val="1"/>
    <w:qFormat/>
    <w:uiPriority w:val="99"/>
    <w:pPr>
      <w:adjustRightInd/>
      <w:spacing w:line="360" w:lineRule="auto"/>
    </w:pPr>
    <w:rPr>
      <w:rFonts w:ascii="仿宋_GB2312" w:eastAsia="仿宋_GB2312"/>
      <w:sz w:val="24"/>
      <w:szCs w:val="20"/>
    </w:rPr>
  </w:style>
  <w:style w:type="paragraph" w:customStyle="1" w:styleId="26">
    <w:name w:val="纯文本1"/>
    <w:basedOn w:val="1"/>
    <w:qFormat/>
    <w:uiPriority w:val="0"/>
    <w:pPr>
      <w:adjustRightInd/>
    </w:pPr>
    <w:rPr>
      <w:rFonts w:ascii="宋体" w:hAnsi="Courier New"/>
      <w:kern w:val="0"/>
      <w:sz w:val="20"/>
      <w:szCs w:val="20"/>
    </w:rPr>
  </w:style>
  <w:style w:type="paragraph" w:customStyle="1" w:styleId="2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4344</Words>
  <Characters>4816</Characters>
  <Lines>0</Lines>
  <Paragraphs>0</Paragraphs>
  <TotalTime>3</TotalTime>
  <ScaleCrop>false</ScaleCrop>
  <LinksUpToDate>false</LinksUpToDate>
  <CharactersWithSpaces>4943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2025-06-06T06:47:00Z</dcterms:created>
  <dc:creator>浙房</dc:creator>
  <cp:lastModifiedBy>浙房</cp:lastModifiedBy>
  <dcterms:modified xsi:type="dcterms:W3CDTF">2025-06-18T06:21:40Z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8F8DD7B31129473EAF4ABADE943770F9_13</vt:lpwstr>
  </property>
  <property fmtid="{D5CDD505-2E9C-101B-9397-08002B2CF9AE}" pid="4" name="KSOTemplateDocerSaveRecord">
    <vt:lpwstr>eyJoZGlkIjoiYWJmNTAxYTA0NTllZTU0OWY5NWY0MWNlMzBjNGU2OTYiLCJ1c2VySWQiOiIzNDE5MTYyMDEifQ==</vt:lpwstr>
  </property>
</Properties>
</file>