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CC8E">
      <w:pPr>
        <w:spacing w:line="360" w:lineRule="auto"/>
        <w:jc w:val="center"/>
        <w:rPr>
          <w:rFonts w:hint="eastAsia" w:ascii="宋体" w:hAnsi="宋体" w:cs="宋体"/>
          <w:b/>
          <w:sz w:val="24"/>
          <w:highlight w:val="none"/>
        </w:rPr>
      </w:pPr>
    </w:p>
    <w:p w14:paraId="19CC898F">
      <w:pPr>
        <w:spacing w:line="360" w:lineRule="auto"/>
        <w:jc w:val="center"/>
        <w:rPr>
          <w:rFonts w:hint="eastAsia" w:ascii="宋体" w:hAnsi="宋体" w:cs="宋体"/>
          <w:b/>
          <w:sz w:val="24"/>
          <w:highlight w:val="none"/>
        </w:rPr>
      </w:pPr>
    </w:p>
    <w:p w14:paraId="55F89DE5">
      <w:pPr>
        <w:adjustRightInd/>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rPr>
        <w:t>杭州高级中学临平学校校园网络</w:t>
      </w:r>
    </w:p>
    <w:p w14:paraId="49489355">
      <w:pPr>
        <w:adjustRightInd/>
        <w:spacing w:line="360" w:lineRule="auto"/>
        <w:jc w:val="center"/>
        <w:rPr>
          <w:rFonts w:hint="eastAsia" w:ascii="宋体" w:hAnsi="宋体" w:cs="宋体"/>
          <w:sz w:val="72"/>
          <w:szCs w:val="72"/>
          <w:highlight w:val="none"/>
        </w:rPr>
      </w:pPr>
      <w:r>
        <w:rPr>
          <w:rFonts w:hint="eastAsia" w:ascii="宋体" w:hAnsi="宋体" w:cs="宋体"/>
          <w:b/>
          <w:bCs/>
          <w:sz w:val="48"/>
          <w:szCs w:val="48"/>
          <w:highlight w:val="none"/>
        </w:rPr>
        <w:t>建设二期项目</w:t>
      </w:r>
    </w:p>
    <w:p w14:paraId="5DC5937D">
      <w:pPr>
        <w:adjustRightInd/>
        <w:spacing w:line="360" w:lineRule="auto"/>
        <w:jc w:val="center"/>
        <w:rPr>
          <w:rFonts w:hint="eastAsia" w:ascii="宋体" w:hAnsi="宋体" w:cs="宋体"/>
          <w:sz w:val="48"/>
          <w:szCs w:val="48"/>
          <w:highlight w:val="none"/>
        </w:rPr>
      </w:pPr>
      <w:r>
        <w:rPr>
          <w:rFonts w:hint="eastAsia" w:ascii="宋体" w:hAnsi="宋体" w:cs="宋体"/>
          <w:sz w:val="72"/>
          <w:szCs w:val="72"/>
          <w:highlight w:val="none"/>
        </w:rPr>
        <w:t>招标文件</w:t>
      </w:r>
      <w:r>
        <w:rPr>
          <w:rFonts w:hint="eastAsia" w:ascii="宋体" w:hAnsi="宋体" w:cs="宋体"/>
          <w:sz w:val="48"/>
          <w:szCs w:val="48"/>
          <w:highlight w:val="none"/>
        </w:rPr>
        <w:t xml:space="preserve"> </w:t>
      </w:r>
    </w:p>
    <w:p w14:paraId="088349C9">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r>
        <w:rPr>
          <w:rFonts w:hint="eastAsia" w:ascii="宋体" w:hAnsi="宋体" w:cs="宋体"/>
          <w:b/>
          <w:bCs/>
          <w:sz w:val="44"/>
          <w:szCs w:val="44"/>
          <w:highlight w:val="none"/>
          <w:lang w:val="en-US" w:eastAsia="zh-CN"/>
        </w:rPr>
        <w:t>乐采云</w:t>
      </w:r>
      <w:r>
        <w:rPr>
          <w:rFonts w:hint="eastAsia" w:ascii="宋体" w:hAnsi="宋体" w:cs="宋体"/>
          <w:b/>
          <w:bCs/>
          <w:sz w:val="44"/>
          <w:szCs w:val="44"/>
          <w:highlight w:val="none"/>
        </w:rPr>
        <w:t>-</w:t>
      </w:r>
      <w:r>
        <w:rPr>
          <w:rFonts w:hint="eastAsia" w:ascii="宋体" w:hAnsi="宋体" w:cs="宋体"/>
          <w:b/>
          <w:sz w:val="44"/>
          <w:szCs w:val="44"/>
          <w:highlight w:val="none"/>
        </w:rPr>
        <w:t>电子招投标）</w:t>
      </w:r>
    </w:p>
    <w:p w14:paraId="537B8688">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项目编号：</w:t>
      </w:r>
      <w:r>
        <w:rPr>
          <w:rFonts w:hint="eastAsia" w:ascii="宋体" w:hAnsi="宋体" w:cs="宋体"/>
          <w:sz w:val="30"/>
          <w:szCs w:val="30"/>
          <w:highlight w:val="none"/>
          <w:lang w:eastAsia="zh-CN"/>
        </w:rPr>
        <w:t>ZJOB-HGLP-2025006</w:t>
      </w:r>
    </w:p>
    <w:p w14:paraId="72421B36">
      <w:pPr>
        <w:adjustRightInd/>
        <w:spacing w:line="360" w:lineRule="auto"/>
        <w:rPr>
          <w:rFonts w:hint="eastAsia" w:ascii="宋体" w:hAnsi="宋体" w:cs="宋体"/>
          <w:sz w:val="28"/>
          <w:szCs w:val="20"/>
          <w:highlight w:val="none"/>
        </w:rPr>
      </w:pPr>
    </w:p>
    <w:p w14:paraId="77975582">
      <w:pPr>
        <w:spacing w:line="360" w:lineRule="auto"/>
        <w:jc w:val="center"/>
        <w:rPr>
          <w:rFonts w:hint="eastAsia" w:ascii="宋体" w:hAnsi="宋体" w:cs="宋体"/>
          <w:b/>
          <w:sz w:val="44"/>
          <w:szCs w:val="44"/>
          <w:highlight w:val="none"/>
        </w:rPr>
      </w:pPr>
      <w:r>
        <w:rPr>
          <w:rFonts w:hint="eastAsia" w:ascii="宋体" w:hAnsi="宋体" w:cs="宋体"/>
          <w:sz w:val="96"/>
          <w:szCs w:val="48"/>
          <w:highlight w:val="none"/>
        </w:rPr>
        <w:drawing>
          <wp:anchor distT="0" distB="0" distL="114300" distR="114300" simplePos="0" relativeHeight="251668480" behindDoc="0" locked="0" layoutInCell="1" allowOverlap="1">
            <wp:simplePos x="0" y="0"/>
            <wp:positionH relativeFrom="column">
              <wp:posOffset>593090</wp:posOffset>
            </wp:positionH>
            <wp:positionV relativeFrom="paragraph">
              <wp:posOffset>325120</wp:posOffset>
            </wp:positionV>
            <wp:extent cx="4800600" cy="7620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7"/>
                    <a:stretch>
                      <a:fillRect/>
                    </a:stretch>
                  </pic:blipFill>
                  <pic:spPr>
                    <a:xfrm>
                      <a:off x="0" y="0"/>
                      <a:ext cx="4800600" cy="762000"/>
                    </a:xfrm>
                    <a:prstGeom prst="rect">
                      <a:avLst/>
                    </a:prstGeom>
                    <a:noFill/>
                    <a:ln cap="flat" cmpd="sng">
                      <a:noFill/>
                      <a:prstDash val="solid"/>
                      <a:round/>
                    </a:ln>
                  </pic:spPr>
                </pic:pic>
              </a:graphicData>
            </a:graphic>
          </wp:anchor>
        </w:drawing>
      </w:r>
    </w:p>
    <w:p w14:paraId="62C13CA1">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72AC3A12">
      <w:pPr>
        <w:spacing w:line="360" w:lineRule="auto"/>
        <w:jc w:val="center"/>
        <w:rPr>
          <w:rFonts w:hint="eastAsia" w:ascii="宋体" w:hAnsi="宋体" w:cs="宋体"/>
          <w:b/>
          <w:sz w:val="44"/>
          <w:szCs w:val="44"/>
          <w:highlight w:val="none"/>
        </w:rPr>
      </w:pPr>
    </w:p>
    <w:p w14:paraId="19EE3558">
      <w:pPr>
        <w:spacing w:line="360" w:lineRule="auto"/>
        <w:jc w:val="center"/>
        <w:rPr>
          <w:rFonts w:hint="eastAsia" w:ascii="宋体" w:hAnsi="宋体" w:cs="宋体"/>
          <w:sz w:val="24"/>
          <w:highlight w:val="none"/>
        </w:rPr>
      </w:pPr>
    </w:p>
    <w:p w14:paraId="2D009AD6">
      <w:pPr>
        <w:spacing w:line="360" w:lineRule="auto"/>
        <w:rPr>
          <w:rFonts w:hint="eastAsia" w:ascii="宋体" w:hAnsi="宋体" w:cs="宋体"/>
          <w:sz w:val="32"/>
          <w:szCs w:val="32"/>
          <w:highlight w:val="none"/>
        </w:rPr>
      </w:pPr>
    </w:p>
    <w:p w14:paraId="64CBD02D">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杭州高级中学临平学校</w:t>
      </w:r>
    </w:p>
    <w:p w14:paraId="12FD799F">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欧邦工程管理集团有限公司</w:t>
      </w:r>
    </w:p>
    <w:p w14:paraId="7C39C94E">
      <w:pPr>
        <w:snapToGrid w:val="0"/>
        <w:spacing w:line="360" w:lineRule="auto"/>
        <w:jc w:val="center"/>
        <w:rPr>
          <w:rFonts w:hint="default" w:ascii="宋体" w:hAnsi="宋体" w:eastAsia="宋体" w:cs="宋体"/>
          <w:bCs/>
          <w:sz w:val="32"/>
          <w:szCs w:val="32"/>
          <w:highlight w:val="none"/>
          <w:lang w:val="en-US" w:eastAsia="zh-CN"/>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一 日</w:t>
      </w:r>
    </w:p>
    <w:p w14:paraId="3CE67AA0">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0B9AFD77">
      <w:pPr>
        <w:pStyle w:val="26"/>
        <w:rPr>
          <w:highlight w:val="none"/>
        </w:rPr>
      </w:pPr>
    </w:p>
    <w:p w14:paraId="01FA0119">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1FC51762">
      <w:pPr>
        <w:spacing w:line="360" w:lineRule="auto"/>
        <w:rPr>
          <w:rFonts w:hint="eastAsia" w:ascii="宋体" w:hAnsi="宋体" w:cs="宋体"/>
          <w:sz w:val="32"/>
          <w:szCs w:val="32"/>
          <w:highlight w:val="none"/>
        </w:rPr>
      </w:pPr>
    </w:p>
    <w:p w14:paraId="1249F270">
      <w:pPr>
        <w:spacing w:line="360" w:lineRule="auto"/>
        <w:rPr>
          <w:rFonts w:hint="eastAsia" w:ascii="宋体" w:hAnsi="宋体" w:cs="宋体"/>
          <w:sz w:val="32"/>
          <w:szCs w:val="32"/>
          <w:highlight w:val="none"/>
        </w:rPr>
      </w:pPr>
    </w:p>
    <w:p w14:paraId="1E77AD54">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第一部分      招标公告</w:t>
      </w:r>
    </w:p>
    <w:p w14:paraId="375C6819">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第二部分      投标人须知</w:t>
      </w:r>
    </w:p>
    <w:p w14:paraId="717DF665">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第三部分      采购需求</w:t>
      </w:r>
    </w:p>
    <w:p w14:paraId="1018510D">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第四部分      评标办法</w:t>
      </w:r>
    </w:p>
    <w:p w14:paraId="449E2DEF">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49C6192A">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05E3FAC4">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1BB31929">
      <w:pPr>
        <w:spacing w:line="360" w:lineRule="auto"/>
        <w:ind w:firstLine="549" w:firstLineChars="229"/>
        <w:rPr>
          <w:rFonts w:hint="eastAsia" w:ascii="宋体" w:hAnsi="宋体" w:cs="宋体"/>
          <w:sz w:val="24"/>
          <w:highlight w:val="none"/>
        </w:rPr>
      </w:pPr>
    </w:p>
    <w:p w14:paraId="49179D5B">
      <w:pPr>
        <w:spacing w:line="360" w:lineRule="auto"/>
        <w:ind w:firstLine="549" w:firstLineChars="229"/>
        <w:rPr>
          <w:rFonts w:hint="eastAsia" w:ascii="宋体" w:hAnsi="宋体" w:cs="宋体"/>
          <w:sz w:val="24"/>
          <w:highlight w:val="none"/>
        </w:rPr>
      </w:pPr>
    </w:p>
    <w:p w14:paraId="39046DA4">
      <w:pPr>
        <w:spacing w:line="360" w:lineRule="auto"/>
        <w:ind w:firstLine="549" w:firstLineChars="229"/>
        <w:rPr>
          <w:rFonts w:hint="eastAsia" w:ascii="宋体" w:hAnsi="宋体" w:cs="宋体"/>
          <w:sz w:val="24"/>
          <w:highlight w:val="none"/>
        </w:rPr>
      </w:pPr>
    </w:p>
    <w:p w14:paraId="5260D09F">
      <w:pPr>
        <w:spacing w:line="360" w:lineRule="auto"/>
        <w:ind w:firstLine="549" w:firstLineChars="229"/>
        <w:rPr>
          <w:rFonts w:hint="eastAsia" w:ascii="宋体" w:hAnsi="宋体" w:cs="宋体"/>
          <w:sz w:val="24"/>
          <w:highlight w:val="none"/>
        </w:rPr>
      </w:pPr>
    </w:p>
    <w:p w14:paraId="2FD21826">
      <w:pPr>
        <w:spacing w:line="360" w:lineRule="auto"/>
        <w:ind w:firstLine="549" w:firstLineChars="229"/>
        <w:rPr>
          <w:rFonts w:hint="eastAsia" w:ascii="宋体" w:hAnsi="宋体" w:cs="宋体"/>
          <w:sz w:val="24"/>
          <w:highlight w:val="none"/>
        </w:rPr>
      </w:pPr>
    </w:p>
    <w:p w14:paraId="5861A1F9">
      <w:pPr>
        <w:spacing w:line="360" w:lineRule="auto"/>
        <w:ind w:firstLine="549" w:firstLineChars="229"/>
        <w:rPr>
          <w:rFonts w:hint="eastAsia" w:ascii="宋体" w:hAnsi="宋体" w:cs="宋体"/>
          <w:sz w:val="24"/>
          <w:highlight w:val="none"/>
        </w:rPr>
      </w:pPr>
    </w:p>
    <w:p w14:paraId="3924D75B">
      <w:pPr>
        <w:spacing w:line="360" w:lineRule="auto"/>
        <w:ind w:firstLine="549" w:firstLineChars="229"/>
        <w:rPr>
          <w:rFonts w:hint="eastAsia" w:ascii="宋体" w:hAnsi="宋体" w:cs="宋体"/>
          <w:sz w:val="24"/>
          <w:highlight w:val="none"/>
        </w:rPr>
      </w:pPr>
    </w:p>
    <w:p w14:paraId="1105F6AA">
      <w:pPr>
        <w:spacing w:line="360" w:lineRule="auto"/>
        <w:ind w:firstLine="549" w:firstLineChars="229"/>
        <w:rPr>
          <w:rFonts w:hint="eastAsia" w:ascii="宋体" w:hAnsi="宋体" w:cs="宋体"/>
          <w:sz w:val="24"/>
          <w:highlight w:val="none"/>
        </w:rPr>
      </w:pPr>
    </w:p>
    <w:p w14:paraId="20581469">
      <w:pPr>
        <w:spacing w:line="360" w:lineRule="auto"/>
        <w:ind w:firstLine="549" w:firstLineChars="229"/>
        <w:rPr>
          <w:rFonts w:hint="eastAsia" w:ascii="宋体" w:hAnsi="宋体" w:cs="宋体"/>
          <w:sz w:val="24"/>
          <w:highlight w:val="none"/>
        </w:rPr>
      </w:pPr>
    </w:p>
    <w:p w14:paraId="1AECAEF3">
      <w:pPr>
        <w:spacing w:line="360" w:lineRule="auto"/>
        <w:ind w:firstLine="549" w:firstLineChars="229"/>
        <w:rPr>
          <w:rFonts w:hint="eastAsia" w:ascii="宋体" w:hAnsi="宋体" w:cs="宋体"/>
          <w:sz w:val="24"/>
          <w:highlight w:val="none"/>
        </w:rPr>
      </w:pPr>
    </w:p>
    <w:p w14:paraId="2AD4B359">
      <w:pPr>
        <w:spacing w:line="360" w:lineRule="auto"/>
        <w:ind w:firstLine="549" w:firstLineChars="229"/>
        <w:rPr>
          <w:rFonts w:hint="eastAsia" w:ascii="宋体" w:hAnsi="宋体" w:cs="宋体"/>
          <w:sz w:val="24"/>
          <w:highlight w:val="none"/>
        </w:rPr>
      </w:pPr>
    </w:p>
    <w:p w14:paraId="55EAD4E7">
      <w:pPr>
        <w:spacing w:line="360" w:lineRule="auto"/>
        <w:ind w:firstLine="549" w:firstLineChars="229"/>
        <w:rPr>
          <w:rFonts w:hint="eastAsia" w:ascii="宋体" w:hAnsi="宋体" w:cs="宋体"/>
          <w:sz w:val="24"/>
          <w:highlight w:val="none"/>
        </w:rPr>
      </w:pPr>
    </w:p>
    <w:p w14:paraId="694645DD">
      <w:pPr>
        <w:spacing w:line="360" w:lineRule="auto"/>
        <w:rPr>
          <w:rFonts w:hint="eastAsia" w:ascii="宋体" w:hAnsi="宋体" w:cs="宋体"/>
          <w:sz w:val="24"/>
          <w:highlight w:val="none"/>
        </w:rPr>
      </w:pPr>
    </w:p>
    <w:p w14:paraId="7BB7BA7D">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697795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79D4EBA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杭州高级中学临平学校校园网络建设二期项目</w:t>
      </w:r>
      <w:r>
        <w:rPr>
          <w:rFonts w:hint="eastAsia" w:ascii="宋体" w:hAnsi="宋体" w:cs="宋体"/>
          <w:sz w:val="24"/>
          <w:highlight w:val="none"/>
        </w:rPr>
        <w:t>招标项目的潜在投标人应在杭州市教育局非依法招标（小额）项目平台</w:t>
      </w:r>
      <w:r>
        <w:rPr>
          <w:rFonts w:hint="eastAsia" w:ascii="宋体" w:hAnsi="宋体" w:cs="宋体"/>
          <w:bCs/>
          <w:sz w:val="24"/>
          <w:highlight w:val="none"/>
        </w:rPr>
        <w:t>https://hzjyg.lecaiyun.com/</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sz w:val="24"/>
          <w:highlight w:val="none"/>
        </w:rPr>
        <w:fldChar w:fldCharType="end"/>
      </w:r>
      <w:r>
        <w:rPr>
          <w:rFonts w:hint="eastAsia" w:ascii="宋体" w:hAnsi="宋体" w:cs="宋体"/>
          <w:sz w:val="24"/>
          <w:highlight w:val="none"/>
          <w:lang w:val="en-US" w:eastAsia="zh-CN"/>
        </w:rPr>
        <w:t>13</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0（北京时间）前</w:t>
      </w:r>
      <w:r>
        <w:rPr>
          <w:rFonts w:hint="eastAsia" w:ascii="宋体" w:hAnsi="宋体" w:cs="宋体"/>
          <w:sz w:val="24"/>
          <w:highlight w:val="none"/>
        </w:rPr>
        <w:t>递交（上传）投标文件。</w:t>
      </w:r>
    </w:p>
    <w:p w14:paraId="13CF5374">
      <w:pPr>
        <w:spacing w:line="360" w:lineRule="auto"/>
        <w:rPr>
          <w:rFonts w:hint="eastAsia" w:ascii="宋体" w:hAnsi="宋体" w:cs="宋体"/>
          <w:b/>
          <w:sz w:val="24"/>
          <w:highlight w:val="none"/>
        </w:rPr>
      </w:pPr>
    </w:p>
    <w:p w14:paraId="151DAE02">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73CAEFD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项目编号：</w:t>
      </w:r>
      <w:r>
        <w:rPr>
          <w:rFonts w:hint="eastAsia" w:ascii="宋体" w:hAnsi="宋体" w:cs="宋体"/>
          <w:sz w:val="24"/>
          <w:highlight w:val="none"/>
          <w:lang w:eastAsia="zh-CN"/>
        </w:rPr>
        <w:t>ZJOB-HGLP-2025006</w:t>
      </w:r>
    </w:p>
    <w:p w14:paraId="448C5E93">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项目名称：</w:t>
      </w:r>
      <w:r>
        <w:rPr>
          <w:rFonts w:hint="eastAsia" w:ascii="宋体" w:hAnsi="宋体" w:cs="宋体"/>
          <w:sz w:val="24"/>
          <w:highlight w:val="none"/>
          <w:lang w:eastAsia="zh-CN"/>
        </w:rPr>
        <w:t>杭州高级中学临平学校校园网络建设二期项目</w:t>
      </w:r>
    </w:p>
    <w:p w14:paraId="0C1F42F8">
      <w:pPr>
        <w:spacing w:line="360" w:lineRule="auto"/>
        <w:rPr>
          <w:rFonts w:hint="eastAsia" w:ascii="宋体" w:hAnsi="宋体" w:cs="宋体"/>
          <w:sz w:val="24"/>
          <w:highlight w:val="none"/>
        </w:rPr>
      </w:pPr>
      <w:r>
        <w:rPr>
          <w:rFonts w:hint="eastAsia" w:ascii="宋体" w:hAnsi="宋体" w:cs="宋体"/>
          <w:sz w:val="24"/>
          <w:highlight w:val="none"/>
        </w:rPr>
        <w:t xml:space="preserve">    预算金额（元）：</w:t>
      </w:r>
      <w:r>
        <w:rPr>
          <w:rFonts w:hint="eastAsia" w:ascii="宋体" w:hAnsi="宋体" w:cs="宋体"/>
          <w:sz w:val="24"/>
          <w:highlight w:val="none"/>
          <w:lang w:val="en-US" w:eastAsia="zh-CN"/>
        </w:rPr>
        <w:t xml:space="preserve">830000.00 </w:t>
      </w:r>
      <w:r>
        <w:rPr>
          <w:rFonts w:hint="eastAsia" w:ascii="宋体" w:hAnsi="宋体" w:cs="宋体"/>
          <w:sz w:val="24"/>
          <w:highlight w:val="none"/>
        </w:rPr>
        <w:t xml:space="preserve"> </w:t>
      </w:r>
    </w:p>
    <w:p w14:paraId="0ED7C818">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最高限价（元）：</w:t>
      </w:r>
      <w:r>
        <w:rPr>
          <w:rFonts w:hint="eastAsia" w:ascii="宋体" w:hAnsi="宋体" w:cs="宋体"/>
          <w:sz w:val="24"/>
          <w:highlight w:val="none"/>
          <w:lang w:val="en-US" w:eastAsia="zh-CN"/>
        </w:rPr>
        <w:t xml:space="preserve">830000.00 </w:t>
      </w:r>
    </w:p>
    <w:p w14:paraId="18B07467">
      <w:pPr>
        <w:pStyle w:val="5"/>
        <w:spacing w:line="360" w:lineRule="auto"/>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p>
    <w:p w14:paraId="1207A587">
      <w:pPr>
        <w:pStyle w:val="5"/>
        <w:spacing w:line="360" w:lineRule="auto"/>
        <w:ind w:firstLine="480"/>
        <w:rPr>
          <w:rFonts w:hint="eastAsia"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杭州高级中学临平学校校园网络建设二期项目</w:t>
      </w:r>
      <w:r>
        <w:rPr>
          <w:rFonts w:hint="eastAsia" w:hAnsi="宋体" w:cs="宋体"/>
          <w:snapToGrid/>
          <w:color w:val="auto"/>
          <w:kern w:val="2"/>
          <w:sz w:val="24"/>
          <w:szCs w:val="24"/>
          <w:highlight w:val="none"/>
        </w:rPr>
        <w:t xml:space="preserve">  </w:t>
      </w:r>
    </w:p>
    <w:p w14:paraId="5069CE66">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3C3166F6">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 xml:space="preserve">830000.00 </w:t>
      </w:r>
    </w:p>
    <w:p w14:paraId="624BC80D">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简要规格描述或项目基本概况介绍、用途：拟采购24口万兆上行接入交换机、48口万兆上行接入交换机、8口万兆上行POE接入交换机（光纤入室）、万兆堆叠模块等，详见招标文件第三部分采购需求。</w:t>
      </w:r>
    </w:p>
    <w:p w14:paraId="3AA8F685">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35DB713E">
      <w:pPr>
        <w:pStyle w:val="5"/>
        <w:spacing w:line="360" w:lineRule="auto"/>
        <w:ind w:firstLine="480"/>
        <w:rPr>
          <w:rFonts w:hint="default" w:eastAsia="宋体" w:asciiTheme="minorEastAsia" w:hAnsiTheme="minorEastAsia" w:cstheme="minorEastAsia"/>
          <w:color w:val="auto"/>
          <w:sz w:val="24"/>
          <w:highlight w:val="none"/>
          <w:lang w:val="en-US" w:eastAsia="zh-CN"/>
        </w:rPr>
      </w:pPr>
      <w:r>
        <w:rPr>
          <w:rFonts w:hint="eastAsia" w:hAnsi="宋体" w:cs="宋体"/>
          <w:bCs/>
          <w:snapToGrid/>
          <w:color w:val="auto"/>
          <w:kern w:val="2"/>
          <w:sz w:val="24"/>
          <w:szCs w:val="24"/>
          <w:highlight w:val="none"/>
        </w:rPr>
        <w:t>合同履约期限：</w:t>
      </w:r>
      <w:r>
        <w:rPr>
          <w:rFonts w:hint="eastAsia" w:ascii="宋体" w:hAnsi="宋体" w:cs="宋体"/>
          <w:b/>
          <w:bCs w:val="0"/>
          <w:snapToGrid/>
          <w:color w:val="auto"/>
          <w:kern w:val="2"/>
          <w:sz w:val="24"/>
          <w:szCs w:val="24"/>
          <w:highlight w:val="none"/>
          <w:lang w:eastAsia="zh-CN"/>
        </w:rPr>
        <w:t>2025年8月</w:t>
      </w:r>
      <w:r>
        <w:rPr>
          <w:rFonts w:hint="eastAsia" w:hAnsi="宋体" w:cs="宋体"/>
          <w:b/>
          <w:bCs w:val="0"/>
          <w:snapToGrid/>
          <w:color w:val="auto"/>
          <w:kern w:val="2"/>
          <w:sz w:val="24"/>
          <w:szCs w:val="24"/>
          <w:highlight w:val="none"/>
          <w:lang w:eastAsia="zh-CN"/>
        </w:rPr>
        <w:t>2</w:t>
      </w:r>
      <w:r>
        <w:rPr>
          <w:rFonts w:hint="eastAsia" w:hAnsi="宋体" w:cs="宋体"/>
          <w:b/>
          <w:bCs w:val="0"/>
          <w:snapToGrid/>
          <w:color w:val="auto"/>
          <w:kern w:val="2"/>
          <w:sz w:val="24"/>
          <w:szCs w:val="24"/>
          <w:highlight w:val="none"/>
          <w:lang w:val="en-US" w:eastAsia="zh-CN"/>
        </w:rPr>
        <w:t>5</w:t>
      </w:r>
      <w:r>
        <w:rPr>
          <w:rFonts w:hint="eastAsia" w:ascii="宋体" w:hAnsi="宋体" w:cs="宋体"/>
          <w:b/>
          <w:bCs w:val="0"/>
          <w:snapToGrid/>
          <w:color w:val="auto"/>
          <w:kern w:val="2"/>
          <w:sz w:val="24"/>
          <w:szCs w:val="24"/>
          <w:highlight w:val="none"/>
          <w:lang w:eastAsia="zh-CN"/>
        </w:rPr>
        <w:t>日前完成供货、安装调试及验收完成</w:t>
      </w:r>
      <w:r>
        <w:rPr>
          <w:rFonts w:hint="eastAsia" w:ascii="宋体" w:hAnsi="宋体" w:eastAsia="宋体" w:cs="宋体"/>
          <w:bCs/>
          <w:snapToGrid/>
          <w:color w:val="auto"/>
          <w:kern w:val="2"/>
          <w:sz w:val="24"/>
          <w:szCs w:val="24"/>
          <w:highlight w:val="none"/>
        </w:rPr>
        <w:t>。</w:t>
      </w:r>
    </w:p>
    <w:p w14:paraId="17FB5495">
      <w:pPr>
        <w:pStyle w:val="5"/>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340076D4">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7C078EDA">
      <w:pPr>
        <w:spacing w:line="360" w:lineRule="auto"/>
        <w:ind w:firstLine="480"/>
        <w:jc w:val="left"/>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CB4B116">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.落实采购政策需满足的资格要求：</w:t>
      </w:r>
    </w:p>
    <w:p w14:paraId="43025DCB">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4C72C3F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3.本项目的特定资格要求：无。</w:t>
      </w:r>
    </w:p>
    <w:p w14:paraId="0B19D7E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4B79BD26">
      <w:pPr>
        <w:spacing w:line="360" w:lineRule="auto"/>
        <w:rPr>
          <w:rFonts w:hint="eastAsia" w:ascii="宋体" w:hAnsi="宋体" w:cs="宋体"/>
          <w:b/>
          <w:sz w:val="24"/>
          <w:highlight w:val="none"/>
        </w:rPr>
      </w:pPr>
      <w:r>
        <w:rPr>
          <w:rFonts w:hint="eastAsia" w:ascii="宋体" w:hAnsi="宋体" w:cs="宋体"/>
          <w:b/>
          <w:sz w:val="24"/>
          <w:highlight w:val="none"/>
        </w:rPr>
        <w:t xml:space="preserve">三、获取招标文件 </w:t>
      </w:r>
    </w:p>
    <w:p w14:paraId="6597525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时间：202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bCs/>
          <w:sz w:val="24"/>
          <w:highlight w:val="none"/>
          <w:lang w:val="en-US" w:eastAsia="zh-CN"/>
        </w:rPr>
        <w:t>7</w:t>
      </w:r>
      <w:r>
        <w:rPr>
          <w:rFonts w:hint="eastAsia" w:ascii="宋体" w:hAnsi="宋体" w:cs="宋体"/>
          <w:bCs/>
          <w:sz w:val="24"/>
          <w:highlight w:val="none"/>
        </w:rPr>
        <w:t>月</w:t>
      </w:r>
      <w:r>
        <w:rPr>
          <w:rFonts w:hint="eastAsia" w:ascii="宋体" w:hAnsi="宋体" w:cs="宋体"/>
          <w:bCs/>
          <w:sz w:val="24"/>
          <w:highlight w:val="none"/>
          <w:lang w:val="en-US" w:eastAsia="zh-CN"/>
        </w:rPr>
        <w:t>1</w:t>
      </w:r>
      <w:r>
        <w:rPr>
          <w:rFonts w:hint="eastAsia" w:ascii="宋体" w:hAnsi="宋体" w:cs="宋体"/>
          <w:bCs/>
          <w:sz w:val="24"/>
          <w:highlight w:val="none"/>
        </w:rPr>
        <w:t>日至202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eastAsia" w:ascii="宋体" w:hAnsi="宋体" w:cs="宋体"/>
          <w:bCs/>
          <w:sz w:val="24"/>
          <w:highlight w:val="none"/>
        </w:rPr>
        <w:t>，每天上午00:00至12:00 ，下午12:00至23:59（北京时间，线上获取法定节假日均可，线下获取文件法定节假日除外）</w:t>
      </w:r>
    </w:p>
    <w:p w14:paraId="42145B9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地点（网址）：</w:t>
      </w:r>
      <w:r>
        <w:rPr>
          <w:rFonts w:hint="eastAsia" w:ascii="宋体" w:hAnsi="宋体" w:cs="宋体"/>
          <w:sz w:val="24"/>
          <w:highlight w:val="none"/>
        </w:rPr>
        <w:t>乐采云平台（https://hzjyg.lecaiyun.com）</w:t>
      </w:r>
      <w:r>
        <w:rPr>
          <w:rFonts w:hint="eastAsia" w:ascii="宋体" w:hAnsi="宋体" w:cs="宋体"/>
          <w:bCs/>
          <w:sz w:val="24"/>
          <w:highlight w:val="none"/>
        </w:rPr>
        <w:t xml:space="preserve">线上获取 </w:t>
      </w:r>
    </w:p>
    <w:p w14:paraId="26E0C69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方式：供应商登录</w:t>
      </w:r>
      <w:r>
        <w:rPr>
          <w:rFonts w:hint="eastAsia" w:ascii="宋体" w:hAnsi="宋体" w:cs="宋体"/>
          <w:sz w:val="24"/>
          <w:highlight w:val="none"/>
        </w:rPr>
        <w:t>乐采云平台</w:t>
      </w:r>
      <w:r>
        <w:rPr>
          <w:rFonts w:hint="eastAsia" w:ascii="宋体" w:hAnsi="宋体" w:cs="宋体"/>
          <w:bCs/>
          <w:sz w:val="24"/>
          <w:highlight w:val="none"/>
        </w:rPr>
        <w:t xml:space="preserve">https://hzjyg.lecaiyun.com/在线申请获取采购文件（进入“项目采购”应用，在获取采购文件菜单中选择项目，申请获取采购文件）  </w:t>
      </w:r>
    </w:p>
    <w:p w14:paraId="46C912DD">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14:paraId="2FF6D1A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提交投标文件截止时间：202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bCs/>
          <w:sz w:val="24"/>
          <w:highlight w:val="none"/>
        </w:rPr>
        <w:t xml:space="preserve"> </w:t>
      </w:r>
      <w:r>
        <w:rPr>
          <w:rFonts w:hint="eastAsia" w:ascii="宋体" w:hAnsi="宋体" w:cs="宋体"/>
          <w:bCs/>
          <w:sz w:val="24"/>
          <w:highlight w:val="none"/>
          <w:lang w:val="en-US" w:eastAsia="zh-CN"/>
        </w:rPr>
        <w:t>13</w:t>
      </w:r>
      <w:r>
        <w:rPr>
          <w:rFonts w:hint="eastAsia" w:ascii="宋体" w:hAnsi="宋体" w:cs="宋体"/>
          <w:bCs/>
          <w:sz w:val="24"/>
          <w:highlight w:val="none"/>
        </w:rPr>
        <w:t>:</w:t>
      </w:r>
      <w:r>
        <w:rPr>
          <w:rFonts w:hint="eastAsia" w:ascii="宋体" w:hAnsi="宋体" w:cs="宋体"/>
          <w:bCs/>
          <w:sz w:val="24"/>
          <w:highlight w:val="none"/>
          <w:lang w:val="en-US" w:eastAsia="zh-CN"/>
        </w:rPr>
        <w:t>30</w:t>
      </w:r>
      <w:r>
        <w:rPr>
          <w:rFonts w:hint="eastAsia" w:ascii="宋体" w:hAnsi="宋体" w:cs="宋体"/>
          <w:bCs/>
          <w:sz w:val="24"/>
          <w:highlight w:val="none"/>
        </w:rPr>
        <w:t>（北京时间）</w:t>
      </w:r>
    </w:p>
    <w:p w14:paraId="27DD645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投标地点（网址）：通过</w:t>
      </w:r>
      <w:r>
        <w:rPr>
          <w:rFonts w:hint="eastAsia" w:ascii="宋体" w:hAnsi="宋体" w:cs="宋体"/>
          <w:sz w:val="24"/>
          <w:highlight w:val="none"/>
        </w:rPr>
        <w:t>乐采云平台（https://hzjyg.lecaiyun.com）</w:t>
      </w:r>
      <w:r>
        <w:rPr>
          <w:rFonts w:hint="eastAsia" w:ascii="宋体" w:hAnsi="宋体" w:cs="宋体"/>
          <w:bCs/>
          <w:sz w:val="24"/>
          <w:highlight w:val="none"/>
        </w:rPr>
        <w:t xml:space="preserve">在线递交 </w:t>
      </w:r>
    </w:p>
    <w:p w14:paraId="5E00C9D2">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开标时间：202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bCs/>
          <w:sz w:val="24"/>
          <w:highlight w:val="none"/>
        </w:rPr>
        <w:t xml:space="preserve"> </w:t>
      </w:r>
      <w:r>
        <w:rPr>
          <w:rFonts w:hint="eastAsia" w:ascii="宋体" w:hAnsi="宋体" w:cs="宋体"/>
          <w:bCs/>
          <w:sz w:val="24"/>
          <w:highlight w:val="none"/>
          <w:lang w:val="en-US" w:eastAsia="zh-CN"/>
        </w:rPr>
        <w:t>13</w:t>
      </w:r>
      <w:r>
        <w:rPr>
          <w:rFonts w:hint="eastAsia" w:ascii="宋体" w:hAnsi="宋体" w:cs="宋体"/>
          <w:bCs/>
          <w:sz w:val="24"/>
          <w:highlight w:val="none"/>
        </w:rPr>
        <w:t>:</w:t>
      </w:r>
      <w:r>
        <w:rPr>
          <w:rFonts w:hint="eastAsia" w:ascii="宋体" w:hAnsi="宋体" w:cs="宋体"/>
          <w:bCs/>
          <w:sz w:val="24"/>
          <w:highlight w:val="none"/>
          <w:lang w:val="en-US" w:eastAsia="zh-CN"/>
        </w:rPr>
        <w:t>30</w:t>
      </w:r>
      <w:r>
        <w:rPr>
          <w:rFonts w:hint="eastAsia" w:ascii="宋体" w:hAnsi="宋体" w:cs="宋体"/>
          <w:bCs/>
          <w:sz w:val="24"/>
          <w:highlight w:val="none"/>
        </w:rPr>
        <w:t>（北京时间）</w:t>
      </w:r>
    </w:p>
    <w:p w14:paraId="2A5F20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开标地点（网址）：</w:t>
      </w:r>
      <w:r>
        <w:rPr>
          <w:rFonts w:hint="eastAsia" w:ascii="宋体" w:hAnsi="宋体" w:cs="宋体"/>
          <w:sz w:val="24"/>
          <w:highlight w:val="none"/>
        </w:rPr>
        <w:t>乐采云平台（https://hzjyg.lecaiyun.com）</w:t>
      </w:r>
    </w:p>
    <w:p w14:paraId="1DB8001E">
      <w:pPr>
        <w:spacing w:line="360" w:lineRule="auto"/>
        <w:rPr>
          <w:rFonts w:hint="eastAsia" w:ascii="宋体" w:hAnsi="宋体" w:cs="宋体"/>
          <w:sz w:val="24"/>
          <w:highlight w:val="none"/>
        </w:rPr>
      </w:pPr>
      <w:r>
        <w:rPr>
          <w:rFonts w:hint="eastAsia" w:ascii="宋体" w:hAnsi="宋体" w:cs="宋体"/>
          <w:b/>
          <w:sz w:val="24"/>
          <w:highlight w:val="none"/>
        </w:rPr>
        <w:t xml:space="preserve">五、公告期限 </w:t>
      </w:r>
    </w:p>
    <w:p w14:paraId="6633CB08">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自本公告发布之日起5个工作日。</w:t>
      </w:r>
    </w:p>
    <w:p w14:paraId="75570458">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14:paraId="693CD9F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7273B29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2.其他事项：</w:t>
      </w:r>
    </w:p>
    <w:p w14:paraId="2858B92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1A899D2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20CAA4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（3）招标文件公告期限与招标公告的公告期限一致。</w:t>
      </w:r>
    </w:p>
    <w:p w14:paraId="1668620F">
      <w:pPr>
        <w:spacing w:line="360" w:lineRule="auto"/>
        <w:rPr>
          <w:rFonts w:hint="eastAsia" w:ascii="宋体" w:hAnsi="宋体" w:cs="宋体"/>
          <w:b/>
          <w:sz w:val="24"/>
          <w:highlight w:val="none"/>
        </w:rPr>
      </w:pPr>
      <w:r>
        <w:rPr>
          <w:rFonts w:hint="eastAsia" w:ascii="宋体" w:hAnsi="宋体" w:cs="宋体"/>
          <w:b/>
          <w:sz w:val="24"/>
          <w:highlight w:val="none"/>
        </w:rPr>
        <w:t>七、对本次采购提出询问、质疑、投诉，请按以下方式联系</w:t>
      </w:r>
    </w:p>
    <w:p w14:paraId="34FE6AD3">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6DAFD7B0">
      <w:pPr>
        <w:spacing w:line="360" w:lineRule="auto"/>
        <w:ind w:firstLine="480" w:firstLineChars="200"/>
        <w:rPr>
          <w:rFonts w:hint="eastAsia" w:ascii="宋体" w:hAnsi="宋体"/>
          <w:sz w:val="24"/>
          <w:highlight w:val="none"/>
        </w:rPr>
      </w:pPr>
      <w:r>
        <w:rPr>
          <w:rFonts w:hint="eastAsia" w:ascii="宋体" w:hAnsi="宋体"/>
          <w:sz w:val="24"/>
          <w:highlight w:val="none"/>
        </w:rPr>
        <w:t>名称：</w:t>
      </w:r>
      <w:r>
        <w:rPr>
          <w:rFonts w:hint="eastAsia" w:ascii="宋体" w:hAnsi="宋体" w:cs="宋体"/>
          <w:sz w:val="24"/>
          <w:highlight w:val="none"/>
        </w:rPr>
        <w:t>杭州高级中学临平学校</w:t>
      </w:r>
      <w:r>
        <w:rPr>
          <w:rFonts w:hint="eastAsia" w:ascii="宋体" w:hAnsi="宋体"/>
          <w:sz w:val="24"/>
          <w:highlight w:val="none"/>
        </w:rPr>
        <w:t> </w:t>
      </w:r>
    </w:p>
    <w:p w14:paraId="61E37E25">
      <w:pPr>
        <w:spacing w:line="360" w:lineRule="auto"/>
        <w:ind w:firstLine="480" w:firstLineChars="200"/>
        <w:rPr>
          <w:rFonts w:hint="eastAsia" w:ascii="宋体" w:hAnsi="宋体"/>
          <w:sz w:val="24"/>
          <w:highlight w:val="none"/>
        </w:rPr>
      </w:pPr>
      <w:r>
        <w:rPr>
          <w:rFonts w:hint="eastAsia" w:ascii="宋体" w:hAnsi="宋体"/>
          <w:sz w:val="24"/>
          <w:highlight w:val="none"/>
        </w:rPr>
        <w:t>地址：</w:t>
      </w:r>
      <w:r>
        <w:rPr>
          <w:rFonts w:hint="eastAsia" w:ascii="宋体" w:hAnsi="宋体" w:cs="宋体"/>
          <w:sz w:val="24"/>
          <w:highlight w:val="none"/>
        </w:rPr>
        <w:t>杭州市临平区南苑街道鑫业路</w:t>
      </w:r>
      <w:r>
        <w:rPr>
          <w:rFonts w:hint="eastAsia" w:ascii="宋体" w:hAnsi="宋体" w:cs="宋体"/>
          <w:sz w:val="24"/>
          <w:highlight w:val="none"/>
          <w:lang w:val="en-US" w:eastAsia="zh-CN"/>
        </w:rPr>
        <w:t>188号</w:t>
      </w:r>
      <w:r>
        <w:rPr>
          <w:rFonts w:hint="eastAsia" w:ascii="宋体" w:hAnsi="宋体"/>
          <w:sz w:val="24"/>
          <w:highlight w:val="none"/>
        </w:rPr>
        <w:t> </w:t>
      </w:r>
    </w:p>
    <w:p w14:paraId="52D900D8">
      <w:pPr>
        <w:spacing w:line="360" w:lineRule="auto"/>
        <w:ind w:firstLine="480" w:firstLineChars="200"/>
        <w:rPr>
          <w:rFonts w:hint="eastAsia" w:ascii="宋体" w:hAnsi="宋体"/>
          <w:sz w:val="24"/>
          <w:highlight w:val="none"/>
        </w:rPr>
      </w:pPr>
      <w:r>
        <w:rPr>
          <w:rFonts w:hint="eastAsia" w:ascii="宋体" w:hAnsi="宋体"/>
          <w:sz w:val="24"/>
          <w:highlight w:val="none"/>
        </w:rPr>
        <w:t>传真：/  </w:t>
      </w:r>
    </w:p>
    <w:p w14:paraId="1EE4CB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周老师</w:t>
      </w:r>
      <w:r>
        <w:rPr>
          <w:rFonts w:hint="eastAsia" w:ascii="宋体" w:hAnsi="宋体"/>
          <w:color w:val="auto"/>
          <w:sz w:val="24"/>
          <w:highlight w:val="none"/>
        </w:rPr>
        <w:t> </w:t>
      </w:r>
    </w:p>
    <w:p w14:paraId="1481755C">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项目联系方式（询问）：</w:t>
      </w:r>
      <w:r>
        <w:rPr>
          <w:rFonts w:hint="eastAsia" w:ascii="宋体" w:hAnsi="宋体"/>
          <w:color w:val="auto"/>
          <w:sz w:val="24"/>
          <w:highlight w:val="none"/>
          <w:lang w:val="en-US" w:eastAsia="zh-CN"/>
        </w:rPr>
        <w:t>0571-56611058</w:t>
      </w:r>
    </w:p>
    <w:p w14:paraId="2F20E3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刘</w:t>
      </w:r>
      <w:r>
        <w:rPr>
          <w:rFonts w:hint="eastAsia" w:ascii="宋体" w:hAnsi="宋体" w:cs="宋体"/>
          <w:color w:val="auto"/>
          <w:sz w:val="24"/>
          <w:highlight w:val="none"/>
        </w:rPr>
        <w:t>老师</w:t>
      </w:r>
      <w:r>
        <w:rPr>
          <w:rFonts w:hint="eastAsia" w:ascii="宋体" w:hAnsi="宋体"/>
          <w:color w:val="auto"/>
          <w:sz w:val="24"/>
          <w:highlight w:val="none"/>
        </w:rPr>
        <w:t>    </w:t>
      </w:r>
    </w:p>
    <w:p w14:paraId="40D17E3A">
      <w:pPr>
        <w:spacing w:line="360" w:lineRule="auto"/>
        <w:ind w:firstLine="480" w:firstLineChars="200"/>
        <w:rPr>
          <w:rFonts w:hint="eastAsia" w:ascii="宋体" w:hAnsi="宋体"/>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0571-56611056</w:t>
      </w:r>
      <w:r>
        <w:rPr>
          <w:rFonts w:hint="eastAsia" w:ascii="宋体" w:hAnsi="宋体"/>
          <w:color w:val="auto"/>
          <w:sz w:val="24"/>
          <w:highlight w:val="none"/>
        </w:rPr>
        <w:t> </w:t>
      </w:r>
      <w:r>
        <w:rPr>
          <w:rFonts w:hint="eastAsia" w:ascii="宋体" w:hAnsi="宋体"/>
          <w:sz w:val="24"/>
          <w:highlight w:val="none"/>
        </w:rPr>
        <w:t xml:space="preserve">   </w:t>
      </w:r>
    </w:p>
    <w:p w14:paraId="1252215E">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       </w:t>
      </w:r>
    </w:p>
    <w:p w14:paraId="42EC91BE">
      <w:pPr>
        <w:spacing w:line="360" w:lineRule="auto"/>
        <w:ind w:firstLine="480"/>
        <w:rPr>
          <w:rFonts w:hint="eastAsia" w:ascii="宋体" w:hAnsi="宋体" w:cs="宋体"/>
          <w:sz w:val="24"/>
          <w:highlight w:val="none"/>
        </w:rPr>
      </w:pPr>
      <w:r>
        <w:rPr>
          <w:rFonts w:hint="eastAsia" w:ascii="宋体" w:hAnsi="宋体" w:cs="宋体"/>
          <w:sz w:val="24"/>
          <w:highlight w:val="none"/>
        </w:rPr>
        <w:t>名    称：欧邦工程管理集团有限公司</w:t>
      </w:r>
    </w:p>
    <w:p w14:paraId="089FF227">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址：杭州市文一西路558号绿城西溪诚园诚公馆1号楼9楼</w:t>
      </w:r>
    </w:p>
    <w:p w14:paraId="7B198A9F">
      <w:pPr>
        <w:spacing w:line="360" w:lineRule="auto"/>
        <w:rPr>
          <w:rFonts w:hint="eastAsia" w:ascii="宋体" w:hAnsi="宋体" w:cs="宋体"/>
          <w:sz w:val="24"/>
          <w:highlight w:val="none"/>
        </w:rPr>
      </w:pPr>
      <w:r>
        <w:rPr>
          <w:rFonts w:hint="eastAsia" w:ascii="宋体" w:hAnsi="宋体" w:cs="宋体"/>
          <w:sz w:val="24"/>
          <w:highlight w:val="none"/>
        </w:rPr>
        <w:t xml:space="preserve">    传    真：0571-88808387 </w:t>
      </w:r>
    </w:p>
    <w:p w14:paraId="1DE7E868">
      <w:pPr>
        <w:spacing w:line="360" w:lineRule="auto"/>
        <w:rPr>
          <w:rFonts w:hint="eastAsia" w:ascii="宋体" w:hAnsi="宋体" w:cs="宋体"/>
          <w:sz w:val="24"/>
          <w:highlight w:val="none"/>
        </w:rPr>
      </w:pPr>
      <w:r>
        <w:rPr>
          <w:rFonts w:hint="eastAsia" w:ascii="宋体" w:hAnsi="宋体" w:cs="宋体"/>
          <w:sz w:val="24"/>
          <w:highlight w:val="none"/>
        </w:rPr>
        <w:t xml:space="preserve">    项目联系人（询问）：张琛 </w:t>
      </w:r>
    </w:p>
    <w:p w14:paraId="64CB8DF5">
      <w:pPr>
        <w:spacing w:line="360" w:lineRule="auto"/>
        <w:rPr>
          <w:rFonts w:hint="eastAsia" w:ascii="宋体" w:hAnsi="宋体" w:cs="宋体"/>
          <w:sz w:val="24"/>
          <w:highlight w:val="none"/>
        </w:rPr>
      </w:pPr>
      <w:r>
        <w:rPr>
          <w:rFonts w:hint="eastAsia" w:ascii="宋体" w:hAnsi="宋体" w:cs="宋体"/>
          <w:sz w:val="24"/>
          <w:highlight w:val="none"/>
        </w:rPr>
        <w:t xml:space="preserve">    项目联系方式（询问）：13758250560</w:t>
      </w:r>
    </w:p>
    <w:p w14:paraId="7011E856">
      <w:pPr>
        <w:spacing w:line="360" w:lineRule="auto"/>
        <w:rPr>
          <w:rFonts w:hint="eastAsia" w:ascii="宋体" w:hAnsi="宋体" w:cs="宋体"/>
          <w:sz w:val="24"/>
          <w:highlight w:val="none"/>
        </w:rPr>
      </w:pPr>
      <w:r>
        <w:rPr>
          <w:rFonts w:hint="eastAsia" w:ascii="宋体" w:hAnsi="宋体" w:cs="宋体"/>
          <w:sz w:val="24"/>
          <w:highlight w:val="none"/>
        </w:rPr>
        <w:t xml:space="preserve">    质疑联系人：周波 </w:t>
      </w:r>
    </w:p>
    <w:p w14:paraId="7A0B2080">
      <w:pPr>
        <w:spacing w:line="360" w:lineRule="auto"/>
        <w:rPr>
          <w:rFonts w:hint="eastAsia" w:ascii="宋体" w:hAnsi="宋体" w:cs="宋体"/>
          <w:sz w:val="24"/>
          <w:highlight w:val="none"/>
        </w:rPr>
      </w:pPr>
      <w:r>
        <w:rPr>
          <w:rFonts w:hint="eastAsia" w:ascii="宋体" w:hAnsi="宋体" w:cs="宋体"/>
          <w:sz w:val="24"/>
          <w:highlight w:val="none"/>
        </w:rPr>
        <w:t xml:space="preserve">    质疑联系方式：0571-87209515</w:t>
      </w:r>
    </w:p>
    <w:p w14:paraId="0ED87984">
      <w:pPr>
        <w:spacing w:line="360" w:lineRule="auto"/>
        <w:ind w:firstLine="480" w:firstLineChars="200"/>
        <w:rPr>
          <w:rFonts w:hint="eastAsia" w:ascii="宋体" w:hAnsi="宋体"/>
          <w:sz w:val="24"/>
          <w:highlight w:val="none"/>
        </w:rPr>
      </w:pPr>
      <w:r>
        <w:rPr>
          <w:rFonts w:hint="eastAsia" w:ascii="宋体" w:hAnsi="宋体"/>
          <w:sz w:val="24"/>
          <w:highlight w:val="none"/>
        </w:rPr>
        <w:t>　　</w:t>
      </w:r>
    </w:p>
    <w:p w14:paraId="2EDC71DA">
      <w:pPr>
        <w:spacing w:line="360" w:lineRule="auto"/>
        <w:ind w:firstLine="480" w:firstLineChars="200"/>
        <w:rPr>
          <w:rFonts w:hint="eastAsia" w:ascii="宋体" w:hAnsi="宋体"/>
          <w:sz w:val="24"/>
          <w:highlight w:val="none"/>
        </w:rPr>
      </w:pPr>
      <w:r>
        <w:rPr>
          <w:rFonts w:hint="eastAsia" w:ascii="宋体" w:hAnsi="宋体"/>
          <w:sz w:val="24"/>
          <w:highlight w:val="none"/>
        </w:rPr>
        <w:t>　　     </w:t>
      </w:r>
    </w:p>
    <w:p w14:paraId="7FF390B0">
      <w:pPr>
        <w:numPr>
          <w:ilvl w:val="0"/>
          <w:numId w:val="1"/>
        </w:numPr>
        <w:spacing w:line="360" w:lineRule="auto"/>
        <w:ind w:firstLine="480" w:firstLineChars="200"/>
        <w:rPr>
          <w:rFonts w:hint="eastAsia" w:ascii="宋体" w:hAnsi="宋体"/>
          <w:sz w:val="24"/>
          <w:highlight w:val="none"/>
        </w:rPr>
      </w:pPr>
      <w:r>
        <w:rPr>
          <w:rFonts w:hint="eastAsia" w:ascii="宋体" w:hAnsi="宋体"/>
          <w:sz w:val="24"/>
          <w:highlight w:val="none"/>
        </w:rPr>
        <w:t>采购监督管理部门</w:t>
      </w:r>
    </w:p>
    <w:p w14:paraId="0F846208">
      <w:pPr>
        <w:spacing w:line="360" w:lineRule="auto"/>
        <w:ind w:firstLine="480" w:firstLineChars="200"/>
        <w:rPr>
          <w:rFonts w:hint="eastAsia" w:ascii="宋体" w:hAnsi="宋体"/>
          <w:sz w:val="24"/>
          <w:highlight w:val="none"/>
        </w:rPr>
      </w:pPr>
      <w:r>
        <w:rPr>
          <w:rFonts w:hint="eastAsia" w:ascii="宋体" w:hAnsi="宋体"/>
          <w:sz w:val="24"/>
          <w:highlight w:val="none"/>
        </w:rPr>
        <w:t>名称：</w:t>
      </w:r>
      <w:r>
        <w:rPr>
          <w:rFonts w:hint="eastAsia" w:ascii="宋体" w:hAnsi="宋体" w:cs="宋体"/>
          <w:sz w:val="24"/>
          <w:highlight w:val="none"/>
        </w:rPr>
        <w:t>杭州高级中学临平学校</w:t>
      </w:r>
    </w:p>
    <w:p w14:paraId="6DB0AF1E">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rPr>
        <w:t>杭州市临平区南苑街道</w:t>
      </w:r>
      <w:r>
        <w:rPr>
          <w:rFonts w:hint="eastAsia" w:ascii="宋体" w:hAnsi="宋体" w:cs="宋体"/>
          <w:sz w:val="24"/>
          <w:highlight w:val="none"/>
        </w:rPr>
        <w:t>鑫业路</w:t>
      </w:r>
      <w:r>
        <w:rPr>
          <w:rFonts w:hint="eastAsia" w:ascii="宋体" w:hAnsi="宋体" w:cs="宋体"/>
          <w:sz w:val="24"/>
          <w:highlight w:val="none"/>
          <w:lang w:val="en-US" w:eastAsia="zh-CN"/>
        </w:rPr>
        <w:t>188号</w:t>
      </w:r>
    </w:p>
    <w:p w14:paraId="220082B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14:paraId="68C06359">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熊老师</w:t>
      </w:r>
    </w:p>
    <w:p w14:paraId="1CCC52E1">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联系电话：0571-</w:t>
      </w:r>
      <w:r>
        <w:rPr>
          <w:rFonts w:hint="eastAsia" w:ascii="宋体" w:hAnsi="宋体" w:cs="宋体"/>
          <w:color w:val="auto"/>
          <w:sz w:val="24"/>
          <w:highlight w:val="none"/>
        </w:rPr>
        <w:t>56611066</w:t>
      </w:r>
    </w:p>
    <w:p w14:paraId="10621906">
      <w:pPr>
        <w:spacing w:line="360" w:lineRule="auto"/>
        <w:ind w:firstLine="480" w:firstLineChars="200"/>
        <w:rPr>
          <w:rFonts w:hint="eastAsia" w:ascii="宋体" w:hAnsi="宋体" w:cs="宋体"/>
          <w:sz w:val="24"/>
          <w:highlight w:val="none"/>
        </w:rPr>
      </w:pPr>
    </w:p>
    <w:p w14:paraId="7AB0E17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若对项目采购电子交易系统操作有疑问，可登录乐采云（https://hzjyg.lecaiyun.com），点击右侧咨询小采，获取采小蜜智能服务管家帮助，或拨打乐采云服务热线95763获取热线服务帮助。       </w:t>
      </w:r>
    </w:p>
    <w:p w14:paraId="344BFB5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2F8FE520">
      <w:pPr>
        <w:rPr>
          <w:rFonts w:hint="eastAsia" w:hAnsi="宋体" w:cs="宋体"/>
          <w:b/>
          <w:sz w:val="36"/>
          <w:szCs w:val="20"/>
          <w:highlight w:val="none"/>
        </w:rPr>
      </w:pPr>
      <w:r>
        <w:rPr>
          <w:rFonts w:hint="eastAsia" w:hAnsi="宋体" w:cs="宋体"/>
          <w:b/>
          <w:sz w:val="36"/>
          <w:szCs w:val="20"/>
          <w:highlight w:val="none"/>
        </w:rPr>
        <w:br w:type="page"/>
      </w:r>
    </w:p>
    <w:p w14:paraId="2CFED8D8">
      <w:pPr>
        <w:pStyle w:val="9"/>
        <w:spacing w:line="360" w:lineRule="auto"/>
        <w:jc w:val="center"/>
        <w:rPr>
          <w:rFonts w:hint="eastAsia" w:hAnsi="宋体" w:cs="宋体"/>
          <w:b/>
          <w:sz w:val="36"/>
          <w:szCs w:val="20"/>
          <w:highlight w:val="none"/>
        </w:rPr>
      </w:pPr>
      <w:r>
        <w:rPr>
          <w:rFonts w:hint="eastAsia" w:hAnsi="宋体" w:cs="宋体"/>
          <w:b/>
          <w:sz w:val="36"/>
          <w:szCs w:val="20"/>
          <w:highlight w:val="none"/>
        </w:rPr>
        <w:t>第二部分</w:t>
      </w:r>
      <w:bookmarkEnd w:id="8"/>
      <w:r>
        <w:rPr>
          <w:rFonts w:hint="eastAsia" w:hAnsi="宋体" w:cs="宋体"/>
          <w:b/>
          <w:sz w:val="36"/>
          <w:szCs w:val="20"/>
          <w:highlight w:val="none"/>
        </w:rPr>
        <w:t xml:space="preserve">  投标人须知</w:t>
      </w:r>
      <w:bookmarkEnd w:id="9"/>
    </w:p>
    <w:p w14:paraId="6EDB2638">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17"/>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75B9A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0231CD1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5F38964C">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53D99690">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07E5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1F77F7">
            <w:pPr>
              <w:numPr>
                <w:ilvl w:val="0"/>
                <w:numId w:val="2"/>
              </w:numPr>
              <w:snapToGrid w:val="0"/>
              <w:spacing w:line="360" w:lineRule="auto"/>
              <w:jc w:val="center"/>
              <w:rPr>
                <w:rFonts w:hint="eastAsia" w:ascii="宋体" w:hAnsi="宋体"/>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29BA406B">
            <w:pPr>
              <w:snapToGrid w:val="0"/>
              <w:spacing w:line="360" w:lineRule="auto"/>
              <w:jc w:val="center"/>
              <w:rPr>
                <w:rFonts w:hint="eastAsia" w:ascii="宋体" w:hAnsi="宋体"/>
                <w:sz w:val="24"/>
                <w:highlight w:val="none"/>
              </w:rPr>
            </w:pPr>
            <w:r>
              <w:rPr>
                <w:rFonts w:hint="eastAsia" w:ascii="宋体" w:hAnsi="宋体"/>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C9EC9FC">
            <w:pPr>
              <w:spacing w:line="360" w:lineRule="auto"/>
              <w:jc w:val="left"/>
              <w:rPr>
                <w:rFonts w:hint="eastAsia" w:ascii="宋体" w:hAnsi="宋体" w:eastAsia="宋体"/>
                <w:sz w:val="24"/>
                <w:highlight w:val="none"/>
                <w:lang w:val="en-US" w:eastAsia="zh-CN"/>
              </w:rPr>
            </w:pPr>
            <w:r>
              <w:rPr>
                <w:rFonts w:hint="eastAsia" w:ascii="宋体" w:hAnsi="宋体"/>
                <w:sz w:val="24"/>
                <w:highlight w:val="none"/>
              </w:rPr>
              <w:t>货物类，单一产品或核心产品为：</w:t>
            </w:r>
            <w:r>
              <w:rPr>
                <w:rFonts w:hint="eastAsia" w:ascii="宋体" w:hAnsi="宋体"/>
                <w:b/>
                <w:bCs/>
                <w:sz w:val="24"/>
                <w:highlight w:val="none"/>
                <w:u w:val="single"/>
              </w:rPr>
              <w:t>8口万兆上行POE接入交换机（光纤入室）</w:t>
            </w:r>
          </w:p>
        </w:tc>
      </w:tr>
      <w:tr w14:paraId="2295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1C97A59">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AF0DA11">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0E30DC9B">
            <w:pPr>
              <w:snapToGrid w:val="0"/>
              <w:spacing w:line="360" w:lineRule="auto"/>
              <w:ind w:right="143" w:rightChars="68"/>
              <w:jc w:val="left"/>
              <w:rPr>
                <w:rFonts w:hint="eastAsia" w:ascii="宋体" w:hAnsi="宋体"/>
                <w:color w:val="auto"/>
                <w:sz w:val="24"/>
                <w:highlight w:val="none"/>
              </w:rPr>
            </w:pPr>
            <w:r>
              <w:rPr>
                <w:rFonts w:hint="eastAsia" w:ascii="宋体" w:hAnsi="宋体"/>
                <w:color w:val="auto"/>
                <w:sz w:val="24"/>
                <w:highlight w:val="none"/>
              </w:rPr>
              <w:t>标的：</w:t>
            </w:r>
            <w:r>
              <w:rPr>
                <w:rFonts w:hint="eastAsia" w:ascii="宋体" w:hAnsi="宋体"/>
                <w:color w:val="auto"/>
                <w:sz w:val="24"/>
                <w:highlight w:val="none"/>
                <w:u w:val="single"/>
              </w:rPr>
              <w:t>详见第三部分采购需求“标的清单”</w:t>
            </w:r>
            <w:r>
              <w:rPr>
                <w:rFonts w:hint="eastAsia" w:ascii="宋体" w:hAnsi="宋体"/>
                <w:color w:val="auto"/>
                <w:sz w:val="24"/>
                <w:highlight w:val="none"/>
              </w:rPr>
              <w:t>；属于</w:t>
            </w:r>
            <w:r>
              <w:rPr>
                <w:rFonts w:hint="eastAsia" w:ascii="宋体" w:hAnsi="宋体"/>
                <w:color w:val="auto"/>
                <w:sz w:val="24"/>
                <w:highlight w:val="none"/>
                <w:u w:val="single"/>
              </w:rPr>
              <w:t xml:space="preserve"> 工业 </w:t>
            </w:r>
            <w:r>
              <w:rPr>
                <w:rFonts w:hint="eastAsia" w:ascii="宋体" w:hAnsi="宋体"/>
                <w:color w:val="auto"/>
                <w:sz w:val="24"/>
                <w:highlight w:val="none"/>
              </w:rPr>
              <w:t>；</w:t>
            </w:r>
          </w:p>
          <w:p w14:paraId="3BA1EA97">
            <w:pPr>
              <w:numPr>
                <w:ilvl w:val="0"/>
                <w:numId w:val="3"/>
              </w:num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中小企业划分标准：</w:t>
            </w:r>
            <w:r>
              <w:rPr>
                <w:rFonts w:hint="eastAsia" w:ascii="宋体" w:hAnsi="宋体"/>
                <w:color w:val="auto"/>
                <w:kern w:val="0"/>
                <w:sz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D6C998">
            <w:pPr>
              <w:pStyle w:val="4"/>
              <w:tabs>
                <w:tab w:val="clear" w:pos="432"/>
              </w:tabs>
              <w:ind w:left="-10" w:leftChars="-5" w:firstLine="0"/>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sz w:val="24"/>
                <w:highlight w:val="none"/>
              </w:rPr>
              <w:t>（2）</w:t>
            </w: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中小企业扶持力度：</w:t>
            </w:r>
          </w:p>
          <w:p w14:paraId="318B0E17">
            <w:pPr>
              <w:pStyle w:val="4"/>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A本项目专门面向中小企业，不做价格扶持。</w:t>
            </w:r>
          </w:p>
          <w:p w14:paraId="38FA7BFE">
            <w:pPr>
              <w:pStyle w:val="4"/>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14:paraId="418179BE">
            <w:pPr>
              <w:numPr>
                <w:ilvl w:val="0"/>
                <w:numId w:val="0"/>
              </w:numPr>
              <w:snapToGrid w:val="0"/>
              <w:spacing w:line="360" w:lineRule="auto"/>
              <w:ind w:right="143" w:rightChars="68"/>
              <w:jc w:val="left"/>
              <w:rPr>
                <w:rFonts w:hint="eastAsia" w:ascii="宋体" w:hAnsi="宋体"/>
                <w:color w:val="auto"/>
                <w:kern w:val="0"/>
                <w:sz w:val="24"/>
                <w:highlight w:val="none"/>
                <w:u w:val="single"/>
              </w:rPr>
            </w:pPr>
            <w:r>
              <w:rPr>
                <w:rFonts w:hint="eastAsia" w:asciiTheme="minorEastAsia" w:hAnsiTheme="minorEastAsia" w:eastAsiaTheme="minorEastAsia" w:cstheme="minorEastAsia"/>
                <w:b/>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color w:val="auto"/>
                <w:kern w:val="0"/>
                <w:sz w:val="24"/>
                <w:szCs w:val="22"/>
                <w:highlight w:val="none"/>
                <w:shd w:val="clear" w:color="auto" w:fill="FFFFFF" w:themeFill="background1"/>
              </w:rPr>
              <w:t>C</w:t>
            </w:r>
            <w:r>
              <w:rPr>
                <w:rFonts w:hint="eastAsia" w:ascii="宋体" w:hAnsi="宋体" w:cs="宋体"/>
                <w:b/>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color w:val="auto"/>
                <w:sz w:val="24"/>
                <w:highlight w:val="none"/>
                <w:u w:val="single"/>
              </w:rPr>
              <w:t>10</w:t>
            </w:r>
            <w:r>
              <w:rPr>
                <w:rFonts w:hint="eastAsia" w:ascii="宋体" w:hAnsi="宋体" w:cs="宋体"/>
                <w:b/>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color w:val="auto"/>
                <w:sz w:val="24"/>
                <w:highlight w:val="none"/>
                <w:u w:val="single"/>
              </w:rPr>
              <w:t xml:space="preserve"> 4 </w:t>
            </w:r>
            <w:r>
              <w:rPr>
                <w:rFonts w:hint="eastAsia" w:ascii="宋体" w:hAnsi="宋体" w:cs="宋体"/>
                <w:b/>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25458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3AEF744">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DA0BF40">
            <w:pPr>
              <w:snapToGrid w:val="0"/>
              <w:spacing w:line="360" w:lineRule="auto"/>
              <w:jc w:val="left"/>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20E59655">
            <w:pPr>
              <w:snapToGrid w:val="0"/>
              <w:spacing w:line="360" w:lineRule="auto"/>
              <w:rPr>
                <w:rFonts w:hint="eastAsia" w:asciiTheme="majorEastAsia" w:hAnsiTheme="majorEastAsia" w:eastAsiaTheme="majorEastAsia"/>
                <w:b/>
                <w:bCs/>
                <w:color w:val="auto"/>
                <w:sz w:val="24"/>
                <w:highlight w:val="none"/>
              </w:rPr>
            </w:pPr>
            <w:sdt>
              <w:sdtPr>
                <w:rPr>
                  <w:rFonts w:hint="eastAsia" w:hAnsi="宋体" w:cs="宋体"/>
                  <w:color w:val="auto"/>
                  <w:kern w:val="0"/>
                  <w:sz w:val="24"/>
                  <w:highlight w:val="none"/>
                </w:rPr>
                <w:id w:val="918839376"/>
              </w:sdtPr>
              <w:sdtEndPr>
                <w:rPr>
                  <w:rFonts w:hint="eastAsia" w:hAnsi="宋体" w:cs="宋体"/>
                  <w:b w:val="0"/>
                  <w:bCs w:val="0"/>
                  <w:color w:val="auto"/>
                  <w:kern w:val="0"/>
                  <w:sz w:val="24"/>
                  <w:highlight w:val="none"/>
                </w:rPr>
              </w:sdtEndPr>
              <w:sdtContent>
                <w:sdt>
                  <w:sdtPr>
                    <w:rPr>
                      <w:rFonts w:hint="eastAsia" w:hAnsi="宋体" w:cs="宋体"/>
                      <w:color w:val="auto"/>
                      <w:kern w:val="0"/>
                      <w:sz w:val="24"/>
                      <w:highlight w:val="none"/>
                    </w:rPr>
                    <w:id w:val="147471523"/>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r>
              <w:rPr>
                <w:rFonts w:hint="eastAsia" w:cs="宋体" w:asciiTheme="majorEastAsia" w:hAnsiTheme="majorEastAsia" w:eastAsiaTheme="majorEastAsia"/>
                <w:b w:val="0"/>
                <w:bCs w:val="0"/>
                <w:color w:val="auto"/>
                <w:kern w:val="0"/>
                <w:sz w:val="24"/>
                <w:highlight w:val="none"/>
              </w:rPr>
              <w:t>本项目不设履约保证金；</w:t>
            </w:r>
          </w:p>
          <w:p w14:paraId="4A584543">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A8"/>
                </w:r>
              </w:sdtContent>
            </w:sdt>
            <w:r>
              <w:rPr>
                <w:rFonts w:hint="eastAsia" w:cs="宋体" w:asciiTheme="majorEastAsia" w:hAnsiTheme="majorEastAsia" w:eastAsiaTheme="majorEastAsia"/>
                <w:b/>
                <w:bCs/>
                <w:color w:val="auto"/>
                <w:kern w:val="0"/>
                <w:sz w:val="24"/>
                <w:highlight w:val="none"/>
              </w:rPr>
              <w:t>中标人在合同签订后7个工作日内，须向采购人提交合同金额最高</w:t>
            </w:r>
            <w:r>
              <w:rPr>
                <w:rFonts w:hint="eastAsia" w:cs="宋体" w:asciiTheme="majorEastAsia" w:hAnsiTheme="majorEastAsia" w:eastAsiaTheme="majorEastAsia"/>
                <w:b/>
                <w:bCs/>
                <w:color w:val="auto"/>
                <w:kern w:val="0"/>
                <w:sz w:val="24"/>
                <w:highlight w:val="none"/>
                <w:u w:val="single"/>
              </w:rPr>
              <w:t xml:space="preserve"> 1 %</w:t>
            </w:r>
            <w:r>
              <w:rPr>
                <w:rFonts w:hint="eastAsia" w:cs="宋体" w:asciiTheme="majorEastAsia" w:hAnsiTheme="majorEastAsia" w:eastAsiaTheme="majorEastAsia"/>
                <w:b/>
                <w:bCs/>
                <w:color w:val="auto"/>
                <w:kern w:val="0"/>
                <w:sz w:val="24"/>
                <w:highlight w:val="none"/>
              </w:rPr>
              <w:t>的履约保证金。履约保证金以电汇、银行汇票、转账支票或金融机构、担保机构出具的保函等非现金形式缴纳。</w:t>
            </w:r>
          </w:p>
        </w:tc>
      </w:tr>
      <w:tr w14:paraId="38B59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1A56F8E">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7C28549">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582815F5">
            <w:pPr>
              <w:spacing w:line="360" w:lineRule="auto"/>
              <w:jc w:val="left"/>
              <w:rPr>
                <w:rFonts w:hint="eastAsia" w:ascii="宋体" w:hAnsi="宋体" w:cs="宋体"/>
                <w:bCs/>
                <w:kern w:val="0"/>
                <w:sz w:val="24"/>
                <w:highlight w:val="none"/>
              </w:rPr>
            </w:pPr>
            <w:r>
              <w:rPr>
                <w:rFonts w:hint="eastAsia" w:ascii="宋体" w:hAnsi="宋体" w:cs="宋体"/>
                <w:b/>
                <w:kern w:val="0"/>
                <w:sz w:val="24"/>
                <w:highlight w:val="none"/>
              </w:rPr>
              <w:sym w:font="Wingdings" w:char="F0FE"/>
            </w:r>
            <w:r>
              <w:rPr>
                <w:rFonts w:hint="eastAsia" w:ascii="宋体" w:hAnsi="宋体" w:cs="宋体"/>
                <w:b/>
                <w:kern w:val="0"/>
                <w:sz w:val="24"/>
                <w:highlight w:val="none"/>
              </w:rPr>
              <w:t>本项目不允许采购进口产品。</w:t>
            </w:r>
          </w:p>
          <w:p w14:paraId="58059C1E">
            <w:pPr>
              <w:spacing w:line="360" w:lineRule="auto"/>
              <w:jc w:val="left"/>
              <w:rPr>
                <w:rFonts w:hint="eastAsia" w:ascii="宋体" w:hAnsi="宋体" w:cs="宋体"/>
                <w:bCs/>
                <w:sz w:val="24"/>
                <w:highlight w:val="none"/>
              </w:rPr>
            </w:pPr>
            <w:r>
              <w:rPr>
                <w:rFonts w:hint="eastAsia" w:ascii="宋体" w:hAnsi="宋体" w:cs="宋体"/>
                <w:bCs/>
                <w:kern w:val="0"/>
                <w:sz w:val="24"/>
                <w:highlight w:val="none"/>
              </w:rPr>
              <w:t>☐可以就</w:t>
            </w:r>
            <w:r>
              <w:rPr>
                <w:rFonts w:hint="eastAsia" w:ascii="宋体" w:hAnsi="宋体" w:cs="宋体"/>
                <w:bCs/>
                <w:sz w:val="24"/>
                <w:highlight w:val="none"/>
                <w:u w:val="single"/>
              </w:rPr>
              <w:t xml:space="preserve">    </w:t>
            </w:r>
            <w:r>
              <w:rPr>
                <w:rFonts w:hint="eastAsia" w:ascii="宋体" w:hAnsi="宋体" w:cs="宋体"/>
                <w:bCs/>
                <w:kern w:val="0"/>
                <w:sz w:val="24"/>
                <w:highlight w:val="none"/>
              </w:rPr>
              <w:t>采购进口产品。</w:t>
            </w:r>
            <w:r>
              <w:rPr>
                <w:rFonts w:hint="eastAsia" w:ascii="宋体" w:hAnsi="宋体" w:cs="宋体"/>
                <w:kern w:val="0"/>
                <w:sz w:val="24"/>
                <w:highlight w:val="none"/>
              </w:rPr>
              <w:t>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372B4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0F843A6">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36E1BD3">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2C6BB075">
            <w:pPr>
              <w:spacing w:line="360" w:lineRule="auto"/>
              <w:jc w:val="left"/>
              <w:rPr>
                <w:rFonts w:hint="eastAsia" w:ascii="宋体" w:hAnsi="宋体" w:cs="宋体"/>
                <w:bCs/>
                <w:sz w:val="24"/>
                <w:highlight w:val="none"/>
              </w:rPr>
            </w:pPr>
            <w:r>
              <w:rPr>
                <w:rFonts w:ascii="Wingdings" w:hAnsi="Wingdings" w:cs="宋体"/>
                <w:bCs/>
                <w:kern w:val="0"/>
                <w:sz w:val="24"/>
                <w:highlight w:val="none"/>
              </w:rPr>
              <w:sym w:font="Wingdings" w:char="00A8"/>
            </w:r>
            <w:r>
              <w:rPr>
                <w:rFonts w:hint="eastAsia" w:ascii="宋体" w:hAnsi="宋体" w:cs="宋体"/>
                <w:bCs/>
                <w:kern w:val="0"/>
                <w:sz w:val="24"/>
                <w:highlight w:val="none"/>
              </w:rPr>
              <w:t xml:space="preserve"> A经采购人</w:t>
            </w:r>
            <w:r>
              <w:rPr>
                <w:rFonts w:hint="eastAsia" w:ascii="宋体" w:hAnsi="宋体" w:cs="宋体"/>
                <w:bCs/>
                <w:sz w:val="24"/>
                <w:highlight w:val="none"/>
              </w:rPr>
              <w:t>同意将非主体、非关键性的</w:t>
            </w:r>
            <w:r>
              <w:rPr>
                <w:rFonts w:hint="eastAsia" w:ascii="宋体" w:hAnsi="宋体" w:cs="宋体"/>
                <w:bCs/>
                <w:sz w:val="24"/>
                <w:highlight w:val="none"/>
                <w:u w:val="single"/>
              </w:rPr>
              <w:t xml:space="preserve">    </w:t>
            </w:r>
            <w:r>
              <w:rPr>
                <w:rFonts w:hint="eastAsia" w:ascii="宋体" w:hAnsi="宋体" w:cs="宋体"/>
                <w:bCs/>
                <w:sz w:val="24"/>
                <w:highlight w:val="none"/>
              </w:rPr>
              <w:t>工作分包。</w:t>
            </w:r>
          </w:p>
          <w:p w14:paraId="612F41D7">
            <w:pPr>
              <w:spacing w:line="360" w:lineRule="auto"/>
              <w:jc w:val="left"/>
              <w:rPr>
                <w:rFonts w:hint="eastAsia" w:ascii="宋体" w:hAnsi="宋体" w:cs="宋体"/>
                <w:b/>
                <w:sz w:val="24"/>
                <w:highlight w:val="none"/>
              </w:rPr>
            </w:pPr>
            <w:r>
              <w:rPr>
                <w:rFonts w:ascii="Wingdings" w:hAnsi="Wingdings" w:cs="宋体"/>
                <w:b/>
                <w:kern w:val="0"/>
                <w:sz w:val="24"/>
                <w:highlight w:val="none"/>
              </w:rPr>
              <w:sym w:font="Wingdings" w:char="00FE"/>
            </w:r>
            <w:r>
              <w:rPr>
                <w:rFonts w:hint="eastAsia" w:ascii="宋体" w:hAnsi="宋体" w:cs="宋体"/>
                <w:b/>
                <w:kern w:val="0"/>
                <w:sz w:val="24"/>
                <w:highlight w:val="none"/>
              </w:rPr>
              <w:t xml:space="preserve">  B</w:t>
            </w:r>
            <w:r>
              <w:rPr>
                <w:rFonts w:hint="eastAsia" w:ascii="宋体" w:hAnsi="宋体" w:cs="宋体"/>
                <w:b/>
                <w:sz w:val="24"/>
                <w:highlight w:val="none"/>
              </w:rPr>
              <w:t>不同意分包。</w:t>
            </w:r>
          </w:p>
          <w:p w14:paraId="19529984">
            <w:pPr>
              <w:spacing w:line="360" w:lineRule="auto"/>
              <w:jc w:val="left"/>
              <w:rPr>
                <w:rFonts w:hint="eastAsia" w:ascii="宋体" w:hAnsi="宋体" w:cs="宋体"/>
                <w:bCs/>
                <w:sz w:val="24"/>
                <w:highlight w:val="none"/>
              </w:rPr>
            </w:pPr>
            <w:r>
              <w:rPr>
                <w:rFonts w:hint="eastAsia" w:ascii="宋体" w:hAnsi="宋体" w:cs="宋体"/>
                <w:bCs/>
                <w:sz w:val="24"/>
                <w:highlight w:val="none"/>
              </w:rPr>
              <w:t>注：不得限制大中型企业向小微企业合理分包。</w:t>
            </w:r>
          </w:p>
        </w:tc>
      </w:tr>
      <w:tr w14:paraId="5C9E4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C5F4ABE">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63E6ACE">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4C681460">
            <w:pPr>
              <w:spacing w:line="360" w:lineRule="auto"/>
              <w:jc w:val="left"/>
              <w:rPr>
                <w:rFonts w:hint="eastAsia" w:ascii="宋体" w:hAnsi="宋体" w:cs="宋体"/>
                <w:bCs/>
                <w:sz w:val="24"/>
                <w:highlight w:val="none"/>
              </w:rPr>
            </w:pPr>
            <w:r>
              <w:rPr>
                <w:rFonts w:hint="eastAsia" w:ascii="宋体" w:hAnsi="宋体" w:cs="宋体"/>
                <w:b/>
                <w:kern w:val="0"/>
                <w:sz w:val="24"/>
                <w:highlight w:val="none"/>
              </w:rPr>
              <w:sym w:font="Wingdings" w:char="F0FE"/>
            </w:r>
            <w:r>
              <w:rPr>
                <w:rFonts w:hint="eastAsia" w:ascii="宋体" w:hAnsi="宋体" w:cs="宋体"/>
                <w:b/>
                <w:kern w:val="0"/>
                <w:sz w:val="24"/>
                <w:highlight w:val="none"/>
              </w:rPr>
              <w:t>A</w:t>
            </w:r>
            <w:r>
              <w:rPr>
                <w:rFonts w:hint="eastAsia" w:ascii="宋体" w:hAnsi="宋体" w:cs="宋体"/>
                <w:b/>
                <w:sz w:val="24"/>
                <w:highlight w:val="none"/>
              </w:rPr>
              <w:t>不组织。</w:t>
            </w:r>
          </w:p>
          <w:p w14:paraId="06E1C065">
            <w:pPr>
              <w:spacing w:line="360" w:lineRule="auto"/>
              <w:jc w:val="left"/>
              <w:rPr>
                <w:rFonts w:hint="eastAsia" w:ascii="宋体" w:hAnsi="宋体" w:cs="宋体"/>
                <w:bCs/>
                <w:sz w:val="24"/>
                <w:highlight w:val="none"/>
              </w:rPr>
            </w:pPr>
            <w:r>
              <w:rPr>
                <w:rFonts w:hint="eastAsia" w:ascii="宋体" w:hAnsi="宋体" w:cs="宋体"/>
                <w:bCs/>
                <w:kern w:val="0"/>
                <w:sz w:val="24"/>
                <w:highlight w:val="none"/>
              </w:rPr>
              <w:t>☐B组织，</w:t>
            </w:r>
            <w:r>
              <w:rPr>
                <w:rFonts w:hint="eastAsia" w:ascii="宋体" w:hAnsi="宋体" w:cs="宋体"/>
                <w:bCs/>
                <w:sz w:val="24"/>
                <w:highlight w:val="none"/>
              </w:rPr>
              <w:t>时间：</w:t>
            </w:r>
            <w:r>
              <w:rPr>
                <w:rFonts w:hint="eastAsia" w:ascii="宋体" w:hAnsi="宋体" w:cs="宋体"/>
                <w:bCs/>
                <w:sz w:val="24"/>
                <w:highlight w:val="none"/>
                <w:u w:val="single"/>
              </w:rPr>
              <w:t xml:space="preserve">      </w:t>
            </w:r>
            <w:r>
              <w:rPr>
                <w:rFonts w:hint="eastAsia" w:ascii="宋体" w:hAnsi="宋体" w:cs="宋体"/>
                <w:bCs/>
                <w:sz w:val="24"/>
                <w:highlight w:val="none"/>
              </w:rPr>
              <w:t>,地点：</w:t>
            </w:r>
            <w:r>
              <w:rPr>
                <w:rFonts w:hint="eastAsia" w:ascii="宋体" w:hAnsi="宋体" w:cs="宋体"/>
                <w:bCs/>
                <w:sz w:val="24"/>
                <w:highlight w:val="none"/>
                <w:u w:val="single"/>
              </w:rPr>
              <w:t xml:space="preserve">      </w:t>
            </w:r>
            <w:r>
              <w:rPr>
                <w:rFonts w:hint="eastAsia" w:ascii="宋体" w:hAnsi="宋体" w:cs="宋体"/>
                <w:bCs/>
                <w:sz w:val="24"/>
                <w:highlight w:val="none"/>
              </w:rPr>
              <w:t>，联系人：</w:t>
            </w:r>
            <w:r>
              <w:rPr>
                <w:rFonts w:hint="eastAsia" w:ascii="宋体" w:hAnsi="宋体" w:cs="宋体"/>
                <w:bCs/>
                <w:sz w:val="24"/>
                <w:highlight w:val="none"/>
                <w:u w:val="single"/>
              </w:rPr>
              <w:t xml:space="preserve">      </w:t>
            </w:r>
            <w:r>
              <w:rPr>
                <w:rFonts w:hint="eastAsia" w:ascii="宋体" w:hAnsi="宋体" w:cs="宋体"/>
                <w:bCs/>
                <w:sz w:val="24"/>
                <w:highlight w:val="none"/>
              </w:rPr>
              <w:t>，联系方式：</w:t>
            </w:r>
            <w:r>
              <w:rPr>
                <w:rFonts w:hint="eastAsia" w:ascii="宋体" w:hAnsi="宋体" w:cs="宋体"/>
                <w:bCs/>
                <w:sz w:val="24"/>
                <w:highlight w:val="none"/>
                <w:u w:val="single"/>
              </w:rPr>
              <w:t xml:space="preserve">      </w:t>
            </w:r>
            <w:r>
              <w:rPr>
                <w:rFonts w:hint="eastAsia" w:ascii="宋体" w:hAnsi="宋体" w:cs="宋体"/>
                <w:bCs/>
                <w:sz w:val="24"/>
                <w:highlight w:val="none"/>
              </w:rPr>
              <w:t>。</w:t>
            </w:r>
          </w:p>
        </w:tc>
      </w:tr>
      <w:tr w14:paraId="57159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963FD8">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4820043">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2CAD399C">
            <w:pPr>
              <w:spacing w:line="360" w:lineRule="auto"/>
              <w:jc w:val="left"/>
              <w:rPr>
                <w:rFonts w:hint="eastAsia" w:ascii="宋体" w:hAnsi="宋体" w:cs="宋体"/>
                <w:b w:val="0"/>
                <w:bCs/>
                <w:sz w:val="24"/>
                <w:highlight w:val="none"/>
              </w:rPr>
            </w:pPr>
            <w:r>
              <w:rPr>
                <w:rFonts w:hint="eastAsia" w:ascii="Wingdings" w:hAnsi="Wingdings" w:eastAsia="MS Gothic" w:cs="宋体"/>
                <w:b w:val="0"/>
                <w:bCs/>
                <w:kern w:val="0"/>
                <w:sz w:val="24"/>
                <w:highlight w:val="none"/>
              </w:rPr>
              <w:sym w:font="Wingdings" w:char="00FE"/>
            </w:r>
            <w:r>
              <w:rPr>
                <w:rFonts w:hint="eastAsia" w:ascii="宋体" w:hAnsi="宋体" w:cs="宋体"/>
                <w:b w:val="0"/>
                <w:bCs/>
                <w:kern w:val="0"/>
                <w:sz w:val="24"/>
                <w:highlight w:val="none"/>
              </w:rPr>
              <w:t>A</w:t>
            </w:r>
            <w:r>
              <w:rPr>
                <w:rFonts w:hint="eastAsia" w:ascii="宋体" w:hAnsi="宋体" w:cs="宋体"/>
                <w:b w:val="0"/>
                <w:bCs/>
                <w:sz w:val="24"/>
                <w:highlight w:val="none"/>
              </w:rPr>
              <w:t>不要求提供；</w:t>
            </w:r>
          </w:p>
          <w:p w14:paraId="0AC71D13">
            <w:pPr>
              <w:spacing w:line="360" w:lineRule="auto"/>
              <w:jc w:val="left"/>
              <w:rPr>
                <w:rFonts w:hint="eastAsia" w:ascii="宋体" w:hAnsi="宋体" w:cs="宋体"/>
                <w:b/>
                <w:bCs w:val="0"/>
                <w:kern w:val="0"/>
                <w:sz w:val="24"/>
                <w:highlight w:val="none"/>
              </w:rPr>
            </w:pPr>
            <w:r>
              <w:rPr>
                <w:rFonts w:hint="eastAsia" w:ascii="Wingdings" w:hAnsi="Wingdings" w:eastAsia="MS Gothic" w:cs="宋体"/>
                <w:b/>
                <w:bCs w:val="0"/>
                <w:kern w:val="0"/>
                <w:sz w:val="24"/>
                <w:highlight w:val="none"/>
              </w:rPr>
              <w:sym w:font="Wingdings" w:char="00A8"/>
            </w:r>
            <w:r>
              <w:rPr>
                <w:rFonts w:hint="eastAsia" w:ascii="宋体" w:hAnsi="宋体" w:cs="宋体"/>
                <w:b/>
                <w:bCs w:val="0"/>
                <w:kern w:val="0"/>
                <w:sz w:val="24"/>
                <w:highlight w:val="none"/>
              </w:rPr>
              <w:t>B要求提供。</w:t>
            </w:r>
          </w:p>
          <w:p w14:paraId="770A7A03">
            <w:pPr>
              <w:spacing w:line="360" w:lineRule="auto"/>
              <w:rPr>
                <w:rFonts w:hint="eastAsia" w:ascii="宋体" w:hAnsi="宋体"/>
                <w:snapToGrid w:val="0"/>
                <w:kern w:val="28"/>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cs="宋体"/>
                <w:sz w:val="24"/>
                <w:highlight w:val="none"/>
              </w:rPr>
              <w:t>▲</w:t>
            </w:r>
            <w:r>
              <w:rPr>
                <w:rFonts w:hint="eastAsia" w:ascii="宋体" w:hAnsi="宋体"/>
                <w:snapToGrid w:val="0"/>
                <w:kern w:val="28"/>
                <w:sz w:val="24"/>
                <w:highlight w:val="none"/>
              </w:rPr>
              <w:t>样品：</w:t>
            </w:r>
            <w:r>
              <w:rPr>
                <w:rFonts w:hint="eastAsia" w:ascii="宋体" w:hAnsi="宋体"/>
                <w:snapToGrid w:val="0"/>
                <w:kern w:val="28"/>
                <w:sz w:val="24"/>
                <w:highlight w:val="none"/>
                <w:u w:val="single"/>
                <w:lang w:val="en-US" w:eastAsia="zh-CN"/>
              </w:rPr>
              <w:t xml:space="preserve">      </w:t>
            </w:r>
            <w:r>
              <w:rPr>
                <w:rFonts w:hint="eastAsia" w:ascii="宋体" w:hAnsi="宋体"/>
                <w:snapToGrid w:val="0"/>
                <w:kern w:val="28"/>
                <w:sz w:val="24"/>
                <w:highlight w:val="none"/>
              </w:rPr>
              <w:t>；</w:t>
            </w:r>
          </w:p>
          <w:p w14:paraId="50715AB9">
            <w:pPr>
              <w:spacing w:line="360" w:lineRule="auto"/>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snapToGrid w:val="0"/>
                <w:kern w:val="28"/>
                <w:sz w:val="24"/>
                <w:highlight w:val="none"/>
              </w:rPr>
              <w:t>样品制作的标准和要求：</w:t>
            </w:r>
            <w:r>
              <w:rPr>
                <w:rFonts w:hint="eastAsia" w:ascii="宋体" w:hAnsi="宋体"/>
                <w:sz w:val="24"/>
                <w:highlight w:val="none"/>
                <w:u w:val="single"/>
              </w:rPr>
              <w:t>（详见第三部分 采购需求）</w:t>
            </w:r>
            <w:r>
              <w:rPr>
                <w:rFonts w:hint="eastAsia" w:ascii="宋体" w:hAnsi="宋体"/>
                <w:kern w:val="0"/>
                <w:sz w:val="24"/>
                <w:highlight w:val="none"/>
              </w:rPr>
              <w:t>；</w:t>
            </w:r>
          </w:p>
          <w:p w14:paraId="481950DF">
            <w:pPr>
              <w:spacing w:line="360" w:lineRule="auto"/>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3）样品的评审方法以及评审标准</w:t>
            </w:r>
            <w:r>
              <w:rPr>
                <w:rFonts w:hint="eastAsia" w:ascii="宋体" w:hAnsi="宋体"/>
                <w:snapToGrid w:val="0"/>
                <w:kern w:val="28"/>
                <w:sz w:val="24"/>
                <w:highlight w:val="none"/>
              </w:rPr>
              <w:t>：详见</w:t>
            </w:r>
            <w:r>
              <w:rPr>
                <w:rFonts w:hint="eastAsia" w:ascii="宋体" w:hAnsi="宋体"/>
                <w:sz w:val="24"/>
                <w:highlight w:val="none"/>
                <w:u w:val="single"/>
              </w:rPr>
              <w:t>评标办法</w:t>
            </w:r>
            <w:r>
              <w:rPr>
                <w:rFonts w:hint="eastAsia" w:ascii="宋体" w:hAnsi="宋体"/>
                <w:kern w:val="0"/>
                <w:sz w:val="24"/>
                <w:highlight w:val="none"/>
              </w:rPr>
              <w:t>；</w:t>
            </w:r>
          </w:p>
          <w:p w14:paraId="48D076EB">
            <w:pPr>
              <w:spacing w:line="360" w:lineRule="auto"/>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4）是否需要随样品提交检测报告</w:t>
            </w:r>
            <w:r>
              <w:rPr>
                <w:rFonts w:hint="eastAsia" w:ascii="宋体" w:hAnsi="宋体"/>
                <w:kern w:val="0"/>
                <w:sz w:val="24"/>
                <w:highlight w:val="none"/>
              </w:rPr>
              <w:t>：</w:t>
            </w:r>
            <w:r>
              <w:rPr>
                <w:rFonts w:ascii="宋体" w:hAnsi="宋体" w:cs="Arial"/>
                <w:kern w:val="0"/>
                <w:sz w:val="24"/>
                <w:highlight w:val="none"/>
              </w:rPr>
              <w:sym w:font="Wingdings" w:char="00FE"/>
            </w:r>
            <w:r>
              <w:rPr>
                <w:rFonts w:ascii="宋体" w:hAnsi="宋体"/>
                <w:kern w:val="0"/>
                <w:sz w:val="24"/>
                <w:highlight w:val="none"/>
              </w:rPr>
              <w:t>否；</w:t>
            </w:r>
            <w:r>
              <w:rPr>
                <w:rFonts w:ascii="宋体" w:hAnsi="MS Gothic" w:cs="Arial"/>
                <w:kern w:val="0"/>
                <w:sz w:val="24"/>
                <w:highlight w:val="none"/>
              </w:rPr>
              <w:t>☐</w:t>
            </w:r>
            <w:r>
              <w:rPr>
                <w:rFonts w:ascii="宋体" w:hAnsi="宋体"/>
                <w:kern w:val="0"/>
                <w:sz w:val="24"/>
                <w:highlight w:val="none"/>
              </w:rPr>
              <w:t>是，检测机构的要求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kern w:val="0"/>
                <w:sz w:val="24"/>
                <w:highlight w:val="none"/>
              </w:rPr>
              <w:t>；检测内容</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kern w:val="0"/>
                <w:sz w:val="24"/>
                <w:highlight w:val="none"/>
              </w:rPr>
              <w:t>。</w:t>
            </w:r>
          </w:p>
          <w:p w14:paraId="69C0CEDB">
            <w:pPr>
              <w:spacing w:line="360" w:lineRule="auto"/>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5）提供样品的时间：</w:t>
            </w:r>
            <w:r>
              <w:rPr>
                <w:rFonts w:hint="eastAsia" w:ascii="宋体" w:hAnsi="宋体"/>
                <w:sz w:val="24"/>
                <w:highlight w:val="none"/>
                <w:u w:val="single"/>
                <w:lang w:val="en-US" w:eastAsia="zh-CN"/>
              </w:rPr>
              <w:t xml:space="preserve">   </w:t>
            </w:r>
            <w:r>
              <w:rPr>
                <w:rFonts w:hint="eastAsia" w:ascii="宋体" w:hAnsi="宋体"/>
                <w:kern w:val="0"/>
                <w:sz w:val="24"/>
                <w:highlight w:val="none"/>
              </w:rPr>
              <w:t>；地点：</w:t>
            </w:r>
            <w:r>
              <w:rPr>
                <w:rFonts w:hint="eastAsia" w:ascii="宋体" w:hAnsi="宋体"/>
                <w:sz w:val="24"/>
                <w:highlight w:val="none"/>
                <w:u w:val="single"/>
                <w:lang w:val="en-US" w:eastAsia="zh-CN"/>
              </w:rPr>
              <w:t xml:space="preserve">   </w:t>
            </w:r>
            <w:r>
              <w:rPr>
                <w:rFonts w:hint="eastAsia" w:ascii="宋体" w:hAnsi="宋体"/>
                <w:kern w:val="0"/>
                <w:sz w:val="24"/>
                <w:highlight w:val="none"/>
              </w:rPr>
              <w:t>；联系人</w:t>
            </w:r>
            <w:r>
              <w:rPr>
                <w:rFonts w:hint="eastAsia" w:ascii="宋体" w:hAnsi="宋体"/>
                <w:sz w:val="24"/>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hint="eastAsia" w:ascii="宋体" w:hAnsi="宋体"/>
                <w:kern w:val="28"/>
                <w:sz w:val="24"/>
                <w:highlight w:val="none"/>
              </w:rPr>
              <w:t>联系电话：</w:t>
            </w:r>
            <w:r>
              <w:rPr>
                <w:rFonts w:hint="eastAsia" w:ascii="宋体" w:hAnsi="宋体"/>
                <w:sz w:val="24"/>
                <w:highlight w:val="none"/>
                <w:u w:val="single"/>
                <w:lang w:val="en-US" w:eastAsia="zh-CN"/>
              </w:rPr>
              <w:t xml:space="preserve">  </w:t>
            </w:r>
            <w:r>
              <w:rPr>
                <w:rFonts w:hint="eastAsia" w:ascii="宋体" w:hAnsi="宋体"/>
                <w:sz w:val="24"/>
                <w:highlight w:val="none"/>
              </w:rPr>
              <w:t>。请投标人在上述时间内提供样品并按规定位置安装完毕。超过截止时间的，采购人或采购代理机构将不予接收，并将清场并封闭样品现场。</w:t>
            </w:r>
          </w:p>
          <w:p w14:paraId="2DA28306">
            <w:pPr>
              <w:spacing w:line="360" w:lineRule="auto"/>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rPr>
              <w:t>（6）</w:t>
            </w:r>
            <w:r>
              <w:rPr>
                <w:rFonts w:ascii="宋体" w:hAnsi="宋体"/>
                <w:sz w:val="24"/>
                <w:highlight w:val="none"/>
              </w:rPr>
              <w:t>采购活动结束后，对于未中标人提供的样品，</w:t>
            </w:r>
            <w:r>
              <w:rPr>
                <w:rFonts w:hint="eastAsia" w:ascii="宋体" w:hAnsi="宋体"/>
                <w:sz w:val="24"/>
                <w:highlight w:val="none"/>
              </w:rPr>
              <w:t>采购人、采购代理机构将通知</w:t>
            </w:r>
            <w:r>
              <w:rPr>
                <w:rFonts w:ascii="宋体" w:hAnsi="宋体"/>
                <w:sz w:val="24"/>
                <w:highlight w:val="none"/>
              </w:rPr>
              <w:t>未中标人</w:t>
            </w:r>
            <w:r>
              <w:rPr>
                <w:rFonts w:hint="eastAsia" w:ascii="宋体" w:hAnsi="宋体"/>
                <w:sz w:val="24"/>
                <w:highlight w:val="none"/>
              </w:rPr>
              <w:t>在规定的时间内取回，逾期未取回的，采购人、采购代理机构不负保管义务</w:t>
            </w:r>
            <w:r>
              <w:rPr>
                <w:rFonts w:ascii="宋体" w:hAnsi="宋体"/>
                <w:sz w:val="24"/>
                <w:highlight w:val="none"/>
              </w:rPr>
              <w:t>；对于中标人提供的样品，</w:t>
            </w:r>
            <w:r>
              <w:rPr>
                <w:rFonts w:hint="eastAsia" w:ascii="宋体" w:hAnsi="宋体"/>
                <w:sz w:val="24"/>
                <w:highlight w:val="none"/>
              </w:rPr>
              <w:t>采购人将进</w:t>
            </w:r>
            <w:r>
              <w:rPr>
                <w:rFonts w:ascii="宋体" w:hAnsi="宋体"/>
                <w:sz w:val="24"/>
                <w:highlight w:val="none"/>
              </w:rPr>
              <w:t>行保管、封存，并作为履约验收的参考</w:t>
            </w:r>
            <w:r>
              <w:rPr>
                <w:rFonts w:hint="eastAsia" w:ascii="宋体" w:hAnsi="宋体"/>
                <w:sz w:val="24"/>
                <w:highlight w:val="none"/>
              </w:rPr>
              <w:t>。（详见第三部分 采购需求）</w:t>
            </w:r>
          </w:p>
          <w:p w14:paraId="62AF4CA3">
            <w:pPr>
              <w:spacing w:line="360" w:lineRule="auto"/>
              <w:jc w:val="left"/>
              <w:rPr>
                <w:rFonts w:hint="eastAsia" w:ascii="宋体" w:hAnsi="宋体" w:cs="宋体"/>
                <w:bCs/>
                <w:sz w:val="24"/>
                <w:highlight w:val="none"/>
              </w:rPr>
            </w:pPr>
            <w:r>
              <w:rPr>
                <w:rFonts w:hint="eastAsia" w:ascii="宋体" w:hAnsi="宋体"/>
                <w:sz w:val="24"/>
                <w:highlight w:val="none"/>
              </w:rPr>
              <w:t>（</w:t>
            </w:r>
            <w:r>
              <w:rPr>
                <w:rFonts w:ascii="宋体" w:hAnsi="宋体"/>
                <w:sz w:val="24"/>
                <w:highlight w:val="none"/>
              </w:rPr>
              <w:t>7）制作、运输、安装和保管样品所发生的一切费用由投标人自理。</w:t>
            </w:r>
          </w:p>
        </w:tc>
      </w:tr>
      <w:tr w14:paraId="3B65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121B0D8">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D7E7AF8">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04E64329">
            <w:pPr>
              <w:spacing w:line="360" w:lineRule="auto"/>
              <w:ind w:right="143" w:rightChars="68" w:firstLine="81" w:firstLineChars="34"/>
              <w:jc w:val="left"/>
              <w:rPr>
                <w:rFonts w:ascii="宋体" w:hAnsi="宋体"/>
                <w:b w:val="0"/>
                <w:bCs/>
                <w:sz w:val="24"/>
                <w:highlight w:val="none"/>
              </w:rPr>
            </w:pPr>
            <w:r>
              <w:rPr>
                <w:rFonts w:hint="eastAsia" w:ascii="Wingdings" w:hAnsi="Wingdings" w:eastAsia="MS Gothic" w:cs="宋体"/>
                <w:b w:val="0"/>
                <w:bCs/>
                <w:kern w:val="0"/>
                <w:sz w:val="24"/>
                <w:highlight w:val="none"/>
              </w:rPr>
              <w:sym w:font="Wingdings" w:char="00FE"/>
            </w:r>
            <w:r>
              <w:rPr>
                <w:rFonts w:hint="eastAsia" w:ascii="宋体" w:hAnsi="宋体" w:cs="宋体"/>
                <w:b w:val="0"/>
                <w:bCs/>
                <w:kern w:val="0"/>
                <w:sz w:val="24"/>
                <w:highlight w:val="none"/>
              </w:rPr>
              <w:t>A</w:t>
            </w:r>
            <w:r>
              <w:rPr>
                <w:rFonts w:hint="eastAsia" w:ascii="宋体" w:hAnsi="宋体"/>
                <w:b w:val="0"/>
                <w:bCs/>
                <w:sz w:val="24"/>
                <w:highlight w:val="none"/>
              </w:rPr>
              <w:t>不组织；</w:t>
            </w:r>
          </w:p>
          <w:p w14:paraId="5A8E8778">
            <w:pPr>
              <w:spacing w:line="360" w:lineRule="auto"/>
              <w:ind w:right="143" w:rightChars="68" w:firstLine="82" w:firstLineChars="34"/>
              <w:jc w:val="left"/>
              <w:rPr>
                <w:rFonts w:ascii="宋体" w:hAnsi="宋体"/>
                <w:b/>
                <w:bCs w:val="0"/>
                <w:sz w:val="24"/>
                <w:highlight w:val="none"/>
              </w:rPr>
            </w:pPr>
            <w:r>
              <w:rPr>
                <w:rFonts w:hint="eastAsia" w:ascii="Wingdings" w:hAnsi="Wingdings" w:eastAsia="MS Gothic" w:cs="宋体"/>
                <w:b/>
                <w:bCs w:val="0"/>
                <w:kern w:val="0"/>
                <w:sz w:val="24"/>
                <w:highlight w:val="none"/>
              </w:rPr>
              <w:sym w:font="Wingdings" w:char="00A8"/>
            </w:r>
            <w:r>
              <w:rPr>
                <w:rFonts w:ascii="宋体" w:hAnsi="宋体"/>
                <w:b/>
                <w:bCs w:val="0"/>
                <w:sz w:val="24"/>
                <w:highlight w:val="none"/>
              </w:rPr>
              <w:t>B组织。</w:t>
            </w:r>
          </w:p>
          <w:p w14:paraId="1502714B">
            <w:pPr>
              <w:snapToGrid w:val="0"/>
              <w:spacing w:line="360" w:lineRule="auto"/>
              <w:ind w:right="143" w:rightChars="68" w:firstLine="81" w:firstLineChars="34"/>
              <w:jc w:val="left"/>
              <w:rPr>
                <w:rFonts w:ascii="宋体" w:hAnsi="宋体"/>
                <w:bCs/>
                <w:sz w:val="24"/>
                <w:highlight w:val="none"/>
              </w:rPr>
            </w:pPr>
            <w:r>
              <w:rPr>
                <w:rFonts w:hint="eastAsia" w:ascii="宋体" w:hAnsi="宋体"/>
                <w:bCs/>
                <w:sz w:val="24"/>
                <w:highlight w:val="none"/>
              </w:rPr>
              <w:t>录屏讲解演示：</w:t>
            </w:r>
            <w:r>
              <w:rPr>
                <w:rFonts w:ascii="宋体" w:hAnsi="宋体"/>
                <w:bCs/>
                <w:sz w:val="24"/>
                <w:highlight w:val="none"/>
              </w:rPr>
              <w:t>提供演示录屏（视频格式为非常规格式提供</w:t>
            </w:r>
            <w:r>
              <w:rPr>
                <w:rFonts w:hint="eastAsia" w:ascii="宋体" w:hAnsi="宋体"/>
                <w:bCs/>
                <w:sz w:val="24"/>
                <w:highlight w:val="none"/>
              </w:rPr>
              <w:t>视频</w:t>
            </w:r>
            <w:r>
              <w:rPr>
                <w:rFonts w:ascii="宋体" w:hAnsi="宋体"/>
                <w:bCs/>
                <w:sz w:val="24"/>
                <w:highlight w:val="none"/>
              </w:rPr>
              <w:t>安装软件，以免无法播放），</w:t>
            </w:r>
            <w:r>
              <w:rPr>
                <w:rFonts w:hint="eastAsia" w:ascii="宋体" w:hAnsi="宋体"/>
                <w:bCs/>
                <w:sz w:val="24"/>
                <w:highlight w:val="none"/>
                <w:lang w:val="en-US" w:eastAsia="zh-CN"/>
              </w:rPr>
              <w:t>可</w:t>
            </w:r>
            <w:r>
              <w:rPr>
                <w:rFonts w:ascii="宋体" w:hAnsi="宋体"/>
                <w:bCs/>
                <w:sz w:val="24"/>
                <w:highlight w:val="none"/>
              </w:rPr>
              <w:t>与备份文件一起邮寄</w:t>
            </w:r>
            <w:r>
              <w:rPr>
                <w:rFonts w:hint="eastAsia" w:ascii="宋体" w:hAnsi="宋体"/>
                <w:bCs/>
                <w:sz w:val="24"/>
                <w:highlight w:val="none"/>
                <w:u w:val="single"/>
                <w:lang w:val="en-US" w:eastAsia="zh-CN"/>
              </w:rPr>
              <w:t>/</w:t>
            </w:r>
            <w:r>
              <w:rPr>
                <w:rFonts w:hint="eastAsia" w:ascii="宋体" w:hAnsi="宋体"/>
                <w:bCs/>
                <w:sz w:val="24"/>
                <w:highlight w:val="none"/>
              </w:rPr>
              <w:t>，需明确备注</w:t>
            </w:r>
            <w:r>
              <w:rPr>
                <w:rFonts w:ascii="宋体" w:hAnsi="宋体"/>
                <w:bCs/>
                <w:sz w:val="24"/>
                <w:highlight w:val="none"/>
              </w:rPr>
              <w:t>。</w:t>
            </w:r>
          </w:p>
          <w:p w14:paraId="612D2087">
            <w:pPr>
              <w:snapToGrid w:val="0"/>
              <w:spacing w:line="360" w:lineRule="auto"/>
              <w:ind w:right="143" w:rightChars="68" w:firstLine="81" w:firstLineChars="34"/>
              <w:jc w:val="left"/>
              <w:rPr>
                <w:rFonts w:hint="eastAsia" w:ascii="宋体" w:hAnsi="宋体" w:cs="宋体"/>
                <w:bCs/>
                <w:kern w:val="0"/>
                <w:sz w:val="24"/>
                <w:highlight w:val="none"/>
                <w:lang w:val="zh-CN"/>
              </w:rPr>
            </w:pPr>
            <w:r>
              <w:rPr>
                <w:rFonts w:hint="eastAsia" w:ascii="宋体" w:hAnsi="宋体"/>
                <w:bCs/>
                <w:sz w:val="24"/>
                <w:highlight w:val="none"/>
              </w:rPr>
              <w:t>注：因投标人自身原因导致无法演示或者演示效果不理想的，责任自负。</w:t>
            </w:r>
          </w:p>
        </w:tc>
      </w:tr>
      <w:tr w14:paraId="0644D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right w:val="single" w:color="auto" w:sz="4" w:space="0"/>
            </w:tcBorders>
            <w:vAlign w:val="center"/>
          </w:tcPr>
          <w:p w14:paraId="058142F7">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right w:val="single" w:color="000000" w:sz="8" w:space="0"/>
            </w:tcBorders>
            <w:vAlign w:val="center"/>
          </w:tcPr>
          <w:p w14:paraId="00D66CD7">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1D28A501">
            <w:pPr>
              <w:spacing w:line="360" w:lineRule="auto"/>
              <w:jc w:val="left"/>
              <w:rPr>
                <w:rFonts w:hint="eastAsia" w:ascii="宋体" w:hAnsi="宋体" w:cs="宋体"/>
                <w:bCs/>
                <w:sz w:val="24"/>
                <w:highlight w:val="none"/>
              </w:rPr>
            </w:pPr>
            <w:r>
              <w:rPr>
                <w:rFonts w:hint="eastAsia" w:ascii="宋体" w:hAnsi="宋体" w:cs="宋体"/>
                <w:bCs/>
                <w:sz w:val="24"/>
                <w:highlight w:val="none"/>
              </w:rPr>
              <w:t>（1）资格证明文件：见招标文件第二部分11.1。</w:t>
            </w:r>
          </w:p>
          <w:p w14:paraId="72CF1809">
            <w:pPr>
              <w:spacing w:line="360" w:lineRule="auto"/>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投标人未提供有效的资格证明文件的，视为投标人不具备招标文件中规定的资格要求，投标无效。</w:t>
            </w:r>
          </w:p>
          <w:p w14:paraId="6DB91C05">
            <w:pPr>
              <w:spacing w:line="360" w:lineRule="auto"/>
              <w:jc w:val="left"/>
              <w:rPr>
                <w:rFonts w:hint="eastAsia" w:ascii="宋体" w:hAnsi="宋体" w:cs="宋体"/>
                <w:bCs/>
                <w:snapToGrid w:val="0"/>
                <w:kern w:val="0"/>
                <w:sz w:val="24"/>
                <w:highlight w:val="none"/>
              </w:rPr>
            </w:pPr>
            <w:r>
              <w:rPr>
                <w:rFonts w:hint="eastAsia" w:ascii="宋体" w:hAnsi="宋体" w:cs="宋体"/>
                <w:bCs/>
                <w:sz w:val="24"/>
                <w:highlight w:val="none"/>
              </w:rPr>
              <w:t>（2）资信证明文件：根据招标文件第四部分评标标准提供。</w:t>
            </w:r>
          </w:p>
        </w:tc>
      </w:tr>
      <w:tr w14:paraId="71F9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383589BE">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39734E2">
            <w:pPr>
              <w:snapToGrid w:val="0"/>
              <w:spacing w:line="360" w:lineRule="auto"/>
              <w:jc w:val="left"/>
              <w:rPr>
                <w:rFonts w:hint="eastAsia" w:ascii="宋体" w:hAnsi="宋体" w:cs="宋体"/>
                <w:bCs/>
                <w:sz w:val="24"/>
                <w:highlight w:val="none"/>
              </w:rPr>
            </w:pPr>
            <w:r>
              <w:rPr>
                <w:rFonts w:hint="eastAsia" w:ascii="宋体" w:hAnsi="宋体"/>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726FD6CB">
            <w:pPr>
              <w:spacing w:line="360" w:lineRule="auto"/>
              <w:ind w:firstLine="480" w:firstLineChars="200"/>
              <w:jc w:val="left"/>
              <w:rPr>
                <w:sz w:val="24"/>
                <w:highlight w:val="none"/>
              </w:rPr>
            </w:pPr>
            <w:r>
              <w:rPr>
                <w:rFonts w:hint="eastAsia" w:ascii="宋体" w:hAnsi="宋体"/>
                <w:snapToGrid w:val="0"/>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44EF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D6C6371">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95DB47F">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04D09AC4">
            <w:pPr>
              <w:snapToGrid w:val="0"/>
              <w:spacing w:line="360" w:lineRule="auto"/>
              <w:ind w:firstLine="480" w:firstLineChars="2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有关本项目实施所需的所有费用（含税费）均计入报价。投标文件</w:t>
            </w:r>
            <w:r>
              <w:rPr>
                <w:rFonts w:hint="eastAsia" w:ascii="宋体" w:hAnsi="宋体" w:cs="宋体"/>
                <w:bCs/>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22B68A8">
            <w:pPr>
              <w:snapToGrid w:val="0"/>
              <w:spacing w:line="360" w:lineRule="auto"/>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投标报价出现下列情形的，投标无效：</w:t>
            </w:r>
          </w:p>
          <w:p w14:paraId="1E62302C">
            <w:pPr>
              <w:snapToGrid w:val="0"/>
              <w:spacing w:line="360" w:lineRule="auto"/>
              <w:ind w:firstLine="240" w:firstLineChars="1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投标文件出现不是唯一的、有选择性投标报价的；</w:t>
            </w:r>
          </w:p>
          <w:p w14:paraId="576D7238">
            <w:pPr>
              <w:snapToGrid w:val="0"/>
              <w:spacing w:line="360" w:lineRule="auto"/>
              <w:ind w:firstLine="240" w:firstLineChars="1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投标报价超过招标文件中规定的预算金额或者最高限价的；</w:t>
            </w:r>
          </w:p>
          <w:p w14:paraId="2F3A847D">
            <w:pPr>
              <w:spacing w:line="360" w:lineRule="auto"/>
              <w:ind w:firstLine="240" w:firstLineChars="100"/>
              <w:jc w:val="left"/>
              <w:rPr>
                <w:rFonts w:hint="eastAsia" w:ascii="宋体" w:hAnsi="宋体" w:cs="宋体"/>
                <w:bCs/>
                <w:sz w:val="24"/>
                <w:highlight w:val="none"/>
              </w:rPr>
            </w:pPr>
            <w:r>
              <w:rPr>
                <w:rFonts w:hint="eastAsia" w:ascii="宋体" w:hAnsi="宋体" w:cs="宋体"/>
                <w:bCs/>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highlight w:val="none"/>
              </w:rPr>
              <w:t>；</w:t>
            </w:r>
          </w:p>
          <w:p w14:paraId="5ABBF429">
            <w:pPr>
              <w:spacing w:line="360" w:lineRule="auto"/>
              <w:ind w:firstLine="240" w:firstLineChars="100"/>
              <w:jc w:val="left"/>
              <w:rPr>
                <w:rFonts w:hint="eastAsia" w:ascii="宋体" w:hAnsi="宋体" w:cs="宋体"/>
                <w:bCs/>
                <w:sz w:val="24"/>
                <w:highlight w:val="none"/>
              </w:rPr>
            </w:pPr>
            <w:r>
              <w:rPr>
                <w:rFonts w:hint="eastAsia" w:ascii="宋体" w:hAnsi="宋体" w:cs="宋体"/>
                <w:bCs/>
                <w:kern w:val="0"/>
                <w:sz w:val="24"/>
                <w:highlight w:val="none"/>
              </w:rPr>
              <w:t>投标人对根据修正原则修正后的报价不确认的</w:t>
            </w:r>
            <w:r>
              <w:rPr>
                <w:rFonts w:hint="eastAsia" w:ascii="宋体" w:hAnsi="宋体" w:cs="宋体"/>
                <w:bCs/>
                <w:sz w:val="24"/>
                <w:highlight w:val="none"/>
              </w:rPr>
              <w:t>。</w:t>
            </w:r>
          </w:p>
        </w:tc>
      </w:tr>
      <w:tr w14:paraId="02EA8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7289E63">
            <w:pPr>
              <w:numPr>
                <w:ilvl w:val="0"/>
                <w:numId w:val="2"/>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03D6D49">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51403480">
            <w:pPr>
              <w:pStyle w:val="9"/>
              <w:spacing w:line="360" w:lineRule="auto"/>
              <w:ind w:right="143" w:rightChars="68" w:firstLine="480" w:firstLineChars="200"/>
              <w:jc w:val="left"/>
              <w:rPr>
                <w:rFonts w:hint="eastAsia" w:hAnsi="宋体" w:cs="宋体"/>
                <w:bCs/>
                <w:kern w:val="28"/>
                <w:sz w:val="24"/>
                <w:szCs w:val="24"/>
                <w:highlight w:val="none"/>
              </w:rPr>
            </w:pPr>
            <w:r>
              <w:rPr>
                <w:rFonts w:hint="eastAsia" w:hAnsi="宋体"/>
                <w:bCs/>
                <w:kern w:val="28"/>
                <w:sz w:val="24"/>
                <w:szCs w:val="24"/>
                <w:highlight w:val="none"/>
              </w:rPr>
              <w:t>备份投标文件送达地点：</w:t>
            </w:r>
            <w:r>
              <w:rPr>
                <w:rFonts w:hint="eastAsia" w:hAnsi="宋体"/>
                <w:bCs/>
                <w:sz w:val="24"/>
                <w:szCs w:val="24"/>
                <w:highlight w:val="none"/>
                <w:u w:val="single"/>
                <w:lang w:eastAsia="zh-CN"/>
              </w:rPr>
              <w:t>杭州市文一西路558号绿城西溪诚园诚公馆1号楼9楼</w:t>
            </w:r>
            <w:r>
              <w:rPr>
                <w:rFonts w:hint="eastAsia" w:hAnsi="宋体"/>
                <w:b/>
                <w:bCs w:val="0"/>
                <w:sz w:val="24"/>
                <w:szCs w:val="24"/>
                <w:highlight w:val="none"/>
                <w:u w:val="single"/>
              </w:rPr>
              <w:t>（接受邮寄，需在投标截止前</w:t>
            </w:r>
            <w:r>
              <w:rPr>
                <w:rFonts w:hint="eastAsia" w:hAnsi="宋体"/>
                <w:b/>
                <w:bCs w:val="0"/>
                <w:sz w:val="24"/>
                <w:szCs w:val="24"/>
                <w:highlight w:val="none"/>
                <w:u w:val="single"/>
                <w:lang w:val="en-US" w:eastAsia="zh-CN"/>
              </w:rPr>
              <w:t>一天</w:t>
            </w:r>
            <w:r>
              <w:rPr>
                <w:rFonts w:hint="eastAsia" w:hAnsi="宋体"/>
                <w:b/>
                <w:bCs w:val="0"/>
                <w:sz w:val="24"/>
                <w:szCs w:val="24"/>
                <w:highlight w:val="none"/>
                <w:u w:val="single"/>
              </w:rPr>
              <w:t>寄达签收）</w:t>
            </w:r>
            <w:r>
              <w:rPr>
                <w:rFonts w:hint="eastAsia" w:hAnsi="宋体"/>
                <w:bCs/>
                <w:kern w:val="28"/>
                <w:sz w:val="24"/>
                <w:szCs w:val="24"/>
                <w:highlight w:val="none"/>
              </w:rPr>
              <w:t>；备份投标文件签收人员联系电话：</w:t>
            </w:r>
            <w:r>
              <w:rPr>
                <w:rFonts w:hint="eastAsia" w:hAnsi="宋体"/>
                <w:bCs/>
                <w:kern w:val="28"/>
                <w:sz w:val="24"/>
                <w:szCs w:val="24"/>
                <w:highlight w:val="none"/>
                <w:u w:val="single"/>
              </w:rPr>
              <w:t xml:space="preserve"> </w:t>
            </w:r>
            <w:r>
              <w:rPr>
                <w:rFonts w:hint="eastAsia" w:hAnsi="宋体"/>
                <w:bCs/>
                <w:sz w:val="24"/>
                <w:szCs w:val="24"/>
                <w:highlight w:val="none"/>
                <w:u w:val="single"/>
                <w:lang w:eastAsia="zh-CN"/>
              </w:rPr>
              <w:t>张琛</w:t>
            </w:r>
            <w:r>
              <w:rPr>
                <w:rFonts w:hint="eastAsia" w:hAnsi="宋体"/>
                <w:bCs/>
                <w:sz w:val="24"/>
                <w:szCs w:val="24"/>
                <w:highlight w:val="none"/>
                <w:u w:val="single"/>
              </w:rPr>
              <w:t xml:space="preserve"> </w:t>
            </w:r>
            <w:r>
              <w:rPr>
                <w:rFonts w:hint="eastAsia" w:hAnsi="宋体"/>
                <w:bCs/>
                <w:sz w:val="24"/>
                <w:szCs w:val="24"/>
                <w:highlight w:val="none"/>
                <w:u w:val="single"/>
                <w:lang w:eastAsia="zh-CN"/>
              </w:rPr>
              <w:t>13758250560</w:t>
            </w:r>
            <w:r>
              <w:rPr>
                <w:rFonts w:hint="eastAsia" w:hAnsi="宋体"/>
                <w:bCs/>
                <w:sz w:val="24"/>
                <w:szCs w:val="24"/>
                <w:highlight w:val="none"/>
                <w:u w:val="single"/>
              </w:rPr>
              <w:t xml:space="preserve"> </w:t>
            </w:r>
            <w:r>
              <w:rPr>
                <w:rFonts w:hint="eastAsia" w:hAnsi="宋体" w:cs="仿宋_GB2312"/>
                <w:bCs/>
                <w:sz w:val="24"/>
                <w:szCs w:val="24"/>
                <w:highlight w:val="none"/>
              </w:rPr>
              <w:t>。采购人、采购代理机构不强制或变相强制投标人提交备份投标文件。</w:t>
            </w:r>
          </w:p>
        </w:tc>
      </w:tr>
      <w:tr w14:paraId="1B249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13D8ED16">
            <w:pPr>
              <w:numPr>
                <w:ilvl w:val="0"/>
                <w:numId w:val="2"/>
              </w:numPr>
              <w:snapToGrid w:val="0"/>
              <w:spacing w:line="360" w:lineRule="auto"/>
              <w:jc w:val="center"/>
              <w:rPr>
                <w:rFonts w:hint="eastAsia" w:ascii="宋体" w:hAnsi="宋体" w:cs="宋体"/>
                <w:bCs/>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14:paraId="763C7544">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589CB5C5">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t>联合体投标的，联合体各方分别提供与联合体协议中规定的分工内容相应的业绩证明材料，业绩数量以提供材料较少的一方为准。</w:t>
            </w:r>
          </w:p>
        </w:tc>
      </w:tr>
      <w:tr w14:paraId="7F14A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6712C6BC">
            <w:pPr>
              <w:snapToGrid w:val="0"/>
              <w:spacing w:line="360" w:lineRule="auto"/>
              <w:jc w:val="center"/>
              <w:rPr>
                <w:rFonts w:hint="eastAsia" w:ascii="宋体" w:hAnsi="宋体" w:cs="宋体"/>
                <w:bCs/>
                <w:sz w:val="24"/>
                <w:highlight w:val="none"/>
              </w:rPr>
            </w:pPr>
          </w:p>
        </w:tc>
        <w:tc>
          <w:tcPr>
            <w:tcW w:w="2253" w:type="dxa"/>
            <w:vMerge w:val="continue"/>
            <w:tcBorders>
              <w:left w:val="single" w:color="000000" w:sz="2" w:space="0"/>
              <w:right w:val="single" w:color="000000" w:sz="8" w:space="0"/>
            </w:tcBorders>
            <w:vAlign w:val="center"/>
          </w:tcPr>
          <w:p w14:paraId="6CAA9334">
            <w:pPr>
              <w:snapToGrid w:val="0"/>
              <w:spacing w:line="360" w:lineRule="auto"/>
              <w:jc w:val="left"/>
              <w:rPr>
                <w:rFonts w:hint="eastAsia" w:ascii="宋体" w:hAnsi="宋体" w:cs="宋体"/>
                <w:bCs/>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678A28BD">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t>☐联合体投标的，联合体各方均需按招标文件第四部分评标标准要求提供资信证明文件，否则视为不符合相关要求。</w:t>
            </w:r>
          </w:p>
          <w:p w14:paraId="443D5FA4">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sym w:font="Wingdings" w:char="F0FE"/>
            </w:r>
            <w:r>
              <w:rPr>
                <w:rFonts w:hint="eastAsia" w:ascii="宋体" w:hAnsi="宋体" w:cs="宋体"/>
                <w:bCs/>
                <w:snapToGrid w:val="0"/>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kern w:val="28"/>
                <w:sz w:val="24"/>
                <w:highlight w:val="none"/>
              </w:rPr>
              <w:t>招标文件第四部分评分标准有其他规定的，从其规定。</w:t>
            </w:r>
          </w:p>
        </w:tc>
      </w:tr>
      <w:tr w14:paraId="41C9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14:paraId="349A51AE">
            <w:pPr>
              <w:snapToGrid w:val="0"/>
              <w:spacing w:line="360" w:lineRule="auto"/>
              <w:jc w:val="center"/>
              <w:rPr>
                <w:rFonts w:hint="eastAsia" w:ascii="宋体" w:hAnsi="宋体" w:cs="宋体"/>
                <w:bCs/>
                <w:sz w:val="24"/>
                <w:highlight w:val="none"/>
              </w:rPr>
            </w:pPr>
          </w:p>
        </w:tc>
        <w:tc>
          <w:tcPr>
            <w:tcW w:w="2253" w:type="dxa"/>
            <w:vMerge w:val="continue"/>
            <w:tcBorders>
              <w:left w:val="single" w:color="000000" w:sz="2" w:space="0"/>
              <w:bottom w:val="single" w:color="000000" w:sz="8" w:space="0"/>
              <w:right w:val="single" w:color="000000" w:sz="8" w:space="0"/>
            </w:tcBorders>
            <w:vAlign w:val="center"/>
          </w:tcPr>
          <w:p w14:paraId="0AAFA82E">
            <w:pPr>
              <w:snapToGrid w:val="0"/>
              <w:spacing w:line="360" w:lineRule="auto"/>
              <w:jc w:val="left"/>
              <w:rPr>
                <w:rFonts w:hint="eastAsia" w:ascii="宋体" w:hAnsi="宋体" w:cs="宋体"/>
                <w:bCs/>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71331ADF">
            <w:pPr>
              <w:snapToGrid w:val="0"/>
              <w:spacing w:line="360" w:lineRule="auto"/>
              <w:ind w:right="143" w:rightChars="68" w:firstLine="81" w:firstLineChars="34"/>
              <w:jc w:val="left"/>
              <w:rPr>
                <w:rFonts w:hint="eastAsia" w:ascii="宋体" w:hAnsi="宋体"/>
                <w:bCs/>
                <w:kern w:val="28"/>
                <w:sz w:val="24"/>
                <w:highlight w:val="none"/>
              </w:rPr>
            </w:pPr>
            <w:r>
              <w:rPr>
                <w:rFonts w:hint="eastAsia" w:ascii="宋体" w:hAnsi="宋体"/>
                <w:bCs/>
                <w:sz w:val="24"/>
                <w:highlight w:val="none"/>
              </w:rPr>
              <w:t>（1）</w:t>
            </w:r>
            <w:r>
              <w:rPr>
                <w:rFonts w:ascii="宋体" w:hAnsi="宋体"/>
                <w:bCs/>
                <w:sz w:val="24"/>
                <w:highlight w:val="none"/>
              </w:rPr>
              <w:t>中标通知书发出后30日</w:t>
            </w:r>
            <w:r>
              <w:rPr>
                <w:rFonts w:hint="eastAsia" w:ascii="宋体" w:hAnsi="宋体"/>
                <w:b/>
                <w:sz w:val="24"/>
                <w:highlight w:val="none"/>
              </w:rPr>
              <w:t>（鼓励有条件的缩短至10个工作日）</w:t>
            </w:r>
            <w:r>
              <w:rPr>
                <w:rFonts w:ascii="宋体" w:hAnsi="宋体"/>
                <w:bCs/>
                <w:sz w:val="24"/>
                <w:highlight w:val="none"/>
              </w:rPr>
              <w:t>内，中标供应商持中标通知书与采购人签订合同</w:t>
            </w:r>
            <w:r>
              <w:rPr>
                <w:rFonts w:hint="eastAsia" w:ascii="宋体" w:hAnsi="宋体"/>
                <w:bCs/>
                <w:sz w:val="24"/>
                <w:highlight w:val="none"/>
              </w:rPr>
              <w:t>。</w:t>
            </w:r>
          </w:p>
          <w:p w14:paraId="313ED4E0">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kern w:val="28"/>
                <w:sz w:val="24"/>
                <w:highlight w:val="none"/>
              </w:rPr>
              <w:t>（2）</w:t>
            </w:r>
            <w:r>
              <w:rPr>
                <w:rFonts w:hint="eastAsia" w:ascii="宋体" w:hAnsi="宋体"/>
                <w:bCs/>
                <w:sz w:val="24"/>
                <w:highlight w:val="none"/>
              </w:rPr>
              <w:t>中标供应商在收到中标通知后7个工作日内提交纸质版胶装投标文件（内容同电子投标文件）一正两副或系统解密版打印三份（封面盖章加骑缝），用于项目资料存档。（邮寄地址：</w:t>
            </w:r>
            <w:r>
              <w:rPr>
                <w:rFonts w:hint="eastAsia" w:ascii="宋体" w:hAnsi="宋体"/>
                <w:bCs/>
                <w:sz w:val="24"/>
                <w:highlight w:val="none"/>
                <w:lang w:eastAsia="zh-CN"/>
              </w:rPr>
              <w:t>杭州市文一西路558号绿城西溪诚园诚公馆1号楼9楼</w:t>
            </w:r>
            <w:r>
              <w:rPr>
                <w:rFonts w:hint="eastAsia" w:ascii="宋体" w:hAnsi="宋体"/>
                <w:bCs/>
                <w:sz w:val="24"/>
                <w:highlight w:val="none"/>
              </w:rPr>
              <w:t xml:space="preserve"> </w:t>
            </w:r>
            <w:r>
              <w:rPr>
                <w:rFonts w:hint="eastAsia" w:ascii="宋体" w:hAnsi="宋体"/>
                <w:bCs/>
                <w:sz w:val="24"/>
                <w:highlight w:val="none"/>
                <w:lang w:eastAsia="zh-CN"/>
              </w:rPr>
              <w:t>张琛</w:t>
            </w:r>
            <w:r>
              <w:rPr>
                <w:rFonts w:hint="eastAsia" w:ascii="宋体" w:hAnsi="宋体"/>
                <w:bCs/>
                <w:sz w:val="24"/>
                <w:highlight w:val="none"/>
              </w:rPr>
              <w:t xml:space="preserve"> </w:t>
            </w:r>
            <w:r>
              <w:rPr>
                <w:rFonts w:hint="eastAsia" w:ascii="宋体" w:hAnsi="宋体"/>
                <w:bCs/>
                <w:sz w:val="24"/>
                <w:highlight w:val="none"/>
                <w:lang w:eastAsia="zh-CN"/>
              </w:rPr>
              <w:t>13758250560</w:t>
            </w:r>
            <w:r>
              <w:rPr>
                <w:rFonts w:hint="eastAsia" w:ascii="宋体" w:hAnsi="宋体"/>
                <w:bCs/>
                <w:sz w:val="24"/>
                <w:highlight w:val="none"/>
              </w:rPr>
              <w:t>收）</w:t>
            </w:r>
          </w:p>
          <w:p w14:paraId="07BD9735">
            <w:pPr>
              <w:snapToGrid w:val="0"/>
              <w:spacing w:line="360" w:lineRule="auto"/>
              <w:ind w:right="143" w:rightChars="68" w:firstLine="81" w:firstLineChars="34"/>
              <w:jc w:val="left"/>
              <w:rPr>
                <w:rFonts w:hint="eastAsia" w:ascii="宋体" w:hAnsi="宋体" w:eastAsia="宋体" w:cs="Times New Roman"/>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w:t>
            </w:r>
            <w:r>
              <w:rPr>
                <w:rFonts w:hint="eastAsia" w:ascii="宋体" w:hAnsi="宋体" w:eastAsia="宋体" w:cs="Times New Roman"/>
                <w:bCs/>
                <w:color w:val="auto"/>
                <w:sz w:val="24"/>
                <w:highlight w:val="none"/>
              </w:rPr>
              <w:t>按浙价服(2003)77号文规定的收费标准</w:t>
            </w:r>
            <w:r>
              <w:rPr>
                <w:rFonts w:hint="eastAsia" w:ascii="宋体" w:hAnsi="宋体" w:eastAsia="宋体" w:cs="Times New Roman"/>
                <w:bCs/>
                <w:color w:val="auto"/>
                <w:sz w:val="24"/>
                <w:highlight w:val="none"/>
                <w:lang w:val="en-US" w:eastAsia="zh-CN"/>
              </w:rPr>
              <w:t>八折</w:t>
            </w:r>
            <w:r>
              <w:rPr>
                <w:rFonts w:hint="eastAsia" w:ascii="宋体" w:hAnsi="宋体" w:eastAsia="宋体" w:cs="Times New Roman"/>
                <w:bCs/>
                <w:color w:val="auto"/>
                <w:sz w:val="24"/>
                <w:highlight w:val="none"/>
              </w:rPr>
              <w:t>计取，不足</w:t>
            </w:r>
            <w:r>
              <w:rPr>
                <w:rFonts w:hint="eastAsia" w:ascii="宋体" w:hAnsi="宋体" w:cs="Times New Roman"/>
                <w:bCs/>
                <w:color w:val="auto"/>
                <w:sz w:val="24"/>
                <w:highlight w:val="none"/>
                <w:lang w:val="en-US" w:eastAsia="zh-CN"/>
              </w:rPr>
              <w:t>陆</w:t>
            </w:r>
            <w:r>
              <w:rPr>
                <w:rFonts w:hint="eastAsia" w:ascii="宋体" w:hAnsi="宋体" w:eastAsia="宋体" w:cs="Times New Roman"/>
                <w:bCs/>
                <w:color w:val="auto"/>
                <w:sz w:val="24"/>
                <w:highlight w:val="none"/>
              </w:rPr>
              <w:t>仟元按</w:t>
            </w:r>
            <w:r>
              <w:rPr>
                <w:rFonts w:hint="eastAsia" w:ascii="宋体" w:hAnsi="宋体" w:cs="Times New Roman"/>
                <w:bCs/>
                <w:color w:val="auto"/>
                <w:sz w:val="24"/>
                <w:highlight w:val="none"/>
                <w:lang w:val="en-US" w:eastAsia="zh-CN"/>
              </w:rPr>
              <w:t>陆</w:t>
            </w:r>
            <w:r>
              <w:rPr>
                <w:rFonts w:hint="eastAsia" w:ascii="宋体" w:hAnsi="宋体" w:eastAsia="宋体" w:cs="Times New Roman"/>
                <w:bCs/>
                <w:color w:val="auto"/>
                <w:sz w:val="24"/>
                <w:highlight w:val="none"/>
              </w:rPr>
              <w:t>仟元计取。</w:t>
            </w:r>
          </w:p>
          <w:p w14:paraId="605D1819">
            <w:pPr>
              <w:snapToGrid w:val="0"/>
              <w:spacing w:line="360" w:lineRule="auto"/>
              <w:ind w:right="143" w:rightChars="68"/>
              <w:jc w:val="left"/>
              <w:rPr>
                <w:rFonts w:hint="eastAsia" w:ascii="宋体" w:hAnsi="宋体"/>
                <w:bCs/>
                <w:sz w:val="24"/>
                <w:highlight w:val="none"/>
              </w:rPr>
            </w:pPr>
            <w:r>
              <w:rPr>
                <w:rFonts w:hint="eastAsia" w:ascii="宋体" w:hAnsi="宋体"/>
                <w:bCs/>
                <w:sz w:val="24"/>
                <w:highlight w:val="none"/>
              </w:rPr>
              <w:sym w:font="Wingdings 2" w:char="00A3"/>
            </w:r>
            <w:r>
              <w:rPr>
                <w:rFonts w:hint="eastAsia" w:ascii="宋体" w:hAnsi="宋体"/>
                <w:bCs/>
                <w:sz w:val="24"/>
                <w:highlight w:val="none"/>
              </w:rPr>
              <w:t>采购人在招标完成后支付；</w:t>
            </w:r>
          </w:p>
          <w:p w14:paraId="426AA13F">
            <w:pPr>
              <w:pStyle w:val="9"/>
              <w:spacing w:line="360" w:lineRule="auto"/>
              <w:rPr>
                <w:rFonts w:hint="eastAsia" w:hAnsi="宋体" w:cs="宋体"/>
                <w:kern w:val="28"/>
                <w:sz w:val="24"/>
                <w:szCs w:val="24"/>
                <w:highlight w:val="none"/>
              </w:rPr>
            </w:pPr>
            <w:r>
              <w:rPr>
                <w:rFonts w:hint="eastAsia" w:ascii="宋体" w:hAnsi="宋体"/>
                <w:b/>
                <w:sz w:val="24"/>
                <w:highlight w:val="none"/>
              </w:rPr>
              <w:sym w:font="Wingdings 2" w:char="0052"/>
            </w:r>
            <w:r>
              <w:rPr>
                <w:rFonts w:hint="eastAsia" w:hAnsi="宋体" w:cs="宋体"/>
                <w:kern w:val="28"/>
                <w:sz w:val="24"/>
                <w:szCs w:val="24"/>
                <w:highlight w:val="none"/>
              </w:rPr>
              <w:t>在发出成交通知书时由成交供应商一次性支付给采购代理机构（账号信息附下），中标（成交）通知书签发后，成交供应商因自身原因被取消成交资格或放弃成交的，仍须支付采购代理服务费。</w:t>
            </w:r>
          </w:p>
          <w:p w14:paraId="0FB8B9DE">
            <w:pPr>
              <w:pStyle w:val="9"/>
              <w:spacing w:line="360" w:lineRule="auto"/>
              <w:rPr>
                <w:rFonts w:hint="eastAsia" w:hAnsi="宋体" w:cs="宋体"/>
                <w:kern w:val="28"/>
                <w:sz w:val="24"/>
                <w:szCs w:val="24"/>
                <w:highlight w:val="none"/>
              </w:rPr>
            </w:pPr>
            <w:r>
              <w:rPr>
                <w:rFonts w:hint="eastAsia" w:hAnsi="宋体" w:cs="宋体"/>
                <w:kern w:val="28"/>
                <w:sz w:val="24"/>
                <w:szCs w:val="24"/>
                <w:highlight w:val="none"/>
              </w:rPr>
              <w:t>户  名：欧邦工程管理集团有限公司</w:t>
            </w:r>
          </w:p>
          <w:p w14:paraId="3CBF342B">
            <w:pPr>
              <w:pStyle w:val="9"/>
              <w:spacing w:line="360" w:lineRule="auto"/>
              <w:rPr>
                <w:rFonts w:hint="eastAsia" w:hAnsi="宋体" w:cs="宋体"/>
                <w:kern w:val="28"/>
                <w:sz w:val="24"/>
                <w:szCs w:val="24"/>
                <w:highlight w:val="none"/>
              </w:rPr>
            </w:pPr>
            <w:r>
              <w:rPr>
                <w:rFonts w:hint="eastAsia" w:hAnsi="宋体" w:cs="宋体"/>
                <w:kern w:val="28"/>
                <w:sz w:val="24"/>
                <w:szCs w:val="24"/>
                <w:highlight w:val="none"/>
              </w:rPr>
              <w:t>银行账号：201000345676674</w:t>
            </w:r>
          </w:p>
          <w:p w14:paraId="039C079C">
            <w:pPr>
              <w:snapToGrid w:val="0"/>
              <w:spacing w:line="360" w:lineRule="auto"/>
              <w:ind w:right="143" w:rightChars="68" w:firstLine="81" w:firstLineChars="34"/>
              <w:jc w:val="left"/>
              <w:rPr>
                <w:rFonts w:hint="eastAsia" w:ascii="宋体" w:hAnsi="宋体" w:cs="Arial"/>
                <w:bCs/>
                <w:kern w:val="0"/>
                <w:sz w:val="24"/>
                <w:highlight w:val="none"/>
              </w:rPr>
            </w:pPr>
            <w:r>
              <w:rPr>
                <w:rFonts w:hint="eastAsia" w:hAnsi="宋体" w:cs="宋体"/>
                <w:kern w:val="28"/>
                <w:sz w:val="24"/>
                <w:szCs w:val="24"/>
                <w:highlight w:val="none"/>
              </w:rPr>
              <w:t>开户银行：杭州联合农村商业银行股份有限公司城西支行</w:t>
            </w:r>
          </w:p>
        </w:tc>
      </w:tr>
      <w:bookmarkEnd w:id="10"/>
    </w:tbl>
    <w:p w14:paraId="5F1A49C3">
      <w:pPr>
        <w:rPr>
          <w:rFonts w:hint="eastAsia"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br w:type="page"/>
      </w:r>
    </w:p>
    <w:p w14:paraId="49BE7CFB">
      <w:pPr>
        <w:adjustRightInd/>
        <w:snapToGrid w:val="0"/>
        <w:spacing w:line="360" w:lineRule="auto"/>
        <w:ind w:firstLine="3605" w:firstLineChars="1197"/>
        <w:outlineLvl w:val="0"/>
        <w:rPr>
          <w:rFonts w:hint="eastAsia" w:ascii="宋体" w:hAnsi="宋体" w:cs="宋体"/>
          <w:b/>
          <w:sz w:val="30"/>
          <w:szCs w:val="30"/>
          <w:highlight w:val="none"/>
        </w:rPr>
      </w:pPr>
      <w:r>
        <w:rPr>
          <w:rFonts w:hint="eastAsia" w:ascii="宋体" w:hAnsi="宋体" w:cs="宋体"/>
          <w:b/>
          <w:sz w:val="30"/>
          <w:szCs w:val="30"/>
          <w:highlight w:val="none"/>
        </w:rPr>
        <w:t>一、总则</w:t>
      </w:r>
    </w:p>
    <w:p w14:paraId="0C72BDFA">
      <w:pPr>
        <w:snapToGrid w:val="0"/>
        <w:spacing w:line="348" w:lineRule="auto"/>
        <w:ind w:firstLine="361" w:firstLineChars="150"/>
        <w:jc w:val="left"/>
        <w:outlineLvl w:val="1"/>
        <w:rPr>
          <w:rFonts w:hint="eastAsia" w:ascii="宋体" w:hAnsi="宋体" w:cs="宋体"/>
          <w:b/>
          <w:sz w:val="24"/>
          <w:highlight w:val="none"/>
        </w:rPr>
      </w:pPr>
      <w:r>
        <w:rPr>
          <w:rFonts w:hint="eastAsia" w:ascii="宋体" w:hAnsi="宋体" w:cs="宋体"/>
          <w:b/>
          <w:sz w:val="24"/>
          <w:highlight w:val="none"/>
        </w:rPr>
        <w:t>1.适用范围</w:t>
      </w:r>
    </w:p>
    <w:p w14:paraId="072D88C9">
      <w:pPr>
        <w:snapToGrid w:val="0"/>
        <w:spacing w:line="348" w:lineRule="auto"/>
        <w:ind w:firstLine="480" w:firstLineChars="200"/>
        <w:jc w:val="left"/>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9255886">
      <w:pPr>
        <w:adjustRightInd/>
        <w:snapToGrid w:val="0"/>
        <w:spacing w:line="348" w:lineRule="auto"/>
        <w:outlineLvl w:val="0"/>
        <w:rPr>
          <w:rFonts w:hint="eastAsia" w:ascii="宋体" w:hAnsi="宋体" w:cs="宋体"/>
          <w:b/>
          <w:sz w:val="24"/>
          <w:highlight w:val="none"/>
        </w:rPr>
      </w:pPr>
      <w:r>
        <w:rPr>
          <w:rFonts w:hint="eastAsia" w:ascii="宋体" w:hAnsi="宋体" w:cs="宋体"/>
          <w:b/>
          <w:sz w:val="24"/>
          <w:highlight w:val="none"/>
        </w:rPr>
        <w:t xml:space="preserve">   2.定义</w:t>
      </w:r>
    </w:p>
    <w:p w14:paraId="0321667D">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14:paraId="2EE6F336">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2.2 “采购机构”系指招标公告中载明的本项目的采购机构。</w:t>
      </w:r>
    </w:p>
    <w:p w14:paraId="13CE8EDD">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2.3 “投标供应商”、“投标人”系指是指响应招标、参加投标竞争的法人、其他组织或者自然人。</w:t>
      </w:r>
    </w:p>
    <w:p w14:paraId="4C4DFD0B">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13A61144">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0309FB">
      <w:pPr>
        <w:snapToGrid w:val="0"/>
        <w:spacing w:line="348" w:lineRule="auto"/>
        <w:ind w:firstLine="480" w:firstLineChars="200"/>
        <w:jc w:val="left"/>
        <w:rPr>
          <w:rFonts w:hint="eastAsia" w:ascii="宋体" w:hAnsi="宋体" w:cs="宋体"/>
          <w:sz w:val="24"/>
          <w:highlight w:val="none"/>
        </w:rPr>
      </w:pPr>
      <w:r>
        <w:rPr>
          <w:rFonts w:hint="eastAsia" w:ascii="宋体" w:hAnsi="宋体" w:cs="宋体"/>
          <w:sz w:val="24"/>
          <w:highlight w:val="none"/>
        </w:rPr>
        <w:t>2.6“电子交易平台”是指本项目政府采购活动所依托的乐采云平台（https://hzjyg.lecaiyun.com）。</w:t>
      </w:r>
    </w:p>
    <w:p w14:paraId="506C436E">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r>
        <w:rPr>
          <w:rFonts w:ascii="宋体" w:hAnsi="宋体" w:cs="宋体"/>
          <w:sz w:val="24"/>
          <w:highlight w:val="none"/>
        </w:rPr>
        <w:t>◆</w:t>
      </w:r>
      <w:r>
        <w:rPr>
          <w:rFonts w:hint="eastAsia" w:ascii="宋体" w:hAnsi="宋体" w:cs="宋体"/>
          <w:sz w:val="24"/>
          <w:highlight w:val="none"/>
        </w:rPr>
        <w:t>”系指技术参数重要指标，“</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128994FB">
      <w:pPr>
        <w:snapToGrid w:val="0"/>
        <w:spacing w:line="348" w:lineRule="auto"/>
        <w:ind w:firstLine="241" w:firstLineChars="100"/>
        <w:rPr>
          <w:rFonts w:hint="eastAsia"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5F41C989">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75622A6">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3.2 支持中小企业发展</w:t>
      </w:r>
    </w:p>
    <w:p w14:paraId="7CF0C443">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8B584F1">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符合中小企业划分标准的个体工商户，在采购活动中视同中小企业。</w:t>
      </w:r>
    </w:p>
    <w:p w14:paraId="5D49FFB5">
      <w:pPr>
        <w:widowControl/>
        <w:snapToGrid w:val="0"/>
        <w:spacing w:line="348" w:lineRule="auto"/>
        <w:ind w:firstLine="480" w:firstLineChars="200"/>
        <w:jc w:val="left"/>
        <w:rPr>
          <w:rFonts w:hint="eastAsia" w:ascii="宋体" w:hAnsi="宋体" w:cs="宋体"/>
          <w:kern w:val="0"/>
          <w:sz w:val="24"/>
          <w:highlight w:val="none"/>
        </w:rPr>
      </w:pPr>
      <w:r>
        <w:rPr>
          <w:rFonts w:ascii="宋体" w:hAnsi="宋体" w:cs="宋体"/>
          <w:bCs/>
          <w:sz w:val="24"/>
          <w:highlight w:val="none"/>
        </w:rPr>
        <w:t>3.</w:t>
      </w:r>
      <w:r>
        <w:rPr>
          <w:rFonts w:hint="eastAsia" w:ascii="宋体" w:hAnsi="宋体" w:cs="宋体"/>
          <w:bCs/>
          <w:sz w:val="24"/>
          <w:highlight w:val="none"/>
        </w:rPr>
        <w:t>2</w:t>
      </w:r>
      <w:r>
        <w:rPr>
          <w:rFonts w:ascii="宋体" w:hAnsi="宋体" w:cs="宋体"/>
          <w:bCs/>
          <w:sz w:val="24"/>
          <w:highlight w:val="none"/>
        </w:rPr>
        <w:t>.2</w:t>
      </w:r>
      <w:r>
        <w:rPr>
          <w:rFonts w:hint="eastAsia" w:ascii="宋体" w:hAnsi="宋体" w:cs="宋体"/>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80DA22">
      <w:pPr>
        <w:widowControl/>
        <w:snapToGrid w:val="0"/>
        <w:spacing w:line="348"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以联合体形式参加采购活动，联合体各方均为中小企业的，联合体视同中小企业。其中，联合体各方均为小微企业的，联合体视同小微企业。</w:t>
      </w:r>
    </w:p>
    <w:p w14:paraId="60C49952">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67C838A">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3.2.4符合《关于促进残疾人就业政府采购政策的通知》（财库〔2017〕141号）规定的条件并提供《残疾人福利性单位声明函》（附件1）的残疾人福利性单位视同小型、微型企业；</w:t>
      </w:r>
    </w:p>
    <w:p w14:paraId="1107DCF1">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4628814D">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EDD5F4">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3.2.7中小企业享受扶持政策获得采购合同的，小微企业不得将合同分包给大中型企业，中型企业不得将合同分包给大型企业。</w:t>
      </w:r>
    </w:p>
    <w:p w14:paraId="63512E96">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3.3</w:t>
      </w:r>
      <w:r>
        <w:rPr>
          <w:rFonts w:hint="eastAsia" w:ascii="宋体" w:hAnsi="宋体" w:cs="宋体"/>
          <w:bCs/>
          <w:sz w:val="24"/>
          <w:highlight w:val="none"/>
        </w:rPr>
        <w:t>支持创新发展</w:t>
      </w:r>
    </w:p>
    <w:p w14:paraId="0D9B67C7">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3.3.1 采购人优先采购被认定为首台套产品和“制造精品”的自主创新产品。</w:t>
      </w:r>
    </w:p>
    <w:p w14:paraId="47634ADC">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3.3.2首台套产品被纳入《首台套产品推广应用指导目录》之日起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年内，以及产品核心技术高于国内领先水平，并具有明晰自主知识产权的“制造精品”产品，自认定之日起2年内视同已具备相应销售业绩，参加采购活动时业绩分值为满分。</w:t>
      </w:r>
    </w:p>
    <w:p w14:paraId="4512A116">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3.3.3 采购人应当贯彻落实知识产权保护相关法律法规，应当采购使用正版软件。</w:t>
      </w:r>
    </w:p>
    <w:p w14:paraId="38BCFCE2">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3.4平等对待内外资企业和符合条件的破产重整企业</w:t>
      </w:r>
    </w:p>
    <w:p w14:paraId="321EDBB8">
      <w:pPr>
        <w:snapToGrid w:val="0"/>
        <w:spacing w:line="348" w:lineRule="auto"/>
        <w:ind w:firstLine="240" w:firstLineChars="1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77F7459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kern w:val="0"/>
          <w:sz w:val="24"/>
          <w:highlight w:val="none"/>
        </w:rPr>
        <w:t>乐彩云</w:t>
      </w:r>
      <w:r>
        <w:rPr>
          <w:rFonts w:hint="eastAsia" w:ascii="宋体" w:hAnsi="宋体" w:cs="宋体"/>
          <w:kern w:val="0"/>
          <w:sz w:val="24"/>
          <w:highlight w:val="none"/>
          <w:lang w:val="zh-CN"/>
        </w:rPr>
        <w:t>-采购投诉处理-在线办理。</w:t>
      </w:r>
    </w:p>
    <w:p w14:paraId="7B1005DA">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14:paraId="2871234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A9635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47D9668F">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4.3.1提出质疑的供应商应当是参与所质疑项目采购活动的供应商。潜在供应商已依法获取其可质疑的招标文件的，可以对该文件提出质疑。</w:t>
      </w:r>
    </w:p>
    <w:p w14:paraId="30646FA0">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ED711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4.3.2.1对招标文件提出质疑的，质疑期限为供应商获得招标文件之日或者招标文件公告期限届满之日起计算。</w:t>
      </w:r>
    </w:p>
    <w:p w14:paraId="515B042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4.3.2.2对采购过程提出质疑的，质疑期限为各采购程序环节结束之日起计算。4.3.2.3对采购结果提出质疑的，质疑期限自采购结果公告期限届满之日起计算。</w:t>
      </w:r>
    </w:p>
    <w:p w14:paraId="06D7805F">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4.3.3供应商提出质疑应当提交质疑函和必要的证明材料。质疑函应当包括下列内容：</w:t>
      </w:r>
    </w:p>
    <w:p w14:paraId="76D09F2C">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4.3.3.1供应商的姓名或者名称、地址、邮编、联系人及联系电话；</w:t>
      </w:r>
    </w:p>
    <w:p w14:paraId="6DBA02A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4.3.3.2质疑项目的名称、编号；</w:t>
      </w:r>
    </w:p>
    <w:p w14:paraId="0F883B97">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4.3.3.3具体、明确的质疑事项和与质疑事项相关的请求；</w:t>
      </w:r>
    </w:p>
    <w:p w14:paraId="0316325B">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4.3.3.4事实依据；</w:t>
      </w:r>
    </w:p>
    <w:p w14:paraId="742B76D4">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4.3.3.5必要的法律依据；</w:t>
      </w:r>
    </w:p>
    <w:p w14:paraId="2CF0B6F5">
      <w:pPr>
        <w:autoSpaceDE w:val="0"/>
        <w:autoSpaceDN w:val="0"/>
        <w:snapToGrid w:val="0"/>
        <w:spacing w:line="348" w:lineRule="auto"/>
        <w:ind w:firstLine="960" w:firstLineChars="4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4.3.3.6提出质疑的日期。</w:t>
      </w:r>
    </w:p>
    <w:p w14:paraId="1B59301C">
      <w:pPr>
        <w:autoSpaceDE w:val="0"/>
        <w:autoSpaceDN w:val="0"/>
        <w:snapToGrid w:val="0"/>
        <w:spacing w:line="348" w:lineRule="auto"/>
        <w:ind w:firstLine="480" w:firstLineChars="200"/>
        <w:jc w:val="left"/>
        <w:rPr>
          <w:rFonts w:hint="eastAsia" w:ascii="宋体" w:hAnsi="宋体" w:cs="宋体"/>
          <w:kern w:val="0"/>
          <w:sz w:val="24"/>
          <w:highlight w:val="none"/>
          <w:lang w:val="zh-CN"/>
        </w:rPr>
      </w:pPr>
    </w:p>
    <w:p w14:paraId="17DA0226">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3BF62A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质疑函范本及制作说明详见附件2。</w:t>
      </w:r>
    </w:p>
    <w:p w14:paraId="12E4CFD7">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4.3.4对同一采购程序环节的质疑，供应商须在法定质疑期内一次性提出。</w:t>
      </w:r>
    </w:p>
    <w:p w14:paraId="424C774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4.3.5采购人或者采购机构应当在收到供应商的书面质疑后七个工作日内作出答复，并以书面形式通知质疑供应商和其他与质疑处理结果有利害关系的采购当事人，但答复的内容不得涉及商业秘密。</w:t>
      </w:r>
    </w:p>
    <w:p w14:paraId="4D6875D8">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4.3.6询问或者质疑事项可能影响采购结果的，采购人应当暂停签订合同，已经签订合同的，应当中止履行合同。</w:t>
      </w:r>
    </w:p>
    <w:p w14:paraId="4A87ADA2">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4.4供应商投诉</w:t>
      </w:r>
    </w:p>
    <w:p w14:paraId="146136DB">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4.4.1质疑供应商对采购人、采购机构的答复不满意或者采购人、采购机构未在规定的时间内作出答复的，可以在答复期满后十五个工作日内向采购监督管理部门提出投诉。</w:t>
      </w:r>
    </w:p>
    <w:p w14:paraId="1C5F7C38">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4.4.2供应商投诉的事项不得超出已质疑事项的范围，基于质疑答复内容提出的投诉事项除外。</w:t>
      </w:r>
    </w:p>
    <w:p w14:paraId="3A4EF452">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4.4.3供应商投诉应当有明确的请求和必要的证明材料。</w:t>
      </w:r>
    </w:p>
    <w:p w14:paraId="33F4EDB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4.4.4以联合体形式参加采购活动的，其投诉应当由组成联合体的所有供应商共同提出。</w:t>
      </w:r>
    </w:p>
    <w:p w14:paraId="28168EFF">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投诉书范本及制作说明详见附件3。</w:t>
      </w:r>
    </w:p>
    <w:p w14:paraId="1AC2EFF8">
      <w:pPr>
        <w:adjustRightInd/>
        <w:snapToGrid w:val="0"/>
        <w:spacing w:line="348" w:lineRule="auto"/>
        <w:jc w:val="center"/>
        <w:outlineLvl w:val="0"/>
        <w:rPr>
          <w:rFonts w:hint="eastAsia" w:ascii="宋体" w:hAnsi="宋体" w:cs="宋体"/>
          <w:b/>
          <w:sz w:val="32"/>
          <w:szCs w:val="20"/>
          <w:highlight w:val="none"/>
        </w:rPr>
      </w:pPr>
      <w:r>
        <w:rPr>
          <w:rFonts w:hint="eastAsia" w:ascii="宋体" w:hAnsi="宋体" w:cs="宋体"/>
          <w:b/>
          <w:sz w:val="30"/>
          <w:szCs w:val="30"/>
          <w:highlight w:val="none"/>
        </w:rPr>
        <w:t>二、招标文件的构成、澄清、修改</w:t>
      </w:r>
    </w:p>
    <w:p w14:paraId="1189E35E">
      <w:pPr>
        <w:pStyle w:val="9"/>
        <w:snapToGrid w:val="0"/>
        <w:spacing w:line="348" w:lineRule="auto"/>
        <w:rPr>
          <w:rFonts w:hint="eastAsia" w:hAnsi="宋体" w:cs="宋体"/>
          <w:b/>
          <w:sz w:val="24"/>
          <w:szCs w:val="24"/>
          <w:highlight w:val="none"/>
        </w:rPr>
      </w:pPr>
      <w:r>
        <w:rPr>
          <w:rFonts w:hint="eastAsia" w:hAnsi="宋体" w:cs="宋体"/>
          <w:b/>
          <w:sz w:val="24"/>
          <w:szCs w:val="24"/>
          <w:highlight w:val="none"/>
        </w:rPr>
        <w:t>5．招标文件的构成</w:t>
      </w:r>
    </w:p>
    <w:p w14:paraId="393C25D6">
      <w:pPr>
        <w:pStyle w:val="9"/>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14:paraId="4C3596CC">
      <w:pPr>
        <w:pStyle w:val="9"/>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5.1.1招标公告；</w:t>
      </w:r>
    </w:p>
    <w:p w14:paraId="6743FD16">
      <w:pPr>
        <w:pStyle w:val="9"/>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5.1.2投标人须知；</w:t>
      </w:r>
    </w:p>
    <w:p w14:paraId="19FB6DCF">
      <w:pPr>
        <w:pStyle w:val="9"/>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26AE980C">
      <w:pPr>
        <w:pStyle w:val="9"/>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5.1.4评标办法；</w:t>
      </w:r>
    </w:p>
    <w:p w14:paraId="3D153C58">
      <w:pPr>
        <w:pStyle w:val="9"/>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14:paraId="3C1C3AD9">
      <w:pPr>
        <w:pStyle w:val="9"/>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D87E0EC">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133B45E">
      <w:pPr>
        <w:pStyle w:val="9"/>
        <w:snapToGrid w:val="0"/>
        <w:spacing w:line="348" w:lineRule="auto"/>
        <w:rPr>
          <w:rFonts w:hint="eastAsia" w:hAnsi="宋体" w:cs="宋体"/>
          <w:b/>
          <w:sz w:val="24"/>
          <w:szCs w:val="24"/>
          <w:highlight w:val="none"/>
        </w:rPr>
      </w:pPr>
      <w:r>
        <w:rPr>
          <w:rFonts w:hint="eastAsia" w:hAnsi="宋体" w:cs="宋体"/>
          <w:b/>
          <w:sz w:val="24"/>
          <w:szCs w:val="24"/>
          <w:highlight w:val="none"/>
        </w:rPr>
        <w:t>6. 招标文件的澄清、修改</w:t>
      </w:r>
    </w:p>
    <w:p w14:paraId="2EF2D39C">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676EF9C1">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7ECF86">
      <w:pPr>
        <w:pStyle w:val="7"/>
        <w:snapToGrid w:val="0"/>
        <w:spacing w:line="348" w:lineRule="auto"/>
        <w:jc w:val="center"/>
        <w:rPr>
          <w:rFonts w:hint="eastAsia" w:hAnsi="宋体" w:cs="宋体"/>
          <w:b/>
          <w:sz w:val="30"/>
          <w:szCs w:val="20"/>
          <w:highlight w:val="none"/>
        </w:rPr>
      </w:pPr>
      <w:r>
        <w:rPr>
          <w:rFonts w:hint="eastAsia" w:hAnsi="宋体" w:cs="宋体"/>
          <w:b/>
          <w:sz w:val="30"/>
          <w:szCs w:val="20"/>
          <w:highlight w:val="none"/>
        </w:rPr>
        <w:t>三、投标</w:t>
      </w:r>
    </w:p>
    <w:p w14:paraId="1C198516">
      <w:pPr>
        <w:pStyle w:val="9"/>
        <w:snapToGrid w:val="0"/>
        <w:spacing w:line="348" w:lineRule="auto"/>
        <w:rPr>
          <w:rFonts w:hint="eastAsia" w:hAnsi="宋体" w:cs="宋体"/>
          <w:b/>
          <w:sz w:val="24"/>
          <w:szCs w:val="24"/>
          <w:highlight w:val="none"/>
        </w:rPr>
      </w:pPr>
      <w:r>
        <w:rPr>
          <w:rFonts w:hint="eastAsia" w:hAnsi="宋体" w:cs="宋体"/>
          <w:b/>
          <w:sz w:val="24"/>
          <w:szCs w:val="24"/>
          <w:highlight w:val="none"/>
        </w:rPr>
        <w:t>7. 招标文件的获取</w:t>
      </w:r>
    </w:p>
    <w:p w14:paraId="7C2F3025">
      <w:pPr>
        <w:snapToGrid w:val="0"/>
        <w:spacing w:line="348"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17CEB7B6">
      <w:pPr>
        <w:pStyle w:val="9"/>
        <w:snapToGrid w:val="0"/>
        <w:spacing w:line="348" w:lineRule="auto"/>
        <w:rPr>
          <w:rFonts w:hint="eastAsia" w:hAnsi="宋体" w:cs="宋体"/>
          <w:b/>
          <w:sz w:val="24"/>
          <w:szCs w:val="24"/>
          <w:highlight w:val="none"/>
        </w:rPr>
      </w:pPr>
      <w:r>
        <w:rPr>
          <w:rFonts w:hint="eastAsia" w:hAnsi="宋体" w:cs="宋体"/>
          <w:b/>
          <w:sz w:val="24"/>
          <w:szCs w:val="24"/>
          <w:highlight w:val="none"/>
        </w:rPr>
        <w:t>8.开标前答疑会或现场考察</w:t>
      </w:r>
    </w:p>
    <w:p w14:paraId="6DEA16D5">
      <w:pPr>
        <w:pStyle w:val="9"/>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5CA2175">
      <w:pPr>
        <w:pStyle w:val="9"/>
        <w:snapToGrid w:val="0"/>
        <w:spacing w:line="348" w:lineRule="auto"/>
        <w:rPr>
          <w:rFonts w:hint="eastAsia" w:hAnsi="宋体" w:cs="宋体"/>
          <w:b/>
          <w:szCs w:val="24"/>
          <w:highlight w:val="none"/>
        </w:rPr>
      </w:pPr>
      <w:r>
        <w:rPr>
          <w:rFonts w:hint="eastAsia" w:hAnsi="宋体" w:cs="宋体"/>
          <w:b/>
          <w:kern w:val="28"/>
          <w:sz w:val="24"/>
          <w:szCs w:val="24"/>
          <w:highlight w:val="none"/>
        </w:rPr>
        <w:t>9</w:t>
      </w:r>
      <w:r>
        <w:rPr>
          <w:rFonts w:hint="eastAsia" w:cs="宋体"/>
          <w:b/>
          <w:highlight w:val="none"/>
        </w:rPr>
        <w:t xml:space="preserve">. </w:t>
      </w:r>
      <w:r>
        <w:rPr>
          <w:rFonts w:hint="eastAsia" w:hAnsi="宋体" w:cs="宋体"/>
          <w:b/>
          <w:kern w:val="28"/>
          <w:sz w:val="24"/>
          <w:szCs w:val="24"/>
          <w:highlight w:val="none"/>
        </w:rPr>
        <w:t>投标保证金</w:t>
      </w:r>
    </w:p>
    <w:p w14:paraId="6CEFF86B">
      <w:pPr>
        <w:pStyle w:val="5"/>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472E1CC">
      <w:pPr>
        <w:pStyle w:val="9"/>
        <w:snapToGrid w:val="0"/>
        <w:spacing w:line="348" w:lineRule="auto"/>
        <w:rPr>
          <w:rFonts w:hint="eastAsia" w:hAnsi="宋体" w:cs="宋体"/>
          <w:b/>
          <w:sz w:val="24"/>
          <w:szCs w:val="24"/>
          <w:highlight w:val="none"/>
        </w:rPr>
      </w:pPr>
      <w:r>
        <w:rPr>
          <w:rFonts w:hint="eastAsia" w:hAnsi="宋体" w:cs="宋体"/>
          <w:b/>
          <w:sz w:val="24"/>
          <w:szCs w:val="24"/>
          <w:highlight w:val="none"/>
        </w:rPr>
        <w:t>10. 投标文件的语言</w:t>
      </w:r>
    </w:p>
    <w:p w14:paraId="43AEB236">
      <w:pPr>
        <w:autoSpaceDE w:val="0"/>
        <w:autoSpaceDN w:val="0"/>
        <w:snapToGrid w:val="0"/>
        <w:spacing w:line="348"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AA2241F">
      <w:pPr>
        <w:pStyle w:val="9"/>
        <w:snapToGrid w:val="0"/>
        <w:spacing w:line="348" w:lineRule="auto"/>
        <w:rPr>
          <w:rFonts w:hint="eastAsia" w:hAnsi="宋体" w:cs="宋体"/>
          <w:b/>
          <w:sz w:val="24"/>
          <w:szCs w:val="24"/>
          <w:highlight w:val="none"/>
        </w:rPr>
      </w:pPr>
      <w:r>
        <w:rPr>
          <w:rFonts w:hint="eastAsia" w:hAnsi="宋体" w:cs="宋体"/>
          <w:b/>
          <w:sz w:val="24"/>
          <w:szCs w:val="24"/>
          <w:highlight w:val="none"/>
        </w:rPr>
        <w:t>11. 投标文件的组成</w:t>
      </w:r>
    </w:p>
    <w:p w14:paraId="2B125BD5">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p>
    <w:p w14:paraId="5B314205">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11.1.1符合参加采购活动应当具备的一般条件的承诺函；</w:t>
      </w:r>
    </w:p>
    <w:p w14:paraId="34171166">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50D625BE">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C20A0B9">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6F59BB0">
      <w:pPr>
        <w:snapToGrid w:val="0"/>
        <w:spacing w:line="348"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772B768C">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4F651CC5">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7FA91AE5">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3B809C8">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053B1EEB">
      <w:pPr>
        <w:snapToGrid w:val="0"/>
        <w:spacing w:line="348"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5E52E13F">
      <w:pPr>
        <w:snapToGrid w:val="0"/>
        <w:spacing w:line="348"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125F9784">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3CAB5021">
      <w:pPr>
        <w:snapToGrid w:val="0"/>
        <w:spacing w:line="348"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采购供应商廉洁自律承诺书；</w:t>
      </w:r>
    </w:p>
    <w:p w14:paraId="5BCE4F87">
      <w:pPr>
        <w:snapToGrid w:val="0"/>
        <w:spacing w:line="348" w:lineRule="auto"/>
        <w:ind w:firstLine="480" w:firstLineChars="200"/>
        <w:rPr>
          <w:rFonts w:hint="eastAsia"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42915008">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66125E76">
      <w:pPr>
        <w:snapToGrid w:val="0"/>
        <w:spacing w:line="348" w:lineRule="auto"/>
        <w:ind w:firstLine="960" w:firstLineChars="400"/>
        <w:rPr>
          <w:highlight w:val="none"/>
        </w:rPr>
      </w:pPr>
      <w:r>
        <w:rPr>
          <w:rFonts w:hint="eastAsia" w:ascii="宋体" w:hAnsi="宋体" w:cs="宋体"/>
          <w:sz w:val="24"/>
          <w:highlight w:val="none"/>
        </w:rPr>
        <w:t>11.3.2 报价情况说明（如供应商报价低于项目预算50%的，应当提交本文档，详细阐述不影响产品质量或者诚信履约的具体原因）；</w:t>
      </w:r>
    </w:p>
    <w:p w14:paraId="2C808051">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11.3.3中小企业声明函</w:t>
      </w:r>
      <w:r>
        <w:rPr>
          <w:rFonts w:hint="eastAsia" w:ascii="宋体" w:hAnsi="宋体"/>
          <w:snapToGrid w:val="0"/>
          <w:kern w:val="28"/>
          <w:sz w:val="24"/>
          <w:highlight w:val="none"/>
        </w:rPr>
        <w:t>（如果有)</w:t>
      </w:r>
      <w:r>
        <w:rPr>
          <w:rFonts w:hint="eastAsia" w:ascii="宋体" w:hAnsi="宋体" w:cs="宋体"/>
          <w:sz w:val="24"/>
          <w:highlight w:val="none"/>
        </w:rPr>
        <w:t>。</w:t>
      </w:r>
    </w:p>
    <w:p w14:paraId="61ED962B">
      <w:pPr>
        <w:snapToGrid w:val="0"/>
        <w:spacing w:line="348" w:lineRule="auto"/>
        <w:ind w:firstLine="723" w:firstLineChars="300"/>
        <w:rPr>
          <w:rFonts w:hint="eastAsia" w:ascii="宋体" w:hAnsi="宋体" w:cs="宋体"/>
          <w:b/>
          <w:sz w:val="24"/>
          <w:highlight w:val="none"/>
        </w:rPr>
      </w:pPr>
      <w:r>
        <w:rPr>
          <w:rFonts w:hint="eastAsia" w:ascii="宋体" w:hAnsi="宋体" w:cs="宋体"/>
          <w:b/>
          <w:sz w:val="24"/>
          <w:highlight w:val="none"/>
        </w:rPr>
        <w:t>投标文件含有采购人不能接受的附加条件的，投标无效；</w:t>
      </w:r>
    </w:p>
    <w:p w14:paraId="5D52BA55">
      <w:pPr>
        <w:snapToGrid w:val="0"/>
        <w:spacing w:line="348"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39BB5843">
      <w:pPr>
        <w:snapToGrid w:val="0"/>
        <w:spacing w:line="348" w:lineRule="auto"/>
        <w:ind w:firstLine="720" w:firstLineChars="300"/>
        <w:rPr>
          <w:rFonts w:hint="eastAsia" w:ascii="宋体" w:hAnsi="宋体" w:cs="宋体"/>
          <w:sz w:val="24"/>
          <w:highlight w:val="none"/>
        </w:rPr>
      </w:pPr>
      <w:r>
        <w:rPr>
          <w:rFonts w:hint="eastAsia" w:ascii="宋体" w:hAnsi="宋体" w:cs="宋体"/>
          <w:sz w:val="24"/>
          <w:highlight w:val="none"/>
        </w:rPr>
        <w:t>投标人应对投标文件中材料的真实性、合法性负责。</w:t>
      </w:r>
    </w:p>
    <w:p w14:paraId="77C9C666">
      <w:pPr>
        <w:pStyle w:val="27"/>
        <w:snapToGrid w:val="0"/>
        <w:spacing w:before="0" w:line="348" w:lineRule="auto"/>
        <w:ind w:firstLine="0" w:firstLineChars="0"/>
        <w:outlineLvl w:val="0"/>
        <w:rPr>
          <w:rFonts w:hint="eastAsia" w:ascii="宋体" w:hAnsi="宋体" w:cs="宋体"/>
          <w:b/>
          <w:szCs w:val="24"/>
          <w:highlight w:val="none"/>
        </w:rPr>
      </w:pPr>
      <w:r>
        <w:rPr>
          <w:rFonts w:hint="eastAsia" w:ascii="宋体" w:hAnsi="宋体" w:cs="宋体"/>
          <w:b/>
          <w:szCs w:val="24"/>
          <w:highlight w:val="none"/>
        </w:rPr>
        <w:t>12</w:t>
      </w:r>
      <w:r>
        <w:rPr>
          <w:rFonts w:hint="eastAsia" w:cs="宋体"/>
          <w:b/>
          <w:highlight w:val="none"/>
        </w:rPr>
        <w:t xml:space="preserve">. </w:t>
      </w:r>
      <w:r>
        <w:rPr>
          <w:rFonts w:hint="eastAsia" w:ascii="宋体" w:hAnsi="宋体" w:cs="宋体"/>
          <w:b/>
          <w:szCs w:val="24"/>
          <w:highlight w:val="none"/>
        </w:rPr>
        <w:t>投标文件的编制</w:t>
      </w:r>
    </w:p>
    <w:p w14:paraId="13A66B35">
      <w:pPr>
        <w:snapToGrid w:val="0"/>
        <w:spacing w:line="348"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7DDE">
      <w:pPr>
        <w:snapToGrid w:val="0"/>
        <w:spacing w:line="348"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0563D1F6">
      <w:pPr>
        <w:snapToGrid w:val="0"/>
        <w:spacing w:line="348"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12.3使用“乐采云电子交易客户端”需要提前申领CA数字证书，申领流程请自行前往“</w:t>
      </w:r>
      <w:r>
        <w:rPr>
          <w:rFonts w:hint="eastAsia" w:ascii="宋体" w:hAnsi="宋体" w:cs="宋体"/>
          <w:kern w:val="0"/>
          <w:sz w:val="24"/>
          <w:highlight w:val="none"/>
        </w:rPr>
        <w:t>乐采云平台</w:t>
      </w:r>
      <w:r>
        <w:rPr>
          <w:rFonts w:hint="eastAsia" w:ascii="宋体" w:hAnsi="宋体" w:cs="宋体"/>
          <w:kern w:val="0"/>
          <w:sz w:val="24"/>
          <w:highlight w:val="none"/>
          <w:lang w:val="zh-CN"/>
        </w:rPr>
        <w:t>-下载专区-电子交易客户端-CA驱动和申领流程”进行查阅。</w:t>
      </w:r>
    </w:p>
    <w:p w14:paraId="2B45CC9A">
      <w:pPr>
        <w:snapToGrid w:val="0"/>
        <w:spacing w:line="348" w:lineRule="auto"/>
        <w:rPr>
          <w:rFonts w:hint="eastAsia" w:ascii="宋体" w:hAnsi="宋体" w:cs="宋体"/>
          <w:b/>
          <w:sz w:val="24"/>
          <w:highlight w:val="none"/>
        </w:rPr>
      </w:pPr>
      <w:r>
        <w:rPr>
          <w:rFonts w:hint="eastAsia" w:ascii="宋体" w:hAnsi="宋体" w:cs="宋体"/>
          <w:b/>
          <w:sz w:val="24"/>
          <w:highlight w:val="none"/>
        </w:rPr>
        <w:t>13</w:t>
      </w:r>
      <w:r>
        <w:rPr>
          <w:rFonts w:hint="eastAsia" w:cs="宋体"/>
          <w:b/>
          <w:highlight w:val="none"/>
        </w:rPr>
        <w:t xml:space="preserve">. </w:t>
      </w:r>
      <w:r>
        <w:rPr>
          <w:rFonts w:hint="eastAsia" w:ascii="宋体" w:hAnsi="宋体" w:cs="宋体"/>
          <w:b/>
          <w:sz w:val="24"/>
          <w:highlight w:val="none"/>
        </w:rPr>
        <w:t>投标文件的签署、盖章</w:t>
      </w:r>
    </w:p>
    <w:p w14:paraId="088F9EA0">
      <w:pPr>
        <w:pStyle w:val="27"/>
        <w:snapToGrid w:val="0"/>
        <w:spacing w:before="0" w:line="348" w:lineRule="auto"/>
        <w:ind w:firstLine="480"/>
        <w:rPr>
          <w:rFonts w:hint="eastAsia"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3BA7DBA">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13.2为确保网上操作合法、有效和安全，投标人应当在投标截止时间前完成在“乐采云平台”的身份认证，确保在电子投标过程中能够对相关数据电文进行加密和使用电子签名。</w:t>
      </w:r>
    </w:p>
    <w:p w14:paraId="60580A8F">
      <w:pPr>
        <w:pStyle w:val="27"/>
        <w:snapToGrid w:val="0"/>
        <w:spacing w:before="0" w:line="348" w:lineRule="auto"/>
        <w:ind w:firstLine="480"/>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14:paraId="0F832308">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14</w:t>
      </w:r>
      <w:r>
        <w:rPr>
          <w:rFonts w:hint="eastAsia" w:cs="宋体"/>
          <w:b/>
          <w:highlight w:val="none"/>
        </w:rPr>
        <w:t xml:space="preserve">. </w:t>
      </w:r>
      <w:r>
        <w:rPr>
          <w:rFonts w:hint="eastAsia" w:ascii="宋体" w:hAnsi="宋体" w:cs="宋体"/>
          <w:b/>
          <w:szCs w:val="24"/>
          <w:highlight w:val="none"/>
        </w:rPr>
        <w:t>投标文件的提交、补充、修改、撤回</w:t>
      </w:r>
    </w:p>
    <w:p w14:paraId="4F8ACD59">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DCB7C55">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2977367B">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32B8013">
      <w:pPr>
        <w:pStyle w:val="9"/>
        <w:snapToGrid w:val="0"/>
        <w:spacing w:line="348" w:lineRule="auto"/>
        <w:rPr>
          <w:rFonts w:hint="eastAsia" w:hAnsi="宋体" w:cs="宋体"/>
          <w:b/>
          <w:sz w:val="24"/>
          <w:szCs w:val="24"/>
          <w:highlight w:val="none"/>
        </w:rPr>
      </w:pPr>
      <w:r>
        <w:rPr>
          <w:rFonts w:hint="eastAsia" w:hAnsi="宋体" w:cs="宋体"/>
          <w:b/>
          <w:sz w:val="24"/>
          <w:szCs w:val="24"/>
          <w:highlight w:val="none"/>
        </w:rPr>
        <w:t>15</w:t>
      </w:r>
      <w:r>
        <w:rPr>
          <w:rFonts w:hint="eastAsia" w:cs="宋体"/>
          <w:b/>
          <w:highlight w:val="none"/>
        </w:rPr>
        <w:t xml:space="preserve">. </w:t>
      </w:r>
      <w:r>
        <w:rPr>
          <w:rFonts w:hint="eastAsia" w:hAnsi="宋体" w:cs="宋体"/>
          <w:b/>
          <w:sz w:val="24"/>
          <w:szCs w:val="24"/>
          <w:highlight w:val="none"/>
        </w:rPr>
        <w:t>备份投标文件</w:t>
      </w:r>
    </w:p>
    <w:p w14:paraId="74B436E8">
      <w:pPr>
        <w:pStyle w:val="9"/>
        <w:snapToGrid w:val="0"/>
        <w:spacing w:line="348"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4753426F">
      <w:pPr>
        <w:pStyle w:val="9"/>
        <w:snapToGrid w:val="0"/>
        <w:spacing w:line="348"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15.2备份投标文件须在“乐采云投标客户端”制作生成，并储存在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435CBABB">
      <w:pPr>
        <w:pStyle w:val="9"/>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BAC3468">
      <w:pPr>
        <w:pStyle w:val="9"/>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B8D226">
      <w:pPr>
        <w:pStyle w:val="9"/>
        <w:snapToGrid w:val="0"/>
        <w:spacing w:line="348" w:lineRule="auto"/>
        <w:ind w:firstLine="479" w:firstLineChars="199"/>
        <w:rPr>
          <w:rFonts w:hint="eastAsia"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28890CD">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16</w:t>
      </w:r>
      <w:r>
        <w:rPr>
          <w:rFonts w:hint="eastAsia" w:cs="宋体"/>
          <w:b/>
          <w:highlight w:val="none"/>
        </w:rPr>
        <w:t xml:space="preserve">. </w:t>
      </w:r>
      <w:r>
        <w:rPr>
          <w:rFonts w:hint="eastAsia" w:ascii="宋体" w:hAnsi="宋体" w:cs="宋体"/>
          <w:b/>
          <w:szCs w:val="24"/>
          <w:highlight w:val="none"/>
        </w:rPr>
        <w:t>投标文件的无效处理</w:t>
      </w:r>
    </w:p>
    <w:p w14:paraId="56E49E9E">
      <w:pPr>
        <w:pStyle w:val="8"/>
        <w:snapToGrid w:val="0"/>
        <w:spacing w:line="348" w:lineRule="auto"/>
        <w:ind w:firstLine="360" w:firstLineChars="150"/>
        <w:rPr>
          <w:rFonts w:hint="eastAsia"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3DE0557E">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17</w:t>
      </w:r>
      <w:r>
        <w:rPr>
          <w:rFonts w:hint="eastAsia" w:cs="宋体"/>
          <w:b/>
          <w:highlight w:val="none"/>
        </w:rPr>
        <w:t xml:space="preserve">. </w:t>
      </w:r>
      <w:r>
        <w:rPr>
          <w:rFonts w:hint="eastAsia" w:ascii="宋体" w:hAnsi="宋体" w:cs="宋体"/>
          <w:b/>
          <w:szCs w:val="24"/>
          <w:highlight w:val="none"/>
        </w:rPr>
        <w:t>投标有效期</w:t>
      </w:r>
    </w:p>
    <w:p w14:paraId="4BACEBB6">
      <w:pPr>
        <w:snapToGrid w:val="0"/>
        <w:spacing w:line="348"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50C50F8">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14:paraId="0547DE4B">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34E801F">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004995D1">
      <w:pPr>
        <w:pStyle w:val="27"/>
        <w:snapToGrid w:val="0"/>
        <w:spacing w:before="0" w:line="348" w:lineRule="auto"/>
        <w:ind w:firstLine="0" w:firstLineChars="0"/>
        <w:jc w:val="center"/>
        <w:rPr>
          <w:rFonts w:hint="eastAsia" w:ascii="宋体" w:hAnsi="宋体" w:cs="宋体"/>
          <w:b/>
          <w:sz w:val="30"/>
          <w:szCs w:val="30"/>
          <w:highlight w:val="none"/>
        </w:rPr>
      </w:pPr>
      <w:r>
        <w:rPr>
          <w:rFonts w:hint="eastAsia" w:ascii="宋体" w:hAnsi="宋体" w:cs="宋体"/>
          <w:b/>
          <w:sz w:val="30"/>
          <w:szCs w:val="30"/>
          <w:highlight w:val="none"/>
        </w:rPr>
        <w:t>四、开标、资格审查与信用信息查询</w:t>
      </w:r>
    </w:p>
    <w:p w14:paraId="10BF40C8">
      <w:pPr>
        <w:pStyle w:val="28"/>
        <w:snapToGrid w:val="0"/>
        <w:spacing w:before="0" w:line="348" w:lineRule="auto"/>
        <w:ind w:left="0" w:firstLine="241" w:firstLineChars="100"/>
        <w:contextualSpacing/>
        <w:rPr>
          <w:rFonts w:hint="eastAsia" w:ascii="宋体" w:hAnsi="宋体" w:cs="宋体"/>
          <w:sz w:val="24"/>
          <w:highlight w:val="none"/>
        </w:rPr>
      </w:pPr>
      <w:r>
        <w:rPr>
          <w:rFonts w:hint="eastAsia" w:ascii="宋体" w:hAnsi="宋体" w:cs="宋体"/>
          <w:b/>
          <w:sz w:val="24"/>
          <w:szCs w:val="24"/>
          <w:highlight w:val="none"/>
        </w:rPr>
        <w:t>18</w:t>
      </w:r>
      <w:r>
        <w:rPr>
          <w:rFonts w:hint="eastAsia" w:cs="宋体"/>
          <w:b/>
          <w:highlight w:val="none"/>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0719E9DF">
      <w:pPr>
        <w:pStyle w:val="28"/>
        <w:snapToGrid w:val="0"/>
        <w:spacing w:before="0" w:line="348"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084EEA3F">
      <w:pPr>
        <w:pStyle w:val="28"/>
        <w:snapToGrid w:val="0"/>
        <w:spacing w:before="0" w:line="348"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8073340">
      <w:pPr>
        <w:pStyle w:val="28"/>
        <w:snapToGrid w:val="0"/>
        <w:spacing w:before="0" w:line="348"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878B519">
      <w:pPr>
        <w:widowControl/>
        <w:snapToGrid w:val="0"/>
        <w:spacing w:line="348" w:lineRule="auto"/>
        <w:jc w:val="left"/>
        <w:rPr>
          <w:rFonts w:hint="eastAsia" w:ascii="宋体" w:hAnsi="宋体" w:cs="宋体"/>
          <w:b/>
          <w:sz w:val="24"/>
          <w:szCs w:val="20"/>
          <w:highlight w:val="none"/>
        </w:rPr>
      </w:pPr>
      <w:r>
        <w:rPr>
          <w:rFonts w:hint="eastAsia" w:ascii="宋体" w:hAnsi="宋体" w:cs="宋体"/>
          <w:b/>
          <w:sz w:val="24"/>
          <w:szCs w:val="20"/>
          <w:highlight w:val="none"/>
        </w:rPr>
        <w:t>　19</w:t>
      </w:r>
      <w:r>
        <w:rPr>
          <w:rFonts w:hint="eastAsia" w:cs="宋体"/>
          <w:b/>
          <w:highlight w:val="none"/>
        </w:rPr>
        <w:t xml:space="preserve">. </w:t>
      </w:r>
      <w:r>
        <w:rPr>
          <w:rFonts w:hint="eastAsia" w:ascii="宋体" w:hAnsi="宋体" w:cs="宋体"/>
          <w:b/>
          <w:sz w:val="24"/>
          <w:szCs w:val="20"/>
          <w:highlight w:val="none"/>
        </w:rPr>
        <w:t>资格审查</w:t>
      </w:r>
    </w:p>
    <w:p w14:paraId="4DCF5964">
      <w:pPr>
        <w:pStyle w:val="27"/>
        <w:snapToGrid w:val="0"/>
        <w:spacing w:before="0" w:line="348" w:lineRule="auto"/>
        <w:ind w:firstLine="480"/>
        <w:rPr>
          <w:rFonts w:hint="eastAsia" w:ascii="宋体" w:hAnsi="宋体" w:cs="宋体"/>
          <w:kern w:val="0"/>
          <w:szCs w:val="24"/>
          <w:highlight w:val="none"/>
        </w:rPr>
      </w:pPr>
      <w:r>
        <w:rPr>
          <w:rFonts w:hint="eastAsia" w:ascii="宋体" w:hAnsi="宋体" w:cs="宋体"/>
          <w:kern w:val="0"/>
          <w:szCs w:val="24"/>
          <w:highlight w:val="none"/>
        </w:rPr>
        <w:t>19.1开标后，采购人或采购机构将依据法律法规和招标文件的规定，对投标人的资格进行审查。</w:t>
      </w:r>
    </w:p>
    <w:p w14:paraId="54C57AEC">
      <w:pPr>
        <w:pStyle w:val="27"/>
        <w:snapToGrid w:val="0"/>
        <w:spacing w:before="0" w:line="348" w:lineRule="auto"/>
        <w:ind w:firstLine="480"/>
        <w:rPr>
          <w:rFonts w:hint="eastAsia" w:ascii="宋体" w:hAnsi="宋体" w:cs="宋体"/>
          <w:highlight w:val="none"/>
        </w:rPr>
      </w:pPr>
      <w:r>
        <w:rPr>
          <w:rFonts w:hint="eastAsia" w:ascii="宋体" w:hAnsi="宋体" w:cs="宋体"/>
          <w:kern w:val="0"/>
          <w:highlight w:val="none"/>
        </w:rPr>
        <w:t>19.2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45562E2">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19.3</w:t>
      </w:r>
      <w:r>
        <w:rPr>
          <w:rFonts w:hint="eastAsia" w:ascii="宋体" w:hAnsi="宋体" w:cs="宋体"/>
          <w:highlight w:val="none"/>
        </w:rPr>
        <w:t>对未通过资格审查的投标人，采购人或采购机构告知其未通过的原因。</w:t>
      </w:r>
    </w:p>
    <w:p w14:paraId="4DF9863C">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19.4</w:t>
      </w:r>
      <w:r>
        <w:rPr>
          <w:rFonts w:hint="eastAsia" w:ascii="宋体" w:hAnsi="宋体" w:cs="宋体"/>
          <w:highlight w:val="none"/>
        </w:rPr>
        <w:t>合格投标人不足3家的，不再评标。</w:t>
      </w:r>
    </w:p>
    <w:p w14:paraId="7BAAF458">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1C5B697">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20</w:t>
      </w:r>
      <w:r>
        <w:rPr>
          <w:rFonts w:hint="eastAsia" w:cs="宋体"/>
          <w:b/>
          <w:highlight w:val="none"/>
        </w:rPr>
        <w:t xml:space="preserve">. </w:t>
      </w:r>
      <w:r>
        <w:rPr>
          <w:rFonts w:hint="eastAsia" w:ascii="宋体" w:hAnsi="宋体" w:cs="宋体"/>
          <w:b/>
          <w:szCs w:val="24"/>
          <w:highlight w:val="none"/>
        </w:rPr>
        <w:t>信用信息查询</w:t>
      </w:r>
    </w:p>
    <w:p w14:paraId="5BE75FD5">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553307D2">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F3498F4">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20.3信用信息的使用规则：经查询列入失信被执行人名单、重大税收违法失信主体、政府采购严重违法失信行为记录名单的投标人将被拒绝参与采购活动。</w:t>
      </w:r>
    </w:p>
    <w:p w14:paraId="27F4E222">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highlight w:val="none"/>
        </w:rPr>
        <w:t>。</w:t>
      </w:r>
    </w:p>
    <w:p w14:paraId="1DB0ED21">
      <w:pPr>
        <w:snapToGrid w:val="0"/>
        <w:spacing w:line="348" w:lineRule="auto"/>
        <w:jc w:val="center"/>
        <w:outlineLvl w:val="0"/>
        <w:rPr>
          <w:rFonts w:hint="eastAsia" w:ascii="宋体" w:hAnsi="宋体" w:cs="宋体"/>
          <w:b/>
          <w:sz w:val="30"/>
          <w:szCs w:val="30"/>
          <w:highlight w:val="none"/>
        </w:rPr>
      </w:pPr>
      <w:r>
        <w:rPr>
          <w:rFonts w:hint="eastAsia" w:ascii="宋体" w:hAnsi="宋体" w:cs="宋体"/>
          <w:b/>
          <w:sz w:val="30"/>
          <w:szCs w:val="30"/>
          <w:highlight w:val="none"/>
        </w:rPr>
        <w:t>五、评标</w:t>
      </w:r>
    </w:p>
    <w:p w14:paraId="00DEDCB7">
      <w:pPr>
        <w:snapToGrid w:val="0"/>
        <w:spacing w:line="348" w:lineRule="auto"/>
        <w:rPr>
          <w:rFonts w:hint="eastAsia"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b/>
          <w:highlight w:val="none"/>
        </w:rPr>
        <w:t>.</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64E6133">
      <w:pPr>
        <w:snapToGrid w:val="0"/>
        <w:spacing w:line="348" w:lineRule="auto"/>
        <w:jc w:val="center"/>
        <w:outlineLvl w:val="0"/>
        <w:rPr>
          <w:rFonts w:hint="eastAsia" w:ascii="宋体" w:hAnsi="宋体" w:cs="宋体"/>
          <w:b/>
          <w:sz w:val="30"/>
          <w:szCs w:val="30"/>
          <w:highlight w:val="none"/>
        </w:rPr>
      </w:pPr>
      <w:r>
        <w:rPr>
          <w:rFonts w:hint="eastAsia" w:ascii="宋体" w:hAnsi="宋体" w:cs="宋体"/>
          <w:b/>
          <w:sz w:val="30"/>
          <w:szCs w:val="30"/>
          <w:highlight w:val="none"/>
        </w:rPr>
        <w:t>六、定标</w:t>
      </w:r>
    </w:p>
    <w:p w14:paraId="65E5241E">
      <w:pPr>
        <w:pStyle w:val="8"/>
        <w:snapToGrid w:val="0"/>
        <w:spacing w:line="348" w:lineRule="auto"/>
        <w:ind w:left="479" w:hanging="479" w:hangingChars="199"/>
        <w:rPr>
          <w:rFonts w:hint="eastAsia" w:cs="宋体"/>
          <w:b/>
          <w:highlight w:val="none"/>
        </w:rPr>
      </w:pPr>
      <w:r>
        <w:rPr>
          <w:rFonts w:hint="eastAsia" w:cs="宋体"/>
          <w:b/>
          <w:highlight w:val="none"/>
        </w:rPr>
        <w:t>22. 确定中标供应商</w:t>
      </w:r>
    </w:p>
    <w:p w14:paraId="76E6E0C7">
      <w:pPr>
        <w:pStyle w:val="27"/>
        <w:snapToGrid w:val="0"/>
        <w:spacing w:before="0" w:line="348" w:lineRule="auto"/>
        <w:ind w:firstLine="480"/>
        <w:rPr>
          <w:rFonts w:hint="eastAsia" w:ascii="宋体" w:hAnsi="宋体" w:cs="宋体"/>
          <w:b/>
          <w:szCs w:val="24"/>
          <w:highlight w:val="none"/>
        </w:rPr>
      </w:pPr>
      <w:r>
        <w:rPr>
          <w:rFonts w:hint="eastAsia" w:ascii="宋体" w:hAnsi="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25A121F">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23. 中标通知与中标结果公告</w:t>
      </w:r>
    </w:p>
    <w:p w14:paraId="20364F18">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23.1自中标供应商确定之日起2个工作日内，采购机构通过电子交易平台向中标供应商发出中标通知书，同时编制发布采购结果公告。采购机构也可以以纸质形式进行中标通知。</w:t>
      </w:r>
    </w:p>
    <w:p w14:paraId="0ED225D8">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5EB2F96B">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75FFF640">
      <w:pPr>
        <w:widowControl/>
        <w:shd w:val="clear" w:color="auto" w:fill="FFFFFF"/>
        <w:snapToGrid w:val="0"/>
        <w:spacing w:line="348" w:lineRule="auto"/>
        <w:ind w:firstLine="480"/>
        <w:jc w:val="left"/>
        <w:rPr>
          <w:rFonts w:hint="eastAsia" w:ascii="宋体" w:hAnsi="宋体" w:cs="宋体"/>
          <w:b/>
          <w:sz w:val="32"/>
          <w:highlight w:val="none"/>
        </w:rPr>
      </w:pPr>
      <w:r>
        <w:rPr>
          <w:rFonts w:hint="eastAsia" w:ascii="宋体" w:hAnsi="宋体" w:cs="宋体"/>
          <w:sz w:val="24"/>
          <w:highlight w:val="none"/>
        </w:rPr>
        <w:t>23.4 由于中标、成交供应商原因导致重新采购的，应当承担支付代理费和专家评审费等费用在内的赔偿责任。</w:t>
      </w:r>
    </w:p>
    <w:p w14:paraId="4C23D4E4">
      <w:pPr>
        <w:snapToGrid w:val="0"/>
        <w:spacing w:line="348" w:lineRule="auto"/>
        <w:ind w:left="120" w:leftChars="57" w:firstLine="452" w:firstLineChars="150"/>
        <w:jc w:val="center"/>
        <w:rPr>
          <w:rFonts w:hint="eastAsia" w:ascii="宋体" w:hAnsi="宋体" w:cs="宋体"/>
          <w:b/>
          <w:sz w:val="30"/>
          <w:szCs w:val="30"/>
          <w:highlight w:val="none"/>
        </w:rPr>
      </w:pPr>
      <w:r>
        <w:rPr>
          <w:rFonts w:hint="eastAsia" w:ascii="宋体" w:hAnsi="宋体" w:cs="宋体"/>
          <w:b/>
          <w:sz w:val="30"/>
          <w:szCs w:val="30"/>
          <w:highlight w:val="none"/>
        </w:rPr>
        <w:t>七、合同授予</w:t>
      </w:r>
    </w:p>
    <w:p w14:paraId="59EF8548">
      <w:pPr>
        <w:pStyle w:val="8"/>
        <w:snapToGrid w:val="0"/>
        <w:spacing w:line="348"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9637FAF">
      <w:pPr>
        <w:pStyle w:val="8"/>
        <w:snapToGrid w:val="0"/>
        <w:spacing w:line="348" w:lineRule="auto"/>
        <w:ind w:left="479" w:hanging="479" w:hangingChars="199"/>
        <w:rPr>
          <w:rFonts w:hint="eastAsia" w:cs="宋体"/>
          <w:b/>
          <w:highlight w:val="none"/>
        </w:rPr>
      </w:pPr>
      <w:r>
        <w:rPr>
          <w:rFonts w:hint="eastAsia" w:cs="宋体"/>
          <w:b/>
          <w:highlight w:val="none"/>
        </w:rPr>
        <w:t>25. 合同的签订</w:t>
      </w:r>
    </w:p>
    <w:p w14:paraId="25E68117">
      <w:pPr>
        <w:widowControl/>
        <w:shd w:val="clear" w:color="auto" w:fill="FFFFFF"/>
        <w:snapToGrid w:val="0"/>
        <w:spacing w:line="348"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5F596212">
      <w:pPr>
        <w:pStyle w:val="27"/>
        <w:snapToGrid w:val="0"/>
        <w:spacing w:before="0" w:line="348" w:lineRule="auto"/>
        <w:ind w:firstLine="480"/>
        <w:rPr>
          <w:rFonts w:hint="eastAsia" w:ascii="宋体" w:hAnsi="宋体" w:cs="宋体"/>
          <w:kern w:val="0"/>
          <w:highlight w:val="none"/>
        </w:rPr>
      </w:pPr>
      <w:r>
        <w:rPr>
          <w:rFonts w:hint="eastAsia" w:ascii="宋体" w:hAnsi="宋体" w:cs="宋体"/>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15184FBB">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25.3如签订合同并生效后，中标供应商无故拒绝或延期，除按照合同条款处理外，列入不良行为记录一次，并给予通报。</w:t>
      </w:r>
    </w:p>
    <w:p w14:paraId="7D6A1FCE">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25.4中标供应商拒绝与采购人签订合同的，采购人可以按照评审报告推荐的中标或者成交候选人名单排序，确定下一候选人为中标供应商，也可以重新开展采购活动。</w:t>
      </w:r>
    </w:p>
    <w:p w14:paraId="5D15B82D">
      <w:pPr>
        <w:pStyle w:val="8"/>
        <w:snapToGrid w:val="0"/>
        <w:spacing w:line="348" w:lineRule="auto"/>
        <w:ind w:left="479" w:hanging="479" w:hangingChars="199"/>
        <w:rPr>
          <w:rFonts w:hint="eastAsia" w:cs="宋体"/>
          <w:b/>
          <w:highlight w:val="none"/>
        </w:rPr>
      </w:pPr>
      <w:r>
        <w:rPr>
          <w:rFonts w:hint="eastAsia" w:cs="宋体"/>
          <w:b/>
          <w:highlight w:val="none"/>
        </w:rPr>
        <w:t>26. 履约保证金</w:t>
      </w:r>
    </w:p>
    <w:p w14:paraId="0546DF9C">
      <w:pPr>
        <w:tabs>
          <w:tab w:val="left" w:pos="0"/>
        </w:tabs>
        <w:snapToGrid w:val="0"/>
        <w:spacing w:line="348"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%。鼓励和支持中标供应商以银行、保险公司出具的保函形式提供履约保证金。采购人不得拒收履约保函，项目验收结束后应及时退还，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69526CB6">
      <w:pPr>
        <w:pStyle w:val="4"/>
        <w:snapToGrid w:val="0"/>
        <w:spacing w:line="348" w:lineRule="auto"/>
        <w:rPr>
          <w:rFonts w:hint="eastAsia"/>
          <w:highlight w:val="none"/>
        </w:rPr>
      </w:pPr>
      <w:r>
        <w:rPr>
          <w:rFonts w:ascii="宋体" w:hAnsi="宋体" w:eastAsia="宋体"/>
          <w:sz w:val="24"/>
          <w:highlight w:val="none"/>
          <w:lang w:val="en-US"/>
        </w:rPr>
        <w:t>27.预付款</w:t>
      </w:r>
    </w:p>
    <w:p w14:paraId="5CD020B0">
      <w:pPr>
        <w:adjustRightInd/>
        <w:snapToGrid w:val="0"/>
        <w:spacing w:line="348" w:lineRule="auto"/>
        <w:ind w:firstLine="480" w:firstLineChars="200"/>
        <w:rPr>
          <w:highlight w:val="none"/>
        </w:rPr>
      </w:pPr>
      <w:r>
        <w:rPr>
          <w:rFonts w:hint="eastAsia" w:ascii="宋体" w:hAnsi="宋体"/>
          <w:sz w:val="24"/>
          <w:highlight w:val="none"/>
        </w:rPr>
        <w:t>采购单位应当在采购合同中约定预付款，对中小企业合同预付款比例原则上不低于合同金额的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w:t>
      </w:r>
    </w:p>
    <w:p w14:paraId="61362F94">
      <w:pPr>
        <w:snapToGrid w:val="0"/>
        <w:spacing w:line="348" w:lineRule="auto"/>
        <w:ind w:firstLine="3147" w:firstLineChars="1045"/>
        <w:rPr>
          <w:rFonts w:hint="eastAsia" w:ascii="宋体" w:hAnsi="宋体" w:cs="宋体"/>
          <w:b/>
          <w:sz w:val="30"/>
          <w:szCs w:val="30"/>
          <w:highlight w:val="none"/>
        </w:rPr>
      </w:pPr>
      <w:r>
        <w:rPr>
          <w:rFonts w:hint="eastAsia" w:ascii="宋体" w:hAnsi="宋体" w:cs="宋体"/>
          <w:b/>
          <w:sz w:val="30"/>
          <w:szCs w:val="30"/>
          <w:highlight w:val="none"/>
        </w:rPr>
        <w:t>八、电子交易活动的中止</w:t>
      </w:r>
    </w:p>
    <w:p w14:paraId="0CF6F313">
      <w:pPr>
        <w:pStyle w:val="27"/>
        <w:snapToGrid w:val="0"/>
        <w:spacing w:before="0" w:line="348" w:lineRule="auto"/>
        <w:ind w:firstLine="0" w:firstLineChars="0"/>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519ADC8B">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415BB2B6">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5F278A55">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48855E9A">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1F2EE3D0">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3D2784CB">
      <w:pPr>
        <w:pStyle w:val="27"/>
        <w:snapToGrid w:val="0"/>
        <w:spacing w:before="0" w:line="348" w:lineRule="auto"/>
        <w:ind w:firstLine="0" w:firstLineChars="0"/>
        <w:rPr>
          <w:rFonts w:hint="eastAsia"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81248F">
      <w:pPr>
        <w:snapToGrid w:val="0"/>
        <w:spacing w:line="348" w:lineRule="auto"/>
        <w:ind w:left="120" w:leftChars="57" w:firstLine="452" w:firstLineChars="150"/>
        <w:jc w:val="center"/>
        <w:rPr>
          <w:rFonts w:hint="eastAsia" w:ascii="宋体" w:hAnsi="宋体" w:cs="宋体"/>
          <w:b/>
          <w:sz w:val="30"/>
          <w:szCs w:val="30"/>
          <w:highlight w:val="none"/>
        </w:rPr>
      </w:pPr>
      <w:r>
        <w:rPr>
          <w:rFonts w:hint="eastAsia" w:ascii="宋体" w:hAnsi="宋体" w:cs="宋体"/>
          <w:b/>
          <w:sz w:val="30"/>
          <w:szCs w:val="30"/>
          <w:highlight w:val="none"/>
        </w:rPr>
        <w:t>九、验收</w:t>
      </w:r>
    </w:p>
    <w:p w14:paraId="1190AA59">
      <w:pPr>
        <w:pStyle w:val="8"/>
        <w:snapToGrid w:val="0"/>
        <w:spacing w:line="348" w:lineRule="auto"/>
        <w:ind w:firstLine="0" w:firstLineChars="0"/>
        <w:rPr>
          <w:rFonts w:hint="eastAsia" w:cs="宋体"/>
          <w:b/>
          <w:highlight w:val="none"/>
        </w:rPr>
      </w:pPr>
      <w:r>
        <w:rPr>
          <w:rFonts w:hint="eastAsia" w:cs="宋体"/>
          <w:b/>
          <w:highlight w:val="none"/>
        </w:rPr>
        <w:t>30.验收</w:t>
      </w:r>
    </w:p>
    <w:p w14:paraId="553B06F9">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A601">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53D78ADA">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925448">
      <w:pPr>
        <w:tabs>
          <w:tab w:val="left" w:pos="0"/>
        </w:tabs>
        <w:snapToGrid w:val="0"/>
        <w:spacing w:line="348" w:lineRule="auto"/>
        <w:ind w:firstLine="480"/>
        <w:rPr>
          <w:rFonts w:hint="eastAsia"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docGrid w:linePitch="312" w:charSpace="0"/>
        </w:sect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3"/>
    </w:p>
    <w:bookmarkEnd w:id="11"/>
    <w:bookmarkEnd w:id="12"/>
    <w:p w14:paraId="776A9225">
      <w:pPr>
        <w:spacing w:line="360" w:lineRule="auto"/>
        <w:jc w:val="center"/>
        <w:outlineLvl w:val="0"/>
        <w:rPr>
          <w:rFonts w:hint="eastAsia" w:ascii="宋体" w:hAnsi="宋体" w:cs="宋体"/>
          <w:b/>
          <w:sz w:val="36"/>
          <w:szCs w:val="36"/>
          <w:highlight w:val="none"/>
        </w:rPr>
      </w:pPr>
      <w:bookmarkStart w:id="15" w:name="第四部分"/>
      <w:r>
        <w:rPr>
          <w:rFonts w:hint="eastAsia" w:ascii="宋体" w:hAnsi="宋体" w:cs="宋体"/>
          <w:b/>
          <w:sz w:val="36"/>
          <w:szCs w:val="36"/>
          <w:highlight w:val="none"/>
        </w:rPr>
        <w:t>第三部分   采购需求</w:t>
      </w:r>
    </w:p>
    <w:p w14:paraId="260099D2">
      <w:pPr>
        <w:pStyle w:val="40"/>
        <w:pageBreakBefore w:val="0"/>
        <w:kinsoku/>
        <w:wordWrap/>
        <w:overflowPunct/>
        <w:topLinePunct w:val="0"/>
        <w:autoSpaceDE/>
        <w:autoSpaceDN/>
        <w:bidi w:val="0"/>
        <w:adjustRightInd/>
        <w:textAlignment w:val="auto"/>
        <w:rPr>
          <w:rFonts w:hint="eastAsia" w:ascii="宋体" w:hAnsi="宋体" w:eastAsia="宋体" w:cs="宋体"/>
          <w:sz w:val="24"/>
          <w:highlight w:val="none"/>
        </w:rPr>
      </w:pPr>
      <w:r>
        <w:rPr>
          <w:rFonts w:hint="eastAsia" w:ascii="宋体" w:hAnsi="宋体" w:eastAsia="宋体" w:cs="宋体"/>
          <w:sz w:val="24"/>
          <w:highlight w:val="none"/>
        </w:rPr>
        <w:t>一、项目概况</w:t>
      </w:r>
    </w:p>
    <w:p w14:paraId="613564BE">
      <w:pPr>
        <w:pageBreakBefore w:val="0"/>
        <w:kinsoku/>
        <w:wordWrap/>
        <w:overflowPunct/>
        <w:topLinePunct w:val="0"/>
        <w:autoSpaceDE/>
        <w:autoSpaceDN/>
        <w:bidi w:val="0"/>
        <w:adjustRightInd/>
        <w:spacing w:line="360" w:lineRule="auto"/>
        <w:ind w:left="0" w:leftChars="0" w:firstLine="420" w:firstLineChars="175"/>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浙江省杭州高级中学创办于1899年，从清末浙江最早的公立中学到享誉全国的江浙“四大名中”之一，至今历时百余年，至今走出院士53位，被誉为“院士的摇篮”。杭州高级中学目前是集团化办学，已拥有贡院校区、钱江校区、钱塘学校等校区，形成了多区一校、一体办学，一校多区、特色发展的办学规模。为进一步提升临平区教育基础设施建设水平，扩大杭州城区优质高中教育资源的覆盖面，实现杭州主城区与临平区教育资源的共建共享，满足临平区人民对优质高中教育资源的迫切需求，促进杭州教育均衡化、优质化发展，建设了杭州市教育局直属的杭州高级中学临平学校，并于2024年顺利启用。</w:t>
      </w:r>
    </w:p>
    <w:p w14:paraId="6AB0E6BC">
      <w:pPr>
        <w:pageBreakBefore w:val="0"/>
        <w:kinsoku/>
        <w:wordWrap/>
        <w:overflowPunct/>
        <w:topLinePunct w:val="0"/>
        <w:autoSpaceDE/>
        <w:autoSpaceDN/>
        <w:bidi w:val="0"/>
        <w:adjustRightInd/>
        <w:spacing w:line="360" w:lineRule="auto"/>
        <w:ind w:left="0" w:leftChars="0" w:firstLine="420" w:firstLineChars="175"/>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杭州高级中学临平学校位于杭州市临平区南苑街道，新建48班寄宿制普通高级中学，总建筑面积约91118平方米，总用地面积约89890平方米。学校已于2024年秋季顺利招生，为杭州市主城区及临平区提供至少每年800个应届初中毕业生的高中入学优质学位。</w:t>
      </w:r>
    </w:p>
    <w:p w14:paraId="6F35490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u w:val="none"/>
          <w:lang w:val="en-US" w:eastAsia="zh-CN" w:bidi="ar"/>
        </w:rPr>
      </w:pPr>
      <w:r>
        <w:rPr>
          <w:rFonts w:hint="eastAsia" w:ascii="宋体" w:hAnsi="宋体" w:eastAsia="宋体" w:cs="宋体"/>
          <w:sz w:val="24"/>
          <w:highlight w:val="none"/>
          <w:lang w:val="en-US" w:eastAsia="zh-CN"/>
        </w:rPr>
        <w:t>杭州高级中学临平学校</w:t>
      </w:r>
      <w:r>
        <w:rPr>
          <w:rFonts w:hint="eastAsia" w:ascii="宋体" w:hAnsi="宋体" w:eastAsia="宋体" w:cs="宋体"/>
          <w:kern w:val="2"/>
          <w:sz w:val="24"/>
          <w:szCs w:val="24"/>
          <w:highlight w:val="none"/>
          <w:u w:val="none"/>
          <w:lang w:val="en-US" w:eastAsia="zh-CN" w:bidi="ar"/>
        </w:rPr>
        <w:t>校园网络建设二期项目为校园新建后续配套项目，涉及到新学年新启用区域的网络覆盖及校园网络安全系统的完善，需要尽快实现项目设备系统交付。本项目采购设备系统主要内容有：网络交换系统扩容、无线网络系统扩容、网络运维系统扩容、网络安全系统扩容、配套工程及系统集成等。</w:t>
      </w:r>
    </w:p>
    <w:p w14:paraId="2EA17C4B">
      <w:pPr>
        <w:pStyle w:val="40"/>
        <w:rPr>
          <w:rFonts w:hint="eastAsia" w:ascii="宋体" w:hAnsi="宋体" w:eastAsia="宋体" w:cs="宋体"/>
          <w:color w:val="auto"/>
          <w:sz w:val="24"/>
          <w:highlight w:val="none"/>
        </w:rPr>
      </w:pPr>
      <w:r>
        <w:rPr>
          <w:rFonts w:hint="eastAsia" w:ascii="宋体" w:hAnsi="宋体" w:eastAsia="宋体" w:cs="宋体"/>
          <w:color w:val="auto"/>
          <w:sz w:val="24"/>
          <w:highlight w:val="none"/>
        </w:rPr>
        <w:t>二、建设内容及要求</w:t>
      </w:r>
    </w:p>
    <w:p w14:paraId="36B529F8">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本项目各子系统建设内容要求如下：</w:t>
      </w:r>
    </w:p>
    <w:p w14:paraId="4F25D086">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2.1 </w:t>
      </w:r>
      <w:r>
        <w:rPr>
          <w:rFonts w:hint="eastAsia" w:ascii="宋体" w:hAnsi="宋体" w:eastAsia="宋体" w:cs="宋体"/>
          <w:b/>
          <w:bCs/>
          <w:color w:val="auto"/>
          <w:sz w:val="24"/>
          <w:szCs w:val="24"/>
          <w:highlight w:val="none"/>
        </w:rPr>
        <w:t>网络交换系统（扩容）</w:t>
      </w:r>
    </w:p>
    <w:p w14:paraId="0AA61D60">
      <w:pPr>
        <w:keepNext/>
        <w:tabs>
          <w:tab w:val="left" w:pos="900"/>
        </w:tabs>
        <w:adjustRightInd/>
        <w:spacing w:line="360" w:lineRule="auto"/>
        <w:ind w:left="18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）接入交换机及POE交换机</w:t>
      </w:r>
    </w:p>
    <w:p w14:paraId="21C1A785">
      <w:pPr>
        <w:widowControl/>
        <w:numPr>
          <w:ilvl w:val="0"/>
          <w:numId w:val="4"/>
        </w:num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万兆上行接入交换机：万兆上行端口，支持堆叠虚拟化，千兆电口提供高速千兆接入；采用双模块化电源供电，确保校园网络稳定运行；</w:t>
      </w:r>
    </w:p>
    <w:p w14:paraId="655A6EC4">
      <w:pPr>
        <w:widowControl/>
        <w:numPr>
          <w:ilvl w:val="0"/>
          <w:numId w:val="4"/>
        </w:num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教学区光纤入室POE接入交换机：紧凑型机身，适应多媒体设备箱；静音无风扇自然散热，满足光纤进教室场景；万兆上行端口，千兆POE+电口提供千兆接入、无线AP接入；</w:t>
      </w:r>
    </w:p>
    <w:p w14:paraId="59584CAD">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2）交换机统一管理维护要求</w:t>
      </w:r>
    </w:p>
    <w:p w14:paraId="2B82678F">
      <w:pPr>
        <w:widowControl/>
        <w:numPr>
          <w:ilvl w:val="0"/>
          <w:numId w:val="4"/>
        </w:num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虚拟化堆叠：要求本次招标</w:t>
      </w:r>
      <w:r>
        <w:rPr>
          <w:rFonts w:hint="eastAsia" w:ascii="宋体" w:hAnsi="宋体" w:eastAsia="宋体" w:cs="宋体"/>
          <w:sz w:val="24"/>
          <w:highlight w:val="none"/>
          <w:lang w:val="en-US" w:eastAsia="zh-CN"/>
        </w:rPr>
        <w:t>设备与校园现有设备实现</w:t>
      </w:r>
      <w:r>
        <w:rPr>
          <w:rFonts w:hint="eastAsia" w:ascii="宋体" w:hAnsi="宋体" w:eastAsia="宋体" w:cs="宋体"/>
          <w:sz w:val="24"/>
          <w:highlight w:val="none"/>
        </w:rPr>
        <w:t>同一设备间内万兆上行接入交换机、万兆上行PoE接入交换机之间实现万兆堆叠，堆叠带宽≥20Gbps，支持堆叠链路冗余及环状堆叠，项目中标后提供实际测试；</w:t>
      </w:r>
    </w:p>
    <w:p w14:paraId="1EC939A6">
      <w:pPr>
        <w:numPr>
          <w:ilvl w:val="0"/>
          <w:numId w:val="4"/>
        </w:numPr>
        <w:adjustRightInd/>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highlight w:val="none"/>
        </w:rPr>
        <w:t>统一运维管理：要求投标设备可由</w:t>
      </w:r>
      <w:r>
        <w:rPr>
          <w:rFonts w:hint="eastAsia" w:ascii="宋体" w:hAnsi="宋体" w:eastAsia="宋体" w:cs="宋体"/>
          <w:sz w:val="24"/>
          <w:highlight w:val="none"/>
          <w:lang w:val="en-US" w:eastAsia="zh-CN"/>
        </w:rPr>
        <w:t>杭州高级中学临平学校</w:t>
      </w:r>
      <w:r>
        <w:rPr>
          <w:rFonts w:hint="eastAsia" w:ascii="宋体" w:hAnsi="宋体" w:eastAsia="宋体" w:cs="宋体"/>
          <w:sz w:val="24"/>
          <w:highlight w:val="none"/>
        </w:rPr>
        <w:t>本次招标的校园网络管理平台及</w:t>
      </w:r>
      <w:r>
        <w:rPr>
          <w:rFonts w:hint="eastAsia" w:ascii="宋体" w:hAnsi="宋体" w:eastAsia="宋体" w:cs="宋体"/>
          <w:sz w:val="24"/>
          <w:highlight w:val="none"/>
          <w:lang w:val="en-US" w:eastAsia="zh-CN"/>
        </w:rPr>
        <w:t>一期项目建设的移动运维平台</w:t>
      </w:r>
      <w:r>
        <w:rPr>
          <w:rFonts w:hint="eastAsia" w:ascii="宋体" w:hAnsi="宋体" w:eastAsia="宋体" w:cs="宋体"/>
          <w:sz w:val="24"/>
          <w:highlight w:val="none"/>
        </w:rPr>
        <w:t>统一管理，也可由</w:t>
      </w:r>
      <w:r>
        <w:rPr>
          <w:rFonts w:hint="eastAsia" w:ascii="宋体" w:hAnsi="宋体" w:eastAsia="宋体" w:cs="宋体"/>
          <w:sz w:val="24"/>
          <w:highlight w:val="none"/>
          <w:lang w:val="en-US" w:eastAsia="zh-CN"/>
        </w:rPr>
        <w:t>杭州高级中学</w:t>
      </w:r>
      <w:r>
        <w:rPr>
          <w:rFonts w:hint="eastAsia" w:ascii="宋体" w:hAnsi="宋体" w:eastAsia="宋体" w:cs="宋体"/>
          <w:sz w:val="24"/>
          <w:highlight w:val="none"/>
        </w:rPr>
        <w:t>教育集团总校</w:t>
      </w:r>
      <w:r>
        <w:rPr>
          <w:rFonts w:hint="eastAsia" w:ascii="宋体" w:hAnsi="宋体" w:eastAsia="宋体" w:cs="宋体"/>
          <w:sz w:val="24"/>
          <w:highlight w:val="none"/>
          <w:lang w:val="en-US" w:eastAsia="zh-CN"/>
        </w:rPr>
        <w:t>贡院校区</w:t>
      </w:r>
      <w:r>
        <w:rPr>
          <w:rFonts w:hint="eastAsia" w:ascii="宋体" w:hAnsi="宋体" w:eastAsia="宋体" w:cs="宋体"/>
          <w:sz w:val="24"/>
          <w:highlight w:val="none"/>
        </w:rPr>
        <w:t>现有网络运维平台统一管理，能够进行图形化可视管理，如显示设备的面板，在面板上能够开启和关闭网络端口，修改设备配置，显示流量等，能够被网管平台自动发现；如无法满足兼容性，可对所有涉及到的设备及平台进行替换或改造（如网络运维平台及其所管理的设备及业务系统）；</w:t>
      </w:r>
    </w:p>
    <w:p w14:paraId="44CBA334">
      <w:pPr>
        <w:numPr>
          <w:ilvl w:val="-1"/>
          <w:numId w:val="0"/>
        </w:numPr>
        <w:adjustRightInd/>
        <w:spacing w:line="360" w:lineRule="auto"/>
        <w:ind w:left="0" w:firstLine="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 无线网络系统（扩容）</w:t>
      </w:r>
    </w:p>
    <w:p w14:paraId="7CFF6A2B">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1）无线AP管理</w:t>
      </w:r>
    </w:p>
    <w:p w14:paraId="37CEA216">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配置无线AP管理许可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以管理</w:t>
      </w: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val="en-US" w:eastAsia="zh-CN"/>
        </w:rPr>
        <w:t>新增</w:t>
      </w:r>
      <w:r>
        <w:rPr>
          <w:rFonts w:hint="eastAsia" w:ascii="宋体" w:hAnsi="宋体" w:eastAsia="宋体" w:cs="宋体"/>
          <w:color w:val="auto"/>
          <w:sz w:val="24"/>
          <w:szCs w:val="24"/>
          <w:highlight w:val="none"/>
        </w:rPr>
        <w:t>所有无线AP；</w:t>
      </w:r>
    </w:p>
    <w:p w14:paraId="587411F4">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2）无线AP扩容</w:t>
      </w:r>
    </w:p>
    <w:p w14:paraId="28F3FC7A">
      <w:pPr>
        <w:widowControl w:val="0"/>
        <w:numPr>
          <w:ilvl w:val="0"/>
          <w:numId w:val="4"/>
        </w:num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室内86面板WiFi 6无线AP：教学楼及科学馆办公室等区域采用支持WiFi 6标准的X86面板式无线AP，保证无线信号无盲点、扩展有线网口；</w:t>
      </w:r>
    </w:p>
    <w:p w14:paraId="3329A3BF">
      <w:pPr>
        <w:widowControl w:val="0"/>
        <w:numPr>
          <w:ilvl w:val="0"/>
          <w:numId w:val="4"/>
        </w:num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室内放装型WiFi 6无线AP：教学楼及科学馆教室、地下车库区域等采用支持WiFi 6标准的室内放装型无线AP；</w:t>
      </w:r>
    </w:p>
    <w:p w14:paraId="15046EBD">
      <w:pPr>
        <w:numPr>
          <w:ilvl w:val="0"/>
          <w:numId w:val="4"/>
        </w:numPr>
        <w:adjustRightInd/>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室外WiFi 6无线AP：</w:t>
      </w:r>
      <w:r>
        <w:rPr>
          <w:rFonts w:hint="eastAsia" w:ascii="宋体" w:hAnsi="宋体" w:eastAsia="宋体" w:cs="宋体"/>
          <w:color w:val="auto"/>
          <w:sz w:val="24"/>
          <w:highlight w:val="none"/>
          <w:lang w:val="en-US" w:eastAsia="zh-CN"/>
        </w:rPr>
        <w:t>教学楼及科学馆</w:t>
      </w:r>
      <w:r>
        <w:rPr>
          <w:rFonts w:hint="eastAsia" w:ascii="宋体" w:hAnsi="宋体" w:eastAsia="宋体" w:cs="宋体"/>
          <w:color w:val="auto"/>
          <w:sz w:val="24"/>
          <w:szCs w:val="24"/>
          <w:highlight w:val="none"/>
        </w:rPr>
        <w:t>室外区域采用内置天线、支持WiFi 6标准的室外型无线AP，实现整个校园室外区域</w:t>
      </w:r>
      <w:r>
        <w:rPr>
          <w:rFonts w:hint="eastAsia" w:ascii="宋体" w:hAnsi="宋体" w:eastAsia="宋体" w:cs="宋体"/>
          <w:color w:val="auto"/>
          <w:sz w:val="24"/>
          <w:szCs w:val="24"/>
          <w:highlight w:val="none"/>
          <w:lang w:val="en-US" w:eastAsia="zh-CN"/>
        </w:rPr>
        <w:t>精细化</w:t>
      </w:r>
      <w:r>
        <w:rPr>
          <w:rFonts w:hint="eastAsia" w:ascii="宋体" w:hAnsi="宋体" w:eastAsia="宋体" w:cs="宋体"/>
          <w:color w:val="auto"/>
          <w:sz w:val="24"/>
          <w:szCs w:val="24"/>
          <w:highlight w:val="none"/>
        </w:rPr>
        <w:t>覆盖；</w:t>
      </w:r>
    </w:p>
    <w:p w14:paraId="0938323E">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3）无线网络统一运维管理要求</w:t>
      </w:r>
    </w:p>
    <w:p w14:paraId="5A1B8E70">
      <w:pPr>
        <w:widowControl/>
        <w:numPr>
          <w:ilvl w:val="0"/>
          <w:numId w:val="4"/>
        </w:numPr>
        <w:adjustRightInd/>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统一运维管理：要求投标设备可由</w:t>
      </w:r>
      <w:r>
        <w:rPr>
          <w:rFonts w:hint="eastAsia" w:ascii="宋体" w:hAnsi="宋体" w:eastAsia="宋体" w:cs="宋体"/>
          <w:sz w:val="24"/>
          <w:highlight w:val="none"/>
          <w:lang w:val="en-US" w:eastAsia="zh-CN"/>
        </w:rPr>
        <w:t>杭州高级中学临平学校</w:t>
      </w:r>
      <w:r>
        <w:rPr>
          <w:rFonts w:hint="eastAsia" w:ascii="宋体" w:hAnsi="宋体" w:eastAsia="宋体" w:cs="宋体"/>
          <w:sz w:val="24"/>
          <w:highlight w:val="none"/>
        </w:rPr>
        <w:t>本次招标的校园网络管理平台及</w:t>
      </w:r>
      <w:r>
        <w:rPr>
          <w:rFonts w:hint="eastAsia" w:ascii="宋体" w:hAnsi="宋体" w:eastAsia="宋体" w:cs="宋体"/>
          <w:sz w:val="24"/>
          <w:highlight w:val="none"/>
          <w:lang w:val="en-US" w:eastAsia="zh-CN"/>
        </w:rPr>
        <w:t>一期项目建设的移动运维平台</w:t>
      </w:r>
      <w:r>
        <w:rPr>
          <w:rFonts w:hint="eastAsia" w:ascii="宋体" w:hAnsi="宋体" w:eastAsia="宋体" w:cs="宋体"/>
          <w:sz w:val="24"/>
          <w:highlight w:val="none"/>
        </w:rPr>
        <w:t>统一管理，也可由</w:t>
      </w:r>
      <w:r>
        <w:rPr>
          <w:rFonts w:hint="eastAsia" w:ascii="宋体" w:hAnsi="宋体" w:eastAsia="宋体" w:cs="宋体"/>
          <w:sz w:val="24"/>
          <w:highlight w:val="none"/>
          <w:lang w:val="en-US" w:eastAsia="zh-CN"/>
        </w:rPr>
        <w:t>杭州高级中学教育集团总校贡院校区</w:t>
      </w:r>
      <w:r>
        <w:rPr>
          <w:rFonts w:hint="eastAsia" w:ascii="宋体" w:hAnsi="宋体" w:eastAsia="宋体" w:cs="宋体"/>
          <w:sz w:val="24"/>
          <w:highlight w:val="none"/>
        </w:rPr>
        <w:t>现有网络运维平台统一管理，能够进行图形化可视管理，如显示设备的面板，在面板上能够开启和关闭网络端口，修改设备配置，显示流量等，能够被网管平台自动发现；如无法满足兼容性，可对所有涉及到的设备及平台进行替换或改造（如网络运维平台及其所管理的设备及业务系统）；</w:t>
      </w:r>
    </w:p>
    <w:p w14:paraId="7A0D4860">
      <w:pPr>
        <w:numPr>
          <w:ilvl w:val="0"/>
          <w:numId w:val="4"/>
        </w:numPr>
        <w:adjustRightInd/>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highlight w:val="none"/>
          <w:lang w:val="en-US" w:eastAsia="zh-CN"/>
        </w:rPr>
        <w:t>统一用户认证：</w:t>
      </w:r>
      <w:r>
        <w:rPr>
          <w:rFonts w:hint="eastAsia" w:ascii="宋体" w:hAnsi="宋体" w:eastAsia="宋体" w:cs="宋体"/>
          <w:sz w:val="24"/>
          <w:highlight w:val="none"/>
        </w:rPr>
        <w:t>要求</w:t>
      </w:r>
      <w:r>
        <w:rPr>
          <w:rFonts w:hint="eastAsia" w:ascii="宋体" w:hAnsi="宋体" w:eastAsia="宋体" w:cs="宋体"/>
          <w:sz w:val="24"/>
          <w:highlight w:val="none"/>
          <w:lang w:val="en-US" w:eastAsia="zh-CN"/>
        </w:rPr>
        <w:t>杭州高级中学临平学校校园网络二期所有无线用户与一期所有无线用户</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与杭州高级中学教育集团总校贡院校区</w:t>
      </w:r>
      <w:r>
        <w:rPr>
          <w:rFonts w:hint="eastAsia" w:ascii="宋体" w:hAnsi="宋体" w:eastAsia="宋体" w:cs="宋体"/>
          <w:sz w:val="24"/>
          <w:highlight w:val="none"/>
        </w:rPr>
        <w:t>实现统一的Portal无感知用户认证，用户在一个校区</w:t>
      </w:r>
      <w:r>
        <w:rPr>
          <w:rFonts w:hint="eastAsia" w:ascii="宋体" w:hAnsi="宋体" w:eastAsia="宋体" w:cs="宋体"/>
          <w:sz w:val="24"/>
          <w:highlight w:val="none"/>
          <w:lang w:val="en-US" w:eastAsia="zh-CN"/>
        </w:rPr>
        <w:t>内一次认证即可，且一次</w:t>
      </w:r>
      <w:r>
        <w:rPr>
          <w:rFonts w:hint="eastAsia" w:ascii="宋体" w:hAnsi="宋体" w:eastAsia="宋体" w:cs="宋体"/>
          <w:sz w:val="24"/>
          <w:highlight w:val="none"/>
        </w:rPr>
        <w:t>认证通过之后到其他校区无需再次进行重复认证；如无法满足兼容性，可对所有涉及到的设备及平台进行替换或改造（如网络运维平台及其所管理的设备及业务系统）；</w:t>
      </w:r>
    </w:p>
    <w:p w14:paraId="5218409D">
      <w:pPr>
        <w:numPr>
          <w:ilvl w:val="-1"/>
          <w:numId w:val="0"/>
        </w:numPr>
        <w:adjustRightInd/>
        <w:spacing w:line="360" w:lineRule="auto"/>
        <w:ind w:left="0" w:firstLine="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 网络运维系统（扩容）</w:t>
      </w:r>
    </w:p>
    <w:p w14:paraId="5E0A3C26">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1）校园网络管理平台</w:t>
      </w:r>
    </w:p>
    <w:p w14:paraId="49B26548">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网络一体化运维，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支持管理</w:t>
      </w:r>
      <w:r>
        <w:rPr>
          <w:rFonts w:hint="eastAsia" w:ascii="宋体" w:hAnsi="宋体" w:eastAsia="宋体" w:cs="宋体"/>
          <w:sz w:val="24"/>
          <w:highlight w:val="none"/>
          <w:lang w:val="en-US" w:eastAsia="zh-CN"/>
        </w:rPr>
        <w:t>校园网络一期、二期项目所有</w:t>
      </w:r>
      <w:r>
        <w:rPr>
          <w:rFonts w:hint="eastAsia" w:ascii="宋体" w:hAnsi="宋体" w:eastAsia="宋体" w:cs="宋体"/>
          <w:color w:val="auto"/>
          <w:sz w:val="24"/>
          <w:szCs w:val="24"/>
          <w:highlight w:val="none"/>
        </w:rPr>
        <w:t>核心交换机、接入交换机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POE交换机</w:t>
      </w:r>
      <w:r>
        <w:rPr>
          <w:rFonts w:hint="eastAsia" w:ascii="宋体" w:hAnsi="宋体" w:eastAsia="宋体" w:cs="宋体"/>
          <w:color w:val="auto"/>
          <w:sz w:val="24"/>
          <w:szCs w:val="24"/>
          <w:highlight w:val="none"/>
        </w:rPr>
        <w:t>、无线控制器、无线AP等设备；</w:t>
      </w:r>
    </w:p>
    <w:p w14:paraId="5BE44F13">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实现对校园网络接入终端的无感知接入认证</w:t>
      </w:r>
      <w:r>
        <w:rPr>
          <w:rFonts w:hint="eastAsia" w:ascii="宋体" w:hAnsi="宋体" w:eastAsia="宋体" w:cs="宋体"/>
          <w:color w:val="auto"/>
          <w:sz w:val="24"/>
          <w:szCs w:val="24"/>
          <w:highlight w:val="none"/>
          <w:lang w:val="en-US" w:eastAsia="zh-CN"/>
        </w:rPr>
        <w:t>及钉钉对接认证</w:t>
      </w:r>
      <w:r>
        <w:rPr>
          <w:rFonts w:hint="eastAsia" w:ascii="宋体" w:hAnsi="宋体" w:eastAsia="宋体" w:cs="宋体"/>
          <w:color w:val="auto"/>
          <w:sz w:val="24"/>
          <w:szCs w:val="24"/>
          <w:highlight w:val="none"/>
        </w:rPr>
        <w:t>；</w:t>
      </w:r>
    </w:p>
    <w:p w14:paraId="584CB4DB">
      <w:pPr>
        <w:widowControl w:val="0"/>
        <w:numPr>
          <w:ilvl w:val="0"/>
          <w:numId w:val="4"/>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支持与</w:t>
      </w:r>
      <w:r>
        <w:rPr>
          <w:rFonts w:hint="eastAsia" w:ascii="宋体" w:hAnsi="宋体" w:eastAsia="宋体" w:cs="宋体"/>
          <w:sz w:val="24"/>
          <w:highlight w:val="none"/>
          <w:lang w:val="en-US" w:eastAsia="zh-CN"/>
        </w:rPr>
        <w:t>杭州高级中学教育集团总校贡院校区</w:t>
      </w:r>
      <w:r>
        <w:rPr>
          <w:rFonts w:hint="eastAsia" w:ascii="宋体" w:hAnsi="宋体" w:eastAsia="宋体" w:cs="宋体"/>
          <w:color w:val="auto"/>
          <w:sz w:val="24"/>
          <w:szCs w:val="24"/>
          <w:highlight w:val="none"/>
        </w:rPr>
        <w:t>实现分级管理运维；</w:t>
      </w:r>
    </w:p>
    <w:p w14:paraId="60BA7686">
      <w:pPr>
        <w:widowControl w:val="0"/>
        <w:numPr>
          <w:ilvl w:val="-1"/>
          <w:numId w:val="0"/>
        </w:numPr>
        <w:spacing w:line="360" w:lineRule="auto"/>
        <w:ind w:left="0"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 网络安全系统（扩容）</w:t>
      </w:r>
    </w:p>
    <w:p w14:paraId="6E432A2E">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为满足主管部门</w:t>
      </w:r>
      <w:r>
        <w:rPr>
          <w:rFonts w:hint="eastAsia" w:ascii="宋体" w:hAnsi="宋体" w:eastAsia="宋体" w:cs="宋体"/>
          <w:color w:val="auto"/>
          <w:sz w:val="24"/>
          <w:szCs w:val="24"/>
          <w:highlight w:val="none"/>
          <w:lang w:val="en-US" w:eastAsia="zh-CN"/>
        </w:rPr>
        <w:t>对网络信息</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更高</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确保实现</w:t>
      </w:r>
      <w:r>
        <w:rPr>
          <w:rFonts w:hint="eastAsia" w:ascii="宋体" w:hAnsi="宋体" w:eastAsia="宋体" w:cs="宋体"/>
          <w:color w:val="auto"/>
          <w:sz w:val="24"/>
          <w:szCs w:val="24"/>
          <w:highlight w:val="none"/>
        </w:rPr>
        <w:t>等保2.0标准</w:t>
      </w:r>
      <w:r>
        <w:rPr>
          <w:rFonts w:hint="eastAsia" w:ascii="宋体" w:hAnsi="宋体" w:eastAsia="宋体" w:cs="宋体"/>
          <w:color w:val="auto"/>
          <w:sz w:val="24"/>
          <w:szCs w:val="24"/>
          <w:highlight w:val="none"/>
          <w:lang w:val="en-US" w:eastAsia="zh-CN"/>
        </w:rPr>
        <w:t>二级等保的高水平达标，都需要建设更高水平的</w:t>
      </w:r>
      <w:r>
        <w:rPr>
          <w:rFonts w:hint="eastAsia" w:ascii="宋体" w:hAnsi="宋体" w:eastAsia="宋体" w:cs="宋体"/>
          <w:color w:val="auto"/>
          <w:sz w:val="24"/>
          <w:szCs w:val="24"/>
          <w:highlight w:val="none"/>
        </w:rPr>
        <w:t>校园网络</w:t>
      </w:r>
      <w:r>
        <w:rPr>
          <w:rFonts w:hint="eastAsia" w:ascii="宋体" w:hAnsi="宋体" w:eastAsia="宋体" w:cs="宋体"/>
          <w:color w:val="auto"/>
          <w:sz w:val="24"/>
          <w:szCs w:val="24"/>
          <w:highlight w:val="none"/>
          <w:lang w:val="en-US" w:eastAsia="zh-CN"/>
        </w:rPr>
        <w:t>安全系统。校园网络二期</w:t>
      </w: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val="en-US" w:eastAsia="zh-CN"/>
        </w:rPr>
        <w:t>扩容</w:t>
      </w:r>
      <w:r>
        <w:rPr>
          <w:rFonts w:hint="eastAsia" w:ascii="宋体" w:hAnsi="宋体" w:eastAsia="宋体" w:cs="宋体"/>
          <w:color w:val="auto"/>
          <w:sz w:val="24"/>
          <w:szCs w:val="24"/>
          <w:highlight w:val="none"/>
        </w:rPr>
        <w:t>建设</w:t>
      </w:r>
      <w:r>
        <w:rPr>
          <w:rFonts w:hint="eastAsia" w:ascii="宋体" w:hAnsi="宋体" w:eastAsia="宋体" w:cs="宋体"/>
          <w:color w:val="auto"/>
          <w:sz w:val="24"/>
          <w:szCs w:val="24"/>
          <w:highlight w:val="none"/>
          <w:lang w:val="en-US" w:eastAsia="zh-CN"/>
        </w:rPr>
        <w:t>网络安全系统</w:t>
      </w:r>
      <w:r>
        <w:rPr>
          <w:rFonts w:hint="eastAsia" w:ascii="宋体" w:hAnsi="宋体" w:eastAsia="宋体" w:cs="宋体"/>
          <w:color w:val="auto"/>
          <w:sz w:val="24"/>
          <w:szCs w:val="24"/>
          <w:highlight w:val="none"/>
        </w:rPr>
        <w:t>内容如下：</w:t>
      </w:r>
    </w:p>
    <w:p w14:paraId="2004EDF9">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1）终端安全管理系统扩容</w:t>
      </w:r>
    </w:p>
    <w:p w14:paraId="6192AC06">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随着业务应用增加，需扩容</w:t>
      </w:r>
      <w:r>
        <w:rPr>
          <w:rFonts w:hint="eastAsia" w:ascii="宋体" w:hAnsi="宋体" w:eastAsia="宋体" w:cs="宋体"/>
          <w:color w:val="auto"/>
          <w:sz w:val="24"/>
          <w:szCs w:val="24"/>
          <w:highlight w:val="none"/>
        </w:rPr>
        <w:t>服务器操作系统专用终端安全管理系统</w:t>
      </w:r>
      <w:r>
        <w:rPr>
          <w:rFonts w:hint="eastAsia" w:ascii="宋体" w:hAnsi="宋体" w:eastAsia="宋体" w:cs="宋体"/>
          <w:color w:val="auto"/>
          <w:sz w:val="24"/>
          <w:szCs w:val="24"/>
          <w:highlight w:val="none"/>
          <w:lang w:val="en-US" w:eastAsia="zh-CN"/>
        </w:rPr>
        <w:t>许可</w:t>
      </w:r>
      <w:r>
        <w:rPr>
          <w:rFonts w:hint="eastAsia" w:ascii="宋体" w:hAnsi="宋体" w:eastAsia="宋体" w:cs="宋体"/>
          <w:color w:val="auto"/>
          <w:sz w:val="24"/>
          <w:szCs w:val="24"/>
          <w:highlight w:val="none"/>
        </w:rPr>
        <w:t>，与原有终端安全管理系统平台中心兼容；</w:t>
      </w:r>
    </w:p>
    <w:p w14:paraId="25543E21">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终端安全管理软件，包含技术先进的网络版防病毒功能，实现企业级的安全防护，同时节省公网带宽，在校园网内部即可实现全校终端病毒库升级；</w:t>
      </w:r>
    </w:p>
    <w:p w14:paraId="30D0ABD7">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可通过云端的海量计算资源与海量存储资源满足对数十亿病毒进行100%查杀的防病毒需求，确保校园网络的长久安全稳定；</w:t>
      </w:r>
    </w:p>
    <w:p w14:paraId="429706A2">
      <w:pPr>
        <w:widowControl w:val="0"/>
        <w:numPr>
          <w:ilvl w:val="0"/>
          <w:numId w:val="4"/>
        </w:numPr>
        <w:spacing w:line="360" w:lineRule="auto"/>
        <w:jc w:val="both"/>
        <w:rPr>
          <w:rFonts w:hint="eastAsia" w:ascii="宋体" w:hAnsi="宋体" w:eastAsia="宋体" w:cs="宋体"/>
          <w:sz w:val="24"/>
          <w:highlight w:val="none"/>
        </w:rPr>
      </w:pPr>
      <w:r>
        <w:rPr>
          <w:rFonts w:hint="eastAsia" w:ascii="宋体" w:hAnsi="宋体" w:eastAsia="宋体" w:cs="宋体"/>
          <w:color w:val="auto"/>
          <w:sz w:val="24"/>
          <w:szCs w:val="24"/>
          <w:highlight w:val="none"/>
        </w:rPr>
        <w:t>可与</w:t>
      </w:r>
      <w:r>
        <w:rPr>
          <w:rFonts w:hint="eastAsia" w:ascii="宋体" w:hAnsi="宋体" w:eastAsia="宋体" w:cs="宋体"/>
          <w:color w:val="auto"/>
          <w:sz w:val="24"/>
          <w:szCs w:val="24"/>
          <w:highlight w:val="none"/>
          <w:lang w:val="en-US" w:eastAsia="zh-CN"/>
        </w:rPr>
        <w:t>校园现有</w:t>
      </w:r>
      <w:r>
        <w:rPr>
          <w:rFonts w:hint="eastAsia" w:ascii="宋体" w:hAnsi="宋体" w:eastAsia="宋体" w:cs="宋体"/>
          <w:color w:val="auto"/>
          <w:sz w:val="24"/>
          <w:szCs w:val="24"/>
          <w:highlight w:val="none"/>
        </w:rPr>
        <w:t>上网行为管理设备</w:t>
      </w:r>
      <w:r>
        <w:rPr>
          <w:rFonts w:hint="eastAsia" w:ascii="宋体" w:hAnsi="宋体" w:eastAsia="宋体" w:cs="宋体"/>
          <w:color w:val="auto"/>
          <w:sz w:val="24"/>
          <w:szCs w:val="24"/>
          <w:highlight w:val="none"/>
          <w:lang w:val="en-US" w:eastAsia="zh-CN"/>
        </w:rPr>
        <w:t>联动</w:t>
      </w:r>
      <w:r>
        <w:rPr>
          <w:rFonts w:hint="eastAsia" w:ascii="宋体" w:hAnsi="宋体" w:eastAsia="宋体" w:cs="宋体"/>
          <w:color w:val="auto"/>
          <w:sz w:val="24"/>
          <w:szCs w:val="24"/>
          <w:highlight w:val="none"/>
        </w:rPr>
        <w:t>，实现统一的管控策略，实现立体化网络安全防护，保障校园服务器及业务的安全运行；</w:t>
      </w:r>
    </w:p>
    <w:p w14:paraId="7E03A0C4">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2）综合日志审计系统</w:t>
      </w:r>
    </w:p>
    <w:p w14:paraId="35738241">
      <w:pPr>
        <w:spacing w:line="360" w:lineRule="auto"/>
        <w:ind w:firstLine="424" w:firstLineChars="17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通过实时监控网络中的服务器、数据库、防火墙等设备产生的日志数据，进行统一归集、标准化处理和关联分析，帮助管理员快速发现异常行为、安全威胁或系统故障。</w:t>
      </w:r>
    </w:p>
    <w:p w14:paraId="2376A811">
      <w:pPr>
        <w:spacing w:line="360" w:lineRule="auto"/>
        <w:ind w:firstLine="424" w:firstLineChars="177"/>
        <w:rPr>
          <w:rFonts w:hint="eastAsia" w:ascii="宋体" w:hAnsi="宋体" w:eastAsia="宋体" w:cs="宋体"/>
          <w:sz w:val="24"/>
          <w:highlight w:val="none"/>
          <w:lang w:val="en-US" w:eastAsia="zh-CN"/>
        </w:rPr>
      </w:pPr>
      <w:r>
        <w:rPr>
          <w:rFonts w:hint="eastAsia" w:ascii="宋体" w:hAnsi="宋体" w:eastAsia="宋体" w:cs="宋体"/>
          <w:color w:val="auto"/>
          <w:kern w:val="2"/>
          <w:sz w:val="24"/>
          <w:szCs w:val="24"/>
          <w:highlight w:val="none"/>
          <w:lang w:val="en-US" w:eastAsia="zh-CN" w:bidi="ar-SA"/>
        </w:rPr>
        <w:t>实现网络日志的集中采集、分析挖掘、合规审计、实时监控及安全告警等，对校内所有网络设备和安全设备的日志进行收集、存储、查看，便于分类分级多维度检索和审计，并提供丰富便捷的日志查询功能，</w:t>
      </w:r>
      <w:r>
        <w:rPr>
          <w:rFonts w:hint="eastAsia" w:ascii="宋体" w:hAnsi="宋体" w:eastAsia="宋体" w:cs="宋体"/>
          <w:sz w:val="24"/>
          <w:highlight w:val="none"/>
          <w:lang w:val="en-US" w:eastAsia="zh-CN"/>
        </w:rPr>
        <w:t>具备日志检索、告警通知、合规审计及可视化报表等功能，可满足网络安全等级保护、监管等合规要求，同时提升运维效率和安全事件响应能力。通过智能分析降低安全风险，为事后追溯提供完整依据。</w:t>
      </w:r>
    </w:p>
    <w:p w14:paraId="42FE5DC2">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3）堡垒机</w:t>
      </w:r>
    </w:p>
    <w:p w14:paraId="3F0F4549">
      <w:pPr>
        <w:widowControl w:val="0"/>
        <w:numPr>
          <w:ilvl w:val="0"/>
          <w:numId w:val="4"/>
        </w:num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对各类运维操作进行集中管控，远程登录服务器、执行数据库操作、进行应用系统的管理，都通过堡垒机来实现。避免运维人员直接访问目标设备，降低因直接操作带来的安全风险，如误操作或被恶意攻击等。</w:t>
      </w:r>
    </w:p>
    <w:p w14:paraId="5FD96848">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具备详细的审计功能，可以记录每一次运维操作的过程、时间、操作人员等信息，为后续的安全审计和责任追溯提供了有力的依据。通过对这些审计数据的分析，能够及时发现潜在的安全隐患和违规行为，帮助学校加强内部的安全管理，保障信息系统的安全稳定运行。</w:t>
      </w:r>
    </w:p>
    <w:p w14:paraId="315FE45D">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4）数据库审计系统</w:t>
      </w:r>
    </w:p>
    <w:p w14:paraId="4A95F5A2">
      <w:pPr>
        <w:pStyle w:val="30"/>
        <w:numPr>
          <w:ilvl w:val="0"/>
          <w:numId w:val="4"/>
        </w:numPr>
        <w:spacing w:line="360" w:lineRule="auto"/>
        <w:ind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数据库审计系统，对业务系统配套数据库的增删改查的行为进行审计和记录，保障业务数据的安全性和可追溯性。采用精准的数据库协议解析技术，提供数据库审计与数据库防火墙双重功能，提供高效的数据库安全方案。 </w:t>
      </w:r>
    </w:p>
    <w:p w14:paraId="62A96174">
      <w:pPr>
        <w:pStyle w:val="30"/>
        <w:numPr>
          <w:ilvl w:val="0"/>
          <w:numId w:val="4"/>
        </w:numPr>
        <w:spacing w:line="360" w:lineRule="auto"/>
        <w:ind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采用多核多线程并行处理、精准协议解析、海量日志存储和检索等技术，旁路部署在网络中，通过对访问数据库的行为、内容等进行采集、存储、分析，实现完全独立于数据库的审计功能。</w:t>
      </w:r>
    </w:p>
    <w:p w14:paraId="5A0ACE45">
      <w:pPr>
        <w:pStyle w:val="30"/>
        <w:numPr>
          <w:ilvl w:val="0"/>
          <w:numId w:val="4"/>
        </w:numPr>
        <w:spacing w:line="360" w:lineRule="auto"/>
        <w:ind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可以工作于数据库防火墙模式串行部署在网络中，支持多维度的数据库访问控制，能够实时监控、识别、阻断外部黑客攻击以及来自内部高权限用户的数据窃取行为，帮助应对来自外部和内部的数据库安全威胁。</w:t>
      </w:r>
    </w:p>
    <w:p w14:paraId="1B4EB645">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5）等级保护测评服务</w:t>
      </w:r>
    </w:p>
    <w:p w14:paraId="45E8BE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针对智慧校园平台、校园一卡通等</w:t>
      </w:r>
      <w:r>
        <w:rPr>
          <w:rFonts w:hint="eastAsia" w:ascii="宋体" w:hAnsi="宋体" w:eastAsia="宋体" w:cs="宋体"/>
          <w:color w:val="auto"/>
          <w:sz w:val="24"/>
          <w:szCs w:val="24"/>
          <w:highlight w:val="none"/>
          <w:lang w:val="en-US" w:eastAsia="zh-CN"/>
        </w:rPr>
        <w:t>校园信息系统</w:t>
      </w:r>
      <w:r>
        <w:rPr>
          <w:rFonts w:hint="eastAsia" w:ascii="宋体" w:hAnsi="宋体" w:eastAsia="宋体" w:cs="宋体"/>
          <w:color w:val="auto"/>
          <w:kern w:val="2"/>
          <w:sz w:val="24"/>
          <w:szCs w:val="24"/>
          <w:highlight w:val="none"/>
          <w:lang w:val="en-US" w:eastAsia="zh-CN" w:bidi="ar-SA"/>
        </w:rPr>
        <w:t>进行等保2.0标准二级等级保护测评，满足主管部门工作内容要求，发现改进系统自身及日常管理维护不足，及时整改加固。</w:t>
      </w:r>
      <w:r>
        <w:rPr>
          <w:rFonts w:hint="eastAsia" w:ascii="宋体" w:hAnsi="宋体" w:eastAsia="宋体" w:cs="宋体"/>
          <w:color w:val="auto"/>
          <w:sz w:val="24"/>
          <w:szCs w:val="24"/>
          <w:highlight w:val="none"/>
          <w:lang w:val="en-US" w:eastAsia="zh-CN"/>
        </w:rPr>
        <w:t>等级保护评测</w:t>
      </w:r>
      <w:r>
        <w:rPr>
          <w:rFonts w:hint="eastAsia" w:ascii="宋体" w:hAnsi="宋体" w:eastAsia="宋体" w:cs="宋体"/>
          <w:color w:val="auto"/>
          <w:sz w:val="24"/>
          <w:szCs w:val="24"/>
          <w:highlight w:val="none"/>
        </w:rPr>
        <w:t>，包括但不限于：</w:t>
      </w:r>
    </w:p>
    <w:p w14:paraId="06E4E63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安全物理环境、安全通信网络、安全区域边界、安全计算环境、安全管理中心、安全管理制度、安全管理机构、安全管理人员、安全建设管理、安全运维管理，设备和计算安全、应用和数据安全、密钥管理。</w:t>
      </w:r>
    </w:p>
    <w:p w14:paraId="1D86B026">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测评完成后，要求提供测评报告，针对每个测评的系统提出可行的整改方案，并提供整改咨询意见。</w:t>
      </w:r>
    </w:p>
    <w:p w14:paraId="237B60FB">
      <w:pPr>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 配套工程及系统集成</w:t>
      </w:r>
    </w:p>
    <w:p w14:paraId="0AF885EE">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本项目的配套工程施工及系统集成</w:t>
      </w:r>
      <w:r>
        <w:rPr>
          <w:rFonts w:hint="eastAsia" w:ascii="宋体" w:hAnsi="宋体" w:eastAsia="宋体" w:cs="宋体"/>
          <w:color w:val="auto"/>
          <w:sz w:val="24"/>
          <w:szCs w:val="24"/>
          <w:highlight w:val="none"/>
          <w:lang w:eastAsia="zh-CN"/>
        </w:rPr>
        <w:t>；</w:t>
      </w:r>
    </w:p>
    <w:p w14:paraId="3BC1BBEB">
      <w:pPr>
        <w:widowControl w:val="0"/>
        <w:numPr>
          <w:ilvl w:val="0"/>
          <w:numId w:val="4"/>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涉及校园无线AP等移位变更、</w:t>
      </w:r>
      <w:r>
        <w:rPr>
          <w:rFonts w:hint="eastAsia" w:ascii="宋体" w:hAnsi="宋体" w:eastAsia="宋体" w:cs="宋体"/>
          <w:color w:val="auto"/>
          <w:sz w:val="24"/>
          <w:szCs w:val="24"/>
          <w:highlight w:val="none"/>
          <w:lang w:val="en-US" w:eastAsia="zh-CN"/>
        </w:rPr>
        <w:t>室外AP安装等需要进行高处作业；</w:t>
      </w:r>
    </w:p>
    <w:p w14:paraId="7B1D247C">
      <w:pPr>
        <w:spacing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sz w:val="24"/>
          <w:szCs w:val="24"/>
          <w:highlight w:val="none"/>
          <w:lang w:val="en-US" w:eastAsia="zh-CN"/>
        </w:rPr>
        <w:t>三、招投标要求、项目建设清单和参数要求</w:t>
      </w:r>
    </w:p>
    <w:p w14:paraId="0BDC0D89">
      <w:pPr>
        <w:spacing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 招投标要求</w:t>
      </w:r>
    </w:p>
    <w:p w14:paraId="2B2E1DDA">
      <w:pPr>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针对本项目招投标、项目实施及验收，有如下要求，投标商应对此要求完全响应：</w:t>
      </w:r>
    </w:p>
    <w:p w14:paraId="210DFB91">
      <w:pPr>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由于本项目涉及到具体的施工细节，</w:t>
      </w:r>
      <w:r>
        <w:rPr>
          <w:rFonts w:hint="eastAsia" w:ascii="宋体" w:hAnsi="宋体" w:eastAsia="宋体" w:cs="宋体"/>
          <w:color w:val="auto"/>
          <w:sz w:val="24"/>
          <w:highlight w:val="none"/>
          <w:lang w:val="en-US" w:eastAsia="zh-CN"/>
        </w:rPr>
        <w:t>投标人可</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开</w:t>
      </w:r>
      <w:r>
        <w:rPr>
          <w:rFonts w:hint="eastAsia" w:ascii="宋体" w:hAnsi="宋体" w:eastAsia="宋体" w:cs="宋体"/>
          <w:color w:val="auto"/>
          <w:sz w:val="24"/>
          <w:highlight w:val="none"/>
        </w:rPr>
        <w:t>标前自行到现场实地工勘，了解实际具体情况，并在投标时给出合理化建议和设计，便于后期实施、维护。投标人可结合</w:t>
      </w:r>
      <w:r>
        <w:rPr>
          <w:rFonts w:hint="eastAsia" w:ascii="宋体" w:hAnsi="宋体" w:eastAsia="宋体" w:cs="宋体"/>
          <w:color w:val="auto"/>
          <w:sz w:val="24"/>
          <w:highlight w:val="none"/>
          <w:lang w:val="en-US" w:eastAsia="zh-CN"/>
        </w:rPr>
        <w:t>工勘实际情况</w:t>
      </w:r>
      <w:r>
        <w:rPr>
          <w:rFonts w:hint="eastAsia" w:ascii="宋体" w:hAnsi="宋体" w:eastAsia="宋体" w:cs="宋体"/>
          <w:color w:val="auto"/>
          <w:sz w:val="24"/>
          <w:highlight w:val="none"/>
        </w:rPr>
        <w:t>，按照招标文件要求进行施工图深化设计。</w:t>
      </w:r>
    </w:p>
    <w:p w14:paraId="32058365">
      <w:pPr>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投标人应按照</w:t>
      </w:r>
      <w:r>
        <w:rPr>
          <w:rFonts w:hint="eastAsia" w:ascii="宋体" w:hAnsi="宋体" w:eastAsia="宋体" w:cs="宋体"/>
          <w:color w:val="auto"/>
          <w:sz w:val="24"/>
          <w:highlight w:val="none"/>
        </w:rPr>
        <w:t>招标文件认真编制投标报价，报价一次性包干，若发生招标文件提供的采购清单中有漏项、少计工程量，则必须按招标清单施工，并将视为供应商已把该项目费用包含在投标总价中，中标后不得因为招标人提供采购清单漏项、少计工程量要求调整投标总价（除甲方提出的设计变更外，均不再调整）。</w:t>
      </w:r>
    </w:p>
    <w:p w14:paraId="411F0344">
      <w:pPr>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保证设备稳定运行、保障售后服务质量、保护甲方的合法权益，投标方及厂商必须保证：(1)本项目所有设备原厂售后服务权益方名称为杭州高级中学临平学校。（2）项目实施过程中、项目验收时，将对光模块、各系统主要设备等联系原厂商进行真伪查验校对、质保期查验校对，并将详细确认售后服务权益方名称。（3）项目实施完成后，要求提交所有设备的原厂出货证明、原厂质保期限等证明。</w:t>
      </w:r>
    </w:p>
    <w:p w14:paraId="5DCD1AF2">
      <w:pPr>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若实际使用有剩余，要求留给学校用于后期校园建设，且投标商还应提供这些剩余设备材料的后续安装调试等服务（费用包含于本次投标内）；</w:t>
      </w:r>
    </w:p>
    <w:p w14:paraId="618B58B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签订合同时需要提供原厂商针对本项目的授权函和质保函；项目验收前，设备和线缆材料需要提供原厂商针对本项目的出货记录（至少包括规格、型号及对应数量等），并提供各货物招投标对应的保修年限证明；</w:t>
      </w:r>
    </w:p>
    <w:p w14:paraId="39F97159">
      <w:pPr>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 项目建设清单及参数要求</w:t>
      </w:r>
    </w:p>
    <w:p w14:paraId="2819E826">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1）项目建设清单总表及部分系统详细参数要求</w:t>
      </w:r>
    </w:p>
    <w:tbl>
      <w:tblPr>
        <w:tblStyle w:val="17"/>
        <w:tblW w:w="9015"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1200"/>
        <w:gridCol w:w="5558"/>
        <w:gridCol w:w="865"/>
        <w:gridCol w:w="889"/>
      </w:tblGrid>
      <w:tr w14:paraId="32DC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E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标的名称</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技术规格要求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0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B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r>
      <w:tr w14:paraId="2825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FC43">
            <w:pPr>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z w:val="24"/>
                <w:szCs w:val="24"/>
                <w:highlight w:val="none"/>
                <w:u w:val="none"/>
              </w:rPr>
            </w:pPr>
          </w:p>
        </w:tc>
        <w:tc>
          <w:tcPr>
            <w:tcW w:w="6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1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第一部分、网络交换系统（扩容）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D7A6">
            <w:pPr>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z w:val="24"/>
                <w:szCs w:val="24"/>
                <w:highlight w:val="none"/>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B85A">
            <w:pPr>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z w:val="24"/>
                <w:szCs w:val="24"/>
                <w:highlight w:val="none"/>
                <w:u w:val="none"/>
              </w:rPr>
            </w:pPr>
          </w:p>
        </w:tc>
      </w:tr>
      <w:tr w14:paraId="6E44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D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DDC0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24口万兆上行接入交换机</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A1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以太网交换机主机：≥24个10/100/1000BASE-T电口、≥4个1G/10G BASE-X SFP+光口；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B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6317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2CA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3236">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sz w:val="24"/>
                <w:szCs w:val="24"/>
                <w:highlight w:val="none"/>
                <w:u w:val="none"/>
              </w:rPr>
            </w:pP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1A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独立热插拔交流电源模块，≥70W；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1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3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r>
      <w:tr w14:paraId="57F7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D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1BB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48口万兆上行接入交换机</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4E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以太网交换机主机：≥48个10/100/1000BASE-T电口、≥6个1G/10G BASE-X SFP+光口；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E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4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7526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36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659FA">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sz w:val="24"/>
                <w:szCs w:val="24"/>
                <w:highlight w:val="none"/>
                <w:u w:val="none"/>
              </w:rPr>
            </w:pP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A2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独立热插拔交流电源模块，≥70W；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8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C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r>
      <w:tr w14:paraId="375F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5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5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8口万兆上行POE接入交换机（光纤入室）</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92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以太网交换机主机：≥8个10/100/1000Base-T电口(支持PoE+)、≥2个1G/10G BASE-X SFP+光口；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3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E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04E1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B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42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万兆堆叠模块</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60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兆堆叠模块及线缆，同一设备间内24口万兆上行接入交换机、48口万兆上行接入交换机、24口万兆上行PoE接入交换机、48口万兆上行PoE接入交换机（含校园现有）之间实现万兆堆叠，堆叠带宽≥20Gbps，支持堆叠链路冗余及环状堆叠；要求为原厂正品、可通过厂商验证保修等相关信息；</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3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B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r>
      <w:tr w14:paraId="13D5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8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04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万兆单模光模块</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DE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SFP+ 万兆模块(1310nm,10km,LC)；要求为原厂正品、可通过厂商验证保修等相关信息；</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0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A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4EB8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2829">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sz w:val="24"/>
                <w:szCs w:val="24"/>
                <w:highlight w:val="none"/>
                <w:u w:val="none"/>
              </w:rPr>
            </w:pPr>
          </w:p>
        </w:tc>
        <w:tc>
          <w:tcPr>
            <w:tcW w:w="6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A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第二部分、无线网络系统（扩容）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F2D1">
            <w:pPr>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z w:val="24"/>
                <w:szCs w:val="24"/>
                <w:highlight w:val="none"/>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8667">
            <w:pPr>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z w:val="24"/>
                <w:szCs w:val="24"/>
                <w:highlight w:val="none"/>
                <w:u w:val="none"/>
              </w:rPr>
            </w:pPr>
          </w:p>
        </w:tc>
      </w:tr>
      <w:tr w14:paraId="2D60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F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5C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无线控制器</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1F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无线控制器license授权函：单份管理≥16个无线AP许可；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B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E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份</w:t>
            </w:r>
          </w:p>
        </w:tc>
      </w:tr>
      <w:tr w14:paraId="02434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3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12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室内86面板型WiFi 6无线AP</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D947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内置天线、双频四流802.11ax/ac/n面板型无线接入点；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B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5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6935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6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27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室内放装型WiFi 6无线AP</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3222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内置天线、双频四流802.11ax/ac/n无线接入点；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6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0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14:paraId="669E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E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409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室外型WiFi 6无线AP</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D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内外置可切换天线双频四流802.11ax/ac/n工业级无线接入点；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C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9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7F8B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1354">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sz w:val="24"/>
                <w:szCs w:val="24"/>
                <w:highlight w:val="none"/>
                <w:u w:val="none"/>
              </w:rPr>
            </w:pPr>
          </w:p>
        </w:tc>
        <w:tc>
          <w:tcPr>
            <w:tcW w:w="6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B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第三部分、网络运维系统（扩容）</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16F2">
            <w:pPr>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z w:val="24"/>
                <w:szCs w:val="24"/>
                <w:highlight w:val="none"/>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2B8B">
            <w:pPr>
              <w:keepNext w:val="0"/>
              <w:keepLines w:val="0"/>
              <w:widowControl/>
              <w:suppressLineNumbers w:val="0"/>
              <w:spacing w:before="0" w:beforeAutospacing="0" w:after="0" w:afterAutospacing="0"/>
              <w:ind w:left="0" w:right="0"/>
              <w:jc w:val="both"/>
              <w:rPr>
                <w:rFonts w:hint="eastAsia" w:ascii="宋体" w:hAnsi="宋体" w:eastAsia="宋体" w:cs="宋体"/>
                <w:b/>
                <w:bCs/>
                <w:i w:val="0"/>
                <w:iCs w:val="0"/>
                <w:color w:val="000000"/>
                <w:sz w:val="24"/>
                <w:szCs w:val="24"/>
                <w:highlight w:val="none"/>
                <w:u w:val="none"/>
              </w:rPr>
            </w:pPr>
          </w:p>
        </w:tc>
      </w:tr>
      <w:tr w14:paraId="23E4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A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2EC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校园网络管理平台</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2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校园网络管理平台，包括管理平台软件、终端接入软件及管理认证1000个终端并发License许可、原厂配套硬件；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A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A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3A6C0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F9E1">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6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1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第四部分、网络安全系统（扩容）及等保测评</w:t>
            </w:r>
          </w:p>
        </w:tc>
        <w:tc>
          <w:tcPr>
            <w:tcW w:w="865" w:type="dxa"/>
            <w:tcBorders>
              <w:top w:val="single" w:color="000000" w:sz="4" w:space="0"/>
              <w:left w:val="nil"/>
              <w:bottom w:val="single" w:color="000000" w:sz="4" w:space="0"/>
              <w:right w:val="single" w:color="000000" w:sz="4" w:space="0"/>
            </w:tcBorders>
            <w:shd w:val="clear" w:color="auto" w:fill="auto"/>
            <w:noWrap/>
            <w:vAlign w:val="center"/>
          </w:tcPr>
          <w:p w14:paraId="186DD6C8">
            <w:pPr>
              <w:keepNext w:val="0"/>
              <w:keepLines w:val="0"/>
              <w:widowControl/>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62B1">
            <w:pPr>
              <w:keepNext w:val="0"/>
              <w:keepLines w:val="0"/>
              <w:widowControl/>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r>
      <w:tr w14:paraId="5FC3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A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89D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终端安全管理系统</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5E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校园现有的终端安全管理系统扩容服务器操作系统专用终端安全管理系统服务器系统客户端授权许可，包含智能防护客户端模块、智能控制客户端模块、智能响应客户端模块以及服务端防护（Webshell检测、暴力破解检测、基线合规检查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7CD2C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3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点</w:t>
            </w:r>
          </w:p>
        </w:tc>
      </w:tr>
      <w:tr w14:paraId="5EB7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E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AB2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综合日志审计系统</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17E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综合日志审计系统，≥6个GE接口，≥1个CON口，≥4T硬盘存储空间。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性能参数：≥50个设备授权（最大可扩展至≥90个），事件处理性能≥3000EPS/秒。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包含功能：支持网络设备、安全设备、终端、主机、应用程序、中间件、虚拟化平台等多种类型日志采集；支持Syslog、Syslog-ng 、SNMP Trap、文件、WMI、SFTP、数据库 等方式采集日志；可视化呈现、资产管理、日志识别、日志分析等。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含三年硬件保修、软件升级维护服务。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00A7F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0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0958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8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10C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堡垒机</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412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堡垒机，≥1个串口，≥2个USB口，≥6千兆电口，≥4T硬盘存储空间，双电源，≥1个通用扩展槽。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默认可管理资产数≥50个（最大可扩展至≥150个），最大字符连接≥100个，最大图型连接≥90个。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支持运维协议（图形终端协议：RDP、VNC、X11；字符终端协议：Telnet、SSH；文件传输协议：FTP、SFTP；数据库类型：Oracle、Mysql、SQL Server等；WEB应用：HTTP、HTTPS）；身份认证、运维管理、账号与资产管理、运维审计（支持命令记录、支持录像记录、支持传输文件备份、支持日志在线搜索、支持日志导出和离线播放）等。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含三年硬件保修、软件升级维护服务。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4A923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F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5565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1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E53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数据库审计系统</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A7A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设备高度≤1U，≥4个千兆电口，≥2个MGT口，≥2个USB接口，≥1个console接口，≥8G内存，≥128G固态硬盘，≥4T硬盘，双电源，≥1个接口扩展槽。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性能参数：SQL处理能力≥10000 SQL/S，支持≥50个数据库实例。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含功能：支持Oracle、SQLserver、MySQL、DB2、Sybase、Informix、Postgresql、Teradata、Cache、达梦、南大通用、人大金仓、神通、浪潮KDB、湖南上容、MongoDB、Hive、Hana、HWMPP、HighGo、Hbase、ES、Solr、HDFS、redis等主流数据库防护和审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包含三年硬件保修、软件升级维护、特征库自动升级服务。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要求投标文件提供明确的品牌型号,具体规格要求见后述详细参数要求；</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090EA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0A74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0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F75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等级保护测评服务</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7E8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等保2.0二级等级保护测评服务，针对业务应用/网站进行测评；测评完成后，提供2年技术咨询服务；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具体规格要求见后述详细参数要求。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6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A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7270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580E">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6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8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第五部分、系统集成</w:t>
            </w:r>
          </w:p>
        </w:tc>
        <w:tc>
          <w:tcPr>
            <w:tcW w:w="865" w:type="dxa"/>
            <w:tcBorders>
              <w:top w:val="single" w:color="000000" w:sz="4" w:space="0"/>
              <w:left w:val="nil"/>
              <w:bottom w:val="single" w:color="000000" w:sz="4" w:space="0"/>
              <w:right w:val="single" w:color="000000" w:sz="4" w:space="0"/>
            </w:tcBorders>
            <w:shd w:val="clear" w:color="auto" w:fill="auto"/>
            <w:noWrap/>
            <w:vAlign w:val="center"/>
          </w:tcPr>
          <w:p w14:paraId="417F76E7">
            <w:pPr>
              <w:keepNext w:val="0"/>
              <w:keepLines w:val="0"/>
              <w:widowControl/>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345B">
            <w:pPr>
              <w:keepNext w:val="0"/>
              <w:keepLines w:val="0"/>
              <w:widowControl/>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r>
      <w:tr w14:paraId="033A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C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D3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配套工程及系统集成</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52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本项目的配套工程施工及系统集成，包括但不限于：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(1)本次项目所有设备的运输、安装、调试，包含可能涉及到的配套布线工程；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(2)本次涉及校园无线AP等移位变更、重新配置调试，包含可能涉及到的配套布线工程；如报告厅无线AP移位等，涉及高空作业和线路迁移。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(3)项目完成所必须的各种配件及辅材；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(4)施工过程中对现有建筑及装修造成破坏，修复工程所涉及的各种材料；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(5)与校园现有业务系统、其他同步建设业务系统的对接配合，所有相关工作量及费用由中标方自行承担；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(6)校园网络统一管理、用户统一认证等工程均涉及到与杭州高级中学临平学校及杭州高级中学教育集团的相关业务系统进行兼容对接；所有兼容对接开发或系统替换的相关工作量及费用由中标方自行承担；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(7)本项目实行包干制，投标人投标前应充分了解本项目的技术要求并评估工作量和费用，甲方仅提供必要的协助，甲方对后期实施可能存在的技术、工程、费用问题不承担任何责任。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(8)项目实施完成后的后期维护服务，包括技术服务及配套布线工程维护服务。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4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0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bl>
    <w:p w14:paraId="0A3345FF">
      <w:pPr>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auto"/>
          <w:kern w:val="2"/>
          <w:sz w:val="24"/>
          <w:szCs w:val="24"/>
          <w:highlight w:val="none"/>
          <w:u w:val="none"/>
          <w:lang w:val="en-US" w:eastAsia="zh-CN" w:bidi="ar"/>
        </w:rPr>
      </w:pPr>
      <w:r>
        <w:rPr>
          <w:rFonts w:hint="eastAsia" w:ascii="宋体" w:hAnsi="宋体" w:eastAsia="宋体" w:cs="宋体"/>
          <w:b/>
          <w:bCs/>
          <w:color w:val="auto"/>
          <w:kern w:val="2"/>
          <w:sz w:val="24"/>
          <w:szCs w:val="24"/>
          <w:highlight w:val="none"/>
          <w:u w:val="none"/>
          <w:lang w:val="en-US" w:eastAsia="zh-CN" w:bidi="ar"/>
        </w:rPr>
        <w:t>说明：</w:t>
      </w:r>
    </w:p>
    <w:p w14:paraId="0185EE55">
      <w:pPr>
        <w:spacing w:beforeAutospacing="0" w:afterAutospacing="0"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▲1）对于要求投标文件提供明确的品牌型号的条目，不得使用“定制”“定制开发”等不明确型号投标，否则视为投标无效。</w:t>
      </w:r>
    </w:p>
    <w:p w14:paraId="2792E0C3">
      <w:pPr>
        <w:spacing w:beforeAutospacing="0" w:afterAutospacing="0"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2）招标参数要求中如出现明确数值，均为最低指标要求，投标产品指标参数应不低于该要求。</w:t>
      </w:r>
    </w:p>
    <w:p w14:paraId="49A64717">
      <w:pPr>
        <w:spacing w:beforeAutospacing="0" w:afterAutospacing="0"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3）投标人须在技术偏离表中，对招标清单中参数要求和后附详细参数要求均作出逐条应答。</w:t>
      </w:r>
    </w:p>
    <w:p w14:paraId="7795CCC3">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2）网络交换系统（扩容）详细参数要求</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2"/>
        <w:gridCol w:w="1210"/>
        <w:gridCol w:w="7593"/>
      </w:tblGrid>
      <w:tr w14:paraId="03E5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838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kern w:val="0"/>
                <w:sz w:val="24"/>
                <w:szCs w:val="24"/>
                <w:highlight w:val="none"/>
              </w:rPr>
              <w:t>序号</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FB5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kern w:val="0"/>
                <w:sz w:val="24"/>
                <w:szCs w:val="24"/>
                <w:highlight w:val="none"/>
              </w:rPr>
              <w:t>设备</w:t>
            </w:r>
          </w:p>
        </w:tc>
        <w:tc>
          <w:tcPr>
            <w:tcW w:w="6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A41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kern w:val="0"/>
                <w:sz w:val="24"/>
                <w:szCs w:val="24"/>
                <w:highlight w:val="none"/>
              </w:rPr>
              <w:t>技术参数要求</w:t>
            </w:r>
          </w:p>
        </w:tc>
      </w:tr>
      <w:tr w14:paraId="76EB5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9F64">
            <w:pPr>
              <w:keepNext w:val="0"/>
              <w:keepLines w:val="0"/>
              <w:widowControl/>
              <w:suppressLineNumbers w:val="0"/>
              <w:adjustRightInd/>
              <w:spacing w:before="0" w:beforeAutospacing="0" w:after="0" w:afterAutospacing="0"/>
              <w:ind w:left="0" w:leftChars="0" w:right="0" w:rightChars="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B7A6">
            <w:pPr>
              <w:keepNext w:val="0"/>
              <w:keepLines w:val="0"/>
              <w:widowControl/>
              <w:suppressLineNumbers w:val="0"/>
              <w:adjustRightInd/>
              <w:spacing w:before="0" w:beforeAutospacing="0" w:after="0" w:afterAutospacing="0"/>
              <w:ind w:left="0" w:leftChars="0" w:right="0" w:right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auto"/>
                <w:sz w:val="24"/>
                <w:szCs w:val="24"/>
                <w:highlight w:val="none"/>
              </w:rPr>
              <w:t>24口万兆上行接入交换机</w:t>
            </w:r>
          </w:p>
        </w:tc>
        <w:tc>
          <w:tcPr>
            <w:tcW w:w="6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11BE">
            <w:pPr>
              <w:keepNext w:val="0"/>
              <w:keepLines w:val="0"/>
              <w:widowControl/>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1、交换容量：≥680Gbps，包转发率≥1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Mpps（若官网存在双标，以较小值为准）；接口：≥4个万兆SFP+口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≥24个10/100/1000Base-T自适应以太网端口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上述参数支持通过官网以不登录的方式公开查询到；</w:t>
            </w:r>
          </w:p>
          <w:p w14:paraId="067398CE">
            <w:pPr>
              <w:keepNext w:val="0"/>
              <w:keepLines w:val="0"/>
              <w:widowControl/>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2、网络防环：支持STP、RSTP、MSTP生成树协议</w:t>
            </w:r>
          </w:p>
          <w:p w14:paraId="70276332">
            <w:pPr>
              <w:keepNext w:val="0"/>
              <w:keepLines w:val="0"/>
              <w:widowControl/>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3、可靠性：支持虚拟化功能，实现设备堆叠、负载分担</w:t>
            </w:r>
          </w:p>
          <w:p w14:paraId="4F53E88C">
            <w:pPr>
              <w:keepNext w:val="0"/>
              <w:keepLines w:val="0"/>
              <w:widowControl/>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4、VLAN：支持基于端口、协议、MAC的VLAN</w:t>
            </w:r>
          </w:p>
          <w:p w14:paraId="727449C6">
            <w:pPr>
              <w:keepNext w:val="0"/>
              <w:keepLines w:val="0"/>
              <w:widowControl/>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5、链路聚合：支持链路聚合</w:t>
            </w:r>
          </w:p>
          <w:p w14:paraId="3B176766">
            <w:pPr>
              <w:keepNext w:val="0"/>
              <w:keepLines w:val="0"/>
              <w:widowControl/>
              <w:suppressLineNumbers w:val="0"/>
              <w:adjustRightInd/>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6、网络安全：支持抗攻击功能，支持ACL功能；支持OSPFv2、BGP4路由协议安全，支持流分类功能，支持SNMPv1/v2/v3网管，支持用户访问控制和安全审计功能（要求</w:t>
            </w:r>
            <w:r>
              <w:rPr>
                <w:rFonts w:hint="eastAsia" w:ascii="宋体" w:hAnsi="宋体" w:eastAsia="宋体" w:cs="宋体"/>
                <w:color w:val="auto"/>
                <w:sz w:val="24"/>
                <w:szCs w:val="24"/>
                <w:highlight w:val="none"/>
                <w:lang w:eastAsia="zh-CN"/>
              </w:rPr>
              <w:t>提供具有国家认可检测资质的机构出具的第三方检测报告</w:t>
            </w:r>
            <w:r>
              <w:rPr>
                <w:rFonts w:hint="eastAsia" w:ascii="宋体" w:hAnsi="宋体" w:eastAsia="宋体" w:cs="宋体"/>
                <w:color w:val="auto"/>
                <w:sz w:val="24"/>
                <w:szCs w:val="24"/>
                <w:highlight w:val="none"/>
              </w:rPr>
              <w:t>结果页复印件证明）</w:t>
            </w:r>
          </w:p>
          <w:p w14:paraId="7B32129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7、安全防雷：支持10KV业务端口防雷能力，以降低设备的损坏率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上述参数支持通过官网以不登录的方式公开查询到；</w:t>
            </w:r>
          </w:p>
          <w:p w14:paraId="563BE5D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8、本次实配2块独立热插拔电源模块；</w:t>
            </w:r>
          </w:p>
          <w:p w14:paraId="6D4EDAB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统一运维管理：求投标设备可由杭州高级中学临平学校本次招标的校园网络管理平台以及一期项目建设的移动运维平台统一管理，也可由杭州高级中学教育集团总校贡院校区现有网络运维平台统一管理，能够进行图形化可视管理，如显示设备的面板，在面板上能够开启和关闭网络端口，修改设备配置，显示流量等，能够被网管平台自动发现（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p>
        </w:tc>
      </w:tr>
      <w:tr w14:paraId="2A38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9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EC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48口万兆上行接入交换机</w:t>
            </w:r>
          </w:p>
        </w:tc>
        <w:tc>
          <w:tcPr>
            <w:tcW w:w="6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16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1、交换容量：≥680Gbps，包转发率≥200Mpps（若官网存在双标，以较小值为准）；接口：≥6个万兆SFP+口、≥48个10/100/1000Base-T自适应以太网端口；上述参数支持通过官网以不登录的方式公开查询到；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2、网络防环：支持STP、RSTP、MSTP生成树协议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3、可靠性：支持虚拟化功能，实现设备堆叠、负载分担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4、VLAN：支持基于端口、协议、MAC的VLAN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5、链路聚合：支持链路聚合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网络安全：支持抗攻击功能，支持ACL功能；支持OSPFv2、BGP4路由协议安全，支持流分类功能，支持SNMPv1/v2/v3网管，支持用户访问控制和安全审计功能（要求提供具有国家认可检测资质的机构出具的第三方检测报告结果页复印件证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7、安全防雷：支持10KV业务端口防雷能力，以降低设备的损坏率；上述参数支持通过官网以不登录的方式公开查询到；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8、本次实配2块独立热插拔电源模块；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统一运维管理：求投标设备可由杭州高级中学临平学校本次招标的校园网络管理平台以及一期项目建设的移动运维平台统一管理，也可由杭州高级中学教育集团总校贡院校区现有网络运维平台统一管理，能够进行图形化可视管理，如显示设备的面板，在面板上能够开启和关闭网络端口，修改设备配置，显示流量等，能够被网管平台自动发现（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p>
        </w:tc>
      </w:tr>
      <w:tr w14:paraId="773D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2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5E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8口万兆上行POE接入交换机（光纤入室）</w:t>
            </w:r>
          </w:p>
        </w:tc>
        <w:tc>
          <w:tcPr>
            <w:tcW w:w="6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45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1、交换容量≥670Gbps，包转发率≥125Mpps（若官网存在双标，以较小值为准）；实配接口：≥8个千兆PoE+端口、≥2个10G/1G SFP+口，以上端口可同时使用；所有POE+端口支持802.3at/POE+供电标准，整机对外POE供电功率≥125W；上述参数支持通过官网以不登录的方式公开查询到；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2、网络防环：支持STP、RSTP、MSTP生成树协议；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3、可靠性：支持虚拟化功能，实现设备堆叠、负载分担；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4、VLAN：支持基于端口、协议、MAC的VLAN；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5、链路聚合：支持链路聚合；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6、节能低碳：支持EEE节能功能，端口如果在连续一段时间之内空闲，系统会将该端口设置为节能模式；上述参数支持通过官网以不登录的方式公开查询到；；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7、安全防雷：支持10KV业务端口防雷能力，以降低设备的损坏率；上述参数支持通过官网以不登录的方式公开查询到；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8、尺寸散热要求：为满足教室内多媒体设备箱场景，要求宽度≤330mm、深度≤230mm、高度≤44mm(1U)，要求为静音无风扇自然散热；上述参数支持通过官网以不登录的方式公开查询到；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统一运维管理：要求投标设备可由杭州高级中学临平学校本次招标的校园网络管理平台以及一期项目移动运维平台统一管理，也可由杭州高级中学教育集团总校贡院校区现有网络运维平台统一管理，能够进行图形化可视管理，如显示设备的面板，在面板上能够开启和关闭网络端口，修改设备配置，显示流量等，能够被网管平台自动发现（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p>
        </w:tc>
      </w:tr>
    </w:tbl>
    <w:p w14:paraId="5CC79331">
      <w:pPr>
        <w:pStyle w:val="5"/>
        <w:ind w:left="0" w:leftChars="0" w:firstLine="0" w:firstLineChars="0"/>
        <w:rPr>
          <w:rFonts w:hint="eastAsia" w:ascii="宋体" w:hAnsi="宋体" w:eastAsia="宋体" w:cs="宋体"/>
          <w:color w:val="auto"/>
          <w:sz w:val="24"/>
          <w:szCs w:val="24"/>
          <w:highlight w:val="none"/>
          <w:lang w:eastAsia="zh-CN"/>
        </w:rPr>
      </w:pPr>
    </w:p>
    <w:p w14:paraId="13CFECBE">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3）无线网络系统（扩容）详细参数要求</w:t>
      </w:r>
    </w:p>
    <w:tbl>
      <w:tblPr>
        <w:tblStyle w:val="17"/>
        <w:tblW w:w="4998" w:type="pct"/>
        <w:tblInd w:w="0" w:type="dxa"/>
        <w:tblLayout w:type="autofit"/>
        <w:tblCellMar>
          <w:top w:w="0" w:type="dxa"/>
          <w:left w:w="108" w:type="dxa"/>
          <w:bottom w:w="0" w:type="dxa"/>
          <w:right w:w="108" w:type="dxa"/>
        </w:tblCellMar>
      </w:tblPr>
      <w:tblGrid>
        <w:gridCol w:w="537"/>
        <w:gridCol w:w="1170"/>
        <w:gridCol w:w="7578"/>
      </w:tblGrid>
      <w:tr w14:paraId="0DF6C35D">
        <w:tblPrEx>
          <w:tblCellMar>
            <w:top w:w="0" w:type="dxa"/>
            <w:left w:w="108" w:type="dxa"/>
            <w:bottom w:w="0" w:type="dxa"/>
            <w:right w:w="108" w:type="dxa"/>
          </w:tblCellMar>
        </w:tblPrEx>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DF4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bCs/>
                <w:kern w:val="0"/>
                <w:sz w:val="24"/>
                <w:szCs w:val="24"/>
                <w:highlight w:val="none"/>
              </w:rPr>
              <w:t>序号</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295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bCs/>
                <w:kern w:val="0"/>
                <w:sz w:val="24"/>
                <w:szCs w:val="24"/>
                <w:highlight w:val="none"/>
              </w:rPr>
              <w:t>设备</w:t>
            </w:r>
          </w:p>
        </w:tc>
        <w:tc>
          <w:tcPr>
            <w:tcW w:w="4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DC2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bCs/>
                <w:kern w:val="0"/>
                <w:sz w:val="24"/>
                <w:szCs w:val="24"/>
                <w:highlight w:val="none"/>
              </w:rPr>
              <w:t>技术参数要求</w:t>
            </w:r>
          </w:p>
        </w:tc>
      </w:tr>
      <w:tr w14:paraId="6C50D1E1">
        <w:tblPrEx>
          <w:tblCellMar>
            <w:top w:w="0" w:type="dxa"/>
            <w:left w:w="108" w:type="dxa"/>
            <w:bottom w:w="0" w:type="dxa"/>
            <w:right w:w="108" w:type="dxa"/>
          </w:tblCellMar>
        </w:tblPrEx>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F1AB">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CE4">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kern w:val="0"/>
                <w:sz w:val="24"/>
                <w:szCs w:val="24"/>
                <w:highlight w:val="none"/>
              </w:rPr>
              <w:t>无线控制器授权</w:t>
            </w: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868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无线控制器单份管理≥16个无线AP许可；</w:t>
            </w:r>
          </w:p>
          <w:p w14:paraId="7832D680">
            <w:pPr>
              <w:keepNext w:val="0"/>
              <w:keepLines w:val="0"/>
              <w:widowControl/>
              <w:suppressLineNumbers w:val="0"/>
              <w:spacing w:before="0" w:beforeAutospacing="0" w:after="0" w:afterAutospacing="0"/>
              <w:ind w:left="0" w:right="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兼容管理要求：可对</w:t>
            </w:r>
            <w:r>
              <w:rPr>
                <w:rFonts w:hint="eastAsia" w:ascii="宋体" w:hAnsi="宋体" w:eastAsia="宋体" w:cs="宋体"/>
                <w:b/>
                <w:bCs/>
                <w:color w:val="auto"/>
                <w:kern w:val="0"/>
                <w:sz w:val="24"/>
                <w:szCs w:val="24"/>
                <w:highlight w:val="none"/>
                <w:lang w:val="en-US" w:eastAsia="zh-CN"/>
              </w:rPr>
              <w:t>校园现有无线控制器扩容无线AP管理许可</w:t>
            </w:r>
            <w:r>
              <w:rPr>
                <w:rFonts w:hint="eastAsia" w:ascii="宋体" w:hAnsi="宋体" w:eastAsia="宋体" w:cs="宋体"/>
                <w:b/>
                <w:bCs/>
                <w:i w:val="0"/>
                <w:iCs w:val="0"/>
                <w:color w:val="auto"/>
                <w:kern w:val="0"/>
                <w:sz w:val="24"/>
                <w:szCs w:val="24"/>
                <w:highlight w:val="none"/>
                <w:u w:val="none"/>
                <w:lang w:val="en-US" w:eastAsia="zh-CN" w:bidi="ar"/>
              </w:rPr>
              <w:t>（可兼容的提供证明材料）</w:t>
            </w:r>
            <w:r>
              <w:rPr>
                <w:rFonts w:hint="eastAsia" w:ascii="宋体" w:hAnsi="宋体" w:eastAsia="宋体" w:cs="宋体"/>
                <w:b/>
                <w:bCs/>
                <w:color w:val="auto"/>
                <w:kern w:val="0"/>
                <w:sz w:val="24"/>
                <w:szCs w:val="24"/>
                <w:highlight w:val="none"/>
                <w:lang w:val="en-US" w:eastAsia="zh-CN"/>
              </w:rPr>
              <w:t>；如无法满足兼容性，可以对现有设备及管理无线AP、现有无线管理平台及所管理设备系统等进行替换或改造，</w:t>
            </w:r>
            <w:r>
              <w:rPr>
                <w:rFonts w:hint="eastAsia" w:ascii="宋体" w:hAnsi="宋体" w:eastAsia="宋体" w:cs="宋体"/>
                <w:b/>
                <w:bCs/>
                <w:i w:val="0"/>
                <w:iCs w:val="0"/>
                <w:color w:val="auto"/>
                <w:kern w:val="0"/>
                <w:sz w:val="24"/>
                <w:szCs w:val="24"/>
                <w:highlight w:val="none"/>
                <w:u w:val="none"/>
                <w:lang w:val="en-US" w:eastAsia="zh-CN" w:bidi="ar"/>
              </w:rPr>
              <w:t>替换或改造后设备所有参数均不得低于现有设备</w:t>
            </w:r>
            <w:r>
              <w:rPr>
                <w:rFonts w:hint="eastAsia" w:ascii="宋体" w:hAnsi="宋体" w:eastAsia="宋体" w:cs="宋体"/>
                <w:b/>
                <w:bCs/>
                <w:color w:val="auto"/>
                <w:kern w:val="0"/>
                <w:sz w:val="24"/>
                <w:szCs w:val="24"/>
                <w:highlight w:val="none"/>
                <w:lang w:val="en-US" w:eastAsia="zh-CN"/>
              </w:rPr>
              <w:t>（投标标的清单中列明替换清单和数量，费用含在总报价中）。</w:t>
            </w:r>
          </w:p>
          <w:p w14:paraId="7AABDE38">
            <w:pPr>
              <w:keepNext w:val="0"/>
              <w:keepLines w:val="0"/>
              <w:widowControl/>
              <w:suppressLineNumbers w:val="0"/>
              <w:spacing w:before="0" w:beforeAutospacing="0" w:after="0" w:afterAutospacing="0"/>
              <w:ind w:left="0" w:right="0"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校园现有无线控制器（主机、接口板、电源模块、无线AP管理许可）（2024年招标采购）性能参数如下：</w:t>
            </w:r>
          </w:p>
          <w:p w14:paraId="63C4AE7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1、管理AP数：最大管理AP数（集中转发）≥768个AP；实配≥512个无线AP管理许可；</w:t>
            </w:r>
          </w:p>
          <w:p w14:paraId="34854ED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2、硬件接口：实配≥16个千兆电口、≥8个千兆光口、≥2个SFP+万兆光口、≥1个OOBM（带外管理口）、≥2个USB口；实配实配2个≥250W电源模块；吞吐量≥20Gbps；</w:t>
            </w:r>
          </w:p>
          <w:p w14:paraId="57EEEFC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3、支持基于802.11k/802.11v/802.11r协议的智能漫游；</w:t>
            </w:r>
          </w:p>
          <w:p w14:paraId="01116E7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支持雷达检测SSID逃生功能：AC、AP支持SSID自主逃生，当AP射频检测到雷达信号时，会将本射频的SSID迁移到其他射频，保障关键业务正常通信；支持基于空口利用率的SSID自动隐藏功能，当空口繁忙程度达到或超过配置的阈值时，SSID自动隐藏，为用户提供稳定可靠的无线服务。具有国家认可检测资质的机构出具的第三方测试报告；</w:t>
            </w:r>
          </w:p>
          <w:p w14:paraId="6750A67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5、可支持与云端平台实现极简运维及业务功能扩展；</w:t>
            </w:r>
          </w:p>
          <w:p w14:paraId="2BE8F6A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6、无线定位：定位精度2米以内，参与定位的AP支持跨信道部署；</w:t>
            </w:r>
          </w:p>
          <w:p w14:paraId="1749C79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7、兼容管理要求：网络交换系统与无线网络系统所有投标设备型号互联互通、实现所有协议完全兼容；</w:t>
            </w:r>
          </w:p>
          <w:p w14:paraId="0C4DE34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统一运维管理：可由杭州高级中学临平学校招标的移动运维平台统一管理，也可由杭州高级中学教育集团总校区（贡院校区）现有网络运维平台统一管理，能够进行图形化可视管理，如显示设备的面板，在面板上能够开启和关闭网络端口，修改设备配置，显示流量等，能够被网管平台自动发现。</w:t>
            </w:r>
          </w:p>
          <w:p w14:paraId="0696198E">
            <w:pPr>
              <w:keepNext w:val="0"/>
              <w:keepLines w:val="0"/>
              <w:widowControl/>
              <w:suppressLineNumbers w:val="0"/>
              <w:spacing w:before="0" w:beforeAutospacing="0" w:after="0" w:afterAutospacing="0"/>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9、统一用户认证：杭州高级中学临平学校无线用户与杭州高级中学教育集团总校区（贡院校区）实现统一的Portal无感知用户认证，用户在一个校区认证通过之后到其他校区无需再次进行重复认证。</w:t>
            </w:r>
          </w:p>
        </w:tc>
      </w:tr>
      <w:tr w14:paraId="1ECDCAC8">
        <w:tblPrEx>
          <w:tblCellMar>
            <w:top w:w="0" w:type="dxa"/>
            <w:left w:w="108" w:type="dxa"/>
            <w:bottom w:w="0" w:type="dxa"/>
            <w:right w:w="108" w:type="dxa"/>
          </w:tblCellMar>
        </w:tblPrEx>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C33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1F5D">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室内86面板型WiFi 6无线AP</w:t>
            </w: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3D38">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1、采用整机双频4流设计，可同时工作在802.11a/b/g/n/ac/ac </w:t>
            </w:r>
          </w:p>
          <w:p w14:paraId="5C63FE3C">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wave2/ax模式；</w:t>
            </w:r>
            <w:r>
              <w:rPr>
                <w:rFonts w:hint="eastAsia" w:ascii="宋体" w:hAnsi="宋体" w:eastAsia="宋体" w:cs="宋体"/>
                <w:kern w:val="0"/>
                <w:sz w:val="24"/>
                <w:szCs w:val="24"/>
                <w:highlight w:val="none"/>
              </w:rPr>
              <w:t>上述参数支持通过官网以不登录的方式公开查询到；</w:t>
            </w:r>
          </w:p>
          <w:p w14:paraId="03F26B66">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2、整机协商速率≥2.975Gbps，标准86×86形态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即宽高为</w:t>
            </w:r>
            <w:r>
              <w:rPr>
                <w:rFonts w:hint="eastAsia" w:ascii="宋体" w:hAnsi="宋体" w:eastAsia="宋体" w:cs="宋体"/>
                <w:sz w:val="24"/>
                <w:szCs w:val="24"/>
                <w:highlight w:val="none"/>
              </w:rPr>
              <w:t>86mm×86mm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Wi-Fi 6产品；</w:t>
            </w:r>
            <w:r>
              <w:rPr>
                <w:rFonts w:hint="eastAsia" w:ascii="宋体" w:hAnsi="宋体" w:eastAsia="宋体" w:cs="宋体"/>
                <w:sz w:val="24"/>
                <w:szCs w:val="24"/>
                <w:highlight w:val="none"/>
                <w:lang w:val="en-US" w:eastAsia="zh-CN"/>
              </w:rPr>
              <w:t>下行</w:t>
            </w:r>
            <w:r>
              <w:rPr>
                <w:rFonts w:hint="eastAsia" w:ascii="宋体" w:hAnsi="宋体" w:eastAsia="宋体" w:cs="宋体"/>
                <w:sz w:val="24"/>
                <w:szCs w:val="24"/>
                <w:highlight w:val="none"/>
              </w:rPr>
              <w:t>接口：≥</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个10/100/1000Mbps自协商以太网口；</w:t>
            </w:r>
            <w:r>
              <w:rPr>
                <w:rFonts w:hint="eastAsia" w:ascii="宋体" w:hAnsi="宋体" w:eastAsia="宋体" w:cs="宋体"/>
                <w:sz w:val="24"/>
                <w:szCs w:val="24"/>
                <w:highlight w:val="none"/>
                <w:lang w:val="en-US" w:eastAsia="zh-CN"/>
              </w:rPr>
              <w:t>上行</w:t>
            </w:r>
            <w:r>
              <w:rPr>
                <w:rFonts w:hint="eastAsia" w:ascii="宋体" w:hAnsi="宋体" w:eastAsia="宋体" w:cs="宋体"/>
                <w:sz w:val="24"/>
                <w:szCs w:val="24"/>
                <w:highlight w:val="none"/>
              </w:rPr>
              <w:t>接口:≥1个10/100/1000Mbps自协商以太网口；</w:t>
            </w:r>
            <w:r>
              <w:rPr>
                <w:rFonts w:hint="eastAsia" w:ascii="宋体" w:hAnsi="宋体" w:eastAsia="宋体" w:cs="宋体"/>
                <w:kern w:val="0"/>
                <w:sz w:val="24"/>
                <w:szCs w:val="24"/>
                <w:highlight w:val="none"/>
              </w:rPr>
              <w:t>上述参数支持通过官网以不登录的方式公开查询到；</w:t>
            </w:r>
          </w:p>
          <w:p w14:paraId="6751F59C">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3、支持基于空口利用率的SSID自动隐藏功能，当空口繁忙程度达到或超过配置的阈值时，SSID自动隐藏，为用户提供稳定可靠的无线服务，要求提供具有CMA或CNAS标示的第三方测试报告结果页复印件；</w:t>
            </w:r>
          </w:p>
          <w:p w14:paraId="4E5108FA">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◆4、支持WPA3个人级方式下的终端接入，支持WPA3企业级模式下的终端接入功能，要求提供具有CMA或CNAS标示的第三方测试报告结果页复印件；</w:t>
            </w:r>
          </w:p>
          <w:p w14:paraId="4CB14587">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◆5、AP支持Dot1x Client功能，AP在注册到AC之前需要通过有线1X认证，防止非授权AP或非法终端连接到内网提升网络安全，要求提供具有CMA或CNAS标示的第三方测试报告结果页复印件；</w:t>
            </w:r>
          </w:p>
          <w:p w14:paraId="2B8A6192">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6、支持OFDMA正交频分多址技术，AP可以将无线带宽细分，在同一时刻利用不同的子载波向多个终端传输数据，减少传统协议中多用户空口资源冲突及退避带来的延时，提高多用户场景下语音、视频等低延时应用的用户体验；</w:t>
            </w:r>
            <w:r>
              <w:rPr>
                <w:rFonts w:hint="eastAsia" w:ascii="宋体" w:hAnsi="宋体" w:eastAsia="宋体" w:cs="宋体"/>
                <w:kern w:val="0"/>
                <w:sz w:val="24"/>
                <w:szCs w:val="24"/>
                <w:highlight w:val="none"/>
              </w:rPr>
              <w:t>上述参数支持通过官网以不登录的方式公开查询到；</w:t>
            </w:r>
          </w:p>
          <w:p w14:paraId="698D1119">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7、物联网扩展能力：内置蓝牙5.1</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上述参数支持通过官网以不登录的方式公开查询到；</w:t>
            </w:r>
          </w:p>
          <w:p w14:paraId="25FDED92">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8、</w:t>
            </w:r>
            <w:r>
              <w:rPr>
                <w:rFonts w:hint="eastAsia" w:ascii="宋体" w:hAnsi="宋体" w:eastAsia="宋体" w:cs="宋体"/>
                <w:i w:val="0"/>
                <w:iCs w:val="0"/>
                <w:color w:val="000000"/>
                <w:kern w:val="0"/>
                <w:sz w:val="24"/>
                <w:szCs w:val="24"/>
                <w:highlight w:val="none"/>
                <w:u w:val="none"/>
                <w:lang w:val="en-US" w:eastAsia="zh-CN" w:bidi="ar"/>
              </w:rPr>
              <w:t>统一运维管理：求投标设备可由杭州高级中学临平学校本次招标的校园网络管理平台以及一期项目建设的移动运维平台统一管理，也可由杭州高级中学教育集团总校贡院校区现有网络运维平台统一管理，能够进行图形化可视管理，如显示设备的面板，在面板上能够开启和关闭网络端口，修改设备配置，显示流量等，能够被网管平台自动发现（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r>
              <w:rPr>
                <w:rFonts w:hint="eastAsia" w:ascii="宋体" w:hAnsi="宋体" w:eastAsia="宋体" w:cs="宋体"/>
                <w:sz w:val="24"/>
                <w:szCs w:val="24"/>
                <w:highlight w:val="none"/>
              </w:rPr>
              <w:t>。</w:t>
            </w:r>
          </w:p>
          <w:p w14:paraId="17F2548F">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◆9、统一用户认证：要求</w:t>
            </w:r>
            <w:r>
              <w:rPr>
                <w:rFonts w:hint="eastAsia" w:ascii="宋体" w:hAnsi="宋体" w:eastAsia="宋体" w:cs="宋体"/>
                <w:sz w:val="24"/>
                <w:szCs w:val="24"/>
                <w:highlight w:val="none"/>
                <w:lang w:val="en-US" w:eastAsia="zh-CN"/>
              </w:rPr>
              <w:t>杭州高级中学临平学校校园网络二期所有无线用户与一期所有无线用户</w:t>
            </w:r>
            <w:r>
              <w:rPr>
                <w:rFonts w:hint="eastAsia" w:ascii="宋体" w:hAnsi="宋体" w:eastAsia="宋体" w:cs="宋体"/>
                <w:sz w:val="24"/>
                <w:szCs w:val="24"/>
                <w:highlight w:val="none"/>
                <w:lang w:eastAsia="zh-CN"/>
              </w:rPr>
              <w:t>、杭州高级中学教育集团总校贡院校区</w:t>
            </w:r>
            <w:r>
              <w:rPr>
                <w:rFonts w:hint="eastAsia" w:ascii="宋体" w:hAnsi="宋体" w:eastAsia="宋体" w:cs="宋体"/>
                <w:sz w:val="24"/>
                <w:szCs w:val="24"/>
                <w:highlight w:val="none"/>
              </w:rPr>
              <w:t>实现统一的Portal无感知用户认证，用户在一个校区</w:t>
            </w:r>
            <w:r>
              <w:rPr>
                <w:rFonts w:hint="eastAsia" w:ascii="宋体" w:hAnsi="宋体" w:eastAsia="宋体" w:cs="宋体"/>
                <w:sz w:val="24"/>
                <w:szCs w:val="24"/>
                <w:highlight w:val="none"/>
                <w:lang w:val="en-US" w:eastAsia="zh-CN"/>
              </w:rPr>
              <w:t>内一次认证即可，且一次</w:t>
            </w:r>
            <w:r>
              <w:rPr>
                <w:rFonts w:hint="eastAsia" w:ascii="宋体" w:hAnsi="宋体" w:eastAsia="宋体" w:cs="宋体"/>
                <w:sz w:val="24"/>
                <w:szCs w:val="24"/>
                <w:highlight w:val="none"/>
              </w:rPr>
              <w:t>认证通过之后到其他校区无需再次进行重复认证（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p>
        </w:tc>
      </w:tr>
      <w:tr w14:paraId="06D74A1B">
        <w:tblPrEx>
          <w:tblCellMar>
            <w:top w:w="0" w:type="dxa"/>
            <w:left w:w="108" w:type="dxa"/>
            <w:bottom w:w="0" w:type="dxa"/>
            <w:right w:w="108" w:type="dxa"/>
          </w:tblCellMar>
        </w:tblPrEx>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92C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ABC6">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室内放装型WiFi 6无线AP</w:t>
            </w:r>
          </w:p>
        </w:tc>
        <w:tc>
          <w:tcPr>
            <w:tcW w:w="40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E102">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1、工作模式：采用整机双频4流设计，可同时工作在802.11a/b/g/n/ac/ac wave2/ax模式</w:t>
            </w:r>
          </w:p>
          <w:p w14:paraId="6D8C6EFE">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2、协商速率：整机协商速率≥2.975Gbps，其中5G射频速率≥2.4Gbps，2.4G射频速率≥0.575Gbps</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上述参数支持通过官网以不登录的方式公开查询到；</w:t>
            </w:r>
          </w:p>
          <w:p w14:paraId="393C550B">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3、接口设计：≥5个</w:t>
            </w:r>
            <w:r>
              <w:rPr>
                <w:rFonts w:hint="eastAsia" w:ascii="宋体" w:hAnsi="宋体" w:eastAsia="宋体" w:cs="宋体"/>
                <w:kern w:val="0"/>
                <w:sz w:val="24"/>
                <w:szCs w:val="24"/>
                <w:highlight w:val="none"/>
                <w:lang w:val="en-US" w:eastAsia="zh-CN"/>
              </w:rPr>
              <w:t>固定接口</w:t>
            </w:r>
            <w:r>
              <w:rPr>
                <w:rFonts w:hint="eastAsia" w:ascii="宋体" w:hAnsi="宋体" w:eastAsia="宋体" w:cs="宋体"/>
                <w:kern w:val="0"/>
                <w:sz w:val="24"/>
                <w:szCs w:val="24"/>
                <w:highlight w:val="none"/>
              </w:rPr>
              <w:t>（≥1个2.5G光口</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≥4个10/100/1000M电口，其中≥1个支持Poe out对外供电）</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上述参数支持通过官网以不登录的方式公开查询到；</w:t>
            </w:r>
          </w:p>
          <w:p w14:paraId="6A0604EC">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4、要求支持边缘感知功能，可精细化识别各个应用，同时能对应用流量进行分析，并对识别出的应用优先调度，从而提高用户使用体验；要求支持双WiFi功能，在网络拥塞情况下，通过对终端发送的报文进行识别，在多业务并行处理时，可以对关键业务（如视频会议、时延敏感类游戏等）优先处理从而实现应用加速，同时对链路可靠性的提升，保证了用户使用体验；要求提供具有CMA或CNAS标示的第三方测试报告结果页复印件。</w:t>
            </w:r>
          </w:p>
          <w:p w14:paraId="4B9ABE37">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5、物联网扩展能力：内置蓝牙5.1；支持链式物联网扩展能力，支持≥5个BLE、RFID、ZigBee等全制式物联网扩展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上述参数支持通过官网以不登录的方式公开查询到；</w:t>
            </w:r>
          </w:p>
          <w:p w14:paraId="3C932237">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lang w:val="en-US"/>
              </w:rPr>
            </w:pPr>
            <w:r>
              <w:rPr>
                <w:rFonts w:hint="eastAsia" w:ascii="宋体" w:hAnsi="宋体" w:eastAsia="宋体" w:cs="宋体"/>
                <w:kern w:val="0"/>
                <w:sz w:val="24"/>
                <w:szCs w:val="24"/>
                <w:highlight w:val="none"/>
                <w:lang w:bidi="ar"/>
              </w:rPr>
              <w:t>6、</w:t>
            </w:r>
            <w:r>
              <w:rPr>
                <w:rFonts w:hint="eastAsia" w:ascii="宋体" w:hAnsi="宋体" w:eastAsia="宋体" w:cs="宋体"/>
                <w:i w:val="0"/>
                <w:iCs w:val="0"/>
                <w:color w:val="000000"/>
                <w:kern w:val="0"/>
                <w:sz w:val="24"/>
                <w:szCs w:val="24"/>
                <w:highlight w:val="none"/>
                <w:u w:val="none"/>
                <w:lang w:val="en-US" w:eastAsia="zh-CN" w:bidi="ar"/>
              </w:rPr>
              <w:t>统一运维管理：求投标设备可由杭州高级中学临平学校本次招标的校园网络管理平台以及一期项目建设的移动运维平台统一管理，也可由杭州高级中学教育集团总校贡院校区现有网络运维平台统一管理，能够进行图形化可视管理，如显示设备的面板，在面板上能够开启和关闭网络端口，修改设备配置，显示流量等，能够被网管平台自动发现（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p>
          <w:p w14:paraId="312ED99A">
            <w:pPr>
              <w:keepNext w:val="0"/>
              <w:keepLines w:val="0"/>
              <w:widowControl/>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7、统一用户认证：要求</w:t>
            </w:r>
            <w:r>
              <w:rPr>
                <w:rFonts w:hint="eastAsia" w:ascii="宋体" w:hAnsi="宋体" w:eastAsia="宋体" w:cs="宋体"/>
                <w:sz w:val="24"/>
                <w:szCs w:val="24"/>
                <w:highlight w:val="none"/>
                <w:lang w:val="en-US" w:eastAsia="zh-CN"/>
              </w:rPr>
              <w:t>杭州高级中学临平学校校园网络二期所有无线用户与一期所有无线用户</w:t>
            </w:r>
            <w:r>
              <w:rPr>
                <w:rFonts w:hint="eastAsia" w:ascii="宋体" w:hAnsi="宋体" w:eastAsia="宋体" w:cs="宋体"/>
                <w:sz w:val="24"/>
                <w:szCs w:val="24"/>
                <w:highlight w:val="none"/>
                <w:lang w:eastAsia="zh-CN"/>
              </w:rPr>
              <w:t>、杭州高级中学教育集团总校贡院校区</w:t>
            </w:r>
            <w:r>
              <w:rPr>
                <w:rFonts w:hint="eastAsia" w:ascii="宋体" w:hAnsi="宋体" w:eastAsia="宋体" w:cs="宋体"/>
                <w:sz w:val="24"/>
                <w:szCs w:val="24"/>
                <w:highlight w:val="none"/>
              </w:rPr>
              <w:t>实现统一的Portal无感知用户认证，用户在一个校区</w:t>
            </w:r>
            <w:r>
              <w:rPr>
                <w:rFonts w:hint="eastAsia" w:ascii="宋体" w:hAnsi="宋体" w:eastAsia="宋体" w:cs="宋体"/>
                <w:sz w:val="24"/>
                <w:szCs w:val="24"/>
                <w:highlight w:val="none"/>
                <w:lang w:val="en-US" w:eastAsia="zh-CN"/>
              </w:rPr>
              <w:t>内一次认证即可，且一次</w:t>
            </w:r>
            <w:r>
              <w:rPr>
                <w:rFonts w:hint="eastAsia" w:ascii="宋体" w:hAnsi="宋体" w:eastAsia="宋体" w:cs="宋体"/>
                <w:sz w:val="24"/>
                <w:szCs w:val="24"/>
                <w:highlight w:val="none"/>
              </w:rPr>
              <w:t>认证通过之后到其他校区无需再次进行重复认证（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p>
        </w:tc>
      </w:tr>
      <w:tr w14:paraId="79B03A73">
        <w:tblPrEx>
          <w:tblCellMar>
            <w:top w:w="0" w:type="dxa"/>
            <w:left w:w="108" w:type="dxa"/>
            <w:bottom w:w="0" w:type="dxa"/>
            <w:right w:w="108" w:type="dxa"/>
          </w:tblCellMar>
        </w:tblPrEx>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6E8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562D">
            <w:pPr>
              <w:keepNext w:val="0"/>
              <w:keepLines w:val="0"/>
              <w:widowControl/>
              <w:suppressLineNumbers w:val="0"/>
              <w:adjustRightInd/>
              <w:spacing w:before="0" w:beforeAutospacing="0" w:after="0" w:afterAutospacing="0"/>
              <w:ind w:left="0" w:leftChars="0" w:right="0" w:rightChars="0"/>
              <w:jc w:val="left"/>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室外型WiFi 6无线AP</w:t>
            </w: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C03D">
            <w:pPr>
              <w:keepNext w:val="0"/>
              <w:keepLines w:val="0"/>
              <w:widowControl/>
              <w:numPr>
                <w:ilvl w:val="0"/>
                <w:numId w:val="0"/>
              </w:numPr>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1、工作模式：为保证整机接入用户数，要求AP采用双射频设计，可同时工作在802.11a/b/g/n/ac/ac wave2/ax模式；</w:t>
            </w:r>
            <w:r>
              <w:rPr>
                <w:rFonts w:hint="eastAsia" w:ascii="宋体" w:hAnsi="宋体" w:eastAsia="宋体" w:cs="宋体"/>
                <w:color w:val="auto"/>
                <w:kern w:val="0"/>
                <w:sz w:val="24"/>
                <w:szCs w:val="24"/>
                <w:highlight w:val="none"/>
                <w:lang w:val="en-US" w:eastAsia="zh-CN"/>
              </w:rPr>
              <w:t>设备</w:t>
            </w:r>
            <w:r>
              <w:rPr>
                <w:rFonts w:hint="eastAsia" w:ascii="宋体" w:hAnsi="宋体" w:eastAsia="宋体" w:cs="宋体"/>
                <w:color w:val="auto"/>
                <w:kern w:val="0"/>
                <w:sz w:val="24"/>
                <w:szCs w:val="24"/>
                <w:highlight w:val="none"/>
              </w:rPr>
              <w:t>内置高增益定向天线，也支持外置可扩展天线，实现全向天线信号覆盖或更高增益定向天线，有效解决室外等恶劣环境场景不同WLAN覆盖需求，具备IP68防水防尘等级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上述参数支持通过官网以不登录的方式公开查询到；</w:t>
            </w:r>
          </w:p>
          <w:p w14:paraId="37590581">
            <w:pPr>
              <w:keepNext w:val="0"/>
              <w:keepLines w:val="0"/>
              <w:widowControl/>
              <w:numPr>
                <w:ilvl w:val="0"/>
                <w:numId w:val="0"/>
              </w:numPr>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2、协商速率：双频4流设计，整机接入速率≥2.4Gbps</w:t>
            </w:r>
          </w:p>
          <w:p w14:paraId="702FCA1B">
            <w:pPr>
              <w:keepNext w:val="0"/>
              <w:keepLines w:val="0"/>
              <w:widowControl/>
              <w:numPr>
                <w:ilvl w:val="0"/>
                <w:numId w:val="0"/>
              </w:numPr>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3、接口设计：支持≥3个接口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包含</w:t>
            </w:r>
            <w:r>
              <w:rPr>
                <w:rFonts w:hint="eastAsia" w:ascii="宋体" w:hAnsi="宋体" w:eastAsia="宋体" w:cs="宋体"/>
                <w:color w:val="auto"/>
                <w:kern w:val="0"/>
                <w:sz w:val="24"/>
                <w:szCs w:val="24"/>
                <w:highlight w:val="none"/>
              </w:rPr>
              <w:t>≥1个10/100/1000M光口接口，≥2个100/1000M电口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设备</w:t>
            </w:r>
            <w:r>
              <w:rPr>
                <w:rFonts w:hint="eastAsia" w:ascii="宋体" w:hAnsi="宋体" w:eastAsia="宋体" w:cs="宋体"/>
                <w:color w:val="auto"/>
                <w:kern w:val="0"/>
                <w:sz w:val="24"/>
                <w:szCs w:val="24"/>
                <w:highlight w:val="none"/>
              </w:rPr>
              <w:t>支持PoE out对外供电，可用于扩展物联网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上述参数支持通过官网以不登录的方式公开查询到；</w:t>
            </w:r>
          </w:p>
          <w:p w14:paraId="78B9D54F">
            <w:pPr>
              <w:keepNext w:val="0"/>
              <w:keepLines w:val="0"/>
              <w:widowControl/>
              <w:numPr>
                <w:ilvl w:val="0"/>
                <w:numId w:val="0"/>
              </w:numPr>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、物联网扩展能力：内置蓝牙5.1、RFID、Zigbee</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支持链式物联网扩展能力，支持≥5个BLE、RFID、ZigBee等全制式物联网扩展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上述参数支持通过官网以不登录的方式公开查询到；</w:t>
            </w:r>
          </w:p>
          <w:p w14:paraId="519617D8">
            <w:pPr>
              <w:keepNext w:val="0"/>
              <w:keepLines w:val="0"/>
              <w:widowControl/>
              <w:numPr>
                <w:ilvl w:val="0"/>
                <w:numId w:val="0"/>
              </w:numPr>
              <w:suppressLineNumbers w:val="0"/>
              <w:adjustRightInd/>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统一运维管理：要求投标设备可由</w:t>
            </w:r>
            <w:r>
              <w:rPr>
                <w:rFonts w:hint="eastAsia" w:ascii="宋体" w:hAnsi="宋体" w:eastAsia="宋体" w:cs="宋体"/>
                <w:color w:val="auto"/>
                <w:sz w:val="24"/>
                <w:szCs w:val="24"/>
                <w:highlight w:val="none"/>
                <w:lang w:eastAsia="zh-CN"/>
              </w:rPr>
              <w:t>杭州高级中学临平学校</w:t>
            </w:r>
            <w:r>
              <w:rPr>
                <w:rFonts w:hint="eastAsia" w:ascii="宋体" w:hAnsi="宋体" w:eastAsia="宋体" w:cs="宋体"/>
                <w:color w:val="auto"/>
                <w:sz w:val="24"/>
                <w:szCs w:val="24"/>
                <w:highlight w:val="none"/>
              </w:rPr>
              <w:t>本次招标的移动运维平台统一管理，也可由</w:t>
            </w:r>
            <w:r>
              <w:rPr>
                <w:rFonts w:hint="eastAsia" w:ascii="宋体" w:hAnsi="宋体" w:eastAsia="宋体" w:cs="宋体"/>
                <w:color w:val="auto"/>
                <w:sz w:val="24"/>
                <w:szCs w:val="24"/>
                <w:highlight w:val="none"/>
                <w:lang w:eastAsia="zh-CN"/>
              </w:rPr>
              <w:t>杭州高级中学教育集团总校贡院校区</w:t>
            </w:r>
            <w:r>
              <w:rPr>
                <w:rFonts w:hint="eastAsia" w:ascii="宋体" w:hAnsi="宋体" w:eastAsia="宋体" w:cs="宋体"/>
                <w:color w:val="auto"/>
                <w:sz w:val="24"/>
                <w:szCs w:val="24"/>
                <w:highlight w:val="none"/>
              </w:rPr>
              <w:t>现有网络运维平台统一管理，能够进行图形化可视管理，如显示设备的面板，在面板上能够开启和关闭网络端口，修改设备配置，显示流量等，能够被网管平台自动发现（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p>
          <w:p w14:paraId="5B3AA495">
            <w:pPr>
              <w:keepNext w:val="0"/>
              <w:keepLines w:val="0"/>
              <w:widowControl/>
              <w:numPr>
                <w:ilvl w:val="0"/>
                <w:numId w:val="0"/>
              </w:numPr>
              <w:suppressLineNumbers w:val="0"/>
              <w:adjustRightInd/>
              <w:spacing w:before="0" w:beforeAutospacing="0" w:after="0" w:afterAutospacing="0"/>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sz w:val="24"/>
                <w:szCs w:val="24"/>
                <w:highlight w:val="none"/>
                <w:lang w:val="en-US" w:eastAsia="zh-CN"/>
              </w:rPr>
              <w:t>统一用户认证：要求杭州高级中学临平学校无线用户与杭州高级中学教育集团总校贡院校区实现统一的Portal无感知用户认证，用户在一个校区认证通过之后到其他校区无需再次进行重复认证（可兼容的提供证明材料）；如无法满足兼容性，可对所有涉及到的设备及平台进行替换或改造（如网络运维平台及其所管理的设备及业务系统），替换或改造后设备所有参数均不得低于现有设备（投标标的清单中须列明替换清单和数量，费用含在总报价中）。</w:t>
            </w:r>
          </w:p>
        </w:tc>
      </w:tr>
    </w:tbl>
    <w:p w14:paraId="5B4B3499">
      <w:pPr>
        <w:numPr>
          <w:ilvl w:val="0"/>
          <w:numId w:val="0"/>
        </w:numPr>
        <w:rPr>
          <w:rFonts w:hint="eastAsia" w:ascii="宋体" w:hAnsi="宋体" w:eastAsia="宋体" w:cs="宋体"/>
          <w:sz w:val="24"/>
          <w:highlight w:val="none"/>
          <w:lang w:val="en-US" w:eastAsia="zh-CN"/>
        </w:rPr>
      </w:pPr>
    </w:p>
    <w:p w14:paraId="2104F724">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4）校园网络管理平台详细参数要求</w:t>
      </w:r>
    </w:p>
    <w:tbl>
      <w:tblPr>
        <w:tblStyle w:val="17"/>
        <w:tblW w:w="4999" w:type="pct"/>
        <w:tblInd w:w="0" w:type="dxa"/>
        <w:tblLayout w:type="autofit"/>
        <w:tblCellMar>
          <w:top w:w="0" w:type="dxa"/>
          <w:left w:w="108" w:type="dxa"/>
          <w:bottom w:w="0" w:type="dxa"/>
          <w:right w:w="108" w:type="dxa"/>
        </w:tblCellMar>
      </w:tblPr>
      <w:tblGrid>
        <w:gridCol w:w="509"/>
        <w:gridCol w:w="1035"/>
        <w:gridCol w:w="7743"/>
      </w:tblGrid>
      <w:tr w14:paraId="5A938BDA">
        <w:tblPrEx>
          <w:tblCellMar>
            <w:top w:w="0" w:type="dxa"/>
            <w:left w:w="108" w:type="dxa"/>
            <w:bottom w:w="0" w:type="dxa"/>
            <w:right w:w="108" w:type="dxa"/>
          </w:tblCellMar>
        </w:tblPrEx>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FAED">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highlight w:val="none"/>
                <w:lang w:bidi="ar"/>
              </w:rPr>
            </w:pPr>
            <w:r>
              <w:rPr>
                <w:rFonts w:hint="eastAsia" w:ascii="宋体" w:hAnsi="宋体" w:eastAsia="宋体" w:cs="宋体"/>
                <w:b/>
                <w:bCs/>
                <w:kern w:val="0"/>
                <w:sz w:val="24"/>
                <w:szCs w:val="24"/>
                <w:highlight w:val="none"/>
              </w:rPr>
              <w:t>序号</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1673">
            <w:pPr>
              <w:keepNext w:val="0"/>
              <w:keepLines w:val="0"/>
              <w:widowControl/>
              <w:suppressLineNumbers w:val="0"/>
              <w:adjustRightInd/>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设备</w:t>
            </w:r>
          </w:p>
        </w:tc>
        <w:tc>
          <w:tcPr>
            <w:tcW w:w="4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40AF">
            <w:pPr>
              <w:keepNext w:val="0"/>
              <w:keepLines w:val="0"/>
              <w:widowControl/>
              <w:suppressLineNumbers w:val="0"/>
              <w:adjustRightInd/>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技术参数要求</w:t>
            </w:r>
          </w:p>
        </w:tc>
      </w:tr>
      <w:tr w14:paraId="49C88C2C">
        <w:tblPrEx>
          <w:tblCellMar>
            <w:top w:w="0" w:type="dxa"/>
            <w:left w:w="108" w:type="dxa"/>
            <w:bottom w:w="0" w:type="dxa"/>
            <w:right w:w="108" w:type="dxa"/>
          </w:tblCellMar>
        </w:tblPrEx>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47D6">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E9A0">
            <w:pPr>
              <w:keepNext w:val="0"/>
              <w:keepLines w:val="0"/>
              <w:widowControl/>
              <w:suppressLineNumbers w:val="0"/>
              <w:adjustRightInd/>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校园网络管理平台</w:t>
            </w:r>
          </w:p>
        </w:tc>
        <w:tc>
          <w:tcPr>
            <w:tcW w:w="4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4229">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1、网络一体化运维平台，管理员可以首页中通过拖拽，自定义需要在首页展示页面，同时支持Widget扩展；</w:t>
            </w:r>
            <w:r>
              <w:rPr>
                <w:rFonts w:hint="eastAsia" w:ascii="宋体" w:hAnsi="宋体" w:eastAsia="宋体" w:cs="宋体"/>
                <w:sz w:val="24"/>
                <w:szCs w:val="24"/>
                <w:highlight w:val="none"/>
                <w:lang w:val="en-US" w:eastAsia="zh-CN"/>
              </w:rPr>
              <w:t>可支持对一期二期项目所有</w:t>
            </w:r>
            <w:r>
              <w:rPr>
                <w:rFonts w:hint="eastAsia" w:ascii="宋体" w:hAnsi="宋体" w:eastAsia="宋体" w:cs="宋体"/>
                <w:sz w:val="24"/>
                <w:szCs w:val="24"/>
                <w:highlight w:val="none"/>
              </w:rPr>
              <w:t>核心交换机、接入交换机、无线控制器、无线AP等设备</w:t>
            </w:r>
            <w:r>
              <w:rPr>
                <w:rFonts w:hint="eastAsia" w:ascii="宋体" w:hAnsi="宋体" w:eastAsia="宋体" w:cs="宋体"/>
                <w:sz w:val="24"/>
                <w:szCs w:val="24"/>
                <w:highlight w:val="none"/>
                <w:lang w:val="en-US" w:eastAsia="zh-CN"/>
              </w:rPr>
              <w:t>的本地化统一</w:t>
            </w:r>
            <w:r>
              <w:rPr>
                <w:rFonts w:hint="eastAsia" w:ascii="宋体" w:hAnsi="宋体" w:eastAsia="宋体" w:cs="宋体"/>
                <w:sz w:val="24"/>
                <w:szCs w:val="24"/>
                <w:highlight w:val="none"/>
              </w:rPr>
              <w:t>管理；</w:t>
            </w:r>
          </w:p>
          <w:p w14:paraId="2198B395">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支持设备面板的显示、定时刷新、面板缩放功能，通过面板管理，网络管理人员可以直观地看到设备、板卡、端口、指示灯、电源、风扇的工作状态；并提供基于设备面板的设备、单板、端口配置功能，及基于端口的实时性能监控、端口管理、VLAN管理功能。（要求提供功能界面截图）。</w:t>
            </w:r>
          </w:p>
          <w:p w14:paraId="6B1E3DB0">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◆3、支持以路由方式、arp、IPsec VPN、网段、ppp等5种方式自动发现网络设备（要求提供功能界面截图）。</w:t>
            </w:r>
          </w:p>
          <w:p w14:paraId="048D17BF">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4、支持IP拓扑、二层拓扑、自定义拓扑视图（支持网络区域的任意划分、命名、拖拽、折叠和展开）、邻居拓扑、LLDP-MED拓扑、流量拓扑等多种拓扑类型。</w:t>
            </w:r>
          </w:p>
          <w:p w14:paraId="701FB610">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5、系统支持将告警信息转发到设置的E-mail邮箱、移动电话或目的IP地址对应的网管服务器。转发方式分为邮件通知转发、短信通知转发、告警转发、第三方即时通讯软件转发，便于及时通知维护人员。</w:t>
            </w:r>
          </w:p>
          <w:p w14:paraId="0428E088">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6、可以针对单个或者多个网元设备进行实时性能监视，并且支持对于管理员自定义的监视项进行监视，最高支持5秒钟的数据采集间隔。</w:t>
            </w:r>
          </w:p>
          <w:p w14:paraId="3DC7E811">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7、显示设备的当前软件与基线软件的版本信息，并进行变更比较，同时提供恢复设备软件至基线版本的入口链接。审计结果包括：一致、不一致和未知，如果当前配置或基线配置为空，则审计结果为未知。</w:t>
            </w:r>
          </w:p>
          <w:p w14:paraId="28B8A8F2">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8、支持天报表、周报表、月报表、季度报表、半年报表、年报表。可以设定周期性报表的开始时间、失效时间。可以将自身的组织名称和Logo融入到发布的报表中，可以定时生成Email发到指定邮箱。</w:t>
            </w:r>
          </w:p>
          <w:p w14:paraId="77ACE4E7">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9、平台提供有网络基础管理视图、分级管理视图、快捷业务视图。视图切换方便，极大提高菜单易用性。创建操作员时可以指定有权限的视图和默认登录视图。支持用户自定义左树菜单，方便用户定制个性化菜单。</w:t>
            </w:r>
          </w:p>
          <w:p w14:paraId="4B8E5246">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10、可以为不同的操作员设置不同的用户名、密码，并限制操作员或操作员组的管理权限和管理范围，实现操作员分权管理。</w:t>
            </w:r>
          </w:p>
          <w:p w14:paraId="4FBE5AEE">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11、支持对服务器硬件监控采集分布式部署多个采集节点，可根据实际情况弹性扩展。必须具备动态冗余采集方式，当单个采集节点出现故障时，可通过执行脚本的方法将该采集节点上的管理对象分配到其他采集节点上，以保证数据的完整性（要求提供功能界面截图）。</w:t>
            </w:r>
          </w:p>
          <w:p w14:paraId="4ABEDA3A">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12、平台需具备全面性，支持通过带外方式对服务器进行硬件层面的精细化管理，包括服务器序列号、硬件型号、产品ID、风扇状态/风速、温度、电源功率/状态/模式、处理器状态/缓存/速度、内存大小/状态/频率、网卡状态相关信息的监控以及服务器远程控制。同时支持服务器硬件系统事件的采集，包括硬件错误事件，并支持将服务器系统事件转换为运维平台的告警信息（要求提供功能界面截图）。</w:t>
            </w:r>
          </w:p>
          <w:p w14:paraId="6394017E">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◆13、支持通过APP进行远程运维，包含告警概览、资源监控、告警中心、服务管理、消息查询等功能（要求提供功能界面截图）</w:t>
            </w:r>
          </w:p>
          <w:p w14:paraId="330DE449">
            <w:pPr>
              <w:keepNext w:val="0"/>
              <w:keepLines w:val="0"/>
              <w:widowControl/>
              <w:suppressLineNumbers w:val="0"/>
              <w:adjustRightInd/>
              <w:spacing w:before="0" w:beforeAutospacing="0" w:after="0" w:afterAutospacing="0" w:line="3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14、软硬件一体,原厂硬件终端，2U机架式设备，不低于64G</w:t>
            </w:r>
            <w:r>
              <w:rPr>
                <w:rFonts w:hint="eastAsia" w:ascii="宋体" w:hAnsi="宋体" w:eastAsia="宋体" w:cs="宋体"/>
                <w:sz w:val="24"/>
                <w:szCs w:val="24"/>
                <w:highlight w:val="none"/>
                <w:lang w:val="en-US" w:eastAsia="zh-CN"/>
              </w:rPr>
              <w:t>随机存取存储空间</w:t>
            </w:r>
            <w:r>
              <w:rPr>
                <w:rFonts w:hint="eastAsia" w:ascii="宋体" w:hAnsi="宋体" w:eastAsia="宋体" w:cs="宋体"/>
                <w:sz w:val="24"/>
                <w:szCs w:val="24"/>
                <w:highlight w:val="none"/>
              </w:rPr>
              <w:t>、不低于4块600G硬盘存储空间、不少于4个千兆网口，双电源；</w:t>
            </w:r>
          </w:p>
          <w:p w14:paraId="65EF7887">
            <w:pPr>
              <w:keepNext w:val="0"/>
              <w:keepLines w:val="0"/>
              <w:widowControl/>
              <w:suppressLineNumbers w:val="0"/>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15、配置要求：要求实配1000个终端准入认证</w:t>
            </w:r>
            <w:r>
              <w:rPr>
                <w:rFonts w:hint="eastAsia" w:ascii="宋体" w:hAnsi="宋体" w:eastAsia="宋体" w:cs="宋体"/>
                <w:sz w:val="24"/>
                <w:szCs w:val="24"/>
                <w:highlight w:val="none"/>
                <w:lang w:val="en-US" w:eastAsia="zh-CN"/>
              </w:rPr>
              <w:t>并发</w:t>
            </w:r>
            <w:r>
              <w:rPr>
                <w:rFonts w:hint="eastAsia" w:ascii="宋体" w:hAnsi="宋体" w:eastAsia="宋体" w:cs="宋体"/>
                <w:sz w:val="24"/>
                <w:szCs w:val="24"/>
                <w:highlight w:val="none"/>
              </w:rPr>
              <w:t>授权。</w:t>
            </w:r>
          </w:p>
        </w:tc>
      </w:tr>
    </w:tbl>
    <w:p w14:paraId="1F8E19F8">
      <w:pPr>
        <w:rPr>
          <w:rFonts w:hint="eastAsia" w:ascii="宋体" w:hAnsi="宋体" w:eastAsia="宋体" w:cs="宋体"/>
          <w:sz w:val="24"/>
          <w:highlight w:val="none"/>
          <w:lang w:val="en-US" w:eastAsia="zh-CN"/>
        </w:rPr>
      </w:pPr>
    </w:p>
    <w:p w14:paraId="31608527">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5）终端安全管理系统详细参数要求</w:t>
      </w:r>
    </w:p>
    <w:tbl>
      <w:tblPr>
        <w:tblStyle w:val="17"/>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596"/>
        <w:gridCol w:w="1279"/>
        <w:gridCol w:w="7410"/>
      </w:tblGrid>
      <w:tr w14:paraId="696FC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tcBorders>
              <w:tl2br w:val="nil"/>
              <w:tr2bl w:val="nil"/>
            </w:tcBorders>
            <w:shd w:val="clear" w:color="auto" w:fill="auto"/>
            <w:vAlign w:val="center"/>
          </w:tcPr>
          <w:p w14:paraId="4CBBAB2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项目</w:t>
            </w:r>
          </w:p>
        </w:tc>
        <w:tc>
          <w:tcPr>
            <w:tcW w:w="689" w:type="pct"/>
            <w:tcBorders>
              <w:tl2br w:val="nil"/>
              <w:tr2bl w:val="nil"/>
            </w:tcBorders>
            <w:shd w:val="clear" w:color="auto" w:fill="auto"/>
            <w:vAlign w:val="center"/>
          </w:tcPr>
          <w:p w14:paraId="5F35226A">
            <w:pPr>
              <w:keepNext w:val="0"/>
              <w:keepLines w:val="0"/>
              <w:widowControl/>
              <w:suppressLineNumbers w:val="0"/>
              <w:adjustRightInd/>
              <w:spacing w:before="0" w:beforeAutospacing="0" w:after="0" w:afterAutospacing="0"/>
              <w:ind w:left="0" w:right="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color w:val="auto"/>
                <w:kern w:val="0"/>
                <w:sz w:val="24"/>
                <w:szCs w:val="24"/>
                <w:highlight w:val="none"/>
              </w:rPr>
              <w:t>指标项</w:t>
            </w:r>
          </w:p>
        </w:tc>
        <w:tc>
          <w:tcPr>
            <w:tcW w:w="3988" w:type="pct"/>
            <w:tcBorders>
              <w:tl2br w:val="nil"/>
              <w:tr2bl w:val="nil"/>
            </w:tcBorders>
            <w:shd w:val="clear" w:color="auto" w:fill="auto"/>
            <w:vAlign w:val="center"/>
          </w:tcPr>
          <w:p w14:paraId="309DFBF1">
            <w:pPr>
              <w:keepNext w:val="0"/>
              <w:keepLines w:val="0"/>
              <w:widowControl/>
              <w:suppressLineNumbers w:val="0"/>
              <w:adjustRightInd/>
              <w:spacing w:before="0" w:beforeAutospacing="0" w:after="0" w:afterAutospacing="0"/>
              <w:ind w:left="0" w:right="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color w:val="auto"/>
                <w:kern w:val="0"/>
                <w:sz w:val="24"/>
                <w:szCs w:val="24"/>
                <w:highlight w:val="none"/>
              </w:rPr>
              <w:t>指标要求</w:t>
            </w:r>
          </w:p>
        </w:tc>
      </w:tr>
      <w:tr w14:paraId="13EA6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center"/>
          </w:tcPr>
          <w:p w14:paraId="443DA30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兼容要求</w:t>
            </w:r>
          </w:p>
        </w:tc>
        <w:tc>
          <w:tcPr>
            <w:tcW w:w="689" w:type="pct"/>
            <w:vMerge w:val="restart"/>
            <w:tcBorders>
              <w:tl2br w:val="nil"/>
              <w:tr2bl w:val="nil"/>
            </w:tcBorders>
            <w:shd w:val="clear" w:color="auto" w:fill="auto"/>
            <w:vAlign w:val="center"/>
          </w:tcPr>
          <w:p w14:paraId="13B2093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兼容及安全联动要求</w:t>
            </w:r>
          </w:p>
        </w:tc>
        <w:tc>
          <w:tcPr>
            <w:tcW w:w="3988" w:type="pct"/>
            <w:tcBorders>
              <w:tl2br w:val="nil"/>
              <w:tr2bl w:val="nil"/>
            </w:tcBorders>
            <w:shd w:val="clear" w:color="auto" w:fill="auto"/>
            <w:vAlign w:val="center"/>
          </w:tcPr>
          <w:p w14:paraId="19794D10">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终端安全管理系统2</w:t>
            </w:r>
            <w:r>
              <w:rPr>
                <w:rFonts w:hint="eastAsia" w:ascii="宋体" w:hAnsi="宋体" w:eastAsia="宋体" w:cs="宋体"/>
                <w:b/>
                <w:bCs/>
                <w:color w:val="auto"/>
                <w:kern w:val="0"/>
                <w:sz w:val="24"/>
                <w:szCs w:val="24"/>
                <w:highlight w:val="none"/>
              </w:rPr>
              <w:t>0个数据中心终端主机端授权</w:t>
            </w:r>
            <w:r>
              <w:rPr>
                <w:rFonts w:hint="eastAsia" w:ascii="宋体" w:hAnsi="宋体" w:eastAsia="宋体" w:cs="宋体"/>
                <w:b/>
                <w:bCs/>
                <w:color w:val="auto"/>
                <w:kern w:val="0"/>
                <w:sz w:val="24"/>
                <w:szCs w:val="24"/>
                <w:highlight w:val="none"/>
                <w:lang w:eastAsia="zh-CN"/>
              </w:rPr>
              <w:t>；</w:t>
            </w:r>
          </w:p>
          <w:p w14:paraId="7F0956CA">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兼容性要求：可对校园现有终端安全管理系统扩容</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或配置独立平台及授权，要求实现</w:t>
            </w:r>
            <w:r>
              <w:rPr>
                <w:rFonts w:hint="eastAsia" w:ascii="宋体" w:hAnsi="宋体" w:eastAsia="宋体" w:cs="宋体"/>
                <w:b/>
                <w:bCs/>
                <w:color w:val="auto"/>
                <w:kern w:val="0"/>
                <w:sz w:val="24"/>
                <w:szCs w:val="24"/>
                <w:highlight w:val="none"/>
              </w:rPr>
              <w:t>与一期项目终端安全管理系统平台统一运维管理（可兼容的提供证明材料）；如无法满足兼容性，可对所有涉及到的平台及许可进行替换或改造，替换或改造后设备所有参数均不得低于现有设备（</w:t>
            </w:r>
            <w:r>
              <w:rPr>
                <w:rFonts w:hint="eastAsia" w:ascii="宋体" w:hAnsi="宋体" w:eastAsia="宋体" w:cs="宋体"/>
                <w:b/>
                <w:bCs/>
                <w:color w:val="auto"/>
                <w:kern w:val="0"/>
                <w:sz w:val="24"/>
                <w:szCs w:val="24"/>
                <w:highlight w:val="none"/>
                <w:u w:val="none"/>
                <w:lang w:bidi="ar"/>
              </w:rPr>
              <w:t>投标标的清单</w:t>
            </w:r>
            <w:r>
              <w:rPr>
                <w:rFonts w:hint="eastAsia" w:ascii="宋体" w:hAnsi="宋体" w:eastAsia="宋体" w:cs="宋体"/>
                <w:b/>
                <w:bCs/>
                <w:color w:val="auto"/>
                <w:kern w:val="0"/>
                <w:sz w:val="24"/>
                <w:szCs w:val="24"/>
                <w:highlight w:val="none"/>
                <w:lang w:val="en-US"/>
              </w:rPr>
              <w:t>中须列明替换清单和数量</w:t>
            </w:r>
            <w:r>
              <w:rPr>
                <w:rFonts w:hint="eastAsia" w:ascii="宋体" w:hAnsi="宋体" w:eastAsia="宋体" w:cs="宋体"/>
                <w:b/>
                <w:bCs/>
                <w:color w:val="auto"/>
                <w:kern w:val="0"/>
                <w:sz w:val="24"/>
                <w:szCs w:val="24"/>
                <w:highlight w:val="none"/>
                <w:lang w:val="en-US" w:eastAsia="zh-CN"/>
              </w:rPr>
              <w:t>，费用含在总报价中</w:t>
            </w:r>
            <w:r>
              <w:rPr>
                <w:rFonts w:hint="eastAsia" w:ascii="宋体" w:hAnsi="宋体" w:eastAsia="宋体" w:cs="宋体"/>
                <w:b/>
                <w:bCs/>
                <w:color w:val="auto"/>
                <w:kern w:val="0"/>
                <w:sz w:val="24"/>
                <w:szCs w:val="24"/>
                <w:highlight w:val="none"/>
              </w:rPr>
              <w:t>）。</w:t>
            </w:r>
          </w:p>
        </w:tc>
      </w:tr>
      <w:tr w14:paraId="24EFA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52C739C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kern w:val="0"/>
                <w:sz w:val="24"/>
                <w:szCs w:val="24"/>
                <w:highlight w:val="none"/>
                <w:lang w:val="en-US" w:eastAsia="zh-CN" w:bidi="ar"/>
              </w:rPr>
            </w:pPr>
          </w:p>
        </w:tc>
        <w:tc>
          <w:tcPr>
            <w:tcW w:w="689" w:type="pct"/>
            <w:vMerge w:val="continue"/>
            <w:tcBorders>
              <w:tl2br w:val="nil"/>
              <w:tr2bl w:val="nil"/>
            </w:tcBorders>
            <w:shd w:val="clear" w:color="auto" w:fill="auto"/>
            <w:vAlign w:val="center"/>
          </w:tcPr>
          <w:p w14:paraId="3C6C458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p>
        </w:tc>
        <w:tc>
          <w:tcPr>
            <w:tcW w:w="3988" w:type="pct"/>
            <w:tcBorders>
              <w:tl2br w:val="nil"/>
              <w:tr2bl w:val="nil"/>
            </w:tcBorders>
            <w:shd w:val="clear" w:color="auto" w:fill="auto"/>
            <w:vAlign w:val="center"/>
          </w:tcPr>
          <w:p w14:paraId="3883A519">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要求终端安全管理系统</w:t>
            </w:r>
            <w:r>
              <w:rPr>
                <w:rFonts w:hint="eastAsia" w:ascii="宋体" w:hAnsi="宋体" w:eastAsia="宋体" w:cs="宋体"/>
                <w:b/>
                <w:bCs/>
                <w:color w:val="auto"/>
                <w:kern w:val="0"/>
                <w:sz w:val="24"/>
                <w:szCs w:val="24"/>
                <w:highlight w:val="none"/>
              </w:rPr>
              <w:t>与校园现有上网行为管理设备实现安全联动，在上网行为管理管理界面下发快速查杀任务，并查看任务状态，结果并进行处置；可实现在该上网行为管理设备管理界面下发一键隔离指令，对终端恶意文件进行隔离，防止病毒进一步扩（可兼容的提供证明材料）；如无法满足兼容性，可对所有涉及到的</w:t>
            </w:r>
            <w:r>
              <w:rPr>
                <w:rFonts w:hint="eastAsia" w:ascii="宋体" w:hAnsi="宋体" w:eastAsia="宋体" w:cs="宋体"/>
                <w:b/>
                <w:bCs/>
                <w:color w:val="auto"/>
                <w:kern w:val="0"/>
                <w:sz w:val="24"/>
                <w:szCs w:val="24"/>
                <w:highlight w:val="none"/>
                <w:lang w:val="en-US" w:eastAsia="zh-CN"/>
              </w:rPr>
              <w:t>设备系统</w:t>
            </w:r>
            <w:r>
              <w:rPr>
                <w:rFonts w:hint="eastAsia" w:ascii="宋体" w:hAnsi="宋体" w:eastAsia="宋体" w:cs="宋体"/>
                <w:b/>
                <w:bCs/>
                <w:color w:val="auto"/>
                <w:kern w:val="0"/>
                <w:sz w:val="24"/>
                <w:szCs w:val="24"/>
                <w:highlight w:val="none"/>
              </w:rPr>
              <w:t>进行替换或改造，替换或改造后设备所有参数均不得低于现有设备（</w:t>
            </w:r>
            <w:r>
              <w:rPr>
                <w:rFonts w:hint="eastAsia" w:ascii="宋体" w:hAnsi="宋体" w:eastAsia="宋体" w:cs="宋体"/>
                <w:b/>
                <w:bCs/>
                <w:color w:val="auto"/>
                <w:kern w:val="0"/>
                <w:sz w:val="24"/>
                <w:szCs w:val="24"/>
                <w:highlight w:val="none"/>
                <w:u w:val="none"/>
                <w:lang w:bidi="ar"/>
              </w:rPr>
              <w:t>投标标的清单</w:t>
            </w:r>
            <w:r>
              <w:rPr>
                <w:rFonts w:hint="eastAsia" w:ascii="宋体" w:hAnsi="宋体" w:eastAsia="宋体" w:cs="宋体"/>
                <w:b/>
                <w:bCs/>
                <w:color w:val="auto"/>
                <w:kern w:val="0"/>
                <w:sz w:val="24"/>
                <w:szCs w:val="24"/>
                <w:highlight w:val="none"/>
                <w:lang w:val="en-US"/>
              </w:rPr>
              <w:t>中须列明替换清单和数量</w:t>
            </w:r>
            <w:r>
              <w:rPr>
                <w:rFonts w:hint="eastAsia" w:ascii="宋体" w:hAnsi="宋体" w:eastAsia="宋体" w:cs="宋体"/>
                <w:b/>
                <w:bCs/>
                <w:color w:val="auto"/>
                <w:kern w:val="0"/>
                <w:sz w:val="24"/>
                <w:szCs w:val="24"/>
                <w:highlight w:val="none"/>
                <w:lang w:val="en-US" w:eastAsia="zh-CN"/>
              </w:rPr>
              <w:t>，费用含在总报价中</w:t>
            </w:r>
            <w:r>
              <w:rPr>
                <w:rFonts w:hint="eastAsia" w:ascii="宋体" w:hAnsi="宋体" w:eastAsia="宋体" w:cs="宋体"/>
                <w:b/>
                <w:bCs/>
                <w:color w:val="auto"/>
                <w:kern w:val="0"/>
                <w:sz w:val="24"/>
                <w:szCs w:val="24"/>
                <w:highlight w:val="none"/>
              </w:rPr>
              <w:t>）。</w:t>
            </w:r>
          </w:p>
        </w:tc>
      </w:tr>
      <w:tr w14:paraId="01381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36" w:hRule="atLeast"/>
        </w:trPr>
        <w:tc>
          <w:tcPr>
            <w:tcW w:w="5000" w:type="pct"/>
            <w:gridSpan w:val="3"/>
            <w:tcBorders>
              <w:tl2br w:val="nil"/>
              <w:tr2bl w:val="nil"/>
            </w:tcBorders>
            <w:shd w:val="clear" w:color="auto" w:fill="auto"/>
            <w:vAlign w:val="center"/>
          </w:tcPr>
          <w:p w14:paraId="65FF4A34">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校园现有终端安全管理系统（2024年招标采购）参数如下：</w:t>
            </w:r>
          </w:p>
        </w:tc>
      </w:tr>
      <w:tr w14:paraId="4A973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center"/>
          </w:tcPr>
          <w:p w14:paraId="7A60032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环境要求</w:t>
            </w:r>
          </w:p>
        </w:tc>
        <w:tc>
          <w:tcPr>
            <w:tcW w:w="689" w:type="pct"/>
            <w:tcBorders>
              <w:tl2br w:val="nil"/>
              <w:tr2bl w:val="nil"/>
            </w:tcBorders>
            <w:shd w:val="clear" w:color="auto" w:fill="auto"/>
            <w:vAlign w:val="center"/>
          </w:tcPr>
          <w:p w14:paraId="76A0D5F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产品形态</w:t>
            </w:r>
          </w:p>
        </w:tc>
        <w:tc>
          <w:tcPr>
            <w:tcW w:w="3988" w:type="pct"/>
            <w:tcBorders>
              <w:tl2br w:val="nil"/>
              <w:tr2bl w:val="nil"/>
            </w:tcBorders>
            <w:shd w:val="clear" w:color="auto" w:fill="auto"/>
            <w:vAlign w:val="center"/>
          </w:tcPr>
          <w:p w14:paraId="5933F79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产品可以纯软件交付，包含管理控制中心软件及终端客户端软件，其中管理控制中心可云化部署；同时也支持硬件管理平台交付。</w:t>
            </w:r>
            <w:r>
              <w:rPr>
                <w:rFonts w:hint="eastAsia" w:ascii="宋体" w:hAnsi="宋体" w:eastAsia="宋体" w:cs="宋体"/>
                <w:b w:val="0"/>
                <w:bCs w:val="0"/>
                <w:i w:val="0"/>
                <w:iCs w:val="0"/>
                <w:color w:val="auto"/>
                <w:kern w:val="0"/>
                <w:sz w:val="24"/>
                <w:szCs w:val="24"/>
                <w:highlight w:val="none"/>
                <w:lang w:val="en-US" w:eastAsia="zh-CN" w:bidi="ar"/>
              </w:rPr>
              <w:t>实配10个服务器主机端授权。</w:t>
            </w:r>
          </w:p>
        </w:tc>
      </w:tr>
      <w:tr w14:paraId="64042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6C7F1C2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1B67C1A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管理控制中心要求</w:t>
            </w:r>
          </w:p>
        </w:tc>
        <w:tc>
          <w:tcPr>
            <w:tcW w:w="3988" w:type="pct"/>
            <w:tcBorders>
              <w:tl2br w:val="nil"/>
              <w:tr2bl w:val="nil"/>
            </w:tcBorders>
            <w:shd w:val="clear" w:color="auto" w:fill="auto"/>
            <w:vAlign w:val="center"/>
          </w:tcPr>
          <w:p w14:paraId="6389757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管理平台支持在64位的Centos7</w:t>
            </w:r>
            <w:r>
              <w:rPr>
                <w:rFonts w:hint="eastAsia" w:ascii="宋体" w:hAnsi="宋体" w:eastAsia="宋体" w:cs="宋体"/>
                <w:i w:val="0"/>
                <w:iCs w:val="0"/>
                <w:color w:val="auto"/>
                <w:kern w:val="0"/>
                <w:sz w:val="24"/>
                <w:szCs w:val="24"/>
                <w:highlight w:val="none"/>
                <w:lang w:eastAsia="zh-CN" w:bidi="ar"/>
              </w:rPr>
              <w:t>、</w:t>
            </w:r>
            <w:r>
              <w:rPr>
                <w:rFonts w:hint="eastAsia" w:ascii="宋体" w:hAnsi="宋体" w:eastAsia="宋体" w:cs="宋体"/>
                <w:i w:val="0"/>
                <w:iCs w:val="0"/>
                <w:color w:val="auto"/>
                <w:kern w:val="0"/>
                <w:sz w:val="24"/>
                <w:szCs w:val="24"/>
                <w:highlight w:val="none"/>
                <w:lang w:val="en-US" w:eastAsia="zh-CN" w:bidi="ar"/>
              </w:rPr>
              <w:t>ubuntu</w:t>
            </w:r>
            <w:r>
              <w:rPr>
                <w:rFonts w:hint="eastAsia" w:ascii="宋体" w:hAnsi="宋体" w:eastAsia="宋体" w:cs="宋体"/>
                <w:i w:val="0"/>
                <w:iCs w:val="0"/>
                <w:color w:val="auto"/>
                <w:kern w:val="0"/>
                <w:sz w:val="24"/>
                <w:szCs w:val="24"/>
                <w:highlight w:val="none"/>
                <w:lang w:eastAsia="zh-CN" w:bidi="ar"/>
              </w:rPr>
              <w:t>或Windows服务器</w:t>
            </w:r>
            <w:r>
              <w:rPr>
                <w:rFonts w:hint="eastAsia" w:ascii="宋体" w:hAnsi="宋体" w:eastAsia="宋体" w:cs="宋体"/>
                <w:i w:val="0"/>
                <w:iCs w:val="0"/>
                <w:color w:val="auto"/>
                <w:kern w:val="0"/>
                <w:sz w:val="24"/>
                <w:szCs w:val="24"/>
                <w:highlight w:val="none"/>
                <w:lang w:val="en-US" w:eastAsia="zh-CN" w:bidi="ar"/>
              </w:rPr>
              <w:t>操作系统环境部署。</w:t>
            </w:r>
          </w:p>
        </w:tc>
      </w:tr>
      <w:tr w14:paraId="42DA9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top"/>
          </w:tcPr>
          <w:p w14:paraId="774B3F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全网威胁展示</w:t>
            </w:r>
          </w:p>
        </w:tc>
        <w:tc>
          <w:tcPr>
            <w:tcW w:w="689" w:type="pct"/>
            <w:vMerge w:val="restart"/>
            <w:tcBorders>
              <w:tl2br w:val="nil"/>
              <w:tr2bl w:val="nil"/>
            </w:tcBorders>
            <w:shd w:val="clear" w:color="auto" w:fill="auto"/>
            <w:vAlign w:val="center"/>
          </w:tcPr>
          <w:p w14:paraId="5A85606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多维度威胁展示</w:t>
            </w:r>
          </w:p>
        </w:tc>
        <w:tc>
          <w:tcPr>
            <w:tcW w:w="3988" w:type="pct"/>
            <w:tcBorders>
              <w:tl2br w:val="nil"/>
              <w:tr2bl w:val="nil"/>
            </w:tcBorders>
            <w:shd w:val="clear" w:color="auto" w:fill="auto"/>
            <w:vAlign w:val="center"/>
          </w:tcPr>
          <w:p w14:paraId="6C444E6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支持全网风险展示，包括但不限于未处理的勒索病毒数量、暴力破解数量、WebShell后门数量、高危漏洞及其各自影响的终端数量。</w:t>
            </w:r>
          </w:p>
        </w:tc>
      </w:tr>
      <w:tr w14:paraId="7D3D0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top"/>
          </w:tcPr>
          <w:p w14:paraId="1007B14C">
            <w:pPr>
              <w:keepNext w:val="0"/>
              <w:keepLines w:val="0"/>
              <w:widowControl/>
              <w:suppressLineNumbers w:val="0"/>
              <w:spacing w:before="0" w:beforeAutospacing="0" w:after="0" w:afterAutospacing="0"/>
              <w:ind w:left="0" w:right="0"/>
              <w:rPr>
                <w:rFonts w:hint="eastAsia" w:ascii="宋体" w:hAnsi="宋体" w:eastAsia="宋体" w:cs="宋体"/>
                <w:i w:val="0"/>
                <w:iCs w:val="0"/>
                <w:color w:val="auto"/>
                <w:sz w:val="24"/>
                <w:szCs w:val="24"/>
                <w:highlight w:val="none"/>
              </w:rPr>
            </w:pPr>
          </w:p>
        </w:tc>
        <w:tc>
          <w:tcPr>
            <w:tcW w:w="689" w:type="pct"/>
            <w:vMerge w:val="continue"/>
            <w:tcBorders>
              <w:tl2br w:val="nil"/>
              <w:tr2bl w:val="nil"/>
            </w:tcBorders>
            <w:shd w:val="clear" w:color="auto" w:fill="auto"/>
            <w:vAlign w:val="center"/>
          </w:tcPr>
          <w:p w14:paraId="7B99C0E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3988" w:type="pct"/>
            <w:tcBorders>
              <w:tl2br w:val="nil"/>
              <w:tr2bl w:val="nil"/>
            </w:tcBorders>
            <w:shd w:val="clear" w:color="auto" w:fill="auto"/>
            <w:vAlign w:val="center"/>
          </w:tcPr>
          <w:p w14:paraId="26D1E00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提供勒索病毒整体防护体系入口，直观展示最近七天勒索病毒防护效果，包括已处置的勒索病毒数量、已阻止的勒索病毒行为次数、已阻止的未知进程操作次数、已阻止的暴力破解攻击次数。</w:t>
            </w:r>
          </w:p>
        </w:tc>
      </w:tr>
      <w:tr w14:paraId="21C0D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top"/>
          </w:tcPr>
          <w:p w14:paraId="19B4405C">
            <w:pPr>
              <w:keepNext w:val="0"/>
              <w:keepLines w:val="0"/>
              <w:widowControl/>
              <w:suppressLineNumbers w:val="0"/>
              <w:spacing w:before="0" w:beforeAutospacing="0" w:after="0" w:afterAutospacing="0"/>
              <w:ind w:left="0" w:right="0"/>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345121F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云端威胁分析</w:t>
            </w:r>
          </w:p>
        </w:tc>
        <w:tc>
          <w:tcPr>
            <w:tcW w:w="3988" w:type="pct"/>
            <w:tcBorders>
              <w:tl2br w:val="nil"/>
              <w:tr2bl w:val="nil"/>
            </w:tcBorders>
            <w:shd w:val="clear" w:color="auto" w:fill="auto"/>
            <w:vAlign w:val="center"/>
          </w:tcPr>
          <w:p w14:paraId="45B1778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支持跳转链接至云端安全威胁响应系统，针对已发生的威胁提供详细的分析结果，包含威胁分析、网络行为、静态分析、分析环境和影响分析。</w:t>
            </w:r>
          </w:p>
        </w:tc>
      </w:tr>
      <w:tr w14:paraId="21B72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center"/>
          </w:tcPr>
          <w:p w14:paraId="011D3CA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终端配置管理</w:t>
            </w:r>
          </w:p>
        </w:tc>
        <w:tc>
          <w:tcPr>
            <w:tcW w:w="689" w:type="pct"/>
            <w:tcBorders>
              <w:tl2br w:val="nil"/>
              <w:tr2bl w:val="nil"/>
            </w:tcBorders>
            <w:shd w:val="clear" w:color="auto" w:fill="auto"/>
            <w:vAlign w:val="center"/>
          </w:tcPr>
          <w:p w14:paraId="7A200E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影子终端发现</w:t>
            </w:r>
          </w:p>
        </w:tc>
        <w:tc>
          <w:tcPr>
            <w:tcW w:w="3988" w:type="pct"/>
            <w:tcBorders>
              <w:tl2br w:val="nil"/>
              <w:tr2bl w:val="nil"/>
            </w:tcBorders>
            <w:shd w:val="clear" w:color="auto" w:fill="auto"/>
            <w:vAlign w:val="center"/>
          </w:tcPr>
          <w:p w14:paraId="4261975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支持按照扫描网段、扫描方式、扫描协议、扫描端口对终端进行扫描，及时发现尚未纳入管控的终端。</w:t>
            </w:r>
          </w:p>
        </w:tc>
      </w:tr>
      <w:tr w14:paraId="36572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34488D6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vMerge w:val="restart"/>
            <w:tcBorders>
              <w:tl2br w:val="nil"/>
              <w:tr2bl w:val="nil"/>
            </w:tcBorders>
            <w:shd w:val="clear" w:color="auto" w:fill="auto"/>
            <w:vAlign w:val="center"/>
          </w:tcPr>
          <w:p w14:paraId="69BA249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资产管理</w:t>
            </w:r>
          </w:p>
        </w:tc>
        <w:tc>
          <w:tcPr>
            <w:tcW w:w="3988" w:type="pct"/>
            <w:tcBorders>
              <w:tl2br w:val="nil"/>
              <w:tr2bl w:val="nil"/>
            </w:tcBorders>
            <w:shd w:val="clear" w:color="auto" w:fill="auto"/>
            <w:vAlign w:val="center"/>
          </w:tcPr>
          <w:p w14:paraId="04C6DD9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支持全网视角的终端资产统一清点，便于帮助用户快速发现风险面。清点信息包括操作系统、应用软件、监听端口和主机账户，其中操作系统、应用软件和监听端口支持从资产和终端两个视角进行统计和展示</w:t>
            </w:r>
          </w:p>
        </w:tc>
      </w:tr>
      <w:tr w14:paraId="016CB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5846197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vMerge w:val="continue"/>
            <w:tcBorders>
              <w:tl2br w:val="nil"/>
              <w:tr2bl w:val="nil"/>
            </w:tcBorders>
            <w:shd w:val="clear" w:color="auto" w:fill="auto"/>
            <w:vAlign w:val="center"/>
          </w:tcPr>
          <w:p w14:paraId="612E9A3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3988" w:type="pct"/>
            <w:tcBorders>
              <w:tl2br w:val="nil"/>
              <w:tr2bl w:val="nil"/>
            </w:tcBorders>
            <w:shd w:val="clear" w:color="auto" w:fill="auto"/>
            <w:vAlign w:val="center"/>
          </w:tcPr>
          <w:p w14:paraId="13E775A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tc>
      </w:tr>
      <w:tr w14:paraId="066A6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center"/>
          </w:tcPr>
          <w:p w14:paraId="37F6518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系统维护</w:t>
            </w:r>
          </w:p>
        </w:tc>
        <w:tc>
          <w:tcPr>
            <w:tcW w:w="689" w:type="pct"/>
            <w:tcBorders>
              <w:tl2br w:val="nil"/>
              <w:tr2bl w:val="nil"/>
            </w:tcBorders>
            <w:shd w:val="clear" w:color="auto" w:fill="auto"/>
            <w:vAlign w:val="center"/>
          </w:tcPr>
          <w:p w14:paraId="3215949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消息下发</w:t>
            </w:r>
          </w:p>
        </w:tc>
        <w:tc>
          <w:tcPr>
            <w:tcW w:w="3988" w:type="pct"/>
            <w:tcBorders>
              <w:tl2br w:val="nil"/>
              <w:tr2bl w:val="nil"/>
            </w:tcBorders>
            <w:shd w:val="clear" w:color="auto" w:fill="auto"/>
            <w:vAlign w:val="center"/>
          </w:tcPr>
          <w:p w14:paraId="50F511A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支持对在线终端下发实时通知消息</w:t>
            </w:r>
          </w:p>
        </w:tc>
      </w:tr>
      <w:tr w14:paraId="7A254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53E9CD0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5ED8A02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升级管理</w:t>
            </w:r>
          </w:p>
        </w:tc>
        <w:tc>
          <w:tcPr>
            <w:tcW w:w="3988" w:type="pct"/>
            <w:tcBorders>
              <w:tl2br w:val="nil"/>
              <w:tr2bl w:val="nil"/>
            </w:tcBorders>
            <w:shd w:val="clear" w:color="auto" w:fill="auto"/>
            <w:vAlign w:val="center"/>
          </w:tcPr>
          <w:p w14:paraId="64FBEEE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支持客户端的错峰升级或灰度升级，可根据实际情况控制客户端同时升级的最大数量，避免大量终端程序同时更新造成网络拥堵或I/O风暴</w:t>
            </w:r>
          </w:p>
        </w:tc>
      </w:tr>
      <w:tr w14:paraId="7CC43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center"/>
          </w:tcPr>
          <w:p w14:paraId="5589ED78">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威胁防御</w:t>
            </w:r>
          </w:p>
        </w:tc>
        <w:tc>
          <w:tcPr>
            <w:tcW w:w="689" w:type="pct"/>
            <w:tcBorders>
              <w:tl2br w:val="nil"/>
              <w:tr2bl w:val="nil"/>
            </w:tcBorders>
            <w:shd w:val="clear" w:color="auto" w:fill="auto"/>
            <w:vAlign w:val="center"/>
          </w:tcPr>
          <w:p w14:paraId="7F175EE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威胁检测</w:t>
            </w:r>
          </w:p>
        </w:tc>
        <w:tc>
          <w:tcPr>
            <w:tcW w:w="3988" w:type="pct"/>
            <w:tcBorders>
              <w:tl2br w:val="nil"/>
              <w:tr2bl w:val="nil"/>
            </w:tcBorders>
            <w:shd w:val="clear" w:color="auto" w:fill="auto"/>
            <w:vAlign w:val="center"/>
          </w:tcPr>
          <w:p w14:paraId="39E7282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14:paraId="763C33B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支持一键云鉴定服务，提供云端专家+沙箱+多引擎鉴定能力，结合云端威胁情报对已告警的威胁文件再次进行综合研判并给出100%黑白结果，用户可自助对管理平台告警的威胁快速判断是否误报和了解威胁详情。</w:t>
            </w:r>
          </w:p>
        </w:tc>
      </w:tr>
      <w:tr w14:paraId="104AA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007CD805">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4CD27A1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终端自保护</w:t>
            </w:r>
          </w:p>
        </w:tc>
        <w:tc>
          <w:tcPr>
            <w:tcW w:w="3988" w:type="pct"/>
            <w:tcBorders>
              <w:tl2br w:val="nil"/>
              <w:tr2bl w:val="nil"/>
            </w:tcBorders>
            <w:shd w:val="clear" w:color="auto" w:fill="auto"/>
            <w:vAlign w:val="center"/>
          </w:tcPr>
          <w:p w14:paraId="33D8770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支持禁止黑客工具启动，包含：冰刃、xuetr、ProcessHacker、PCHunter、火绒剑、Mimikatz的自启动，可以防止黑客攻击</w:t>
            </w:r>
          </w:p>
        </w:tc>
      </w:tr>
      <w:tr w14:paraId="3C9C8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38724DBA">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53198E5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Webshell事件处理</w:t>
            </w:r>
          </w:p>
        </w:tc>
        <w:tc>
          <w:tcPr>
            <w:tcW w:w="3988" w:type="pct"/>
            <w:tcBorders>
              <w:tl2br w:val="nil"/>
              <w:tr2bl w:val="nil"/>
            </w:tcBorders>
            <w:shd w:val="clear" w:color="auto" w:fill="auto"/>
            <w:vAlign w:val="center"/>
          </w:tcPr>
          <w:p w14:paraId="374A1FC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14:paraId="75B4F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60156AB8">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76677DE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Windows服务器安全加固</w:t>
            </w:r>
          </w:p>
        </w:tc>
        <w:tc>
          <w:tcPr>
            <w:tcW w:w="3988" w:type="pct"/>
            <w:tcBorders>
              <w:tl2br w:val="nil"/>
              <w:tr2bl w:val="nil"/>
            </w:tcBorders>
            <w:shd w:val="clear" w:color="auto" w:fill="auto"/>
            <w:vAlign w:val="center"/>
          </w:tcPr>
          <w:p w14:paraId="497BD8F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支持windows服务器RDP远程登录保护，可开启RDP远程登录二次认证，以防止黑客对服务器的入侵</w:t>
            </w:r>
          </w:p>
        </w:tc>
      </w:tr>
      <w:tr w14:paraId="5A220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69FCFDF1">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vMerge w:val="restart"/>
            <w:tcBorders>
              <w:tl2br w:val="nil"/>
              <w:tr2bl w:val="nil"/>
            </w:tcBorders>
            <w:shd w:val="clear" w:color="auto" w:fill="auto"/>
            <w:vAlign w:val="center"/>
          </w:tcPr>
          <w:p w14:paraId="7C8C318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勒索病毒专防</w:t>
            </w:r>
          </w:p>
        </w:tc>
        <w:tc>
          <w:tcPr>
            <w:tcW w:w="3988" w:type="pct"/>
            <w:tcBorders>
              <w:tl2br w:val="nil"/>
              <w:tr2bl w:val="nil"/>
            </w:tcBorders>
            <w:shd w:val="clear" w:color="auto" w:fill="auto"/>
            <w:vAlign w:val="center"/>
          </w:tcPr>
          <w:p w14:paraId="6BB2BE1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基于勒索病毒攻击过程，建立多维度立体防护机制，提供事前入侵防御-事中反加密-事后检测响应的完整防护体系，展示勒索病毒处置情况，对勒索病毒及变种实现专门有效防御</w:t>
            </w:r>
          </w:p>
        </w:tc>
      </w:tr>
      <w:tr w14:paraId="343A5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5373207F">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vMerge w:val="continue"/>
            <w:tcBorders>
              <w:tl2br w:val="nil"/>
              <w:tr2bl w:val="nil"/>
            </w:tcBorders>
            <w:shd w:val="clear" w:color="auto" w:fill="auto"/>
            <w:vAlign w:val="center"/>
          </w:tcPr>
          <w:p w14:paraId="1731557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3988" w:type="pct"/>
            <w:tcBorders>
              <w:tl2br w:val="nil"/>
              <w:tr2bl w:val="nil"/>
            </w:tcBorders>
            <w:shd w:val="clear" w:color="auto" w:fill="auto"/>
            <w:vAlign w:val="center"/>
          </w:tcPr>
          <w:p w14:paraId="5EB3AB3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支持对勒索入侵的主流方式RDP暴破做全方位保护，包括RDP登录校验、RDP文件加白二次校验等功能</w:t>
            </w:r>
          </w:p>
        </w:tc>
      </w:tr>
      <w:tr w14:paraId="0B2D6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7F41E670">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13B169C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Windows终端合规检查</w:t>
            </w:r>
          </w:p>
        </w:tc>
        <w:tc>
          <w:tcPr>
            <w:tcW w:w="3988" w:type="pct"/>
            <w:tcBorders>
              <w:tl2br w:val="nil"/>
              <w:tr2bl w:val="nil"/>
            </w:tcBorders>
            <w:shd w:val="clear" w:color="auto" w:fill="auto"/>
            <w:vAlign w:val="center"/>
          </w:tcPr>
          <w:p w14:paraId="459C51F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一键式操作对指定终端/终端组进行合规性检查，包括身份鉴别、访问控制、安全审计、剩余信息保护、入侵防范、恶意代码防范，对不合规的检查项提供设置建议，并可视化展示终端的基线合规检查结果</w:t>
            </w:r>
          </w:p>
        </w:tc>
      </w:tr>
      <w:tr w14:paraId="06BA6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0E8C8DA5">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5BBD6C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Linux终端合规检查</w:t>
            </w:r>
          </w:p>
        </w:tc>
        <w:tc>
          <w:tcPr>
            <w:tcW w:w="3988" w:type="pct"/>
            <w:tcBorders>
              <w:tl2br w:val="nil"/>
              <w:tr2bl w:val="nil"/>
            </w:tcBorders>
            <w:shd w:val="clear" w:color="auto" w:fill="auto"/>
            <w:vAlign w:val="center"/>
          </w:tcPr>
          <w:p w14:paraId="5C523F7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一键式操作对指定终端/终端组进行合规性检查，包括身份鉴别、访问控制、安全审计、 SSH策略检测、入侵防范、恶意代码防范，对不合规的检查项提供设置建议，并可视化展示终端的基线合规检查结果</w:t>
            </w:r>
          </w:p>
        </w:tc>
      </w:tr>
      <w:tr w14:paraId="3DEC5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44FEDE22">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0868D6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windows智御</w:t>
            </w:r>
          </w:p>
        </w:tc>
        <w:tc>
          <w:tcPr>
            <w:tcW w:w="3988" w:type="pct"/>
            <w:tcBorders>
              <w:tl2br w:val="nil"/>
              <w:tr2bl w:val="nil"/>
            </w:tcBorders>
            <w:shd w:val="clear" w:color="auto" w:fill="auto"/>
            <w:vAlign w:val="center"/>
          </w:tcPr>
          <w:p w14:paraId="14ABB70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支持对Windows停更的系统提供专项防护，包括0day漏洞防护、文件防护、暴破入侵防护、系统脆弱点识别和风险端口封堵等多项核心功能；</w:t>
            </w:r>
          </w:p>
        </w:tc>
      </w:tr>
      <w:tr w14:paraId="36EED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0DB21046">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7582B9A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威胁处置</w:t>
            </w:r>
          </w:p>
        </w:tc>
        <w:tc>
          <w:tcPr>
            <w:tcW w:w="3988" w:type="pct"/>
            <w:tcBorders>
              <w:tl2br w:val="nil"/>
              <w:tr2bl w:val="nil"/>
            </w:tcBorders>
            <w:shd w:val="clear" w:color="auto" w:fill="auto"/>
            <w:vAlign w:val="center"/>
          </w:tcPr>
          <w:p w14:paraId="5554821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具备强力专杀云端下发通道，支持在管理端批量下发强力专杀工具到内网各终端快速响应终端威胁。</w:t>
            </w:r>
          </w:p>
        </w:tc>
      </w:tr>
      <w:tr w14:paraId="7D2EC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top"/>
          </w:tcPr>
          <w:p w14:paraId="05FE834A">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补丁管理</w:t>
            </w:r>
          </w:p>
        </w:tc>
        <w:tc>
          <w:tcPr>
            <w:tcW w:w="689" w:type="pct"/>
            <w:tcBorders>
              <w:tl2br w:val="nil"/>
              <w:tr2bl w:val="nil"/>
            </w:tcBorders>
            <w:shd w:val="clear" w:color="auto" w:fill="auto"/>
            <w:vAlign w:val="center"/>
          </w:tcPr>
          <w:p w14:paraId="4457492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windows漏洞修复及补丁管理</w:t>
            </w:r>
          </w:p>
        </w:tc>
        <w:tc>
          <w:tcPr>
            <w:tcW w:w="3988" w:type="pct"/>
            <w:tcBorders>
              <w:tl2br w:val="nil"/>
              <w:tr2bl w:val="nil"/>
            </w:tcBorders>
            <w:shd w:val="clear" w:color="auto" w:fill="auto"/>
            <w:vAlign w:val="center"/>
          </w:tcPr>
          <w:p w14:paraId="7B887A9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支持流行Windows高危漏洞的轻补丁免疫防御，支持支持Windows补丁批量一键修复</w:t>
            </w:r>
          </w:p>
        </w:tc>
      </w:tr>
      <w:tr w14:paraId="7B4F4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top"/>
          </w:tcPr>
          <w:p w14:paraId="12140677">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p>
        </w:tc>
        <w:tc>
          <w:tcPr>
            <w:tcW w:w="689" w:type="pct"/>
            <w:tcBorders>
              <w:tl2br w:val="nil"/>
              <w:tr2bl w:val="nil"/>
            </w:tcBorders>
            <w:shd w:val="clear" w:color="auto" w:fill="auto"/>
            <w:vAlign w:val="center"/>
          </w:tcPr>
          <w:p w14:paraId="2C33198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Linux漏洞扫描</w:t>
            </w:r>
          </w:p>
        </w:tc>
        <w:tc>
          <w:tcPr>
            <w:tcW w:w="3988" w:type="pct"/>
            <w:tcBorders>
              <w:tl2br w:val="nil"/>
              <w:tr2bl w:val="nil"/>
            </w:tcBorders>
            <w:shd w:val="clear" w:color="auto" w:fill="auto"/>
            <w:vAlign w:val="center"/>
          </w:tcPr>
          <w:p w14:paraId="1EE5E3B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支持对Linux终端扫描系统漏洞、提供漏洞分析详情和修复建议。</w:t>
            </w:r>
          </w:p>
        </w:tc>
      </w:tr>
      <w:tr w14:paraId="44FE5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center"/>
          </w:tcPr>
          <w:p w14:paraId="1336A26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微隔离</w:t>
            </w:r>
          </w:p>
        </w:tc>
        <w:tc>
          <w:tcPr>
            <w:tcW w:w="689" w:type="pct"/>
            <w:vMerge w:val="restart"/>
            <w:tcBorders>
              <w:tl2br w:val="nil"/>
              <w:tr2bl w:val="nil"/>
            </w:tcBorders>
            <w:shd w:val="clear" w:color="auto" w:fill="auto"/>
            <w:vAlign w:val="center"/>
          </w:tcPr>
          <w:p w14:paraId="43F001A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流量可视</w:t>
            </w:r>
          </w:p>
        </w:tc>
        <w:tc>
          <w:tcPr>
            <w:tcW w:w="3988" w:type="pct"/>
            <w:tcBorders>
              <w:tl2br w:val="nil"/>
              <w:tr2bl w:val="nil"/>
            </w:tcBorders>
            <w:shd w:val="clear" w:color="auto" w:fill="auto"/>
            <w:vAlign w:val="center"/>
          </w:tcPr>
          <w:p w14:paraId="27E1744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服务器详情支持展示服务器的资源状态（CPU占有率、内存占有率和磁盘率）、流量分布Top5、该服务器开放的服务</w:t>
            </w:r>
          </w:p>
        </w:tc>
      </w:tr>
      <w:tr w14:paraId="67CFB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11DDEDD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vMerge w:val="continue"/>
            <w:tcBorders>
              <w:tl2br w:val="nil"/>
              <w:tr2bl w:val="nil"/>
            </w:tcBorders>
            <w:shd w:val="clear" w:color="auto" w:fill="auto"/>
            <w:vAlign w:val="center"/>
          </w:tcPr>
          <w:p w14:paraId="4AF9C9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3988" w:type="pct"/>
            <w:tcBorders>
              <w:tl2br w:val="nil"/>
              <w:tr2bl w:val="nil"/>
            </w:tcBorders>
            <w:shd w:val="clear" w:color="auto" w:fill="auto"/>
            <w:vAlign w:val="center"/>
          </w:tcPr>
          <w:p w14:paraId="75CA672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流量线详情支持展示该流量线对应的控制策略；图形化显示服务器间流量关系，包括访问详情、流量趋势等</w:t>
            </w:r>
          </w:p>
        </w:tc>
      </w:tr>
      <w:tr w14:paraId="4B0F1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tcBorders>
              <w:tl2br w:val="nil"/>
              <w:tr2bl w:val="nil"/>
            </w:tcBorders>
            <w:shd w:val="clear" w:color="auto" w:fill="auto"/>
            <w:vAlign w:val="center"/>
          </w:tcPr>
          <w:p w14:paraId="17DFA21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轻桌管功能</w:t>
            </w:r>
          </w:p>
        </w:tc>
        <w:tc>
          <w:tcPr>
            <w:tcW w:w="689" w:type="pct"/>
            <w:tcBorders>
              <w:tl2br w:val="nil"/>
              <w:tr2bl w:val="nil"/>
            </w:tcBorders>
            <w:shd w:val="clear" w:color="auto" w:fill="auto"/>
            <w:vAlign w:val="center"/>
          </w:tcPr>
          <w:p w14:paraId="2E3E52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远程桌面控制</w:t>
            </w:r>
          </w:p>
        </w:tc>
        <w:tc>
          <w:tcPr>
            <w:tcW w:w="3988" w:type="pct"/>
            <w:tcBorders>
              <w:tl2br w:val="nil"/>
              <w:tr2bl w:val="nil"/>
            </w:tcBorders>
            <w:shd w:val="clear" w:color="auto" w:fill="auto"/>
            <w:vAlign w:val="center"/>
          </w:tcPr>
          <w:p w14:paraId="0B9680C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支持远程控制管控终端桌面的功能，便于管理员能够及时对存在故障的终端进行维护</w:t>
            </w:r>
          </w:p>
        </w:tc>
      </w:tr>
      <w:tr w14:paraId="08346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restart"/>
            <w:tcBorders>
              <w:tl2br w:val="nil"/>
              <w:tr2bl w:val="nil"/>
            </w:tcBorders>
            <w:shd w:val="clear" w:color="auto" w:fill="auto"/>
            <w:vAlign w:val="center"/>
          </w:tcPr>
          <w:p w14:paraId="19CD648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网端响应</w:t>
            </w:r>
          </w:p>
        </w:tc>
        <w:tc>
          <w:tcPr>
            <w:tcW w:w="689" w:type="pct"/>
            <w:tcBorders>
              <w:tl2br w:val="nil"/>
              <w:tr2bl w:val="nil"/>
            </w:tcBorders>
            <w:shd w:val="clear" w:color="auto" w:fill="auto"/>
            <w:vAlign w:val="center"/>
          </w:tcPr>
          <w:p w14:paraId="6D64F0E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全网威胁狩猎</w:t>
            </w:r>
          </w:p>
        </w:tc>
        <w:tc>
          <w:tcPr>
            <w:tcW w:w="3988" w:type="pct"/>
            <w:tcBorders>
              <w:tl2br w:val="nil"/>
              <w:tr2bl w:val="nil"/>
            </w:tcBorders>
            <w:shd w:val="clear" w:color="auto" w:fill="auto"/>
            <w:vAlign w:val="center"/>
          </w:tcPr>
          <w:p w14:paraId="21C69C7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支持基于威胁情报的病毒文件哈希值、行为、域名、网络连接等各项终端系统层、应用层行为数据在全网终端发起搜索，挖掘潜伏攻击，快速定位出全网终端感染该威胁的情况</w:t>
            </w:r>
          </w:p>
        </w:tc>
      </w:tr>
      <w:tr w14:paraId="3DD77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7DDA53D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vMerge w:val="restart"/>
            <w:tcBorders>
              <w:tl2br w:val="nil"/>
              <w:tr2bl w:val="nil"/>
            </w:tcBorders>
            <w:shd w:val="clear" w:color="auto" w:fill="auto"/>
            <w:vAlign w:val="center"/>
          </w:tcPr>
          <w:p w14:paraId="01DA459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云端安全管理平台</w:t>
            </w:r>
          </w:p>
        </w:tc>
        <w:tc>
          <w:tcPr>
            <w:tcW w:w="3988" w:type="pct"/>
            <w:tcBorders>
              <w:tl2br w:val="nil"/>
              <w:tr2bl w:val="nil"/>
            </w:tcBorders>
            <w:shd w:val="clear" w:color="auto" w:fill="auto"/>
            <w:vAlign w:val="center"/>
          </w:tcPr>
          <w:p w14:paraId="7D5035C8">
            <w:pPr>
              <w:keepNext w:val="0"/>
              <w:keepLines w:val="0"/>
              <w:widowControl/>
              <w:suppressLineNumbers w:val="0"/>
              <w:spacing w:before="0" w:beforeAutospacing="0" w:after="0" w:afterAutospacing="0"/>
              <w:ind w:left="0" w:right="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支持与同厂商的云端分析平台进行安全联动，支持管理员在云端分析平台管理界面下发快速查杀任务，并查看任务状态、结果并进行处置</w:t>
            </w:r>
          </w:p>
        </w:tc>
      </w:tr>
      <w:tr w14:paraId="3D59E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414015F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vMerge w:val="continue"/>
            <w:tcBorders>
              <w:tl2br w:val="nil"/>
              <w:tr2bl w:val="nil"/>
            </w:tcBorders>
            <w:shd w:val="clear" w:color="auto" w:fill="auto"/>
            <w:vAlign w:val="center"/>
          </w:tcPr>
          <w:p w14:paraId="5C7E11E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3988" w:type="pct"/>
            <w:tcBorders>
              <w:tl2br w:val="nil"/>
              <w:tr2bl w:val="nil"/>
            </w:tcBorders>
            <w:shd w:val="clear" w:color="auto" w:fill="auto"/>
            <w:vAlign w:val="center"/>
          </w:tcPr>
          <w:p w14:paraId="4F0D0AB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支持将终端安全软件客户端检测出来的恶意文件事件、暴力破解事件、微隔离事件的日志上报到同厂商云端分析平台，云端分析平台进行分析和展示</w:t>
            </w:r>
          </w:p>
        </w:tc>
      </w:tr>
      <w:tr w14:paraId="6725E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34B75B9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vMerge w:val="restart"/>
            <w:tcBorders>
              <w:tl2br w:val="nil"/>
              <w:tr2bl w:val="nil"/>
            </w:tcBorders>
            <w:shd w:val="clear" w:color="auto" w:fill="auto"/>
            <w:vAlign w:val="center"/>
          </w:tcPr>
          <w:p w14:paraId="59CAB68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下一代防火墙的联动响应</w:t>
            </w:r>
          </w:p>
        </w:tc>
        <w:tc>
          <w:tcPr>
            <w:tcW w:w="3988" w:type="pct"/>
            <w:tcBorders>
              <w:tl2br w:val="nil"/>
              <w:tr2bl w:val="nil"/>
            </w:tcBorders>
            <w:shd w:val="clear" w:color="auto" w:fill="auto"/>
            <w:vAlign w:val="center"/>
          </w:tcPr>
          <w:p w14:paraId="427E5CE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支持管理员在同厂商的下一代防火墙管理界面下发快速查杀任务，并查看任务状态，结果并进行处置</w:t>
            </w:r>
          </w:p>
        </w:tc>
      </w:tr>
      <w:tr w14:paraId="441F7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6C34C7B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vMerge w:val="continue"/>
            <w:tcBorders>
              <w:tl2br w:val="nil"/>
              <w:tr2bl w:val="nil"/>
            </w:tcBorders>
            <w:shd w:val="clear" w:color="auto" w:fill="auto"/>
            <w:vAlign w:val="center"/>
          </w:tcPr>
          <w:p w14:paraId="72C335D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3988" w:type="pct"/>
            <w:tcBorders>
              <w:tl2br w:val="nil"/>
              <w:tr2bl w:val="nil"/>
            </w:tcBorders>
            <w:shd w:val="clear" w:color="auto" w:fill="auto"/>
            <w:vAlign w:val="center"/>
          </w:tcPr>
          <w:p w14:paraId="75BA3D0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支持管理员在同厂商的下一代防火墙管理界面下发一键隔离指令，对对终端恶意文件进行隔离，防止病毒进一步扩散</w:t>
            </w:r>
          </w:p>
        </w:tc>
      </w:tr>
      <w:tr w14:paraId="0B207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321" w:type="pct"/>
            <w:vMerge w:val="continue"/>
            <w:tcBorders>
              <w:tl2br w:val="nil"/>
              <w:tr2bl w:val="nil"/>
            </w:tcBorders>
            <w:shd w:val="clear" w:color="auto" w:fill="auto"/>
            <w:vAlign w:val="center"/>
          </w:tcPr>
          <w:p w14:paraId="41299D5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vMerge w:val="continue"/>
            <w:tcBorders>
              <w:tl2br w:val="nil"/>
              <w:tr2bl w:val="nil"/>
            </w:tcBorders>
            <w:shd w:val="clear" w:color="auto" w:fill="auto"/>
            <w:vAlign w:val="center"/>
          </w:tcPr>
          <w:p w14:paraId="3A059E9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3988" w:type="pct"/>
            <w:tcBorders>
              <w:tl2br w:val="nil"/>
              <w:tr2bl w:val="nil"/>
            </w:tcBorders>
            <w:shd w:val="clear" w:color="auto" w:fill="auto"/>
            <w:vAlign w:val="center"/>
          </w:tcPr>
          <w:p w14:paraId="36E8D2C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支持与同厂商的下一代防火墙联动，对僵尸网络进行举证、溯源和联动查杀</w:t>
            </w:r>
          </w:p>
        </w:tc>
      </w:tr>
      <w:tr w14:paraId="5BA03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vMerge w:val="continue"/>
            <w:tcBorders>
              <w:tl2br w:val="nil"/>
              <w:tr2bl w:val="nil"/>
            </w:tcBorders>
            <w:shd w:val="clear" w:color="auto" w:fill="auto"/>
            <w:vAlign w:val="center"/>
          </w:tcPr>
          <w:p w14:paraId="4AB50D0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p>
        </w:tc>
        <w:tc>
          <w:tcPr>
            <w:tcW w:w="689" w:type="pct"/>
            <w:shd w:val="clear" w:color="auto" w:fill="auto"/>
            <w:vAlign w:val="center"/>
          </w:tcPr>
          <w:p w14:paraId="3289475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上网行为管理的联动响应</w:t>
            </w:r>
          </w:p>
        </w:tc>
        <w:tc>
          <w:tcPr>
            <w:tcW w:w="3988" w:type="pct"/>
            <w:shd w:val="clear" w:color="auto" w:fill="auto"/>
            <w:vAlign w:val="center"/>
          </w:tcPr>
          <w:p w14:paraId="6D51893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支持与上网行为管理设备实现安全联动，在上网行为管理管理界面下发快速查杀任务，并查看任务状态，结果并进行处置；可实现在该上网行为管理设备管理界面下发一键隔离指令，对终端恶意文件进行隔离，防止病毒进一步扩；</w:t>
            </w:r>
          </w:p>
        </w:tc>
      </w:tr>
      <w:tr w14:paraId="69159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trPr>
        <w:tc>
          <w:tcPr>
            <w:tcW w:w="321" w:type="pct"/>
            <w:tcBorders>
              <w:tl2br w:val="nil"/>
              <w:tr2bl w:val="nil"/>
            </w:tcBorders>
            <w:shd w:val="clear" w:color="auto" w:fill="auto"/>
            <w:vAlign w:val="top"/>
          </w:tcPr>
          <w:p w14:paraId="3B02D1BA">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资质</w:t>
            </w:r>
          </w:p>
        </w:tc>
        <w:tc>
          <w:tcPr>
            <w:tcW w:w="689" w:type="pct"/>
            <w:tcBorders>
              <w:tl2br w:val="nil"/>
              <w:tr2bl w:val="nil"/>
            </w:tcBorders>
            <w:shd w:val="clear" w:color="auto" w:fill="auto"/>
            <w:vAlign w:val="center"/>
          </w:tcPr>
          <w:p w14:paraId="197C669E">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售后服务要求</w:t>
            </w:r>
          </w:p>
        </w:tc>
        <w:tc>
          <w:tcPr>
            <w:tcW w:w="3988" w:type="pct"/>
            <w:tcBorders>
              <w:tl2br w:val="nil"/>
              <w:tr2bl w:val="nil"/>
            </w:tcBorders>
            <w:shd w:val="clear" w:color="auto" w:fill="auto"/>
            <w:vAlign w:val="center"/>
          </w:tcPr>
          <w:p w14:paraId="228F026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提供原厂软件升级*3年。</w:t>
            </w:r>
          </w:p>
        </w:tc>
      </w:tr>
    </w:tbl>
    <w:p w14:paraId="43AEED37">
      <w:pPr>
        <w:rPr>
          <w:rFonts w:hint="eastAsia" w:ascii="宋体" w:hAnsi="宋体" w:eastAsia="宋体" w:cs="宋体"/>
          <w:sz w:val="24"/>
          <w:highlight w:val="none"/>
          <w:lang w:val="en-US" w:eastAsia="zh-CN"/>
        </w:rPr>
      </w:pPr>
    </w:p>
    <w:p w14:paraId="7BDA966D">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6）综合日志审计系统详细参数要求</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7853"/>
      </w:tblGrid>
      <w:tr w14:paraId="3BBF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2" w:type="pct"/>
            <w:tcBorders>
              <w:tl2br w:val="nil"/>
              <w:tr2bl w:val="nil"/>
            </w:tcBorders>
            <w:shd w:val="clear" w:color="auto" w:fill="auto"/>
            <w:vAlign w:val="center"/>
          </w:tcPr>
          <w:p w14:paraId="07A6ED78">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bookmarkStart w:id="16" w:name="_Hlk55476375"/>
            <w:r>
              <w:rPr>
                <w:rFonts w:hint="eastAsia" w:ascii="宋体" w:hAnsi="宋体" w:eastAsia="宋体" w:cs="宋体"/>
                <w:b/>
                <w:bCs/>
                <w:kern w:val="0"/>
                <w:sz w:val="24"/>
                <w:szCs w:val="24"/>
                <w:highlight w:val="none"/>
              </w:rPr>
              <w:t>技术指标</w:t>
            </w:r>
          </w:p>
        </w:tc>
        <w:tc>
          <w:tcPr>
            <w:tcW w:w="4227" w:type="pct"/>
            <w:tcBorders>
              <w:tl2br w:val="nil"/>
              <w:tr2bl w:val="nil"/>
            </w:tcBorders>
            <w:shd w:val="clear" w:color="auto" w:fill="auto"/>
            <w:vAlign w:val="center"/>
          </w:tcPr>
          <w:p w14:paraId="7FFB1FDC">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指标要求</w:t>
            </w:r>
          </w:p>
        </w:tc>
      </w:tr>
      <w:tr w14:paraId="1E2C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2" w:type="pct"/>
            <w:tcBorders>
              <w:tl2br w:val="nil"/>
              <w:tr2bl w:val="nil"/>
            </w:tcBorders>
            <w:shd w:val="clear" w:color="auto" w:fill="auto"/>
            <w:vAlign w:val="center"/>
          </w:tcPr>
          <w:p w14:paraId="0D1D5E11">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硬件要求</w:t>
            </w:r>
          </w:p>
        </w:tc>
        <w:tc>
          <w:tcPr>
            <w:tcW w:w="4227" w:type="pct"/>
            <w:tcBorders>
              <w:tl2br w:val="nil"/>
              <w:tr2bl w:val="nil"/>
            </w:tcBorders>
            <w:shd w:val="clear" w:color="auto" w:fill="auto"/>
            <w:vAlign w:val="center"/>
          </w:tcPr>
          <w:p w14:paraId="07DAC7E8">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设备高度≤2U，内存≥16G，硬盘≥4T，1个console口，2个USB口，≥6个千兆电口,双电源。</w:t>
            </w:r>
          </w:p>
        </w:tc>
      </w:tr>
      <w:tr w14:paraId="29F1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72" w:type="pct"/>
            <w:tcBorders>
              <w:tl2br w:val="nil"/>
              <w:tr2bl w:val="nil"/>
            </w:tcBorders>
            <w:shd w:val="clear" w:color="auto" w:fill="auto"/>
            <w:vAlign w:val="center"/>
          </w:tcPr>
          <w:p w14:paraId="3860618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性能要求</w:t>
            </w:r>
          </w:p>
        </w:tc>
        <w:tc>
          <w:tcPr>
            <w:tcW w:w="4227" w:type="pct"/>
            <w:tcBorders>
              <w:tl2br w:val="nil"/>
              <w:tr2bl w:val="nil"/>
            </w:tcBorders>
            <w:shd w:val="clear" w:color="auto" w:fill="auto"/>
            <w:vAlign w:val="center"/>
          </w:tcPr>
          <w:p w14:paraId="6F855018">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日志接收性能(EPS)≥3000，日志采集源授权≥50个。</w:t>
            </w:r>
          </w:p>
        </w:tc>
      </w:tr>
      <w:tr w14:paraId="3784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72" w:type="pct"/>
            <w:vMerge w:val="restart"/>
            <w:tcBorders>
              <w:tl2br w:val="nil"/>
              <w:tr2bl w:val="nil"/>
            </w:tcBorders>
            <w:vAlign w:val="center"/>
          </w:tcPr>
          <w:p w14:paraId="03DED0E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资产管理</w:t>
            </w:r>
          </w:p>
        </w:tc>
        <w:tc>
          <w:tcPr>
            <w:tcW w:w="4227" w:type="pct"/>
            <w:tcBorders>
              <w:tl2br w:val="nil"/>
              <w:tr2bl w:val="nil"/>
            </w:tcBorders>
            <w:shd w:val="clear" w:color="auto" w:fill="auto"/>
            <w:vAlign w:val="center"/>
          </w:tcPr>
          <w:p w14:paraId="1E265BBF">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支持添加、修改、删除资产；支持对资产的基本属性如系统类型、版本、型号、IP地址等进行修改，并且资产可以增加自定义属性。</w:t>
            </w:r>
          </w:p>
        </w:tc>
      </w:tr>
      <w:tr w14:paraId="10E4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72" w:type="pct"/>
            <w:vMerge w:val="continue"/>
            <w:tcBorders>
              <w:tl2br w:val="nil"/>
              <w:tr2bl w:val="nil"/>
            </w:tcBorders>
            <w:vAlign w:val="center"/>
          </w:tcPr>
          <w:p w14:paraId="7535FDFE">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tcPr>
          <w:p w14:paraId="07FEC984">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支持资产自发现功能，对自动发现的设备可以进行一键转资产、合并资产、删除操作。（要求提供界面截图）</w:t>
            </w:r>
          </w:p>
        </w:tc>
      </w:tr>
      <w:tr w14:paraId="57CC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72" w:type="pct"/>
            <w:vMerge w:val="continue"/>
            <w:tcBorders>
              <w:tl2br w:val="nil"/>
              <w:tr2bl w:val="nil"/>
            </w:tcBorders>
            <w:vAlign w:val="center"/>
          </w:tcPr>
          <w:p w14:paraId="2124EA6B">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tcPr>
          <w:p w14:paraId="44DC09E3">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支持网站信息管理维护，包括网站名、域名、关联资产IP。</w:t>
            </w:r>
          </w:p>
        </w:tc>
      </w:tr>
      <w:tr w14:paraId="44CF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72" w:type="pct"/>
            <w:vMerge w:val="continue"/>
            <w:tcBorders>
              <w:tl2br w:val="nil"/>
              <w:tr2bl w:val="nil"/>
            </w:tcBorders>
            <w:vAlign w:val="center"/>
          </w:tcPr>
          <w:p w14:paraId="12DB1F88">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044C8E6D">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支持拓扑管理，提供丰富的图元和工具，可以手动构建全网资产拓扑图。</w:t>
            </w:r>
          </w:p>
        </w:tc>
      </w:tr>
      <w:tr w14:paraId="7B38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restart"/>
            <w:tcBorders>
              <w:tl2br w:val="nil"/>
              <w:tr2bl w:val="nil"/>
            </w:tcBorders>
            <w:vAlign w:val="center"/>
          </w:tcPr>
          <w:p w14:paraId="7529D041">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日志采集</w:t>
            </w:r>
          </w:p>
        </w:tc>
        <w:tc>
          <w:tcPr>
            <w:tcW w:w="4227" w:type="pct"/>
            <w:tcBorders>
              <w:tl2br w:val="nil"/>
              <w:tr2bl w:val="nil"/>
            </w:tcBorders>
            <w:shd w:val="clear" w:color="auto" w:fill="auto"/>
            <w:vAlign w:val="center"/>
          </w:tcPr>
          <w:p w14:paraId="6B54D826">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支持Syslog、SOCKET 、SNMP Trap、文件、WMI、日志导入、数据库等方式采集日志。</w:t>
            </w:r>
            <w:r>
              <w:rPr>
                <w:rFonts w:hint="eastAsia" w:ascii="宋体" w:hAnsi="宋体" w:eastAsia="宋体" w:cs="宋体"/>
                <w:kern w:val="0"/>
                <w:sz w:val="24"/>
                <w:szCs w:val="24"/>
                <w:highlight w:val="none"/>
              </w:rPr>
              <w:t>（要求提供界面截图）</w:t>
            </w:r>
          </w:p>
        </w:tc>
      </w:tr>
      <w:tr w14:paraId="302F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5FF0AAEC">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2F8055EF">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支持主流设备日志采集，支持类型不低于360种日志的接入和规范化处理，包括但不限于以下设备，安全设备：启明IPS、深信服行为管理、山石防火墙、天融信防火墙、绿盟WAF等；操作系统：Linux、Windows、</w:t>
            </w:r>
            <w:r>
              <w:rPr>
                <w:rFonts w:hint="eastAsia" w:ascii="宋体" w:hAnsi="宋体" w:eastAsia="宋体" w:cs="宋体"/>
                <w:sz w:val="24"/>
                <w:szCs w:val="24"/>
                <w:highlight w:val="none"/>
                <w:lang w:val="en-US" w:eastAsia="zh-CN"/>
              </w:rPr>
              <w:t>W</w:t>
            </w:r>
            <w:r>
              <w:rPr>
                <w:rFonts w:hint="eastAsia" w:ascii="宋体" w:hAnsi="宋体" w:eastAsia="宋体" w:cs="宋体"/>
                <w:sz w:val="24"/>
                <w:szCs w:val="24"/>
                <w:highlight w:val="none"/>
              </w:rPr>
              <w:t>indows server、Unix等；数据库：Oracle、MySQL、SQLServer等；应用系统：Apache、Tomcat、IIS、weblogic等；网络设备：主流的交换机、路由器、负载均衡等设备如锐捷、华为、H3C、中兴、F5、Cisco等。</w:t>
            </w:r>
          </w:p>
        </w:tc>
      </w:tr>
      <w:tr w14:paraId="6DFD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2AC17AD3">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16AE1CB7">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支持采集日志的过滤、归并、以及聚合展示。</w:t>
            </w:r>
          </w:p>
        </w:tc>
      </w:tr>
      <w:tr w14:paraId="36CA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2AFFD4BB">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7DAA3728">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支持日志采集器在将日志送往审计中心的时候，可以制定传送策略，仅传送符合条件的日志。</w:t>
            </w:r>
          </w:p>
        </w:tc>
      </w:tr>
      <w:tr w14:paraId="0260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restart"/>
            <w:tcBorders>
              <w:tl2br w:val="nil"/>
              <w:tr2bl w:val="nil"/>
            </w:tcBorders>
            <w:vAlign w:val="center"/>
          </w:tcPr>
          <w:p w14:paraId="6092944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日志分析</w:t>
            </w:r>
          </w:p>
        </w:tc>
        <w:tc>
          <w:tcPr>
            <w:tcW w:w="4227" w:type="pct"/>
            <w:tcBorders>
              <w:tl2br w:val="nil"/>
              <w:tr2bl w:val="nil"/>
            </w:tcBorders>
            <w:shd w:val="clear" w:color="auto" w:fill="auto"/>
            <w:vAlign w:val="center"/>
          </w:tcPr>
          <w:p w14:paraId="023D30B0">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系统从不同设备或系统中所获得的各类日志、事件中抽取相关片段准确和完整地映射至安全事件的标准字段，日志处理后的标准化字段粒度至少达到90个字段。（要求提供界面截图）</w:t>
            </w:r>
          </w:p>
        </w:tc>
      </w:tr>
      <w:tr w14:paraId="6A0E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21F92111">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33A8088F">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系统的标准化解析策略具备良好的可扩展性，可以导入、导出定制化的策略。（提供证明截图）</w:t>
            </w:r>
          </w:p>
        </w:tc>
      </w:tr>
      <w:tr w14:paraId="6DFB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2A29F513">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2DC45571">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对安全事件重新定级。能根据统一的安全策略，按照安全设备识别名、事件类别、事件级别等所有可能的条件及各种条件的组合对事件严重级别进行重定义。（要求提供界面截图）</w:t>
            </w:r>
          </w:p>
        </w:tc>
      </w:tr>
      <w:tr w14:paraId="411B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50B9D75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13D07C32">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系统支持提供GUI方式的关联规则设置功能，关联的类型包括基于规则和基于统计的，用来分析不同设备设备或系统的日志或安全事件之间可能存在的关联关系。（要求提供界面截图）</w:t>
            </w:r>
          </w:p>
        </w:tc>
      </w:tr>
      <w:tr w14:paraId="29A7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1713317E">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370F8E65">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系统内置关联规则达100条以上</w:t>
            </w:r>
          </w:p>
        </w:tc>
      </w:tr>
      <w:tr w14:paraId="4D25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6B4FA4B1">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3869105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支持若日志满足系统内置或用户定义的关联策略，将产生关联事件；</w:t>
            </w:r>
          </w:p>
        </w:tc>
      </w:tr>
      <w:tr w14:paraId="64DB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72" w:type="pct"/>
            <w:vMerge w:val="continue"/>
            <w:tcBorders>
              <w:tl2br w:val="nil"/>
              <w:tr2bl w:val="nil"/>
            </w:tcBorders>
            <w:vAlign w:val="center"/>
          </w:tcPr>
          <w:p w14:paraId="154690E9">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4FEF3347">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关联事件管理可以统一监控事件的命中情况，包括来源的设备、事件类型、最近命中时间以及命中总次数等。</w:t>
            </w:r>
          </w:p>
        </w:tc>
      </w:tr>
      <w:tr w14:paraId="4B91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2" w:type="pct"/>
            <w:vMerge w:val="restart"/>
            <w:tcBorders>
              <w:tl2br w:val="nil"/>
              <w:tr2bl w:val="nil"/>
            </w:tcBorders>
            <w:shd w:val="clear" w:color="auto" w:fill="auto"/>
            <w:vAlign w:val="center"/>
          </w:tcPr>
          <w:p w14:paraId="3132A3C3">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日志审计</w:t>
            </w:r>
          </w:p>
        </w:tc>
        <w:tc>
          <w:tcPr>
            <w:tcW w:w="4227" w:type="pct"/>
            <w:tcBorders>
              <w:tl2br w:val="nil"/>
              <w:tr2bl w:val="nil"/>
            </w:tcBorders>
            <w:shd w:val="clear" w:color="auto" w:fill="auto"/>
            <w:vAlign w:val="center"/>
          </w:tcPr>
          <w:p w14:paraId="4B84B88D">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支持显示审计事件分类统计列表，根据审计策略名称、审计事件类型、被审计人员、目标设备地址四个维度展现。（要求提供界面截图）</w:t>
            </w:r>
          </w:p>
        </w:tc>
      </w:tr>
      <w:tr w14:paraId="02CA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1FADB16F">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7FC238B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支持通过事件的任意字段进行自定义审计策略。（提供证明截图）</w:t>
            </w:r>
          </w:p>
        </w:tc>
      </w:tr>
      <w:tr w14:paraId="197B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181AAD20">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07371C62">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审计策略命中后可以定义告警并通过相应方式转发，如：SYSLOG、邮件等。</w:t>
            </w:r>
          </w:p>
        </w:tc>
      </w:tr>
      <w:tr w14:paraId="6A8F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176C3EB1">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3650AF34">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提供预置审计策略模板，包括：Windows主机类审计策略模板、Linux/Unix主机类审计策略模板、防火墙类审计策略模板、扫描器类审计策略模板、IDS/IPS类审计策略模板、防病毒类审计策略模板、数据库系统类审计策略模板、萨班斯审计策略模版、等级保护审计模板等。（要求提供界面截图）</w:t>
            </w:r>
          </w:p>
        </w:tc>
      </w:tr>
      <w:tr w14:paraId="5837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69196D25">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2293EB82">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支持审计对象的定义，包括：审计目标对象、审计行为对象、审计行为执行者对象、审计来源对象、审计时间段对象等。</w:t>
            </w:r>
          </w:p>
        </w:tc>
      </w:tr>
      <w:tr w14:paraId="37F6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63516DDC">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10780209">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系统支持多种类别报表，包括安全事件报表、告警报表、资产报表、审计事件报表、关联事件报表。</w:t>
            </w:r>
          </w:p>
        </w:tc>
      </w:tr>
      <w:tr w14:paraId="7279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2" w:type="pct"/>
            <w:vMerge w:val="restart"/>
            <w:tcBorders>
              <w:tl2br w:val="nil"/>
              <w:tr2bl w:val="nil"/>
            </w:tcBorders>
            <w:vAlign w:val="center"/>
          </w:tcPr>
          <w:p w14:paraId="07A4E15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大屏展示</w:t>
            </w:r>
          </w:p>
        </w:tc>
        <w:tc>
          <w:tcPr>
            <w:tcW w:w="4227" w:type="pct"/>
            <w:tcBorders>
              <w:tl2br w:val="nil"/>
              <w:tr2bl w:val="nil"/>
            </w:tcBorders>
            <w:shd w:val="clear" w:color="auto" w:fill="auto"/>
            <w:vAlign w:val="center"/>
          </w:tcPr>
          <w:p w14:paraId="51316428">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支持全球地理库，能够在世界地图、中国地图展示实时攻击日志的定位源和目的的地理位置信息。</w:t>
            </w:r>
          </w:p>
        </w:tc>
      </w:tr>
      <w:tr w14:paraId="1A8A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2" w:type="pct"/>
            <w:vMerge w:val="continue"/>
            <w:tcBorders>
              <w:tl2br w:val="nil"/>
              <w:tr2bl w:val="nil"/>
            </w:tcBorders>
            <w:vAlign w:val="center"/>
          </w:tcPr>
          <w:p w14:paraId="6C41030E">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790B1BAB">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支持自定义重点资产、重点设备TOP5，统计展示资产风险等级、告警信息级别分布、日志量等。</w:t>
            </w:r>
          </w:p>
        </w:tc>
      </w:tr>
      <w:tr w14:paraId="2580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2" w:type="pct"/>
            <w:vMerge w:val="continue"/>
            <w:tcBorders>
              <w:tl2br w:val="nil"/>
              <w:tr2bl w:val="nil"/>
            </w:tcBorders>
            <w:vAlign w:val="center"/>
          </w:tcPr>
          <w:p w14:paraId="5BF6DBFE">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2F12C6F7">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支持可视化仪表板自定义展示，根据需要自定义选择相应组件，组成想要关注的仪表展示内容，监控大屏态势展示。（要求提供界面截图）</w:t>
            </w:r>
          </w:p>
        </w:tc>
      </w:tr>
      <w:tr w14:paraId="37CE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restart"/>
            <w:tcBorders>
              <w:tl2br w:val="nil"/>
              <w:tr2bl w:val="nil"/>
            </w:tcBorders>
            <w:vAlign w:val="center"/>
          </w:tcPr>
          <w:p w14:paraId="7B95DA48">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管理功能</w:t>
            </w:r>
          </w:p>
        </w:tc>
        <w:tc>
          <w:tcPr>
            <w:tcW w:w="4227" w:type="pct"/>
            <w:tcBorders>
              <w:tl2br w:val="nil"/>
              <w:tr2bl w:val="nil"/>
            </w:tcBorders>
            <w:shd w:val="clear" w:color="auto" w:fill="auto"/>
            <w:vAlign w:val="center"/>
          </w:tcPr>
          <w:p w14:paraId="1350D9D1">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支持集群部署和分级部署。（要求提供界面截图）</w:t>
            </w:r>
          </w:p>
        </w:tc>
      </w:tr>
      <w:tr w14:paraId="55A0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0F96A50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557EC104">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系统全面支持IPV6，支持ipv6系统管理及ipv6资产识别和日志审计。（要求提供界面截图）</w:t>
            </w:r>
          </w:p>
        </w:tc>
      </w:tr>
      <w:tr w14:paraId="27E7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6607CCD7">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3957C483">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14:paraId="6ACE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6AA0D987">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tcPr>
          <w:p w14:paraId="5C8392CA">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支持设置日志存储备份策略，包括系统日志保存期限（天）、磁盘使用率百分比。</w:t>
            </w:r>
          </w:p>
        </w:tc>
      </w:tr>
      <w:tr w14:paraId="69DA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17D12CE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tcPr>
          <w:p w14:paraId="7A8E07AF">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支持日志文件备份到外部存储设备，包括FTP/NFS等方式。</w:t>
            </w:r>
          </w:p>
        </w:tc>
      </w:tr>
      <w:tr w14:paraId="627D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2" w:type="pct"/>
            <w:vMerge w:val="continue"/>
            <w:tcBorders>
              <w:tl2br w:val="nil"/>
              <w:tr2bl w:val="nil"/>
            </w:tcBorders>
            <w:vAlign w:val="center"/>
          </w:tcPr>
          <w:p w14:paraId="2887694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4227" w:type="pct"/>
            <w:tcBorders>
              <w:tl2br w:val="nil"/>
              <w:tr2bl w:val="nil"/>
            </w:tcBorders>
            <w:shd w:val="clear" w:color="auto" w:fill="auto"/>
            <w:vAlign w:val="center"/>
          </w:tcPr>
          <w:p w14:paraId="6C947AEA">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支持系统参数配置，包括syslog服务器、SMTP服务器、短信网关、SNMP Traps、日志保留时间、存储空间管理、登录管理策略、NTP服务配置等。</w:t>
            </w:r>
          </w:p>
        </w:tc>
      </w:tr>
      <w:bookmarkEnd w:id="16"/>
    </w:tbl>
    <w:p w14:paraId="79E27962">
      <w:pPr>
        <w:pStyle w:val="2"/>
        <w:rPr>
          <w:rFonts w:hint="eastAsia" w:ascii="宋体" w:hAnsi="宋体" w:eastAsia="宋体" w:cs="宋体"/>
          <w:sz w:val="24"/>
          <w:szCs w:val="24"/>
          <w:highlight w:val="none"/>
          <w:lang w:val="en-US" w:eastAsia="zh-CN"/>
        </w:rPr>
      </w:pPr>
    </w:p>
    <w:p w14:paraId="5622906A">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7）堡垒机详细参数要求</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7898"/>
      </w:tblGrid>
      <w:tr w14:paraId="40C2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74" w:type="dxa"/>
            <w:tcBorders>
              <w:tl2br w:val="nil"/>
              <w:tr2bl w:val="nil"/>
            </w:tcBorders>
            <w:shd w:val="clear" w:color="auto" w:fill="auto"/>
            <w:noWrap/>
            <w:vAlign w:val="center"/>
          </w:tcPr>
          <w:p w14:paraId="551F4117">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技术指标</w:t>
            </w:r>
          </w:p>
        </w:tc>
        <w:tc>
          <w:tcPr>
            <w:tcW w:w="7251" w:type="dxa"/>
            <w:tcBorders>
              <w:tl2br w:val="nil"/>
              <w:tr2bl w:val="nil"/>
            </w:tcBorders>
            <w:shd w:val="clear" w:color="auto" w:fill="auto"/>
            <w:vAlign w:val="center"/>
          </w:tcPr>
          <w:p w14:paraId="447F8A3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指标要求</w:t>
            </w:r>
          </w:p>
        </w:tc>
      </w:tr>
      <w:tr w14:paraId="298C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tcBorders>
              <w:tl2br w:val="nil"/>
              <w:tr2bl w:val="nil"/>
            </w:tcBorders>
            <w:shd w:val="clear" w:color="auto" w:fill="auto"/>
            <w:vAlign w:val="center"/>
          </w:tcPr>
          <w:p w14:paraId="5F77BBD9">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基本要求</w:t>
            </w:r>
          </w:p>
        </w:tc>
        <w:tc>
          <w:tcPr>
            <w:tcW w:w="4252" w:type="pct"/>
            <w:tcBorders>
              <w:tl2br w:val="nil"/>
              <w:tr2bl w:val="nil"/>
            </w:tcBorders>
            <w:shd w:val="clear" w:color="auto" w:fill="auto"/>
            <w:vAlign w:val="center"/>
          </w:tcPr>
          <w:p w14:paraId="3CB65327">
            <w:pPr>
              <w:keepNext w:val="0"/>
              <w:keepLines w:val="0"/>
              <w:widowControl/>
              <w:suppressLineNumbers w:val="0"/>
              <w:autoSpaceDE w:val="0"/>
              <w:autoSpaceDN w:val="0"/>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设备高度≤1U</w:t>
            </w:r>
            <w:r>
              <w:rPr>
                <w:rFonts w:hint="eastAsia" w:ascii="宋体" w:hAnsi="宋体" w:eastAsia="宋体" w:cs="宋体"/>
                <w:color w:val="000000" w:themeColor="text1"/>
                <w:sz w:val="24"/>
                <w:szCs w:val="24"/>
                <w:highlight w:val="none"/>
                <w14:textFill>
                  <w14:solidFill>
                    <w14:schemeClr w14:val="tx1"/>
                  </w14:solidFill>
                </w14:textFill>
              </w:rPr>
              <w:t>，≥6个千兆电口，≥8G内存，≥128G MSATA硬盘，≥4T硬盘，冗余电源。</w:t>
            </w:r>
          </w:p>
          <w:p w14:paraId="7604914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包含50主机授权，最大字符连接≥100个，最大图型连接≥90个。</w:t>
            </w:r>
          </w:p>
        </w:tc>
      </w:tr>
      <w:tr w14:paraId="76BB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restart"/>
            <w:tcBorders>
              <w:tl2br w:val="nil"/>
              <w:tr2bl w:val="nil"/>
            </w:tcBorders>
            <w:shd w:val="clear" w:color="auto" w:fill="auto"/>
            <w:vAlign w:val="center"/>
          </w:tcPr>
          <w:p w14:paraId="04A06CCF">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身份认证</w:t>
            </w:r>
          </w:p>
        </w:tc>
        <w:tc>
          <w:tcPr>
            <w:tcW w:w="4252" w:type="pct"/>
            <w:tcBorders>
              <w:tl2br w:val="nil"/>
              <w:tr2bl w:val="nil"/>
            </w:tcBorders>
            <w:shd w:val="clear" w:color="auto" w:fill="auto"/>
            <w:vAlign w:val="center"/>
          </w:tcPr>
          <w:p w14:paraId="51F8DA8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系统支持用户多角色划分功能，如系统管理员、密码管理员、审计管理员、部门管理员、运维用户等，对各类角色需要进行细粒度的权限管理。也可自定义角色及权限范围，各角色功能定位明晰，不可越权；</w:t>
            </w:r>
          </w:p>
        </w:tc>
      </w:tr>
      <w:tr w14:paraId="7FD2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65975B95">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2BE18B2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系统支持用户、资产按照部门进行划分，并支持多级部门（无级别限制）机构，各部门机构用户、资产隔离，可根据各级部门机构进行独立管理；</w:t>
            </w:r>
            <w:r>
              <w:rPr>
                <w:rFonts w:hint="eastAsia" w:ascii="宋体" w:hAnsi="宋体" w:eastAsia="宋体" w:cs="宋体"/>
                <w:kern w:val="0"/>
                <w:sz w:val="24"/>
                <w:szCs w:val="24"/>
                <w:highlight w:val="none"/>
              </w:rPr>
              <w:t>（要求提供界面截图）</w:t>
            </w:r>
          </w:p>
        </w:tc>
      </w:tr>
      <w:tr w14:paraId="6B3B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1353672E">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3506460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系统对用户的身份认证需支持采用两种或两种以上组合方式进行身份验证：手机动态令牌认证、LDAP认证、AD域认证等自由组合认证；</w:t>
            </w:r>
          </w:p>
        </w:tc>
      </w:tr>
      <w:tr w14:paraId="016D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restart"/>
            <w:tcBorders>
              <w:tl2br w:val="nil"/>
              <w:tr2bl w:val="nil"/>
            </w:tcBorders>
            <w:shd w:val="clear" w:color="auto" w:fill="auto"/>
            <w:vAlign w:val="center"/>
          </w:tcPr>
          <w:p w14:paraId="33B67427">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资产管理</w:t>
            </w:r>
          </w:p>
        </w:tc>
        <w:tc>
          <w:tcPr>
            <w:tcW w:w="4252" w:type="pct"/>
            <w:tcBorders>
              <w:tl2br w:val="nil"/>
              <w:tr2bl w:val="nil"/>
            </w:tcBorders>
            <w:shd w:val="clear" w:color="auto" w:fill="auto"/>
            <w:vAlign w:val="center"/>
          </w:tcPr>
          <w:p w14:paraId="0179618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支持通过SSH/SFTP/VNC/RDP/HTTPS等协议实现运维对象（Windows、Linux、网络设备、数据库、安全设备、国产化操作系统等）的资源添加及认证登录；</w:t>
            </w:r>
          </w:p>
        </w:tc>
      </w:tr>
      <w:tr w14:paraId="120D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4B63E6FA">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79861C4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支持资产扫描功能，可根据扫描地址（段）、扫描端口、归口部门等信息进行配置扫描，也可实时终止扫描任务，扫描后资产设备可进行一键提交归档，方便用户统一管理；</w:t>
            </w:r>
            <w:r>
              <w:rPr>
                <w:rFonts w:hint="eastAsia" w:ascii="宋体" w:hAnsi="宋体" w:eastAsia="宋体" w:cs="宋体"/>
                <w:kern w:val="0"/>
                <w:sz w:val="24"/>
                <w:szCs w:val="24"/>
                <w:highlight w:val="none"/>
              </w:rPr>
              <w:t>（要求提供界面截图）</w:t>
            </w:r>
          </w:p>
        </w:tc>
      </w:tr>
      <w:tr w14:paraId="31CD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74693B5E">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38E0574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支持对被管理Windows/Linux/网络设备的登录账号进行统一定期、周期修改密码，密码强度可进行配置，并可通过邮件/SFTP/FTP进行即时备份，密码备份文件进行加密处理；（提供产品功能截图）</w:t>
            </w:r>
          </w:p>
        </w:tc>
      </w:tr>
      <w:tr w14:paraId="0BF4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637E922F">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4F9509D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支持端口代理服务， 包括字符代理、ftp代理、Mysql、Redis；</w:t>
            </w:r>
            <w:r>
              <w:rPr>
                <w:rFonts w:hint="eastAsia" w:ascii="宋体" w:hAnsi="宋体" w:eastAsia="宋体" w:cs="宋体"/>
                <w:kern w:val="0"/>
                <w:sz w:val="24"/>
                <w:szCs w:val="24"/>
                <w:highlight w:val="none"/>
              </w:rPr>
              <w:t>（要求提供界面截图）</w:t>
            </w:r>
          </w:p>
        </w:tc>
      </w:tr>
      <w:tr w14:paraId="1E57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438425F3">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4F0B768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系统支持对LINUX系统账号进行自动收集及一键归档保存；（提供产品功能截图）</w:t>
            </w:r>
          </w:p>
        </w:tc>
      </w:tr>
      <w:tr w14:paraId="4DB7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restart"/>
            <w:tcBorders>
              <w:tl2br w:val="nil"/>
              <w:tr2bl w:val="nil"/>
            </w:tcBorders>
            <w:shd w:val="clear" w:color="auto" w:fill="auto"/>
            <w:vAlign w:val="center"/>
          </w:tcPr>
          <w:p w14:paraId="5FA3E7D3">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授权管理</w:t>
            </w:r>
          </w:p>
        </w:tc>
        <w:tc>
          <w:tcPr>
            <w:tcW w:w="4252" w:type="pct"/>
            <w:tcBorders>
              <w:tl2br w:val="nil"/>
              <w:tr2bl w:val="nil"/>
            </w:tcBorders>
            <w:shd w:val="clear" w:color="auto" w:fill="auto"/>
            <w:vAlign w:val="center"/>
          </w:tcPr>
          <w:p w14:paraId="2374E92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支持对人员身份的有效时间段、来源IP进行验证；</w:t>
            </w:r>
          </w:p>
        </w:tc>
      </w:tr>
      <w:tr w14:paraId="3418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14905EA5">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5966310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支持对连续登录失败人员账号进行锁定策略配置；且对锁定账号进行人员账号恢复、自动恢复等功能；</w:t>
            </w:r>
          </w:p>
        </w:tc>
      </w:tr>
      <w:tr w14:paraId="46AE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2B26D884">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494496C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对字符操作（SSH/TELNET协议）的指令/指令集进行控制，通过指令/指令集黑白名单实现对命令的有效管理，指令/指令集对运维账号、资产进行策略关联，命令输入支持正则表达式，可进行策略允许、指令阻断、会话阻断、申请确认等动作；</w:t>
            </w:r>
          </w:p>
        </w:tc>
      </w:tr>
      <w:tr w14:paraId="0630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22E25517">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256A35C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支持管理员新建、查看、编辑、删除运维任务；运维任务支持手动、自动（定期）执行，运维任务包括脚本任务、命令等任务，输出的执行任务日志可导出；</w:t>
            </w:r>
          </w:p>
        </w:tc>
      </w:tr>
      <w:tr w14:paraId="2330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restart"/>
            <w:tcBorders>
              <w:tl2br w:val="nil"/>
              <w:tr2bl w:val="nil"/>
            </w:tcBorders>
            <w:shd w:val="clear" w:color="auto" w:fill="auto"/>
            <w:vAlign w:val="center"/>
          </w:tcPr>
          <w:p w14:paraId="0578700D">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运维管理</w:t>
            </w:r>
          </w:p>
        </w:tc>
        <w:tc>
          <w:tcPr>
            <w:tcW w:w="4252" w:type="pct"/>
            <w:tcBorders>
              <w:tl2br w:val="nil"/>
              <w:tr2bl w:val="nil"/>
            </w:tcBorders>
            <w:shd w:val="clear" w:color="auto" w:fill="auto"/>
            <w:vAlign w:val="center"/>
          </w:tcPr>
          <w:p w14:paraId="25A3273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支持最近常用设备、收藏及批量登录功能，便于用户的快速查询及登录，提高用户登录运维资产效率；</w:t>
            </w:r>
          </w:p>
        </w:tc>
      </w:tr>
      <w:tr w14:paraId="3A22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278A9824">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4832A83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支持通过WEB页面调用XSHELL、SecureCRT、PUTTY等客户端登录目标运维设备；</w:t>
            </w:r>
          </w:p>
        </w:tc>
      </w:tr>
      <w:tr w14:paraId="3181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0A36474D">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67B4115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支持本地字符运维工具通过穿透堡垒机直连SSH/TELNET设备，且支持双因子认证；</w:t>
            </w:r>
          </w:p>
        </w:tc>
      </w:tr>
      <w:tr w14:paraId="1C55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273661AF">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3855947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支持本地数据库运维工具通过堡垒机端口代理对mysql、redis的运维操作；</w:t>
            </w:r>
            <w:r>
              <w:rPr>
                <w:rFonts w:hint="eastAsia" w:ascii="宋体" w:hAnsi="宋体" w:eastAsia="宋体" w:cs="宋体"/>
                <w:kern w:val="0"/>
                <w:sz w:val="24"/>
                <w:szCs w:val="24"/>
                <w:highlight w:val="none"/>
              </w:rPr>
              <w:t>（要求提供界面截图）</w:t>
            </w:r>
          </w:p>
        </w:tc>
      </w:tr>
      <w:tr w14:paraId="5F93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restart"/>
            <w:tcBorders>
              <w:tl2br w:val="nil"/>
              <w:tr2bl w:val="nil"/>
            </w:tcBorders>
            <w:shd w:val="clear" w:color="auto" w:fill="auto"/>
            <w:vAlign w:val="center"/>
          </w:tcPr>
          <w:p w14:paraId="55F7E960">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操作审计</w:t>
            </w:r>
          </w:p>
        </w:tc>
        <w:tc>
          <w:tcPr>
            <w:tcW w:w="4252" w:type="pct"/>
            <w:tcBorders>
              <w:tl2br w:val="nil"/>
              <w:tr2bl w:val="nil"/>
            </w:tcBorders>
            <w:shd w:val="clear" w:color="auto" w:fill="auto"/>
            <w:vAlign w:val="center"/>
          </w:tcPr>
          <w:p w14:paraId="50E88EE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支持对系统管理员操作（增/删/改等动作）进行详细的日志记录，日志记录结果具备较强的可读性；</w:t>
            </w:r>
          </w:p>
        </w:tc>
      </w:tr>
      <w:tr w14:paraId="283E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65EF8A7A">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2C74AA0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支持水印功能，在用户运维设备、在线审计回放后的录像文件操作时。水印标签包括用户名、真实姓名等属性信息；</w:t>
            </w:r>
          </w:p>
        </w:tc>
      </w:tr>
      <w:tr w14:paraId="12F6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0AF49667">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6D31765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支持任意浏览器无插件安装下播放审计到的字符运维、图形运维审计记录；</w:t>
            </w:r>
            <w:r>
              <w:rPr>
                <w:rFonts w:hint="eastAsia" w:ascii="宋体" w:hAnsi="宋体" w:eastAsia="宋体" w:cs="宋体"/>
                <w:kern w:val="0"/>
                <w:sz w:val="24"/>
                <w:szCs w:val="24"/>
                <w:highlight w:val="none"/>
              </w:rPr>
              <w:t>（要求提供界面截图）</w:t>
            </w:r>
          </w:p>
        </w:tc>
      </w:tr>
      <w:tr w14:paraId="26D9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restart"/>
            <w:tcBorders>
              <w:tl2br w:val="nil"/>
              <w:tr2bl w:val="nil"/>
            </w:tcBorders>
            <w:shd w:val="clear" w:color="auto" w:fill="auto"/>
            <w:vAlign w:val="center"/>
          </w:tcPr>
          <w:p w14:paraId="56AAC03D">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报表管理</w:t>
            </w:r>
          </w:p>
        </w:tc>
        <w:tc>
          <w:tcPr>
            <w:tcW w:w="4252" w:type="pct"/>
            <w:tcBorders>
              <w:tl2br w:val="nil"/>
              <w:tr2bl w:val="nil"/>
            </w:tcBorders>
            <w:shd w:val="clear" w:color="auto" w:fill="auto"/>
            <w:vAlign w:val="center"/>
          </w:tcPr>
          <w:p w14:paraId="2095E6C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支持报表工具，可生成用户所需的运维审计报表。报表中包含数据统计、图形展示、表格展示等多种数据展示方式；</w:t>
            </w:r>
          </w:p>
        </w:tc>
      </w:tr>
      <w:tr w14:paraId="172E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29658D32">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00C57DF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支持管理员自定义审计报表；</w:t>
            </w:r>
          </w:p>
        </w:tc>
      </w:tr>
      <w:tr w14:paraId="4F66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18A3A057">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1F907DA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支持以日报、周报、月报的方式自动生成周期性报表；</w:t>
            </w:r>
          </w:p>
        </w:tc>
      </w:tr>
      <w:tr w14:paraId="2760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511DE3E5">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5F2C0EB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支持各种报表输出，报表可导出为PDF、WORD、EXCEL、HTML等格式，包括运维报表、权限报表、登录报表、操作报表、定期报表等内容；</w:t>
            </w:r>
          </w:p>
        </w:tc>
      </w:tr>
      <w:tr w14:paraId="254F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restart"/>
            <w:tcBorders>
              <w:tl2br w:val="nil"/>
              <w:tr2bl w:val="nil"/>
            </w:tcBorders>
            <w:shd w:val="clear" w:color="auto" w:fill="auto"/>
            <w:vAlign w:val="center"/>
          </w:tcPr>
          <w:p w14:paraId="1779131C">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异常告警</w:t>
            </w:r>
          </w:p>
        </w:tc>
        <w:tc>
          <w:tcPr>
            <w:tcW w:w="4252" w:type="pct"/>
            <w:tcBorders>
              <w:tl2br w:val="nil"/>
              <w:tr2bl w:val="nil"/>
            </w:tcBorders>
            <w:shd w:val="clear" w:color="auto" w:fill="auto"/>
            <w:vAlign w:val="center"/>
          </w:tcPr>
          <w:p w14:paraId="0642A1F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支持根据系统性能（CPU/内存/硬盘/SWAP使用率）阈值进行告警，告警方式可根据级别（高、中、低）进行消息、邮件、短信通知告警；</w:t>
            </w:r>
            <w:r>
              <w:rPr>
                <w:rFonts w:hint="eastAsia" w:ascii="宋体" w:hAnsi="宋体" w:eastAsia="宋体" w:cs="宋体"/>
                <w:kern w:val="0"/>
                <w:sz w:val="24"/>
                <w:szCs w:val="24"/>
                <w:highlight w:val="none"/>
              </w:rPr>
              <w:t>（要求提供界面截图）</w:t>
            </w:r>
          </w:p>
        </w:tc>
      </w:tr>
      <w:tr w14:paraId="346B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vMerge w:val="continue"/>
            <w:tcBorders>
              <w:tl2br w:val="nil"/>
              <w:tr2bl w:val="nil"/>
            </w:tcBorders>
            <w:shd w:val="clear" w:color="auto" w:fill="auto"/>
            <w:vAlign w:val="center"/>
          </w:tcPr>
          <w:p w14:paraId="3AA6B571">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p>
        </w:tc>
        <w:tc>
          <w:tcPr>
            <w:tcW w:w="4252" w:type="pct"/>
            <w:tcBorders>
              <w:tl2br w:val="nil"/>
              <w:tr2bl w:val="nil"/>
            </w:tcBorders>
            <w:shd w:val="clear" w:color="auto" w:fill="auto"/>
            <w:vAlign w:val="center"/>
          </w:tcPr>
          <w:p w14:paraId="4890DA0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支持根据系统访问量（用户在线数、SSH协议在线数、RDP协议在线数、VNC协议在线数、FTP协议在线数、SFTP协议在线数、TELNET协议在线数及应用在线数）阈值进行告警，告警方式可根据级别（高、中、低）进行消息、邮件、短信通知告警；</w:t>
            </w:r>
            <w:r>
              <w:rPr>
                <w:rFonts w:hint="eastAsia" w:ascii="宋体" w:hAnsi="宋体" w:eastAsia="宋体" w:cs="宋体"/>
                <w:kern w:val="0"/>
                <w:sz w:val="24"/>
                <w:szCs w:val="24"/>
                <w:highlight w:val="none"/>
              </w:rPr>
              <w:t>（要求提供界面截图）</w:t>
            </w:r>
          </w:p>
        </w:tc>
      </w:tr>
      <w:tr w14:paraId="7F84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7" w:type="pct"/>
            <w:tcBorders>
              <w:tl2br w:val="nil"/>
              <w:tr2bl w:val="nil"/>
            </w:tcBorders>
            <w:shd w:val="clear" w:color="auto" w:fill="auto"/>
            <w:vAlign w:val="center"/>
          </w:tcPr>
          <w:p w14:paraId="57B5D4B9">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API</w:t>
            </w:r>
          </w:p>
        </w:tc>
        <w:tc>
          <w:tcPr>
            <w:tcW w:w="4252" w:type="pct"/>
            <w:tcBorders>
              <w:tl2br w:val="nil"/>
              <w:tr2bl w:val="nil"/>
            </w:tcBorders>
            <w:shd w:val="clear" w:color="auto" w:fill="auto"/>
            <w:vAlign w:val="center"/>
          </w:tcPr>
          <w:p w14:paraId="5366897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支持系统各功能模块均可提供标准API接口调用及测试用例，供第三方平台调用；</w:t>
            </w:r>
          </w:p>
        </w:tc>
      </w:tr>
    </w:tbl>
    <w:p w14:paraId="184688AC">
      <w:pPr>
        <w:rPr>
          <w:rFonts w:hint="eastAsia" w:ascii="宋体" w:hAnsi="宋体" w:eastAsia="宋体" w:cs="宋体"/>
          <w:sz w:val="24"/>
          <w:highlight w:val="none"/>
          <w:lang w:val="en-US" w:eastAsia="zh-CN"/>
        </w:rPr>
      </w:pPr>
    </w:p>
    <w:p w14:paraId="7997D824">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8）数据库审计系统详细参数要求</w:t>
      </w:r>
    </w:p>
    <w:tbl>
      <w:tblPr>
        <w:tblStyle w:val="17"/>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5"/>
        <w:gridCol w:w="7718"/>
      </w:tblGrid>
      <w:tr w14:paraId="5812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3456171F">
            <w:pPr>
              <w:keepNext w:val="0"/>
              <w:keepLines w:val="0"/>
              <w:widowControl/>
              <w:suppressLineNumbers w:val="0"/>
              <w:spacing w:before="0" w:beforeAutospacing="0" w:after="0" w:afterAutospacing="0"/>
              <w:ind w:left="0" w:right="0"/>
              <w:jc w:val="center"/>
              <w:rPr>
                <w:rFonts w:hint="eastAsia" w:ascii="宋体" w:hAnsi="宋体" w:eastAsia="宋体" w:cs="宋体"/>
                <w:b/>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b/>
                <w:bCs/>
                <w:kern w:val="0"/>
                <w:sz w:val="24"/>
                <w:szCs w:val="24"/>
                <w:highlight w:val="none"/>
              </w:rPr>
              <w:t>技术指标</w:t>
            </w:r>
          </w:p>
        </w:tc>
        <w:tc>
          <w:tcPr>
            <w:tcW w:w="7718" w:type="dxa"/>
            <w:shd w:val="clear" w:color="auto" w:fill="auto"/>
            <w:vAlign w:val="center"/>
          </w:tcPr>
          <w:p w14:paraId="65C1D4EE">
            <w:pPr>
              <w:keepNext w:val="0"/>
              <w:keepLines w:val="0"/>
              <w:widowControl/>
              <w:suppressLineNumbers w:val="0"/>
              <w:spacing w:before="0" w:beforeAutospacing="0" w:after="0" w:afterAutospacing="0"/>
              <w:ind w:left="0" w:right="0"/>
              <w:jc w:val="center"/>
              <w:rPr>
                <w:rFonts w:hint="eastAsia" w:ascii="宋体" w:hAnsi="宋体" w:eastAsia="宋体" w:cs="宋体"/>
                <w:b/>
                <w:color w:val="0D0D0D" w:themeColor="text1" w:themeTint="F2"/>
                <w:kern w:val="0"/>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b/>
                <w:bCs/>
                <w:kern w:val="0"/>
                <w:sz w:val="24"/>
                <w:szCs w:val="24"/>
                <w:highlight w:val="none"/>
              </w:rPr>
              <w:t>指标要求</w:t>
            </w:r>
          </w:p>
        </w:tc>
      </w:tr>
      <w:tr w14:paraId="293D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65" w:type="dxa"/>
            <w:shd w:val="clear" w:color="auto" w:fill="auto"/>
            <w:vAlign w:val="center"/>
          </w:tcPr>
          <w:p w14:paraId="5B7972D5">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硬件规格</w:t>
            </w:r>
          </w:p>
        </w:tc>
        <w:tc>
          <w:tcPr>
            <w:tcW w:w="7718" w:type="dxa"/>
            <w:shd w:val="clear" w:color="auto" w:fill="auto"/>
            <w:vAlign w:val="center"/>
          </w:tcPr>
          <w:p w14:paraId="5D37301E">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设备高度</w:t>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1U，≥4个千兆电口，≥2个MGT口，≥2个USB接口，≥1个console接口，≥8G内存，≥128G固态硬盘，≥4T硬盘，双电源，≥1个接口扩展槽。</w:t>
            </w:r>
          </w:p>
        </w:tc>
      </w:tr>
      <w:tr w14:paraId="64FA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trPr>
        <w:tc>
          <w:tcPr>
            <w:tcW w:w="1565" w:type="dxa"/>
            <w:shd w:val="clear" w:color="auto" w:fill="auto"/>
            <w:vAlign w:val="center"/>
          </w:tcPr>
          <w:p w14:paraId="4219EE88">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性能要求</w:t>
            </w:r>
          </w:p>
        </w:tc>
        <w:tc>
          <w:tcPr>
            <w:tcW w:w="7718" w:type="dxa"/>
            <w:shd w:val="clear" w:color="auto" w:fill="auto"/>
            <w:vAlign w:val="center"/>
          </w:tcPr>
          <w:p w14:paraId="00EB7BD9">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SQL处理能力≥10000 SQL/S，支持≥50个数据库实例。</w:t>
            </w:r>
          </w:p>
        </w:tc>
      </w:tr>
      <w:tr w14:paraId="796D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65" w:type="dxa"/>
            <w:shd w:val="clear" w:color="auto" w:fill="auto"/>
            <w:vAlign w:val="center"/>
          </w:tcPr>
          <w:p w14:paraId="09A80671">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扩展能力</w:t>
            </w:r>
          </w:p>
        </w:tc>
        <w:tc>
          <w:tcPr>
            <w:tcW w:w="7718" w:type="dxa"/>
            <w:shd w:val="clear" w:color="auto" w:fill="auto"/>
            <w:vAlign w:val="center"/>
          </w:tcPr>
          <w:p w14:paraId="0E0BE56F">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具备1个接口扩展槽，最大可额外扩展4个千兆电口或4个千兆光口</w:t>
            </w:r>
          </w:p>
        </w:tc>
      </w:tr>
      <w:tr w14:paraId="0E8A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7C85595D">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多合一功能</w:t>
            </w:r>
          </w:p>
        </w:tc>
        <w:tc>
          <w:tcPr>
            <w:tcW w:w="7718" w:type="dxa"/>
            <w:shd w:val="clear" w:color="auto" w:fill="auto"/>
            <w:vAlign w:val="center"/>
          </w:tcPr>
          <w:p w14:paraId="22C22ED0">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sz w:val="24"/>
                <w:szCs w:val="24"/>
                <w:highlight w:val="none"/>
                <w:lang w:eastAsia="zh-CN"/>
              </w:rPr>
              <w:t>◆</w:t>
            </w:r>
            <w:r>
              <w:rPr>
                <w:rFonts w:hint="eastAsia" w:ascii="宋体" w:hAnsi="宋体" w:eastAsia="宋体" w:cs="宋体"/>
                <w:color w:val="000000" w:themeColor="text1"/>
                <w:kern w:val="0"/>
                <w:sz w:val="24"/>
                <w:szCs w:val="24"/>
                <w:highlight w:val="none"/>
                <w14:textFill>
                  <w14:solidFill>
                    <w14:schemeClr w14:val="tx1"/>
                  </w14:solidFill>
                </w14:textFill>
              </w:rPr>
              <w:t>单一设备即可同时支持包</w:t>
            </w:r>
            <w:r>
              <w:rPr>
                <w:rFonts w:hint="eastAsia" w:ascii="宋体" w:hAnsi="宋体" w:eastAsia="宋体" w:cs="宋体"/>
                <w:kern w:val="0"/>
                <w:sz w:val="24"/>
                <w:szCs w:val="24"/>
                <w:highlight w:val="none"/>
              </w:rPr>
              <w:t>括数据库审计、数据库防火墙、数据脱敏、风险扫描、状态监控、运维审计等功能（要求提供证明截图）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5A23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75A6F0C0">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数据库兼容性</w:t>
            </w:r>
          </w:p>
        </w:tc>
        <w:tc>
          <w:tcPr>
            <w:tcW w:w="7718" w:type="dxa"/>
            <w:shd w:val="clear" w:color="auto" w:fill="auto"/>
            <w:vAlign w:val="center"/>
          </w:tcPr>
          <w:p w14:paraId="206EEA6A">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支持Oracle、SQLserver、MySQL、DB2、Sybase、Informix、Postgresql、Teradata、Cache、达梦、南大通用、人大金仓、神通、浪潮KDB、湖南上容、MongoDB、Hive、Hana、HWMPP、HighGo、Hbase、ES、Solr、</w:t>
            </w:r>
            <w:r>
              <w:rPr>
                <w:rFonts w:hint="eastAsia" w:ascii="宋体" w:hAnsi="宋体" w:eastAsia="宋体" w:cs="宋体"/>
                <w:sz w:val="24"/>
                <w:szCs w:val="24"/>
                <w:highlight w:val="none"/>
              </w:rPr>
              <w:t>HDFS、redis</w:t>
            </w: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等主流数据库防护和审计</w:t>
            </w:r>
            <w:r>
              <w:rPr>
                <w:rFonts w:hint="eastAsia" w:ascii="宋体" w:hAnsi="宋体" w:eastAsia="宋体" w:cs="宋体"/>
                <w:kern w:val="0"/>
                <w:sz w:val="24"/>
                <w:szCs w:val="24"/>
                <w:highlight w:val="none"/>
              </w:rPr>
              <w:t>（要求提供证明截图）</w:t>
            </w: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w:t>
            </w:r>
          </w:p>
        </w:tc>
      </w:tr>
      <w:tr w14:paraId="5EEB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273BFA2A">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数据库审计</w:t>
            </w:r>
          </w:p>
        </w:tc>
        <w:tc>
          <w:tcPr>
            <w:tcW w:w="7718" w:type="dxa"/>
            <w:shd w:val="clear" w:color="auto" w:fill="auto"/>
            <w:vAlign w:val="center"/>
          </w:tcPr>
          <w:p w14:paraId="42F8D408">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支持对SQL语句、SQL执行结果进行细粒度的审计，利用策略进行风险定级</w:t>
            </w:r>
          </w:p>
        </w:tc>
      </w:tr>
      <w:tr w14:paraId="1885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6EAD9B17">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访问控制功能</w:t>
            </w:r>
          </w:p>
        </w:tc>
        <w:tc>
          <w:tcPr>
            <w:tcW w:w="7718" w:type="dxa"/>
            <w:shd w:val="clear" w:color="auto" w:fill="auto"/>
            <w:vAlign w:val="center"/>
          </w:tcPr>
          <w:p w14:paraId="1523C695">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利用黑白名单进行访问权限控制，支持机器自学习制定策略</w:t>
            </w:r>
          </w:p>
        </w:tc>
      </w:tr>
      <w:tr w14:paraId="6976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65" w:type="dxa"/>
            <w:shd w:val="clear" w:color="auto" w:fill="auto"/>
            <w:vAlign w:val="center"/>
          </w:tcPr>
          <w:p w14:paraId="65F28F91">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数据发现</w:t>
            </w:r>
          </w:p>
        </w:tc>
        <w:tc>
          <w:tcPr>
            <w:tcW w:w="7718" w:type="dxa"/>
            <w:shd w:val="clear" w:color="auto" w:fill="auto"/>
            <w:vAlign w:val="center"/>
          </w:tcPr>
          <w:p w14:paraId="257A8CC3">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支持自动发现敏感数据，</w:t>
            </w:r>
            <w:r>
              <w:rPr>
                <w:rFonts w:hint="eastAsia" w:ascii="宋体" w:hAnsi="宋体" w:eastAsia="宋体" w:cs="宋体"/>
                <w:kern w:val="0"/>
                <w:sz w:val="24"/>
                <w:szCs w:val="24"/>
                <w:highlight w:val="none"/>
              </w:rPr>
              <w:t>自动发现数据库</w:t>
            </w:r>
          </w:p>
        </w:tc>
      </w:tr>
      <w:tr w14:paraId="685D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0FD25BDD">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数据库监控</w:t>
            </w:r>
          </w:p>
        </w:tc>
        <w:tc>
          <w:tcPr>
            <w:tcW w:w="7718" w:type="dxa"/>
            <w:shd w:val="clear" w:color="auto" w:fill="auto"/>
            <w:vAlign w:val="center"/>
          </w:tcPr>
          <w:p w14:paraId="141AEF60">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能够实时监控所有数据库状态（连接信息、操作数、违规数等），管理员可制定断开连接</w:t>
            </w:r>
          </w:p>
        </w:tc>
      </w:tr>
      <w:tr w14:paraId="5434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65" w:type="dxa"/>
            <w:vMerge w:val="restart"/>
            <w:shd w:val="clear" w:color="auto" w:fill="auto"/>
            <w:vAlign w:val="center"/>
          </w:tcPr>
          <w:p w14:paraId="34671C25">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Style w:val="42"/>
                <w:rFonts w:hint="eastAsia" w:ascii="宋体" w:hAnsi="宋体" w:eastAsia="宋体" w:cs="宋体"/>
                <w:sz w:val="24"/>
                <w:szCs w:val="24"/>
                <w:highlight w:val="none"/>
                <w:lang w:bidi="ar"/>
              </w:rPr>
              <w:t>监控扫描</w:t>
            </w:r>
          </w:p>
        </w:tc>
        <w:tc>
          <w:tcPr>
            <w:tcW w:w="7718" w:type="dxa"/>
            <w:shd w:val="clear" w:color="auto" w:fill="auto"/>
            <w:vAlign w:val="center"/>
          </w:tcPr>
          <w:p w14:paraId="72AF9001">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b/>
                <w:sz w:val="24"/>
                <w:szCs w:val="24"/>
                <w:highlight w:val="none"/>
                <w:lang w:eastAsia="zh-CN"/>
              </w:rPr>
              <w:t>◆</w:t>
            </w:r>
            <w:r>
              <w:rPr>
                <w:rStyle w:val="42"/>
                <w:rFonts w:hint="eastAsia" w:ascii="宋体" w:hAnsi="宋体" w:eastAsia="宋体" w:cs="宋体"/>
                <w:sz w:val="24"/>
                <w:szCs w:val="24"/>
                <w:highlight w:val="none"/>
                <w:lang w:bidi="ar"/>
              </w:rPr>
              <w:t>提供对数据库漏洞、不安全配置、弱口令、补丁等深层薄弱环节的安全检测及准确评估。（要求提供证明截图）</w:t>
            </w:r>
          </w:p>
        </w:tc>
      </w:tr>
      <w:tr w14:paraId="708F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vMerge w:val="continue"/>
            <w:shd w:val="clear" w:color="auto" w:fill="auto"/>
            <w:vAlign w:val="center"/>
          </w:tcPr>
          <w:p w14:paraId="2010CDA0">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p>
        </w:tc>
        <w:tc>
          <w:tcPr>
            <w:tcW w:w="7718" w:type="dxa"/>
            <w:shd w:val="clear" w:color="auto" w:fill="auto"/>
            <w:vAlign w:val="center"/>
          </w:tcPr>
          <w:p w14:paraId="3FAD25C7">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Style w:val="42"/>
                <w:rFonts w:hint="eastAsia" w:ascii="宋体" w:hAnsi="宋体" w:eastAsia="宋体" w:cs="宋体"/>
                <w:sz w:val="24"/>
                <w:szCs w:val="24"/>
                <w:highlight w:val="none"/>
                <w:lang w:bidi="ar"/>
              </w:rPr>
              <w:t>支持服务扫描和发现功能，通过扫描网络中的开放端口以及确定监听这些端口的服务。如主机IP、端口、主机操作系统、服务的类型等。并实现自动或手动将这些服务添加到数据库引擎。</w:t>
            </w:r>
          </w:p>
        </w:tc>
      </w:tr>
      <w:tr w14:paraId="57F1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vMerge w:val="continue"/>
            <w:shd w:val="clear" w:color="auto" w:fill="auto"/>
            <w:vAlign w:val="center"/>
          </w:tcPr>
          <w:p w14:paraId="5F9056A6">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p>
        </w:tc>
        <w:tc>
          <w:tcPr>
            <w:tcW w:w="7718" w:type="dxa"/>
            <w:shd w:val="clear" w:color="auto" w:fill="auto"/>
            <w:vAlign w:val="center"/>
          </w:tcPr>
          <w:p w14:paraId="3F5917C4">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b/>
                <w:sz w:val="24"/>
                <w:szCs w:val="24"/>
                <w:highlight w:val="none"/>
                <w:lang w:eastAsia="zh-CN"/>
              </w:rPr>
              <w:t>◆</w:t>
            </w:r>
            <w:r>
              <w:rPr>
                <w:rStyle w:val="42"/>
                <w:rFonts w:hint="eastAsia" w:ascii="宋体" w:hAnsi="宋体" w:eastAsia="宋体" w:cs="宋体"/>
                <w:sz w:val="24"/>
                <w:szCs w:val="24"/>
                <w:highlight w:val="none"/>
                <w:lang w:bidi="ar"/>
              </w:rPr>
              <w:t>支持sql流量的实时</w:t>
            </w:r>
            <w:r>
              <w:rPr>
                <w:rStyle w:val="42"/>
                <w:rFonts w:hint="eastAsia" w:ascii="宋体" w:hAnsi="宋体" w:eastAsia="宋体" w:cs="宋体"/>
                <w:color w:val="auto"/>
                <w:sz w:val="24"/>
                <w:szCs w:val="24"/>
                <w:highlight w:val="none"/>
                <w:lang w:bidi="ar"/>
              </w:rPr>
              <w:t>查看</w:t>
            </w:r>
            <w:r>
              <w:rPr>
                <w:rFonts w:hint="eastAsia" w:ascii="宋体" w:hAnsi="宋体" w:eastAsia="宋体" w:cs="宋体"/>
                <w:kern w:val="0"/>
                <w:sz w:val="24"/>
                <w:szCs w:val="24"/>
                <w:highlight w:val="none"/>
              </w:rPr>
              <w:t>（要求提供证明截图）</w:t>
            </w:r>
          </w:p>
        </w:tc>
      </w:tr>
      <w:tr w14:paraId="183D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24BF1429">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审计告警</w:t>
            </w:r>
          </w:p>
        </w:tc>
        <w:tc>
          <w:tcPr>
            <w:tcW w:w="7718" w:type="dxa"/>
            <w:shd w:val="clear" w:color="auto" w:fill="auto"/>
            <w:vAlign w:val="center"/>
          </w:tcPr>
          <w:p w14:paraId="5175334C">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内置自动告警设置，允许用户设定威胁自动告警.支持SYSlOG、SNMP TRAP、邮件、FTP等多种事件告警和提示方式</w:t>
            </w:r>
          </w:p>
        </w:tc>
      </w:tr>
      <w:tr w14:paraId="4EFC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16C58902">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业务化语言</w:t>
            </w:r>
          </w:p>
        </w:tc>
        <w:tc>
          <w:tcPr>
            <w:tcW w:w="7718" w:type="dxa"/>
            <w:shd w:val="clear" w:color="auto" w:fill="auto"/>
            <w:vAlign w:val="center"/>
          </w:tcPr>
          <w:p w14:paraId="3325DF81">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b/>
                <w:sz w:val="24"/>
                <w:szCs w:val="24"/>
                <w:highlight w:val="none"/>
                <w:lang w:eastAsia="zh-CN"/>
              </w:rPr>
              <w:t>◆</w:t>
            </w: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支持SQL关键字翻译功能，支持将审计记录中SQL语句关键字翻译成中文，便于非专业人员阅读（提供产品功能截图）</w:t>
            </w:r>
          </w:p>
        </w:tc>
      </w:tr>
      <w:tr w14:paraId="4B89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396AF653">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日志管理</w:t>
            </w:r>
          </w:p>
        </w:tc>
        <w:tc>
          <w:tcPr>
            <w:tcW w:w="7718" w:type="dxa"/>
            <w:shd w:val="clear" w:color="auto" w:fill="auto"/>
            <w:vAlign w:val="center"/>
          </w:tcPr>
          <w:p w14:paraId="5778ACC9">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b/>
                <w:sz w:val="24"/>
                <w:szCs w:val="24"/>
                <w:highlight w:val="none"/>
                <w:lang w:eastAsia="zh-CN"/>
              </w:rPr>
              <w:t>◆</w:t>
            </w: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支持将审计日志的敏感字段进行模糊化处理，防止敏感数据泄露，10亿条日志的任意关键字组合（包括通配符）检索时间&lt;10分钟</w:t>
            </w:r>
            <w:r>
              <w:rPr>
                <w:rFonts w:hint="eastAsia" w:ascii="宋体" w:hAnsi="宋体" w:eastAsia="宋体" w:cs="宋体"/>
                <w:kern w:val="0"/>
                <w:sz w:val="24"/>
                <w:szCs w:val="24"/>
                <w:highlight w:val="none"/>
              </w:rPr>
              <w:t>（要求提供证明截图）</w:t>
            </w:r>
          </w:p>
        </w:tc>
      </w:tr>
      <w:tr w14:paraId="0C62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75B3724E">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数据库状态监控</w:t>
            </w:r>
          </w:p>
        </w:tc>
        <w:tc>
          <w:tcPr>
            <w:tcW w:w="7718" w:type="dxa"/>
            <w:shd w:val="clear" w:color="auto" w:fill="auto"/>
            <w:vAlign w:val="center"/>
          </w:tcPr>
          <w:p w14:paraId="0035008B">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系统界面可以显示数据库状态、缓冲区击中率、库缓存大小等变化趋势图，可以显示数据库的会话明细、查询缓冲击中率等信息</w:t>
            </w:r>
          </w:p>
        </w:tc>
      </w:tr>
      <w:tr w14:paraId="35C0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565" w:type="dxa"/>
            <w:shd w:val="clear" w:color="auto" w:fill="auto"/>
            <w:vAlign w:val="center"/>
          </w:tcPr>
          <w:p w14:paraId="39A2BD2B">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界面及安全管理</w:t>
            </w:r>
          </w:p>
        </w:tc>
        <w:tc>
          <w:tcPr>
            <w:tcW w:w="7718" w:type="dxa"/>
            <w:shd w:val="clear" w:color="auto" w:fill="auto"/>
            <w:vAlign w:val="center"/>
          </w:tcPr>
          <w:p w14:paraId="333FE850">
            <w:pPr>
              <w:keepNext w:val="0"/>
              <w:keepLines w:val="0"/>
              <w:widowControl/>
              <w:suppressLineNumbers w:val="0"/>
              <w:spacing w:before="0" w:beforeAutospacing="0" w:after="0" w:afterAutospacing="0"/>
              <w:ind w:left="0" w:right="0"/>
              <w:jc w:val="left"/>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提供集中管理平台，支持多设备集中界面管理，支持基于WEB方式的远程管理方式，三权分立。</w:t>
            </w:r>
          </w:p>
        </w:tc>
      </w:tr>
      <w:tr w14:paraId="6C92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1565" w:type="dxa"/>
            <w:vMerge w:val="restart"/>
            <w:shd w:val="clear" w:color="auto" w:fill="auto"/>
            <w:vAlign w:val="center"/>
          </w:tcPr>
          <w:p w14:paraId="2637B80D">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highlight w:val="none"/>
                <w:lang w:val="en-US" w:eastAsia="zh-CN"/>
                <w14:textFill>
                  <w14:solidFill>
                    <w14:schemeClr w14:val="tx1">
                      <w14:lumMod w14:val="95000"/>
                      <w14:lumOff w14:val="5000"/>
                    </w14:schemeClr>
                  </w14:solidFill>
                </w14:textFill>
              </w:rPr>
              <w:t>认证及知识产权</w:t>
            </w:r>
          </w:p>
        </w:tc>
        <w:tc>
          <w:tcPr>
            <w:tcW w:w="7718" w:type="dxa"/>
            <w:shd w:val="clear" w:color="auto" w:fill="auto"/>
            <w:vAlign w:val="center"/>
          </w:tcPr>
          <w:p w14:paraId="042A79E0">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具备《中国国家信息安全产品认证证书》</w:t>
            </w:r>
          </w:p>
        </w:tc>
      </w:tr>
      <w:tr w14:paraId="57B9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65" w:type="dxa"/>
            <w:vMerge w:val="continue"/>
            <w:shd w:val="clear" w:color="auto" w:fill="auto"/>
            <w:vAlign w:val="center"/>
          </w:tcPr>
          <w:p w14:paraId="33A67E5A">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p>
        </w:tc>
        <w:tc>
          <w:tcPr>
            <w:tcW w:w="7718" w:type="dxa"/>
            <w:shd w:val="clear" w:color="auto" w:fill="auto"/>
            <w:vAlign w:val="center"/>
          </w:tcPr>
          <w:p w14:paraId="154A1FF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具备计算机软件著作权登记证书</w:t>
            </w:r>
          </w:p>
        </w:tc>
      </w:tr>
      <w:tr w14:paraId="1426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8" w:hRule="atLeast"/>
        </w:trPr>
        <w:tc>
          <w:tcPr>
            <w:tcW w:w="1565" w:type="dxa"/>
            <w:vMerge w:val="continue"/>
            <w:shd w:val="clear" w:color="auto" w:fill="auto"/>
            <w:vAlign w:val="center"/>
          </w:tcPr>
          <w:p w14:paraId="31D76C85">
            <w:pPr>
              <w:keepNext w:val="0"/>
              <w:keepLines w:val="0"/>
              <w:widowControl/>
              <w:suppressLineNumbers w:val="0"/>
              <w:spacing w:before="0" w:beforeAutospacing="0" w:after="0" w:afterAutospacing="0"/>
              <w:ind w:left="0" w:right="0"/>
              <w:jc w:val="cente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pPr>
          </w:p>
        </w:tc>
        <w:tc>
          <w:tcPr>
            <w:tcW w:w="7718" w:type="dxa"/>
            <w:shd w:val="clear" w:color="auto" w:fill="auto"/>
            <w:vAlign w:val="center"/>
          </w:tcPr>
          <w:p w14:paraId="306B0189">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IPv6 Ready Logo Phase-2认证</w:t>
            </w:r>
          </w:p>
        </w:tc>
      </w:tr>
    </w:tbl>
    <w:p w14:paraId="15FEEC11">
      <w:pPr>
        <w:pStyle w:val="13"/>
        <w:rPr>
          <w:rFonts w:hint="eastAsia" w:ascii="宋体" w:hAnsi="宋体" w:eastAsia="宋体" w:cs="宋体"/>
          <w:sz w:val="24"/>
          <w:highlight w:val="none"/>
          <w:lang w:val="en-US" w:eastAsia="zh-CN"/>
        </w:rPr>
      </w:pPr>
    </w:p>
    <w:p w14:paraId="0D010E1B">
      <w:pPr>
        <w:keepNext/>
        <w:tabs>
          <w:tab w:val="left" w:pos="900"/>
        </w:tabs>
        <w:adjustRightInd/>
        <w:spacing w:line="360" w:lineRule="auto"/>
        <w:ind w:left="180"/>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10）等级保护测评服务详细参数要求</w:t>
      </w:r>
    </w:p>
    <w:tbl>
      <w:tblPr>
        <w:tblStyle w:val="17"/>
        <w:tblW w:w="4994" w:type="pct"/>
        <w:tblInd w:w="0" w:type="dxa"/>
        <w:shd w:val="clear" w:color="auto" w:fill="auto"/>
        <w:tblLayout w:type="fixed"/>
        <w:tblCellMar>
          <w:top w:w="0" w:type="dxa"/>
          <w:left w:w="108" w:type="dxa"/>
          <w:bottom w:w="0" w:type="dxa"/>
          <w:right w:w="108" w:type="dxa"/>
        </w:tblCellMar>
      </w:tblPr>
      <w:tblGrid>
        <w:gridCol w:w="541"/>
        <w:gridCol w:w="1460"/>
        <w:gridCol w:w="7277"/>
      </w:tblGrid>
      <w:tr w14:paraId="207764F2">
        <w:tblPrEx>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CE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86" w:type="pct"/>
            <w:tcBorders>
              <w:top w:val="single" w:color="000000" w:sz="4" w:space="0"/>
              <w:left w:val="nil"/>
              <w:bottom w:val="single" w:color="000000" w:sz="4" w:space="0"/>
              <w:right w:val="single" w:color="000000" w:sz="4" w:space="0"/>
            </w:tcBorders>
            <w:shd w:val="clear" w:color="auto" w:fill="auto"/>
            <w:vAlign w:val="center"/>
          </w:tcPr>
          <w:p w14:paraId="2CD7B53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0788BCA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服务要求</w:t>
            </w:r>
          </w:p>
        </w:tc>
      </w:tr>
      <w:tr w14:paraId="56553D85">
        <w:tblPrEx>
          <w:shd w:val="clear" w:color="auto" w:fill="auto"/>
          <w:tblCellMar>
            <w:top w:w="0" w:type="dxa"/>
            <w:left w:w="108" w:type="dxa"/>
            <w:bottom w:w="0" w:type="dxa"/>
            <w:right w:w="108" w:type="dxa"/>
          </w:tblCellMar>
        </w:tblPrEx>
        <w:trPr>
          <w:trHeight w:val="5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252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一、服务内容</w:t>
            </w:r>
          </w:p>
        </w:tc>
      </w:tr>
      <w:tr w14:paraId="70A0E056">
        <w:tblPrEx>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56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6" w:type="pct"/>
            <w:tcBorders>
              <w:top w:val="single" w:color="000000" w:sz="4" w:space="0"/>
              <w:left w:val="nil"/>
              <w:bottom w:val="single" w:color="000000" w:sz="4" w:space="0"/>
              <w:right w:val="single" w:color="000000" w:sz="4" w:space="0"/>
            </w:tcBorders>
            <w:shd w:val="clear" w:color="auto" w:fill="auto"/>
            <w:vAlign w:val="center"/>
          </w:tcPr>
          <w:p w14:paraId="3C51571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测评范围（包括但不限于）</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68A7CE26">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安全物理环境、安全通信网络、安全区域边界、安全计算环境、安全管理中心、安全管理制度、安全管理机构、安全管理人员、安全建设管理、安全运维管理。</w:t>
            </w:r>
          </w:p>
        </w:tc>
      </w:tr>
      <w:tr w14:paraId="55A570A3">
        <w:tblPrEx>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4E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6" w:type="pct"/>
            <w:tcBorders>
              <w:top w:val="single" w:color="000000" w:sz="4" w:space="0"/>
              <w:left w:val="nil"/>
              <w:bottom w:val="single" w:color="000000" w:sz="4" w:space="0"/>
              <w:right w:val="single" w:color="000000" w:sz="4" w:space="0"/>
            </w:tcBorders>
            <w:shd w:val="clear" w:color="auto" w:fill="auto"/>
            <w:vAlign w:val="center"/>
          </w:tcPr>
          <w:p w14:paraId="18312B2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测评方法</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6D77FB6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根据国家标准GB/T 22239-2019：《信息安全技术 网络安全等级保护基本要求》要求选取安全基础指标，由测评机构开展技术和管理两个方面的检测工作，并出具符合国家相关规范要求的测评报告。（其中测评机构提供的差距分析测评售后服务与正式测评的方法、过程相同，测评对象抽样数量及输出成果不同，所以差距分析测评工作内容不另外说明要求）</w:t>
            </w:r>
          </w:p>
        </w:tc>
      </w:tr>
      <w:tr w14:paraId="5C7230B8">
        <w:tblPrEx>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10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39EBCA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测评要求</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242309B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（1）信息系统定级要求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测评机构应依据《信息安全技术 网络安全等级保护定级指南》要求协助用户单位进行信息系统定级，并编制信息系统《等级保护定级报告》和《备案表》。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（2）测评报告要求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测评机构应对用户单位的各个信息系统进行等级保护测评，形成相应的测评报告。</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1)测评机构在测评完成后，出具符合信息安全等级保护主管部门要求的信息系统安全等级保护测评符合性报告。</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2)对不符合信息安全等级保护有关管理规范和技术标准的，中标方出具可行的信息系统整改建议，并指导用户单位完成整改。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3)测评机构协助用户单位办理信息系统安全等级保护备案手续等相关工作。</w:t>
            </w:r>
          </w:p>
        </w:tc>
      </w:tr>
      <w:tr w14:paraId="3251F726">
        <w:tblPrEx>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E3E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525E58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测评成果</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41C951E6">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本次测评包括且不仅仅包括以下成果</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1）等级保护定级报告（由乙方协助甲方完成）(初测)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2）等级保护备案表（由乙方协助甲方完成）(初测)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3）《整体测评实施方案》（一份）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4）《等级保护测评报告》（每系统一份）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5）《等级保护整改方案》（一份）</w:t>
            </w:r>
          </w:p>
          <w:p w14:paraId="341D970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6）其他过程文档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等保测评工作结束后，协助用户单位完成系统的等保备案工作。</w:t>
            </w:r>
          </w:p>
        </w:tc>
      </w:tr>
      <w:tr w14:paraId="4D0EEFE2">
        <w:tblPrEx>
          <w:shd w:val="clear" w:color="auto" w:fill="auto"/>
          <w:tblCellMar>
            <w:top w:w="0" w:type="dxa"/>
            <w:left w:w="108" w:type="dxa"/>
            <w:bottom w:w="0" w:type="dxa"/>
            <w:right w:w="108" w:type="dxa"/>
          </w:tblCellMar>
        </w:tblPrEx>
        <w:trPr>
          <w:trHeight w:val="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0C5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二、服务要求</w:t>
            </w:r>
          </w:p>
        </w:tc>
      </w:tr>
      <w:tr w14:paraId="1E4EE868">
        <w:tblPrEx>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6A1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79F0C76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3090815A">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1、投标人应详细描述本次测评的整体方案，包括项目概述、测评方案、项目方案、测试过程中需使用测试设备清单、时间安排、阶段性文档提交和验收标准等。</w:t>
            </w:r>
          </w:p>
          <w:p w14:paraId="3179289B">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 投标人应详细描述测评人员的组成、资质及各自职责的划分。测评机构应配置有经验的测评人员进行本次测评工作。</w:t>
            </w:r>
          </w:p>
          <w:p w14:paraId="29DA546B">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 本次测评实施过程中所使用到的各种工具软件由测评机构推荐，经用户单位确认后由测评机构提供并在测评中使用。在投标文件中应详细描述所使用的安全测评工具（软硬件型号、功能和性能描述）、使用的方式和时间、对环境和平台的要求以及使用可能对系统造成的风险等。</w:t>
            </w:r>
          </w:p>
          <w:p w14:paraId="33D3DA9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、测评工具等要求：</w:t>
            </w:r>
          </w:p>
          <w:p w14:paraId="0AE5963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测评工具软件运行可能需要的硬件平台（如笔记本电脑、PC、工作站等）、操作系统软件、各种工具软件等由投标人推荐，经用户单位确认后由测评机构提供并在测评中使用。在投标文件中应详细描述所使用的安全测评工具（软硬件型号、功能和性能描述）、使用的方式和时间、对环境和平台的要求以及使用可能对系统造成的风险等。</w:t>
            </w:r>
          </w:p>
          <w:p w14:paraId="575FA2FA">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安全测评需要的运行环境（如场地、网络环境等）由用户单位提供，投标人应详细描述需要的运行环境的具体要求。</w:t>
            </w:r>
          </w:p>
        </w:tc>
      </w:tr>
      <w:tr w14:paraId="414C0FE8">
        <w:tblPrEx>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C94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7DBA21D2">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测评实施要求</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66FF67E9">
            <w:pPr>
              <w:keepNext w:val="0"/>
              <w:keepLines w:val="0"/>
              <w:widowControl/>
              <w:numPr>
                <w:ilvl w:val="0"/>
                <w:numId w:val="5"/>
              </w:numPr>
              <w:suppressLineNumbers w:val="0"/>
              <w:spacing w:before="0" w:beforeAutospacing="0" w:after="0" w:afterAutospacing="0"/>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机构应根据用户单位工作需求、进度要求、实际情况进一步完善《信息系统整体测评方案》，对项目目标、工作任务、阶段性工作、项目组织机构、职责分工、项目进度、质量控制等内容进行详细的说明，并通过用户单位审核，以确保项目实施按时保质的完成；</w:t>
            </w:r>
          </w:p>
          <w:p w14:paraId="31221A5A">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测评机构具有</w:t>
            </w:r>
            <w:r>
              <w:rPr>
                <w:rFonts w:hint="eastAsia" w:ascii="宋体" w:hAnsi="宋体" w:eastAsia="宋体" w:cs="宋体"/>
                <w:color w:val="auto"/>
                <w:sz w:val="24"/>
                <w:szCs w:val="24"/>
                <w:highlight w:val="none"/>
                <w:lang w:val="en-US" w:eastAsia="zh-CN"/>
              </w:rPr>
              <w:t>网络安全等级保护测评资质</w:t>
            </w:r>
            <w:r>
              <w:rPr>
                <w:rFonts w:hint="eastAsia" w:ascii="宋体" w:hAnsi="宋体" w:eastAsia="宋体" w:cs="宋体"/>
                <w:color w:val="auto"/>
                <w:sz w:val="24"/>
                <w:szCs w:val="24"/>
                <w:highlight w:val="none"/>
              </w:rPr>
              <w:t>；</w:t>
            </w:r>
          </w:p>
          <w:p w14:paraId="12227EE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测评机构在项目实施过程中应服从用户单位的统一领导和协调，用户单位有权裁决中标方的责任范围，在用户单位限定的时间内解决问题。如果测评机构不能按时完成测评内容，用户单位有权中止项目、索赔或拒付款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实施过程中形成的阶段性成果文件须指定相关责任人，明确相关职责；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在整改过程中，如需现场服务，投标人技术人员应赶到现场协助处理；</w:t>
            </w:r>
          </w:p>
        </w:tc>
      </w:tr>
      <w:tr w14:paraId="5A74ED60">
        <w:tblPrEx>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ECC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09156E09">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项目服务承诺</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11B72AC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测评机构应满足用户单位提出的标准性、规范性、可控性、整体性、最小影响性及保密性原则，做到守时、保质。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 保密性要求：测评机构必须和用户单位签订保密协议和非侵害性协议，测评机构必须要与参加此次测评项目的所有项目组成员签订保密协议和非侵害性协议，在合同签定时一并提供给用户单位。</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 测评机构具体测评工作和等级保护测评报告的编写，必须在用户单位的指定地点进行。对于测评中的重要资料和结果，在测评期间和测评结束后，投标人不得带离该地点。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 测评机构对本规范书中的内容及在应标过程中接触的设备信息、数据资料等负有保密责任，不得泄露给任何第三方。无论投标人中标与否，其对上述内容的保密责任将长期存在。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 测评的品质保证：投标人应承诺指派工作经验丰富、技术实力雄厚的安全顾问，结合技术领先、结论可靠的测评工具为客户作全面等级保护测评。承诺测评过程按照国家标准进行，并保证对客户的资料严格保密。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 项目验收完成后，要求提供为期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年的等保技术咨询服务，以保证项目正常运行。</w:t>
            </w:r>
          </w:p>
        </w:tc>
      </w:tr>
      <w:tr w14:paraId="3AC8B40F">
        <w:tblPrEx>
          <w:shd w:val="clear" w:color="auto" w:fill="auto"/>
          <w:tblCellMar>
            <w:top w:w="0" w:type="dxa"/>
            <w:left w:w="108" w:type="dxa"/>
            <w:bottom w:w="0" w:type="dxa"/>
            <w:right w:w="108" w:type="dxa"/>
          </w:tblCellMar>
        </w:tblPrEx>
        <w:trPr>
          <w:trHeight w:val="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C02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86" w:type="pct"/>
            <w:tcBorders>
              <w:top w:val="single" w:color="000000" w:sz="4" w:space="0"/>
              <w:left w:val="nil"/>
              <w:bottom w:val="single" w:color="000000" w:sz="4" w:space="0"/>
              <w:right w:val="single" w:color="000000" w:sz="4" w:space="0"/>
            </w:tcBorders>
            <w:shd w:val="clear" w:color="auto" w:fill="auto"/>
            <w:noWrap/>
            <w:vAlign w:val="center"/>
          </w:tcPr>
          <w:p w14:paraId="3271F55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其它服务需求</w:t>
            </w:r>
          </w:p>
        </w:tc>
        <w:tc>
          <w:tcPr>
            <w:tcW w:w="3921" w:type="pct"/>
            <w:tcBorders>
              <w:top w:val="single" w:color="000000" w:sz="4" w:space="0"/>
              <w:left w:val="nil"/>
              <w:bottom w:val="single" w:color="000000" w:sz="4" w:space="0"/>
              <w:right w:val="single" w:color="000000" w:sz="4" w:space="0"/>
            </w:tcBorders>
            <w:shd w:val="clear" w:color="auto" w:fill="auto"/>
            <w:vAlign w:val="center"/>
          </w:tcPr>
          <w:p w14:paraId="36146DDB">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1、测评结束后，针对每个测评的系统提出可行的整改方案，并提供整改咨询，并配合用户单位做好整改工作的服务。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2、测评机构对工作过程中接触的信息系统、网络设备及数据资料等负有保密责任，不得泄露给任何第三方。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3、售后服务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（1）响应情况：应提供安全事件的7*24小时的应急响应支撑，在被测评系统发生故障或其它安全事件时，应能够及时响应。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（2）本地化服务要求：投标人具有良好的本地售后服务体系，以提供良好的技术支持，保障项目质量体系。投标人在本地需有专门的售后服务办公场地及人员。</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（3）提供安全培训：开展至少一次网络安全培训，用户单位根据工作需要，要求中标方派遣高级安全专家提供网络安全方面的培训。</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（4）关于交货时间和地点：应在用户单位指定的时间和地点交付项目成果。</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（5）服务时应提供在投标文件中提供相应的资格证书、证明材料复印件。</w:t>
            </w:r>
          </w:p>
        </w:tc>
      </w:tr>
    </w:tbl>
    <w:p w14:paraId="649889BE">
      <w:pPr>
        <w:rPr>
          <w:rFonts w:hint="eastAsia" w:ascii="宋体" w:hAnsi="宋体" w:eastAsia="宋体" w:cs="宋体"/>
          <w:sz w:val="24"/>
          <w:highlight w:val="none"/>
          <w:lang w:val="en-US" w:eastAsia="zh-CN"/>
        </w:rPr>
      </w:pPr>
    </w:p>
    <w:p w14:paraId="7FA7CB88">
      <w:pPr>
        <w:spacing w:line="360" w:lineRule="auto"/>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四、投标要求：</w:t>
      </w:r>
    </w:p>
    <w:p w14:paraId="0590F71A">
      <w:pPr>
        <w:spacing w:beforeAutospacing="0" w:afterAutospacing="0"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1．本项目要求在2025年8月25日前完成供货、安装调试及验收完成。</w:t>
      </w:r>
    </w:p>
    <w:p w14:paraId="520781E0">
      <w:pPr>
        <w:spacing w:beforeAutospacing="0" w:afterAutospacing="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2.带</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highlight w:val="none"/>
        </w:rPr>
        <w:t>项为必须满足，不能负偏离。</w:t>
      </w:r>
    </w:p>
    <w:p w14:paraId="06DAFD7A">
      <w:pPr>
        <w:spacing w:beforeAutospacing="0" w:afterAutospacing="0" w:line="360" w:lineRule="auto"/>
        <w:ind w:firstLine="482" w:firstLineChars="200"/>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val="en-US" w:eastAsia="zh-CN"/>
        </w:rPr>
        <w:t>1</w:t>
      </w:r>
      <w:r>
        <w:rPr>
          <w:rFonts w:hint="eastAsia" w:ascii="宋体" w:hAnsi="宋体" w:eastAsia="宋体" w:cs="宋体"/>
          <w:b/>
          <w:bCs w:val="0"/>
          <w:color w:val="auto"/>
          <w:sz w:val="24"/>
          <w:szCs w:val="24"/>
          <w:highlight w:val="none"/>
          <w:u w:val="none"/>
          <w:lang w:eastAsia="zh-CN"/>
        </w:rPr>
        <w:t>）</w:t>
      </w:r>
      <w:r>
        <w:rPr>
          <w:rFonts w:hint="eastAsia" w:ascii="宋体" w:hAnsi="宋体" w:eastAsia="宋体" w:cs="宋体"/>
          <w:b/>
          <w:bCs w:val="0"/>
          <w:color w:val="auto"/>
          <w:kern w:val="0"/>
          <w:sz w:val="24"/>
          <w:szCs w:val="24"/>
          <w:highlight w:val="none"/>
          <w:u w:val="none"/>
          <w:lang w:val="en-US" w:eastAsia="zh-CN"/>
        </w:rPr>
        <w:t>▲所有交换机设备投标型号</w:t>
      </w:r>
      <w:r>
        <w:rPr>
          <w:rFonts w:hint="eastAsia" w:ascii="宋体" w:hAnsi="宋体" w:eastAsia="宋体" w:cs="宋体"/>
          <w:b/>
          <w:bCs w:val="0"/>
          <w:i w:val="0"/>
          <w:iCs w:val="0"/>
          <w:color w:val="auto"/>
          <w:kern w:val="0"/>
          <w:sz w:val="24"/>
          <w:szCs w:val="24"/>
          <w:highlight w:val="none"/>
          <w:u w:val="none"/>
          <w:lang w:val="en-US" w:eastAsia="zh-CN" w:bidi="ar"/>
        </w:rPr>
        <w:t>通过工信部进网许可，支持工业和信息化部政务服务平台网站https://jwxk.miit.gov.cn查询，投标时提供电信设备进网许可证复印件或工信部网站查询结果网页截图。</w:t>
      </w:r>
    </w:p>
    <w:p w14:paraId="6C7E236F">
      <w:pPr>
        <w:pStyle w:val="8"/>
        <w:rPr>
          <w:rFonts w:hint="eastAsia" w:ascii="宋体" w:hAnsi="宋体" w:eastAsia="宋体" w:cs="宋体"/>
          <w:b/>
          <w:bCs w:val="0"/>
          <w:color w:val="auto"/>
          <w:highlight w:val="none"/>
          <w:u w:val="none"/>
          <w:lang w:val="en-US" w:eastAsia="zh-CN"/>
        </w:rPr>
      </w:pPr>
      <w:r>
        <w:rPr>
          <w:rFonts w:hint="eastAsia" w:ascii="宋体" w:hAnsi="宋体" w:eastAsia="宋体" w:cs="宋体"/>
          <w:b/>
          <w:bCs w:val="0"/>
          <w:i w:val="0"/>
          <w:iCs w:val="0"/>
          <w:color w:val="auto"/>
          <w:kern w:val="0"/>
          <w:sz w:val="24"/>
          <w:szCs w:val="24"/>
          <w:highlight w:val="none"/>
          <w:u w:val="none"/>
          <w:lang w:val="en-US" w:eastAsia="zh-CN" w:bidi="ar"/>
        </w:rPr>
        <w:t>（2）</w:t>
      </w:r>
      <w:r>
        <w:rPr>
          <w:rFonts w:hint="eastAsia" w:ascii="宋体" w:hAnsi="宋体" w:eastAsia="宋体" w:cs="宋体"/>
          <w:b/>
          <w:bCs w:val="0"/>
          <w:color w:val="auto"/>
          <w:kern w:val="0"/>
          <w:sz w:val="24"/>
          <w:szCs w:val="24"/>
          <w:highlight w:val="none"/>
          <w:u w:val="none"/>
          <w:lang w:val="en-US" w:eastAsia="zh-CN"/>
        </w:rPr>
        <w:t>▲所有无线AP设备投标型号</w:t>
      </w:r>
      <w:r>
        <w:rPr>
          <w:rFonts w:hint="eastAsia" w:ascii="宋体" w:hAnsi="宋体" w:eastAsia="宋体" w:cs="宋体"/>
          <w:b/>
          <w:bCs w:val="0"/>
          <w:i w:val="0"/>
          <w:iCs w:val="0"/>
          <w:color w:val="auto"/>
          <w:kern w:val="0"/>
          <w:sz w:val="24"/>
          <w:szCs w:val="24"/>
          <w:highlight w:val="none"/>
          <w:u w:val="none"/>
          <w:lang w:val="en-US" w:eastAsia="zh-CN" w:bidi="ar"/>
        </w:rPr>
        <w:t>通过工信部无线电发射设备型号核准，支持工业和信息化部政务服务平台网站https://ythzxfw.miit.gov.cn/resultQuery查询，投标时提供无线电发射设备型号核准证复印件或工信部网站查询结果网页截图。</w:t>
      </w:r>
    </w:p>
    <w:p w14:paraId="640D3151">
      <w:pPr>
        <w:autoSpaceDE w:val="0"/>
        <w:autoSpaceDN w:val="0"/>
        <w:adjustRightIn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.本项目的所有软、硬件(如线缆、管线、软件、硬件、模块等，包括未列出而系统实施又必需的软件、硬件)需配齐以构成一套完整实用系统，如有任何遗漏，由中标人免费补齐。</w:t>
      </w:r>
    </w:p>
    <w:p w14:paraId="2C497E09">
      <w:pPr>
        <w:autoSpaceDE w:val="0"/>
        <w:autoSpaceDN w:val="0"/>
        <w:adjustRightIn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.投标方案中的硬件设备如需使用</w:t>
      </w:r>
      <w:r>
        <w:rPr>
          <w:rFonts w:hint="eastAsia" w:ascii="宋体" w:hAnsi="宋体" w:eastAsia="宋体" w:cs="宋体"/>
          <w:color w:val="auto"/>
          <w:sz w:val="24"/>
          <w:szCs w:val="24"/>
          <w:highlight w:val="none"/>
          <w:lang w:val="en-US" w:eastAsia="zh-CN"/>
        </w:rPr>
        <w:t>特殊配件（如</w:t>
      </w:r>
      <w:r>
        <w:rPr>
          <w:rFonts w:hint="eastAsia" w:ascii="宋体" w:hAnsi="宋体" w:eastAsia="宋体" w:cs="宋体"/>
          <w:color w:val="auto"/>
          <w:sz w:val="24"/>
          <w:szCs w:val="24"/>
          <w:highlight w:val="none"/>
        </w:rPr>
        <w:t>接头、插座等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，由投标人免费提供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投标总价应包括运抵学校的运费及安装调试费等。</w:t>
      </w:r>
    </w:p>
    <w:p w14:paraId="0A15D18C">
      <w:pPr>
        <w:autoSpaceDE w:val="0"/>
        <w:autoSpaceDN w:val="0"/>
        <w:adjustRightInd w:val="0"/>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.所投产品需为原厂全新产品，202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年1月份后生产的符合国家技术规格和质量标准的出厂合格产品，通过国家有关部门检测合格的原产地产品</w:t>
      </w:r>
      <w:r>
        <w:rPr>
          <w:rFonts w:hint="eastAsia" w:ascii="宋体" w:hAnsi="宋体" w:eastAsia="宋体" w:cs="宋体"/>
          <w:color w:val="auto"/>
          <w:sz w:val="24"/>
          <w:highlight w:val="none"/>
        </w:rPr>
        <w:t>，未曾开箱使用，能够与学校现有设备正常连接；设备安装调试完毕后，能在其功能范围内保障用户的系统安全、稳定运行。</w:t>
      </w:r>
    </w:p>
    <w:p w14:paraId="00FBA734">
      <w:pPr>
        <w:autoSpaceDE w:val="0"/>
        <w:autoSpaceDN w:val="0"/>
        <w:adjustRightIn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.所投产品及主要部件均须非停产设备，并提供</w:t>
      </w:r>
      <w:r>
        <w:rPr>
          <w:rFonts w:hint="eastAsia" w:ascii="宋体" w:hAnsi="宋体" w:eastAsia="宋体" w:cs="宋体"/>
          <w:color w:val="auto"/>
          <w:sz w:val="24"/>
          <w:highlight w:val="none"/>
        </w:rPr>
        <w:t>备件、附件和耗材的供应。</w:t>
      </w:r>
    </w:p>
    <w:p w14:paraId="0A7E79B9">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、商务及其它要求</w:t>
      </w:r>
    </w:p>
    <w:p w14:paraId="42AF8B88">
      <w:pPr>
        <w:spacing w:line="360" w:lineRule="auto"/>
        <w:rPr>
          <w:rFonts w:hint="eastAsia" w:ascii="宋体" w:hAnsi="宋体" w:cs="宋体"/>
          <w:b/>
          <w:bCs/>
          <w:sz w:val="24"/>
          <w:highlight w:val="none"/>
        </w:rPr>
      </w:pPr>
      <w:r>
        <w:rPr>
          <w:rFonts w:hint="eastAsia" w:ascii="宋体" w:hAnsi="宋体" w:cs="宋体"/>
          <w:sz w:val="24"/>
          <w:highlight w:val="none"/>
        </w:rPr>
        <w:t>▲1.项目质保要求：</w:t>
      </w:r>
      <w:r>
        <w:rPr>
          <w:rFonts w:hint="eastAsia" w:ascii="宋体" w:hAnsi="宋体" w:cs="宋体"/>
          <w:b/>
          <w:bCs/>
          <w:sz w:val="24"/>
          <w:highlight w:val="none"/>
        </w:rPr>
        <w:t>验收合格之日起</w:t>
      </w:r>
      <w:r>
        <w:rPr>
          <w:rFonts w:hint="eastAsia" w:ascii="宋体" w:hAnsi="宋体" w:cs="宋体"/>
          <w:b/>
          <w:bCs/>
          <w:sz w:val="24"/>
          <w:highlight w:val="none"/>
          <w:lang w:val="en-US" w:eastAsia="zh-CN"/>
        </w:rPr>
        <w:t>3</w:t>
      </w:r>
      <w:r>
        <w:rPr>
          <w:rFonts w:hint="eastAsia" w:ascii="宋体" w:hAnsi="宋体" w:cs="宋体"/>
          <w:b/>
          <w:bCs/>
          <w:sz w:val="24"/>
          <w:highlight w:val="none"/>
        </w:rPr>
        <w:t>年</w:t>
      </w:r>
      <w:r>
        <w:rPr>
          <w:rFonts w:hint="eastAsia" w:ascii="宋体" w:hAnsi="宋体" w:cs="宋体"/>
          <w:b/>
          <w:bCs/>
          <w:sz w:val="24"/>
          <w:highlight w:val="none"/>
          <w:lang w:eastAsia="zh-CN"/>
        </w:rPr>
        <w:t>（</w:t>
      </w:r>
      <w:r>
        <w:rPr>
          <w:rFonts w:hint="eastAsia" w:ascii="宋体" w:hAnsi="宋体" w:cs="宋体"/>
          <w:b/>
          <w:bCs/>
          <w:sz w:val="24"/>
          <w:highlight w:val="none"/>
        </w:rPr>
        <w:t>所有硬件和软件设备提供3年5*8小时以上免费保修和售后现场技术服务</w:t>
      </w:r>
      <w:r>
        <w:rPr>
          <w:rFonts w:hint="eastAsia" w:ascii="宋体" w:hAnsi="宋体" w:cs="宋体"/>
          <w:b/>
          <w:bCs/>
          <w:sz w:val="24"/>
          <w:highlight w:val="none"/>
          <w:lang w:eastAsia="zh-CN"/>
        </w:rPr>
        <w:t>）。</w:t>
      </w:r>
    </w:p>
    <w:p w14:paraId="015507CE">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2.为了保障设备的来源及品质，要求产品必须原包装供货，序列号官网所查配置必须与所供设备一致。如不能提供，或所供设备与官网所查配置不一致，则均视为无效报价。</w:t>
      </w:r>
    </w:p>
    <w:p w14:paraId="2AA58B36">
      <w:pPr>
        <w:spacing w:line="360" w:lineRule="auto"/>
        <w:rPr>
          <w:rFonts w:hint="eastAsia" w:ascii="宋体" w:hAnsi="宋体" w:cs="宋体"/>
          <w:sz w:val="24"/>
          <w:highlight w:val="none"/>
        </w:rPr>
      </w:pPr>
      <w:r>
        <w:rPr>
          <w:rFonts w:hint="eastAsia" w:ascii="宋体" w:hAnsi="宋体" w:cs="宋体"/>
          <w:sz w:val="24"/>
          <w:highlight w:val="none"/>
        </w:rPr>
        <w:t>3、培训：</w:t>
      </w:r>
    </w:p>
    <w:p w14:paraId="2BDA5782">
      <w:pPr>
        <w:spacing w:line="360" w:lineRule="auto"/>
        <w:rPr>
          <w:rFonts w:hint="eastAsia" w:ascii="宋体" w:hAnsi="宋体" w:cs="宋体"/>
          <w:sz w:val="24"/>
          <w:highlight w:val="none"/>
        </w:rPr>
      </w:pPr>
      <w:r>
        <w:rPr>
          <w:rFonts w:hint="eastAsia" w:ascii="宋体" w:hAnsi="宋体" w:cs="宋体"/>
          <w:sz w:val="24"/>
          <w:highlight w:val="none"/>
        </w:rPr>
        <w:t>（1）供应商应对采购人的操作人员、维修人员进行培训。</w:t>
      </w:r>
    </w:p>
    <w:p w14:paraId="725BD53D">
      <w:pPr>
        <w:spacing w:line="360" w:lineRule="auto"/>
        <w:rPr>
          <w:rFonts w:hint="eastAsia" w:ascii="宋体" w:hAnsi="宋体" w:cs="宋体"/>
          <w:sz w:val="24"/>
          <w:highlight w:val="none"/>
        </w:rPr>
      </w:pPr>
      <w:r>
        <w:rPr>
          <w:rFonts w:hint="eastAsia" w:ascii="宋体" w:hAnsi="宋体" w:cs="宋体"/>
          <w:sz w:val="24"/>
          <w:highlight w:val="none"/>
        </w:rPr>
        <w:t>（2）供应商应提供相应的培训计划。</w:t>
      </w:r>
    </w:p>
    <w:p w14:paraId="48107C25">
      <w:pPr>
        <w:spacing w:line="360" w:lineRule="auto"/>
        <w:rPr>
          <w:rFonts w:hint="eastAsia" w:ascii="宋体" w:hAnsi="宋体" w:cs="宋体"/>
          <w:sz w:val="24"/>
          <w:highlight w:val="none"/>
        </w:rPr>
      </w:pPr>
      <w:r>
        <w:rPr>
          <w:rFonts w:hint="eastAsia" w:ascii="宋体" w:hAnsi="宋体" w:cs="宋体"/>
          <w:sz w:val="24"/>
          <w:highlight w:val="none"/>
        </w:rPr>
        <w:t>（3）供应商应对上述内容的实现方式、地点、人数、时间在响应文件中详细说明。</w:t>
      </w:r>
    </w:p>
    <w:p w14:paraId="62B70BB2">
      <w:pPr>
        <w:spacing w:line="360" w:lineRule="auto"/>
        <w:rPr>
          <w:rFonts w:hint="eastAsia" w:ascii="宋体" w:hAnsi="宋体" w:cs="宋体"/>
          <w:sz w:val="24"/>
          <w:highlight w:val="none"/>
        </w:rPr>
      </w:pPr>
      <w:r>
        <w:rPr>
          <w:rFonts w:hint="eastAsia" w:ascii="宋体" w:hAnsi="宋体" w:cs="宋体"/>
          <w:sz w:val="24"/>
          <w:highlight w:val="none"/>
        </w:rPr>
        <w:t>4、验收：</w:t>
      </w:r>
    </w:p>
    <w:p w14:paraId="23488A27">
      <w:pPr>
        <w:spacing w:line="360" w:lineRule="auto"/>
        <w:rPr>
          <w:rFonts w:hint="eastAsia" w:ascii="宋体" w:hAnsi="宋体" w:cs="宋体"/>
          <w:sz w:val="24"/>
          <w:highlight w:val="none"/>
        </w:rPr>
      </w:pPr>
      <w:r>
        <w:rPr>
          <w:rFonts w:hint="eastAsia" w:ascii="宋体" w:hAnsi="宋体" w:cs="宋体"/>
          <w:sz w:val="24"/>
          <w:highlight w:val="none"/>
        </w:rPr>
        <w:t>（1）验收时供应商必须提供所有设备的中文说明书、指导书等技术资料。</w:t>
      </w:r>
    </w:p>
    <w:p w14:paraId="30E8AF85">
      <w:pPr>
        <w:spacing w:line="360" w:lineRule="auto"/>
        <w:rPr>
          <w:rFonts w:hint="eastAsia" w:ascii="宋体" w:hAnsi="宋体" w:cs="宋体"/>
          <w:sz w:val="24"/>
          <w:highlight w:val="none"/>
        </w:rPr>
      </w:pPr>
      <w:r>
        <w:rPr>
          <w:rFonts w:hint="eastAsia" w:ascii="宋体" w:hAnsi="宋体" w:cs="宋体"/>
          <w:sz w:val="24"/>
          <w:highlight w:val="none"/>
        </w:rPr>
        <w:t>（2）采购人对供应商提交的货物依据采购文件上的技术规格要求和国家有关质量标准进行现场初步验收，外观、说明书符合采购文件技术要求的，给予签收，初步验收不合格的不予签收。</w:t>
      </w:r>
    </w:p>
    <w:p w14:paraId="69A24161">
      <w:pPr>
        <w:spacing w:line="360" w:lineRule="auto"/>
        <w:rPr>
          <w:rFonts w:hint="eastAsia" w:ascii="宋体" w:hAnsi="宋体" w:cs="宋体"/>
          <w:sz w:val="24"/>
          <w:highlight w:val="none"/>
        </w:rPr>
      </w:pPr>
      <w:r>
        <w:rPr>
          <w:rFonts w:hint="eastAsia" w:ascii="宋体" w:hAnsi="宋体" w:cs="宋体"/>
          <w:sz w:val="24"/>
          <w:highlight w:val="none"/>
        </w:rPr>
        <w:t>（3）供应商交货前应对产品作出全面检查和对验收文件进行整理并列出清单，作为采购人收货验收和使用的技术条件依据，检验的结果应随货物交采购人。</w:t>
      </w:r>
    </w:p>
    <w:p w14:paraId="10B30BB2">
      <w:pPr>
        <w:spacing w:line="360" w:lineRule="auto"/>
        <w:rPr>
          <w:rFonts w:hint="eastAsia" w:ascii="宋体" w:hAnsi="宋体" w:cs="宋体"/>
          <w:sz w:val="24"/>
          <w:highlight w:val="none"/>
        </w:rPr>
      </w:pPr>
      <w:r>
        <w:rPr>
          <w:rFonts w:hint="eastAsia" w:ascii="宋体" w:hAnsi="宋体" w:cs="宋体"/>
          <w:sz w:val="24"/>
          <w:highlight w:val="none"/>
        </w:rPr>
        <w:t>（4）采购人对供应商提供的货物在使用前进行调试时，供应商需负责安装并培训采购人的使用操作人员，并协助采购人一起调试，直到符合技术要求，采购人才做最终验收。</w:t>
      </w:r>
    </w:p>
    <w:p w14:paraId="23012FE0">
      <w:pPr>
        <w:spacing w:line="360" w:lineRule="auto"/>
        <w:ind w:firstLine="0" w:firstLineChars="0"/>
        <w:rPr>
          <w:rFonts w:hint="eastAsia" w:ascii="宋体" w:hAnsi="宋体" w:eastAsia="宋体" w:cs="宋体"/>
          <w:color w:val="auto"/>
          <w:sz w:val="24"/>
          <w:szCs w:val="24"/>
          <w:highlight w:val="none"/>
        </w:rPr>
      </w:pPr>
      <w:r>
        <w:rPr>
          <w:rFonts w:hint="eastAsia" w:ascii="宋体" w:hAnsi="宋体" w:cs="宋体"/>
          <w:sz w:val="24"/>
          <w:highlight w:val="none"/>
        </w:rPr>
        <w:t>（5）验收时供应商必须在现场，验收完毕后作出验收结果报告。</w:t>
      </w:r>
    </w:p>
    <w:p w14:paraId="1927CDEC">
      <w:pPr>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 xml:space="preserve">、付款方式 </w:t>
      </w:r>
    </w:p>
    <w:p w14:paraId="75C7BA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合同生效，且预算资金下达后，甲方向乙方支付合同总价40%的预付款；从项目验收合格之日起，运行后无质量问题，甲方向乙方支付剩余合同款。</w:t>
      </w:r>
    </w:p>
    <w:p w14:paraId="00DDB820">
      <w:pPr>
        <w:pStyle w:val="8"/>
        <w:spacing w:line="360" w:lineRule="auto"/>
        <w:ind w:firstLine="420" w:firstLineChars="175"/>
        <w:rPr>
          <w:rFonts w:hint="eastAsia" w:cs="宋体"/>
          <w:highlight w:val="none"/>
          <w:lang w:val="en-US" w:eastAsia="zh-CN"/>
        </w:rPr>
      </w:pPr>
      <w:r>
        <w:rPr>
          <w:rFonts w:hint="eastAsia" w:cs="宋体"/>
          <w:highlight w:val="none"/>
        </w:rPr>
        <w:t xml:space="preserve"> </w:t>
      </w:r>
      <w:r>
        <w:rPr>
          <w:rFonts w:hint="eastAsia" w:cs="宋体"/>
          <w:highlight w:val="none"/>
          <w:lang w:val="en-US" w:eastAsia="zh-CN"/>
        </w:rPr>
        <w:t xml:space="preserve">           </w:t>
      </w:r>
    </w:p>
    <w:p w14:paraId="300C4EEA">
      <w:pPr>
        <w:pStyle w:val="8"/>
        <w:spacing w:line="360" w:lineRule="auto"/>
        <w:ind w:firstLine="632" w:firstLineChars="175"/>
        <w:rPr>
          <w:rFonts w:hint="eastAsia" w:ascii="宋体" w:hAnsi="宋体" w:cs="宋体"/>
          <w:b/>
          <w:sz w:val="36"/>
          <w:szCs w:val="36"/>
          <w:highlight w:val="none"/>
        </w:rPr>
      </w:pPr>
      <w:r>
        <w:rPr>
          <w:rFonts w:hint="eastAsia" w:ascii="宋体" w:hAnsi="宋体" w:cs="宋体"/>
          <w:b/>
          <w:sz w:val="36"/>
          <w:szCs w:val="36"/>
          <w:highlight w:val="none"/>
        </w:rPr>
        <w:br w:type="page"/>
      </w:r>
    </w:p>
    <w:p w14:paraId="47F29E3C">
      <w:pPr>
        <w:snapToGrid w:val="0"/>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第四部分</w:t>
      </w:r>
      <w:bookmarkStart w:id="17" w:name="_Toc184312131"/>
      <w:bookmarkEnd w:id="17"/>
      <w:bookmarkStart w:id="18" w:name="_Toc184313288"/>
      <w:bookmarkEnd w:id="18"/>
      <w:bookmarkStart w:id="19" w:name="_Toc184313245"/>
      <w:bookmarkEnd w:id="19"/>
      <w:bookmarkStart w:id="20" w:name="_Toc184308064"/>
      <w:bookmarkEnd w:id="20"/>
      <w:bookmarkStart w:id="21" w:name="_Toc184310288"/>
      <w:bookmarkEnd w:id="21"/>
      <w:bookmarkStart w:id="22" w:name="_Toc184314415"/>
      <w:bookmarkEnd w:id="22"/>
      <w:bookmarkStart w:id="23" w:name="_Toc184310317"/>
      <w:bookmarkEnd w:id="23"/>
      <w:bookmarkStart w:id="24" w:name="_Toc184313273"/>
      <w:bookmarkEnd w:id="24"/>
      <w:bookmarkStart w:id="25" w:name="_Toc184312093"/>
      <w:bookmarkEnd w:id="25"/>
      <w:bookmarkStart w:id="26" w:name="_Toc184308098"/>
      <w:bookmarkEnd w:id="26"/>
      <w:bookmarkStart w:id="27" w:name="_Toc184314441"/>
      <w:bookmarkEnd w:id="27"/>
      <w:bookmarkStart w:id="28" w:name="_Toc184313295"/>
      <w:bookmarkEnd w:id="28"/>
      <w:bookmarkStart w:id="29" w:name="_Toc184308097"/>
      <w:bookmarkEnd w:id="29"/>
      <w:bookmarkStart w:id="30" w:name="_Toc184314465"/>
      <w:bookmarkEnd w:id="30"/>
      <w:bookmarkStart w:id="31" w:name="_Toc184308073"/>
      <w:bookmarkEnd w:id="31"/>
      <w:bookmarkStart w:id="32" w:name="_Toc184313262"/>
      <w:bookmarkEnd w:id="32"/>
      <w:bookmarkStart w:id="33" w:name="_Toc184313263"/>
      <w:bookmarkEnd w:id="33"/>
      <w:bookmarkStart w:id="34" w:name="_Toc184314480"/>
      <w:bookmarkEnd w:id="34"/>
      <w:bookmarkStart w:id="35" w:name="_Toc184314468"/>
      <w:bookmarkEnd w:id="35"/>
      <w:bookmarkStart w:id="36" w:name="_Toc184310286"/>
      <w:bookmarkEnd w:id="36"/>
      <w:bookmarkStart w:id="37" w:name="_Toc184314438"/>
      <w:bookmarkEnd w:id="37"/>
      <w:bookmarkStart w:id="38" w:name="_Toc184308089"/>
      <w:bookmarkEnd w:id="38"/>
      <w:bookmarkStart w:id="39" w:name="_Toc184310308"/>
      <w:bookmarkEnd w:id="39"/>
      <w:bookmarkStart w:id="40" w:name="_Toc184313254"/>
      <w:bookmarkEnd w:id="40"/>
      <w:bookmarkStart w:id="41" w:name="_Toc184314458"/>
      <w:bookmarkEnd w:id="41"/>
      <w:bookmarkStart w:id="42" w:name="_Toc184312104"/>
      <w:bookmarkEnd w:id="42"/>
      <w:bookmarkStart w:id="43" w:name="_Toc184314472"/>
      <w:bookmarkEnd w:id="43"/>
      <w:bookmarkStart w:id="44" w:name="_Toc184313280"/>
      <w:bookmarkEnd w:id="44"/>
      <w:bookmarkStart w:id="45" w:name="_Toc184312088"/>
      <w:bookmarkEnd w:id="45"/>
      <w:bookmarkStart w:id="46" w:name="_Toc184314463"/>
      <w:bookmarkEnd w:id="46"/>
      <w:bookmarkStart w:id="47" w:name="_Toc184313243"/>
      <w:bookmarkEnd w:id="47"/>
      <w:bookmarkStart w:id="48" w:name="_Toc184314428"/>
      <w:bookmarkEnd w:id="48"/>
      <w:bookmarkStart w:id="49" w:name="_Toc184312100"/>
      <w:bookmarkEnd w:id="49"/>
      <w:bookmarkStart w:id="50" w:name="_Toc184314434"/>
      <w:bookmarkEnd w:id="50"/>
      <w:bookmarkStart w:id="51" w:name="_Toc184313260"/>
      <w:bookmarkEnd w:id="51"/>
      <w:bookmarkStart w:id="52" w:name="_Toc184308045"/>
      <w:bookmarkEnd w:id="52"/>
      <w:bookmarkStart w:id="53" w:name="_Toc184308036"/>
      <w:bookmarkEnd w:id="53"/>
      <w:bookmarkStart w:id="54" w:name="_Toc184312121"/>
      <w:bookmarkEnd w:id="54"/>
      <w:bookmarkStart w:id="55" w:name="_Toc184310290"/>
      <w:bookmarkEnd w:id="55"/>
      <w:bookmarkStart w:id="56" w:name="_Toc184310297"/>
      <w:bookmarkEnd w:id="56"/>
      <w:bookmarkStart w:id="57" w:name="_Toc184310332"/>
      <w:bookmarkEnd w:id="57"/>
      <w:bookmarkStart w:id="58" w:name="_Toc184313240"/>
      <w:bookmarkEnd w:id="58"/>
      <w:bookmarkStart w:id="59" w:name="_Toc184308067"/>
      <w:bookmarkEnd w:id="59"/>
      <w:bookmarkStart w:id="60" w:name="_Toc184313304"/>
      <w:bookmarkEnd w:id="60"/>
      <w:bookmarkStart w:id="61" w:name="_Toc184310296"/>
      <w:bookmarkEnd w:id="61"/>
      <w:bookmarkStart w:id="62" w:name="_Toc184312075"/>
      <w:bookmarkEnd w:id="62"/>
      <w:bookmarkStart w:id="63" w:name="_Toc184310272"/>
      <w:bookmarkEnd w:id="63"/>
      <w:bookmarkStart w:id="64" w:name="_Toc184312107"/>
      <w:bookmarkEnd w:id="64"/>
      <w:bookmarkStart w:id="65" w:name="_Toc184308052"/>
      <w:bookmarkEnd w:id="65"/>
      <w:bookmarkStart w:id="66" w:name="_Toc184312084"/>
      <w:bookmarkEnd w:id="66"/>
      <w:bookmarkStart w:id="67" w:name="_Toc184308055"/>
      <w:bookmarkEnd w:id="67"/>
      <w:bookmarkStart w:id="68" w:name="_Toc184310293"/>
      <w:bookmarkEnd w:id="68"/>
      <w:bookmarkStart w:id="69" w:name="_Toc184313244"/>
      <w:bookmarkEnd w:id="69"/>
      <w:bookmarkStart w:id="70" w:name="_Toc184314482"/>
      <w:bookmarkEnd w:id="70"/>
      <w:bookmarkStart w:id="71" w:name="_Toc184314466"/>
      <w:bookmarkEnd w:id="71"/>
      <w:bookmarkStart w:id="72" w:name="_Toc184314462"/>
      <w:bookmarkEnd w:id="72"/>
      <w:bookmarkStart w:id="73" w:name="_Toc184310289"/>
      <w:bookmarkEnd w:id="73"/>
      <w:bookmarkStart w:id="74" w:name="_Toc184308104"/>
      <w:bookmarkEnd w:id="74"/>
      <w:bookmarkStart w:id="75" w:name="_Toc184313255"/>
      <w:bookmarkEnd w:id="75"/>
      <w:bookmarkStart w:id="76" w:name="_Toc184312083"/>
      <w:bookmarkEnd w:id="76"/>
      <w:bookmarkStart w:id="77" w:name="_Toc184312069"/>
      <w:bookmarkEnd w:id="77"/>
      <w:bookmarkStart w:id="78" w:name="_Toc184312139"/>
      <w:bookmarkEnd w:id="78"/>
      <w:bookmarkStart w:id="79" w:name="_Toc184308066"/>
      <w:bookmarkEnd w:id="79"/>
      <w:bookmarkStart w:id="80" w:name="_Toc184314454"/>
      <w:bookmarkEnd w:id="80"/>
      <w:bookmarkStart w:id="81" w:name="_Toc184312113"/>
      <w:bookmarkEnd w:id="81"/>
      <w:bookmarkStart w:id="82" w:name="_Toc184310274"/>
      <w:bookmarkEnd w:id="82"/>
      <w:bookmarkStart w:id="83" w:name="_Toc184310304"/>
      <w:bookmarkEnd w:id="83"/>
      <w:bookmarkStart w:id="84" w:name="_Toc184312079"/>
      <w:bookmarkEnd w:id="84"/>
      <w:bookmarkStart w:id="85" w:name="_Toc184310298"/>
      <w:bookmarkEnd w:id="85"/>
      <w:bookmarkStart w:id="86" w:name="_Toc184312120"/>
      <w:bookmarkEnd w:id="86"/>
      <w:bookmarkStart w:id="87" w:name="_Toc184310326"/>
      <w:bookmarkEnd w:id="87"/>
      <w:bookmarkStart w:id="88" w:name="_Toc184308039"/>
      <w:bookmarkEnd w:id="88"/>
      <w:bookmarkStart w:id="89" w:name="_Toc184313309"/>
      <w:bookmarkEnd w:id="89"/>
      <w:bookmarkStart w:id="90" w:name="_Toc184312130"/>
      <w:bookmarkEnd w:id="90"/>
      <w:bookmarkStart w:id="91" w:name="_Toc184313306"/>
      <w:bookmarkEnd w:id="91"/>
      <w:bookmarkStart w:id="92" w:name="_Toc184314430"/>
      <w:bookmarkEnd w:id="92"/>
      <w:bookmarkStart w:id="93" w:name="_Toc184310307"/>
      <w:bookmarkEnd w:id="93"/>
      <w:bookmarkStart w:id="94" w:name="_Toc184312122"/>
      <w:bookmarkEnd w:id="94"/>
      <w:bookmarkStart w:id="95" w:name="_Toc184312128"/>
      <w:bookmarkEnd w:id="95"/>
      <w:bookmarkStart w:id="96" w:name="_Toc184313307"/>
      <w:bookmarkEnd w:id="96"/>
      <w:bookmarkStart w:id="97" w:name="_Toc184312085"/>
      <w:bookmarkEnd w:id="97"/>
      <w:bookmarkStart w:id="98" w:name="_Toc184310291"/>
      <w:bookmarkEnd w:id="98"/>
      <w:bookmarkStart w:id="99" w:name="_Toc184312125"/>
      <w:bookmarkEnd w:id="99"/>
      <w:bookmarkStart w:id="100" w:name="_Toc184313256"/>
      <w:bookmarkEnd w:id="100"/>
      <w:bookmarkStart w:id="101" w:name="_Toc184314477"/>
      <w:bookmarkEnd w:id="101"/>
      <w:bookmarkStart w:id="102" w:name="_Toc184310305"/>
      <w:bookmarkEnd w:id="102"/>
      <w:bookmarkStart w:id="103" w:name="_Toc184310302"/>
      <w:bookmarkEnd w:id="103"/>
      <w:bookmarkStart w:id="104" w:name="_Toc184310285"/>
      <w:bookmarkEnd w:id="104"/>
      <w:bookmarkStart w:id="105" w:name="_Toc184308062"/>
      <w:bookmarkEnd w:id="105"/>
      <w:bookmarkStart w:id="106" w:name="_Toc184308096"/>
      <w:bookmarkEnd w:id="106"/>
      <w:bookmarkStart w:id="107" w:name="_Toc184314443"/>
      <w:bookmarkEnd w:id="107"/>
      <w:bookmarkStart w:id="108" w:name="_Toc184313291"/>
      <w:bookmarkEnd w:id="108"/>
      <w:bookmarkStart w:id="109" w:name="_Toc184313301"/>
      <w:bookmarkEnd w:id="109"/>
      <w:bookmarkStart w:id="110" w:name="_Toc184310301"/>
      <w:bookmarkEnd w:id="110"/>
      <w:bookmarkStart w:id="111" w:name="_Toc184312078"/>
      <w:bookmarkEnd w:id="111"/>
      <w:bookmarkStart w:id="112" w:name="_Toc184310323"/>
      <w:bookmarkEnd w:id="112"/>
      <w:bookmarkStart w:id="113" w:name="_Toc184312110"/>
      <w:bookmarkEnd w:id="113"/>
      <w:bookmarkStart w:id="114" w:name="_Toc184312132"/>
      <w:bookmarkEnd w:id="114"/>
      <w:bookmarkStart w:id="115" w:name="_Toc184308057"/>
      <w:bookmarkEnd w:id="115"/>
      <w:bookmarkStart w:id="116" w:name="_Toc184312098"/>
      <w:bookmarkEnd w:id="116"/>
      <w:bookmarkStart w:id="117" w:name="_Toc184314413"/>
      <w:bookmarkEnd w:id="117"/>
      <w:bookmarkStart w:id="118" w:name="_Toc184308088"/>
      <w:bookmarkEnd w:id="118"/>
      <w:bookmarkStart w:id="119" w:name="_Toc184312089"/>
      <w:bookmarkEnd w:id="119"/>
      <w:bookmarkStart w:id="120" w:name="_Toc184310294"/>
      <w:bookmarkEnd w:id="120"/>
      <w:bookmarkStart w:id="121" w:name="_Toc184308080"/>
      <w:bookmarkEnd w:id="121"/>
      <w:bookmarkStart w:id="122" w:name="_Toc184310278"/>
      <w:bookmarkEnd w:id="122"/>
      <w:bookmarkStart w:id="123" w:name="_Toc184312092"/>
      <w:bookmarkEnd w:id="123"/>
      <w:bookmarkStart w:id="124" w:name="_Toc184312108"/>
      <w:bookmarkEnd w:id="124"/>
      <w:bookmarkStart w:id="125" w:name="_Toc184312116"/>
      <w:bookmarkEnd w:id="125"/>
      <w:bookmarkStart w:id="126" w:name="_Toc184308048"/>
      <w:bookmarkEnd w:id="126"/>
      <w:bookmarkStart w:id="127" w:name="_Toc184314411"/>
      <w:bookmarkEnd w:id="127"/>
      <w:bookmarkStart w:id="128" w:name="_Toc184313290"/>
      <w:bookmarkEnd w:id="128"/>
      <w:bookmarkStart w:id="129" w:name="_Toc184310330"/>
      <w:bookmarkEnd w:id="129"/>
      <w:bookmarkStart w:id="130" w:name="_Toc184313272"/>
      <w:bookmarkEnd w:id="130"/>
      <w:bookmarkStart w:id="131" w:name="_Toc184312099"/>
      <w:bookmarkEnd w:id="131"/>
      <w:bookmarkStart w:id="132" w:name="_Toc184313296"/>
      <w:bookmarkEnd w:id="132"/>
      <w:bookmarkStart w:id="133" w:name="_Toc184310309"/>
      <w:bookmarkEnd w:id="133"/>
      <w:bookmarkStart w:id="134" w:name="_Toc184314447"/>
      <w:bookmarkEnd w:id="134"/>
      <w:bookmarkStart w:id="135" w:name="_Toc184313282"/>
      <w:bookmarkEnd w:id="135"/>
      <w:bookmarkStart w:id="136" w:name="_Toc184314471"/>
      <w:bookmarkEnd w:id="136"/>
      <w:bookmarkStart w:id="137" w:name="_Toc184310343"/>
      <w:bookmarkEnd w:id="137"/>
      <w:bookmarkStart w:id="138" w:name="_Toc184308058"/>
      <w:bookmarkEnd w:id="138"/>
      <w:bookmarkStart w:id="139" w:name="_Toc184312077"/>
      <w:bookmarkEnd w:id="139"/>
      <w:bookmarkStart w:id="140" w:name="_Toc184312112"/>
      <w:bookmarkEnd w:id="140"/>
      <w:bookmarkStart w:id="141" w:name="_Toc184310334"/>
      <w:bookmarkEnd w:id="141"/>
      <w:bookmarkStart w:id="142" w:name="_Toc184308105"/>
      <w:bookmarkEnd w:id="142"/>
      <w:bookmarkStart w:id="143" w:name="_Toc184310314"/>
      <w:bookmarkEnd w:id="143"/>
      <w:bookmarkStart w:id="144" w:name="_Toc184313299"/>
      <w:bookmarkEnd w:id="144"/>
      <w:bookmarkStart w:id="145" w:name="_Toc184312111"/>
      <w:bookmarkEnd w:id="145"/>
      <w:bookmarkStart w:id="146" w:name="_Toc184313286"/>
      <w:bookmarkEnd w:id="146"/>
      <w:bookmarkStart w:id="147" w:name="_Toc184313246"/>
      <w:bookmarkEnd w:id="147"/>
      <w:bookmarkStart w:id="148" w:name="_Toc184310277"/>
      <w:bookmarkEnd w:id="148"/>
      <w:bookmarkStart w:id="149" w:name="_Toc184310281"/>
      <w:bookmarkEnd w:id="149"/>
      <w:bookmarkStart w:id="150" w:name="_Toc184313258"/>
      <w:bookmarkEnd w:id="150"/>
      <w:bookmarkStart w:id="151" w:name="_Toc184312070"/>
      <w:bookmarkEnd w:id="151"/>
      <w:bookmarkStart w:id="152" w:name="_Toc184308086"/>
      <w:bookmarkEnd w:id="152"/>
      <w:bookmarkStart w:id="153" w:name="_Toc184312136"/>
      <w:bookmarkEnd w:id="153"/>
      <w:bookmarkStart w:id="154" w:name="_Toc184314432"/>
      <w:bookmarkEnd w:id="154"/>
      <w:bookmarkStart w:id="155" w:name="_Toc184314450"/>
      <w:bookmarkEnd w:id="155"/>
      <w:bookmarkStart w:id="156" w:name="_Toc184310318"/>
      <w:bookmarkEnd w:id="156"/>
      <w:bookmarkStart w:id="157" w:name="_Toc184308059"/>
      <w:bookmarkEnd w:id="157"/>
      <w:bookmarkStart w:id="158" w:name="_Toc184314460"/>
      <w:bookmarkEnd w:id="158"/>
      <w:bookmarkStart w:id="159" w:name="_Toc184313283"/>
      <w:bookmarkEnd w:id="159"/>
      <w:bookmarkStart w:id="160" w:name="_Toc184312115"/>
      <w:bookmarkEnd w:id="160"/>
      <w:bookmarkStart w:id="161" w:name="_Toc184314479"/>
      <w:bookmarkEnd w:id="161"/>
      <w:bookmarkStart w:id="162" w:name="_Toc184308040"/>
      <w:bookmarkEnd w:id="162"/>
      <w:bookmarkStart w:id="163" w:name="_Toc184314412"/>
      <w:bookmarkEnd w:id="163"/>
      <w:bookmarkStart w:id="164" w:name="_Toc184312137"/>
      <w:bookmarkEnd w:id="164"/>
      <w:bookmarkStart w:id="165" w:name="_Toc184312119"/>
      <w:bookmarkEnd w:id="165"/>
      <w:bookmarkStart w:id="166" w:name="_Toc184313264"/>
      <w:bookmarkEnd w:id="166"/>
      <w:bookmarkStart w:id="167" w:name="_Toc184314421"/>
      <w:bookmarkEnd w:id="167"/>
      <w:bookmarkStart w:id="168" w:name="_Toc184312109"/>
      <w:bookmarkEnd w:id="168"/>
      <w:bookmarkStart w:id="169" w:name="_Toc184310311"/>
      <w:bookmarkEnd w:id="169"/>
      <w:bookmarkStart w:id="170" w:name="_Toc184308076"/>
      <w:bookmarkEnd w:id="170"/>
      <w:bookmarkStart w:id="171" w:name="_Toc184310303"/>
      <w:bookmarkEnd w:id="171"/>
      <w:bookmarkStart w:id="172" w:name="_Toc184312118"/>
      <w:bookmarkEnd w:id="172"/>
      <w:bookmarkStart w:id="173" w:name="_Toc184310342"/>
      <w:bookmarkEnd w:id="173"/>
      <w:bookmarkStart w:id="174" w:name="_Toc184314464"/>
      <w:bookmarkEnd w:id="174"/>
      <w:bookmarkStart w:id="175" w:name="_Toc184308079"/>
      <w:bookmarkEnd w:id="175"/>
      <w:bookmarkStart w:id="176" w:name="_Toc184313252"/>
      <w:bookmarkEnd w:id="176"/>
      <w:bookmarkStart w:id="177" w:name="_Toc184310312"/>
      <w:bookmarkEnd w:id="177"/>
      <w:bookmarkStart w:id="178" w:name="_Toc184313239"/>
      <w:bookmarkEnd w:id="178"/>
      <w:bookmarkStart w:id="179" w:name="_Toc184308063"/>
      <w:bookmarkEnd w:id="179"/>
      <w:bookmarkStart w:id="180" w:name="_Toc184314431"/>
      <w:bookmarkEnd w:id="180"/>
      <w:bookmarkStart w:id="181" w:name="_Toc184314446"/>
      <w:bookmarkEnd w:id="181"/>
      <w:bookmarkStart w:id="182" w:name="_Toc184310335"/>
      <w:bookmarkEnd w:id="182"/>
      <w:bookmarkStart w:id="183" w:name="_Toc184313250"/>
      <w:bookmarkEnd w:id="183"/>
      <w:bookmarkStart w:id="184" w:name="_Toc184312135"/>
      <w:bookmarkEnd w:id="184"/>
      <w:bookmarkStart w:id="185" w:name="_Toc184313297"/>
      <w:bookmarkEnd w:id="185"/>
      <w:bookmarkStart w:id="186" w:name="_Toc184312068"/>
      <w:bookmarkEnd w:id="186"/>
      <w:bookmarkStart w:id="187" w:name="_Toc184312095"/>
      <w:bookmarkEnd w:id="187"/>
      <w:bookmarkStart w:id="188" w:name="_Toc184310316"/>
      <w:bookmarkEnd w:id="188"/>
      <w:bookmarkStart w:id="189" w:name="_Toc184312134"/>
      <w:bookmarkEnd w:id="189"/>
      <w:bookmarkStart w:id="190" w:name="_Toc184308090"/>
      <w:bookmarkEnd w:id="190"/>
      <w:bookmarkStart w:id="191" w:name="_Toc184314419"/>
      <w:bookmarkEnd w:id="191"/>
      <w:bookmarkStart w:id="192" w:name="_Toc184308065"/>
      <w:bookmarkEnd w:id="192"/>
      <w:bookmarkStart w:id="193" w:name="_Toc184313249"/>
      <w:bookmarkEnd w:id="193"/>
      <w:bookmarkStart w:id="194" w:name="_Toc184310276"/>
      <w:bookmarkEnd w:id="194"/>
      <w:bookmarkStart w:id="195" w:name="_Toc184314478"/>
      <w:bookmarkEnd w:id="195"/>
      <w:bookmarkStart w:id="196" w:name="_Toc184314475"/>
      <w:bookmarkEnd w:id="196"/>
      <w:bookmarkStart w:id="197" w:name="_Toc184313300"/>
      <w:bookmarkEnd w:id="197"/>
      <w:bookmarkStart w:id="198" w:name="_Toc184312087"/>
      <w:bookmarkEnd w:id="198"/>
      <w:bookmarkStart w:id="199" w:name="_Toc184310340"/>
      <w:bookmarkEnd w:id="199"/>
      <w:bookmarkStart w:id="200" w:name="_Toc184308075"/>
      <w:bookmarkEnd w:id="200"/>
      <w:bookmarkStart w:id="201" w:name="_Toc184310320"/>
      <w:bookmarkEnd w:id="201"/>
      <w:bookmarkStart w:id="202" w:name="_Toc184312097"/>
      <w:bookmarkEnd w:id="202"/>
      <w:bookmarkStart w:id="203" w:name="_Toc184312076"/>
      <w:bookmarkEnd w:id="203"/>
      <w:bookmarkStart w:id="204" w:name="_Toc184314455"/>
      <w:bookmarkEnd w:id="204"/>
      <w:bookmarkStart w:id="205" w:name="_Toc184310306"/>
      <w:bookmarkEnd w:id="205"/>
      <w:bookmarkStart w:id="206" w:name="_Toc184308085"/>
      <w:bookmarkEnd w:id="206"/>
      <w:bookmarkStart w:id="207" w:name="_Toc184310324"/>
      <w:bookmarkEnd w:id="207"/>
      <w:bookmarkStart w:id="208" w:name="_Toc184314481"/>
      <w:bookmarkEnd w:id="208"/>
      <w:bookmarkStart w:id="209" w:name="_Toc184310344"/>
      <w:bookmarkEnd w:id="209"/>
      <w:bookmarkStart w:id="210" w:name="_Toc184308071"/>
      <w:bookmarkEnd w:id="210"/>
      <w:bookmarkStart w:id="211" w:name="_Toc184314423"/>
      <w:bookmarkEnd w:id="211"/>
      <w:bookmarkStart w:id="212" w:name="_Toc184308083"/>
      <w:bookmarkEnd w:id="212"/>
      <w:bookmarkStart w:id="213" w:name="_Toc184310275"/>
      <w:bookmarkEnd w:id="213"/>
      <w:bookmarkStart w:id="214" w:name="_Toc184314442"/>
      <w:bookmarkEnd w:id="214"/>
      <w:bookmarkStart w:id="215" w:name="_Toc184308099"/>
      <w:bookmarkEnd w:id="215"/>
      <w:bookmarkStart w:id="216" w:name="_Toc184314414"/>
      <w:bookmarkEnd w:id="216"/>
      <w:bookmarkStart w:id="217" w:name="_Toc184314444"/>
      <w:bookmarkEnd w:id="217"/>
      <w:bookmarkStart w:id="218" w:name="_Toc184312126"/>
      <w:bookmarkEnd w:id="218"/>
      <w:bookmarkStart w:id="219" w:name="_Toc184308095"/>
      <w:bookmarkEnd w:id="219"/>
      <w:bookmarkStart w:id="220" w:name="_Toc184314474"/>
      <w:bookmarkEnd w:id="220"/>
      <w:bookmarkStart w:id="221" w:name="_Toc184313275"/>
      <w:bookmarkEnd w:id="221"/>
      <w:bookmarkStart w:id="222" w:name="_Toc184308084"/>
      <w:bookmarkEnd w:id="222"/>
      <w:bookmarkStart w:id="223" w:name="_Toc184312123"/>
      <w:bookmarkEnd w:id="223"/>
      <w:bookmarkStart w:id="224" w:name="_Toc184308103"/>
      <w:bookmarkEnd w:id="224"/>
      <w:bookmarkStart w:id="225" w:name="_Toc184308093"/>
      <w:bookmarkEnd w:id="225"/>
      <w:bookmarkStart w:id="226" w:name="_Toc184312067"/>
      <w:bookmarkEnd w:id="226"/>
      <w:bookmarkStart w:id="227" w:name="_Toc184308078"/>
      <w:bookmarkEnd w:id="227"/>
      <w:bookmarkStart w:id="228" w:name="_Toc184312102"/>
      <w:bookmarkEnd w:id="228"/>
      <w:bookmarkStart w:id="229" w:name="_Toc184313287"/>
      <w:bookmarkEnd w:id="229"/>
      <w:bookmarkStart w:id="230" w:name="_Toc184313279"/>
      <w:bookmarkEnd w:id="230"/>
      <w:bookmarkStart w:id="231" w:name="_Toc184312101"/>
      <w:bookmarkEnd w:id="231"/>
      <w:bookmarkStart w:id="232" w:name="_Toc184308043"/>
      <w:bookmarkEnd w:id="232"/>
      <w:bookmarkStart w:id="233" w:name="_Toc184308061"/>
      <w:bookmarkEnd w:id="233"/>
      <w:bookmarkStart w:id="234" w:name="_Toc184314435"/>
      <w:bookmarkEnd w:id="234"/>
      <w:bookmarkStart w:id="235" w:name="_Toc184313259"/>
      <w:bookmarkEnd w:id="235"/>
      <w:bookmarkStart w:id="236" w:name="_Toc184308070"/>
      <w:bookmarkEnd w:id="236"/>
      <w:bookmarkStart w:id="237" w:name="_Toc184313276"/>
      <w:bookmarkEnd w:id="237"/>
      <w:bookmarkStart w:id="238" w:name="_Toc184310337"/>
      <w:bookmarkEnd w:id="238"/>
      <w:bookmarkStart w:id="239" w:name="_Toc184310329"/>
      <w:bookmarkEnd w:id="239"/>
      <w:bookmarkStart w:id="240" w:name="_Toc184308101"/>
      <w:bookmarkEnd w:id="240"/>
      <w:bookmarkStart w:id="241" w:name="_Toc184310295"/>
      <w:bookmarkEnd w:id="241"/>
      <w:bookmarkStart w:id="242" w:name="_Toc184308050"/>
      <w:bookmarkEnd w:id="242"/>
      <w:bookmarkStart w:id="243" w:name="_Toc184308047"/>
      <w:bookmarkEnd w:id="243"/>
      <w:bookmarkStart w:id="244" w:name="_Toc184314426"/>
      <w:bookmarkEnd w:id="244"/>
      <w:bookmarkStart w:id="245" w:name="_Toc184314424"/>
      <w:bookmarkEnd w:id="245"/>
      <w:bookmarkStart w:id="246" w:name="_Toc184310319"/>
      <w:bookmarkEnd w:id="246"/>
      <w:bookmarkStart w:id="247" w:name="_Toc184308102"/>
      <w:bookmarkEnd w:id="247"/>
      <w:bookmarkStart w:id="248" w:name="_Toc184313248"/>
      <w:bookmarkEnd w:id="248"/>
      <w:bookmarkStart w:id="249" w:name="_Toc184310338"/>
      <w:bookmarkEnd w:id="249"/>
      <w:bookmarkStart w:id="250" w:name="_Toc184308044"/>
      <w:bookmarkEnd w:id="250"/>
      <w:bookmarkStart w:id="251" w:name="_Toc184313274"/>
      <w:bookmarkEnd w:id="251"/>
      <w:bookmarkStart w:id="252" w:name="_Toc184314452"/>
      <w:bookmarkEnd w:id="252"/>
      <w:bookmarkStart w:id="253" w:name="_Toc184314445"/>
      <w:bookmarkEnd w:id="253"/>
      <w:bookmarkStart w:id="254" w:name="_Toc184314459"/>
      <w:bookmarkEnd w:id="254"/>
      <w:bookmarkStart w:id="255" w:name="_Toc184314467"/>
      <w:bookmarkEnd w:id="255"/>
      <w:bookmarkStart w:id="256" w:name="_Toc184313267"/>
      <w:bookmarkEnd w:id="256"/>
      <w:bookmarkStart w:id="257" w:name="_Toc184312124"/>
      <w:bookmarkEnd w:id="257"/>
      <w:bookmarkStart w:id="258" w:name="_Toc184313270"/>
      <w:bookmarkEnd w:id="258"/>
      <w:bookmarkStart w:id="259" w:name="_Toc184314429"/>
      <w:bookmarkEnd w:id="259"/>
      <w:bookmarkStart w:id="260" w:name="_Toc184310325"/>
      <w:bookmarkEnd w:id="260"/>
      <w:bookmarkStart w:id="261" w:name="_Toc184313266"/>
      <w:bookmarkEnd w:id="261"/>
      <w:bookmarkStart w:id="262" w:name="_Toc184308038"/>
      <w:bookmarkEnd w:id="262"/>
      <w:bookmarkStart w:id="263" w:name="_Toc184313302"/>
      <w:bookmarkEnd w:id="263"/>
      <w:bookmarkStart w:id="264" w:name="_Toc184308091"/>
      <w:bookmarkEnd w:id="264"/>
      <w:bookmarkStart w:id="265" w:name="_Toc184314440"/>
      <w:bookmarkEnd w:id="265"/>
      <w:bookmarkStart w:id="266" w:name="_Toc184313268"/>
      <w:bookmarkEnd w:id="266"/>
      <w:bookmarkStart w:id="267" w:name="_Toc184314433"/>
      <w:bookmarkEnd w:id="267"/>
      <w:bookmarkStart w:id="268" w:name="_Toc184312081"/>
      <w:bookmarkEnd w:id="268"/>
      <w:bookmarkStart w:id="269" w:name="_Toc184314453"/>
      <w:bookmarkEnd w:id="269"/>
      <w:bookmarkStart w:id="270" w:name="_Toc184313284"/>
      <w:bookmarkEnd w:id="270"/>
      <w:bookmarkStart w:id="271" w:name="_Toc184312105"/>
      <w:bookmarkEnd w:id="271"/>
      <w:bookmarkStart w:id="272" w:name="_Toc184308046"/>
      <w:bookmarkEnd w:id="272"/>
      <w:bookmarkStart w:id="273" w:name="_Toc184313289"/>
      <w:bookmarkEnd w:id="273"/>
      <w:bookmarkStart w:id="274" w:name="_Toc184313292"/>
      <w:bookmarkEnd w:id="274"/>
      <w:bookmarkStart w:id="275" w:name="_Toc184314437"/>
      <w:bookmarkEnd w:id="275"/>
      <w:bookmarkStart w:id="276" w:name="_Toc184308108"/>
      <w:bookmarkEnd w:id="276"/>
      <w:bookmarkStart w:id="277" w:name="_Toc184310287"/>
      <w:bookmarkEnd w:id="277"/>
      <w:bookmarkStart w:id="278" w:name="_Toc184314470"/>
      <w:bookmarkEnd w:id="278"/>
      <w:bookmarkStart w:id="279" w:name="_Toc184310284"/>
      <w:bookmarkEnd w:id="279"/>
      <w:bookmarkStart w:id="280" w:name="_Toc184313308"/>
      <w:bookmarkEnd w:id="280"/>
      <w:bookmarkStart w:id="281" w:name="_Toc184312133"/>
      <w:bookmarkEnd w:id="281"/>
      <w:bookmarkStart w:id="282" w:name="_Toc184312103"/>
      <w:bookmarkEnd w:id="282"/>
      <w:bookmarkStart w:id="283" w:name="_Toc184313271"/>
      <w:bookmarkEnd w:id="283"/>
      <w:bookmarkStart w:id="284" w:name="_Toc184310333"/>
      <w:bookmarkEnd w:id="284"/>
      <w:bookmarkStart w:id="285" w:name="_Toc184308087"/>
      <w:bookmarkEnd w:id="285"/>
      <w:bookmarkStart w:id="286" w:name="_Toc184312091"/>
      <w:bookmarkEnd w:id="286"/>
      <w:bookmarkStart w:id="287" w:name="_Toc184310336"/>
      <w:bookmarkEnd w:id="287"/>
      <w:bookmarkStart w:id="288" w:name="_Toc184312117"/>
      <w:bookmarkEnd w:id="288"/>
      <w:bookmarkStart w:id="289" w:name="_Toc184313261"/>
      <w:bookmarkEnd w:id="289"/>
      <w:bookmarkStart w:id="290" w:name="_Toc184314427"/>
      <w:bookmarkEnd w:id="290"/>
      <w:bookmarkStart w:id="291" w:name="_Toc184313265"/>
      <w:bookmarkEnd w:id="291"/>
      <w:bookmarkStart w:id="292" w:name="_Toc184314422"/>
      <w:bookmarkEnd w:id="292"/>
      <w:bookmarkStart w:id="293" w:name="_Toc184313278"/>
      <w:bookmarkEnd w:id="293"/>
      <w:bookmarkStart w:id="294" w:name="_Toc184313294"/>
      <w:bookmarkEnd w:id="294"/>
      <w:bookmarkStart w:id="295" w:name="_Toc184308056"/>
      <w:bookmarkEnd w:id="295"/>
      <w:bookmarkStart w:id="296" w:name="_Toc184310280"/>
      <w:bookmarkEnd w:id="296"/>
      <w:bookmarkStart w:id="297" w:name="_Toc184314449"/>
      <w:bookmarkEnd w:id="297"/>
      <w:bookmarkStart w:id="298" w:name="_Toc184312127"/>
      <w:bookmarkEnd w:id="298"/>
      <w:bookmarkStart w:id="299" w:name="_Toc184310300"/>
      <w:bookmarkEnd w:id="299"/>
      <w:bookmarkStart w:id="300" w:name="_Toc184313293"/>
      <w:bookmarkEnd w:id="300"/>
      <w:bookmarkStart w:id="301" w:name="_Toc184313285"/>
      <w:bookmarkEnd w:id="301"/>
      <w:bookmarkStart w:id="302" w:name="_Toc184312082"/>
      <w:bookmarkEnd w:id="302"/>
      <w:bookmarkStart w:id="303" w:name="_Toc184314448"/>
      <w:bookmarkEnd w:id="303"/>
      <w:bookmarkStart w:id="304" w:name="_Toc184314457"/>
      <w:bookmarkEnd w:id="304"/>
      <w:bookmarkStart w:id="305" w:name="_Toc184310341"/>
      <w:bookmarkEnd w:id="305"/>
      <w:bookmarkStart w:id="306" w:name="_Toc184312094"/>
      <w:bookmarkEnd w:id="306"/>
      <w:bookmarkStart w:id="307" w:name="_Toc184314416"/>
      <w:bookmarkEnd w:id="307"/>
      <w:bookmarkStart w:id="308" w:name="_Toc184308060"/>
      <w:bookmarkEnd w:id="308"/>
      <w:bookmarkStart w:id="309" w:name="_Toc184312072"/>
      <w:bookmarkEnd w:id="309"/>
      <w:bookmarkStart w:id="310" w:name="_Toc184313298"/>
      <w:bookmarkEnd w:id="310"/>
      <w:bookmarkStart w:id="311" w:name="_Toc184314410"/>
      <w:bookmarkEnd w:id="311"/>
      <w:bookmarkStart w:id="312" w:name="_Toc184314439"/>
      <w:bookmarkEnd w:id="312"/>
      <w:bookmarkStart w:id="313" w:name="_Toc184313281"/>
      <w:bookmarkEnd w:id="313"/>
      <w:bookmarkStart w:id="314" w:name="_Toc184313238"/>
      <w:bookmarkEnd w:id="314"/>
      <w:bookmarkStart w:id="315" w:name="_Toc184314469"/>
      <w:bookmarkEnd w:id="315"/>
      <w:bookmarkStart w:id="316" w:name="_Toc184308082"/>
      <w:bookmarkEnd w:id="316"/>
      <w:bookmarkStart w:id="317" w:name="_Toc184308049"/>
      <w:bookmarkEnd w:id="317"/>
      <w:bookmarkStart w:id="318" w:name="_Toc184314456"/>
      <w:bookmarkEnd w:id="318"/>
      <w:bookmarkStart w:id="319" w:name="_Toc184314461"/>
      <w:bookmarkEnd w:id="319"/>
      <w:bookmarkStart w:id="320" w:name="_Toc184313257"/>
      <w:bookmarkEnd w:id="320"/>
      <w:bookmarkStart w:id="321" w:name="_Toc184308094"/>
      <w:bookmarkEnd w:id="321"/>
      <w:bookmarkStart w:id="322" w:name="_Toc184313241"/>
      <w:bookmarkEnd w:id="322"/>
      <w:bookmarkStart w:id="323" w:name="_Toc184313253"/>
      <w:bookmarkEnd w:id="323"/>
      <w:bookmarkStart w:id="324" w:name="_Toc184310321"/>
      <w:bookmarkEnd w:id="324"/>
      <w:bookmarkStart w:id="325" w:name="_Toc184310315"/>
      <w:bookmarkEnd w:id="325"/>
      <w:bookmarkStart w:id="326" w:name="_Toc184312096"/>
      <w:bookmarkEnd w:id="326"/>
      <w:bookmarkStart w:id="327" w:name="_Toc184308053"/>
      <w:bookmarkEnd w:id="327"/>
      <w:bookmarkStart w:id="328" w:name="_Toc184308054"/>
      <w:bookmarkEnd w:id="328"/>
      <w:bookmarkStart w:id="329" w:name="_Toc184308037"/>
      <w:bookmarkEnd w:id="329"/>
      <w:bookmarkStart w:id="330" w:name="_Toc184310313"/>
      <w:bookmarkEnd w:id="330"/>
      <w:bookmarkStart w:id="331" w:name="_Toc184308051"/>
      <w:bookmarkEnd w:id="331"/>
      <w:bookmarkStart w:id="332" w:name="_Toc184312080"/>
      <w:bookmarkEnd w:id="332"/>
      <w:bookmarkStart w:id="333" w:name="_Toc184313305"/>
      <w:bookmarkEnd w:id="333"/>
      <w:bookmarkStart w:id="334" w:name="_Toc184312074"/>
      <w:bookmarkEnd w:id="334"/>
      <w:bookmarkStart w:id="335" w:name="_Toc184310273"/>
      <w:bookmarkEnd w:id="335"/>
      <w:bookmarkStart w:id="336" w:name="_Toc184308041"/>
      <w:bookmarkEnd w:id="336"/>
      <w:bookmarkStart w:id="337" w:name="_Toc184313277"/>
      <w:bookmarkEnd w:id="337"/>
      <w:bookmarkStart w:id="338" w:name="_Toc184310283"/>
      <w:bookmarkEnd w:id="338"/>
      <w:bookmarkStart w:id="339" w:name="_Toc184310328"/>
      <w:bookmarkEnd w:id="339"/>
      <w:bookmarkStart w:id="340" w:name="_Toc184313242"/>
      <w:bookmarkEnd w:id="340"/>
      <w:bookmarkStart w:id="341" w:name="_Toc184313303"/>
      <w:bookmarkEnd w:id="341"/>
      <w:bookmarkStart w:id="342" w:name="_Toc184308081"/>
      <w:bookmarkEnd w:id="342"/>
      <w:bookmarkStart w:id="343" w:name="_Toc184308107"/>
      <w:bookmarkEnd w:id="343"/>
      <w:bookmarkStart w:id="344" w:name="_Toc184314425"/>
      <w:bookmarkEnd w:id="344"/>
      <w:bookmarkStart w:id="345" w:name="_Toc184313247"/>
      <w:bookmarkEnd w:id="345"/>
      <w:bookmarkStart w:id="346" w:name="_Toc184312129"/>
      <w:bookmarkEnd w:id="346"/>
      <w:bookmarkStart w:id="347" w:name="_Toc184308100"/>
      <w:bookmarkEnd w:id="347"/>
      <w:bookmarkStart w:id="348" w:name="_Toc184308092"/>
      <w:bookmarkEnd w:id="348"/>
      <w:bookmarkStart w:id="349" w:name="_Toc184312086"/>
      <w:bookmarkEnd w:id="349"/>
      <w:bookmarkStart w:id="350" w:name="_Toc184312073"/>
      <w:bookmarkEnd w:id="350"/>
      <w:bookmarkStart w:id="351" w:name="_Toc184310322"/>
      <w:bookmarkEnd w:id="351"/>
      <w:bookmarkStart w:id="352" w:name="_Toc184314473"/>
      <w:bookmarkEnd w:id="352"/>
      <w:bookmarkStart w:id="353" w:name="_Toc184310292"/>
      <w:bookmarkEnd w:id="353"/>
      <w:bookmarkStart w:id="354" w:name="_Toc184310282"/>
      <w:bookmarkEnd w:id="354"/>
      <w:bookmarkStart w:id="355" w:name="_Toc184312090"/>
      <w:bookmarkEnd w:id="355"/>
      <w:bookmarkStart w:id="356" w:name="_Toc184312106"/>
      <w:bookmarkEnd w:id="356"/>
      <w:bookmarkStart w:id="357" w:name="_Toc184308068"/>
      <w:bookmarkEnd w:id="357"/>
      <w:bookmarkStart w:id="358" w:name="_Toc184314451"/>
      <w:bookmarkEnd w:id="358"/>
      <w:bookmarkStart w:id="359" w:name="_Toc184314418"/>
      <w:bookmarkEnd w:id="359"/>
      <w:bookmarkStart w:id="360" w:name="_Toc184308069"/>
      <w:bookmarkEnd w:id="360"/>
      <w:bookmarkStart w:id="361" w:name="_Toc184313310"/>
      <w:bookmarkEnd w:id="361"/>
      <w:bookmarkStart w:id="362" w:name="_Toc184314436"/>
      <w:bookmarkEnd w:id="362"/>
      <w:bookmarkStart w:id="363" w:name="_Toc184310339"/>
      <w:bookmarkEnd w:id="363"/>
      <w:bookmarkStart w:id="364" w:name="_Toc184312114"/>
      <w:bookmarkEnd w:id="364"/>
      <w:bookmarkStart w:id="365" w:name="_Toc184310299"/>
      <w:bookmarkEnd w:id="365"/>
      <w:bookmarkStart w:id="366" w:name="_Toc184310310"/>
      <w:bookmarkEnd w:id="366"/>
      <w:bookmarkStart w:id="367" w:name="_Toc184310327"/>
      <w:bookmarkEnd w:id="367"/>
      <w:bookmarkStart w:id="368" w:name="_Toc184312071"/>
      <w:bookmarkEnd w:id="368"/>
      <w:bookmarkStart w:id="369" w:name="_Toc184308072"/>
      <w:bookmarkEnd w:id="369"/>
      <w:bookmarkStart w:id="370" w:name="_Toc184308106"/>
      <w:bookmarkEnd w:id="370"/>
      <w:bookmarkStart w:id="371" w:name="_Toc184308077"/>
      <w:bookmarkEnd w:id="371"/>
      <w:bookmarkStart w:id="372" w:name="_Toc184313269"/>
      <w:bookmarkEnd w:id="372"/>
      <w:bookmarkStart w:id="373" w:name="_Toc184314476"/>
      <w:bookmarkEnd w:id="373"/>
      <w:bookmarkStart w:id="374" w:name="_Toc184308074"/>
      <w:bookmarkEnd w:id="374"/>
      <w:bookmarkStart w:id="375" w:name="_Toc184313251"/>
      <w:bookmarkEnd w:id="375"/>
      <w:bookmarkStart w:id="376" w:name="_Toc184314420"/>
      <w:bookmarkEnd w:id="376"/>
      <w:bookmarkStart w:id="377" w:name="_Toc184310279"/>
      <w:bookmarkEnd w:id="377"/>
      <w:bookmarkStart w:id="378" w:name="_Toc184310331"/>
      <w:bookmarkEnd w:id="378"/>
      <w:bookmarkStart w:id="379" w:name="_Toc184312138"/>
      <w:bookmarkEnd w:id="379"/>
      <w:bookmarkStart w:id="380" w:name="_Toc184308042"/>
      <w:bookmarkEnd w:id="380"/>
      <w:bookmarkStart w:id="381" w:name="_Toc184314417"/>
      <w:bookmarkEnd w:id="381"/>
      <w:r>
        <w:rPr>
          <w:rFonts w:hint="eastAsia" w:ascii="宋体" w:hAnsi="宋体" w:cs="宋体"/>
          <w:b/>
          <w:sz w:val="36"/>
          <w:szCs w:val="36"/>
          <w:highlight w:val="none"/>
        </w:rPr>
        <w:t xml:space="preserve">  评标办法</w:t>
      </w:r>
    </w:p>
    <w:tbl>
      <w:tblPr>
        <w:tblStyle w:val="18"/>
        <w:tblW w:w="10044" w:type="dxa"/>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402"/>
        <w:gridCol w:w="732"/>
        <w:gridCol w:w="1278"/>
        <w:gridCol w:w="1977"/>
      </w:tblGrid>
      <w:tr w14:paraId="5015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5CFE86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402" w:type="dxa"/>
            <w:vAlign w:val="center"/>
          </w:tcPr>
          <w:p w14:paraId="6A6CD5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评标标准</w:t>
            </w:r>
          </w:p>
        </w:tc>
        <w:tc>
          <w:tcPr>
            <w:tcW w:w="732" w:type="dxa"/>
            <w:vAlign w:val="center"/>
          </w:tcPr>
          <w:p w14:paraId="22F4A97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最高分值</w:t>
            </w:r>
          </w:p>
        </w:tc>
        <w:tc>
          <w:tcPr>
            <w:tcW w:w="1278" w:type="dxa"/>
            <w:vAlign w:val="center"/>
          </w:tcPr>
          <w:p w14:paraId="49FB5624">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主观分/客观分属性</w:t>
            </w:r>
          </w:p>
        </w:tc>
        <w:tc>
          <w:tcPr>
            <w:tcW w:w="1977" w:type="dxa"/>
            <w:vAlign w:val="center"/>
          </w:tcPr>
          <w:p w14:paraId="0A0DCDC7">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投标文件中评标标准相应的商务技术资料目录*</w:t>
            </w:r>
          </w:p>
        </w:tc>
      </w:tr>
      <w:tr w14:paraId="6880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FBF764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402" w:type="dxa"/>
            <w:vAlign w:val="center"/>
          </w:tcPr>
          <w:p w14:paraId="33DB2124">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投标人具有有效的质量管理体系认证、职业健康安全管理体系认证、环境管理体系认证、信息技术服务管理体系认证和信息安全管理体系认证证书的，每提供1个认证得1分，本项最高得5分；</w:t>
            </w:r>
          </w:p>
          <w:p w14:paraId="1B721DA5">
            <w:pP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提供有效期内的证书复印件，全国认证认可信息公共服务平台http://cx.cnca.cn查询认证证书详情的网页截图（须包含证书编号、证书状态、证书到期日期、认证项目、认证覆盖的业务范围等信息），证明材料不全不得分。</w:t>
            </w:r>
          </w:p>
        </w:tc>
        <w:tc>
          <w:tcPr>
            <w:tcW w:w="732" w:type="dxa"/>
            <w:vAlign w:val="center"/>
          </w:tcPr>
          <w:p w14:paraId="36586977">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278" w:type="dxa"/>
            <w:vAlign w:val="center"/>
          </w:tcPr>
          <w:p w14:paraId="685C62F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1F0C9C5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认证体系</w:t>
            </w:r>
          </w:p>
        </w:tc>
      </w:tr>
      <w:tr w14:paraId="428D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5BB7F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402" w:type="dxa"/>
            <w:vAlign w:val="center"/>
          </w:tcPr>
          <w:p w14:paraId="52D5F210">
            <w:pPr>
              <w:rPr>
                <w:rFonts w:hint="eastAsia" w:ascii="宋体" w:hAnsi="宋体" w:eastAsia="宋体" w:cs="宋体"/>
                <w:sz w:val="24"/>
                <w:szCs w:val="24"/>
                <w:highlight w:val="none"/>
              </w:rPr>
            </w:pPr>
            <w:r>
              <w:rPr>
                <w:rFonts w:hint="eastAsia" w:ascii="宋体" w:hAnsi="宋体" w:eastAsia="宋体" w:cs="宋体"/>
                <w:sz w:val="24"/>
                <w:szCs w:val="24"/>
                <w:highlight w:val="none"/>
              </w:rPr>
              <w:t>2022年1月1日以来（以合同签订时间为准），投标人具有类似建设项目业绩的，每具有1个业绩得1分，最高得3分。</w:t>
            </w:r>
          </w:p>
          <w:p w14:paraId="79904D6A">
            <w:pP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提供合同（至少包括合同首页、相关内容页、签字盖章页等）。合同的相关内容页应包含体现业绩特征的相关内容；合同相关内容页未包含体现业绩特征的，应另提供合同甲方出具的书面证明。</w:t>
            </w:r>
          </w:p>
        </w:tc>
        <w:tc>
          <w:tcPr>
            <w:tcW w:w="732" w:type="dxa"/>
            <w:vAlign w:val="center"/>
          </w:tcPr>
          <w:p w14:paraId="4AF14B86">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1278" w:type="dxa"/>
            <w:vAlign w:val="center"/>
          </w:tcPr>
          <w:p w14:paraId="596C207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6601F46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类似业绩</w:t>
            </w:r>
          </w:p>
        </w:tc>
      </w:tr>
      <w:tr w14:paraId="342A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B5E362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402" w:type="dxa"/>
            <w:vAlign w:val="center"/>
          </w:tcPr>
          <w:p w14:paraId="29DD27B8">
            <w:pPr>
              <w:rPr>
                <w:rFonts w:hint="eastAsia" w:ascii="宋体" w:hAnsi="宋体" w:eastAsia="宋体" w:cs="宋体"/>
                <w:sz w:val="24"/>
                <w:szCs w:val="24"/>
                <w:highlight w:val="none"/>
              </w:rPr>
            </w:pPr>
            <w:r>
              <w:rPr>
                <w:rFonts w:hint="eastAsia" w:ascii="宋体" w:hAnsi="宋体" w:eastAsia="宋体" w:cs="宋体"/>
                <w:sz w:val="24"/>
                <w:szCs w:val="24"/>
                <w:highlight w:val="none"/>
              </w:rPr>
              <w:t>除政府强制采购要求外，所投产品中具有有效的节能产品认证证书的每个得0.5分，具有有效的环境标志产品认证证书的每个得0.5分；最高得1分。</w:t>
            </w:r>
          </w:p>
          <w:p w14:paraId="24CCDC72">
            <w:pP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提供有效的认证证书，认证证书所列产品型号与所投产品不一致的不予认可。</w:t>
            </w:r>
          </w:p>
        </w:tc>
        <w:tc>
          <w:tcPr>
            <w:tcW w:w="732" w:type="dxa"/>
            <w:vAlign w:val="center"/>
          </w:tcPr>
          <w:p w14:paraId="7CD774A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78" w:type="dxa"/>
            <w:vAlign w:val="center"/>
          </w:tcPr>
          <w:p w14:paraId="056B179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4F743332">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节能与环境认证</w:t>
            </w:r>
          </w:p>
        </w:tc>
      </w:tr>
      <w:tr w14:paraId="5B05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41B4A9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402" w:type="dxa"/>
            <w:vAlign w:val="center"/>
          </w:tcPr>
          <w:p w14:paraId="5FF8DC7A">
            <w:pP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清单及参数要求”中的投标产品技术参数和配置完全满足的得31分，“▲”项技术指标负偏离的按无效投标处理，“◆”项技术指标负偏离一项扣2分，其他技术指标负偏离一项扣1分，扣完为止。（未按“项目建设清单及参数要求”中要求提供证明材料的，该项予以扣分。“项目建设清单及参数要求”中未要求提供证明材料的以《技术偏离表》响应为准。）</w:t>
            </w:r>
          </w:p>
        </w:tc>
        <w:tc>
          <w:tcPr>
            <w:tcW w:w="732" w:type="dxa"/>
            <w:vAlign w:val="center"/>
          </w:tcPr>
          <w:p w14:paraId="24F2542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278" w:type="dxa"/>
            <w:vAlign w:val="center"/>
          </w:tcPr>
          <w:p w14:paraId="47F1BDA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4915DDAE">
            <w:pPr>
              <w:jc w:val="center"/>
              <w:rPr>
                <w:rFonts w:hint="eastAsia" w:ascii="宋体" w:hAnsi="宋体" w:eastAsia="宋体" w:cs="宋体"/>
                <w:sz w:val="24"/>
                <w:szCs w:val="24"/>
                <w:highlight w:val="none"/>
              </w:rPr>
            </w:pPr>
          </w:p>
          <w:p w14:paraId="2FE19DA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技术参数</w:t>
            </w:r>
          </w:p>
          <w:p w14:paraId="5049C2BD">
            <w:pPr>
              <w:jc w:val="center"/>
              <w:rPr>
                <w:rFonts w:hint="eastAsia" w:ascii="宋体" w:hAnsi="宋体" w:eastAsia="宋体" w:cs="宋体"/>
                <w:sz w:val="24"/>
                <w:szCs w:val="24"/>
                <w:highlight w:val="none"/>
              </w:rPr>
            </w:pPr>
          </w:p>
        </w:tc>
      </w:tr>
      <w:tr w14:paraId="41E4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6D8EA3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046294C2">
            <w:pPr>
              <w:jc w:val="center"/>
              <w:rPr>
                <w:rFonts w:hint="eastAsia" w:ascii="宋体" w:hAnsi="宋体" w:eastAsia="宋体" w:cs="宋体"/>
                <w:sz w:val="24"/>
                <w:szCs w:val="24"/>
                <w:highlight w:val="none"/>
              </w:rPr>
            </w:pPr>
          </w:p>
        </w:tc>
        <w:tc>
          <w:tcPr>
            <w:tcW w:w="5402" w:type="dxa"/>
            <w:vAlign w:val="center"/>
          </w:tcPr>
          <w:p w14:paraId="4D2182BA">
            <w:pPr>
              <w:rPr>
                <w:rFonts w:hint="eastAsia" w:ascii="宋体" w:hAnsi="宋体" w:eastAsia="宋体" w:cs="宋体"/>
                <w:sz w:val="24"/>
                <w:szCs w:val="24"/>
                <w:highlight w:val="none"/>
              </w:rPr>
            </w:pPr>
            <w:r>
              <w:rPr>
                <w:rFonts w:hint="eastAsia" w:ascii="宋体" w:hAnsi="宋体" w:eastAsia="宋体" w:cs="宋体"/>
                <w:sz w:val="24"/>
                <w:szCs w:val="24"/>
                <w:highlight w:val="none"/>
              </w:rPr>
              <w:t>对项目背景及建设内容充分分析，了解透彻，对采购需求充分理解的得2分，未提供或分析不到位的得0分。</w:t>
            </w:r>
          </w:p>
        </w:tc>
        <w:tc>
          <w:tcPr>
            <w:tcW w:w="732" w:type="dxa"/>
            <w:vAlign w:val="center"/>
          </w:tcPr>
          <w:p w14:paraId="6AEEFD3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78" w:type="dxa"/>
            <w:vAlign w:val="center"/>
          </w:tcPr>
          <w:p w14:paraId="2D21B2E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Merge w:val="restart"/>
            <w:vAlign w:val="center"/>
          </w:tcPr>
          <w:p w14:paraId="5117F472">
            <w:pPr>
              <w:spacing w:after="120"/>
              <w:ind w:right="-512"/>
              <w:jc w:val="both"/>
              <w:rPr>
                <w:rFonts w:hint="eastAsia" w:ascii="宋体" w:hAnsi="宋体" w:eastAsia="宋体" w:cs="宋体"/>
                <w:sz w:val="24"/>
                <w:szCs w:val="24"/>
                <w:highlight w:val="none"/>
              </w:rPr>
            </w:pPr>
            <w:r>
              <w:rPr>
                <w:rFonts w:hint="eastAsia" w:ascii="宋体" w:hAnsi="宋体" w:eastAsia="宋体" w:cs="宋体"/>
                <w:bCs w:val="0"/>
                <w:snapToGrid/>
                <w:kern w:val="2"/>
                <w:sz w:val="24"/>
                <w:szCs w:val="24"/>
                <w:highlight w:val="none"/>
                <w:lang w:val="en-US" w:eastAsia="zh-CN"/>
              </w:rPr>
              <w:t>项目需求的理</w:t>
            </w:r>
            <w:r>
              <w:rPr>
                <w:rFonts w:hint="eastAsia" w:ascii="仿宋" w:hAnsi="仿宋" w:eastAsia="仿宋" w:cs="仿宋"/>
                <w:bCs w:val="0"/>
                <w:snapToGrid w:val="0"/>
                <w:color w:val="auto"/>
                <w:kern w:val="0"/>
                <w:sz w:val="24"/>
                <w:szCs w:val="24"/>
                <w:highlight w:val="none"/>
                <w:lang w:val="en-US" w:eastAsia="zh-CN"/>
              </w:rPr>
              <w:t>解</w:t>
            </w:r>
          </w:p>
        </w:tc>
      </w:tr>
      <w:tr w14:paraId="0869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37B05159">
            <w:pPr>
              <w:jc w:val="center"/>
              <w:rPr>
                <w:rFonts w:hint="eastAsia" w:ascii="宋体" w:hAnsi="宋体" w:eastAsia="宋体" w:cs="宋体"/>
                <w:sz w:val="24"/>
                <w:szCs w:val="24"/>
                <w:highlight w:val="none"/>
              </w:rPr>
            </w:pPr>
          </w:p>
        </w:tc>
        <w:tc>
          <w:tcPr>
            <w:tcW w:w="5402" w:type="dxa"/>
            <w:vAlign w:val="center"/>
          </w:tcPr>
          <w:p w14:paraId="388A030D">
            <w:pPr>
              <w:rPr>
                <w:rFonts w:hint="eastAsia" w:ascii="宋体" w:hAnsi="宋体" w:eastAsia="宋体" w:cs="宋体"/>
                <w:sz w:val="24"/>
                <w:szCs w:val="24"/>
                <w:highlight w:val="none"/>
              </w:rPr>
            </w:pPr>
            <w:r>
              <w:rPr>
                <w:rFonts w:hint="eastAsia" w:ascii="宋体" w:hAnsi="宋体" w:eastAsia="宋体" w:cs="宋体"/>
                <w:sz w:val="24"/>
                <w:szCs w:val="24"/>
                <w:highlight w:val="none"/>
              </w:rPr>
              <w:t>根据采购需求和校园建设的实际情况，针对校园网络建设项目进行图纸深化设计。深化设计完善且与现场实际情况相符，符合用户实际情况、内容完整、可实施性强得3分；内容基本完整可实施得2分；内容简单略有欠缺得1分；未提供图纸深化设计或不符合用户实际情况的不得分。</w:t>
            </w:r>
          </w:p>
        </w:tc>
        <w:tc>
          <w:tcPr>
            <w:tcW w:w="732" w:type="dxa"/>
            <w:vAlign w:val="center"/>
          </w:tcPr>
          <w:p w14:paraId="5D3CAB0C">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1278" w:type="dxa"/>
            <w:vAlign w:val="center"/>
          </w:tcPr>
          <w:p w14:paraId="069488C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Merge w:val="continue"/>
            <w:vAlign w:val="center"/>
          </w:tcPr>
          <w:p w14:paraId="4862D59D">
            <w:pPr>
              <w:spacing w:after="120"/>
              <w:ind w:right="-512"/>
              <w:jc w:val="center"/>
              <w:rPr>
                <w:rFonts w:hint="eastAsia" w:ascii="宋体" w:hAnsi="宋体" w:eastAsia="宋体" w:cs="宋体"/>
                <w:sz w:val="24"/>
                <w:szCs w:val="24"/>
                <w:highlight w:val="none"/>
              </w:rPr>
            </w:pPr>
          </w:p>
        </w:tc>
      </w:tr>
      <w:tr w14:paraId="6BF5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6BA2231F">
            <w:pPr>
              <w:jc w:val="center"/>
              <w:rPr>
                <w:rFonts w:hint="eastAsia" w:ascii="宋体" w:hAnsi="宋体" w:eastAsia="宋体" w:cs="宋体"/>
                <w:sz w:val="24"/>
                <w:szCs w:val="24"/>
                <w:highlight w:val="none"/>
              </w:rPr>
            </w:pPr>
          </w:p>
        </w:tc>
        <w:tc>
          <w:tcPr>
            <w:tcW w:w="5402" w:type="dxa"/>
            <w:vAlign w:val="center"/>
          </w:tcPr>
          <w:p w14:paraId="341EE92B">
            <w:pPr>
              <w:rPr>
                <w:rFonts w:hint="eastAsia" w:ascii="宋体" w:hAnsi="宋体" w:eastAsia="宋体" w:cs="宋体"/>
                <w:sz w:val="24"/>
                <w:szCs w:val="24"/>
                <w:highlight w:val="none"/>
              </w:rPr>
            </w:pPr>
            <w:r>
              <w:rPr>
                <w:rFonts w:hint="eastAsia" w:ascii="宋体" w:hAnsi="宋体" w:eastAsia="宋体" w:cs="宋体"/>
                <w:sz w:val="24"/>
                <w:szCs w:val="24"/>
                <w:highlight w:val="none"/>
              </w:rPr>
              <w:t>根据与杭州高级中学临平学校业务系统的兼容和统一管理运维情况提出产品选型及兼容性解决方案，提供可兼容的证明材料。产品选型符合用户实际情况且兼容性强、内容完整、针对性强得3分；内容完整性、针对性描述与项目实际基本符合得2分；内容一般或针对性差得1分；内容缺失不完善或不符合用户实际情况的不得分。</w:t>
            </w:r>
          </w:p>
        </w:tc>
        <w:tc>
          <w:tcPr>
            <w:tcW w:w="732" w:type="dxa"/>
            <w:vAlign w:val="center"/>
          </w:tcPr>
          <w:p w14:paraId="6AD34F63">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1278" w:type="dxa"/>
            <w:vAlign w:val="center"/>
          </w:tcPr>
          <w:p w14:paraId="6121E6B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Merge w:val="continue"/>
            <w:vAlign w:val="center"/>
          </w:tcPr>
          <w:p w14:paraId="69ACE40A">
            <w:pPr>
              <w:spacing w:after="120"/>
              <w:ind w:right="-512"/>
              <w:jc w:val="center"/>
              <w:rPr>
                <w:rFonts w:hint="eastAsia" w:ascii="宋体" w:hAnsi="宋体" w:eastAsia="宋体" w:cs="宋体"/>
                <w:sz w:val="24"/>
                <w:szCs w:val="24"/>
                <w:highlight w:val="none"/>
              </w:rPr>
            </w:pPr>
          </w:p>
        </w:tc>
      </w:tr>
      <w:tr w14:paraId="5AD0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Align w:val="center"/>
          </w:tcPr>
          <w:p w14:paraId="03080BE3">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5402" w:type="dxa"/>
            <w:vAlign w:val="center"/>
          </w:tcPr>
          <w:p w14:paraId="1F372CC6">
            <w:pP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组织方案（包括供货组织方案、安装方案、施工质量、施工安全、计划安排和进度保证措施、应急预案）完整性、需求满足性：方案齐全、内容完整，满足采购需求的得4分，方案齐全、内容基本完整、基本满足采购需求的得2分，实施方案有缺陷、思路不清的得1分；无方案的得0分。</w:t>
            </w:r>
          </w:p>
        </w:tc>
        <w:tc>
          <w:tcPr>
            <w:tcW w:w="732" w:type="dxa"/>
            <w:vAlign w:val="center"/>
          </w:tcPr>
          <w:p w14:paraId="6885C96B">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1278" w:type="dxa"/>
            <w:vAlign w:val="center"/>
          </w:tcPr>
          <w:p w14:paraId="173330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Align w:val="center"/>
          </w:tcPr>
          <w:p w14:paraId="20C43BFF">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项目实施组织方案</w:t>
            </w:r>
          </w:p>
        </w:tc>
      </w:tr>
      <w:tr w14:paraId="1843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Align w:val="center"/>
          </w:tcPr>
          <w:p w14:paraId="61541CF0">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5402" w:type="dxa"/>
            <w:vAlign w:val="center"/>
          </w:tcPr>
          <w:p w14:paraId="45335930">
            <w:pPr>
              <w:rPr>
                <w:rFonts w:hint="eastAsia" w:ascii="宋体" w:hAnsi="宋体" w:eastAsia="宋体" w:cs="宋体"/>
                <w:sz w:val="24"/>
                <w:szCs w:val="24"/>
                <w:highlight w:val="none"/>
              </w:rPr>
            </w:pPr>
            <w:r>
              <w:rPr>
                <w:rFonts w:hint="eastAsia" w:ascii="宋体" w:hAnsi="宋体" w:eastAsia="宋体" w:cs="宋体"/>
                <w:sz w:val="24"/>
                <w:szCs w:val="24"/>
                <w:highlight w:val="none"/>
              </w:rPr>
              <w:t>调试、培训、验收等服务方案内容详实、计划明确、方案科学合理的得4分，内容较详实、计划欠缺、方案较科学合理的得2分，内容欠缺、计划紊乱的得1分，不合理、不可行或未提供的不得分。</w:t>
            </w:r>
          </w:p>
        </w:tc>
        <w:tc>
          <w:tcPr>
            <w:tcW w:w="732" w:type="dxa"/>
            <w:vAlign w:val="center"/>
          </w:tcPr>
          <w:p w14:paraId="5C92E9B1">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278" w:type="dxa"/>
            <w:vAlign w:val="center"/>
          </w:tcPr>
          <w:p w14:paraId="11472B7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Align w:val="center"/>
          </w:tcPr>
          <w:p w14:paraId="069EF36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调试、培训、验收等服务方案</w:t>
            </w:r>
          </w:p>
        </w:tc>
      </w:tr>
      <w:tr w14:paraId="6F7A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Merge w:val="restart"/>
            <w:vAlign w:val="center"/>
          </w:tcPr>
          <w:p w14:paraId="0E96B971">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5402" w:type="dxa"/>
            <w:vAlign w:val="center"/>
          </w:tcPr>
          <w:p w14:paraId="6ECCE74E">
            <w:pP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项目负责人和技术负责人情况：</w:t>
            </w:r>
          </w:p>
          <w:p w14:paraId="6B7420F7">
            <w:pPr>
              <w:rPr>
                <w:rFonts w:hint="eastAsia" w:ascii="宋体" w:hAnsi="宋体" w:eastAsia="宋体" w:cs="宋体"/>
                <w:sz w:val="24"/>
                <w:szCs w:val="24"/>
                <w:highlight w:val="none"/>
              </w:rPr>
            </w:pPr>
            <w:r>
              <w:rPr>
                <w:rFonts w:hint="eastAsia" w:ascii="宋体" w:hAnsi="宋体" w:eastAsia="宋体" w:cs="宋体"/>
                <w:sz w:val="24"/>
                <w:szCs w:val="24"/>
                <w:highlight w:val="none"/>
              </w:rPr>
              <w:t>（1）拟派项目负责人具有系统集成项目管理工程师职称的得2分。</w:t>
            </w:r>
          </w:p>
          <w:p w14:paraId="0C969C9F">
            <w:pPr>
              <w:rPr>
                <w:rFonts w:hint="eastAsia" w:ascii="宋体" w:hAnsi="宋体" w:eastAsia="宋体" w:cs="宋体"/>
                <w:sz w:val="24"/>
                <w:szCs w:val="24"/>
                <w:highlight w:val="none"/>
              </w:rPr>
            </w:pPr>
            <w:r>
              <w:rPr>
                <w:rFonts w:hint="eastAsia" w:ascii="宋体" w:hAnsi="宋体" w:eastAsia="宋体" w:cs="宋体"/>
                <w:sz w:val="24"/>
                <w:szCs w:val="24"/>
                <w:highlight w:val="none"/>
              </w:rPr>
              <w:t>（2）拟派技术负责人具有系统集成项目管理工程师职称的得2分。</w:t>
            </w:r>
          </w:p>
          <w:p w14:paraId="513D3AB4">
            <w:pP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投标文件中提供相关人员证书、中华人民共和国人力资源和社会保障部-全国人力资源和社会保证政务服务平台（https://www.12333.gov.cn）人才人事-“专业技术人员职业资格证书查询”结果截图、投标人近三个月内任意一个月为其缴纳社保证明。未提供或以上证明材料不全的不得分。</w:t>
            </w:r>
          </w:p>
        </w:tc>
        <w:tc>
          <w:tcPr>
            <w:tcW w:w="732" w:type="dxa"/>
            <w:vAlign w:val="center"/>
          </w:tcPr>
          <w:p w14:paraId="5F5079FD">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1278" w:type="dxa"/>
            <w:vAlign w:val="center"/>
          </w:tcPr>
          <w:p w14:paraId="5484557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restart"/>
            <w:vAlign w:val="center"/>
          </w:tcPr>
          <w:p w14:paraId="7D908748">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拟派项目组人员配备</w:t>
            </w:r>
          </w:p>
        </w:tc>
      </w:tr>
      <w:tr w14:paraId="4D50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Merge w:val="continue"/>
            <w:vAlign w:val="center"/>
          </w:tcPr>
          <w:p w14:paraId="44E412A4">
            <w:pPr>
              <w:jc w:val="center"/>
              <w:rPr>
                <w:rFonts w:hint="eastAsia" w:ascii="宋体" w:hAnsi="宋体" w:cs="宋体"/>
                <w:sz w:val="24"/>
                <w:szCs w:val="24"/>
                <w:highlight w:val="none"/>
                <w:lang w:val="en-US" w:eastAsia="zh-CN"/>
              </w:rPr>
            </w:pPr>
          </w:p>
        </w:tc>
        <w:tc>
          <w:tcPr>
            <w:tcW w:w="5402" w:type="dxa"/>
            <w:vAlign w:val="center"/>
          </w:tcPr>
          <w:p w14:paraId="7A3219CC">
            <w:pPr>
              <w:rPr>
                <w:rFonts w:hint="eastAsia" w:ascii="宋体" w:hAnsi="宋体" w:eastAsia="宋体" w:cs="宋体"/>
                <w:sz w:val="24"/>
                <w:szCs w:val="24"/>
                <w:highlight w:val="none"/>
              </w:rPr>
            </w:pPr>
            <w:r>
              <w:rPr>
                <w:rFonts w:hint="eastAsia" w:ascii="宋体" w:hAnsi="宋体" w:eastAsia="宋体" w:cs="宋体"/>
                <w:sz w:val="24"/>
                <w:szCs w:val="24"/>
                <w:highlight w:val="none"/>
              </w:rPr>
              <w:t>除项目负责人和技术负责人外项目组成员情况：</w:t>
            </w:r>
          </w:p>
          <w:p w14:paraId="57E323AC">
            <w:pPr>
              <w:rPr>
                <w:rFonts w:hint="eastAsia" w:ascii="宋体" w:hAnsi="宋体" w:eastAsia="宋体" w:cs="宋体"/>
                <w:sz w:val="24"/>
                <w:szCs w:val="24"/>
                <w:highlight w:val="none"/>
              </w:rPr>
            </w:pPr>
            <w:r>
              <w:rPr>
                <w:rFonts w:hint="eastAsia" w:ascii="宋体" w:hAnsi="宋体" w:eastAsia="宋体" w:cs="宋体"/>
                <w:sz w:val="24"/>
                <w:szCs w:val="24"/>
                <w:highlight w:val="none"/>
              </w:rPr>
              <w:t>具有中华人民共国特种作业操作证（作业类别：高处作业），每提供1人得1分，最高2分。</w:t>
            </w:r>
          </w:p>
          <w:p w14:paraId="515DF0AC">
            <w:pP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投标文件中提供相关人员证书、中华人民共和国应急管理部网站（https://cx.mem.gov.cn）-特种作业操作证查询结果网页截图、投标人近三个月内任意一个月为其缴纳社保证明。未提供或以上证明材料不全的不得分。</w:t>
            </w:r>
          </w:p>
        </w:tc>
        <w:tc>
          <w:tcPr>
            <w:tcW w:w="732" w:type="dxa"/>
            <w:vAlign w:val="center"/>
          </w:tcPr>
          <w:p w14:paraId="192D80F1">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1278" w:type="dxa"/>
            <w:vAlign w:val="center"/>
          </w:tcPr>
          <w:p w14:paraId="21562D9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Merge w:val="continue"/>
            <w:vAlign w:val="center"/>
          </w:tcPr>
          <w:p w14:paraId="794F0F47">
            <w:pPr>
              <w:jc w:val="center"/>
              <w:rPr>
                <w:rFonts w:hint="eastAsia" w:ascii="宋体" w:hAnsi="宋体" w:eastAsia="宋体" w:cs="宋体"/>
                <w:bCs/>
                <w:sz w:val="24"/>
                <w:szCs w:val="24"/>
                <w:highlight w:val="none"/>
              </w:rPr>
            </w:pPr>
          </w:p>
        </w:tc>
      </w:tr>
      <w:tr w14:paraId="0644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Merge w:val="continue"/>
            <w:vAlign w:val="center"/>
          </w:tcPr>
          <w:p w14:paraId="72A7C9ED">
            <w:pPr>
              <w:jc w:val="center"/>
              <w:rPr>
                <w:rFonts w:hint="eastAsia" w:ascii="宋体" w:hAnsi="宋体" w:cs="宋体"/>
                <w:sz w:val="24"/>
                <w:szCs w:val="24"/>
                <w:highlight w:val="none"/>
                <w:lang w:val="en-US" w:eastAsia="zh-CN"/>
              </w:rPr>
            </w:pPr>
          </w:p>
        </w:tc>
        <w:tc>
          <w:tcPr>
            <w:tcW w:w="5402" w:type="dxa"/>
            <w:vAlign w:val="center"/>
          </w:tcPr>
          <w:p w14:paraId="76696A3F">
            <w:pPr>
              <w:rPr>
                <w:rFonts w:hint="eastAsia" w:ascii="宋体" w:hAnsi="宋体" w:eastAsia="宋体" w:cs="宋体"/>
                <w:sz w:val="24"/>
                <w:szCs w:val="24"/>
                <w:highlight w:val="none"/>
              </w:rPr>
            </w:pPr>
            <w:r>
              <w:rPr>
                <w:rFonts w:hint="eastAsia" w:ascii="宋体" w:hAnsi="宋体" w:eastAsia="宋体" w:cs="宋体"/>
                <w:sz w:val="24"/>
                <w:szCs w:val="24"/>
                <w:highlight w:val="none"/>
              </w:rPr>
              <w:t>除项目负责人和技术负责人外项目组成员情况：提供的人员配置情况、工作经验、技术认证等情况，根据对所投标主要产品技术服务能力情况等情况打分。人员配置合理、数量充足、工作经验丰富、专业性强、技术较全面的得3分；人员配置、数量、工作经验、专业性、技术全面性一般的得2分；类似经验欠缺、专业能力较差的得1分；未提供或与项目需求不吻合的得0分。</w:t>
            </w:r>
            <w:bookmarkStart w:id="519" w:name="_GoBack"/>
            <w:bookmarkEnd w:id="519"/>
          </w:p>
        </w:tc>
        <w:tc>
          <w:tcPr>
            <w:tcW w:w="732" w:type="dxa"/>
            <w:vAlign w:val="center"/>
          </w:tcPr>
          <w:p w14:paraId="4727B3CD">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1278" w:type="dxa"/>
            <w:vAlign w:val="center"/>
          </w:tcPr>
          <w:p w14:paraId="0CBD270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Merge w:val="continue"/>
            <w:vAlign w:val="center"/>
          </w:tcPr>
          <w:p w14:paraId="0EDCDDB7">
            <w:pPr>
              <w:jc w:val="center"/>
              <w:rPr>
                <w:rFonts w:hint="eastAsia" w:ascii="宋体" w:hAnsi="宋体" w:eastAsia="宋体" w:cs="宋体"/>
                <w:bCs/>
                <w:sz w:val="24"/>
                <w:szCs w:val="24"/>
                <w:highlight w:val="none"/>
              </w:rPr>
            </w:pPr>
          </w:p>
        </w:tc>
      </w:tr>
      <w:tr w14:paraId="5813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AB0A4CD">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5402" w:type="dxa"/>
            <w:vAlign w:val="center"/>
          </w:tcPr>
          <w:p w14:paraId="2ACC80D3">
            <w:pPr>
              <w:spacing w:after="120"/>
              <w:ind w:right="-74"/>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售后服务方案（售后服务承诺、维护人员和服务机构设置、保障措施、质保期外费用计取等情况）完整、可行性强的得4分，整体基本完整、可行的得2分，整体较差、可行性低得1分，不满足或未提供的得0分。</w:t>
            </w:r>
          </w:p>
        </w:tc>
        <w:tc>
          <w:tcPr>
            <w:tcW w:w="732" w:type="dxa"/>
            <w:vAlign w:val="center"/>
          </w:tcPr>
          <w:p w14:paraId="11B80604">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278" w:type="dxa"/>
            <w:vAlign w:val="center"/>
          </w:tcPr>
          <w:p w14:paraId="772A467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Align w:val="center"/>
          </w:tcPr>
          <w:p w14:paraId="396637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w:t>
            </w:r>
          </w:p>
        </w:tc>
      </w:tr>
      <w:tr w14:paraId="5D26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035E7D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5402" w:type="dxa"/>
            <w:vAlign w:val="center"/>
          </w:tcPr>
          <w:p w14:paraId="260AD043">
            <w:pPr>
              <w:snapToGrid w:val="0"/>
              <w:spacing w:after="120"/>
              <w:rPr>
                <w:rFonts w:hint="eastAsia" w:ascii="宋体" w:hAnsi="宋体" w:eastAsia="宋体" w:cs="宋体"/>
                <w:sz w:val="24"/>
                <w:szCs w:val="24"/>
                <w:highlight w:val="none"/>
              </w:rPr>
            </w:pPr>
            <w:r>
              <w:rPr>
                <w:rFonts w:hint="eastAsia" w:ascii="宋体" w:hAnsi="宋体" w:eastAsia="宋体" w:cs="宋体"/>
                <w:sz w:val="24"/>
                <w:szCs w:val="24"/>
                <w:highlight w:val="none"/>
              </w:rPr>
              <w:t>对于本项目，针对后期项目运维和技术服务，提出针对性的优惠条件。具有实质性重大优惠、可交付性强的得1分，具有较好优惠、具备可交付性的得0.5分，优惠条件一般或可交付性一般或无优惠条件的不得分。</w:t>
            </w:r>
          </w:p>
        </w:tc>
        <w:tc>
          <w:tcPr>
            <w:tcW w:w="732" w:type="dxa"/>
            <w:vAlign w:val="center"/>
          </w:tcPr>
          <w:p w14:paraId="79D92681">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p>
        </w:tc>
        <w:tc>
          <w:tcPr>
            <w:tcW w:w="1278" w:type="dxa"/>
            <w:vAlign w:val="center"/>
          </w:tcPr>
          <w:p w14:paraId="1A4B3AF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977" w:type="dxa"/>
            <w:vAlign w:val="center"/>
          </w:tcPr>
          <w:p w14:paraId="24F589E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优惠情况</w:t>
            </w:r>
          </w:p>
        </w:tc>
      </w:tr>
      <w:tr w14:paraId="7D1D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A67AA67">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p>
        </w:tc>
        <w:tc>
          <w:tcPr>
            <w:tcW w:w="5402" w:type="dxa"/>
            <w:vAlign w:val="center"/>
          </w:tcPr>
          <w:p w14:paraId="3A786415">
            <w:pPr>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有效投标报价的最低价作为评标基准价，其最低报价为满分；按［投标报价得分=（评标基准价/投标报价）*30］的计算公式计算。</w:t>
            </w:r>
          </w:p>
          <w:p w14:paraId="42AC4D0C">
            <w:pPr>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14:paraId="42D77ECD">
            <w:pPr>
              <w:rPr>
                <w:rFonts w:hint="eastAsia" w:ascii="宋体" w:hAnsi="宋体" w:eastAsia="宋体" w:cs="宋体"/>
                <w:sz w:val="24"/>
                <w:szCs w:val="24"/>
                <w:highlight w:val="none"/>
              </w:rPr>
            </w:pPr>
            <w:r>
              <w:rPr>
                <w:rFonts w:hint="eastAsia" w:ascii="宋体" w:hAnsi="宋体" w:eastAsia="宋体" w:cs="宋体"/>
                <w:sz w:val="24"/>
                <w:szCs w:val="24"/>
                <w:highlight w:val="none"/>
              </w:rPr>
              <w:t>因落实政府采购政策需要进行价格调整的，以调整后的价格计算评标基准价和投标报价。</w:t>
            </w:r>
          </w:p>
        </w:tc>
        <w:tc>
          <w:tcPr>
            <w:tcW w:w="732" w:type="dxa"/>
            <w:vAlign w:val="center"/>
          </w:tcPr>
          <w:p w14:paraId="7D73E2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1278" w:type="dxa"/>
            <w:vAlign w:val="center"/>
          </w:tcPr>
          <w:p w14:paraId="77B91D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c>
          <w:tcPr>
            <w:tcW w:w="1977" w:type="dxa"/>
            <w:vAlign w:val="center"/>
          </w:tcPr>
          <w:p w14:paraId="40831C1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价格分</w:t>
            </w:r>
          </w:p>
        </w:tc>
      </w:tr>
    </w:tbl>
    <w:p w14:paraId="2A6A8FBA">
      <w:pPr>
        <w:snapToGrid w:val="0"/>
        <w:spacing w:line="360" w:lineRule="auto"/>
        <w:rPr>
          <w:rFonts w:hint="eastAsia" w:ascii="宋体" w:hAnsi="宋体" w:cs="宋体"/>
          <w:sz w:val="20"/>
          <w:szCs w:val="20"/>
          <w:highlight w:val="none"/>
          <w:shd w:val="clear" w:color="auto" w:fill="FFFFFF"/>
        </w:rPr>
      </w:pPr>
    </w:p>
    <w:p w14:paraId="77688CFC">
      <w:pPr>
        <w:snapToGrid w:val="0"/>
        <w:spacing w:line="360" w:lineRule="auto"/>
        <w:rPr>
          <w:rFonts w:hint="eastAsia" w:ascii="宋体" w:hAnsi="宋体" w:cs="宋体"/>
          <w:b/>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62C4ACE1">
      <w:pPr>
        <w:snapToGrid w:val="0"/>
        <w:spacing w:line="360" w:lineRule="auto"/>
        <w:rPr>
          <w:rFonts w:hint="eastAsia" w:ascii="宋体" w:hAnsi="宋体" w:cs="宋体"/>
          <w:b/>
          <w:sz w:val="24"/>
          <w:highlight w:val="none"/>
        </w:rPr>
      </w:pPr>
      <w:r>
        <w:rPr>
          <w:rFonts w:hint="eastAsia" w:ascii="宋体" w:hAnsi="宋体" w:cs="宋体"/>
          <w:b/>
          <w:sz w:val="24"/>
          <w:highlight w:val="none"/>
        </w:rPr>
        <w:t>一、评标方法</w:t>
      </w:r>
    </w:p>
    <w:p w14:paraId="0528A4FF">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09A20C9">
      <w:pPr>
        <w:adjustRightInd/>
        <w:spacing w:line="360" w:lineRule="auto"/>
        <w:rPr>
          <w:rFonts w:hint="eastAsia" w:ascii="宋体" w:hAnsi="宋体" w:cs="宋体"/>
          <w:kern w:val="0"/>
          <w:sz w:val="24"/>
          <w:highlight w:val="none"/>
        </w:rPr>
      </w:pPr>
      <w:r>
        <w:rPr>
          <w:rFonts w:hint="eastAsia" w:ascii="宋体" w:hAnsi="宋体" w:cs="宋体"/>
          <w:b/>
          <w:sz w:val="24"/>
          <w:highlight w:val="none"/>
        </w:rPr>
        <w:t>二、评标标准</w:t>
      </w:r>
    </w:p>
    <w:p w14:paraId="2737E4C5">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sz w:val="24"/>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C4C6E14">
      <w:pPr>
        <w:spacing w:line="360" w:lineRule="auto"/>
        <w:outlineLvl w:val="0"/>
        <w:rPr>
          <w:rFonts w:hint="eastAsia" w:ascii="宋体" w:hAnsi="宋体" w:cs="宋体"/>
          <w:b/>
          <w:sz w:val="24"/>
          <w:highlight w:val="none"/>
        </w:rPr>
      </w:pPr>
      <w:r>
        <w:rPr>
          <w:rFonts w:hint="eastAsia" w:ascii="宋体" w:hAnsi="宋体" w:cs="宋体"/>
          <w:b/>
          <w:sz w:val="24"/>
          <w:highlight w:val="none"/>
        </w:rPr>
        <w:t>三、评标程序</w:t>
      </w:r>
    </w:p>
    <w:p w14:paraId="683A9B0A">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36A9E6BC">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4CC3670">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1EA71AE5">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3.4报价评审。</w:t>
      </w:r>
    </w:p>
    <w:p w14:paraId="46F21D0E">
      <w:pPr>
        <w:pStyle w:val="27"/>
        <w:spacing w:before="0"/>
        <w:ind w:firstLine="508" w:firstLineChars="212"/>
        <w:rPr>
          <w:rFonts w:hint="eastAsia" w:ascii="宋体" w:hAnsi="宋体" w:cs="宋体"/>
          <w:kern w:val="0"/>
          <w:szCs w:val="24"/>
          <w:highlight w:val="none"/>
        </w:rPr>
      </w:pPr>
      <w:r>
        <w:rPr>
          <w:rFonts w:hint="eastAsia" w:ascii="宋体" w:hAnsi="宋体" w:cs="宋体"/>
          <w:kern w:val="0"/>
          <w:szCs w:val="24"/>
          <w:highlight w:val="none"/>
        </w:rPr>
        <w:t>3.4.1投标文件报价出现前后不一致的，按照下列规定修正：</w:t>
      </w:r>
    </w:p>
    <w:p w14:paraId="39741BA9">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6FB2217">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9C5F883">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626341C1">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C4D7EF7">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32C8DF58">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49A41D2">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4E88385B">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D54054">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3.4.5对于未预留份额专门面向中小企业的采购服务项目，以及预留份额采购服务项目中的非预留部分标项，对小型和微型企业的投</w:t>
      </w:r>
      <w:r>
        <w:rPr>
          <w:rFonts w:hint="eastAsia" w:ascii="宋体" w:hAnsi="宋体" w:cs="宋体"/>
          <w:b/>
          <w:bCs/>
          <w:kern w:val="0"/>
          <w:szCs w:val="24"/>
          <w:highlight w:val="none"/>
        </w:rPr>
        <w:t>标报价给予10%的扣除</w:t>
      </w:r>
      <w:r>
        <w:rPr>
          <w:rFonts w:hint="eastAsia" w:ascii="宋体" w:hAnsi="宋体" w:cs="宋体"/>
          <w:kern w:val="0"/>
          <w:szCs w:val="24"/>
          <w:highlight w:val="none"/>
        </w:rPr>
        <w:t>，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w:t>
      </w:r>
      <w:r>
        <w:rPr>
          <w:rFonts w:hint="eastAsia" w:ascii="宋体" w:hAnsi="宋体" w:cs="宋体"/>
          <w:b/>
          <w:bCs/>
          <w:kern w:val="0"/>
          <w:szCs w:val="24"/>
          <w:highlight w:val="none"/>
        </w:rPr>
        <w:t>企业的报价给予4%的扣除</w:t>
      </w:r>
      <w:r>
        <w:rPr>
          <w:rFonts w:hint="eastAsia" w:ascii="宋体" w:hAnsi="宋体" w:cs="宋体"/>
          <w:kern w:val="0"/>
          <w:szCs w:val="24"/>
          <w:highlight w:val="none"/>
        </w:rPr>
        <w:t>，用扣除后的价格参加评审。组成联合体或者接受分包的小微企业与联合体内其他企业、分包企业之间存在直接控股、管理关系的，不享受价格扣除优惠政策。</w:t>
      </w:r>
    </w:p>
    <w:p w14:paraId="06DDD4BC">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22250B">
      <w:pPr>
        <w:spacing w:line="360" w:lineRule="auto"/>
        <w:ind w:firstLine="480" w:firstLineChars="200"/>
        <w:rPr>
          <w:rFonts w:hint="eastAsia"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B95A729">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00F7B9">
      <w:pPr>
        <w:widowControl/>
        <w:shd w:val="clear" w:color="auto" w:fill="FFFFFF"/>
        <w:adjustRightInd/>
        <w:spacing w:after="225" w:line="315" w:lineRule="atLeast"/>
        <w:jc w:val="left"/>
        <w:rPr>
          <w:rFonts w:hint="eastAsia" w:ascii="宋体" w:hAnsi="宋体" w:cs="宋体"/>
          <w:b/>
          <w:sz w:val="24"/>
          <w:highlight w:val="none"/>
        </w:rPr>
      </w:pPr>
      <w:r>
        <w:rPr>
          <w:rFonts w:hint="eastAsia" w:ascii="宋体" w:hAnsi="宋体" w:cs="宋体"/>
          <w:b/>
          <w:sz w:val="24"/>
          <w:highlight w:val="none"/>
        </w:rPr>
        <w:t>四、评标中的其他事项</w:t>
      </w:r>
    </w:p>
    <w:p w14:paraId="263958AC">
      <w:pPr>
        <w:pStyle w:val="27"/>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5D387E">
      <w:pPr>
        <w:pStyle w:val="8"/>
        <w:spacing w:line="360" w:lineRule="auto"/>
        <w:ind w:left="954" w:leftChars="226" w:hanging="479" w:firstLineChars="0"/>
        <w:rPr>
          <w:rFonts w:hint="eastAsia" w:cs="宋体"/>
          <w:highlight w:val="none"/>
        </w:rPr>
      </w:pPr>
      <w:r>
        <w:rPr>
          <w:rFonts w:hint="eastAsia" w:cs="宋体"/>
          <w:b/>
          <w:kern w:val="0"/>
          <w:highlight w:val="none"/>
        </w:rPr>
        <w:t>4.2投标无效。</w:t>
      </w:r>
      <w:r>
        <w:rPr>
          <w:rFonts w:hint="eastAsia" w:cs="宋体"/>
          <w:highlight w:val="none"/>
        </w:rPr>
        <w:t>有下列情形之一的，投标无效：</w:t>
      </w:r>
    </w:p>
    <w:p w14:paraId="5061573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946B9D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8F4249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4.2.3投标文件含有采购人不能接受的附加条件的；</w:t>
      </w:r>
    </w:p>
    <w:p w14:paraId="293564EA">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4.2.4投标文件中承诺的投标有效期少于招标文件中载明的投标有效期的；</w:t>
      </w:r>
    </w:p>
    <w:p w14:paraId="73022CEF">
      <w:pPr>
        <w:snapToGrid w:val="0"/>
        <w:spacing w:line="360" w:lineRule="auto"/>
        <w:ind w:firstLine="120" w:firstLineChars="50"/>
        <w:jc w:val="left"/>
        <w:rPr>
          <w:rFonts w:hint="eastAsia" w:ascii="宋体" w:hAnsi="宋体" w:cs="宋体"/>
          <w:kern w:val="0"/>
          <w:sz w:val="24"/>
          <w:highlight w:val="none"/>
        </w:rPr>
      </w:pPr>
      <w:r>
        <w:rPr>
          <w:rFonts w:hint="eastAsia" w:ascii="宋体" w:hAnsi="宋体" w:cs="宋体"/>
          <w:kern w:val="0"/>
          <w:sz w:val="24"/>
          <w:highlight w:val="none"/>
        </w:rPr>
        <w:t xml:space="preserve">   4.2.5投标文件出现不是唯一的、有选择性投标报价的；</w:t>
      </w:r>
    </w:p>
    <w:p w14:paraId="57C12B16">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4.2.6投标报价超过招标文件中规定的预算金额或者最高限价的；投标报价低于项目预算50%，未在报价文件中详细阐述不影响产品质量或者诚信履约的具体原因的；</w:t>
      </w:r>
    </w:p>
    <w:p w14:paraId="3FB6F5C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5BDD680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0D80251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4.2.9投标人提供虚假材料投标的；</w:t>
      </w:r>
    </w:p>
    <w:p w14:paraId="19F248A2">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0B7AC03A">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4.2.11投标人仅提交备份投标文件，未在电子交易平台传输递交投标文件的，投标无效；</w:t>
      </w:r>
    </w:p>
    <w:p w14:paraId="1F5599CE">
      <w:pPr>
        <w:pStyle w:val="4"/>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4.2.12投标人未提供样品或提供的样品不满足采购需求实质性条件的，投标无效；</w:t>
      </w:r>
    </w:p>
    <w:p w14:paraId="785A42B4">
      <w:pPr>
        <w:pStyle w:val="4"/>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7CBCAFD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6D8E06D2">
      <w:pPr>
        <w:pStyle w:val="8"/>
        <w:snapToGrid w:val="0"/>
        <w:spacing w:line="360" w:lineRule="auto"/>
        <w:ind w:firstLine="472" w:firstLineChars="196"/>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E41C85C">
      <w:pPr>
        <w:pStyle w:val="8"/>
        <w:snapToGrid w:val="0"/>
        <w:spacing w:line="360" w:lineRule="auto"/>
        <w:rPr>
          <w:rFonts w:hint="eastAsia" w:cs="宋体"/>
          <w:highlight w:val="none"/>
        </w:rPr>
      </w:pPr>
      <w:r>
        <w:rPr>
          <w:rFonts w:hint="eastAsia" w:cs="宋体"/>
          <w:highlight w:val="none"/>
        </w:rPr>
        <w:t>5.1符合专业条件的供应商或者对招标文件作实质响应的供应商不足3家的；</w:t>
      </w:r>
    </w:p>
    <w:p w14:paraId="7A2B03BF">
      <w:pPr>
        <w:pStyle w:val="8"/>
        <w:snapToGrid w:val="0"/>
        <w:spacing w:line="360" w:lineRule="auto"/>
        <w:rPr>
          <w:rFonts w:hint="eastAsia" w:cs="宋体"/>
          <w:highlight w:val="none"/>
        </w:rPr>
      </w:pPr>
      <w:r>
        <w:rPr>
          <w:rFonts w:hint="eastAsia" w:cs="宋体"/>
          <w:highlight w:val="none"/>
        </w:rPr>
        <w:t>5.2出现影响采购公正的违法、违规行为的；</w:t>
      </w:r>
    </w:p>
    <w:p w14:paraId="3A4441E2">
      <w:pPr>
        <w:pStyle w:val="8"/>
        <w:snapToGrid w:val="0"/>
        <w:spacing w:line="360" w:lineRule="auto"/>
        <w:rPr>
          <w:rFonts w:hint="eastAsia" w:cs="宋体"/>
          <w:highlight w:val="none"/>
        </w:rPr>
      </w:pPr>
      <w:r>
        <w:rPr>
          <w:rFonts w:hint="eastAsia" w:cs="宋体"/>
          <w:highlight w:val="none"/>
        </w:rPr>
        <w:t>5.3投标人的报价均超过了采购预算，采购人不能支付的；</w:t>
      </w:r>
    </w:p>
    <w:p w14:paraId="6E3FDCB3">
      <w:pPr>
        <w:pStyle w:val="8"/>
        <w:snapToGrid w:val="0"/>
        <w:spacing w:line="360" w:lineRule="auto"/>
        <w:rPr>
          <w:rFonts w:hint="eastAsia" w:cs="宋体"/>
          <w:highlight w:val="none"/>
        </w:rPr>
      </w:pPr>
      <w:r>
        <w:rPr>
          <w:rFonts w:hint="eastAsia" w:cs="宋体"/>
          <w:highlight w:val="none"/>
        </w:rPr>
        <w:t>5.4因重大变故，采购任务取消的。</w:t>
      </w:r>
    </w:p>
    <w:p w14:paraId="4D14F72D">
      <w:pPr>
        <w:pStyle w:val="8"/>
        <w:snapToGrid w:val="0"/>
        <w:spacing w:line="360" w:lineRule="auto"/>
        <w:rPr>
          <w:rFonts w:hint="eastAsia" w:cs="宋体"/>
          <w:highlight w:val="none"/>
        </w:rPr>
      </w:pPr>
      <w:r>
        <w:rPr>
          <w:rFonts w:hint="eastAsia" w:cs="宋体"/>
          <w:highlight w:val="none"/>
        </w:rPr>
        <w:t>废标后，采购机构应当将废标理由通知所有投标人。</w:t>
      </w:r>
    </w:p>
    <w:p w14:paraId="3496093D">
      <w:pPr>
        <w:pStyle w:val="8"/>
        <w:snapToGrid w:val="0"/>
        <w:spacing w:line="360" w:lineRule="auto"/>
        <w:ind w:firstLine="590" w:firstLineChars="245"/>
        <w:rPr>
          <w:rFonts w:hint="eastAsia"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7171B81">
      <w:pPr>
        <w:pStyle w:val="8"/>
        <w:snapToGrid w:val="0"/>
        <w:spacing w:line="360" w:lineRule="auto"/>
        <w:ind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A14ED6A">
      <w:pPr>
        <w:pStyle w:val="8"/>
        <w:snapToGrid w:val="0"/>
        <w:spacing w:line="360" w:lineRule="auto"/>
        <w:rPr>
          <w:rFonts w:hint="eastAsia" w:cs="宋体"/>
          <w:highlight w:val="none"/>
        </w:rPr>
      </w:pPr>
      <w:r>
        <w:rPr>
          <w:rFonts w:hint="eastAsia" w:cs="宋体"/>
          <w:highlight w:val="none"/>
        </w:rPr>
        <w:t>7.1未确定中标供应商的，终止本次采购活动，重新开展采购活动。</w:t>
      </w:r>
    </w:p>
    <w:p w14:paraId="7F7320F3">
      <w:pPr>
        <w:pStyle w:val="8"/>
        <w:snapToGrid w:val="0"/>
        <w:spacing w:line="360" w:lineRule="auto"/>
        <w:rPr>
          <w:rFonts w:hint="eastAsia" w:cs="宋体"/>
          <w:highlight w:val="none"/>
        </w:rPr>
      </w:pPr>
      <w:r>
        <w:rPr>
          <w:rFonts w:hint="eastAsia" w:cs="宋体"/>
          <w:highlight w:val="none"/>
        </w:rPr>
        <w:t>7.2已确定中标供应商但尚未签订采购合同的，中标结果无效，从合格的中标候选人中另行确定中标供应商；没有合格的中标候选人的，重新开展采购活动。</w:t>
      </w:r>
    </w:p>
    <w:p w14:paraId="6B9483F9">
      <w:pPr>
        <w:pStyle w:val="8"/>
        <w:snapToGrid w:val="0"/>
        <w:spacing w:line="360" w:lineRule="auto"/>
        <w:rPr>
          <w:rFonts w:hint="eastAsia" w:cs="宋体"/>
          <w:highlight w:val="none"/>
        </w:rPr>
      </w:pPr>
      <w:r>
        <w:rPr>
          <w:rFonts w:hint="eastAsia" w:cs="宋体"/>
          <w:highlight w:val="none"/>
        </w:rPr>
        <w:t>7.3采购合同已签订但尚未履行的，撤销合同，从合格的中标候选人中另行确定中标供应商；没有合格的中标候选人的，重新开展采购活动。</w:t>
      </w:r>
    </w:p>
    <w:p w14:paraId="6CACFA90">
      <w:pPr>
        <w:pStyle w:val="8"/>
        <w:snapToGrid w:val="0"/>
        <w:spacing w:line="360" w:lineRule="auto"/>
        <w:rPr>
          <w:rFonts w:hint="eastAsia" w:cs="宋体"/>
          <w:highlight w:val="none"/>
        </w:rPr>
      </w:pPr>
      <w:r>
        <w:rPr>
          <w:rFonts w:hint="eastAsia" w:cs="宋体"/>
          <w:highlight w:val="none"/>
        </w:rPr>
        <w:t>7.4采购合同已经履行，给采购人、供应商造成损失的，由责任人承担赔偿责任。</w:t>
      </w:r>
    </w:p>
    <w:p w14:paraId="7D7EF1BE">
      <w:pPr>
        <w:pStyle w:val="8"/>
        <w:snapToGrid w:val="0"/>
        <w:spacing w:line="360" w:lineRule="auto"/>
        <w:rPr>
          <w:rFonts w:hint="eastAsia" w:cs="宋体"/>
          <w:b/>
          <w:sz w:val="36"/>
          <w:szCs w:val="36"/>
          <w:highlight w:val="none"/>
        </w:rPr>
      </w:pPr>
      <w:r>
        <w:rPr>
          <w:rFonts w:hint="eastAsia" w:cs="宋体"/>
          <w:highlight w:val="none"/>
        </w:rPr>
        <w:t>7.5采购当事人有其他违反政府采购法或者政府采购法实施条例等法律法规规定的行为，经改正后仍然影响或者可能影响中标结果或者依法被认定为中标无效的，依照7.1-7.4规定处理。</w:t>
      </w:r>
      <w:bookmarkEnd w:id="15"/>
      <w:bookmarkStart w:id="382" w:name="第五部分"/>
      <w:bookmarkStart w:id="383" w:name="_Toc86217003"/>
      <w:r>
        <w:rPr>
          <w:rFonts w:hint="eastAsia" w:cs="宋体"/>
          <w:b/>
          <w:highlight w:val="none"/>
        </w:rPr>
        <w:t xml:space="preserve">  </w:t>
      </w:r>
      <w:r>
        <w:rPr>
          <w:rFonts w:hint="eastAsia" w:cs="宋体"/>
          <w:b/>
          <w:sz w:val="36"/>
          <w:szCs w:val="36"/>
          <w:highlight w:val="none"/>
        </w:rPr>
        <w:br w:type="page"/>
      </w:r>
    </w:p>
    <w:p w14:paraId="274823F0">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14:paraId="39AE65BC">
      <w:pPr>
        <w:rPr>
          <w:rFonts w:hint="eastAsia" w:ascii="宋体" w:hAnsi="宋体" w:cs="宋体"/>
          <w:sz w:val="24"/>
          <w:highlight w:val="none"/>
        </w:rPr>
      </w:pPr>
    </w:p>
    <w:p w14:paraId="5D7522BC">
      <w:pPr>
        <w:rPr>
          <w:rFonts w:hint="eastAsia"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ZJOB-HGLP-2025006</w:t>
      </w:r>
      <w:r>
        <w:rPr>
          <w:rFonts w:hint="eastAsia" w:ascii="宋体" w:hAnsi="宋体" w:cs="宋体"/>
          <w:sz w:val="24"/>
          <w:highlight w:val="none"/>
          <w:u w:val="single"/>
        </w:rPr>
        <w:t xml:space="preserve"> </w:t>
      </w:r>
    </w:p>
    <w:p w14:paraId="05A63480">
      <w:pPr>
        <w:rPr>
          <w:rFonts w:hint="eastAsia" w:ascii="宋体" w:hAnsi="宋体" w:cs="宋体"/>
          <w:sz w:val="24"/>
          <w:highlight w:val="none"/>
        </w:rPr>
      </w:pPr>
    </w:p>
    <w:p w14:paraId="0BA45F3B">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598BDE93">
      <w:pPr>
        <w:spacing w:line="360" w:lineRule="auto"/>
        <w:ind w:left="-420" w:leftChars="-200" w:right="-420" w:rightChars="-200" w:firstLine="480" w:firstLineChars="200"/>
        <w:jc w:val="center"/>
        <w:outlineLvl w:val="0"/>
        <w:rPr>
          <w:rFonts w:hint="eastAsia" w:ascii="宋体" w:hAnsi="宋体" w:cs="宋体"/>
          <w:sz w:val="24"/>
          <w:highlight w:val="none"/>
        </w:rPr>
      </w:pPr>
    </w:p>
    <w:p w14:paraId="44492135">
      <w:pPr>
        <w:pStyle w:val="24"/>
        <w:rPr>
          <w:rFonts w:hint="eastAsia"/>
          <w:highlight w:val="none"/>
        </w:rPr>
      </w:pPr>
    </w:p>
    <w:p w14:paraId="0D00483F">
      <w:pPr>
        <w:spacing w:line="480" w:lineRule="auto"/>
        <w:jc w:val="center"/>
        <w:rPr>
          <w:rFonts w:hint="eastAsia" w:ascii="宋体" w:hAnsi="宋体"/>
          <w:b/>
          <w:sz w:val="24"/>
          <w:highlight w:val="none"/>
        </w:rPr>
      </w:pPr>
    </w:p>
    <w:p w14:paraId="7F22214A">
      <w:pPr>
        <w:spacing w:line="480" w:lineRule="auto"/>
        <w:jc w:val="center"/>
        <w:rPr>
          <w:rFonts w:hint="eastAsia" w:ascii="宋体" w:hAnsi="宋体"/>
          <w:b/>
          <w:sz w:val="36"/>
          <w:highlight w:val="none"/>
        </w:rPr>
      </w:pPr>
      <w:r>
        <w:rPr>
          <w:rFonts w:hint="eastAsia" w:ascii="宋体" w:hAnsi="宋体"/>
          <w:b/>
          <w:sz w:val="36"/>
          <w:highlight w:val="none"/>
        </w:rPr>
        <w:t>采购合同参考范本</w:t>
      </w:r>
    </w:p>
    <w:p w14:paraId="55C9478F">
      <w:pPr>
        <w:spacing w:line="480" w:lineRule="auto"/>
        <w:jc w:val="center"/>
        <w:rPr>
          <w:rFonts w:hint="eastAsia" w:ascii="宋体" w:hAnsi="宋体"/>
          <w:b/>
          <w:sz w:val="36"/>
          <w:highlight w:val="none"/>
        </w:rPr>
      </w:pPr>
      <w:r>
        <w:rPr>
          <w:rFonts w:hint="eastAsia" w:ascii="宋体" w:hAnsi="宋体"/>
          <w:b/>
          <w:sz w:val="36"/>
          <w:highlight w:val="none"/>
        </w:rPr>
        <w:t>（货物类）</w:t>
      </w:r>
    </w:p>
    <w:p w14:paraId="3AF87E43">
      <w:pPr>
        <w:pStyle w:val="31"/>
        <w:ind w:left="0" w:leftChars="0" w:firstLine="0" w:firstLineChars="0"/>
        <w:jc w:val="center"/>
        <w:rPr>
          <w:rFonts w:hint="eastAsia" w:ascii="宋体" w:hAnsi="宋体"/>
          <w:b/>
          <w:highlight w:val="none"/>
        </w:rPr>
      </w:pPr>
      <w:r>
        <w:rPr>
          <w:rFonts w:hint="eastAsia" w:ascii="宋体" w:hAnsi="宋体"/>
          <w:b/>
          <w:highlight w:val="none"/>
        </w:rPr>
        <w:t>第一部分 合同书</w:t>
      </w:r>
    </w:p>
    <w:p w14:paraId="1A4381AA">
      <w:pPr>
        <w:spacing w:before="120" w:line="22" w:lineRule="atLeast"/>
        <w:rPr>
          <w:rFonts w:hint="eastAsia" w:ascii="宋体" w:hAnsi="宋体"/>
          <w:sz w:val="24"/>
          <w:highlight w:val="none"/>
        </w:rPr>
      </w:pPr>
    </w:p>
    <w:p w14:paraId="6FA7DB16">
      <w:pPr>
        <w:pStyle w:val="24"/>
        <w:ind w:firstLine="480"/>
        <w:rPr>
          <w:rFonts w:hint="eastAsia" w:ascii="宋体" w:hAnsi="宋体"/>
          <w:sz w:val="24"/>
          <w:highlight w:val="none"/>
        </w:rPr>
      </w:pPr>
    </w:p>
    <w:p w14:paraId="4D6D6FC1">
      <w:pPr>
        <w:pStyle w:val="24"/>
        <w:ind w:firstLine="480"/>
        <w:rPr>
          <w:rFonts w:hint="eastAsia" w:ascii="宋体" w:hAnsi="宋体"/>
          <w:sz w:val="24"/>
          <w:highlight w:val="none"/>
        </w:rPr>
      </w:pPr>
    </w:p>
    <w:p w14:paraId="0FBD24F9">
      <w:pPr>
        <w:pStyle w:val="4"/>
        <w:rPr>
          <w:rFonts w:hint="eastAsia"/>
          <w:highlight w:val="none"/>
        </w:rPr>
      </w:pPr>
    </w:p>
    <w:p w14:paraId="327FCBEF">
      <w:pPr>
        <w:spacing w:before="120" w:line="22" w:lineRule="atLeast"/>
        <w:ind w:left="960"/>
        <w:rPr>
          <w:rFonts w:hint="eastAsia"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p>
    <w:p w14:paraId="7FC2D26F">
      <w:pPr>
        <w:pStyle w:val="32"/>
        <w:spacing w:before="120" w:line="22" w:lineRule="atLeast"/>
        <w:rPr>
          <w:rFonts w:hint="eastAsia" w:ascii="宋体" w:hAnsi="宋体" w:eastAsia="宋体"/>
          <w:highlight w:val="none"/>
        </w:rPr>
      </w:pPr>
    </w:p>
    <w:p w14:paraId="16606E53">
      <w:pPr>
        <w:pStyle w:val="32"/>
        <w:spacing w:before="120" w:line="22" w:lineRule="atLeast"/>
        <w:rPr>
          <w:rFonts w:hint="eastAsia" w:ascii="宋体" w:hAnsi="宋体" w:eastAsia="宋体"/>
          <w:highlight w:val="none"/>
        </w:rPr>
      </w:pPr>
    </w:p>
    <w:p w14:paraId="570D312E">
      <w:pPr>
        <w:rPr>
          <w:rFonts w:hint="eastAsia" w:ascii="宋体" w:hAnsi="宋体"/>
          <w:sz w:val="24"/>
          <w:highlight w:val="none"/>
        </w:rPr>
      </w:pPr>
    </w:p>
    <w:p w14:paraId="6985F400">
      <w:pPr>
        <w:spacing w:before="120" w:line="22" w:lineRule="atLeast"/>
        <w:ind w:left="960"/>
        <w:rPr>
          <w:rFonts w:hint="eastAsia" w:ascii="宋体" w:hAnsi="宋体"/>
          <w:sz w:val="24"/>
          <w:highlight w:val="none"/>
          <w:u w:val="single"/>
        </w:rPr>
      </w:pPr>
      <w:r>
        <w:rPr>
          <w:rFonts w:hint="eastAsia" w:ascii="宋体" w:hAnsi="宋体"/>
          <w:sz w:val="24"/>
          <w:highlight w:val="none"/>
        </w:rPr>
        <w:t>甲方：</w:t>
      </w:r>
      <w:r>
        <w:rPr>
          <w:rFonts w:hint="eastAsia" w:ascii="宋体" w:hAnsi="宋体"/>
          <w:sz w:val="24"/>
          <w:highlight w:val="none"/>
          <w:u w:val="single"/>
        </w:rPr>
        <w:t xml:space="preserve">                                       </w:t>
      </w:r>
    </w:p>
    <w:p w14:paraId="15E6B325">
      <w:pPr>
        <w:spacing w:before="120" w:line="22" w:lineRule="atLeast"/>
        <w:rPr>
          <w:rFonts w:hint="eastAsia" w:ascii="宋体" w:hAnsi="宋体"/>
          <w:sz w:val="24"/>
          <w:highlight w:val="none"/>
        </w:rPr>
      </w:pPr>
    </w:p>
    <w:p w14:paraId="1AC18AFB">
      <w:pPr>
        <w:spacing w:before="120" w:line="22" w:lineRule="atLeast"/>
        <w:ind w:left="960"/>
        <w:rPr>
          <w:rFonts w:hint="eastAsia" w:ascii="宋体" w:hAnsi="宋体"/>
          <w:sz w:val="24"/>
          <w:highlight w:val="none"/>
          <w:u w:val="single"/>
        </w:rPr>
      </w:pPr>
      <w:r>
        <w:rPr>
          <w:rFonts w:hint="eastAsia" w:ascii="宋体" w:hAnsi="宋体"/>
          <w:sz w:val="24"/>
          <w:highlight w:val="none"/>
        </w:rPr>
        <w:t>乙方：</w:t>
      </w:r>
      <w:r>
        <w:rPr>
          <w:rFonts w:hint="eastAsia" w:ascii="宋体" w:hAnsi="宋体"/>
          <w:sz w:val="24"/>
          <w:highlight w:val="none"/>
          <w:u w:val="single"/>
        </w:rPr>
        <w:t xml:space="preserve">                                       </w:t>
      </w:r>
    </w:p>
    <w:p w14:paraId="74440C24">
      <w:pPr>
        <w:spacing w:before="120" w:line="22" w:lineRule="atLeast"/>
        <w:rPr>
          <w:rFonts w:hint="eastAsia" w:ascii="宋体" w:hAnsi="宋体"/>
          <w:sz w:val="24"/>
          <w:highlight w:val="none"/>
        </w:rPr>
      </w:pPr>
    </w:p>
    <w:p w14:paraId="41BB5785">
      <w:pPr>
        <w:spacing w:before="120" w:line="22" w:lineRule="atLeast"/>
        <w:ind w:firstLine="960" w:firstLineChars="400"/>
        <w:rPr>
          <w:rFonts w:hint="eastAsia" w:ascii="宋体" w:hAnsi="宋体"/>
          <w:sz w:val="24"/>
          <w:highlight w:val="none"/>
          <w:u w:val="single"/>
        </w:rPr>
      </w:pPr>
      <w:r>
        <w:rPr>
          <w:rFonts w:hint="eastAsia" w:ascii="宋体" w:hAnsi="宋体"/>
          <w:sz w:val="24"/>
          <w:highlight w:val="none"/>
        </w:rPr>
        <w:t>签订地：</w:t>
      </w:r>
      <w:r>
        <w:rPr>
          <w:rFonts w:hint="eastAsia" w:ascii="宋体" w:hAnsi="宋体"/>
          <w:sz w:val="24"/>
          <w:highlight w:val="none"/>
          <w:u w:val="single"/>
        </w:rPr>
        <w:t xml:space="preserve">                                     </w:t>
      </w:r>
    </w:p>
    <w:p w14:paraId="1B139169">
      <w:pPr>
        <w:spacing w:before="120" w:line="22" w:lineRule="atLeast"/>
        <w:rPr>
          <w:rFonts w:hint="eastAsia" w:ascii="宋体" w:hAnsi="宋体"/>
          <w:sz w:val="24"/>
          <w:highlight w:val="none"/>
        </w:rPr>
      </w:pPr>
    </w:p>
    <w:p w14:paraId="27D828EE">
      <w:pPr>
        <w:spacing w:before="120" w:line="22" w:lineRule="atLeast"/>
        <w:ind w:firstLine="960" w:firstLineChars="400"/>
        <w:rPr>
          <w:rFonts w:hint="eastAsia" w:ascii="宋体" w:hAnsi="宋体"/>
          <w:sz w:val="24"/>
          <w:highlight w:val="none"/>
          <w:u w:val="single"/>
        </w:rPr>
      </w:pPr>
      <w:r>
        <w:rPr>
          <w:rFonts w:hint="eastAsia" w:ascii="宋体" w:hAnsi="宋体"/>
          <w:sz w:val="24"/>
          <w:highlight w:val="none"/>
        </w:rPr>
        <w:t>签订日期：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8CB1319">
      <w:pPr>
        <w:widowControl/>
        <w:jc w:val="left"/>
        <w:rPr>
          <w:highlight w:val="none"/>
        </w:rPr>
        <w:sectPr>
          <w:headerReference r:id="rId8" w:type="default"/>
          <w:footerReference r:id="rId9" w:type="default"/>
          <w:pgSz w:w="11907" w:h="16840"/>
          <w:pgMar w:top="1417" w:right="1417" w:bottom="1417" w:left="1417" w:header="851" w:footer="850" w:gutter="0"/>
          <w:cols w:space="0" w:num="1"/>
        </w:sectPr>
      </w:pPr>
    </w:p>
    <w:p w14:paraId="56F3A981">
      <w:pPr>
        <w:spacing w:line="360" w:lineRule="auto"/>
        <w:ind w:firstLine="480" w:firstLineChars="200"/>
        <w:jc w:val="left"/>
        <w:rPr>
          <w:rFonts w:hint="eastAsia" w:ascii="宋体" w:hAnsi="宋体"/>
          <w:sz w:val="24"/>
          <w:highlight w:val="none"/>
          <w:u w:val="single"/>
        </w:rPr>
      </w:pPr>
    </w:p>
    <w:p w14:paraId="04407D94">
      <w:pPr>
        <w:spacing w:line="360" w:lineRule="auto"/>
        <w:ind w:firstLine="480" w:firstLineChars="200"/>
        <w:jc w:val="left"/>
        <w:rPr>
          <w:rFonts w:hint="eastAsia"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u w:val="single"/>
        </w:rPr>
        <w:t>杭州高级中学临平学校</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w:t>
      </w:r>
      <w:r>
        <w:rPr>
          <w:rFonts w:hint="eastAsia" w:ascii="宋体" w:hAnsi="宋体"/>
          <w:sz w:val="24"/>
          <w:highlight w:val="none"/>
          <w:u w:val="single"/>
        </w:rPr>
        <w:t>公开招标方式</w:t>
      </w:r>
      <w:r>
        <w:rPr>
          <w:rFonts w:ascii="宋体" w:hAnsi="宋体"/>
          <w:sz w:val="24"/>
          <w:highlight w:val="none"/>
          <w:u w:val="single"/>
        </w:rPr>
        <w:t xml:space="preserve">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sz w:val="24"/>
          <w:highlight w:val="none"/>
          <w:u w:val="single"/>
          <w:lang w:eastAsia="zh-CN"/>
        </w:rPr>
        <w:t>杭州高级中学临平学校校园网络建设二期项目</w:t>
      </w:r>
      <w:r>
        <w:rPr>
          <w:rFonts w:hint="eastAsia" w:ascii="宋体" w:hAnsi="宋体"/>
          <w:sz w:val="24"/>
          <w:highlight w:val="none"/>
          <w:u w:val="single"/>
        </w:rPr>
        <w:t>（项目编号：</w:t>
      </w:r>
      <w:r>
        <w:rPr>
          <w:rFonts w:hint="eastAsia" w:ascii="宋体" w:hAnsi="宋体"/>
          <w:sz w:val="24"/>
          <w:highlight w:val="none"/>
          <w:u w:val="single"/>
          <w:lang w:eastAsia="zh-CN"/>
        </w:rPr>
        <w:t>ZJOB-HGLP-2025006</w:t>
      </w:r>
      <w:r>
        <w:rPr>
          <w:rFonts w:hint="eastAsia" w:ascii="宋体" w:hAnsi="宋体"/>
          <w:sz w:val="24"/>
          <w:highlight w:val="none"/>
          <w:u w:val="single"/>
        </w:rPr>
        <w:t>）</w:t>
      </w:r>
      <w:r>
        <w:rPr>
          <w:rFonts w:hint="eastAsia" w:ascii="宋体" w:hAnsi="宋体"/>
          <w:sz w:val="24"/>
          <w:highlight w:val="none"/>
        </w:rPr>
        <w:t>进行了采购。经</w:t>
      </w:r>
      <w:r>
        <w:rPr>
          <w:rFonts w:ascii="宋体" w:hAnsi="宋体"/>
          <w:sz w:val="24"/>
          <w:highlight w:val="none"/>
          <w:u w:val="single"/>
        </w:rPr>
        <w:t xml:space="preserve"> </w:t>
      </w:r>
      <w:r>
        <w:rPr>
          <w:rFonts w:hint="eastAsia" w:ascii="宋体" w:hAnsi="宋体"/>
          <w:sz w:val="24"/>
          <w:highlight w:val="none"/>
          <w:u w:val="single"/>
        </w:rPr>
        <w:t>评审委员会</w:t>
      </w:r>
      <w:r>
        <w:rPr>
          <w:rFonts w:ascii="宋体" w:hAnsi="宋体"/>
          <w:sz w:val="24"/>
          <w:highlight w:val="none"/>
          <w:u w:val="single"/>
        </w:rPr>
        <w:t xml:space="preserve"> </w:t>
      </w:r>
      <w:r>
        <w:rPr>
          <w:rFonts w:hint="eastAsia" w:ascii="宋体" w:hAnsi="宋体"/>
          <w:sz w:val="24"/>
          <w:highlight w:val="none"/>
        </w:rPr>
        <w:t>评定，</w:t>
      </w:r>
      <w:r>
        <w:rPr>
          <w:rFonts w:ascii="宋体" w:hAnsi="宋体"/>
          <w:sz w:val="24"/>
          <w:highlight w:val="none"/>
          <w:u w:val="single"/>
        </w:rPr>
        <w:t xml:space="preserve">（中标供应商名称） </w:t>
      </w:r>
      <w:r>
        <w:rPr>
          <w:rFonts w:hint="eastAsia" w:ascii="宋体" w:hAnsi="宋体"/>
          <w:sz w:val="24"/>
          <w:highlight w:val="none"/>
        </w:rPr>
        <w:t>为该项目中标供应商。现于中标通知书发出后30日（鼓励有条件的缩短至10个工作日）内，按照采购文件确定的事项签订本合同。</w:t>
      </w:r>
    </w:p>
    <w:p w14:paraId="531DCFB0">
      <w:pPr>
        <w:spacing w:line="360" w:lineRule="auto"/>
        <w:ind w:firstLine="480" w:firstLineChars="200"/>
        <w:rPr>
          <w:rFonts w:hint="eastAsia" w:ascii="宋体" w:hAnsi="宋体"/>
          <w:sz w:val="24"/>
          <w:highlight w:val="none"/>
        </w:rPr>
      </w:pPr>
      <w:r>
        <w:rPr>
          <w:rFonts w:hint="eastAsia" w:ascii="宋体" w:hAnsi="宋体"/>
          <w:sz w:val="24"/>
          <w:highlight w:val="none"/>
        </w:rPr>
        <w:t>根据《中华人民共和国民法典》</w:t>
      </w:r>
      <w:r>
        <w:rPr>
          <w:rFonts w:hint="eastAsia"/>
          <w:highlight w:val="none"/>
        </w:rPr>
        <w:t>、</w:t>
      </w:r>
      <w:r>
        <w:rPr>
          <w:rFonts w:hint="eastAsia" w:ascii="宋体" w:hAnsi="宋体"/>
          <w:sz w:val="24"/>
          <w:highlight w:val="none"/>
        </w:rPr>
        <w:t>《中华人民共和国政府采购法》等相关法律法规之规定，按照平等、自愿、公平和诚实信用的原则，经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rPr>
        <w:t>杭州高级中学临平学校</w:t>
      </w:r>
      <w:r>
        <w:rPr>
          <w:rFonts w:ascii="宋体" w:hAnsi="宋体"/>
          <w:sz w:val="24"/>
          <w:highlight w:val="none"/>
          <w:u w:val="single"/>
        </w:rPr>
        <w:t xml:space="preserve">  </w:t>
      </w:r>
      <w:r>
        <w:rPr>
          <w:rFonts w:ascii="宋体" w:hAnsi="宋体"/>
          <w:sz w:val="24"/>
          <w:highlight w:val="none"/>
        </w:rPr>
        <w:t>(以下简称：甲方)和</w:t>
      </w:r>
      <w:r>
        <w:rPr>
          <w:rFonts w:ascii="宋体" w:hAnsi="宋体"/>
          <w:sz w:val="24"/>
          <w:highlight w:val="none"/>
          <w:u w:val="single"/>
        </w:rPr>
        <w:t xml:space="preserve">   （中标供应商名称）   </w:t>
      </w:r>
      <w:r>
        <w:rPr>
          <w:rFonts w:ascii="宋体" w:hAnsi="宋体"/>
          <w:sz w:val="24"/>
          <w:highlight w:val="none"/>
        </w:rPr>
        <w:t>(以下简称：乙方)协商一致，约定以下合同</w:t>
      </w:r>
      <w:r>
        <w:rPr>
          <w:rFonts w:hint="eastAsia" w:ascii="宋体" w:hAnsi="宋体"/>
          <w:sz w:val="24"/>
          <w:highlight w:val="none"/>
        </w:rPr>
        <w:t>条款，以兹共同遵守、全面履行。</w:t>
      </w:r>
    </w:p>
    <w:p w14:paraId="5BCFA23F">
      <w:pPr>
        <w:spacing w:line="360" w:lineRule="auto"/>
        <w:ind w:firstLine="482" w:firstLineChars="200"/>
        <w:outlineLvl w:val="0"/>
        <w:rPr>
          <w:rFonts w:hint="eastAsia" w:ascii="宋体" w:hAnsi="宋体"/>
          <w:sz w:val="24"/>
          <w:highlight w:val="none"/>
        </w:rPr>
      </w:pPr>
      <w:bookmarkStart w:id="384" w:name="_Toc22967"/>
      <w:bookmarkStart w:id="385" w:name="_Toc19273"/>
      <w:bookmarkStart w:id="386" w:name="_Toc28855"/>
      <w:bookmarkStart w:id="387" w:name="_Toc15367"/>
      <w:bookmarkStart w:id="388" w:name="_Toc20421"/>
      <w:r>
        <w:rPr>
          <w:rFonts w:ascii="宋体" w:hAnsi="宋体"/>
          <w:b/>
          <w:sz w:val="24"/>
          <w:highlight w:val="none"/>
        </w:rPr>
        <w:t xml:space="preserve">1.1 </w:t>
      </w:r>
      <w:r>
        <w:rPr>
          <w:rFonts w:hint="eastAsia" w:ascii="宋体" w:hAnsi="宋体"/>
          <w:b/>
          <w:sz w:val="24"/>
          <w:highlight w:val="none"/>
        </w:rPr>
        <w:t>合同组成部分</w:t>
      </w:r>
      <w:bookmarkEnd w:id="384"/>
      <w:bookmarkEnd w:id="385"/>
      <w:bookmarkEnd w:id="386"/>
      <w:bookmarkEnd w:id="387"/>
      <w:bookmarkEnd w:id="388"/>
    </w:p>
    <w:p w14:paraId="355B79AB">
      <w:pPr>
        <w:spacing w:line="360" w:lineRule="auto"/>
        <w:ind w:firstLine="480" w:firstLineChars="200"/>
        <w:rPr>
          <w:rFonts w:hint="eastAsia"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23420C">
      <w:pPr>
        <w:spacing w:line="360" w:lineRule="auto"/>
        <w:ind w:firstLine="480" w:firstLineChars="200"/>
        <w:rPr>
          <w:rFonts w:hint="eastAsia"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543A4396">
      <w:pPr>
        <w:spacing w:line="360" w:lineRule="auto"/>
        <w:ind w:firstLine="480" w:firstLineChars="200"/>
        <w:rPr>
          <w:rFonts w:hint="eastAsia" w:ascii="宋体" w:hAnsi="宋体"/>
          <w:sz w:val="24"/>
          <w:highlight w:val="none"/>
        </w:rPr>
      </w:pPr>
      <w:r>
        <w:rPr>
          <w:rFonts w:ascii="宋体" w:hAnsi="宋体"/>
          <w:sz w:val="24"/>
          <w:highlight w:val="none"/>
        </w:rPr>
        <w:t xml:space="preserve">1.1.2 </w:t>
      </w:r>
      <w:r>
        <w:rPr>
          <w:rFonts w:hint="eastAsia" w:ascii="宋体" w:hAnsi="宋体"/>
          <w:sz w:val="24"/>
          <w:highlight w:val="none"/>
        </w:rPr>
        <w:t>中标通知书；</w:t>
      </w:r>
    </w:p>
    <w:p w14:paraId="2E7E2464">
      <w:pPr>
        <w:spacing w:line="360" w:lineRule="auto"/>
        <w:ind w:firstLine="480" w:firstLineChars="200"/>
        <w:rPr>
          <w:rFonts w:hint="eastAsia" w:ascii="宋体" w:hAnsi="宋体"/>
          <w:sz w:val="24"/>
          <w:highlight w:val="none"/>
        </w:rPr>
      </w:pPr>
      <w:r>
        <w:rPr>
          <w:rFonts w:ascii="宋体" w:hAnsi="宋体"/>
          <w:sz w:val="24"/>
          <w:highlight w:val="none"/>
        </w:rPr>
        <w:t xml:space="preserve">1.1.3 </w:t>
      </w:r>
      <w:r>
        <w:rPr>
          <w:rFonts w:hint="eastAsia" w:ascii="宋体" w:hAnsi="宋体"/>
          <w:sz w:val="24"/>
          <w:highlight w:val="none"/>
        </w:rPr>
        <w:t>投标文件（含澄清或者说明文件）；</w:t>
      </w:r>
    </w:p>
    <w:p w14:paraId="10CE4F1D">
      <w:pPr>
        <w:spacing w:line="360" w:lineRule="auto"/>
        <w:ind w:firstLine="480" w:firstLineChars="200"/>
        <w:rPr>
          <w:rFonts w:hint="eastAsia" w:ascii="宋体" w:hAnsi="宋体"/>
          <w:sz w:val="24"/>
          <w:highlight w:val="none"/>
        </w:rPr>
      </w:pPr>
      <w:r>
        <w:rPr>
          <w:rFonts w:ascii="宋体" w:hAnsi="宋体"/>
          <w:sz w:val="24"/>
          <w:highlight w:val="none"/>
        </w:rPr>
        <w:t xml:space="preserve">1.1.4 </w:t>
      </w:r>
      <w:r>
        <w:rPr>
          <w:rFonts w:hint="eastAsia" w:ascii="宋体" w:hAnsi="宋体"/>
          <w:sz w:val="24"/>
          <w:highlight w:val="none"/>
        </w:rPr>
        <w:t>招标文件（含澄清或者修改文件）；</w:t>
      </w:r>
    </w:p>
    <w:p w14:paraId="365446FB">
      <w:pPr>
        <w:spacing w:line="360" w:lineRule="auto"/>
        <w:ind w:firstLine="480" w:firstLineChars="200"/>
        <w:rPr>
          <w:rFonts w:hint="eastAsia"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076CDA70">
      <w:pPr>
        <w:spacing w:line="360" w:lineRule="auto"/>
        <w:ind w:firstLine="482" w:firstLineChars="200"/>
        <w:outlineLvl w:val="0"/>
        <w:rPr>
          <w:rFonts w:hint="eastAsia" w:ascii="宋体" w:hAnsi="宋体"/>
          <w:b/>
          <w:sz w:val="24"/>
          <w:highlight w:val="none"/>
        </w:rPr>
      </w:pPr>
      <w:bookmarkStart w:id="389" w:name="_Toc6311"/>
      <w:bookmarkStart w:id="390" w:name="_Toc18585"/>
      <w:bookmarkStart w:id="391" w:name="_Toc2918"/>
      <w:bookmarkStart w:id="392" w:name="_Toc22185"/>
      <w:bookmarkStart w:id="393" w:name="_Toc6773"/>
      <w:r>
        <w:rPr>
          <w:rFonts w:ascii="宋体" w:hAnsi="宋体"/>
          <w:b/>
          <w:sz w:val="24"/>
          <w:highlight w:val="none"/>
        </w:rPr>
        <w:t xml:space="preserve">1.2 </w:t>
      </w:r>
      <w:bookmarkEnd w:id="389"/>
      <w:bookmarkEnd w:id="390"/>
      <w:bookmarkEnd w:id="391"/>
      <w:bookmarkEnd w:id="392"/>
      <w:bookmarkEnd w:id="393"/>
      <w:r>
        <w:rPr>
          <w:rFonts w:hint="eastAsia" w:ascii="宋体" w:hAnsi="宋体"/>
          <w:b/>
          <w:sz w:val="24"/>
          <w:highlight w:val="none"/>
        </w:rPr>
        <w:t>货物</w:t>
      </w:r>
    </w:p>
    <w:p w14:paraId="32901B95">
      <w:pPr>
        <w:spacing w:line="360" w:lineRule="auto"/>
        <w:ind w:firstLine="480" w:firstLineChars="200"/>
        <w:rPr>
          <w:rFonts w:hint="eastAsia"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货物</w:t>
      </w:r>
      <w:r>
        <w:rPr>
          <w:rFonts w:ascii="宋体" w:hAnsi="宋体"/>
          <w:sz w:val="24"/>
          <w:highlight w:val="none"/>
        </w:rPr>
        <w:t>名称：</w:t>
      </w:r>
      <w:r>
        <w:rPr>
          <w:rFonts w:ascii="宋体" w:hAnsi="宋体"/>
          <w:sz w:val="24"/>
          <w:highlight w:val="none"/>
          <w:u w:val="single"/>
        </w:rPr>
        <w:t xml:space="preserve">                                                </w:t>
      </w:r>
      <w:r>
        <w:rPr>
          <w:rFonts w:hint="eastAsia" w:ascii="宋体" w:hAnsi="宋体"/>
          <w:sz w:val="24"/>
          <w:highlight w:val="none"/>
        </w:rPr>
        <w:t>；</w:t>
      </w:r>
    </w:p>
    <w:p w14:paraId="2DAC2BFE">
      <w:pPr>
        <w:spacing w:line="360" w:lineRule="auto"/>
        <w:ind w:firstLine="480" w:firstLineChars="200"/>
        <w:rPr>
          <w:rFonts w:hint="eastAsia"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货物</w:t>
      </w:r>
      <w:r>
        <w:rPr>
          <w:rFonts w:ascii="宋体" w:hAnsi="宋体"/>
          <w:sz w:val="24"/>
          <w:highlight w:val="none"/>
        </w:rPr>
        <w:t>数量：</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17D06465">
      <w:pPr>
        <w:spacing w:line="360" w:lineRule="auto"/>
        <w:ind w:firstLine="480" w:firstLineChars="200"/>
        <w:rPr>
          <w:rFonts w:hint="eastAsia" w:ascii="宋体" w:hAnsi="宋体"/>
          <w:sz w:val="24"/>
          <w:highlight w:val="none"/>
        </w:rPr>
      </w:pPr>
      <w:r>
        <w:rPr>
          <w:rFonts w:ascii="宋体" w:hAnsi="宋体"/>
          <w:sz w:val="24"/>
          <w:highlight w:val="none"/>
        </w:rPr>
        <w:t xml:space="preserve">1.2.3 </w:t>
      </w:r>
      <w:r>
        <w:rPr>
          <w:rFonts w:hint="eastAsia" w:ascii="宋体" w:hAnsi="宋体"/>
          <w:sz w:val="24"/>
          <w:highlight w:val="none"/>
        </w:rPr>
        <w:t>货物质量：</w:t>
      </w:r>
      <w:r>
        <w:rPr>
          <w:rFonts w:ascii="宋体" w:hAnsi="宋体"/>
          <w:sz w:val="24"/>
          <w:highlight w:val="none"/>
          <w:u w:val="single"/>
        </w:rPr>
        <w:t xml:space="preserve">　　　　　　　　　                      　      </w:t>
      </w:r>
      <w:r>
        <w:rPr>
          <w:rFonts w:hint="eastAsia" w:ascii="宋体" w:hAnsi="宋体"/>
          <w:sz w:val="24"/>
          <w:highlight w:val="none"/>
        </w:rPr>
        <w:t>。</w:t>
      </w:r>
    </w:p>
    <w:p w14:paraId="596D8A06">
      <w:pPr>
        <w:spacing w:line="360" w:lineRule="auto"/>
        <w:ind w:firstLine="482" w:firstLineChars="200"/>
        <w:outlineLvl w:val="0"/>
        <w:rPr>
          <w:rFonts w:hint="eastAsia" w:ascii="宋体" w:hAnsi="宋体"/>
          <w:b/>
          <w:sz w:val="24"/>
          <w:highlight w:val="none"/>
        </w:rPr>
      </w:pPr>
      <w:bookmarkStart w:id="394" w:name="_Toc21124"/>
      <w:bookmarkStart w:id="395" w:name="_Toc13918"/>
      <w:bookmarkStart w:id="396" w:name="_Toc5635"/>
      <w:bookmarkStart w:id="397" w:name="_Toc1386"/>
      <w:bookmarkStart w:id="398" w:name="_Toc4929"/>
      <w:r>
        <w:rPr>
          <w:rFonts w:ascii="宋体" w:hAnsi="宋体"/>
          <w:b/>
          <w:sz w:val="24"/>
          <w:highlight w:val="none"/>
        </w:rPr>
        <w:t>1.3 价款</w:t>
      </w:r>
      <w:bookmarkEnd w:id="394"/>
      <w:bookmarkEnd w:id="395"/>
      <w:bookmarkEnd w:id="396"/>
      <w:bookmarkEnd w:id="397"/>
      <w:bookmarkEnd w:id="398"/>
    </w:p>
    <w:p w14:paraId="6473F3F0">
      <w:pPr>
        <w:spacing w:line="360" w:lineRule="auto"/>
        <w:ind w:firstLine="480" w:firstLineChars="200"/>
        <w:rPr>
          <w:rFonts w:hint="eastAsia" w:ascii="宋体" w:hAnsi="宋体"/>
          <w:sz w:val="24"/>
          <w:highlight w:val="none"/>
        </w:rPr>
      </w:pPr>
      <w:r>
        <w:rPr>
          <w:rFonts w:ascii="宋体" w:hAnsi="宋体"/>
          <w:sz w:val="24"/>
          <w:highlight w:val="none"/>
        </w:rPr>
        <w:t>本合同总价为</w:t>
      </w:r>
      <w:r>
        <w:rPr>
          <w:rFonts w:hint="eastAsia" w:ascii="宋体" w:hAnsi="宋体"/>
          <w:sz w:val="24"/>
          <w:highlight w:val="none"/>
        </w:rPr>
        <w:t>：</w:t>
      </w:r>
      <w:r>
        <w:rPr>
          <w:rFonts w:ascii="Arial" w:hAnsi="Arial" w:cs="Arial"/>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0099BD5F">
      <w:pPr>
        <w:spacing w:line="360" w:lineRule="auto"/>
        <w:ind w:firstLine="480" w:firstLineChars="200"/>
        <w:rPr>
          <w:rFonts w:hint="eastAsia" w:ascii="宋体" w:hAnsi="宋体"/>
          <w:sz w:val="24"/>
          <w:highlight w:val="none"/>
          <w:u w:val="single"/>
        </w:rPr>
      </w:pPr>
      <w:r>
        <w:rPr>
          <w:rFonts w:ascii="宋体" w:hAnsi="宋体"/>
          <w:sz w:val="24"/>
          <w:highlight w:val="none"/>
        </w:rPr>
        <w:t>分项价格：</w:t>
      </w:r>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5CAF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4D9E5">
            <w:pPr>
              <w:pStyle w:val="33"/>
              <w:spacing w:line="360" w:lineRule="auto"/>
              <w:jc w:val="center"/>
              <w:rPr>
                <w:rFonts w:hint="eastAsia" w:hAnsi="宋体"/>
                <w:sz w:val="24"/>
                <w:highlight w:val="none"/>
              </w:rPr>
            </w:pPr>
            <w:r>
              <w:rPr>
                <w:rFonts w:hAnsi="宋体"/>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C09AF">
            <w:pPr>
              <w:pStyle w:val="33"/>
              <w:spacing w:line="360" w:lineRule="auto"/>
              <w:ind w:firstLine="200"/>
              <w:jc w:val="center"/>
              <w:rPr>
                <w:rFonts w:hint="eastAsia" w:hAnsi="宋体"/>
                <w:sz w:val="24"/>
                <w:highlight w:val="none"/>
              </w:rPr>
            </w:pPr>
            <w:r>
              <w:rPr>
                <w:rFonts w:hint="eastAsia" w:hAnsi="宋体"/>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A80449">
            <w:pPr>
              <w:pStyle w:val="33"/>
              <w:spacing w:line="360" w:lineRule="auto"/>
              <w:ind w:firstLine="200"/>
              <w:jc w:val="center"/>
              <w:rPr>
                <w:rFonts w:hint="eastAsia" w:hAnsi="宋体"/>
                <w:sz w:val="24"/>
                <w:highlight w:val="none"/>
              </w:rPr>
            </w:pPr>
            <w:r>
              <w:rPr>
                <w:rFonts w:hint="eastAsia" w:hAnsi="宋体"/>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3BE0F3">
            <w:pPr>
              <w:pStyle w:val="33"/>
              <w:spacing w:line="360" w:lineRule="auto"/>
              <w:jc w:val="center"/>
              <w:rPr>
                <w:rFonts w:hint="eastAsia" w:hAnsi="宋体"/>
                <w:sz w:val="24"/>
                <w:highlight w:val="none"/>
              </w:rPr>
            </w:pPr>
            <w:r>
              <w:rPr>
                <w:rFonts w:hint="eastAsia" w:hAnsi="宋体"/>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D529EB">
            <w:pPr>
              <w:pStyle w:val="33"/>
              <w:spacing w:line="360" w:lineRule="auto"/>
              <w:jc w:val="center"/>
              <w:rPr>
                <w:rFonts w:hint="eastAsia" w:hAnsi="宋体"/>
                <w:sz w:val="24"/>
                <w:highlight w:val="none"/>
              </w:rPr>
            </w:pPr>
            <w:r>
              <w:rPr>
                <w:rFonts w:hAnsi="宋体"/>
                <w:sz w:val="24"/>
                <w:highlight w:val="none"/>
              </w:rPr>
              <w:t>分项价格</w:t>
            </w:r>
          </w:p>
        </w:tc>
      </w:tr>
      <w:tr w14:paraId="78BC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B44397">
            <w:pPr>
              <w:pStyle w:val="33"/>
              <w:spacing w:line="360" w:lineRule="auto"/>
              <w:ind w:firstLine="200"/>
              <w:jc w:val="center"/>
              <w:rPr>
                <w:rFonts w:hint="eastAsia" w:hAnsi="宋体"/>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1D3E4B">
            <w:pPr>
              <w:pStyle w:val="33"/>
              <w:spacing w:line="360" w:lineRule="auto"/>
              <w:ind w:firstLine="200"/>
              <w:jc w:val="center"/>
              <w:rPr>
                <w:rFonts w:hint="eastAsia" w:hAnsi="宋体"/>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C981BB">
            <w:pPr>
              <w:pStyle w:val="33"/>
              <w:spacing w:line="360" w:lineRule="auto"/>
              <w:ind w:firstLine="200"/>
              <w:jc w:val="center"/>
              <w:rPr>
                <w:rFonts w:hint="eastAsia" w:hAnsi="宋体"/>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0A87CF">
            <w:pPr>
              <w:pStyle w:val="33"/>
              <w:spacing w:line="360" w:lineRule="auto"/>
              <w:ind w:firstLine="200"/>
              <w:jc w:val="center"/>
              <w:rPr>
                <w:rFonts w:hint="eastAsia" w:hAnsi="宋体"/>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B3361B">
            <w:pPr>
              <w:pStyle w:val="33"/>
              <w:spacing w:line="360" w:lineRule="auto"/>
              <w:ind w:firstLine="200"/>
              <w:jc w:val="center"/>
              <w:rPr>
                <w:rFonts w:hint="eastAsia" w:hAnsi="宋体"/>
                <w:sz w:val="24"/>
                <w:highlight w:val="none"/>
              </w:rPr>
            </w:pPr>
          </w:p>
        </w:tc>
      </w:tr>
      <w:tr w14:paraId="2E66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F8579">
            <w:pPr>
              <w:pStyle w:val="33"/>
              <w:spacing w:line="360" w:lineRule="auto"/>
              <w:ind w:firstLine="200"/>
              <w:jc w:val="center"/>
              <w:rPr>
                <w:rFonts w:hint="eastAsia" w:hAnsi="宋体"/>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B3F102">
            <w:pPr>
              <w:pStyle w:val="33"/>
              <w:spacing w:line="360" w:lineRule="auto"/>
              <w:ind w:firstLine="200"/>
              <w:jc w:val="center"/>
              <w:rPr>
                <w:rFonts w:hint="eastAsia" w:hAnsi="宋体"/>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6D5F8">
            <w:pPr>
              <w:pStyle w:val="33"/>
              <w:spacing w:line="360" w:lineRule="auto"/>
              <w:ind w:firstLine="200"/>
              <w:jc w:val="center"/>
              <w:rPr>
                <w:rFonts w:hint="eastAsia" w:hAnsi="宋体"/>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26A092">
            <w:pPr>
              <w:pStyle w:val="33"/>
              <w:spacing w:line="360" w:lineRule="auto"/>
              <w:ind w:firstLine="200"/>
              <w:jc w:val="center"/>
              <w:rPr>
                <w:rFonts w:hint="eastAsia" w:hAnsi="宋体"/>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A333FB">
            <w:pPr>
              <w:pStyle w:val="33"/>
              <w:spacing w:line="360" w:lineRule="auto"/>
              <w:ind w:firstLine="200"/>
              <w:jc w:val="center"/>
              <w:rPr>
                <w:rFonts w:hint="eastAsia" w:hAnsi="宋体"/>
                <w:sz w:val="24"/>
                <w:highlight w:val="none"/>
              </w:rPr>
            </w:pPr>
          </w:p>
        </w:tc>
      </w:tr>
      <w:tr w14:paraId="29A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73AC6F">
            <w:pPr>
              <w:pStyle w:val="33"/>
              <w:spacing w:line="360" w:lineRule="auto"/>
              <w:ind w:firstLine="200"/>
              <w:jc w:val="left"/>
              <w:rPr>
                <w:rFonts w:hint="eastAsia" w:hAnsi="宋体"/>
                <w:sz w:val="24"/>
                <w:highlight w:val="none"/>
              </w:rPr>
            </w:pPr>
            <w:r>
              <w:rPr>
                <w:rFonts w:hint="eastAsia" w:hAnsi="宋体"/>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A8185">
            <w:pPr>
              <w:pStyle w:val="33"/>
              <w:spacing w:line="360" w:lineRule="auto"/>
              <w:ind w:firstLine="200"/>
              <w:jc w:val="center"/>
              <w:rPr>
                <w:rFonts w:hint="eastAsia" w:hAnsi="宋体"/>
                <w:sz w:val="24"/>
                <w:highlight w:val="none"/>
              </w:rPr>
            </w:pPr>
          </w:p>
        </w:tc>
      </w:tr>
    </w:tbl>
    <w:p w14:paraId="29697CC3">
      <w:pPr>
        <w:spacing w:line="360" w:lineRule="auto"/>
        <w:ind w:firstLine="482" w:firstLineChars="200"/>
        <w:outlineLvl w:val="0"/>
        <w:rPr>
          <w:rFonts w:hint="eastAsia" w:ascii="宋体" w:hAnsi="宋体"/>
          <w:b/>
          <w:sz w:val="24"/>
          <w:highlight w:val="none"/>
        </w:rPr>
      </w:pPr>
      <w:bookmarkStart w:id="399" w:name="_Toc30158"/>
      <w:bookmarkStart w:id="400" w:name="_Toc26916"/>
      <w:bookmarkStart w:id="401" w:name="_Toc3654"/>
      <w:bookmarkStart w:id="402" w:name="_Toc14993"/>
      <w:bookmarkStart w:id="403" w:name="_Toc30506"/>
    </w:p>
    <w:bookmarkEnd w:id="399"/>
    <w:bookmarkEnd w:id="400"/>
    <w:bookmarkEnd w:id="401"/>
    <w:bookmarkEnd w:id="402"/>
    <w:bookmarkEnd w:id="403"/>
    <w:p w14:paraId="7A27B493">
      <w:pPr>
        <w:pStyle w:val="34"/>
        <w:spacing w:before="0" w:beforeAutospacing="0" w:after="0" w:afterAutospacing="0" w:line="360" w:lineRule="auto"/>
        <w:ind w:firstLine="480"/>
        <w:rPr>
          <w:rFonts w:hint="eastAsia"/>
          <w:b/>
          <w:color w:val="auto"/>
          <w:highlight w:val="none"/>
        </w:rPr>
      </w:pPr>
      <w:bookmarkStart w:id="404" w:name="_Toc1814"/>
      <w:bookmarkStart w:id="405" w:name="_Toc10340"/>
      <w:bookmarkStart w:id="406" w:name="_Toc22618"/>
      <w:r>
        <w:rPr>
          <w:rFonts w:hint="eastAsia"/>
          <w:b/>
          <w:highlight w:val="none"/>
        </w:rPr>
        <w:t>1</w:t>
      </w:r>
      <w:r>
        <w:rPr>
          <w:rFonts w:hint="eastAsia"/>
          <w:b/>
          <w:color w:val="auto"/>
          <w:highlight w:val="none"/>
        </w:rPr>
        <w:t>.4履约保证金</w:t>
      </w:r>
    </w:p>
    <w:p w14:paraId="71BFBA8E">
      <w:pPr>
        <w:pStyle w:val="34"/>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8C55F0A">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5B28A604">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67F1131">
      <w:pPr>
        <w:pStyle w:val="4"/>
        <w:tabs>
          <w:tab w:val="clear" w:pos="432"/>
        </w:tabs>
        <w:ind w:left="0" w:firstLine="480" w:firstLineChars="200"/>
        <w:rPr>
          <w:rFonts w:hint="eastAsia" w:eastAsia="宋体"/>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w:t>
      </w:r>
      <w:r>
        <w:rPr>
          <w:rFonts w:hint="eastAsia" w:ascii="宋体" w:hAnsi="宋体" w:eastAsia="宋体" w:cs="宋体"/>
          <w:b w:val="0"/>
          <w:bCs w:val="0"/>
          <w:kern w:val="0"/>
          <w:sz w:val="24"/>
          <w:szCs w:val="24"/>
          <w:highlight w:val="none"/>
          <w:lang w:val="en-US"/>
        </w:rPr>
        <w:t>同约定全面履行义务，那么甲方有权从履约保证金中取得补偿或赔偿，同时不影响甲方要求乙方承担合同约定的超过履约保证金的违约责任的权利；</w:t>
      </w:r>
    </w:p>
    <w:p w14:paraId="496E21E3">
      <w:pPr>
        <w:spacing w:line="360" w:lineRule="auto"/>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21D0DF18">
      <w:pPr>
        <w:spacing w:line="360" w:lineRule="auto"/>
        <w:ind w:firstLine="482" w:firstLineChars="200"/>
        <w:outlineLvl w:val="0"/>
        <w:rPr>
          <w:rFonts w:hint="eastAsia" w:ascii="宋体" w:hAnsi="宋体" w:cs="宋体"/>
          <w:b/>
          <w:sz w:val="24"/>
          <w:highlight w:val="none"/>
        </w:rPr>
      </w:pPr>
      <w:r>
        <w:rPr>
          <w:rFonts w:hint="eastAsia" w:ascii="宋体" w:hAnsi="宋体" w:cs="宋体"/>
          <w:b/>
          <w:sz w:val="24"/>
          <w:highlight w:val="none"/>
        </w:rPr>
        <w:t>1.5</w:t>
      </w:r>
      <w:bookmarkEnd w:id="404"/>
      <w:bookmarkEnd w:id="405"/>
      <w:bookmarkEnd w:id="406"/>
      <w:r>
        <w:rPr>
          <w:rFonts w:hint="eastAsia" w:ascii="宋体" w:hAnsi="宋体" w:cs="宋体"/>
          <w:b/>
          <w:sz w:val="24"/>
          <w:highlight w:val="none"/>
        </w:rPr>
        <w:t>预付款</w:t>
      </w:r>
    </w:p>
    <w:p w14:paraId="4A881AF3">
      <w:pPr>
        <w:pStyle w:val="34"/>
        <w:spacing w:before="0" w:beforeAutospacing="0" w:after="0" w:afterAutospacing="0" w:line="360" w:lineRule="auto"/>
        <w:ind w:firstLine="480"/>
        <w:rPr>
          <w:rFonts w:hint="eastAsia"/>
          <w:highlight w:val="none"/>
        </w:rPr>
      </w:pPr>
      <w:r>
        <w:rPr>
          <w:rFonts w:hint="eastAsia"/>
          <w:highlight w:val="none"/>
        </w:rPr>
        <w:t>甲方</w:t>
      </w:r>
      <w:r>
        <w:rPr>
          <w:rFonts w:hint="eastAsia"/>
          <w:highlight w:val="none"/>
          <w:u w:val="single"/>
        </w:rPr>
        <w:t xml:space="preserve">  是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5B89410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C02965C">
      <w:pPr>
        <w:pStyle w:val="34"/>
        <w:spacing w:before="0" w:beforeAutospacing="0" w:after="0" w:afterAutospacing="0" w:line="360" w:lineRule="auto"/>
        <w:ind w:firstLine="480"/>
        <w:rPr>
          <w:rFonts w:hint="eastAsia"/>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0D27042">
      <w:pPr>
        <w:pStyle w:val="34"/>
        <w:spacing w:before="0" w:beforeAutospacing="0" w:after="0" w:afterAutospacing="0" w:line="360" w:lineRule="auto"/>
        <w:ind w:firstLine="480"/>
        <w:rPr>
          <w:rFonts w:hint="eastAsia"/>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4DB32359">
      <w:pPr>
        <w:pStyle w:val="34"/>
        <w:spacing w:before="0" w:beforeAutospacing="0" w:after="0" w:afterAutospacing="0" w:line="360" w:lineRule="auto"/>
        <w:ind w:firstLine="480"/>
        <w:rPr>
          <w:rFonts w:hint="eastAsia"/>
          <w:b/>
          <w:bCs/>
          <w:highlight w:val="none"/>
        </w:rPr>
      </w:pPr>
      <w:r>
        <w:rPr>
          <w:rFonts w:hint="eastAsia"/>
          <w:b/>
          <w:bCs/>
          <w:highlight w:val="none"/>
        </w:rPr>
        <w:t>1.6资金支付</w:t>
      </w:r>
    </w:p>
    <w:p w14:paraId="6ADA3639">
      <w:pPr>
        <w:pStyle w:val="34"/>
        <w:spacing w:before="0" w:beforeAutospacing="0" w:after="0" w:afterAutospacing="0" w:line="360" w:lineRule="auto"/>
        <w:ind w:firstLine="480"/>
        <w:rPr>
          <w:rFonts w:hint="eastAsia"/>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5E9186">
      <w:pPr>
        <w:spacing w:line="360" w:lineRule="auto"/>
        <w:ind w:firstLine="480" w:firstLineChars="200"/>
        <w:outlineLvl w:val="0"/>
        <w:rPr>
          <w:rFonts w:hint="eastAsia"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9DED46D">
      <w:pPr>
        <w:spacing w:line="360" w:lineRule="auto"/>
        <w:ind w:firstLine="482" w:firstLineChars="200"/>
        <w:outlineLvl w:val="0"/>
        <w:rPr>
          <w:rFonts w:hint="eastAsia" w:ascii="宋体" w:hAnsi="宋体" w:cs="宋体"/>
          <w:b/>
          <w:sz w:val="24"/>
          <w:highlight w:val="none"/>
        </w:rPr>
      </w:pPr>
      <w:bookmarkStart w:id="407" w:name="_Toc19304"/>
      <w:bookmarkStart w:id="408" w:name="_Toc32071"/>
      <w:bookmarkStart w:id="409" w:name="_Toc2846"/>
      <w:r>
        <w:rPr>
          <w:rFonts w:hint="eastAsia" w:ascii="宋体" w:hAnsi="宋体" w:cs="宋体"/>
          <w:b/>
          <w:sz w:val="24"/>
          <w:highlight w:val="none"/>
        </w:rPr>
        <w:t>1.7货物交付期限、地点和方式</w:t>
      </w:r>
      <w:bookmarkEnd w:id="407"/>
      <w:bookmarkEnd w:id="408"/>
      <w:bookmarkEnd w:id="409"/>
    </w:p>
    <w:p w14:paraId="6EC0805E">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471938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E9CF9B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F967206">
      <w:pPr>
        <w:spacing w:line="360" w:lineRule="auto"/>
        <w:ind w:firstLine="482" w:firstLineChars="200"/>
        <w:outlineLvl w:val="0"/>
        <w:rPr>
          <w:rFonts w:hint="eastAsia" w:ascii="宋体" w:hAnsi="宋体" w:cs="宋体"/>
          <w:b/>
          <w:sz w:val="24"/>
          <w:highlight w:val="none"/>
        </w:rPr>
      </w:pPr>
      <w:bookmarkStart w:id="410" w:name="_Toc27250"/>
      <w:bookmarkStart w:id="411" w:name="_Toc19554"/>
      <w:bookmarkStart w:id="412" w:name="_Toc21423"/>
      <w:r>
        <w:rPr>
          <w:rFonts w:hint="eastAsia" w:ascii="宋体" w:hAnsi="宋体" w:cs="宋体"/>
          <w:b/>
          <w:sz w:val="24"/>
          <w:highlight w:val="none"/>
        </w:rPr>
        <w:t>1.8违约责任</w:t>
      </w:r>
      <w:bookmarkEnd w:id="410"/>
      <w:bookmarkEnd w:id="411"/>
      <w:bookmarkEnd w:id="412"/>
    </w:p>
    <w:p w14:paraId="102C01E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42F3C02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0432AE8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22E49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7351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307B87DF">
      <w:pPr>
        <w:spacing w:line="360" w:lineRule="auto"/>
        <w:ind w:left="-420" w:leftChars="-200" w:right="-420" w:rightChars="-200" w:firstLine="960" w:firstLineChars="400"/>
        <w:rPr>
          <w:rFonts w:hint="eastAsia"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019BA6F6">
      <w:pPr>
        <w:spacing w:line="360" w:lineRule="auto"/>
        <w:ind w:firstLine="482" w:firstLineChars="200"/>
        <w:outlineLvl w:val="0"/>
        <w:rPr>
          <w:rFonts w:hint="eastAsia" w:ascii="宋体" w:hAnsi="宋体" w:cs="宋体"/>
          <w:b/>
          <w:sz w:val="24"/>
          <w:highlight w:val="none"/>
        </w:rPr>
      </w:pPr>
      <w:bookmarkStart w:id="413" w:name="_Toc28375"/>
      <w:bookmarkStart w:id="414" w:name="_Toc15583"/>
      <w:bookmarkStart w:id="415" w:name="_Toc16021"/>
      <w:r>
        <w:rPr>
          <w:rFonts w:hint="eastAsia" w:ascii="宋体" w:hAnsi="宋体" w:cs="宋体"/>
          <w:b/>
          <w:sz w:val="24"/>
          <w:highlight w:val="none"/>
        </w:rPr>
        <w:t>1.9合同争议的解决</w:t>
      </w:r>
      <w:bookmarkEnd w:id="413"/>
      <w:bookmarkEnd w:id="414"/>
      <w:bookmarkEnd w:id="415"/>
    </w:p>
    <w:p w14:paraId="61286E73">
      <w:pPr>
        <w:spacing w:line="360" w:lineRule="auto"/>
        <w:ind w:left="-61" w:leftChars="-29" w:right="-420" w:rightChars="-200" w:firstLine="240" w:firstLineChars="100"/>
        <w:rPr>
          <w:rFonts w:hint="eastAsia"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1.9.1    </w:t>
      </w:r>
      <w:r>
        <w:rPr>
          <w:rFonts w:hint="eastAsia" w:ascii="宋体" w:hAnsi="宋体" w:cs="宋体"/>
          <w:sz w:val="24"/>
          <w:highlight w:val="none"/>
        </w:rPr>
        <w:t>条款规定的方式解决：</w:t>
      </w:r>
    </w:p>
    <w:p w14:paraId="1DA0B2BE">
      <w:pPr>
        <w:spacing w:line="360" w:lineRule="auto"/>
        <w:ind w:left="-420" w:leftChars="-200" w:right="-420" w:rightChars="-200" w:firstLine="840" w:firstLineChars="350"/>
        <w:rPr>
          <w:rFonts w:hint="eastAsia"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4EB9CF78">
      <w:pPr>
        <w:spacing w:line="360" w:lineRule="auto"/>
        <w:ind w:left="-420" w:leftChars="-200" w:right="-420" w:rightChars="-200" w:firstLine="840" w:firstLineChars="350"/>
        <w:rPr>
          <w:rFonts w:hint="eastAsia"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5F3CE3A5">
      <w:pPr>
        <w:spacing w:line="360" w:lineRule="auto"/>
        <w:ind w:firstLine="482" w:firstLineChars="200"/>
        <w:outlineLvl w:val="0"/>
        <w:rPr>
          <w:rFonts w:hint="eastAsia" w:ascii="宋体" w:hAnsi="宋体" w:cs="宋体"/>
          <w:b/>
          <w:sz w:val="24"/>
          <w:highlight w:val="none"/>
        </w:rPr>
      </w:pPr>
      <w:bookmarkStart w:id="416" w:name="_Toc15322"/>
      <w:bookmarkStart w:id="417" w:name="_Toc7245"/>
      <w:bookmarkStart w:id="418" w:name="_Toc11173"/>
      <w:r>
        <w:rPr>
          <w:rFonts w:hint="eastAsia" w:ascii="宋体" w:hAnsi="宋体" w:cs="宋体"/>
          <w:b/>
          <w:sz w:val="24"/>
          <w:highlight w:val="none"/>
        </w:rPr>
        <w:t>2.0 合同生效</w:t>
      </w:r>
      <w:bookmarkEnd w:id="416"/>
      <w:bookmarkEnd w:id="417"/>
      <w:bookmarkEnd w:id="418"/>
    </w:p>
    <w:p w14:paraId="69921D9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本合同自双方当事人盖章签字时生效。</w:t>
      </w:r>
    </w:p>
    <w:p w14:paraId="0EA36BBA">
      <w:pPr>
        <w:rPr>
          <w:rFonts w:hint="eastAsia" w:ascii="宋体" w:hAnsi="宋体"/>
          <w:sz w:val="24"/>
          <w:highlight w:val="none"/>
        </w:rPr>
      </w:pPr>
    </w:p>
    <w:p w14:paraId="5858D655">
      <w:pPr>
        <w:pStyle w:val="5"/>
        <w:rPr>
          <w:highlight w:val="none"/>
        </w:rPr>
      </w:pPr>
    </w:p>
    <w:p w14:paraId="63DE3A44">
      <w:pPr>
        <w:autoSpaceDE w:val="0"/>
        <w:autoSpaceDN w:val="0"/>
        <w:spacing w:line="360" w:lineRule="auto"/>
        <w:rPr>
          <w:rFonts w:hint="eastAsia" w:ascii="宋体" w:hAnsi="宋体"/>
          <w:bCs/>
          <w:sz w:val="24"/>
          <w:highlight w:val="none"/>
        </w:rPr>
      </w:pPr>
      <w:r>
        <w:rPr>
          <w:rFonts w:hint="eastAsia" w:ascii="宋体" w:hAnsi="宋体"/>
          <w:bCs/>
          <w:sz w:val="24"/>
          <w:highlight w:val="none"/>
        </w:rPr>
        <w:t>本页为签章页，无正文。</w:t>
      </w:r>
    </w:p>
    <w:p w14:paraId="00F9019C">
      <w:pPr>
        <w:autoSpaceDE w:val="0"/>
        <w:autoSpaceDN w:val="0"/>
        <w:spacing w:line="360" w:lineRule="auto"/>
        <w:rPr>
          <w:rFonts w:hint="eastAsia" w:ascii="宋体" w:hAnsi="宋体"/>
          <w:b/>
          <w:sz w:val="24"/>
          <w:highlight w:val="none"/>
        </w:rPr>
      </w:pPr>
    </w:p>
    <w:p w14:paraId="62623C35">
      <w:pPr>
        <w:autoSpaceDE w:val="0"/>
        <w:autoSpaceDN w:val="0"/>
        <w:spacing w:line="360" w:lineRule="auto"/>
        <w:rPr>
          <w:rFonts w:hint="eastAsia" w:ascii="宋体" w:hAnsi="宋体"/>
          <w:sz w:val="24"/>
          <w:highlight w:val="none"/>
        </w:rPr>
      </w:pPr>
      <w:r>
        <w:rPr>
          <w:rFonts w:hint="eastAsia" w:ascii="宋体" w:hAnsi="宋体"/>
          <w:b/>
          <w:sz w:val="24"/>
          <w:highlight w:val="none"/>
        </w:rPr>
        <w:t>甲方</w:t>
      </w:r>
      <w:r>
        <w:rPr>
          <w:rFonts w:hint="eastAsia" w:ascii="宋体" w:hAnsi="宋体"/>
          <w:sz w:val="24"/>
          <w:highlight w:val="none"/>
        </w:rPr>
        <w:t>：杭州高级中学临平学校</w:t>
      </w:r>
      <w:r>
        <w:rPr>
          <w:rFonts w:ascii="宋体" w:hAnsi="宋体"/>
          <w:sz w:val="24"/>
          <w:highlight w:val="none"/>
        </w:rPr>
        <w:t xml:space="preserve">                  </w:t>
      </w:r>
      <w:r>
        <w:rPr>
          <w:rFonts w:ascii="宋体" w:hAnsi="宋体"/>
          <w:b/>
          <w:sz w:val="24"/>
          <w:highlight w:val="none"/>
        </w:rPr>
        <w:t>乙方</w:t>
      </w:r>
      <w:r>
        <w:rPr>
          <w:rFonts w:hint="eastAsia" w:ascii="宋体" w:hAnsi="宋体"/>
          <w:sz w:val="24"/>
          <w:highlight w:val="none"/>
        </w:rPr>
        <w:t>：</w:t>
      </w:r>
    </w:p>
    <w:p w14:paraId="1FCC0DD2">
      <w:pPr>
        <w:autoSpaceDE w:val="0"/>
        <w:autoSpaceDN w:val="0"/>
        <w:spacing w:line="360" w:lineRule="auto"/>
        <w:rPr>
          <w:rFonts w:hint="eastAsia" w:ascii="宋体" w:hAnsi="宋体"/>
          <w:sz w:val="24"/>
          <w:highlight w:val="none"/>
        </w:rPr>
      </w:pPr>
      <w:r>
        <w:rPr>
          <w:rFonts w:hint="eastAsia" w:ascii="宋体" w:hAnsi="宋体"/>
          <w:sz w:val="24"/>
          <w:highlight w:val="none"/>
        </w:rPr>
        <w:t>统一社会信用代码：</w:t>
      </w:r>
      <w:r>
        <w:rPr>
          <w:rFonts w:ascii="宋体" w:hAnsi="宋体"/>
          <w:sz w:val="24"/>
          <w:highlight w:val="none"/>
        </w:rPr>
        <w:t xml:space="preserve">                        </w:t>
      </w:r>
      <w:r>
        <w:rPr>
          <w:rFonts w:hint="eastAsia" w:ascii="宋体" w:hAnsi="宋体"/>
          <w:sz w:val="24"/>
          <w:highlight w:val="none"/>
        </w:rPr>
        <w:t>统一社会信用代码或身份证号码：</w:t>
      </w:r>
    </w:p>
    <w:p w14:paraId="54042778">
      <w:pPr>
        <w:autoSpaceDE w:val="0"/>
        <w:autoSpaceDN w:val="0"/>
        <w:spacing w:line="360" w:lineRule="auto"/>
        <w:rPr>
          <w:rFonts w:hint="eastAsia" w:ascii="宋体" w:hAnsi="宋体"/>
          <w:sz w:val="24"/>
          <w:highlight w:val="none"/>
        </w:rPr>
      </w:pPr>
    </w:p>
    <w:p w14:paraId="153CAD09">
      <w:pPr>
        <w:autoSpaceDE w:val="0"/>
        <w:autoSpaceDN w:val="0"/>
        <w:spacing w:line="360" w:lineRule="auto"/>
        <w:rPr>
          <w:rFonts w:hint="eastAsia" w:ascii="宋体" w:hAnsi="宋体"/>
          <w:sz w:val="24"/>
          <w:highlight w:val="none"/>
        </w:rPr>
      </w:pPr>
      <w:r>
        <w:rPr>
          <w:rFonts w:hint="eastAsia" w:ascii="宋体" w:hAnsi="宋体"/>
          <w:sz w:val="24"/>
          <w:highlight w:val="none"/>
        </w:rPr>
        <w:t>住所：</w:t>
      </w:r>
      <w:r>
        <w:rPr>
          <w:rFonts w:ascii="宋体" w:hAnsi="宋体"/>
          <w:sz w:val="24"/>
          <w:highlight w:val="none"/>
        </w:rPr>
        <w:t xml:space="preserve">                                   </w:t>
      </w:r>
      <w:r>
        <w:rPr>
          <w:rFonts w:hint="eastAsia" w:ascii="宋体" w:hAnsi="宋体"/>
          <w:sz w:val="24"/>
          <w:highlight w:val="none"/>
        </w:rPr>
        <w:t>住所：</w:t>
      </w:r>
    </w:p>
    <w:p w14:paraId="3F1F79EA">
      <w:pPr>
        <w:autoSpaceDE w:val="0"/>
        <w:autoSpaceDN w:val="0"/>
        <w:spacing w:line="360" w:lineRule="auto"/>
        <w:rPr>
          <w:rFonts w:hint="eastAsia" w:ascii="宋体" w:hAnsi="宋体"/>
          <w:sz w:val="24"/>
          <w:highlight w:val="none"/>
        </w:rPr>
      </w:pPr>
      <w:r>
        <w:rPr>
          <w:rFonts w:hint="eastAsia" w:ascii="宋体" w:hAnsi="宋体"/>
          <w:sz w:val="24"/>
          <w:highlight w:val="none"/>
        </w:rPr>
        <w:t>法定代表人或</w:t>
      </w:r>
      <w:r>
        <w:rPr>
          <w:rFonts w:ascii="宋体" w:hAnsi="宋体"/>
          <w:sz w:val="24"/>
          <w:highlight w:val="none"/>
        </w:rPr>
        <w:t xml:space="preserve">                             </w:t>
      </w:r>
      <w:r>
        <w:rPr>
          <w:rFonts w:hint="eastAsia" w:ascii="宋体" w:hAnsi="宋体"/>
          <w:sz w:val="24"/>
          <w:highlight w:val="none"/>
        </w:rPr>
        <w:t>法定代表人或</w:t>
      </w:r>
    </w:p>
    <w:p w14:paraId="46A65DC4">
      <w:pPr>
        <w:autoSpaceDE w:val="0"/>
        <w:autoSpaceDN w:val="0"/>
        <w:spacing w:line="360" w:lineRule="auto"/>
        <w:rPr>
          <w:rFonts w:hint="eastAsia" w:ascii="宋体" w:hAnsi="宋体"/>
          <w:sz w:val="24"/>
          <w:highlight w:val="none"/>
        </w:rPr>
      </w:pPr>
      <w:r>
        <w:rPr>
          <w:rFonts w:hint="eastAsia" w:ascii="宋体" w:hAnsi="宋体"/>
          <w:sz w:val="24"/>
          <w:highlight w:val="none"/>
        </w:rPr>
        <w:t>授权代表（签字）：</w:t>
      </w:r>
      <w:r>
        <w:rPr>
          <w:rFonts w:ascii="宋体" w:hAnsi="宋体"/>
          <w:sz w:val="24"/>
          <w:highlight w:val="none"/>
        </w:rPr>
        <w:t xml:space="preserve">                       授权代表（签字）</w:t>
      </w:r>
      <w:r>
        <w:rPr>
          <w:rFonts w:hint="eastAsia" w:ascii="宋体" w:hAnsi="宋体"/>
          <w:sz w:val="24"/>
          <w:highlight w:val="none"/>
        </w:rPr>
        <w:t>：</w:t>
      </w:r>
      <w:r>
        <w:rPr>
          <w:rFonts w:ascii="宋体" w:hAnsi="宋体"/>
          <w:sz w:val="24"/>
          <w:highlight w:val="none"/>
        </w:rPr>
        <w:t xml:space="preserve"> </w:t>
      </w:r>
    </w:p>
    <w:p w14:paraId="17E3373C">
      <w:pPr>
        <w:autoSpaceDE w:val="0"/>
        <w:autoSpaceDN w:val="0"/>
        <w:spacing w:line="360" w:lineRule="auto"/>
        <w:rPr>
          <w:rFonts w:hint="eastAsia" w:ascii="宋体" w:hAnsi="宋体"/>
          <w:sz w:val="24"/>
          <w:highlight w:val="none"/>
        </w:rPr>
      </w:pPr>
      <w:r>
        <w:rPr>
          <w:rFonts w:hint="eastAsia" w:ascii="宋体" w:hAnsi="宋体"/>
          <w:sz w:val="24"/>
          <w:highlight w:val="none"/>
        </w:rPr>
        <w:t>联系人：</w:t>
      </w:r>
      <w:r>
        <w:rPr>
          <w:rFonts w:ascii="宋体" w:hAnsi="宋体"/>
          <w:sz w:val="24"/>
          <w:highlight w:val="none"/>
        </w:rPr>
        <w:t xml:space="preserve">                                 </w:t>
      </w:r>
      <w:r>
        <w:rPr>
          <w:rFonts w:hint="eastAsia" w:ascii="宋体" w:hAnsi="宋体"/>
          <w:sz w:val="24"/>
          <w:highlight w:val="none"/>
        </w:rPr>
        <w:t>联系人：</w:t>
      </w:r>
    </w:p>
    <w:p w14:paraId="6C429177">
      <w:pPr>
        <w:autoSpaceDE w:val="0"/>
        <w:autoSpaceDN w:val="0"/>
        <w:spacing w:line="360" w:lineRule="auto"/>
        <w:rPr>
          <w:rFonts w:hint="eastAsia" w:ascii="宋体" w:hAnsi="宋体"/>
          <w:sz w:val="24"/>
          <w:highlight w:val="none"/>
        </w:rPr>
      </w:pPr>
      <w:r>
        <w:rPr>
          <w:rFonts w:hint="eastAsia" w:ascii="宋体" w:hAnsi="宋体"/>
          <w:sz w:val="24"/>
          <w:highlight w:val="none"/>
        </w:rPr>
        <w:t>约定送达地址：</w:t>
      </w:r>
      <w:r>
        <w:rPr>
          <w:rFonts w:ascii="宋体" w:hAnsi="宋体"/>
          <w:sz w:val="24"/>
          <w:highlight w:val="none"/>
        </w:rPr>
        <w:t xml:space="preserve">                           </w:t>
      </w:r>
      <w:r>
        <w:rPr>
          <w:rFonts w:hint="eastAsia" w:ascii="宋体" w:hAnsi="宋体"/>
          <w:sz w:val="24"/>
          <w:highlight w:val="none"/>
        </w:rPr>
        <w:t>约定送达地址：</w:t>
      </w:r>
    </w:p>
    <w:p w14:paraId="1EE0B5FD">
      <w:pPr>
        <w:autoSpaceDE w:val="0"/>
        <w:autoSpaceDN w:val="0"/>
        <w:spacing w:line="360" w:lineRule="auto"/>
        <w:rPr>
          <w:rFonts w:hint="eastAsia"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14:paraId="2F9D3172">
      <w:pPr>
        <w:autoSpaceDE w:val="0"/>
        <w:autoSpaceDN w:val="0"/>
        <w:spacing w:line="360" w:lineRule="auto"/>
        <w:rPr>
          <w:rFonts w:hint="eastAsia" w:ascii="宋体" w:hAnsi="宋体"/>
          <w:sz w:val="24"/>
          <w:highlight w:val="none"/>
        </w:rPr>
      </w:pPr>
      <w:r>
        <w:rPr>
          <w:rFonts w:hint="eastAsia" w:ascii="宋体" w:hAnsi="宋体"/>
          <w:sz w:val="24"/>
          <w:highlight w:val="none"/>
        </w:rPr>
        <w:t>电话：</w:t>
      </w:r>
      <w:r>
        <w:rPr>
          <w:rFonts w:ascii="宋体" w:hAnsi="宋体"/>
          <w:sz w:val="24"/>
          <w:highlight w:val="none"/>
        </w:rPr>
        <w:t xml:space="preserve">                                   电话</w:t>
      </w:r>
      <w:r>
        <w:rPr>
          <w:rFonts w:hint="eastAsia" w:ascii="宋体" w:hAnsi="宋体"/>
          <w:sz w:val="24"/>
          <w:highlight w:val="none"/>
        </w:rPr>
        <w:t>：</w:t>
      </w:r>
      <w:r>
        <w:rPr>
          <w:rFonts w:ascii="宋体" w:hAnsi="宋体"/>
          <w:sz w:val="24"/>
          <w:highlight w:val="none"/>
        </w:rPr>
        <w:t xml:space="preserve"> </w:t>
      </w:r>
    </w:p>
    <w:p w14:paraId="5C5486F8">
      <w:pPr>
        <w:autoSpaceDE w:val="0"/>
        <w:autoSpaceDN w:val="0"/>
        <w:spacing w:line="360" w:lineRule="auto"/>
        <w:rPr>
          <w:rFonts w:hint="eastAsia" w:ascii="宋体" w:hAnsi="宋体"/>
          <w:sz w:val="24"/>
          <w:highlight w:val="none"/>
        </w:rPr>
      </w:pPr>
      <w:r>
        <w:rPr>
          <w:rFonts w:hint="eastAsia" w:ascii="宋体" w:hAnsi="宋体"/>
          <w:sz w:val="24"/>
          <w:highlight w:val="none"/>
        </w:rPr>
        <w:t>传真：</w:t>
      </w:r>
      <w:r>
        <w:rPr>
          <w:rFonts w:ascii="宋体" w:hAnsi="宋体"/>
          <w:sz w:val="24"/>
          <w:highlight w:val="none"/>
        </w:rPr>
        <w:t xml:space="preserve">                                   </w:t>
      </w:r>
      <w:r>
        <w:rPr>
          <w:rFonts w:hint="eastAsia" w:ascii="宋体" w:hAnsi="宋体"/>
          <w:sz w:val="24"/>
          <w:highlight w:val="none"/>
        </w:rPr>
        <w:t>传真：</w:t>
      </w:r>
    </w:p>
    <w:p w14:paraId="32F64AD7">
      <w:pPr>
        <w:autoSpaceDE w:val="0"/>
        <w:autoSpaceDN w:val="0"/>
        <w:spacing w:line="360" w:lineRule="auto"/>
        <w:rPr>
          <w:rFonts w:hint="eastAsia" w:ascii="宋体" w:hAnsi="宋体"/>
          <w:sz w:val="24"/>
          <w:highlight w:val="none"/>
        </w:rPr>
      </w:pPr>
      <w:r>
        <w:rPr>
          <w:rFonts w:hint="eastAsia" w:ascii="宋体" w:hAnsi="宋体"/>
          <w:sz w:val="24"/>
          <w:highlight w:val="none"/>
        </w:rPr>
        <w:t>电子邮箱：</w:t>
      </w:r>
      <w:r>
        <w:rPr>
          <w:rFonts w:ascii="宋体" w:hAnsi="宋体"/>
          <w:sz w:val="24"/>
          <w:highlight w:val="none"/>
        </w:rPr>
        <w:t xml:space="preserve">                               </w:t>
      </w:r>
      <w:r>
        <w:rPr>
          <w:rFonts w:hint="eastAsia" w:ascii="宋体" w:hAnsi="宋体"/>
          <w:sz w:val="24"/>
          <w:highlight w:val="none"/>
        </w:rPr>
        <w:t>电子邮箱：</w:t>
      </w:r>
    </w:p>
    <w:p w14:paraId="0303F812">
      <w:pPr>
        <w:autoSpaceDE w:val="0"/>
        <w:autoSpaceDN w:val="0"/>
        <w:spacing w:line="360" w:lineRule="auto"/>
        <w:rPr>
          <w:rFonts w:hint="eastAsia"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20256DF2">
      <w:pPr>
        <w:autoSpaceDE w:val="0"/>
        <w:autoSpaceDN w:val="0"/>
        <w:spacing w:line="360" w:lineRule="auto"/>
        <w:rPr>
          <w:rFonts w:hint="eastAsia"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55B37AEB">
      <w:pPr>
        <w:autoSpaceDE w:val="0"/>
        <w:autoSpaceDN w:val="0"/>
        <w:spacing w:line="360" w:lineRule="auto"/>
        <w:rPr>
          <w:rFonts w:hint="eastAsia" w:ascii="宋体" w:hAnsi="宋体"/>
          <w:sz w:val="24"/>
          <w:highlight w:val="none"/>
        </w:rPr>
      </w:pPr>
      <w:r>
        <w:rPr>
          <w:rFonts w:hint="eastAsia" w:ascii="宋体" w:hAnsi="宋体"/>
          <w:sz w:val="24"/>
          <w:highlight w:val="none"/>
        </w:rPr>
        <w:t>开户账号：</w:t>
      </w:r>
      <w:r>
        <w:rPr>
          <w:rFonts w:ascii="宋体" w:hAnsi="宋体"/>
          <w:sz w:val="24"/>
          <w:highlight w:val="none"/>
        </w:rPr>
        <w:t xml:space="preserve">                               </w:t>
      </w:r>
      <w:r>
        <w:rPr>
          <w:rFonts w:hint="eastAsia" w:ascii="宋体" w:hAnsi="宋体"/>
          <w:sz w:val="24"/>
          <w:highlight w:val="none"/>
        </w:rPr>
        <w:t>开户账号：</w:t>
      </w:r>
    </w:p>
    <w:p w14:paraId="528B4229">
      <w:pPr>
        <w:spacing w:line="360" w:lineRule="auto"/>
        <w:rPr>
          <w:rFonts w:hint="eastAsia" w:ascii="宋体" w:hAnsi="宋体"/>
          <w:sz w:val="24"/>
          <w:highlight w:val="none"/>
        </w:rPr>
      </w:pPr>
    </w:p>
    <w:p w14:paraId="6286B519">
      <w:pPr>
        <w:pStyle w:val="31"/>
        <w:spacing w:after="0"/>
        <w:ind w:left="0" w:leftChars="0" w:firstLine="0" w:firstLineChars="0"/>
        <w:rPr>
          <w:rFonts w:hint="eastAsia" w:ascii="宋体" w:hAnsi="宋体"/>
          <w:b/>
          <w:highlight w:val="none"/>
        </w:rPr>
      </w:pPr>
    </w:p>
    <w:p w14:paraId="3FD52F64">
      <w:pPr>
        <w:rPr>
          <w:rFonts w:hint="eastAsia" w:ascii="宋体" w:hAnsi="宋体"/>
          <w:b/>
          <w:highlight w:val="none"/>
        </w:rPr>
      </w:pPr>
      <w:r>
        <w:rPr>
          <w:rFonts w:hint="eastAsia" w:ascii="宋体" w:hAnsi="宋体"/>
          <w:b/>
          <w:highlight w:val="none"/>
        </w:rPr>
        <w:br w:type="page"/>
      </w:r>
    </w:p>
    <w:p w14:paraId="43B7A020">
      <w:pPr>
        <w:pStyle w:val="31"/>
        <w:ind w:left="0" w:leftChars="0" w:firstLine="0" w:firstLineChars="0"/>
        <w:jc w:val="center"/>
        <w:rPr>
          <w:rFonts w:hint="eastAsia" w:ascii="宋体" w:hAnsi="宋体"/>
          <w:b/>
          <w:highlight w:val="none"/>
        </w:rPr>
      </w:pPr>
      <w:r>
        <w:rPr>
          <w:rFonts w:hint="eastAsia" w:ascii="宋体" w:hAnsi="宋体"/>
          <w:b/>
          <w:highlight w:val="none"/>
        </w:rPr>
        <w:t>第二部分</w:t>
      </w:r>
      <w:r>
        <w:rPr>
          <w:rFonts w:ascii="宋体" w:hAnsi="宋体"/>
          <w:b/>
          <w:highlight w:val="none"/>
        </w:rPr>
        <w:t xml:space="preserve"> </w:t>
      </w:r>
      <w:r>
        <w:rPr>
          <w:rFonts w:hint="eastAsia" w:ascii="宋体" w:hAnsi="宋体"/>
          <w:b/>
          <w:highlight w:val="none"/>
        </w:rPr>
        <w:t>合同一般条款</w:t>
      </w:r>
    </w:p>
    <w:p w14:paraId="569AFA8A">
      <w:pPr>
        <w:spacing w:line="360" w:lineRule="auto"/>
        <w:ind w:firstLine="482" w:firstLineChars="200"/>
        <w:outlineLvl w:val="0"/>
        <w:rPr>
          <w:rFonts w:hint="eastAsia" w:ascii="宋体" w:hAnsi="宋体"/>
          <w:b/>
          <w:sz w:val="24"/>
          <w:highlight w:val="none"/>
        </w:rPr>
      </w:pPr>
      <w:bookmarkStart w:id="419" w:name="_Toc5228"/>
      <w:bookmarkStart w:id="420" w:name="_Toc25079"/>
      <w:bookmarkStart w:id="421" w:name="_Toc14021"/>
      <w:bookmarkStart w:id="422" w:name="_Toc31297"/>
      <w:bookmarkStart w:id="423" w:name="_Toc19680"/>
      <w:r>
        <w:rPr>
          <w:rFonts w:ascii="宋体" w:hAnsi="宋体"/>
          <w:b/>
          <w:sz w:val="24"/>
          <w:highlight w:val="none"/>
        </w:rPr>
        <w:t>2.1 定义</w:t>
      </w:r>
      <w:bookmarkEnd w:id="419"/>
      <w:bookmarkEnd w:id="420"/>
      <w:bookmarkEnd w:id="421"/>
      <w:bookmarkEnd w:id="422"/>
      <w:bookmarkEnd w:id="423"/>
    </w:p>
    <w:p w14:paraId="202DF8E5">
      <w:pPr>
        <w:spacing w:line="360" w:lineRule="auto"/>
        <w:ind w:firstLine="480" w:firstLineChars="200"/>
        <w:rPr>
          <w:rFonts w:hint="eastAsia"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4363BCFA">
      <w:pPr>
        <w:spacing w:line="360" w:lineRule="auto"/>
        <w:ind w:firstLine="480" w:firstLineChars="200"/>
        <w:rPr>
          <w:rFonts w:hint="eastAsia" w:ascii="宋体" w:hAnsi="宋体"/>
          <w:sz w:val="24"/>
          <w:highlight w:val="none"/>
        </w:rPr>
      </w:pPr>
      <w:r>
        <w:rPr>
          <w:rFonts w:ascii="宋体" w:hAnsi="宋体"/>
          <w:sz w:val="24"/>
          <w:highlight w:val="none"/>
        </w:rPr>
        <w:t>2.1.1 “合同”系指采购人和中标供应商签订的载明双方当事人所达成的协议，并包括所有的附件、附录和构成合同的其他文件。</w:t>
      </w:r>
    </w:p>
    <w:p w14:paraId="4215EA0E">
      <w:pPr>
        <w:spacing w:line="360" w:lineRule="auto"/>
        <w:ind w:firstLine="480" w:firstLineChars="200"/>
        <w:rPr>
          <w:rFonts w:hint="eastAsia" w:ascii="宋体" w:hAnsi="宋体"/>
          <w:sz w:val="24"/>
          <w:highlight w:val="none"/>
        </w:rPr>
      </w:pPr>
      <w:r>
        <w:rPr>
          <w:rFonts w:ascii="宋体" w:hAnsi="宋体"/>
          <w:sz w:val="24"/>
          <w:highlight w:val="none"/>
        </w:rPr>
        <w:t>2.1.2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1FAEB309">
      <w:pPr>
        <w:spacing w:line="360" w:lineRule="auto"/>
        <w:ind w:firstLine="480" w:firstLineChars="200"/>
        <w:rPr>
          <w:rFonts w:hint="eastAsia" w:ascii="宋体" w:hAnsi="宋体"/>
          <w:sz w:val="24"/>
          <w:highlight w:val="none"/>
        </w:rPr>
      </w:pPr>
      <w:r>
        <w:rPr>
          <w:rFonts w:ascii="宋体" w:hAnsi="宋体"/>
          <w:sz w:val="24"/>
          <w:highlight w:val="none"/>
        </w:rPr>
        <w:t xml:space="preserve">2.1.3 </w:t>
      </w:r>
      <w:r>
        <w:rPr>
          <w:rFonts w:hint="eastAsia" w:ascii="宋体" w:hAnsi="宋体"/>
          <w:sz w:val="24"/>
          <w:highlight w:val="none"/>
        </w:rPr>
        <w:t>“货物”系指中标供应商根据合同约定应向采购人交付的一切各种形态和种类的物品，包括原材料、燃料、设备、机械、仪表、备件、计算机软件、产品等，并包括工具、手册等其他相关资料。</w:t>
      </w:r>
    </w:p>
    <w:p w14:paraId="1BD5F96E">
      <w:pPr>
        <w:spacing w:line="360" w:lineRule="auto"/>
        <w:ind w:firstLine="480" w:firstLineChars="200"/>
        <w:rPr>
          <w:rFonts w:hint="eastAsia"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1684083F">
      <w:pPr>
        <w:spacing w:line="360" w:lineRule="auto"/>
        <w:ind w:firstLine="480" w:firstLineChars="200"/>
        <w:rPr>
          <w:rFonts w:hint="eastAsia" w:ascii="宋体" w:hAnsi="宋体"/>
          <w:sz w:val="24"/>
          <w:highlight w:val="none"/>
        </w:rPr>
      </w:pPr>
      <w:r>
        <w:rPr>
          <w:rFonts w:ascii="宋体" w:hAnsi="宋体"/>
          <w:sz w:val="24"/>
          <w:highlight w:val="none"/>
        </w:rPr>
        <w:t>2.1.5 “乙方”系指根据合同约定提供服务的中标供应商</w:t>
      </w:r>
      <w:r>
        <w:rPr>
          <w:rFonts w:hint="eastAsia" w:ascii="宋体" w:hAnsi="宋体"/>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6B3CCE76">
      <w:pPr>
        <w:spacing w:line="360" w:lineRule="auto"/>
        <w:ind w:firstLine="480" w:firstLineChars="200"/>
        <w:rPr>
          <w:rFonts w:hint="eastAsia" w:ascii="宋体" w:hAnsi="宋体"/>
          <w:sz w:val="24"/>
          <w:highlight w:val="none"/>
        </w:rPr>
      </w:pPr>
      <w:r>
        <w:rPr>
          <w:rFonts w:ascii="宋体" w:hAnsi="宋体"/>
          <w:sz w:val="24"/>
          <w:highlight w:val="none"/>
        </w:rPr>
        <w:t>2.1.6 “现场”系指合同约定提供服务的地点。</w:t>
      </w:r>
    </w:p>
    <w:p w14:paraId="5BE4D3D1">
      <w:pPr>
        <w:spacing w:line="360" w:lineRule="auto"/>
        <w:ind w:firstLine="482" w:firstLineChars="200"/>
        <w:outlineLvl w:val="0"/>
        <w:rPr>
          <w:rFonts w:hint="eastAsia" w:ascii="宋体" w:hAnsi="宋体"/>
          <w:b/>
          <w:sz w:val="24"/>
          <w:highlight w:val="none"/>
        </w:rPr>
      </w:pPr>
      <w:bookmarkStart w:id="424" w:name="_Toc31402"/>
      <w:bookmarkStart w:id="425" w:name="_Toc19539"/>
      <w:bookmarkStart w:id="426" w:name="_Toc3769"/>
      <w:bookmarkStart w:id="427" w:name="_Toc23289"/>
      <w:bookmarkStart w:id="428" w:name="_Toc16752"/>
      <w:r>
        <w:rPr>
          <w:rFonts w:ascii="宋体" w:hAnsi="宋体"/>
          <w:b/>
          <w:sz w:val="24"/>
          <w:highlight w:val="none"/>
        </w:rPr>
        <w:t>2.2 技术规范</w:t>
      </w:r>
      <w:bookmarkEnd w:id="424"/>
      <w:bookmarkEnd w:id="425"/>
      <w:bookmarkEnd w:id="426"/>
      <w:bookmarkEnd w:id="427"/>
      <w:bookmarkEnd w:id="428"/>
    </w:p>
    <w:p w14:paraId="789F142D">
      <w:pPr>
        <w:spacing w:line="360" w:lineRule="auto"/>
        <w:ind w:firstLine="480" w:firstLineChars="200"/>
        <w:rPr>
          <w:rFonts w:hint="eastAsia"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5ADF15FC">
      <w:pPr>
        <w:spacing w:line="360" w:lineRule="auto"/>
        <w:ind w:firstLine="482" w:firstLineChars="200"/>
        <w:outlineLvl w:val="0"/>
        <w:rPr>
          <w:rFonts w:hint="eastAsia" w:ascii="宋体" w:hAnsi="宋体"/>
          <w:b/>
          <w:sz w:val="24"/>
          <w:highlight w:val="none"/>
        </w:rPr>
      </w:pPr>
      <w:bookmarkStart w:id="429" w:name="_Toc9161"/>
      <w:bookmarkStart w:id="430" w:name="_Toc27945"/>
      <w:bookmarkStart w:id="431" w:name="_Toc12412"/>
      <w:bookmarkStart w:id="432" w:name="_Toc13673"/>
      <w:bookmarkStart w:id="433" w:name="_Toc4133"/>
      <w:r>
        <w:rPr>
          <w:rFonts w:ascii="宋体" w:hAnsi="宋体"/>
          <w:b/>
          <w:sz w:val="24"/>
          <w:highlight w:val="none"/>
        </w:rPr>
        <w:t>2.3 知识产权</w:t>
      </w:r>
      <w:bookmarkEnd w:id="429"/>
      <w:bookmarkEnd w:id="430"/>
      <w:bookmarkEnd w:id="431"/>
      <w:bookmarkEnd w:id="432"/>
      <w:bookmarkEnd w:id="433"/>
    </w:p>
    <w:p w14:paraId="3EACCF32">
      <w:pPr>
        <w:spacing w:line="360" w:lineRule="auto"/>
        <w:ind w:firstLine="480" w:firstLineChars="200"/>
        <w:rPr>
          <w:rFonts w:hint="eastAsia"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w:t>
      </w:r>
    </w:p>
    <w:p w14:paraId="54A681D3">
      <w:pPr>
        <w:spacing w:line="360" w:lineRule="auto"/>
        <w:ind w:firstLine="480" w:firstLineChars="200"/>
        <w:rPr>
          <w:rFonts w:hint="eastAsia"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D740558">
      <w:pPr>
        <w:spacing w:line="360" w:lineRule="auto"/>
        <w:ind w:firstLine="482" w:firstLineChars="200"/>
        <w:rPr>
          <w:rFonts w:hint="eastAsia" w:ascii="宋体" w:hAnsi="宋体"/>
          <w:b/>
          <w:sz w:val="24"/>
          <w:highlight w:val="none"/>
        </w:rPr>
      </w:pPr>
      <w:r>
        <w:rPr>
          <w:rFonts w:ascii="宋体" w:hAnsi="宋体"/>
          <w:b/>
          <w:sz w:val="24"/>
          <w:highlight w:val="none"/>
        </w:rPr>
        <w:t xml:space="preserve">2.4 </w:t>
      </w:r>
      <w:r>
        <w:rPr>
          <w:rFonts w:hint="eastAsia" w:ascii="宋体" w:hAnsi="宋体"/>
          <w:b/>
          <w:sz w:val="24"/>
          <w:highlight w:val="none"/>
        </w:rPr>
        <w:t>包装和装运</w:t>
      </w:r>
    </w:p>
    <w:p w14:paraId="17AD3D1C">
      <w:pPr>
        <w:spacing w:line="360" w:lineRule="auto"/>
        <w:ind w:firstLine="480" w:firstLineChars="200"/>
        <w:rPr>
          <w:rFonts w:hint="eastAsia" w:ascii="宋体" w:hAnsi="宋体"/>
          <w:sz w:val="24"/>
          <w:highlight w:val="none"/>
        </w:rPr>
      </w:pPr>
      <w:r>
        <w:rPr>
          <w:rFonts w:hint="eastAsia" w:ascii="宋体" w:hAnsi="宋体"/>
          <w:sz w:val="24"/>
          <w:highlight w:val="none"/>
        </w:rPr>
        <w:t>2.4.1除</w:t>
      </w:r>
      <w:r>
        <w:rPr>
          <w:rFonts w:hint="eastAsia" w:ascii="宋体" w:hAnsi="宋体"/>
          <w:b/>
          <w:i/>
          <w:sz w:val="24"/>
          <w:highlight w:val="none"/>
          <w:u w:val="single"/>
        </w:rPr>
        <w:t>合同专用条款</w:t>
      </w:r>
      <w:r>
        <w:rPr>
          <w:rFonts w:hint="eastAsia" w:ascii="宋体" w:hAnsi="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178C0E">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93D5E3F">
      <w:pPr>
        <w:spacing w:line="360" w:lineRule="auto"/>
        <w:ind w:firstLine="480" w:firstLineChars="200"/>
        <w:rPr>
          <w:rFonts w:hint="eastAsia" w:ascii="宋体" w:hAnsi="宋体"/>
          <w:sz w:val="24"/>
          <w:highlight w:val="none"/>
        </w:rPr>
      </w:pPr>
      <w:r>
        <w:rPr>
          <w:rFonts w:hint="eastAsia" w:ascii="宋体" w:hAnsi="宋体"/>
          <w:sz w:val="24"/>
          <w:highlight w:val="none"/>
        </w:rPr>
        <w:t>2.4.3 装运货物的要求和通知，详见</w:t>
      </w:r>
      <w:r>
        <w:rPr>
          <w:rFonts w:hint="eastAsia" w:ascii="宋体" w:hAnsi="宋体"/>
          <w:b/>
          <w:i/>
          <w:sz w:val="24"/>
          <w:highlight w:val="none"/>
          <w:u w:val="single"/>
        </w:rPr>
        <w:t>合同专用条款</w:t>
      </w:r>
      <w:r>
        <w:rPr>
          <w:rFonts w:hint="eastAsia" w:ascii="宋体" w:hAnsi="宋体"/>
          <w:sz w:val="24"/>
          <w:highlight w:val="none"/>
        </w:rPr>
        <w:t>。</w:t>
      </w:r>
    </w:p>
    <w:p w14:paraId="1ACCA7B1">
      <w:pPr>
        <w:spacing w:line="360" w:lineRule="auto"/>
        <w:ind w:firstLine="482" w:firstLineChars="200"/>
        <w:outlineLvl w:val="0"/>
        <w:rPr>
          <w:rFonts w:hint="eastAsia" w:ascii="宋体" w:hAnsi="宋体"/>
          <w:b/>
          <w:sz w:val="24"/>
          <w:highlight w:val="none"/>
        </w:rPr>
      </w:pPr>
      <w:bookmarkStart w:id="434" w:name="_Toc32670"/>
      <w:bookmarkStart w:id="435" w:name="_Toc26555"/>
      <w:bookmarkStart w:id="436" w:name="_Toc15447"/>
      <w:bookmarkStart w:id="437" w:name="_Toc31233"/>
      <w:bookmarkStart w:id="438" w:name="_Toc22011"/>
      <w:r>
        <w:rPr>
          <w:rFonts w:ascii="宋体" w:hAnsi="宋体"/>
          <w:b/>
          <w:sz w:val="24"/>
          <w:highlight w:val="none"/>
        </w:rPr>
        <w:t xml:space="preserve">2.5 </w:t>
      </w:r>
      <w:bookmarkEnd w:id="434"/>
      <w:bookmarkEnd w:id="435"/>
      <w:bookmarkEnd w:id="436"/>
      <w:bookmarkEnd w:id="437"/>
      <w:bookmarkEnd w:id="438"/>
      <w:r>
        <w:rPr>
          <w:rFonts w:hint="eastAsia" w:ascii="宋体" w:hAnsi="宋体"/>
          <w:b/>
          <w:sz w:val="24"/>
          <w:highlight w:val="none"/>
        </w:rPr>
        <w:t xml:space="preserve"> 履约检查和问题反馈</w:t>
      </w:r>
    </w:p>
    <w:p w14:paraId="5393C39A">
      <w:pPr>
        <w:spacing w:line="360" w:lineRule="auto"/>
        <w:ind w:firstLine="480" w:firstLineChars="200"/>
        <w:rPr>
          <w:rFonts w:hint="eastAsia" w:ascii="宋体" w:hAnsi="宋体"/>
          <w:sz w:val="24"/>
          <w:highlight w:val="none"/>
        </w:rPr>
      </w:pPr>
      <w:bookmarkStart w:id="439" w:name="_Ref467379657"/>
      <w:r>
        <w:rPr>
          <w:rFonts w:hint="eastAsia" w:ascii="宋体" w:hAnsi="宋体"/>
          <w:sz w:val="24"/>
          <w:highlight w:val="none"/>
        </w:rPr>
        <w:t>2.5.1</w:t>
      </w:r>
      <w:bookmarkEnd w:id="439"/>
      <w:bookmarkStart w:id="440" w:name="_Toc186431854"/>
      <w:r>
        <w:rPr>
          <w:rFonts w:hint="eastAsia" w:ascii="宋体" w:hAnsi="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ACCFD5E">
      <w:pPr>
        <w:spacing w:line="360" w:lineRule="auto"/>
        <w:ind w:firstLine="480" w:firstLineChars="200"/>
        <w:rPr>
          <w:rFonts w:hint="eastAsia" w:ascii="宋体" w:hAnsi="宋体"/>
          <w:sz w:val="24"/>
          <w:highlight w:val="none"/>
        </w:rPr>
      </w:pPr>
      <w:r>
        <w:rPr>
          <w:rFonts w:hint="eastAsia" w:ascii="宋体" w:hAnsi="宋体"/>
          <w:sz w:val="24"/>
          <w:highlight w:val="none"/>
        </w:rPr>
        <w:t>2.5.2 合同履行期间，甲方有权将履行过程中出现的问题反馈给乙方，双方当事人应以书面形式约定需要完善和改进的内容</w:t>
      </w:r>
      <w:bookmarkEnd w:id="440"/>
      <w:r>
        <w:rPr>
          <w:rFonts w:ascii="宋体" w:hAnsi="宋体"/>
          <w:sz w:val="24"/>
          <w:highlight w:val="none"/>
        </w:rPr>
        <w:t>。</w:t>
      </w:r>
    </w:p>
    <w:p w14:paraId="77850C56">
      <w:pPr>
        <w:spacing w:line="360" w:lineRule="auto"/>
        <w:ind w:firstLine="482" w:firstLineChars="200"/>
        <w:outlineLvl w:val="0"/>
        <w:rPr>
          <w:rFonts w:hint="eastAsia" w:ascii="宋体" w:hAnsi="宋体"/>
          <w:b/>
          <w:sz w:val="24"/>
          <w:highlight w:val="none"/>
        </w:rPr>
      </w:pPr>
      <w:bookmarkStart w:id="441" w:name="_Toc13154"/>
      <w:bookmarkStart w:id="442" w:name="_Toc18990"/>
      <w:bookmarkStart w:id="443" w:name="_Toc13467"/>
      <w:bookmarkStart w:id="444" w:name="_Toc30507"/>
      <w:bookmarkStart w:id="445" w:name="_Toc16163"/>
      <w:r>
        <w:rPr>
          <w:rFonts w:ascii="宋体" w:hAnsi="宋体"/>
          <w:b/>
          <w:sz w:val="24"/>
          <w:highlight w:val="none"/>
        </w:rPr>
        <w:t>2.6 技术资料和保密义务</w:t>
      </w:r>
      <w:bookmarkEnd w:id="441"/>
      <w:bookmarkEnd w:id="442"/>
      <w:bookmarkEnd w:id="443"/>
      <w:bookmarkEnd w:id="444"/>
      <w:bookmarkEnd w:id="445"/>
    </w:p>
    <w:p w14:paraId="33580933">
      <w:pPr>
        <w:spacing w:line="360" w:lineRule="auto"/>
        <w:ind w:firstLine="480" w:firstLineChars="200"/>
        <w:rPr>
          <w:rFonts w:hint="eastAsia"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0B396F6C">
      <w:pPr>
        <w:spacing w:line="360" w:lineRule="auto"/>
        <w:ind w:firstLine="480" w:firstLineChars="200"/>
        <w:rPr>
          <w:rFonts w:hint="eastAsia"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2D1D6DE9">
      <w:pPr>
        <w:spacing w:line="360" w:lineRule="auto"/>
        <w:ind w:firstLine="480" w:firstLineChars="200"/>
        <w:rPr>
          <w:rFonts w:hint="eastAsia"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5FA17AB7">
      <w:pPr>
        <w:spacing w:line="360" w:lineRule="auto"/>
        <w:ind w:firstLine="482" w:firstLineChars="200"/>
        <w:outlineLvl w:val="0"/>
        <w:rPr>
          <w:rFonts w:hint="eastAsia" w:ascii="宋体" w:hAnsi="宋体"/>
          <w:b/>
          <w:sz w:val="24"/>
          <w:highlight w:val="none"/>
        </w:rPr>
      </w:pPr>
      <w:bookmarkStart w:id="446" w:name="_Toc19069"/>
      <w:r>
        <w:rPr>
          <w:rFonts w:ascii="宋体" w:hAnsi="宋体"/>
          <w:b/>
          <w:sz w:val="24"/>
          <w:highlight w:val="none"/>
        </w:rPr>
        <w:t xml:space="preserve">2.7 </w:t>
      </w:r>
      <w:r>
        <w:rPr>
          <w:rFonts w:hint="eastAsia" w:ascii="宋体" w:hAnsi="宋体"/>
          <w:b/>
          <w:sz w:val="24"/>
          <w:highlight w:val="none"/>
        </w:rPr>
        <w:t>质量保证</w:t>
      </w:r>
      <w:bookmarkEnd w:id="446"/>
    </w:p>
    <w:p w14:paraId="2F10FF31">
      <w:pPr>
        <w:spacing w:line="360" w:lineRule="auto"/>
        <w:ind w:firstLine="480" w:firstLineChars="200"/>
        <w:rPr>
          <w:rFonts w:hint="eastAsia"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4D5068BF">
      <w:pPr>
        <w:spacing w:line="360" w:lineRule="auto"/>
        <w:ind w:firstLine="480" w:firstLineChars="200"/>
        <w:rPr>
          <w:rFonts w:hint="eastAsia"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3F511D5E">
      <w:pPr>
        <w:spacing w:line="360" w:lineRule="auto"/>
        <w:ind w:firstLine="482" w:firstLineChars="200"/>
        <w:outlineLvl w:val="0"/>
        <w:rPr>
          <w:rFonts w:hint="eastAsia" w:ascii="宋体" w:hAnsi="宋体"/>
          <w:b/>
          <w:sz w:val="24"/>
          <w:highlight w:val="none"/>
        </w:rPr>
      </w:pPr>
      <w:bookmarkStart w:id="447" w:name="_Toc22267"/>
      <w:r>
        <w:rPr>
          <w:rFonts w:ascii="宋体" w:hAnsi="宋体"/>
          <w:b/>
          <w:sz w:val="24"/>
          <w:highlight w:val="none"/>
        </w:rPr>
        <w:t xml:space="preserve">2.8 </w:t>
      </w:r>
      <w:bookmarkEnd w:id="447"/>
      <w:r>
        <w:rPr>
          <w:rFonts w:hint="eastAsia" w:ascii="宋体" w:hAnsi="宋体"/>
          <w:b/>
          <w:sz w:val="24"/>
          <w:highlight w:val="none"/>
        </w:rPr>
        <w:t>货物的风险负担</w:t>
      </w:r>
    </w:p>
    <w:p w14:paraId="6018C0DC">
      <w:pPr>
        <w:spacing w:line="360" w:lineRule="auto"/>
        <w:ind w:firstLine="480" w:firstLineChars="200"/>
        <w:rPr>
          <w:rFonts w:hint="eastAsia" w:ascii="宋体" w:hAnsi="宋体"/>
          <w:sz w:val="24"/>
          <w:highlight w:val="none"/>
        </w:rPr>
      </w:pPr>
      <w:r>
        <w:rPr>
          <w:rFonts w:hint="eastAsia" w:ascii="宋体" w:hAnsi="宋体"/>
          <w:sz w:val="24"/>
          <w:highlight w:val="none"/>
        </w:rPr>
        <w:t>货物或者在途货物或者交付给第一承运人后的货物毁损、灭失的风险负担详见</w:t>
      </w:r>
      <w:r>
        <w:rPr>
          <w:rFonts w:hint="eastAsia" w:ascii="宋体" w:hAnsi="宋体"/>
          <w:b/>
          <w:i/>
          <w:sz w:val="24"/>
          <w:highlight w:val="none"/>
          <w:u w:val="single"/>
        </w:rPr>
        <w:t>合同专用条款</w:t>
      </w:r>
      <w:r>
        <w:rPr>
          <w:rFonts w:ascii="宋体" w:hAnsi="宋体"/>
          <w:sz w:val="24"/>
          <w:highlight w:val="none"/>
        </w:rPr>
        <w:t>。</w:t>
      </w:r>
    </w:p>
    <w:p w14:paraId="3139EDCF">
      <w:pPr>
        <w:spacing w:line="360" w:lineRule="auto"/>
        <w:ind w:firstLine="482" w:firstLineChars="200"/>
        <w:outlineLvl w:val="0"/>
        <w:rPr>
          <w:rFonts w:hint="eastAsia" w:ascii="宋体" w:hAnsi="宋体"/>
          <w:b/>
          <w:sz w:val="24"/>
          <w:highlight w:val="none"/>
        </w:rPr>
      </w:pPr>
      <w:bookmarkStart w:id="448" w:name="_Toc10611"/>
      <w:r>
        <w:rPr>
          <w:rFonts w:ascii="宋体" w:hAnsi="宋体"/>
          <w:b/>
          <w:sz w:val="24"/>
          <w:highlight w:val="none"/>
        </w:rPr>
        <w:t xml:space="preserve">2.9 </w:t>
      </w:r>
      <w:bookmarkEnd w:id="448"/>
      <w:r>
        <w:rPr>
          <w:rFonts w:hint="eastAsia" w:ascii="宋体" w:hAnsi="宋体"/>
          <w:b/>
          <w:sz w:val="24"/>
          <w:highlight w:val="none"/>
        </w:rPr>
        <w:t>延迟交货</w:t>
      </w:r>
    </w:p>
    <w:p w14:paraId="6E453FCF">
      <w:pPr>
        <w:spacing w:line="360" w:lineRule="auto"/>
        <w:ind w:firstLine="480" w:firstLineChars="200"/>
        <w:rPr>
          <w:rFonts w:hint="eastAsia" w:ascii="宋体" w:hAnsi="宋体"/>
          <w:sz w:val="24"/>
          <w:highlight w:val="none"/>
        </w:rPr>
      </w:pPr>
      <w:r>
        <w:rPr>
          <w:rFonts w:hint="eastAsia" w:ascii="宋体" w:hAnsi="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4ED4680">
      <w:pPr>
        <w:spacing w:line="360" w:lineRule="auto"/>
        <w:ind w:firstLine="482" w:firstLineChars="200"/>
        <w:outlineLvl w:val="0"/>
        <w:rPr>
          <w:rFonts w:hint="eastAsia" w:ascii="宋体" w:hAnsi="宋体"/>
          <w:b/>
          <w:sz w:val="24"/>
          <w:highlight w:val="none"/>
        </w:rPr>
      </w:pPr>
      <w:bookmarkStart w:id="449" w:name="_Toc7502"/>
      <w:bookmarkStart w:id="450" w:name="_Toc279701254"/>
      <w:bookmarkStart w:id="451" w:name="_Toc487900364"/>
      <w:bookmarkStart w:id="452" w:name="_Ref467378121"/>
      <w:bookmarkStart w:id="453" w:name="_Toc259093683"/>
      <w:r>
        <w:rPr>
          <w:rFonts w:hint="eastAsia" w:ascii="宋体" w:hAnsi="宋体"/>
          <w:b/>
          <w:sz w:val="24"/>
          <w:highlight w:val="none"/>
        </w:rPr>
        <w:t>2.10 合同变更</w:t>
      </w:r>
      <w:bookmarkEnd w:id="449"/>
    </w:p>
    <w:p w14:paraId="3E287236">
      <w:pPr>
        <w:spacing w:line="360" w:lineRule="auto"/>
        <w:ind w:firstLine="480" w:firstLineChars="200"/>
        <w:rPr>
          <w:rFonts w:hint="eastAsia"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54" w:name="_Toc487900369"/>
      <w:bookmarkStart w:id="455" w:name="_Toc259093688"/>
      <w:bookmarkStart w:id="456" w:name="_Toc279701259"/>
    </w:p>
    <w:p w14:paraId="0B305FD6">
      <w:pPr>
        <w:spacing w:line="360" w:lineRule="auto"/>
        <w:ind w:firstLine="482" w:firstLineChars="200"/>
        <w:outlineLvl w:val="0"/>
        <w:rPr>
          <w:rFonts w:hint="eastAsia" w:ascii="宋体" w:hAnsi="宋体"/>
          <w:b/>
          <w:sz w:val="24"/>
          <w:highlight w:val="none"/>
        </w:rPr>
      </w:pPr>
      <w:bookmarkStart w:id="457" w:name="_Toc22955"/>
      <w:bookmarkStart w:id="458" w:name="_Toc15237"/>
      <w:bookmarkStart w:id="459" w:name="_Toc10366"/>
      <w:r>
        <w:rPr>
          <w:rFonts w:hint="eastAsia" w:ascii="宋体" w:hAnsi="宋体"/>
          <w:b/>
          <w:sz w:val="24"/>
          <w:highlight w:val="none"/>
        </w:rPr>
        <w:t>2.11 合同转让</w:t>
      </w:r>
      <w:bookmarkEnd w:id="454"/>
      <w:bookmarkEnd w:id="455"/>
      <w:bookmarkEnd w:id="456"/>
      <w:r>
        <w:rPr>
          <w:rFonts w:hint="eastAsia" w:ascii="宋体" w:hAnsi="宋体"/>
          <w:b/>
          <w:sz w:val="24"/>
          <w:highlight w:val="none"/>
        </w:rPr>
        <w:t>和分包</w:t>
      </w:r>
      <w:bookmarkEnd w:id="457"/>
      <w:bookmarkEnd w:id="458"/>
      <w:bookmarkEnd w:id="459"/>
    </w:p>
    <w:p w14:paraId="254EE419">
      <w:pPr>
        <w:spacing w:line="360" w:lineRule="auto"/>
        <w:ind w:firstLine="480" w:firstLineChars="200"/>
        <w:rPr>
          <w:rFonts w:hint="eastAsia" w:ascii="宋体" w:hAnsi="宋体"/>
          <w:sz w:val="24"/>
          <w:highlight w:val="none"/>
        </w:rPr>
      </w:pPr>
      <w:r>
        <w:rPr>
          <w:rFonts w:hint="eastAsia" w:ascii="宋体" w:hAnsi="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C2BD3E">
      <w:pPr>
        <w:spacing w:line="360" w:lineRule="auto"/>
        <w:ind w:firstLine="480" w:firstLineChars="200"/>
        <w:rPr>
          <w:rFonts w:hint="eastAsia" w:ascii="宋体" w:hAnsi="宋体"/>
          <w:sz w:val="24"/>
          <w:highlight w:val="none"/>
        </w:rPr>
      </w:pPr>
      <w:r>
        <w:rPr>
          <w:rFonts w:hint="eastAsia" w:ascii="宋体" w:hAnsi="宋体"/>
          <w:sz w:val="24"/>
          <w:highlight w:val="none"/>
        </w:rPr>
        <w:t>2.11.2乙方采取分包方式履行合同的，甲方可直接向分包供应商支付款项。</w:t>
      </w:r>
    </w:p>
    <w:p w14:paraId="0E41F73B">
      <w:pPr>
        <w:spacing w:line="360" w:lineRule="auto"/>
        <w:ind w:firstLine="482" w:firstLineChars="200"/>
        <w:outlineLvl w:val="0"/>
        <w:rPr>
          <w:rFonts w:hint="eastAsia" w:ascii="宋体" w:hAnsi="宋体"/>
          <w:b/>
          <w:sz w:val="24"/>
          <w:highlight w:val="none"/>
        </w:rPr>
      </w:pPr>
      <w:bookmarkStart w:id="460" w:name="_Toc16508"/>
      <w:bookmarkStart w:id="461" w:name="_Toc13566"/>
      <w:bookmarkStart w:id="462" w:name="_Toc14066"/>
      <w:r>
        <w:rPr>
          <w:rFonts w:hint="eastAsia" w:ascii="宋体" w:hAnsi="宋体"/>
          <w:b/>
          <w:sz w:val="24"/>
          <w:highlight w:val="none"/>
        </w:rPr>
        <w:t>2.12 不可抗力</w:t>
      </w:r>
      <w:bookmarkEnd w:id="460"/>
      <w:bookmarkEnd w:id="461"/>
      <w:bookmarkEnd w:id="462"/>
    </w:p>
    <w:p w14:paraId="134E6329">
      <w:pPr>
        <w:spacing w:line="360" w:lineRule="auto"/>
        <w:ind w:firstLine="480" w:firstLineChars="200"/>
        <w:rPr>
          <w:rFonts w:hint="eastAsia" w:ascii="宋体" w:hAnsi="宋体"/>
          <w:sz w:val="24"/>
          <w:highlight w:val="none"/>
        </w:rPr>
      </w:pPr>
      <w:r>
        <w:rPr>
          <w:rFonts w:hint="eastAsia" w:ascii="宋体" w:hAnsi="宋体"/>
          <w:sz w:val="24"/>
          <w:highlight w:val="none"/>
        </w:rPr>
        <w:t>2.12.1如果任何一方遭遇法律规定的不可抗力，致使合同履行受阻时，履行合同的期限应予延长，延长的期限应相当于不可抗力所影响的时间；</w:t>
      </w:r>
    </w:p>
    <w:p w14:paraId="403A3BAC">
      <w:pPr>
        <w:spacing w:line="360" w:lineRule="auto"/>
        <w:ind w:firstLine="480" w:firstLineChars="200"/>
        <w:rPr>
          <w:rFonts w:hint="eastAsia" w:ascii="宋体" w:hAnsi="宋体"/>
          <w:sz w:val="24"/>
          <w:highlight w:val="none"/>
        </w:rPr>
      </w:pPr>
      <w:r>
        <w:rPr>
          <w:rFonts w:hint="eastAsia" w:ascii="宋体" w:hAnsi="宋体"/>
          <w:sz w:val="24"/>
          <w:highlight w:val="none"/>
        </w:rPr>
        <w:t>2.12.2 因不可抗力致使不能实现合同目的的，当事人可以解除合同；</w:t>
      </w:r>
    </w:p>
    <w:p w14:paraId="1BB1E05A">
      <w:pPr>
        <w:spacing w:line="360" w:lineRule="auto"/>
        <w:ind w:firstLine="480" w:firstLineChars="200"/>
        <w:rPr>
          <w:rFonts w:hint="eastAsia" w:ascii="宋体" w:hAnsi="宋体"/>
          <w:sz w:val="24"/>
          <w:highlight w:val="none"/>
        </w:rPr>
      </w:pPr>
      <w:r>
        <w:rPr>
          <w:rFonts w:hint="eastAsia" w:ascii="宋体" w:hAnsi="宋体"/>
          <w:sz w:val="24"/>
          <w:highlight w:val="none"/>
        </w:rPr>
        <w:t>2.12.3 因不可抗力致使合同有变更必要的，双方当事人应在</w:t>
      </w:r>
      <w:r>
        <w:rPr>
          <w:rFonts w:hint="eastAsia" w:ascii="宋体" w:hAnsi="宋体"/>
          <w:b/>
          <w:i/>
          <w:sz w:val="24"/>
          <w:highlight w:val="none"/>
          <w:u w:val="single"/>
        </w:rPr>
        <w:t>合同专用条款</w:t>
      </w:r>
      <w:r>
        <w:rPr>
          <w:rFonts w:hint="eastAsia" w:ascii="宋体" w:hAnsi="宋体"/>
          <w:sz w:val="24"/>
          <w:highlight w:val="none"/>
        </w:rPr>
        <w:t>约定时间内以书面形式变更合同；</w:t>
      </w:r>
    </w:p>
    <w:p w14:paraId="43F9437E">
      <w:pPr>
        <w:spacing w:line="360" w:lineRule="auto"/>
        <w:ind w:firstLine="480" w:firstLineChars="200"/>
        <w:rPr>
          <w:rFonts w:hint="eastAsia" w:ascii="宋体" w:hAnsi="宋体"/>
          <w:sz w:val="24"/>
          <w:highlight w:val="none"/>
        </w:rPr>
      </w:pPr>
      <w:r>
        <w:rPr>
          <w:rFonts w:hint="eastAsia" w:ascii="宋体" w:hAnsi="宋体"/>
          <w:sz w:val="24"/>
          <w:highlight w:val="none"/>
        </w:rPr>
        <w:t>2.12.4受不可抗力影响的一方在不可抗力发生后，应在</w:t>
      </w:r>
      <w:r>
        <w:rPr>
          <w:rFonts w:hint="eastAsia" w:ascii="宋体" w:hAnsi="宋体"/>
          <w:b/>
          <w:i/>
          <w:sz w:val="24"/>
          <w:highlight w:val="none"/>
          <w:u w:val="single"/>
        </w:rPr>
        <w:t>合同专用条款</w:t>
      </w:r>
      <w:r>
        <w:rPr>
          <w:rFonts w:hint="eastAsia" w:ascii="宋体" w:hAnsi="宋体"/>
          <w:sz w:val="24"/>
          <w:highlight w:val="none"/>
        </w:rPr>
        <w:t>约定时间内以书面形式通知对方当事人，并在</w:t>
      </w:r>
      <w:r>
        <w:rPr>
          <w:rFonts w:hint="eastAsia" w:ascii="宋体" w:hAnsi="宋体"/>
          <w:b/>
          <w:i/>
          <w:sz w:val="24"/>
          <w:highlight w:val="none"/>
          <w:u w:val="single"/>
        </w:rPr>
        <w:t>合同专用条款</w:t>
      </w:r>
      <w:r>
        <w:rPr>
          <w:rFonts w:hint="eastAsia" w:ascii="宋体" w:hAnsi="宋体"/>
          <w:sz w:val="24"/>
          <w:highlight w:val="none"/>
        </w:rPr>
        <w:t>约定时间内，将有关部门出具的证明文件送达对方当事人。</w:t>
      </w:r>
    </w:p>
    <w:p w14:paraId="452F879A">
      <w:pPr>
        <w:spacing w:line="360" w:lineRule="auto"/>
        <w:ind w:firstLine="482" w:firstLineChars="200"/>
        <w:outlineLvl w:val="0"/>
        <w:rPr>
          <w:rFonts w:hint="eastAsia" w:ascii="宋体" w:hAnsi="宋体"/>
          <w:b/>
          <w:sz w:val="24"/>
          <w:highlight w:val="none"/>
        </w:rPr>
      </w:pPr>
      <w:bookmarkStart w:id="463" w:name="_Toc259093684"/>
      <w:bookmarkStart w:id="464" w:name="_Toc6969"/>
      <w:bookmarkStart w:id="465" w:name="_Toc689"/>
      <w:bookmarkStart w:id="466" w:name="_Toc279701255"/>
      <w:bookmarkStart w:id="467" w:name="_Toc30676"/>
      <w:bookmarkStart w:id="468" w:name="_Toc487900365"/>
      <w:r>
        <w:rPr>
          <w:rFonts w:hint="eastAsia" w:ascii="宋体" w:hAnsi="宋体"/>
          <w:b/>
          <w:sz w:val="24"/>
          <w:highlight w:val="none"/>
        </w:rPr>
        <w:t>2.13 税费</w:t>
      </w:r>
      <w:bookmarkEnd w:id="463"/>
      <w:bookmarkEnd w:id="464"/>
      <w:bookmarkEnd w:id="465"/>
      <w:bookmarkEnd w:id="466"/>
      <w:bookmarkEnd w:id="467"/>
      <w:bookmarkEnd w:id="468"/>
    </w:p>
    <w:p w14:paraId="20B2FB4E">
      <w:pPr>
        <w:spacing w:line="360" w:lineRule="auto"/>
        <w:ind w:firstLine="480" w:firstLineChars="200"/>
        <w:rPr>
          <w:rFonts w:hint="eastAsia" w:ascii="宋体" w:hAnsi="宋体"/>
          <w:sz w:val="24"/>
          <w:highlight w:val="none"/>
        </w:rPr>
      </w:pPr>
      <w:r>
        <w:rPr>
          <w:rFonts w:hint="eastAsia" w:ascii="宋体" w:hAnsi="宋体"/>
          <w:sz w:val="24"/>
          <w:highlight w:val="none"/>
        </w:rPr>
        <w:t>与合同有关的一切税费，均按照中华人民共和国法律的相关规定。</w:t>
      </w:r>
    </w:p>
    <w:p w14:paraId="35704FC7">
      <w:pPr>
        <w:spacing w:line="360" w:lineRule="auto"/>
        <w:ind w:firstLine="482" w:firstLineChars="200"/>
        <w:outlineLvl w:val="0"/>
        <w:rPr>
          <w:rFonts w:hint="eastAsia" w:ascii="宋体" w:hAnsi="宋体"/>
          <w:b/>
          <w:sz w:val="24"/>
          <w:highlight w:val="none"/>
        </w:rPr>
      </w:pPr>
      <w:bookmarkStart w:id="469" w:name="_Toc7102"/>
      <w:bookmarkStart w:id="470" w:name="_Toc8298"/>
      <w:bookmarkStart w:id="471" w:name="_Toc259093687"/>
      <w:bookmarkStart w:id="472" w:name="_Toc279701258"/>
      <w:bookmarkStart w:id="473" w:name="_Toc16959"/>
      <w:bookmarkStart w:id="474" w:name="_Toc487900368"/>
      <w:r>
        <w:rPr>
          <w:rFonts w:hint="eastAsia" w:ascii="宋体" w:hAnsi="宋体"/>
          <w:b/>
          <w:sz w:val="24"/>
          <w:highlight w:val="none"/>
        </w:rPr>
        <w:t>2.14乙方破产</w:t>
      </w:r>
      <w:bookmarkEnd w:id="469"/>
      <w:bookmarkEnd w:id="470"/>
      <w:bookmarkEnd w:id="471"/>
      <w:bookmarkEnd w:id="472"/>
      <w:bookmarkEnd w:id="473"/>
      <w:bookmarkEnd w:id="474"/>
    </w:p>
    <w:p w14:paraId="39803CCD">
      <w:pPr>
        <w:spacing w:line="360" w:lineRule="auto"/>
        <w:ind w:firstLine="480" w:firstLineChars="200"/>
        <w:rPr>
          <w:rFonts w:hint="eastAsia" w:ascii="宋体" w:hAnsi="宋体"/>
          <w:sz w:val="24"/>
          <w:highlight w:val="none"/>
        </w:rPr>
      </w:pPr>
      <w:r>
        <w:rPr>
          <w:rFonts w:hint="eastAsia" w:ascii="宋体" w:hAnsi="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BEBFDF">
      <w:pPr>
        <w:spacing w:line="360" w:lineRule="auto"/>
        <w:ind w:firstLine="482" w:firstLineChars="200"/>
        <w:outlineLvl w:val="0"/>
        <w:rPr>
          <w:rFonts w:hint="eastAsia" w:ascii="宋体" w:hAnsi="宋体"/>
          <w:b/>
          <w:sz w:val="24"/>
          <w:highlight w:val="none"/>
        </w:rPr>
      </w:pPr>
      <w:bookmarkStart w:id="475" w:name="_Toc29333"/>
      <w:bookmarkStart w:id="476" w:name="_Toc15387"/>
      <w:bookmarkStart w:id="477" w:name="_Toc6134"/>
      <w:r>
        <w:rPr>
          <w:rFonts w:hint="eastAsia" w:ascii="宋体" w:hAnsi="宋体"/>
          <w:b/>
          <w:sz w:val="24"/>
          <w:highlight w:val="none"/>
        </w:rPr>
        <w:t>2.15 合同中止、终止</w:t>
      </w:r>
      <w:bookmarkEnd w:id="475"/>
      <w:bookmarkEnd w:id="476"/>
      <w:bookmarkEnd w:id="477"/>
    </w:p>
    <w:p w14:paraId="732BB8B8">
      <w:pPr>
        <w:spacing w:line="360" w:lineRule="auto"/>
        <w:ind w:firstLine="480" w:firstLineChars="200"/>
        <w:rPr>
          <w:rFonts w:hint="eastAsia" w:ascii="宋体" w:hAnsi="宋体"/>
          <w:sz w:val="24"/>
          <w:highlight w:val="none"/>
        </w:rPr>
      </w:pPr>
      <w:r>
        <w:rPr>
          <w:rFonts w:hint="eastAsia" w:ascii="宋体" w:hAnsi="宋体"/>
          <w:sz w:val="24"/>
          <w:highlight w:val="none"/>
        </w:rPr>
        <w:t>2.15.1 双方当事人不得擅自中止或者终止合同；</w:t>
      </w:r>
    </w:p>
    <w:p w14:paraId="5F952C6F">
      <w:pPr>
        <w:spacing w:line="360" w:lineRule="auto"/>
        <w:ind w:firstLine="480" w:firstLineChars="200"/>
        <w:rPr>
          <w:rFonts w:hint="eastAsia" w:ascii="宋体" w:hAnsi="宋体"/>
          <w:sz w:val="24"/>
          <w:highlight w:val="none"/>
        </w:rPr>
      </w:pPr>
      <w:r>
        <w:rPr>
          <w:rFonts w:hint="eastAsia" w:ascii="宋体" w:hAnsi="宋体"/>
          <w:sz w:val="24"/>
          <w:highlight w:val="none"/>
        </w:rPr>
        <w:t>2.15.2合同继续履行将损害国家利益和社会公共利益的，双方当事人应当中止或者终止合同。有过错的一方应当承担赔偿责任，双方当事人都有过错的，各自承担相应的责任。</w:t>
      </w:r>
    </w:p>
    <w:p w14:paraId="48AB6EE9">
      <w:pPr>
        <w:spacing w:line="360" w:lineRule="auto"/>
        <w:ind w:firstLine="482" w:firstLineChars="200"/>
        <w:outlineLvl w:val="0"/>
        <w:rPr>
          <w:rFonts w:hint="eastAsia" w:ascii="宋体" w:hAnsi="宋体"/>
          <w:b/>
          <w:sz w:val="24"/>
          <w:highlight w:val="none"/>
        </w:rPr>
      </w:pPr>
      <w:bookmarkStart w:id="478" w:name="_Toc6596"/>
      <w:bookmarkStart w:id="479" w:name="_Toc1125"/>
      <w:bookmarkStart w:id="480" w:name="_Toc14563"/>
      <w:r>
        <w:rPr>
          <w:rFonts w:hint="eastAsia" w:ascii="宋体" w:hAnsi="宋体"/>
          <w:b/>
          <w:sz w:val="24"/>
          <w:highlight w:val="none"/>
        </w:rPr>
        <w:t>2.16检验和验收</w:t>
      </w:r>
      <w:bookmarkEnd w:id="478"/>
      <w:bookmarkEnd w:id="479"/>
      <w:bookmarkEnd w:id="480"/>
    </w:p>
    <w:p w14:paraId="08624237">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2.16.1货物交付前，乙方应对货物的质量、数量等方面进行详细、全面的检验，并向甲方出具证明货物符合合同约定的文件；货物交付时，甲方在</w:t>
      </w:r>
      <w:r>
        <w:rPr>
          <w:rFonts w:hint="eastAsia" w:ascii="宋体" w:hAnsi="宋体"/>
          <w:b/>
          <w:i/>
          <w:sz w:val="24"/>
          <w:highlight w:val="none"/>
          <w:u w:val="single"/>
        </w:rPr>
        <w:t>合同专用条款</w:t>
      </w:r>
      <w:r>
        <w:rPr>
          <w:rFonts w:hint="eastAsia" w:ascii="宋体" w:hAnsi="宋体"/>
          <w:sz w:val="24"/>
          <w:highlight w:val="none"/>
        </w:rPr>
        <w:t>约定时间内组织验收，并可依法邀请相关方参加，验收应出具验收书。</w:t>
      </w:r>
    </w:p>
    <w:p w14:paraId="0776F9EB">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EAD800">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2.16.3 检验和验收标准、程序等具体内容以及前述验收书的效力详见</w:t>
      </w:r>
      <w:r>
        <w:rPr>
          <w:rFonts w:hint="eastAsia" w:ascii="宋体" w:hAnsi="宋体"/>
          <w:b/>
          <w:i/>
          <w:sz w:val="24"/>
          <w:highlight w:val="none"/>
          <w:u w:val="single"/>
        </w:rPr>
        <w:t>合同专用条款</w:t>
      </w:r>
      <w:r>
        <w:rPr>
          <w:rFonts w:hint="eastAsia" w:ascii="宋体" w:hAnsi="宋体"/>
          <w:i/>
          <w:sz w:val="24"/>
          <w:highlight w:val="none"/>
        </w:rPr>
        <w:t>。</w:t>
      </w:r>
    </w:p>
    <w:bookmarkEnd w:id="450"/>
    <w:bookmarkEnd w:id="451"/>
    <w:bookmarkEnd w:id="452"/>
    <w:bookmarkEnd w:id="453"/>
    <w:p w14:paraId="34D0E56A">
      <w:pPr>
        <w:spacing w:line="360" w:lineRule="auto"/>
        <w:ind w:firstLine="482" w:firstLineChars="200"/>
        <w:outlineLvl w:val="0"/>
        <w:rPr>
          <w:rFonts w:hint="eastAsia" w:ascii="宋体" w:hAnsi="宋体"/>
          <w:b/>
          <w:sz w:val="24"/>
          <w:highlight w:val="none"/>
        </w:rPr>
      </w:pPr>
      <w:bookmarkStart w:id="481" w:name="_Toc279701261"/>
      <w:bookmarkStart w:id="482" w:name="_Toc487900371"/>
      <w:bookmarkStart w:id="483" w:name="_Toc259093690"/>
      <w:bookmarkStart w:id="484" w:name="_Toc19604"/>
      <w:bookmarkStart w:id="485" w:name="_Toc25182"/>
      <w:bookmarkStart w:id="486" w:name="_Toc11284"/>
      <w:r>
        <w:rPr>
          <w:rFonts w:hint="eastAsia" w:ascii="宋体" w:hAnsi="宋体"/>
          <w:b/>
          <w:sz w:val="24"/>
          <w:highlight w:val="none"/>
        </w:rPr>
        <w:t>2.17 通知</w:t>
      </w:r>
      <w:bookmarkEnd w:id="481"/>
      <w:bookmarkEnd w:id="482"/>
      <w:bookmarkEnd w:id="483"/>
      <w:r>
        <w:rPr>
          <w:rFonts w:hint="eastAsia" w:ascii="宋体" w:hAnsi="宋体"/>
          <w:b/>
          <w:sz w:val="24"/>
          <w:highlight w:val="none"/>
        </w:rPr>
        <w:t>和送达</w:t>
      </w:r>
      <w:bookmarkEnd w:id="484"/>
      <w:bookmarkEnd w:id="485"/>
      <w:bookmarkEnd w:id="486"/>
    </w:p>
    <w:p w14:paraId="127A8237">
      <w:pPr>
        <w:spacing w:line="360" w:lineRule="auto"/>
        <w:ind w:firstLine="480" w:firstLineChars="200"/>
        <w:rPr>
          <w:rFonts w:hint="eastAsia" w:ascii="宋体" w:hAnsi="宋体"/>
          <w:sz w:val="24"/>
          <w:highlight w:val="none"/>
        </w:rPr>
      </w:pPr>
      <w:bookmarkStart w:id="487" w:name="_Toc3135"/>
      <w:bookmarkStart w:id="488" w:name="_Toc6698"/>
      <w:bookmarkStart w:id="489" w:name="_Toc487900372"/>
      <w:bookmarkStart w:id="490" w:name="_Toc259093691"/>
      <w:bookmarkStart w:id="491" w:name="_Toc279701262"/>
      <w:r>
        <w:rPr>
          <w:rFonts w:hint="eastAsia" w:ascii="宋体" w:hAnsi="宋体"/>
          <w:sz w:val="24"/>
          <w:highlight w:val="none"/>
        </w:rPr>
        <w:t xml:space="preserve">2.17.1任何一方因履行合同而以合同第一部分尾部所列明的传真或电子邮件 </w:t>
      </w:r>
      <w:r>
        <w:rPr>
          <w:rFonts w:hint="eastAsia"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hint="eastAsia"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bookmarkEnd w:id="487"/>
      <w:bookmarkEnd w:id="488"/>
    </w:p>
    <w:p w14:paraId="2BAD98C5">
      <w:pPr>
        <w:spacing w:line="360" w:lineRule="auto"/>
        <w:ind w:firstLine="480" w:firstLineChars="200"/>
        <w:rPr>
          <w:rFonts w:hint="eastAsia" w:ascii="宋体" w:hAnsi="宋体"/>
          <w:sz w:val="24"/>
          <w:highlight w:val="none"/>
        </w:rPr>
      </w:pPr>
      <w:bookmarkStart w:id="492" w:name="_Toc23128"/>
      <w:bookmarkStart w:id="493" w:name="_Toc23294"/>
      <w:r>
        <w:rPr>
          <w:rFonts w:hint="eastAsia" w:ascii="宋体" w:hAnsi="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14:paraId="37D470C6">
      <w:pPr>
        <w:spacing w:line="360" w:lineRule="auto"/>
        <w:ind w:firstLine="482" w:firstLineChars="200"/>
        <w:outlineLvl w:val="0"/>
        <w:rPr>
          <w:rFonts w:hint="eastAsia" w:ascii="宋体" w:hAnsi="宋体"/>
          <w:b/>
          <w:sz w:val="24"/>
          <w:highlight w:val="none"/>
        </w:rPr>
      </w:pPr>
      <w:bookmarkStart w:id="494" w:name="_Toc18540"/>
      <w:bookmarkStart w:id="495" w:name="_Toc4355"/>
      <w:bookmarkStart w:id="496" w:name="_Toc30599"/>
      <w:r>
        <w:rPr>
          <w:rFonts w:hint="eastAsia" w:ascii="宋体" w:hAnsi="宋体"/>
          <w:b/>
          <w:sz w:val="24"/>
          <w:highlight w:val="none"/>
        </w:rPr>
        <w:t>2.18 计量单位</w:t>
      </w:r>
      <w:bookmarkEnd w:id="489"/>
      <w:bookmarkEnd w:id="490"/>
      <w:bookmarkEnd w:id="491"/>
      <w:bookmarkEnd w:id="494"/>
      <w:bookmarkEnd w:id="495"/>
      <w:bookmarkEnd w:id="496"/>
    </w:p>
    <w:p w14:paraId="2C91D24C">
      <w:pPr>
        <w:spacing w:line="360" w:lineRule="auto"/>
        <w:ind w:firstLine="480" w:firstLineChars="200"/>
        <w:rPr>
          <w:rFonts w:hint="eastAsia" w:ascii="宋体" w:hAnsi="宋体"/>
          <w:sz w:val="24"/>
          <w:highlight w:val="none"/>
        </w:rPr>
      </w:pPr>
      <w:r>
        <w:rPr>
          <w:rFonts w:hint="eastAsia" w:ascii="宋体" w:hAnsi="宋体"/>
          <w:sz w:val="24"/>
          <w:highlight w:val="none"/>
        </w:rPr>
        <w:t>除技术规范中另有规定外,合同的计量单位均使用国家法定计量单位。</w:t>
      </w:r>
    </w:p>
    <w:p w14:paraId="1FC0089D">
      <w:pPr>
        <w:spacing w:line="360" w:lineRule="auto"/>
        <w:ind w:firstLine="482" w:firstLineChars="200"/>
        <w:outlineLvl w:val="0"/>
        <w:rPr>
          <w:rFonts w:hint="eastAsia" w:ascii="宋体" w:hAnsi="宋体"/>
          <w:b/>
          <w:sz w:val="24"/>
          <w:highlight w:val="none"/>
        </w:rPr>
      </w:pPr>
      <w:bookmarkStart w:id="497" w:name="_Toc10330"/>
      <w:bookmarkStart w:id="498" w:name="_Toc279701263"/>
      <w:bookmarkStart w:id="499" w:name="_Toc12773"/>
      <w:bookmarkStart w:id="500" w:name="_Toc259093692"/>
      <w:bookmarkStart w:id="501" w:name="_Toc18567"/>
      <w:bookmarkStart w:id="502" w:name="_Toc487900373"/>
      <w:r>
        <w:rPr>
          <w:rFonts w:hint="eastAsia" w:ascii="宋体" w:hAnsi="宋体"/>
          <w:b/>
          <w:sz w:val="24"/>
          <w:highlight w:val="none"/>
        </w:rPr>
        <w:t>2.19 合同使用的文字和适用的法律</w:t>
      </w:r>
      <w:bookmarkEnd w:id="497"/>
      <w:bookmarkEnd w:id="498"/>
      <w:bookmarkEnd w:id="499"/>
      <w:bookmarkEnd w:id="500"/>
      <w:bookmarkEnd w:id="501"/>
      <w:bookmarkEnd w:id="502"/>
    </w:p>
    <w:p w14:paraId="123BC097">
      <w:pPr>
        <w:spacing w:line="360" w:lineRule="auto"/>
        <w:ind w:firstLine="480" w:firstLineChars="200"/>
        <w:rPr>
          <w:rFonts w:hint="eastAsia" w:ascii="宋体" w:hAnsi="宋体"/>
          <w:sz w:val="24"/>
          <w:highlight w:val="none"/>
        </w:rPr>
      </w:pPr>
      <w:r>
        <w:rPr>
          <w:rFonts w:hint="eastAsia" w:ascii="宋体" w:hAnsi="宋体"/>
          <w:sz w:val="24"/>
          <w:highlight w:val="none"/>
        </w:rPr>
        <w:t>2.19.1 合同使用汉语书就、变更和解释；</w:t>
      </w:r>
    </w:p>
    <w:p w14:paraId="193F6D5A">
      <w:pPr>
        <w:spacing w:line="360" w:lineRule="auto"/>
        <w:ind w:firstLine="480" w:firstLineChars="200"/>
        <w:rPr>
          <w:rFonts w:hint="eastAsia" w:ascii="宋体" w:hAnsi="宋体"/>
          <w:sz w:val="24"/>
          <w:highlight w:val="none"/>
        </w:rPr>
      </w:pPr>
      <w:r>
        <w:rPr>
          <w:rFonts w:hint="eastAsia" w:ascii="宋体" w:hAnsi="宋体"/>
          <w:sz w:val="24"/>
          <w:highlight w:val="none"/>
        </w:rPr>
        <w:t>2.19.2 合同适用中华人民共和国法律。</w:t>
      </w:r>
    </w:p>
    <w:p w14:paraId="4DDCD917">
      <w:pPr>
        <w:spacing w:line="360" w:lineRule="auto"/>
        <w:ind w:firstLine="482" w:firstLineChars="200"/>
        <w:outlineLvl w:val="0"/>
        <w:rPr>
          <w:rFonts w:hint="eastAsia" w:ascii="宋体" w:hAnsi="宋体"/>
          <w:b/>
          <w:sz w:val="24"/>
          <w:highlight w:val="none"/>
        </w:rPr>
      </w:pPr>
      <w:bookmarkStart w:id="503" w:name="_Toc259093693"/>
      <w:bookmarkStart w:id="504" w:name="_Toc279701264"/>
      <w:bookmarkStart w:id="505" w:name="_Toc12004"/>
      <w:bookmarkStart w:id="506" w:name="_Toc487900374"/>
      <w:bookmarkStart w:id="507" w:name="_Toc3148"/>
      <w:bookmarkStart w:id="508" w:name="_Toc16673"/>
      <w:r>
        <w:rPr>
          <w:rFonts w:hint="eastAsia" w:ascii="宋体" w:hAnsi="宋体"/>
          <w:b/>
          <w:sz w:val="24"/>
          <w:highlight w:val="none"/>
        </w:rPr>
        <w:t>2.20</w:t>
      </w:r>
      <w:bookmarkEnd w:id="503"/>
      <w:bookmarkEnd w:id="504"/>
      <w:bookmarkEnd w:id="505"/>
      <w:bookmarkEnd w:id="506"/>
      <w:bookmarkEnd w:id="507"/>
      <w:bookmarkEnd w:id="508"/>
      <w:bookmarkStart w:id="509" w:name="_Toc19890"/>
      <w:bookmarkStart w:id="510" w:name="_Toc14001"/>
      <w:bookmarkStart w:id="511" w:name="_Toc6885"/>
      <w:r>
        <w:rPr>
          <w:rFonts w:hint="eastAsia" w:ascii="宋体" w:hAnsi="宋体"/>
          <w:b/>
          <w:sz w:val="24"/>
          <w:highlight w:val="none"/>
        </w:rPr>
        <w:t>合同份数</w:t>
      </w:r>
      <w:bookmarkEnd w:id="509"/>
      <w:bookmarkEnd w:id="510"/>
      <w:bookmarkEnd w:id="511"/>
    </w:p>
    <w:p w14:paraId="0C86914B">
      <w:pPr>
        <w:spacing w:line="360" w:lineRule="auto"/>
        <w:ind w:firstLine="480" w:firstLineChars="200"/>
        <w:rPr>
          <w:rFonts w:hint="eastAsia" w:ascii="宋体" w:hAnsi="宋体"/>
          <w:sz w:val="24"/>
          <w:highlight w:val="none"/>
        </w:rPr>
      </w:pPr>
      <w:r>
        <w:rPr>
          <w:rFonts w:hint="eastAsia" w:ascii="宋体" w:hAnsi="宋体"/>
          <w:sz w:val="24"/>
          <w:highlight w:val="none"/>
        </w:rPr>
        <w:t>合同份数按</w:t>
      </w:r>
      <w:r>
        <w:rPr>
          <w:rFonts w:hint="eastAsia" w:ascii="宋体" w:hAnsi="宋体"/>
          <w:b/>
          <w:i/>
          <w:sz w:val="24"/>
          <w:highlight w:val="none"/>
          <w:u w:val="single"/>
        </w:rPr>
        <w:t>合同专用条款</w:t>
      </w:r>
      <w:r>
        <w:rPr>
          <w:rFonts w:hint="eastAsia" w:ascii="宋体" w:hAnsi="宋体"/>
          <w:sz w:val="24"/>
          <w:highlight w:val="none"/>
        </w:rPr>
        <w:t>规定，每份均具有同等法律效力。</w:t>
      </w:r>
    </w:p>
    <w:p w14:paraId="74D441AC">
      <w:pPr>
        <w:spacing w:line="360" w:lineRule="auto"/>
        <w:ind w:firstLine="482" w:firstLineChars="200"/>
        <w:rPr>
          <w:rFonts w:hint="eastAsia" w:ascii="宋体" w:hAnsi="宋体"/>
          <w:b/>
          <w:sz w:val="24"/>
          <w:highlight w:val="none"/>
        </w:rPr>
      </w:pPr>
      <w:r>
        <w:rPr>
          <w:rFonts w:ascii="宋体" w:hAnsi="宋体"/>
          <w:b/>
          <w:sz w:val="24"/>
          <w:highlight w:val="none"/>
        </w:rPr>
        <w:t>2.2</w:t>
      </w:r>
      <w:r>
        <w:rPr>
          <w:rFonts w:hint="eastAsia" w:ascii="宋体" w:hAnsi="宋体"/>
          <w:b/>
          <w:sz w:val="24"/>
          <w:highlight w:val="none"/>
        </w:rPr>
        <w:t>1甲乙双方的权利和义务</w:t>
      </w:r>
    </w:p>
    <w:p w14:paraId="73527A89">
      <w:pPr>
        <w:spacing w:line="360" w:lineRule="auto"/>
        <w:ind w:firstLine="480" w:firstLineChars="200"/>
        <w:rPr>
          <w:rFonts w:hint="eastAsia" w:ascii="宋体" w:hAnsi="宋体"/>
          <w:sz w:val="24"/>
          <w:highlight w:val="none"/>
        </w:rPr>
      </w:pPr>
      <w:r>
        <w:rPr>
          <w:rFonts w:hint="eastAsia" w:ascii="宋体" w:hAnsi="宋体"/>
          <w:sz w:val="24"/>
          <w:highlight w:val="none"/>
        </w:rPr>
        <w:t>详见</w:t>
      </w:r>
      <w:r>
        <w:rPr>
          <w:rFonts w:ascii="宋体" w:hAnsi="宋体"/>
          <w:b/>
          <w:i/>
          <w:sz w:val="24"/>
          <w:highlight w:val="none"/>
          <w:u w:val="single"/>
        </w:rPr>
        <w:t>合同专用条款</w:t>
      </w:r>
      <w:r>
        <w:rPr>
          <w:rFonts w:hint="eastAsia" w:ascii="宋体" w:hAnsi="宋体"/>
          <w:sz w:val="24"/>
          <w:highlight w:val="none"/>
        </w:rPr>
        <w:t>。</w:t>
      </w:r>
    </w:p>
    <w:p w14:paraId="690152CF">
      <w:pPr>
        <w:spacing w:line="360" w:lineRule="auto"/>
        <w:ind w:firstLine="482" w:firstLineChars="200"/>
        <w:rPr>
          <w:rFonts w:hint="eastAsia" w:ascii="宋体" w:hAnsi="宋体"/>
          <w:b/>
          <w:sz w:val="24"/>
          <w:highlight w:val="none"/>
        </w:rPr>
      </w:pPr>
      <w:r>
        <w:rPr>
          <w:rFonts w:ascii="宋体" w:hAnsi="宋体"/>
          <w:b/>
          <w:sz w:val="24"/>
          <w:highlight w:val="none"/>
        </w:rPr>
        <w:t>2.2</w:t>
      </w:r>
      <w:r>
        <w:rPr>
          <w:rFonts w:hint="eastAsia" w:ascii="宋体" w:hAnsi="宋体"/>
          <w:b/>
          <w:sz w:val="24"/>
          <w:highlight w:val="none"/>
        </w:rPr>
        <w:t>2质保及售后条款</w:t>
      </w:r>
    </w:p>
    <w:p w14:paraId="42FEBD56">
      <w:pPr>
        <w:spacing w:line="360" w:lineRule="auto"/>
        <w:ind w:firstLine="480" w:firstLineChars="200"/>
        <w:rPr>
          <w:rFonts w:hint="eastAsia" w:ascii="宋体" w:hAnsi="宋体"/>
          <w:sz w:val="24"/>
          <w:highlight w:val="none"/>
        </w:rPr>
      </w:pPr>
      <w:r>
        <w:rPr>
          <w:rFonts w:hint="eastAsia" w:ascii="宋体" w:hAnsi="宋体"/>
          <w:sz w:val="24"/>
          <w:highlight w:val="none"/>
        </w:rPr>
        <w:t>详见</w:t>
      </w:r>
      <w:r>
        <w:rPr>
          <w:rFonts w:hint="eastAsia" w:ascii="宋体" w:hAnsi="宋体"/>
          <w:b/>
          <w:bCs/>
          <w:i/>
          <w:iCs/>
          <w:sz w:val="24"/>
          <w:highlight w:val="none"/>
          <w:u w:val="single"/>
        </w:rPr>
        <w:t>合同专用条款</w:t>
      </w:r>
      <w:r>
        <w:rPr>
          <w:rFonts w:hint="eastAsia" w:ascii="宋体" w:hAnsi="宋体"/>
          <w:sz w:val="24"/>
          <w:highlight w:val="none"/>
        </w:rPr>
        <w:t>。</w:t>
      </w:r>
    </w:p>
    <w:p w14:paraId="48FD2A14">
      <w:pPr>
        <w:rPr>
          <w:rFonts w:hint="eastAsia" w:ascii="宋体" w:hAnsi="宋体"/>
          <w:b/>
          <w:highlight w:val="none"/>
        </w:rPr>
      </w:pPr>
      <w:r>
        <w:rPr>
          <w:rFonts w:hint="eastAsia" w:ascii="宋体" w:hAnsi="宋体"/>
          <w:b/>
          <w:highlight w:val="none"/>
        </w:rPr>
        <w:br w:type="page"/>
      </w:r>
    </w:p>
    <w:p w14:paraId="264E2AC0">
      <w:pPr>
        <w:pStyle w:val="31"/>
        <w:spacing w:line="560" w:lineRule="exact"/>
        <w:ind w:left="0" w:leftChars="0" w:firstLine="0" w:firstLineChars="0"/>
        <w:jc w:val="center"/>
        <w:rPr>
          <w:rFonts w:hint="eastAsia" w:ascii="宋体" w:hAnsi="宋体"/>
          <w:b/>
          <w:highlight w:val="none"/>
        </w:rPr>
      </w:pPr>
      <w:r>
        <w:rPr>
          <w:rFonts w:hint="eastAsia" w:ascii="宋体" w:hAnsi="宋体"/>
          <w:b/>
          <w:highlight w:val="none"/>
        </w:rPr>
        <w:t>第三部分  合同专用条款</w:t>
      </w:r>
    </w:p>
    <w:p w14:paraId="46DAAA4E">
      <w:pPr>
        <w:spacing w:line="360" w:lineRule="auto"/>
        <w:ind w:left="-420" w:leftChars="-200" w:right="-420" w:rightChars="-200" w:firstLine="480" w:firstLineChars="200"/>
        <w:rPr>
          <w:rFonts w:hint="eastAsia" w:ascii="宋体" w:hAnsi="宋体"/>
          <w:sz w:val="24"/>
          <w:highlight w:val="none"/>
        </w:rPr>
      </w:pPr>
      <w:r>
        <w:rPr>
          <w:rFonts w:hint="eastAsia" w:ascii="宋体" w:hAnsi="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3DE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EF12D18">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6349025A">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E07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34A98E">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02F016A4">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11CB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D0F044">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E9AC916">
            <w:pPr>
              <w:spacing w:line="300" w:lineRule="auto"/>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合同生效以及具备实施条件后5个工作日内，支付合同价款的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14:paraId="1E9F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00FEBB">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1451B8FF">
            <w:pPr>
              <w:spacing w:line="30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14:paraId="16E7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B7E13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6974C3F">
            <w:pPr>
              <w:spacing w:line="300" w:lineRule="auto"/>
              <w:rPr>
                <w:rFonts w:hint="eastAsia" w:ascii="宋体" w:hAnsi="宋体" w:cs="宋体"/>
                <w:color w:val="auto"/>
                <w:sz w:val="24"/>
                <w:highlight w:val="none"/>
              </w:rPr>
            </w:pPr>
            <w:r>
              <w:rPr>
                <w:rFonts w:hint="eastAsia" w:ascii="宋体" w:hAnsi="宋体"/>
                <w:color w:val="auto"/>
                <w:kern w:val="0"/>
                <w:sz w:val="24"/>
                <w:highlight w:val="none"/>
              </w:rPr>
              <w:t>/</w:t>
            </w:r>
          </w:p>
        </w:tc>
      </w:tr>
      <w:tr w14:paraId="322F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5C958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B28ECFB">
            <w:pPr>
              <w:pStyle w:val="14"/>
              <w:snapToGrid w:val="0"/>
              <w:spacing w:before="0" w:beforeAutospacing="0" w:after="0" w:afterAutospacing="0" w:line="300" w:lineRule="auto"/>
              <w:rPr>
                <w:rFonts w:hint="eastAsia" w:eastAsia="宋体" w:cs="宋体"/>
                <w:color w:val="auto"/>
                <w:highlight w:val="none"/>
                <w:lang w:eastAsia="zh-CN"/>
              </w:rPr>
            </w:pPr>
            <w:r>
              <w:rPr>
                <w:rFonts w:hint="eastAsia" w:cs="宋体"/>
                <w:color w:val="auto"/>
                <w:highlight w:val="none"/>
              </w:rPr>
              <w:t>所有产品安装完毕并经采购人验收合格后5个工作日内，支付合同剩余金额</w:t>
            </w:r>
            <w:r>
              <w:rPr>
                <w:rFonts w:hint="eastAsia" w:cs="宋体"/>
                <w:color w:val="auto"/>
                <w:highlight w:val="none"/>
                <w:lang w:eastAsia="zh-CN"/>
              </w:rPr>
              <w:t>。</w:t>
            </w:r>
          </w:p>
        </w:tc>
      </w:tr>
      <w:tr w14:paraId="349D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47A57B">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4389B3F">
            <w:pPr>
              <w:pStyle w:val="5"/>
              <w:spacing w:line="360" w:lineRule="auto"/>
              <w:ind w:left="0" w:leftChars="0" w:firstLine="0" w:firstLineChars="0"/>
              <w:rPr>
                <w:rFonts w:hint="eastAsia"/>
                <w:color w:val="auto"/>
                <w:highlight w:val="none"/>
              </w:rPr>
            </w:pPr>
            <w:r>
              <w:rPr>
                <w:rFonts w:hint="eastAsia" w:hAnsi="宋体" w:cs="宋体"/>
                <w:bCs/>
                <w:snapToGrid/>
                <w:color w:val="auto"/>
                <w:kern w:val="2"/>
                <w:sz w:val="24"/>
                <w:szCs w:val="24"/>
                <w:highlight w:val="none"/>
                <w:lang w:val="en-US" w:eastAsia="zh-CN"/>
              </w:rPr>
              <w:t>2025年8月25日前完成供货、安装调试及验收完成</w:t>
            </w:r>
          </w:p>
        </w:tc>
      </w:tr>
      <w:tr w14:paraId="0A13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4B793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11C3D2E">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采购人指定地点</w:t>
            </w:r>
          </w:p>
        </w:tc>
      </w:tr>
      <w:tr w14:paraId="5CE0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78D2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0FB6BAD">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14:paraId="2BBEDA72">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F4BD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9E1E2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A44E710">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14:paraId="080275A0">
            <w:pPr>
              <w:numPr>
                <w:ilvl w:val="0"/>
                <w:numId w:val="6"/>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14:paraId="78B2AD32">
            <w:pPr>
              <w:numPr>
                <w:ilvl w:val="0"/>
                <w:numId w:val="6"/>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1F5B1BA0">
            <w:pPr>
              <w:numPr>
                <w:ilvl w:val="0"/>
                <w:numId w:val="6"/>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14:paraId="5EAD75D5">
            <w:pPr>
              <w:numPr>
                <w:ilvl w:val="0"/>
                <w:numId w:val="6"/>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55FD61FF">
            <w:pPr>
              <w:numPr>
                <w:ilvl w:val="0"/>
                <w:numId w:val="6"/>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0C91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448614">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0D7CCEF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14:paraId="160E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70FFB">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3FD08FED">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杭州市</w:t>
            </w:r>
          </w:p>
        </w:tc>
      </w:tr>
      <w:tr w14:paraId="665F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82FF11">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2FACE2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46C5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4DC544">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0B027EC">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14:paraId="3EC8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F7ECC6">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8A89D0E">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627F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7CA5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4CF583E4">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3FDF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A235FE2">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583FDF1">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14:paraId="269A7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A3D2BA">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79B42B3">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14:paraId="7018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27DF6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4678DCDE">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14:paraId="57E9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BBDAF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68405DA">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乙方提交验收申请30天内组织验收会议。</w:t>
            </w:r>
          </w:p>
        </w:tc>
      </w:tr>
      <w:tr w14:paraId="173B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F8745C7">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DCF586F">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14:paraId="7DC3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F47E3CC">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736AE50A">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14:paraId="5EAC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017D1B0">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14:paraId="20FF070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14:paraId="37CE0B3F">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14:paraId="48B4F33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14:paraId="4396C529">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14:paraId="5706647C">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14:paraId="4D50A125">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14:paraId="5EFFF2D5">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14:paraId="311CDFB0">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14:paraId="10F517DF">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14:paraId="288B681B">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14:paraId="13B974B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14:paraId="2272CE9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14:paraId="25942AE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14:paraId="49693982">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14:paraId="05C0576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14:paraId="599122B4">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14:paraId="0B95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E07345">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14:paraId="2DD9A44B">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rFonts w:hint="eastAsia"/>
                <w:color w:val="auto"/>
                <w:sz w:val="24"/>
                <w:highlight w:val="none"/>
                <w:u w:val="single"/>
                <w:lang w:val="en-US" w:eastAsia="zh-CN"/>
              </w:rPr>
              <w:t>3</w:t>
            </w:r>
            <w:r>
              <w:rPr>
                <w:rFonts w:hint="eastAsia"/>
                <w:color w:val="auto"/>
                <w:sz w:val="24"/>
                <w:highlight w:val="none"/>
                <w:u w:val="single"/>
              </w:rPr>
              <w:t xml:space="preserve"> </w:t>
            </w:r>
            <w:r>
              <w:rPr>
                <w:color w:val="auto"/>
                <w:sz w:val="24"/>
                <w:highlight w:val="none"/>
              </w:rPr>
              <w:t>年</w:t>
            </w:r>
            <w:r>
              <w:rPr>
                <w:rFonts w:hint="eastAsia"/>
                <w:color w:val="auto"/>
                <w:sz w:val="24"/>
                <w:highlight w:val="none"/>
                <w:lang w:eastAsia="zh-CN"/>
              </w:rPr>
              <w:t>（所有硬件和软件设备提供3年5*8小时以上免费保修和售后现场技术服务）</w:t>
            </w:r>
            <w:r>
              <w:rPr>
                <w:color w:val="auto"/>
                <w:sz w:val="24"/>
                <w:highlight w:val="none"/>
              </w:rPr>
              <w:t>。</w:t>
            </w:r>
          </w:p>
          <w:p w14:paraId="4D8439E8">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14:paraId="63309BE7">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14:paraId="6CCB7C40">
      <w:pPr>
        <w:spacing w:line="360" w:lineRule="auto"/>
        <w:ind w:left="-420" w:leftChars="-200" w:right="-420" w:rightChars="-200" w:firstLine="420" w:firstLineChars="200"/>
        <w:rPr>
          <w:rFonts w:hint="eastAsia" w:ascii="宋体" w:hAnsi="宋体"/>
          <w:highlight w:val="none"/>
        </w:rPr>
      </w:pPr>
    </w:p>
    <w:p w14:paraId="431A33F8">
      <w:pPr>
        <w:spacing w:line="360" w:lineRule="auto"/>
        <w:ind w:left="-420" w:leftChars="-200" w:right="-420" w:rightChars="-200" w:firstLine="480" w:firstLineChars="200"/>
        <w:rPr>
          <w:rFonts w:hint="eastAsia" w:ascii="宋体" w:hAnsi="宋体"/>
          <w:sz w:val="24"/>
          <w:highlight w:val="none"/>
        </w:rPr>
      </w:pPr>
    </w:p>
    <w:p w14:paraId="26083A2A">
      <w:pPr>
        <w:spacing w:line="360" w:lineRule="auto"/>
        <w:ind w:left="-420" w:leftChars="-200" w:right="-420" w:rightChars="-200"/>
        <w:rPr>
          <w:rFonts w:hint="eastAsia" w:ascii="宋体" w:hAnsi="宋体"/>
          <w:sz w:val="24"/>
          <w:highlight w:val="none"/>
        </w:rPr>
      </w:pPr>
    </w:p>
    <w:p w14:paraId="3D7F4069">
      <w:pPr>
        <w:spacing w:line="360" w:lineRule="auto"/>
        <w:rPr>
          <w:rFonts w:hint="eastAsia" w:ascii="宋体" w:hAnsi="宋体" w:cs="宋体"/>
          <w:sz w:val="24"/>
          <w:highlight w:val="none"/>
        </w:rPr>
      </w:pPr>
    </w:p>
    <w:p w14:paraId="12B51015">
      <w:pPr>
        <w:rPr>
          <w:highlight w:val="none"/>
        </w:rPr>
      </w:pPr>
    </w:p>
    <w:p w14:paraId="65CA31AF">
      <w:pPr>
        <w:rPr>
          <w:highlight w:val="none"/>
        </w:rPr>
      </w:pPr>
    </w:p>
    <w:p w14:paraId="38861148">
      <w:pPr>
        <w:spacing w:line="360" w:lineRule="auto"/>
        <w:ind w:left="-420" w:leftChars="-200" w:right="-420" w:rightChars="-200" w:firstLine="480" w:firstLineChars="200"/>
        <w:jc w:val="center"/>
        <w:outlineLvl w:val="0"/>
        <w:rPr>
          <w:rFonts w:hint="eastAsia" w:ascii="宋体" w:hAnsi="宋体" w:cs="宋体"/>
          <w:sz w:val="24"/>
          <w:highlight w:val="none"/>
        </w:rPr>
      </w:pPr>
    </w:p>
    <w:p w14:paraId="39FAC99B">
      <w:pPr>
        <w:jc w:val="center"/>
        <w:rPr>
          <w:rFonts w:hint="eastAsia"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第六部分</w:t>
      </w:r>
      <w:bookmarkEnd w:id="382"/>
      <w:bookmarkEnd w:id="383"/>
      <w:r>
        <w:rPr>
          <w:rFonts w:hint="eastAsia" w:ascii="宋体" w:hAnsi="宋体" w:cs="宋体"/>
          <w:b/>
          <w:sz w:val="36"/>
          <w:szCs w:val="20"/>
          <w:highlight w:val="none"/>
        </w:rPr>
        <w:t xml:space="preserve">  应提交的有关格式范例</w:t>
      </w:r>
    </w:p>
    <w:p w14:paraId="757C4BB7">
      <w:pPr>
        <w:spacing w:line="360" w:lineRule="auto"/>
        <w:jc w:val="center"/>
        <w:outlineLvl w:val="0"/>
        <w:rPr>
          <w:rFonts w:hint="eastAsia" w:ascii="宋体" w:hAnsi="宋体" w:cs="宋体"/>
          <w:b/>
          <w:kern w:val="0"/>
          <w:sz w:val="36"/>
          <w:szCs w:val="36"/>
          <w:highlight w:val="none"/>
        </w:rPr>
      </w:pPr>
    </w:p>
    <w:p w14:paraId="76F99ADD">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06D022E7">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70F456EA">
      <w:pPr>
        <w:spacing w:line="360" w:lineRule="auto"/>
        <w:jc w:val="center"/>
        <w:outlineLvl w:val="0"/>
        <w:rPr>
          <w:rFonts w:hint="eastAsia" w:ascii="宋体" w:hAnsi="宋体" w:cs="宋体"/>
          <w:b/>
          <w:kern w:val="0"/>
          <w:sz w:val="36"/>
          <w:szCs w:val="36"/>
          <w:highlight w:val="none"/>
        </w:rPr>
      </w:pPr>
    </w:p>
    <w:p w14:paraId="77A4A3CC">
      <w:pPr>
        <w:numPr>
          <w:ilvl w:val="0"/>
          <w:numId w:val="7"/>
        </w:numPr>
        <w:snapToGrid w:val="0"/>
        <w:spacing w:line="360" w:lineRule="auto"/>
        <w:rPr>
          <w:rFonts w:hint="eastAsia" w:ascii="宋体" w:hAnsi="宋体" w:cs="宋体"/>
          <w:sz w:val="24"/>
          <w:highlight w:val="none"/>
        </w:rPr>
      </w:pPr>
      <w:r>
        <w:rPr>
          <w:rFonts w:hint="eastAsia" w:ascii="宋体" w:hAnsi="宋体" w:cs="宋体"/>
          <w:sz w:val="24"/>
          <w:highlight w:val="none"/>
        </w:rPr>
        <w:t>符合参加采购活动应当具备的一般条件的承诺函……………（页码）</w:t>
      </w:r>
    </w:p>
    <w:p w14:paraId="27C2A553">
      <w:pPr>
        <w:numPr>
          <w:ilvl w:val="0"/>
          <w:numId w:val="7"/>
        </w:num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联合协议</w:t>
      </w:r>
      <w:r>
        <w:rPr>
          <w:rFonts w:hint="eastAsia" w:ascii="宋体" w:hAnsi="宋体" w:cs="宋体"/>
          <w:sz w:val="24"/>
          <w:highlight w:val="none"/>
        </w:rPr>
        <w:t>………………………………………………………………（页码）</w:t>
      </w:r>
    </w:p>
    <w:p w14:paraId="0421A49D">
      <w:pPr>
        <w:numPr>
          <w:ilvl w:val="0"/>
          <w:numId w:val="7"/>
        </w:numPr>
        <w:snapToGrid w:val="0"/>
        <w:spacing w:line="360" w:lineRule="auto"/>
        <w:rPr>
          <w:rFonts w:hint="eastAsia" w:ascii="宋体" w:hAnsi="宋体" w:cs="宋体"/>
          <w:sz w:val="24"/>
          <w:highlight w:val="none"/>
        </w:rPr>
      </w:pPr>
      <w:r>
        <w:rPr>
          <w:rFonts w:hint="eastAsia" w:ascii="宋体" w:hAnsi="宋体" w:cs="宋体"/>
          <w:sz w:val="24"/>
          <w:highlight w:val="none"/>
        </w:rPr>
        <w:t>落实采购政策需满足的资格要求………………………………（页码）</w:t>
      </w:r>
    </w:p>
    <w:p w14:paraId="32AED743">
      <w:pPr>
        <w:numPr>
          <w:ilvl w:val="0"/>
          <w:numId w:val="7"/>
        </w:numPr>
        <w:snapToGrid w:val="0"/>
        <w:spacing w:line="360" w:lineRule="auto"/>
        <w:rPr>
          <w:rFonts w:hint="eastAsia" w:ascii="宋体" w:hAnsi="宋体" w:cs="宋体"/>
          <w:sz w:val="24"/>
          <w:highlight w:val="none"/>
        </w:rPr>
      </w:pPr>
      <w:r>
        <w:rPr>
          <w:rFonts w:hint="eastAsia" w:ascii="宋体" w:hAnsi="宋体" w:cs="宋体"/>
          <w:sz w:val="24"/>
          <w:highlight w:val="none"/>
        </w:rPr>
        <w:t>本项目的特定资格要求………………………………………………（页码）</w:t>
      </w:r>
    </w:p>
    <w:p w14:paraId="63127363">
      <w:pPr>
        <w:snapToGrid w:val="0"/>
        <w:spacing w:line="360" w:lineRule="auto"/>
        <w:ind w:firstLine="480" w:firstLineChars="200"/>
        <w:rPr>
          <w:rFonts w:hint="eastAsia" w:ascii="宋体" w:hAnsi="宋体" w:cs="宋体"/>
          <w:sz w:val="24"/>
          <w:highlight w:val="none"/>
        </w:rPr>
      </w:pPr>
    </w:p>
    <w:p w14:paraId="54904C6E">
      <w:pPr>
        <w:spacing w:line="360" w:lineRule="auto"/>
        <w:ind w:firstLine="480" w:firstLineChars="200"/>
        <w:rPr>
          <w:rFonts w:hint="eastAsia" w:ascii="宋体" w:hAnsi="宋体" w:cs="宋体"/>
          <w:sz w:val="24"/>
          <w:highlight w:val="none"/>
        </w:rPr>
      </w:pPr>
    </w:p>
    <w:p w14:paraId="71E9EC07">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符合参加采购活动应当具备的一般条件的承诺函</w:t>
      </w:r>
    </w:p>
    <w:p w14:paraId="3D0DA224">
      <w:pPr>
        <w:snapToGrid w:val="0"/>
        <w:spacing w:line="360" w:lineRule="auto"/>
        <w:rPr>
          <w:rFonts w:hint="eastAsia" w:ascii="宋体" w:hAnsi="宋体" w:cs="宋体"/>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sz w:val="24"/>
          <w:highlight w:val="none"/>
        </w:rPr>
        <w:t>：</w:t>
      </w:r>
    </w:p>
    <w:p w14:paraId="03AB170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杭州高级中学临平学校校园网络建设二期项目</w:t>
      </w:r>
      <w:r>
        <w:rPr>
          <w:rFonts w:hint="eastAsia" w:ascii="宋体" w:hAnsi="宋体" w:cs="宋体"/>
          <w:sz w:val="24"/>
          <w:highlight w:val="none"/>
        </w:rPr>
        <w:t>【项目编号：</w:t>
      </w:r>
      <w:r>
        <w:rPr>
          <w:rFonts w:hint="eastAsia" w:ascii="宋体" w:hAnsi="宋体" w:cs="宋体"/>
          <w:sz w:val="24"/>
          <w:highlight w:val="none"/>
          <w:lang w:eastAsia="zh-CN"/>
        </w:rPr>
        <w:t>ZJOB-HGLP-2025006</w:t>
      </w:r>
      <w:r>
        <w:rPr>
          <w:rFonts w:hint="eastAsia" w:ascii="宋体" w:hAnsi="宋体" w:cs="宋体"/>
          <w:sz w:val="24"/>
          <w:highlight w:val="none"/>
        </w:rPr>
        <w:t>】采购活动，郑重承诺：</w:t>
      </w:r>
    </w:p>
    <w:p w14:paraId="0EFCCA07">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78FD72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3B30D3B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19C319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71F8951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6423F53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C36772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354E0B7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14:paraId="379688B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54BDC7E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4460B1C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53F0E1D">
      <w:pPr>
        <w:pStyle w:val="4"/>
        <w:rPr>
          <w:rFonts w:hint="eastAsia" w:ascii="宋体" w:hAnsi="宋体" w:cs="宋体"/>
          <w:sz w:val="24"/>
          <w:highlight w:val="none"/>
        </w:rPr>
      </w:pPr>
    </w:p>
    <w:p w14:paraId="30A06B73">
      <w:pPr>
        <w:rPr>
          <w:rFonts w:hint="eastAsia" w:ascii="宋体" w:hAnsi="宋体" w:cs="宋体"/>
          <w:sz w:val="24"/>
          <w:highlight w:val="none"/>
        </w:rPr>
      </w:pPr>
    </w:p>
    <w:p w14:paraId="4A600FA6">
      <w:pPr>
        <w:pStyle w:val="4"/>
        <w:rPr>
          <w:rFonts w:hint="eastAsia"/>
          <w:highlight w:val="none"/>
        </w:rPr>
      </w:pPr>
    </w:p>
    <w:p w14:paraId="0CD75E2F">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1B763908">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A419ABD">
      <w:pPr>
        <w:snapToGrid w:val="0"/>
        <w:spacing w:line="360" w:lineRule="auto"/>
        <w:ind w:right="480"/>
        <w:jc w:val="center"/>
        <w:rPr>
          <w:rFonts w:hint="eastAsia" w:ascii="宋体" w:hAnsi="宋体" w:cs="宋体"/>
          <w:b/>
          <w:kern w:val="0"/>
          <w:sz w:val="32"/>
          <w:szCs w:val="32"/>
          <w:highlight w:val="none"/>
        </w:rPr>
      </w:pPr>
    </w:p>
    <w:p w14:paraId="6EA94CB0">
      <w:pPr>
        <w:snapToGrid w:val="0"/>
        <w:spacing w:line="360" w:lineRule="auto"/>
        <w:ind w:right="480"/>
        <w:jc w:val="center"/>
        <w:rPr>
          <w:rFonts w:hint="eastAsia" w:ascii="宋体" w:hAnsi="宋体" w:cs="宋体"/>
          <w:b/>
          <w:kern w:val="0"/>
          <w:sz w:val="32"/>
          <w:szCs w:val="32"/>
          <w:highlight w:val="none"/>
        </w:rPr>
      </w:pPr>
    </w:p>
    <w:p w14:paraId="2F0DCBB5">
      <w:pPr>
        <w:snapToGrid w:val="0"/>
        <w:spacing w:line="360" w:lineRule="auto"/>
        <w:ind w:right="480"/>
        <w:jc w:val="center"/>
        <w:rPr>
          <w:rFonts w:hint="eastAsia" w:ascii="宋体" w:hAnsi="宋体" w:cs="宋体"/>
          <w:b/>
          <w:kern w:val="0"/>
          <w:sz w:val="32"/>
          <w:szCs w:val="32"/>
          <w:highlight w:val="none"/>
        </w:rPr>
      </w:pPr>
    </w:p>
    <w:p w14:paraId="46C8E957">
      <w:pPr>
        <w:rPr>
          <w:rFonts w:hint="eastAsia" w:ascii="宋体" w:hAnsi="宋体" w:cs="宋体"/>
          <w:highlight w:val="none"/>
        </w:rPr>
      </w:pPr>
    </w:p>
    <w:p w14:paraId="4DF2327C">
      <w:pPr>
        <w:snapToGrid w:val="0"/>
        <w:spacing w:line="360" w:lineRule="auto"/>
        <w:ind w:right="480"/>
        <w:jc w:val="center"/>
        <w:rPr>
          <w:rFonts w:hint="eastAsia" w:ascii="宋体" w:hAnsi="宋体" w:cs="宋体"/>
          <w:b/>
          <w:kern w:val="0"/>
          <w:sz w:val="32"/>
          <w:szCs w:val="32"/>
          <w:highlight w:val="none"/>
        </w:rPr>
      </w:pPr>
    </w:p>
    <w:p w14:paraId="0AEDDCAC">
      <w:pPr>
        <w:widowControl/>
        <w:spacing w:line="360" w:lineRule="auto"/>
        <w:ind w:firstLine="643" w:firstLineChars="20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AB12536">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60E8D7C">
      <w:pPr>
        <w:snapToGrid w:val="0"/>
        <w:spacing w:line="360" w:lineRule="auto"/>
        <w:ind w:right="480"/>
        <w:jc w:val="center"/>
        <w:rPr>
          <w:rFonts w:hint="eastAsia" w:ascii="宋体" w:hAnsi="宋体" w:cs="宋体"/>
          <w:b/>
          <w:kern w:val="0"/>
          <w:sz w:val="32"/>
          <w:szCs w:val="32"/>
          <w:highlight w:val="none"/>
        </w:rPr>
      </w:pPr>
    </w:p>
    <w:p w14:paraId="7D82A8EA">
      <w:pPr>
        <w:snapToGrid w:val="0"/>
        <w:spacing w:line="360" w:lineRule="auto"/>
        <w:ind w:right="480"/>
        <w:jc w:val="center"/>
        <w:rPr>
          <w:rFonts w:hint="eastAsia" w:ascii="宋体" w:hAnsi="宋体" w:cs="宋体"/>
          <w:b/>
          <w:kern w:val="0"/>
          <w:sz w:val="32"/>
          <w:szCs w:val="32"/>
          <w:highlight w:val="none"/>
        </w:rPr>
      </w:pPr>
    </w:p>
    <w:p w14:paraId="21A11C06">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三、落实采购政策需满足的资格要求</w:t>
      </w:r>
    </w:p>
    <w:p w14:paraId="3E3B9005">
      <w:pPr>
        <w:spacing w:line="360" w:lineRule="auto"/>
        <w:rPr>
          <w:rFonts w:hint="eastAsia" w:ascii="宋体" w:hAnsi="宋体" w:cs="宋体"/>
          <w:sz w:val="24"/>
          <w:highlight w:val="none"/>
        </w:rPr>
      </w:pPr>
      <w:r>
        <w:rPr>
          <w:rFonts w:hint="eastAsia" w:ascii="宋体" w:hAnsi="宋体" w:cs="宋体"/>
          <w:sz w:val="24"/>
          <w:highlight w:val="none"/>
        </w:rPr>
        <w:t>（根据招标公告落实采购政策需满足的资格要求选择提供相应的材料；未要求的，无需提供）</w:t>
      </w:r>
    </w:p>
    <w:p w14:paraId="7F2FD7DF">
      <w:pPr>
        <w:snapToGrid w:val="0"/>
        <w:spacing w:before="50" w:after="50"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27D92647">
      <w:pPr>
        <w:widowControl/>
        <w:spacing w:line="360" w:lineRule="auto"/>
        <w:ind w:firstLine="480"/>
        <w:jc w:val="left"/>
        <w:rPr>
          <w:rFonts w:hint="eastAsia" w:ascii="宋体" w:hAnsi="宋体" w:cs="宋体"/>
          <w:sz w:val="24"/>
          <w:highlight w:val="none"/>
        </w:rPr>
      </w:pPr>
    </w:p>
    <w:p w14:paraId="348B9D6A">
      <w:pPr>
        <w:widowControl/>
        <w:spacing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5AA9153D">
      <w:pPr>
        <w:snapToGrid w:val="0"/>
        <w:spacing w:before="50" w:after="50" w:line="360" w:lineRule="auto"/>
        <w:jc w:val="center"/>
        <w:rPr>
          <w:rFonts w:hint="eastAsia" w:ascii="宋体" w:hAnsi="宋体" w:cs="宋体"/>
          <w:sz w:val="24"/>
          <w:highlight w:val="none"/>
        </w:rPr>
      </w:pPr>
      <w:r>
        <w:rPr>
          <w:rFonts w:hint="eastAsia" w:ascii="宋体" w:hAnsi="宋体" w:cs="宋体"/>
          <w:b/>
          <w:sz w:val="24"/>
          <w:highlight w:val="none"/>
        </w:rPr>
        <w:t xml:space="preserve">    </w:t>
      </w:r>
    </w:p>
    <w:p w14:paraId="08C91292">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6D2C71AF">
      <w:pPr>
        <w:snapToGrid w:val="0"/>
        <w:spacing w:line="360" w:lineRule="auto"/>
        <w:ind w:right="480"/>
        <w:jc w:val="center"/>
        <w:rPr>
          <w:rFonts w:hint="eastAsia" w:ascii="宋体" w:hAnsi="宋体" w:cs="宋体"/>
          <w:b/>
          <w:kern w:val="0"/>
          <w:sz w:val="32"/>
          <w:szCs w:val="32"/>
          <w:highlight w:val="none"/>
        </w:rPr>
      </w:pPr>
    </w:p>
    <w:p w14:paraId="4E9B60EB">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注：大型企业联合投标或分包需提供对应协议</w:t>
      </w:r>
    </w:p>
    <w:p w14:paraId="1C8BA8DE">
      <w:pPr>
        <w:widowControl/>
        <w:spacing w:line="360" w:lineRule="auto"/>
        <w:ind w:left="150"/>
        <w:jc w:val="center"/>
        <w:rPr>
          <w:rFonts w:hint="eastAsia" w:ascii="宋体" w:hAnsi="宋体" w:cs="宋体"/>
          <w:b/>
          <w:kern w:val="0"/>
          <w:sz w:val="32"/>
          <w:szCs w:val="32"/>
          <w:highlight w:val="none"/>
        </w:rPr>
      </w:pPr>
    </w:p>
    <w:p w14:paraId="43628DB3">
      <w:pPr>
        <w:widowControl/>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14:paraId="38CB1115">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B3D1469">
      <w:pPr>
        <w:rPr>
          <w:rFonts w:hint="eastAsia" w:ascii="宋体" w:hAnsi="宋体" w:cs="宋体"/>
          <w:highlight w:val="none"/>
        </w:rPr>
      </w:pPr>
    </w:p>
    <w:p w14:paraId="23AA97C4">
      <w:pPr>
        <w:spacing w:line="360" w:lineRule="auto"/>
        <w:ind w:right="420" w:firstLine="3614" w:firstLineChars="1000"/>
        <w:rPr>
          <w:rFonts w:hint="eastAsia" w:ascii="宋体" w:hAnsi="宋体" w:cs="宋体"/>
          <w:b/>
          <w:kern w:val="0"/>
          <w:sz w:val="36"/>
          <w:szCs w:val="36"/>
          <w:highlight w:val="none"/>
        </w:rPr>
      </w:pPr>
    </w:p>
    <w:p w14:paraId="28E927DC">
      <w:pPr>
        <w:spacing w:line="360" w:lineRule="auto"/>
        <w:ind w:right="420" w:firstLine="3614" w:firstLineChars="1000"/>
        <w:rPr>
          <w:rFonts w:hint="eastAsia" w:ascii="宋体" w:hAnsi="宋体" w:cs="宋体"/>
          <w:b/>
          <w:kern w:val="0"/>
          <w:sz w:val="36"/>
          <w:szCs w:val="36"/>
          <w:highlight w:val="none"/>
        </w:rPr>
      </w:pPr>
    </w:p>
    <w:p w14:paraId="137B48DD">
      <w:pPr>
        <w:spacing w:line="360" w:lineRule="auto"/>
        <w:ind w:right="420"/>
        <w:jc w:val="center"/>
        <w:rPr>
          <w:rFonts w:hint="eastAsia"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C123A59">
      <w:pPr>
        <w:spacing w:line="360" w:lineRule="auto"/>
        <w:jc w:val="center"/>
        <w:outlineLvl w:val="0"/>
        <w:rPr>
          <w:rFonts w:hint="eastAsia" w:ascii="宋体" w:hAnsi="宋体" w:cs="宋体"/>
          <w:b/>
          <w:kern w:val="0"/>
          <w:sz w:val="24"/>
          <w:highlight w:val="none"/>
        </w:rPr>
      </w:pPr>
    </w:p>
    <w:p w14:paraId="6DC97281">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631A0A7E">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rPr>
        <w:t>投标函………………………………………………………………………（页码）</w:t>
      </w:r>
    </w:p>
    <w:p w14:paraId="2B81721C">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rPr>
        <w:t>授权委托书或法定代表人（单位负责人、自然人本人）身份证明……（页码）</w:t>
      </w:r>
    </w:p>
    <w:p w14:paraId="50AA2144">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rPr>
        <w:t>分包意向协议………………………………………………………………（页码）</w:t>
      </w:r>
    </w:p>
    <w:p w14:paraId="275C0E0D">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rPr>
        <w:t>符合性审查资料……………………………………………………………（页码）</w:t>
      </w:r>
    </w:p>
    <w:p w14:paraId="361A0609">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rPr>
        <w:t>评标标准相应的商务技术资料……………………………………………（页码）</w:t>
      </w:r>
    </w:p>
    <w:p w14:paraId="12DDD16E">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rPr>
        <w:t>投标标的清单………………………………………………………………（页码）</w:t>
      </w:r>
    </w:p>
    <w:p w14:paraId="489C6D22">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rPr>
        <w:t>商务技术偏离表……………………………………………………………（页码）</w:t>
      </w:r>
    </w:p>
    <w:p w14:paraId="0661BB5C">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lang w:val="zh-CN"/>
        </w:rPr>
        <w:t>采购供应商廉洁自律承诺书</w:t>
      </w:r>
      <w:r>
        <w:rPr>
          <w:rFonts w:hint="eastAsia" w:ascii="宋体" w:hAnsi="宋体" w:cs="宋体"/>
          <w:sz w:val="24"/>
          <w:highlight w:val="none"/>
        </w:rPr>
        <w:t>…………………………………………（页码）</w:t>
      </w:r>
    </w:p>
    <w:p w14:paraId="686E7536">
      <w:pPr>
        <w:snapToGrid w:val="0"/>
        <w:spacing w:line="360" w:lineRule="auto"/>
        <w:jc w:val="center"/>
        <w:rPr>
          <w:rFonts w:hint="eastAsia" w:ascii="宋体" w:hAnsi="宋体" w:cs="宋体"/>
          <w:b/>
          <w:kern w:val="0"/>
          <w:sz w:val="32"/>
          <w:szCs w:val="32"/>
          <w:highlight w:val="none"/>
          <w:lang w:val="zh-CN"/>
        </w:rPr>
      </w:pPr>
    </w:p>
    <w:p w14:paraId="785FD412">
      <w:pPr>
        <w:snapToGrid w:val="0"/>
        <w:spacing w:line="360" w:lineRule="auto"/>
        <w:jc w:val="center"/>
        <w:rPr>
          <w:rFonts w:hint="eastAsia" w:ascii="宋体" w:hAnsi="宋体" w:cs="宋体"/>
          <w:b/>
          <w:kern w:val="0"/>
          <w:sz w:val="32"/>
          <w:szCs w:val="32"/>
          <w:highlight w:val="none"/>
          <w:lang w:val="zh-CN"/>
        </w:rPr>
      </w:pPr>
    </w:p>
    <w:p w14:paraId="1C49E76C">
      <w:pPr>
        <w:snapToGrid w:val="0"/>
        <w:spacing w:line="360" w:lineRule="auto"/>
        <w:jc w:val="center"/>
        <w:rPr>
          <w:rFonts w:hint="eastAsia" w:ascii="宋体" w:hAnsi="宋体" w:cs="宋体"/>
          <w:b/>
          <w:kern w:val="0"/>
          <w:sz w:val="32"/>
          <w:szCs w:val="32"/>
          <w:highlight w:val="none"/>
          <w:lang w:val="zh-CN"/>
        </w:rPr>
      </w:pPr>
    </w:p>
    <w:p w14:paraId="68D018F9">
      <w:pPr>
        <w:snapToGrid w:val="0"/>
        <w:spacing w:line="360" w:lineRule="auto"/>
        <w:jc w:val="center"/>
        <w:rPr>
          <w:rFonts w:hint="eastAsia" w:ascii="宋体" w:hAnsi="宋体" w:cs="宋体"/>
          <w:b/>
          <w:kern w:val="0"/>
          <w:sz w:val="32"/>
          <w:szCs w:val="32"/>
          <w:highlight w:val="none"/>
          <w:lang w:val="zh-CN"/>
        </w:rPr>
      </w:pPr>
    </w:p>
    <w:p w14:paraId="25570616">
      <w:pPr>
        <w:snapToGrid w:val="0"/>
        <w:spacing w:line="360" w:lineRule="auto"/>
        <w:jc w:val="center"/>
        <w:rPr>
          <w:rFonts w:hint="eastAsia" w:ascii="宋体" w:hAnsi="宋体" w:cs="宋体"/>
          <w:b/>
          <w:kern w:val="0"/>
          <w:sz w:val="32"/>
          <w:szCs w:val="32"/>
          <w:highlight w:val="none"/>
          <w:lang w:val="zh-CN"/>
        </w:rPr>
      </w:pPr>
    </w:p>
    <w:p w14:paraId="0260D92D">
      <w:pPr>
        <w:snapToGrid w:val="0"/>
        <w:spacing w:line="360" w:lineRule="auto"/>
        <w:jc w:val="center"/>
        <w:rPr>
          <w:rFonts w:hint="eastAsia" w:ascii="宋体" w:hAnsi="宋体" w:cs="宋体"/>
          <w:b/>
          <w:kern w:val="0"/>
          <w:sz w:val="32"/>
          <w:szCs w:val="32"/>
          <w:highlight w:val="none"/>
          <w:lang w:val="zh-CN"/>
        </w:rPr>
      </w:pPr>
    </w:p>
    <w:p w14:paraId="34380E64">
      <w:pPr>
        <w:snapToGrid w:val="0"/>
        <w:spacing w:line="360" w:lineRule="auto"/>
        <w:jc w:val="center"/>
        <w:rPr>
          <w:rFonts w:hint="eastAsia" w:ascii="宋体" w:hAnsi="宋体" w:cs="宋体"/>
          <w:b/>
          <w:kern w:val="0"/>
          <w:sz w:val="32"/>
          <w:szCs w:val="32"/>
          <w:highlight w:val="none"/>
          <w:lang w:val="zh-CN"/>
        </w:rPr>
      </w:pPr>
    </w:p>
    <w:p w14:paraId="43FC4ED9">
      <w:pPr>
        <w:snapToGrid w:val="0"/>
        <w:spacing w:line="360" w:lineRule="auto"/>
        <w:jc w:val="center"/>
        <w:rPr>
          <w:rFonts w:hint="eastAsia" w:ascii="宋体" w:hAnsi="宋体" w:cs="宋体"/>
          <w:b/>
          <w:kern w:val="0"/>
          <w:sz w:val="32"/>
          <w:szCs w:val="32"/>
          <w:highlight w:val="none"/>
          <w:lang w:val="zh-CN"/>
        </w:rPr>
      </w:pPr>
    </w:p>
    <w:p w14:paraId="1A976A72">
      <w:pPr>
        <w:snapToGrid w:val="0"/>
        <w:spacing w:line="360" w:lineRule="auto"/>
        <w:jc w:val="center"/>
        <w:rPr>
          <w:rFonts w:hint="eastAsia" w:ascii="宋体" w:hAnsi="宋体" w:cs="宋体"/>
          <w:b/>
          <w:kern w:val="0"/>
          <w:sz w:val="32"/>
          <w:szCs w:val="32"/>
          <w:highlight w:val="none"/>
          <w:lang w:val="zh-CN"/>
        </w:rPr>
      </w:pPr>
    </w:p>
    <w:p w14:paraId="436459E2">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4861D28C">
      <w:pPr>
        <w:snapToGrid w:val="0"/>
        <w:spacing w:line="360" w:lineRule="auto"/>
        <w:jc w:val="center"/>
        <w:outlineLvl w:val="0"/>
        <w:rPr>
          <w:rFonts w:hint="eastAsia"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5785BF54">
      <w:pPr>
        <w:snapToGrid w:val="0"/>
        <w:spacing w:line="360" w:lineRule="auto"/>
        <w:rPr>
          <w:rFonts w:hint="eastAsia" w:ascii="宋体" w:hAnsi="宋体" w:cs="宋体"/>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sz w:val="24"/>
          <w:highlight w:val="none"/>
        </w:rPr>
        <w:t>：</w:t>
      </w:r>
    </w:p>
    <w:p w14:paraId="604EF8E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杭州高级中学临平学校校园网络建设二期项目</w:t>
      </w:r>
      <w:r>
        <w:rPr>
          <w:rFonts w:hint="eastAsia" w:ascii="宋体" w:hAnsi="宋体" w:cs="宋体"/>
          <w:sz w:val="24"/>
          <w:highlight w:val="none"/>
        </w:rPr>
        <w:t>【项目编号：</w:t>
      </w:r>
      <w:r>
        <w:rPr>
          <w:rFonts w:hint="eastAsia" w:ascii="宋体" w:hAnsi="宋体" w:cs="宋体"/>
          <w:sz w:val="24"/>
          <w:highlight w:val="none"/>
          <w:lang w:eastAsia="zh-CN"/>
        </w:rPr>
        <w:t>ZJOB-HGLP-2025006</w:t>
      </w:r>
      <w:r>
        <w:rPr>
          <w:rFonts w:hint="eastAsia" w:ascii="宋体" w:hAnsi="宋体" w:cs="宋体"/>
          <w:sz w:val="24"/>
          <w:highlight w:val="none"/>
        </w:rPr>
        <w:t>】招标的有关活动，并对此项目进行投标。为此：</w:t>
      </w:r>
    </w:p>
    <w:p w14:paraId="25BD955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5883F4D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2、我方的投标文件包括以下内容：</w:t>
      </w:r>
    </w:p>
    <w:p w14:paraId="1D4B0331">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14:paraId="066010C1">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14:paraId="1FE418B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12" w:name="_Hlk101257010"/>
      <w:r>
        <w:rPr>
          <w:rFonts w:hint="eastAsia" w:ascii="宋体" w:hAnsi="宋体" w:cs="宋体"/>
          <w:snapToGrid w:val="0"/>
          <w:kern w:val="28"/>
          <w:sz w:val="24"/>
          <w:szCs w:val="20"/>
          <w:highlight w:val="none"/>
        </w:rPr>
        <w:t>（如果有)</w:t>
      </w:r>
      <w:bookmarkEnd w:id="512"/>
    </w:p>
    <w:p w14:paraId="7D3E3017">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落实采购政策需满足的资格要求（如果有）；</w:t>
      </w:r>
    </w:p>
    <w:p w14:paraId="32FC583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57CC9E01">
      <w:pPr>
        <w:snapToGrid w:val="0"/>
        <w:spacing w:line="360" w:lineRule="auto"/>
        <w:ind w:left="210" w:leftChars="1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49A0192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E177BB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14:paraId="3E11441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4351653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ADEE3A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30BAA04F">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33D4408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34472D59">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采购供应商廉洁自律承诺书；</w:t>
      </w:r>
    </w:p>
    <w:p w14:paraId="26D34C16">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52F4001C">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14:paraId="61722B8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2.3.2报价情况说明（如果有）（如供应商报价低于项目预算50%的，应当提交本文档，详细阐述不影响产品质量或者诚信履约的具体原因）；</w:t>
      </w:r>
    </w:p>
    <w:p w14:paraId="50348C96">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2.3.3中小企业声明函（如果有）。</w:t>
      </w:r>
    </w:p>
    <w:p w14:paraId="4D8745D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7576224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4、如我方中标，我方承诺：</w:t>
      </w:r>
    </w:p>
    <w:p w14:paraId="7A8BEA4A">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96CE834">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448068B8">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4.3按照招标文件要求提交履约保证金； </w:t>
      </w:r>
    </w:p>
    <w:p w14:paraId="65BDC0BF">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9562323">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374883D5">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14:paraId="06DC4C81">
      <w:pPr>
        <w:spacing w:line="360" w:lineRule="auto"/>
        <w:jc w:val="center"/>
        <w:rPr>
          <w:rFonts w:hint="eastAsia" w:ascii="宋体" w:hAnsi="宋体" w:cs="宋体"/>
          <w:kern w:val="0"/>
          <w:sz w:val="24"/>
          <w:highlight w:val="none"/>
          <w:u w:val="single"/>
        </w:rPr>
      </w:pPr>
      <w:r>
        <w:rPr>
          <w:rFonts w:hint="eastAsia" w:ascii="宋体" w:hAnsi="宋体" w:cs="宋体"/>
          <w:sz w:val="24"/>
          <w:highlight w:val="none"/>
        </w:rPr>
        <w:t xml:space="preserve">     日期：  年   月   日</w:t>
      </w:r>
    </w:p>
    <w:p w14:paraId="247B8E65">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202D3B18">
      <w:pPr>
        <w:rPr>
          <w:rFonts w:hint="eastAsia" w:ascii="宋体" w:hAnsi="宋体" w:cs="宋体"/>
          <w:sz w:val="24"/>
          <w:highlight w:val="none"/>
        </w:rPr>
      </w:pPr>
      <w:r>
        <w:rPr>
          <w:rFonts w:hint="eastAsia" w:ascii="宋体" w:hAnsi="宋体" w:cs="宋体"/>
          <w:sz w:val="24"/>
          <w:highlight w:val="none"/>
        </w:rPr>
        <w:br w:type="page"/>
      </w:r>
    </w:p>
    <w:p w14:paraId="1136EFDE">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二、</w:t>
      </w:r>
      <w:r>
        <w:rPr>
          <w:rFonts w:hint="eastAsia" w:ascii="宋体" w:hAnsi="宋体" w:cs="宋体"/>
          <w:b/>
          <w:kern w:val="0"/>
          <w:sz w:val="28"/>
          <w:szCs w:val="28"/>
          <w:highlight w:val="none"/>
          <w:lang w:val="zh-CN"/>
        </w:rPr>
        <w:t>授权委托书或法定代表人（单位负责人、自然人本人）身份证明</w:t>
      </w:r>
    </w:p>
    <w:p w14:paraId="237E1D71">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6DE65A7F">
      <w:pPr>
        <w:snapToGrid w:val="0"/>
        <w:spacing w:line="360" w:lineRule="auto"/>
        <w:ind w:firstLine="2528" w:firstLineChars="787"/>
        <w:rPr>
          <w:rFonts w:hint="eastAsia"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303E5B84">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kern w:val="0"/>
          <w:sz w:val="24"/>
          <w:highlight w:val="none"/>
          <w:lang w:val="zh-CN"/>
        </w:rPr>
        <w:t>：</w:t>
      </w:r>
    </w:p>
    <w:p w14:paraId="13CE4524">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，所在单位：</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杭州高级中学临平学校校园网络建设二期项目</w:t>
      </w:r>
      <w:r>
        <w:rPr>
          <w:rFonts w:hint="eastAsia" w:ascii="宋体" w:hAnsi="宋体" w:cs="宋体"/>
          <w:sz w:val="24"/>
          <w:highlight w:val="none"/>
        </w:rPr>
        <w:t>【项目编号：</w:t>
      </w:r>
      <w:r>
        <w:rPr>
          <w:rFonts w:hint="eastAsia" w:ascii="宋体" w:hAnsi="宋体" w:cs="宋体"/>
          <w:sz w:val="24"/>
          <w:highlight w:val="none"/>
          <w:lang w:eastAsia="zh-CN"/>
        </w:rPr>
        <w:t>ZJOB-HGLP-2025006</w:t>
      </w:r>
      <w:r>
        <w:rPr>
          <w:rFonts w:hint="eastAsia" w:ascii="宋体" w:hAnsi="宋体" w:cs="宋体"/>
          <w:sz w:val="24"/>
          <w:highlight w:val="none"/>
        </w:rPr>
        <w:t>】</w:t>
      </w:r>
      <w:r>
        <w:rPr>
          <w:rFonts w:hint="eastAsia" w:ascii="宋体" w:hAnsi="宋体" w:cs="宋体"/>
          <w:kern w:val="0"/>
          <w:sz w:val="24"/>
          <w:highlight w:val="none"/>
          <w:lang w:val="zh-CN"/>
        </w:rPr>
        <w:t>采购投标的一切事项，其法律后果由我方承担。</w:t>
      </w:r>
    </w:p>
    <w:p w14:paraId="3089C2E1">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1BA3EDF">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58E0DC1">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19C7A9C">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6E3364D">
      <w:pPr>
        <w:snapToGrid w:val="0"/>
        <w:spacing w:line="360" w:lineRule="auto"/>
        <w:rPr>
          <w:rFonts w:hint="eastAsia" w:ascii="宋体" w:hAnsi="宋体" w:cs="宋体"/>
          <w:sz w:val="24"/>
          <w:highlight w:val="none"/>
        </w:rPr>
      </w:pPr>
    </w:p>
    <w:p w14:paraId="26C0D1EA">
      <w:pPr>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25F0D18">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kern w:val="0"/>
          <w:sz w:val="24"/>
          <w:highlight w:val="none"/>
          <w:lang w:val="zh-CN"/>
        </w:rPr>
        <w:t>：</w:t>
      </w:r>
    </w:p>
    <w:p w14:paraId="150833E5">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，所在单位：</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杭州高级中学临平学校校园网络建设二期项目</w:t>
      </w:r>
      <w:r>
        <w:rPr>
          <w:rFonts w:hint="eastAsia" w:ascii="宋体" w:hAnsi="宋体" w:cs="宋体"/>
          <w:sz w:val="24"/>
          <w:highlight w:val="none"/>
        </w:rPr>
        <w:t>【项目编号：</w:t>
      </w:r>
      <w:r>
        <w:rPr>
          <w:rFonts w:hint="eastAsia" w:ascii="宋体" w:hAnsi="宋体" w:cs="宋体"/>
          <w:sz w:val="24"/>
          <w:highlight w:val="none"/>
          <w:lang w:eastAsia="zh-CN"/>
        </w:rPr>
        <w:t>ZJOB-HGLP-2025006</w:t>
      </w:r>
      <w:r>
        <w:rPr>
          <w:rFonts w:hint="eastAsia" w:ascii="宋体" w:hAnsi="宋体" w:cs="宋体"/>
          <w:sz w:val="24"/>
          <w:highlight w:val="none"/>
        </w:rPr>
        <w:t>】</w:t>
      </w:r>
      <w:r>
        <w:rPr>
          <w:rFonts w:hint="eastAsia" w:ascii="宋体" w:hAnsi="宋体" w:cs="宋体"/>
          <w:kern w:val="0"/>
          <w:sz w:val="24"/>
          <w:highlight w:val="none"/>
          <w:lang w:val="zh-CN"/>
        </w:rPr>
        <w:t>采购投标的一切事项，其法律后果由我方承担。</w:t>
      </w:r>
    </w:p>
    <w:p w14:paraId="654C99B2">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0C97AEC">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3E72471">
      <w:pPr>
        <w:jc w:val="center"/>
        <w:rPr>
          <w:rFonts w:hint="eastAsia" w:ascii="宋体" w:hAnsi="宋体" w:cs="宋体"/>
          <w:b/>
          <w:kern w:val="0"/>
          <w:sz w:val="32"/>
          <w:szCs w:val="32"/>
          <w:highlight w:val="none"/>
        </w:rPr>
      </w:pPr>
    </w:p>
    <w:p w14:paraId="605B86DB">
      <w:pPr>
        <w:rPr>
          <w:rFonts w:hint="eastAsia" w:ascii="宋体" w:hAnsi="宋体" w:cs="宋体"/>
          <w:highlight w:val="none"/>
        </w:rPr>
      </w:pPr>
    </w:p>
    <w:p w14:paraId="2BCB125C">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13D156C">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77AAEAE">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1C9E760C">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CC8D89D">
      <w:pPr>
        <w:snapToGrid w:val="0"/>
        <w:spacing w:line="360" w:lineRule="auto"/>
        <w:rPr>
          <w:rFonts w:hint="eastAsia" w:ascii="宋体" w:hAnsi="宋体" w:cs="宋体"/>
          <w:b/>
          <w:kern w:val="0"/>
          <w:sz w:val="32"/>
          <w:szCs w:val="32"/>
          <w:highlight w:val="none"/>
          <w:lang w:val="zh-CN"/>
        </w:rPr>
      </w:pPr>
      <w:r>
        <w:rPr>
          <w:rFonts w:hint="eastAsia" w:ascii="宋体" w:hAnsi="宋体" w:cs="宋体"/>
          <w:kern w:val="0"/>
          <w:sz w:val="24"/>
          <w:highlight w:val="none"/>
          <w:lang w:val="zh-CN"/>
        </w:rPr>
        <w:t>注：▲</w:t>
      </w:r>
      <w:r>
        <w:rPr>
          <w:rFonts w:hint="eastAsia" w:ascii="宋体" w:hAnsi="宋体" w:cs="宋体"/>
          <w:kern w:val="0"/>
          <w:sz w:val="24"/>
          <w:highlight w:val="none"/>
        </w:rPr>
        <w:t>投标人</w:t>
      </w:r>
      <w:r>
        <w:rPr>
          <w:rFonts w:hint="eastAsia" w:ascii="宋体" w:hAnsi="宋体" w:cs="宋体"/>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1E094FD1">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4D808FB">
      <w:pPr>
        <w:autoSpaceDE w:val="0"/>
        <w:autoSpaceDN w:val="0"/>
        <w:spacing w:line="360" w:lineRule="auto"/>
        <w:jc w:val="center"/>
        <w:rPr>
          <w:rFonts w:hint="eastAsia"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D446714">
      <w:pPr>
        <w:pStyle w:val="35"/>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53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982AEF">
            <w:pPr>
              <w:pStyle w:val="35"/>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50370D19">
            <w:pPr>
              <w:pStyle w:val="35"/>
              <w:adjustRightInd w:val="0"/>
              <w:spacing w:line="360" w:lineRule="auto"/>
              <w:rPr>
                <w:rFonts w:hint="eastAsia" w:hAnsi="宋体" w:cs="宋体"/>
                <w:bCs/>
                <w:sz w:val="24"/>
                <w:highlight w:val="none"/>
              </w:rPr>
            </w:pPr>
          </w:p>
        </w:tc>
      </w:tr>
    </w:tbl>
    <w:p w14:paraId="2F46FE3E">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67E29B10">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2486E720">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C917656">
      <w:pPr>
        <w:jc w:val="center"/>
        <w:rPr>
          <w:rFonts w:hint="eastAsia" w:ascii="宋体" w:hAnsi="宋体" w:cs="宋体"/>
          <w:b/>
          <w:kern w:val="0"/>
          <w:sz w:val="32"/>
          <w:szCs w:val="32"/>
          <w:highlight w:val="none"/>
        </w:rPr>
      </w:pPr>
    </w:p>
    <w:p w14:paraId="4BD795A5">
      <w:pPr>
        <w:jc w:val="center"/>
        <w:rPr>
          <w:rFonts w:hint="eastAsia" w:ascii="宋体" w:hAnsi="宋体" w:cs="宋体"/>
          <w:b/>
          <w:kern w:val="0"/>
          <w:sz w:val="32"/>
          <w:szCs w:val="32"/>
          <w:highlight w:val="none"/>
        </w:rPr>
      </w:pPr>
    </w:p>
    <w:p w14:paraId="15DB6C8D">
      <w:pPr>
        <w:jc w:val="center"/>
        <w:rPr>
          <w:rFonts w:hint="eastAsia" w:ascii="宋体" w:hAnsi="宋体" w:cs="宋体"/>
          <w:b/>
          <w:kern w:val="0"/>
          <w:sz w:val="32"/>
          <w:szCs w:val="32"/>
          <w:highlight w:val="none"/>
        </w:rPr>
      </w:pPr>
    </w:p>
    <w:p w14:paraId="5302E820">
      <w:pPr>
        <w:jc w:val="center"/>
        <w:rPr>
          <w:rFonts w:hint="eastAsia" w:ascii="宋体" w:hAnsi="宋体" w:cs="宋体"/>
          <w:b/>
          <w:kern w:val="0"/>
          <w:sz w:val="32"/>
          <w:szCs w:val="32"/>
          <w:highlight w:val="none"/>
        </w:rPr>
      </w:pPr>
    </w:p>
    <w:p w14:paraId="35B24EAC">
      <w:pPr>
        <w:jc w:val="center"/>
        <w:rPr>
          <w:rFonts w:hint="eastAsia" w:ascii="宋体" w:hAnsi="宋体" w:cs="宋体"/>
          <w:b/>
          <w:kern w:val="0"/>
          <w:sz w:val="32"/>
          <w:szCs w:val="32"/>
          <w:highlight w:val="none"/>
        </w:rPr>
      </w:pPr>
    </w:p>
    <w:p w14:paraId="284C350F">
      <w:pPr>
        <w:jc w:val="center"/>
        <w:rPr>
          <w:rFonts w:hint="eastAsia" w:ascii="宋体" w:hAnsi="宋体" w:cs="宋体"/>
          <w:b/>
          <w:kern w:val="0"/>
          <w:sz w:val="32"/>
          <w:szCs w:val="32"/>
          <w:highlight w:val="none"/>
        </w:rPr>
      </w:pPr>
    </w:p>
    <w:p w14:paraId="727381BF">
      <w:pPr>
        <w:jc w:val="center"/>
        <w:rPr>
          <w:rFonts w:hint="eastAsia" w:ascii="宋体" w:hAnsi="宋体" w:cs="宋体"/>
          <w:b/>
          <w:kern w:val="0"/>
          <w:sz w:val="32"/>
          <w:szCs w:val="32"/>
          <w:highlight w:val="none"/>
        </w:rPr>
      </w:pPr>
    </w:p>
    <w:p w14:paraId="67BCB5F2">
      <w:pPr>
        <w:jc w:val="center"/>
        <w:rPr>
          <w:rFonts w:hint="eastAsia" w:ascii="宋体" w:hAnsi="宋体" w:cs="宋体"/>
          <w:b/>
          <w:kern w:val="0"/>
          <w:sz w:val="32"/>
          <w:szCs w:val="32"/>
          <w:highlight w:val="none"/>
        </w:rPr>
      </w:pPr>
    </w:p>
    <w:p w14:paraId="10919932">
      <w:pPr>
        <w:jc w:val="center"/>
        <w:rPr>
          <w:rFonts w:hint="eastAsia" w:ascii="宋体" w:hAnsi="宋体" w:cs="宋体"/>
          <w:b/>
          <w:kern w:val="0"/>
          <w:sz w:val="32"/>
          <w:szCs w:val="32"/>
          <w:highlight w:val="none"/>
        </w:rPr>
      </w:pPr>
    </w:p>
    <w:p w14:paraId="38693A52">
      <w:pPr>
        <w:jc w:val="center"/>
        <w:rPr>
          <w:rFonts w:hint="eastAsia" w:ascii="宋体" w:hAnsi="宋体" w:cs="宋体"/>
          <w:b/>
          <w:kern w:val="0"/>
          <w:sz w:val="32"/>
          <w:szCs w:val="32"/>
          <w:highlight w:val="none"/>
        </w:rPr>
      </w:pPr>
    </w:p>
    <w:p w14:paraId="24147F59">
      <w:pPr>
        <w:snapToGrid w:val="0"/>
        <w:spacing w:line="360" w:lineRule="auto"/>
        <w:ind w:right="480"/>
        <w:rPr>
          <w:rFonts w:hint="eastAsia"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7E80FCF">
      <w:pPr>
        <w:snapToGrid w:val="0"/>
        <w:spacing w:line="360" w:lineRule="auto"/>
        <w:ind w:firstLine="3534" w:firstLineChars="1100"/>
        <w:rPr>
          <w:rFonts w:hint="eastAsia"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07972210">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273DD9CE">
      <w:pPr>
        <w:snapToGrid w:val="0"/>
        <w:spacing w:line="360" w:lineRule="auto"/>
        <w:rPr>
          <w:rFonts w:hint="eastAsia" w:ascii="宋体" w:hAnsi="宋体" w:cs="宋体"/>
          <w:kern w:val="0"/>
          <w:sz w:val="24"/>
          <w:highlight w:val="none"/>
        </w:rPr>
      </w:pPr>
    </w:p>
    <w:p w14:paraId="7A6F528C">
      <w:pPr>
        <w:jc w:val="center"/>
        <w:rPr>
          <w:rFonts w:hint="eastAsia" w:ascii="宋体" w:hAnsi="宋体" w:cs="宋体"/>
          <w:b/>
          <w:kern w:val="0"/>
          <w:sz w:val="32"/>
          <w:szCs w:val="32"/>
          <w:highlight w:val="none"/>
        </w:rPr>
      </w:pPr>
    </w:p>
    <w:p w14:paraId="525E5CBC">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34B71AC">
      <w:pPr>
        <w:jc w:val="center"/>
        <w:rPr>
          <w:rFonts w:hint="eastAsia" w:ascii="宋体" w:hAnsi="宋体" w:cs="宋体"/>
          <w:b/>
          <w:kern w:val="0"/>
          <w:sz w:val="32"/>
          <w:szCs w:val="32"/>
          <w:highlight w:val="none"/>
        </w:rPr>
      </w:pPr>
    </w:p>
    <w:tbl>
      <w:tblPr>
        <w:tblStyle w:val="17"/>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4075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39184FBC">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4991" w:type="dxa"/>
            <w:vAlign w:val="center"/>
          </w:tcPr>
          <w:p w14:paraId="73F42435">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0744DE7">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FDDA69D">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投标文件中的</w:t>
            </w:r>
          </w:p>
          <w:p w14:paraId="05A26AA6">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页码位置</w:t>
            </w:r>
          </w:p>
        </w:tc>
      </w:tr>
      <w:tr w14:paraId="27E4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3E8F406">
            <w:pPr>
              <w:jc w:val="center"/>
              <w:rPr>
                <w:rFonts w:hint="eastAsia" w:ascii="宋体" w:hAnsi="宋体" w:cs="宋体"/>
                <w:sz w:val="24"/>
                <w:highlight w:val="none"/>
              </w:rPr>
            </w:pPr>
            <w:r>
              <w:rPr>
                <w:rFonts w:hint="eastAsia" w:ascii="宋体" w:hAnsi="宋体" w:cs="宋体"/>
                <w:sz w:val="24"/>
                <w:highlight w:val="none"/>
              </w:rPr>
              <w:t>1</w:t>
            </w:r>
          </w:p>
        </w:tc>
        <w:tc>
          <w:tcPr>
            <w:tcW w:w="4991" w:type="dxa"/>
            <w:vAlign w:val="center"/>
          </w:tcPr>
          <w:p w14:paraId="2B9501BC">
            <w:pPr>
              <w:spacing w:line="360" w:lineRule="auto"/>
              <w:jc w:val="left"/>
              <w:rPr>
                <w:rFonts w:hint="eastAsia"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36FF126">
            <w:pPr>
              <w:rPr>
                <w:rFonts w:hint="eastAsia"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FED3B5E">
            <w:pPr>
              <w:rPr>
                <w:rFonts w:hint="eastAsia" w:ascii="宋体" w:hAnsi="宋体" w:cs="宋体"/>
                <w:sz w:val="24"/>
                <w:highlight w:val="none"/>
              </w:rPr>
            </w:pPr>
          </w:p>
          <w:p w14:paraId="5151C1C4">
            <w:pPr>
              <w:rPr>
                <w:rFonts w:hint="eastAsia" w:ascii="宋体" w:hAnsi="宋体" w:cs="宋体"/>
                <w:sz w:val="24"/>
                <w:highlight w:val="none"/>
              </w:rPr>
            </w:pPr>
            <w:r>
              <w:rPr>
                <w:rFonts w:hint="eastAsia" w:ascii="宋体" w:hAnsi="宋体" w:cs="宋体"/>
                <w:sz w:val="24"/>
                <w:highlight w:val="none"/>
              </w:rPr>
              <w:t>见投标文件</w:t>
            </w:r>
          </w:p>
          <w:p w14:paraId="499F8A7A">
            <w:pPr>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9F9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F2AAB5E">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4991" w:type="dxa"/>
            <w:vAlign w:val="center"/>
          </w:tcPr>
          <w:p w14:paraId="28C18586">
            <w:pPr>
              <w:spacing w:line="360" w:lineRule="auto"/>
              <w:jc w:val="left"/>
              <w:rPr>
                <w:rFonts w:hint="eastAsia"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07D3ACA4">
            <w:pPr>
              <w:rPr>
                <w:rFonts w:hint="eastAsia" w:ascii="宋体" w:hAnsi="宋体" w:cs="宋体"/>
                <w:sz w:val="24"/>
                <w:highlight w:val="none"/>
              </w:rPr>
            </w:pPr>
            <w:r>
              <w:rPr>
                <w:rFonts w:hint="eastAsia" w:ascii="宋体" w:hAnsi="宋体" w:cs="宋体"/>
                <w:sz w:val="24"/>
                <w:highlight w:val="none"/>
              </w:rPr>
              <w:t>投标函</w:t>
            </w:r>
          </w:p>
        </w:tc>
        <w:tc>
          <w:tcPr>
            <w:tcW w:w="1418" w:type="dxa"/>
          </w:tcPr>
          <w:p w14:paraId="09004F59">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E3D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82EA307">
            <w:pPr>
              <w:jc w:val="center"/>
              <w:rPr>
                <w:rFonts w:hint="eastAsia" w:ascii="宋体" w:hAnsi="宋体" w:cs="宋体"/>
                <w:sz w:val="24"/>
                <w:highlight w:val="none"/>
              </w:rPr>
            </w:pPr>
            <w:r>
              <w:rPr>
                <w:rFonts w:hint="eastAsia" w:ascii="宋体" w:hAnsi="宋体" w:cs="宋体"/>
                <w:sz w:val="24"/>
                <w:highlight w:val="none"/>
              </w:rPr>
              <w:t>3</w:t>
            </w:r>
          </w:p>
        </w:tc>
        <w:tc>
          <w:tcPr>
            <w:tcW w:w="4991" w:type="dxa"/>
            <w:vAlign w:val="center"/>
          </w:tcPr>
          <w:p w14:paraId="37614F6E">
            <w:pPr>
              <w:spacing w:line="360" w:lineRule="auto"/>
              <w:jc w:val="left"/>
              <w:rPr>
                <w:rFonts w:hint="eastAsia"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72DB7DF2">
            <w:pPr>
              <w:rPr>
                <w:rFonts w:hint="eastAsia"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5B95430">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2AA93496">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263E4139">
      <w:pPr>
        <w:jc w:val="center"/>
        <w:rPr>
          <w:rFonts w:hint="eastAsia" w:ascii="宋体" w:hAnsi="宋体" w:cs="宋体"/>
          <w:b/>
          <w:kern w:val="0"/>
          <w:sz w:val="32"/>
          <w:szCs w:val="32"/>
          <w:highlight w:val="none"/>
        </w:rPr>
      </w:pPr>
    </w:p>
    <w:p w14:paraId="5821AA58">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4DB9C6F9">
      <w:pPr>
        <w:jc w:val="center"/>
        <w:rPr>
          <w:rFonts w:hint="eastAsia" w:ascii="宋体" w:hAnsi="宋体" w:cs="宋体"/>
          <w:b/>
          <w:kern w:val="0"/>
          <w:sz w:val="32"/>
          <w:szCs w:val="32"/>
          <w:highlight w:val="none"/>
        </w:rPr>
      </w:pPr>
    </w:p>
    <w:p w14:paraId="7019A71C">
      <w:pPr>
        <w:jc w:val="center"/>
        <w:rPr>
          <w:rFonts w:hint="eastAsia" w:ascii="宋体" w:hAnsi="宋体" w:cs="宋体"/>
          <w:b/>
          <w:kern w:val="0"/>
          <w:sz w:val="32"/>
          <w:szCs w:val="32"/>
          <w:highlight w:val="none"/>
        </w:rPr>
      </w:pPr>
    </w:p>
    <w:p w14:paraId="621648A1">
      <w:pPr>
        <w:jc w:val="center"/>
        <w:rPr>
          <w:rFonts w:hint="eastAsia" w:ascii="宋体" w:hAnsi="宋体" w:cs="宋体"/>
          <w:b/>
          <w:kern w:val="0"/>
          <w:sz w:val="32"/>
          <w:szCs w:val="32"/>
          <w:highlight w:val="none"/>
        </w:rPr>
      </w:pPr>
    </w:p>
    <w:p w14:paraId="6159FF85">
      <w:pPr>
        <w:jc w:val="center"/>
        <w:rPr>
          <w:rFonts w:hint="eastAsia" w:ascii="宋体" w:hAnsi="宋体" w:cs="宋体"/>
          <w:b/>
          <w:kern w:val="0"/>
          <w:sz w:val="32"/>
          <w:szCs w:val="32"/>
          <w:highlight w:val="none"/>
        </w:rPr>
      </w:pPr>
    </w:p>
    <w:p w14:paraId="2E83CBA0">
      <w:pPr>
        <w:pStyle w:val="4"/>
        <w:rPr>
          <w:rFonts w:hint="eastAsia"/>
          <w:highlight w:val="none"/>
          <w:lang w:val="en-US"/>
        </w:rPr>
      </w:pPr>
    </w:p>
    <w:p w14:paraId="0FEF2D5B">
      <w:pPr>
        <w:jc w:val="center"/>
        <w:rPr>
          <w:rFonts w:hint="eastAsia" w:ascii="宋体" w:hAnsi="宋体" w:cs="宋体"/>
          <w:b/>
          <w:kern w:val="0"/>
          <w:sz w:val="32"/>
          <w:szCs w:val="32"/>
          <w:highlight w:val="none"/>
        </w:rPr>
      </w:pPr>
    </w:p>
    <w:p w14:paraId="1E2795A8">
      <w:pPr>
        <w:jc w:val="center"/>
        <w:rPr>
          <w:rFonts w:hint="eastAsia" w:ascii="宋体" w:hAnsi="宋体" w:cs="宋体"/>
          <w:b/>
          <w:kern w:val="0"/>
          <w:sz w:val="32"/>
          <w:szCs w:val="32"/>
          <w:highlight w:val="none"/>
        </w:rPr>
      </w:pPr>
    </w:p>
    <w:p w14:paraId="3D90437E">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C739B4A">
      <w:pPr>
        <w:spacing w:line="360" w:lineRule="auto"/>
        <w:jc w:val="center"/>
        <w:rPr>
          <w:rFonts w:hint="eastAsia" w:ascii="宋体" w:hAnsi="宋体" w:cs="宋体"/>
          <w:highlight w:val="none"/>
        </w:rPr>
      </w:pPr>
      <w:r>
        <w:rPr>
          <w:rFonts w:hint="eastAsia" w:ascii="宋体" w:hAnsi="宋体" w:cs="宋体"/>
          <w:b/>
          <w:kern w:val="0"/>
          <w:sz w:val="32"/>
          <w:szCs w:val="32"/>
          <w:highlight w:val="none"/>
        </w:rPr>
        <w:t>五、评标标准相应的商务技术资料</w:t>
      </w:r>
    </w:p>
    <w:p w14:paraId="7E9E5DFC">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75AC7270">
      <w:pPr>
        <w:jc w:val="left"/>
        <w:rPr>
          <w:rFonts w:hint="eastAsia" w:ascii="宋体" w:hAnsi="宋体" w:cs="仿宋_GB2312"/>
          <w:b/>
          <w:sz w:val="32"/>
          <w:szCs w:val="32"/>
          <w:highlight w:val="none"/>
        </w:rPr>
      </w:pPr>
    </w:p>
    <w:p w14:paraId="6ACEDA9D">
      <w:pPr>
        <w:jc w:val="left"/>
        <w:rPr>
          <w:rFonts w:hint="eastAsia" w:ascii="宋体" w:hAnsi="宋体" w:cs="仿宋_GB2312"/>
          <w:b/>
          <w:sz w:val="28"/>
          <w:szCs w:val="28"/>
          <w:highlight w:val="none"/>
        </w:rPr>
      </w:pPr>
      <w:r>
        <w:rPr>
          <w:rFonts w:hint="eastAsia" w:ascii="宋体" w:hAnsi="宋体" w:cs="仿宋_GB2312"/>
          <w:b/>
          <w:sz w:val="28"/>
          <w:szCs w:val="28"/>
          <w:highlight w:val="none"/>
        </w:rPr>
        <w:t>参考格式1</w:t>
      </w:r>
    </w:p>
    <w:p w14:paraId="6EC208CA">
      <w:pPr>
        <w:rPr>
          <w:rFonts w:hint="eastAsia" w:ascii="宋体" w:hAnsi="宋体"/>
          <w:sz w:val="24"/>
          <w:szCs w:val="22"/>
          <w:highlight w:val="none"/>
        </w:rPr>
      </w:pPr>
      <w:r>
        <w:rPr>
          <w:rFonts w:hint="eastAsia" w:ascii="宋体" w:hAnsi="宋体"/>
          <w:sz w:val="24"/>
          <w:szCs w:val="22"/>
          <w:highlight w:val="none"/>
        </w:rPr>
        <w:t>投标人简况表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5073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5D63D80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单位名称</w:t>
            </w:r>
          </w:p>
        </w:tc>
        <w:tc>
          <w:tcPr>
            <w:tcW w:w="5143" w:type="dxa"/>
            <w:gridSpan w:val="4"/>
            <w:vAlign w:val="center"/>
          </w:tcPr>
          <w:p w14:paraId="12978478">
            <w:pPr>
              <w:autoSpaceDE w:val="0"/>
              <w:snapToGrid w:val="0"/>
              <w:spacing w:line="360" w:lineRule="auto"/>
              <w:jc w:val="center"/>
              <w:rPr>
                <w:rFonts w:hint="eastAsia" w:ascii="宋体" w:hAnsi="宋体" w:cs="宋体"/>
                <w:sz w:val="24"/>
                <w:highlight w:val="none"/>
                <w:lang w:val="zh-CN"/>
              </w:rPr>
            </w:pPr>
          </w:p>
        </w:tc>
        <w:tc>
          <w:tcPr>
            <w:tcW w:w="1418" w:type="dxa"/>
            <w:vAlign w:val="center"/>
          </w:tcPr>
          <w:p w14:paraId="2258F8CD">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成立时间</w:t>
            </w:r>
          </w:p>
        </w:tc>
        <w:tc>
          <w:tcPr>
            <w:tcW w:w="1515" w:type="dxa"/>
            <w:vAlign w:val="center"/>
          </w:tcPr>
          <w:p w14:paraId="749BB7C5">
            <w:pPr>
              <w:autoSpaceDE w:val="0"/>
              <w:snapToGrid w:val="0"/>
              <w:spacing w:line="360" w:lineRule="auto"/>
              <w:jc w:val="center"/>
              <w:rPr>
                <w:rFonts w:hint="eastAsia" w:ascii="宋体" w:hAnsi="宋体" w:cs="宋体"/>
                <w:sz w:val="24"/>
                <w:highlight w:val="none"/>
                <w:lang w:val="zh-CN"/>
              </w:rPr>
            </w:pPr>
          </w:p>
        </w:tc>
      </w:tr>
      <w:tr w14:paraId="1ACE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22D27BDE">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资质等级</w:t>
            </w:r>
          </w:p>
        </w:tc>
        <w:tc>
          <w:tcPr>
            <w:tcW w:w="1600" w:type="dxa"/>
            <w:vAlign w:val="center"/>
          </w:tcPr>
          <w:p w14:paraId="4B0E88BD">
            <w:pPr>
              <w:autoSpaceDE w:val="0"/>
              <w:snapToGrid w:val="0"/>
              <w:spacing w:line="360" w:lineRule="auto"/>
              <w:jc w:val="center"/>
              <w:rPr>
                <w:rFonts w:hint="eastAsia" w:ascii="宋体" w:hAnsi="宋体" w:cs="宋体"/>
                <w:sz w:val="24"/>
                <w:highlight w:val="none"/>
                <w:lang w:val="zh-CN"/>
              </w:rPr>
            </w:pPr>
          </w:p>
        </w:tc>
        <w:tc>
          <w:tcPr>
            <w:tcW w:w="1134" w:type="dxa"/>
            <w:vAlign w:val="center"/>
          </w:tcPr>
          <w:p w14:paraId="40CCB16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经营方式</w:t>
            </w:r>
          </w:p>
        </w:tc>
        <w:tc>
          <w:tcPr>
            <w:tcW w:w="2409" w:type="dxa"/>
            <w:gridSpan w:val="2"/>
            <w:vAlign w:val="center"/>
          </w:tcPr>
          <w:p w14:paraId="33A695B5">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□有限责任公司</w:t>
            </w:r>
          </w:p>
          <w:p w14:paraId="459B75B3">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□个人独立经营方式</w:t>
            </w:r>
          </w:p>
          <w:p w14:paraId="034ACB74">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□合伙经营方式</w:t>
            </w:r>
          </w:p>
          <w:p w14:paraId="2AB8E024">
            <w:pPr>
              <w:autoSpaceDE w:val="0"/>
              <w:snapToGrid w:val="0"/>
              <w:jc w:val="left"/>
              <w:rPr>
                <w:rFonts w:hint="eastAsia" w:ascii="宋体" w:hAnsi="宋体"/>
                <w:highlight w:val="none"/>
                <w:lang w:val="zh-CN"/>
              </w:rPr>
            </w:pPr>
            <w:r>
              <w:rPr>
                <w:rFonts w:hint="eastAsia" w:ascii="宋体" w:hAnsi="宋体" w:cs="宋体"/>
                <w:sz w:val="24"/>
                <w:highlight w:val="none"/>
                <w:lang w:val="zh-CN"/>
              </w:rPr>
              <w:t>□其他</w:t>
            </w:r>
          </w:p>
        </w:tc>
        <w:tc>
          <w:tcPr>
            <w:tcW w:w="1418" w:type="dxa"/>
            <w:vAlign w:val="center"/>
          </w:tcPr>
          <w:p w14:paraId="5C00E5D4">
            <w:pPr>
              <w:autoSpaceDE w:val="0"/>
              <w:snapToGrid w:val="0"/>
              <w:jc w:val="center"/>
              <w:rPr>
                <w:rFonts w:hint="eastAsia" w:ascii="宋体" w:hAnsi="宋体"/>
                <w:highlight w:val="none"/>
              </w:rPr>
            </w:pPr>
            <w:r>
              <w:rPr>
                <w:rFonts w:hint="eastAsia" w:ascii="宋体" w:hAnsi="宋体" w:cs="宋体"/>
                <w:sz w:val="24"/>
                <w:highlight w:val="none"/>
                <w:lang w:val="zh-CN"/>
              </w:rPr>
              <w:t>企业性质</w:t>
            </w:r>
          </w:p>
        </w:tc>
        <w:tc>
          <w:tcPr>
            <w:tcW w:w="1515" w:type="dxa"/>
            <w:vAlign w:val="center"/>
          </w:tcPr>
          <w:p w14:paraId="4C385CB2">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□事业单位</w:t>
            </w:r>
          </w:p>
          <w:p w14:paraId="1C03D84D">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□国企</w:t>
            </w:r>
          </w:p>
          <w:p w14:paraId="093F105A">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□民营</w:t>
            </w:r>
          </w:p>
          <w:p w14:paraId="37C4D24E">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□个体经营者</w:t>
            </w:r>
          </w:p>
          <w:p w14:paraId="4A2CB427">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□自然人</w:t>
            </w:r>
          </w:p>
          <w:p w14:paraId="16A65EA7">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□其他组织</w:t>
            </w:r>
          </w:p>
        </w:tc>
      </w:tr>
      <w:tr w14:paraId="400E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195B583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注册资金</w:t>
            </w:r>
          </w:p>
        </w:tc>
        <w:tc>
          <w:tcPr>
            <w:tcW w:w="1600" w:type="dxa"/>
            <w:vAlign w:val="center"/>
          </w:tcPr>
          <w:p w14:paraId="0E2936BD">
            <w:pPr>
              <w:autoSpaceDE w:val="0"/>
              <w:snapToGrid w:val="0"/>
              <w:spacing w:line="360" w:lineRule="auto"/>
              <w:jc w:val="center"/>
              <w:rPr>
                <w:rFonts w:hint="eastAsia" w:ascii="宋体" w:hAnsi="宋体" w:cs="宋体"/>
                <w:sz w:val="24"/>
                <w:highlight w:val="none"/>
                <w:lang w:val="zh-CN"/>
              </w:rPr>
            </w:pPr>
          </w:p>
        </w:tc>
        <w:tc>
          <w:tcPr>
            <w:tcW w:w="1134" w:type="dxa"/>
            <w:vAlign w:val="center"/>
          </w:tcPr>
          <w:p w14:paraId="19B3B2DB">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地    址</w:t>
            </w:r>
          </w:p>
        </w:tc>
        <w:tc>
          <w:tcPr>
            <w:tcW w:w="5342" w:type="dxa"/>
            <w:gridSpan w:val="4"/>
            <w:vAlign w:val="center"/>
          </w:tcPr>
          <w:p w14:paraId="178C449B">
            <w:pPr>
              <w:autoSpaceDE w:val="0"/>
              <w:snapToGrid w:val="0"/>
              <w:spacing w:line="360" w:lineRule="auto"/>
              <w:jc w:val="center"/>
              <w:rPr>
                <w:rFonts w:hint="eastAsia" w:ascii="宋体" w:hAnsi="宋体" w:cs="宋体"/>
                <w:sz w:val="24"/>
                <w:highlight w:val="none"/>
                <w:lang w:val="zh-CN"/>
              </w:rPr>
            </w:pPr>
          </w:p>
        </w:tc>
      </w:tr>
      <w:tr w14:paraId="2A88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02324537">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经营范围</w:t>
            </w:r>
          </w:p>
        </w:tc>
        <w:tc>
          <w:tcPr>
            <w:tcW w:w="8076" w:type="dxa"/>
            <w:gridSpan w:val="6"/>
            <w:vAlign w:val="center"/>
          </w:tcPr>
          <w:p w14:paraId="6F2734FA">
            <w:pPr>
              <w:autoSpaceDE w:val="0"/>
              <w:snapToGrid w:val="0"/>
              <w:spacing w:line="360" w:lineRule="auto"/>
              <w:rPr>
                <w:rFonts w:hint="eastAsia" w:ascii="宋体" w:hAnsi="宋体" w:cs="宋体"/>
                <w:sz w:val="24"/>
                <w:highlight w:val="none"/>
                <w:lang w:val="zh-CN"/>
              </w:rPr>
            </w:pPr>
          </w:p>
          <w:p w14:paraId="129B7B2A">
            <w:pPr>
              <w:autoSpaceDE w:val="0"/>
              <w:snapToGrid w:val="0"/>
              <w:spacing w:line="360" w:lineRule="auto"/>
              <w:rPr>
                <w:rFonts w:hint="eastAsia" w:ascii="宋体" w:hAnsi="宋体" w:cs="宋体"/>
                <w:sz w:val="24"/>
                <w:highlight w:val="none"/>
                <w:lang w:val="zh-CN"/>
              </w:rPr>
            </w:pPr>
          </w:p>
          <w:p w14:paraId="5044793F">
            <w:pPr>
              <w:autoSpaceDE w:val="0"/>
              <w:snapToGrid w:val="0"/>
              <w:spacing w:line="360" w:lineRule="auto"/>
              <w:rPr>
                <w:rFonts w:hint="eastAsia" w:ascii="宋体" w:hAnsi="宋体" w:cs="宋体"/>
                <w:sz w:val="24"/>
                <w:highlight w:val="none"/>
                <w:lang w:val="zh-CN"/>
              </w:rPr>
            </w:pPr>
          </w:p>
          <w:p w14:paraId="3B4D31F6">
            <w:pPr>
              <w:autoSpaceDE w:val="0"/>
              <w:snapToGrid w:val="0"/>
              <w:spacing w:line="360" w:lineRule="auto"/>
              <w:rPr>
                <w:rFonts w:hint="eastAsia" w:ascii="宋体" w:hAnsi="宋体" w:cs="宋体"/>
                <w:sz w:val="24"/>
                <w:highlight w:val="none"/>
                <w:lang w:val="zh-CN"/>
              </w:rPr>
            </w:pPr>
          </w:p>
        </w:tc>
      </w:tr>
      <w:tr w14:paraId="4BB2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32E1BF6">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单位</w:t>
            </w:r>
          </w:p>
          <w:p w14:paraId="411D6740">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职工</w:t>
            </w:r>
          </w:p>
        </w:tc>
        <w:tc>
          <w:tcPr>
            <w:tcW w:w="4348" w:type="dxa"/>
            <w:gridSpan w:val="3"/>
            <w:vAlign w:val="center"/>
          </w:tcPr>
          <w:p w14:paraId="27B67D09">
            <w:pPr>
              <w:autoSpaceDE w:val="0"/>
              <w:snapToGrid w:val="0"/>
              <w:jc w:val="center"/>
              <w:rPr>
                <w:rFonts w:hint="eastAsia" w:ascii="宋体" w:hAnsi="宋体"/>
                <w:highlight w:val="none"/>
              </w:rPr>
            </w:pPr>
            <w:r>
              <w:rPr>
                <w:rFonts w:hint="eastAsia" w:ascii="宋体" w:hAnsi="宋体" w:cs="宋体"/>
                <w:sz w:val="24"/>
                <w:highlight w:val="none"/>
                <w:lang w:val="zh-CN"/>
              </w:rPr>
              <w:t>人数</w:t>
            </w:r>
          </w:p>
        </w:tc>
        <w:tc>
          <w:tcPr>
            <w:tcW w:w="3728" w:type="dxa"/>
            <w:gridSpan w:val="3"/>
            <w:vAlign w:val="center"/>
          </w:tcPr>
          <w:p w14:paraId="7D85F7E9">
            <w:pPr>
              <w:autoSpaceDE w:val="0"/>
              <w:snapToGrid w:val="0"/>
              <w:jc w:val="center"/>
              <w:rPr>
                <w:rFonts w:hint="eastAsia" w:ascii="宋体" w:hAnsi="宋体"/>
                <w:highlight w:val="none"/>
              </w:rPr>
            </w:pPr>
            <w:r>
              <w:rPr>
                <w:rFonts w:hint="eastAsia" w:ascii="宋体" w:hAnsi="宋体" w:cs="宋体"/>
                <w:sz w:val="24"/>
                <w:highlight w:val="none"/>
                <w:lang w:val="zh-CN"/>
              </w:rPr>
              <w:t>具有执业资格的管理人员人数</w:t>
            </w:r>
          </w:p>
        </w:tc>
      </w:tr>
      <w:tr w14:paraId="3A86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D5574C5">
            <w:pPr>
              <w:autoSpaceDE w:val="0"/>
              <w:snapToGrid w:val="0"/>
              <w:spacing w:line="360" w:lineRule="auto"/>
              <w:jc w:val="center"/>
              <w:rPr>
                <w:rFonts w:hint="eastAsia" w:ascii="宋体" w:hAnsi="宋体" w:cs="宋体"/>
                <w:sz w:val="24"/>
                <w:highlight w:val="none"/>
                <w:lang w:val="zh-CN"/>
              </w:rPr>
            </w:pPr>
          </w:p>
        </w:tc>
        <w:tc>
          <w:tcPr>
            <w:tcW w:w="4348" w:type="dxa"/>
            <w:gridSpan w:val="3"/>
            <w:vAlign w:val="center"/>
          </w:tcPr>
          <w:p w14:paraId="756FBA22">
            <w:pPr>
              <w:autoSpaceDE w:val="0"/>
              <w:snapToGrid w:val="0"/>
              <w:spacing w:line="360" w:lineRule="auto"/>
              <w:jc w:val="center"/>
              <w:rPr>
                <w:rFonts w:hint="eastAsia" w:ascii="宋体" w:hAnsi="宋体" w:cs="宋体"/>
                <w:sz w:val="24"/>
                <w:highlight w:val="none"/>
                <w:lang w:val="zh-CN"/>
              </w:rPr>
            </w:pPr>
          </w:p>
        </w:tc>
        <w:tc>
          <w:tcPr>
            <w:tcW w:w="3728" w:type="dxa"/>
            <w:gridSpan w:val="3"/>
            <w:vAlign w:val="center"/>
          </w:tcPr>
          <w:p w14:paraId="6FB7A9D9">
            <w:pPr>
              <w:autoSpaceDE w:val="0"/>
              <w:snapToGrid w:val="0"/>
              <w:spacing w:line="360" w:lineRule="auto"/>
              <w:jc w:val="center"/>
              <w:rPr>
                <w:rFonts w:hint="eastAsia" w:ascii="宋体" w:hAnsi="宋体" w:cs="宋体"/>
                <w:sz w:val="24"/>
                <w:highlight w:val="none"/>
                <w:lang w:val="zh-CN"/>
              </w:rPr>
            </w:pPr>
          </w:p>
        </w:tc>
      </w:tr>
      <w:tr w14:paraId="63F9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5D120610">
            <w:pPr>
              <w:autoSpaceDE w:val="0"/>
              <w:snapToGrid w:val="0"/>
              <w:spacing w:line="360" w:lineRule="auto"/>
              <w:jc w:val="center"/>
              <w:rPr>
                <w:rFonts w:hint="eastAsia" w:ascii="宋体" w:hAnsi="宋体"/>
                <w:highlight w:val="none"/>
              </w:rPr>
            </w:pPr>
            <w:r>
              <w:rPr>
                <w:rFonts w:hint="eastAsia" w:ascii="宋体" w:hAnsi="宋体" w:cs="宋体"/>
                <w:sz w:val="24"/>
                <w:highlight w:val="none"/>
              </w:rPr>
              <w:t>获奖情况</w:t>
            </w:r>
          </w:p>
          <w:p w14:paraId="35F58079">
            <w:pPr>
              <w:autoSpaceDE w:val="0"/>
              <w:snapToGrid w:val="0"/>
              <w:spacing w:line="360" w:lineRule="auto"/>
              <w:jc w:val="center"/>
              <w:rPr>
                <w:rFonts w:hint="eastAsia" w:ascii="宋体" w:hAnsi="宋体"/>
                <w:highlight w:val="none"/>
              </w:rPr>
            </w:pPr>
            <w:r>
              <w:rPr>
                <w:rFonts w:hint="eastAsia" w:ascii="宋体" w:hAnsi="宋体" w:cs="宋体"/>
                <w:sz w:val="24"/>
                <w:highlight w:val="none"/>
              </w:rPr>
              <w:t>(荣誉)</w:t>
            </w:r>
          </w:p>
        </w:tc>
        <w:tc>
          <w:tcPr>
            <w:tcW w:w="8076" w:type="dxa"/>
            <w:gridSpan w:val="6"/>
            <w:vAlign w:val="center"/>
          </w:tcPr>
          <w:p w14:paraId="542DFDCF">
            <w:pPr>
              <w:autoSpaceDE w:val="0"/>
              <w:snapToGrid w:val="0"/>
              <w:spacing w:line="360" w:lineRule="auto"/>
              <w:jc w:val="center"/>
              <w:rPr>
                <w:rFonts w:hint="eastAsia" w:ascii="宋体" w:hAnsi="宋体" w:cs="宋体"/>
                <w:sz w:val="24"/>
                <w:highlight w:val="none"/>
                <w:lang w:val="zh-CN"/>
              </w:rPr>
            </w:pPr>
          </w:p>
        </w:tc>
      </w:tr>
      <w:tr w14:paraId="19AA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70832FCF">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w:t>
            </w:r>
          </w:p>
          <w:p w14:paraId="244FA21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位</w:t>
            </w:r>
          </w:p>
          <w:p w14:paraId="6D9AC057">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简</w:t>
            </w:r>
          </w:p>
          <w:p w14:paraId="6CF4C882">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历</w:t>
            </w:r>
          </w:p>
        </w:tc>
        <w:tc>
          <w:tcPr>
            <w:tcW w:w="8076" w:type="dxa"/>
            <w:gridSpan w:val="6"/>
          </w:tcPr>
          <w:p w14:paraId="3D5DD058">
            <w:pPr>
              <w:autoSpaceDE w:val="0"/>
              <w:snapToGrid w:val="0"/>
              <w:spacing w:line="360" w:lineRule="auto"/>
              <w:jc w:val="center"/>
              <w:rPr>
                <w:rFonts w:hint="eastAsia" w:ascii="宋体" w:hAnsi="宋体" w:cs="宋体"/>
                <w:sz w:val="24"/>
                <w:highlight w:val="none"/>
                <w:lang w:val="zh-CN"/>
              </w:rPr>
            </w:pPr>
          </w:p>
        </w:tc>
      </w:tr>
    </w:tbl>
    <w:p w14:paraId="3F0BD25C">
      <w:pPr>
        <w:autoSpaceDE w:val="0"/>
        <w:snapToGrid w:val="0"/>
        <w:spacing w:line="360" w:lineRule="auto"/>
        <w:ind w:firstLine="840"/>
        <w:rPr>
          <w:rFonts w:hint="eastAsia" w:ascii="宋体" w:hAnsi="宋体"/>
          <w:highlight w:val="none"/>
        </w:rPr>
      </w:pPr>
      <w:r>
        <w:rPr>
          <w:rFonts w:hint="eastAsia" w:ascii="宋体" w:hAnsi="宋体" w:cs="宋体"/>
          <w:sz w:val="24"/>
          <w:highlight w:val="none"/>
          <w:lang w:val="zh-CN"/>
        </w:rPr>
        <w:t>附企业、人员的相关证书复印件。如有其它补充材料，格式自拟。（文本中已提供的资料无需重复提供）</w:t>
      </w:r>
    </w:p>
    <w:p w14:paraId="1A062ACC">
      <w:pPr>
        <w:snapToGrid w:val="0"/>
        <w:spacing w:line="360" w:lineRule="auto"/>
        <w:ind w:firstLine="576"/>
        <w:jc w:val="center"/>
        <w:rPr>
          <w:rFonts w:hint="eastAsia" w:ascii="宋体" w:hAnsi="宋体" w:cs="仿宋_GB2312"/>
          <w:sz w:val="24"/>
          <w:highlight w:val="none"/>
          <w:lang w:val="zh-CN"/>
        </w:rPr>
      </w:pPr>
      <w:r>
        <w:rPr>
          <w:rFonts w:hint="eastAsia" w:ascii="宋体" w:hAnsi="宋体" w:cs="仿宋_GB2312"/>
          <w:sz w:val="24"/>
          <w:highlight w:val="none"/>
          <w:lang w:val="zh-CN"/>
        </w:rPr>
        <w:t xml:space="preserve">                     </w:t>
      </w:r>
      <w:r>
        <w:rPr>
          <w:rFonts w:ascii="宋体" w:hAnsi="宋体" w:cs="仿宋_GB2312"/>
          <w:sz w:val="24"/>
          <w:highlight w:val="none"/>
          <w:lang w:val="zh-CN"/>
        </w:rPr>
        <w:t xml:space="preserve">  </w:t>
      </w:r>
      <w:r>
        <w:rPr>
          <w:rFonts w:hint="eastAsia" w:ascii="宋体" w:hAnsi="宋体" w:cs="仿宋_GB2312"/>
          <w:sz w:val="24"/>
          <w:highlight w:val="none"/>
          <w:lang w:val="zh-CN"/>
        </w:rPr>
        <w:t>投标人</w:t>
      </w:r>
      <w:r>
        <w:rPr>
          <w:rFonts w:ascii="宋体" w:hAnsi="宋体" w:cs="仿宋_GB2312"/>
          <w:sz w:val="24"/>
          <w:highlight w:val="none"/>
          <w:lang w:val="zh-CN"/>
        </w:rPr>
        <w:t xml:space="preserve">名称(电子签名)：                </w:t>
      </w:r>
    </w:p>
    <w:p w14:paraId="6EEA9D6F">
      <w:pPr>
        <w:snapToGrid w:val="0"/>
        <w:spacing w:line="360" w:lineRule="auto"/>
        <w:ind w:firstLine="576"/>
        <w:jc w:val="center"/>
        <w:rPr>
          <w:rFonts w:hint="eastAsia" w:ascii="宋体" w:hAnsi="宋体" w:cs="仿宋_GB2312"/>
          <w:b/>
          <w:sz w:val="32"/>
          <w:szCs w:val="32"/>
          <w:highlight w:val="none"/>
        </w:rPr>
      </w:pPr>
      <w:r>
        <w:rPr>
          <w:rFonts w:ascii="宋体" w:hAnsi="宋体" w:cs="仿宋_GB2312"/>
          <w:sz w:val="24"/>
          <w:highlight w:val="none"/>
          <w:lang w:val="zh-CN"/>
        </w:rPr>
        <w:t xml:space="preserve">                   日期：  年  月  日</w:t>
      </w:r>
    </w:p>
    <w:p w14:paraId="3ED998F0">
      <w:pPr>
        <w:jc w:val="left"/>
        <w:rPr>
          <w:rFonts w:hint="eastAsia" w:ascii="宋体" w:hAnsi="宋体" w:cs="仿宋_GB2312"/>
          <w:b/>
          <w:sz w:val="28"/>
          <w:szCs w:val="28"/>
          <w:highlight w:val="none"/>
        </w:rPr>
      </w:pPr>
      <w:r>
        <w:rPr>
          <w:rFonts w:hint="eastAsia" w:ascii="宋体" w:hAnsi="宋体" w:cs="仿宋_GB2312"/>
          <w:b/>
          <w:sz w:val="28"/>
          <w:szCs w:val="28"/>
          <w:highlight w:val="none"/>
        </w:rPr>
        <w:t>参考格式2</w:t>
      </w:r>
    </w:p>
    <w:p w14:paraId="5CD823F7">
      <w:pPr>
        <w:rPr>
          <w:rFonts w:hint="eastAsia" w:ascii="宋体" w:hAnsi="宋体"/>
          <w:highlight w:val="none"/>
        </w:rPr>
      </w:pPr>
    </w:p>
    <w:p w14:paraId="170D50D6">
      <w:pPr>
        <w:autoSpaceDE w:val="0"/>
        <w:spacing w:line="360" w:lineRule="auto"/>
        <w:ind w:firstLine="120"/>
        <w:jc w:val="center"/>
        <w:rPr>
          <w:rFonts w:hint="eastAsia" w:ascii="宋体" w:hAnsi="宋体"/>
          <w:highlight w:val="none"/>
        </w:rPr>
      </w:pPr>
      <w:r>
        <w:rPr>
          <w:rFonts w:hint="eastAsia" w:ascii="宋体" w:hAnsi="宋体" w:cs="宋体"/>
          <w:b/>
          <w:sz w:val="30"/>
          <w:szCs w:val="30"/>
          <w:highlight w:val="none"/>
        </w:rPr>
        <w:t>20  年  月  日以</w:t>
      </w:r>
      <w:r>
        <w:rPr>
          <w:rFonts w:hint="eastAsia" w:ascii="宋体" w:hAnsi="宋体" w:cs="宋体"/>
          <w:b/>
          <w:sz w:val="30"/>
          <w:szCs w:val="30"/>
          <w:highlight w:val="none"/>
          <w:lang w:val="zh-CN"/>
        </w:rPr>
        <w:t>来主要业绩证明</w:t>
      </w:r>
    </w:p>
    <w:p w14:paraId="707CCE96">
      <w:pPr>
        <w:autoSpaceDE w:val="0"/>
        <w:spacing w:line="360" w:lineRule="auto"/>
        <w:ind w:firstLine="120"/>
        <w:rPr>
          <w:rFonts w:hint="eastAsia" w:ascii="宋体" w:hAnsi="宋体"/>
          <w:sz w:val="24"/>
          <w:szCs w:val="22"/>
          <w:highlight w:val="none"/>
        </w:rPr>
      </w:pPr>
      <w:r>
        <w:rPr>
          <w:rFonts w:ascii="宋体" w:hAnsi="宋体"/>
          <w:sz w:val="24"/>
          <w:szCs w:val="22"/>
          <w:highlight w:val="none"/>
        </w:rPr>
        <w:t>附表</w:t>
      </w:r>
      <w:r>
        <w:rPr>
          <w:rFonts w:hint="eastAsia" w:ascii="宋体" w:hAnsi="宋体"/>
          <w:sz w:val="24"/>
          <w:szCs w:val="22"/>
          <w:highlight w:val="none"/>
        </w:rPr>
        <w:t>：</w:t>
      </w:r>
      <w:r>
        <w:rPr>
          <w:rFonts w:ascii="宋体" w:hAnsi="宋体"/>
          <w:sz w:val="24"/>
          <w:szCs w:val="22"/>
          <w:highlight w:val="none"/>
        </w:rPr>
        <w:t>相关项目业绩一览表</w:t>
      </w:r>
    </w:p>
    <w:tbl>
      <w:tblPr>
        <w:tblStyle w:val="17"/>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14:paraId="0F5B7987">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5ED6DE60">
            <w:pPr>
              <w:autoSpaceDE w:val="0"/>
              <w:spacing w:line="276" w:lineRule="auto"/>
              <w:jc w:val="center"/>
              <w:rPr>
                <w:rFonts w:hint="eastAsia" w:ascii="宋体" w:hAnsi="宋体"/>
                <w:highlight w:val="none"/>
              </w:rPr>
            </w:pPr>
            <w:r>
              <w:rPr>
                <w:rFonts w:hint="eastAsia" w:ascii="宋体" w:hAnsi="宋体" w:cs="宋体"/>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2FE7166F">
            <w:pPr>
              <w:autoSpaceDE w:val="0"/>
              <w:spacing w:line="276" w:lineRule="auto"/>
              <w:jc w:val="center"/>
              <w:rPr>
                <w:rFonts w:hint="eastAsia" w:ascii="宋体" w:hAnsi="宋体"/>
                <w:highlight w:val="none"/>
              </w:rPr>
            </w:pPr>
            <w:r>
              <w:rPr>
                <w:rFonts w:hint="eastAsia" w:ascii="宋体" w:hAnsi="宋体" w:cs="宋体"/>
                <w:sz w:val="24"/>
                <w:highlight w:val="none"/>
              </w:rPr>
              <w:t>项目</w:t>
            </w:r>
          </w:p>
          <w:p w14:paraId="2F45D05F">
            <w:pPr>
              <w:autoSpaceDE w:val="0"/>
              <w:spacing w:line="276" w:lineRule="auto"/>
              <w:jc w:val="center"/>
              <w:rPr>
                <w:rFonts w:hint="eastAsia" w:ascii="宋体" w:hAnsi="宋体"/>
                <w:highlight w:val="none"/>
              </w:rPr>
            </w:pPr>
            <w:r>
              <w:rPr>
                <w:rFonts w:hint="eastAsia" w:ascii="宋体" w:hAnsi="宋体" w:cs="宋体"/>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6CDE20A3">
            <w:pPr>
              <w:autoSpaceDE w:val="0"/>
              <w:spacing w:line="276" w:lineRule="auto"/>
              <w:jc w:val="center"/>
              <w:rPr>
                <w:rFonts w:hint="eastAsia" w:ascii="宋体" w:hAnsi="宋体"/>
                <w:highlight w:val="none"/>
              </w:rPr>
            </w:pPr>
            <w:r>
              <w:rPr>
                <w:rFonts w:hint="eastAsia" w:ascii="宋体" w:hAnsi="宋体" w:cs="宋体"/>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1F11B888">
            <w:pPr>
              <w:autoSpaceDE w:val="0"/>
              <w:spacing w:line="276" w:lineRule="auto"/>
              <w:jc w:val="center"/>
              <w:rPr>
                <w:rFonts w:hint="eastAsia" w:ascii="宋体" w:hAnsi="宋体" w:cs="宋体"/>
                <w:sz w:val="24"/>
                <w:highlight w:val="none"/>
              </w:rPr>
            </w:pPr>
            <w:r>
              <w:rPr>
                <w:rFonts w:hint="eastAsia" w:ascii="宋体" w:hAnsi="宋体" w:cs="宋体"/>
                <w:sz w:val="24"/>
                <w:highlight w:val="none"/>
              </w:rPr>
              <w:t>合同金额</w:t>
            </w:r>
          </w:p>
          <w:p w14:paraId="4B9C5CB8">
            <w:pPr>
              <w:autoSpaceDE w:val="0"/>
              <w:spacing w:line="276" w:lineRule="auto"/>
              <w:jc w:val="center"/>
              <w:rPr>
                <w:rFonts w:hint="eastAsia" w:ascii="宋体" w:hAnsi="宋体"/>
                <w:highlight w:val="none"/>
              </w:rPr>
            </w:pPr>
            <w:r>
              <w:rPr>
                <w:rFonts w:hint="eastAsia" w:ascii="宋体" w:hAnsi="宋体" w:cs="宋体"/>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1333EEA0">
            <w:pPr>
              <w:autoSpaceDE w:val="0"/>
              <w:spacing w:line="276" w:lineRule="auto"/>
              <w:jc w:val="center"/>
              <w:rPr>
                <w:rFonts w:hint="eastAsia" w:ascii="宋体" w:hAnsi="宋体"/>
                <w:highlight w:val="none"/>
              </w:rPr>
            </w:pPr>
            <w:r>
              <w:rPr>
                <w:rFonts w:hint="eastAsia" w:ascii="宋体" w:hAnsi="宋体" w:cs="宋体"/>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12E1A8B2">
            <w:pPr>
              <w:autoSpaceDE w:val="0"/>
              <w:spacing w:line="276" w:lineRule="auto"/>
              <w:jc w:val="center"/>
              <w:rPr>
                <w:rFonts w:hint="eastAsia" w:ascii="宋体" w:hAnsi="宋体"/>
                <w:highlight w:val="none"/>
              </w:rPr>
            </w:pPr>
            <w:r>
              <w:rPr>
                <w:rFonts w:hint="eastAsia" w:ascii="宋体" w:hAnsi="宋体" w:cs="宋体"/>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59B3667D">
            <w:pPr>
              <w:autoSpaceDE w:val="0"/>
              <w:spacing w:line="276" w:lineRule="auto"/>
              <w:jc w:val="center"/>
              <w:rPr>
                <w:rFonts w:hint="eastAsia" w:ascii="宋体" w:hAnsi="宋体"/>
                <w:highlight w:val="none"/>
              </w:rPr>
            </w:pPr>
            <w:r>
              <w:rPr>
                <w:rFonts w:hint="eastAsia" w:ascii="宋体" w:hAnsi="宋体" w:cs="宋体"/>
                <w:sz w:val="24"/>
                <w:highlight w:val="none"/>
              </w:rPr>
              <w:t>所在页码</w:t>
            </w:r>
          </w:p>
        </w:tc>
      </w:tr>
      <w:tr w14:paraId="4265732F">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768C2703">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DE3493D">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1028FEAE">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43DCE210">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4E178A09">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23DBC531">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4625A04A">
            <w:pPr>
              <w:autoSpaceDE w:val="0"/>
              <w:snapToGrid w:val="0"/>
              <w:spacing w:line="360" w:lineRule="auto"/>
              <w:rPr>
                <w:rFonts w:hint="eastAsia" w:ascii="宋体" w:hAnsi="宋体" w:cs="宋体"/>
                <w:sz w:val="24"/>
                <w:highlight w:val="none"/>
              </w:rPr>
            </w:pPr>
          </w:p>
        </w:tc>
      </w:tr>
      <w:tr w14:paraId="2A6A7776">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6D8DC925">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CF603BE">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297FC7E7">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631DB48F">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5D61825B">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1E6DB49D">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092436CF">
            <w:pPr>
              <w:autoSpaceDE w:val="0"/>
              <w:snapToGrid w:val="0"/>
              <w:spacing w:line="360" w:lineRule="auto"/>
              <w:rPr>
                <w:rFonts w:hint="eastAsia" w:ascii="宋体" w:hAnsi="宋体" w:cs="宋体"/>
                <w:sz w:val="24"/>
                <w:highlight w:val="none"/>
              </w:rPr>
            </w:pPr>
          </w:p>
        </w:tc>
      </w:tr>
      <w:tr w14:paraId="27BB7C97">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721C4774">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10946D1">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4F0A1760">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1AC11F44">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1C1DA0B5">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13253BA6">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52DFA4AD">
            <w:pPr>
              <w:autoSpaceDE w:val="0"/>
              <w:snapToGrid w:val="0"/>
              <w:spacing w:line="360" w:lineRule="auto"/>
              <w:rPr>
                <w:rFonts w:hint="eastAsia" w:ascii="宋体" w:hAnsi="宋体" w:cs="宋体"/>
                <w:sz w:val="24"/>
                <w:highlight w:val="none"/>
              </w:rPr>
            </w:pPr>
          </w:p>
        </w:tc>
      </w:tr>
    </w:tbl>
    <w:p w14:paraId="6EBB1E94">
      <w:pPr>
        <w:autoSpaceDE w:val="0"/>
        <w:spacing w:line="360" w:lineRule="auto"/>
        <w:rPr>
          <w:rFonts w:hint="eastAsia" w:ascii="宋体" w:hAnsi="宋体"/>
          <w:highlight w:val="none"/>
        </w:rPr>
      </w:pPr>
      <w:r>
        <w:rPr>
          <w:rFonts w:hint="eastAsia" w:ascii="宋体" w:hAnsi="宋体" w:cs="宋体"/>
          <w:b/>
          <w:sz w:val="24"/>
          <w:highlight w:val="none"/>
        </w:rPr>
        <w:t xml:space="preserve">  注：投标人可按上述的格式自行编制，须随表提交相应的业绩证明材料（详见评分要求）并注明所在投标商务文件页码。</w:t>
      </w:r>
    </w:p>
    <w:p w14:paraId="3CB3DD1C">
      <w:pPr>
        <w:snapToGrid w:val="0"/>
        <w:spacing w:line="360" w:lineRule="auto"/>
        <w:ind w:firstLine="576"/>
        <w:jc w:val="center"/>
        <w:rPr>
          <w:rFonts w:hint="eastAsia" w:ascii="宋体" w:hAnsi="宋体" w:cs="仿宋_GB2312"/>
          <w:sz w:val="24"/>
          <w:highlight w:val="none"/>
          <w:lang w:val="zh-CN"/>
        </w:rPr>
      </w:pPr>
      <w:r>
        <w:rPr>
          <w:rFonts w:hint="eastAsia" w:ascii="宋体" w:hAnsi="宋体" w:cs="仿宋_GB2312"/>
          <w:sz w:val="24"/>
          <w:highlight w:val="none"/>
          <w:lang w:val="zh-CN"/>
        </w:rPr>
        <w:t xml:space="preserve">                       投标人</w:t>
      </w:r>
      <w:r>
        <w:rPr>
          <w:rFonts w:ascii="宋体" w:hAnsi="宋体" w:cs="仿宋_GB2312"/>
          <w:sz w:val="24"/>
          <w:highlight w:val="none"/>
          <w:lang w:val="zh-CN"/>
        </w:rPr>
        <w:t xml:space="preserve">名称(电子签名)：                </w:t>
      </w:r>
    </w:p>
    <w:p w14:paraId="282BF62E">
      <w:pPr>
        <w:snapToGrid w:val="0"/>
        <w:spacing w:line="360" w:lineRule="auto"/>
        <w:ind w:firstLine="576"/>
        <w:jc w:val="center"/>
        <w:rPr>
          <w:rFonts w:hint="eastAsia" w:ascii="宋体" w:hAnsi="宋体"/>
          <w:highlight w:val="none"/>
        </w:rPr>
      </w:pPr>
      <w:r>
        <w:rPr>
          <w:rFonts w:ascii="宋体" w:hAnsi="宋体" w:cs="仿宋_GB2312"/>
          <w:sz w:val="24"/>
          <w:highlight w:val="none"/>
          <w:lang w:val="zh-CN"/>
        </w:rPr>
        <w:t xml:space="preserve">                   日期：  年  月  日</w:t>
      </w:r>
    </w:p>
    <w:p w14:paraId="68B4584F">
      <w:pPr>
        <w:jc w:val="center"/>
        <w:rPr>
          <w:rFonts w:hint="eastAsia" w:ascii="宋体" w:hAnsi="宋体" w:cs="宋体"/>
          <w:b/>
          <w:kern w:val="0"/>
          <w:sz w:val="32"/>
          <w:szCs w:val="32"/>
          <w:highlight w:val="none"/>
        </w:rPr>
      </w:pPr>
    </w:p>
    <w:p w14:paraId="16F35416">
      <w:pPr>
        <w:rPr>
          <w:rFonts w:hint="eastAsia" w:ascii="宋体" w:hAnsi="宋体"/>
          <w:b/>
          <w:kern w:val="0"/>
          <w:sz w:val="32"/>
          <w:highlight w:val="none"/>
        </w:rPr>
      </w:pPr>
      <w:r>
        <w:rPr>
          <w:rFonts w:hint="eastAsia" w:ascii="宋体" w:hAnsi="宋体"/>
          <w:b/>
          <w:kern w:val="0"/>
          <w:sz w:val="32"/>
          <w:highlight w:val="none"/>
        </w:rPr>
        <w:t>参考格式3</w:t>
      </w:r>
    </w:p>
    <w:p w14:paraId="38868E88">
      <w:pPr>
        <w:jc w:val="center"/>
        <w:rPr>
          <w:rFonts w:hint="eastAsia" w:ascii="宋体" w:hAnsi="宋体"/>
          <w:b/>
          <w:kern w:val="0"/>
          <w:sz w:val="32"/>
          <w:highlight w:val="none"/>
        </w:rPr>
      </w:pPr>
      <w:r>
        <w:rPr>
          <w:rFonts w:hint="eastAsia" w:ascii="宋体" w:hAnsi="宋体"/>
          <w:b/>
          <w:kern w:val="0"/>
          <w:sz w:val="32"/>
          <w:highlight w:val="none"/>
        </w:rPr>
        <w:t>拟投入项目成员情况表</w:t>
      </w:r>
    </w:p>
    <w:tbl>
      <w:tblPr>
        <w:tblStyle w:val="17"/>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14:paraId="60842F00">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B637A2">
            <w:pPr>
              <w:autoSpaceDE w:val="0"/>
              <w:snapToGrid w:val="0"/>
              <w:jc w:val="center"/>
              <w:rPr>
                <w:rFonts w:hint="eastAsia" w:ascii="宋体" w:hAnsi="宋体"/>
                <w:sz w:val="24"/>
                <w:highlight w:val="none"/>
              </w:rPr>
            </w:pPr>
            <w:r>
              <w:rPr>
                <w:rFonts w:hint="eastAsia" w:ascii="宋体" w:hAnsi="宋体"/>
                <w:sz w:val="24"/>
                <w:highlight w:val="none"/>
              </w:rPr>
              <w:t>团队</w:t>
            </w:r>
          </w:p>
          <w:p w14:paraId="3D8CCF92">
            <w:pPr>
              <w:autoSpaceDE w:val="0"/>
              <w:snapToGrid w:val="0"/>
              <w:jc w:val="center"/>
              <w:rPr>
                <w:rFonts w:hint="eastAsia" w:ascii="宋体" w:hAnsi="宋体"/>
                <w:sz w:val="24"/>
                <w:highlight w:val="none"/>
              </w:rPr>
            </w:pPr>
            <w:r>
              <w:rPr>
                <w:rFonts w:hint="eastAsia" w:ascii="宋体" w:hAnsi="宋体"/>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7E47B4">
            <w:pPr>
              <w:autoSpaceDE w:val="0"/>
              <w:snapToGrid w:val="0"/>
              <w:jc w:val="center"/>
              <w:rPr>
                <w:rFonts w:hint="eastAsia" w:ascii="宋体" w:hAnsi="宋体"/>
                <w:sz w:val="24"/>
                <w:highlight w:val="none"/>
              </w:rPr>
            </w:pPr>
            <w:r>
              <w:rPr>
                <w:rFonts w:hint="eastAsia" w:ascii="宋体" w:hAnsi="宋体"/>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BBBEE">
            <w:pPr>
              <w:autoSpaceDE w:val="0"/>
              <w:snapToGrid w:val="0"/>
              <w:jc w:val="center"/>
              <w:rPr>
                <w:rFonts w:hint="eastAsia" w:ascii="宋体" w:hAnsi="宋体"/>
                <w:sz w:val="24"/>
                <w:highlight w:val="none"/>
              </w:rPr>
            </w:pPr>
            <w:r>
              <w:rPr>
                <w:rFonts w:hint="eastAsia" w:ascii="宋体" w:hAnsi="宋体"/>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F550A4">
            <w:pPr>
              <w:autoSpaceDE w:val="0"/>
              <w:snapToGrid w:val="0"/>
              <w:jc w:val="center"/>
              <w:rPr>
                <w:rFonts w:hint="eastAsia" w:ascii="宋体" w:hAnsi="宋体"/>
                <w:sz w:val="24"/>
                <w:highlight w:val="none"/>
              </w:rPr>
            </w:pPr>
            <w:r>
              <w:rPr>
                <w:rFonts w:hint="eastAsia" w:ascii="宋体" w:hAnsi="宋体"/>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22444F">
            <w:pPr>
              <w:autoSpaceDE w:val="0"/>
              <w:snapToGrid w:val="0"/>
              <w:jc w:val="center"/>
              <w:rPr>
                <w:rFonts w:hint="eastAsia" w:ascii="宋体" w:hAnsi="宋体"/>
                <w:sz w:val="24"/>
                <w:highlight w:val="none"/>
              </w:rPr>
            </w:pPr>
            <w:r>
              <w:rPr>
                <w:rFonts w:hint="eastAsia" w:ascii="宋体" w:hAnsi="宋体"/>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02F9E1">
            <w:pPr>
              <w:autoSpaceDE w:val="0"/>
              <w:snapToGrid w:val="0"/>
              <w:jc w:val="center"/>
              <w:rPr>
                <w:rFonts w:hint="eastAsia" w:ascii="宋体" w:hAnsi="宋体"/>
                <w:sz w:val="24"/>
                <w:highlight w:val="none"/>
              </w:rPr>
            </w:pPr>
            <w:r>
              <w:rPr>
                <w:rFonts w:hint="eastAsia" w:ascii="宋体" w:hAnsi="宋体"/>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5DA972">
            <w:pPr>
              <w:autoSpaceDE w:val="0"/>
              <w:snapToGrid w:val="0"/>
              <w:jc w:val="center"/>
              <w:rPr>
                <w:rFonts w:hint="eastAsia" w:ascii="宋体" w:hAnsi="宋体"/>
                <w:sz w:val="24"/>
                <w:highlight w:val="none"/>
              </w:rPr>
            </w:pPr>
            <w:r>
              <w:rPr>
                <w:rFonts w:hint="eastAsia" w:ascii="宋体" w:hAnsi="宋体"/>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AEE5AE">
            <w:pPr>
              <w:autoSpaceDE w:val="0"/>
              <w:snapToGrid w:val="0"/>
              <w:jc w:val="center"/>
              <w:rPr>
                <w:rFonts w:hint="eastAsia" w:ascii="宋体" w:hAnsi="宋体"/>
                <w:sz w:val="24"/>
                <w:highlight w:val="none"/>
              </w:rPr>
            </w:pPr>
            <w:r>
              <w:rPr>
                <w:rFonts w:hint="eastAsia" w:ascii="宋体" w:hAnsi="宋体"/>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C5D010">
            <w:pPr>
              <w:autoSpaceDE w:val="0"/>
              <w:snapToGrid w:val="0"/>
              <w:jc w:val="center"/>
              <w:rPr>
                <w:rFonts w:hint="eastAsia" w:ascii="宋体" w:hAnsi="宋体"/>
                <w:sz w:val="24"/>
                <w:highlight w:val="none"/>
              </w:rPr>
            </w:pPr>
            <w:r>
              <w:rPr>
                <w:rFonts w:hint="eastAsia" w:ascii="宋体" w:hAnsi="宋体"/>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AC5D43">
            <w:pPr>
              <w:autoSpaceDE w:val="0"/>
              <w:snapToGrid w:val="0"/>
              <w:jc w:val="center"/>
              <w:rPr>
                <w:rFonts w:hint="eastAsia" w:ascii="宋体" w:hAnsi="宋体"/>
                <w:sz w:val="24"/>
                <w:highlight w:val="none"/>
              </w:rPr>
            </w:pPr>
            <w:r>
              <w:rPr>
                <w:rFonts w:hint="eastAsia" w:ascii="宋体" w:hAnsi="宋体"/>
                <w:sz w:val="24"/>
                <w:highlight w:val="none"/>
              </w:rPr>
              <w:t>……</w:t>
            </w:r>
          </w:p>
          <w:p w14:paraId="2F2C61A1">
            <w:pPr>
              <w:autoSpaceDE w:val="0"/>
              <w:snapToGrid w:val="0"/>
              <w:jc w:val="center"/>
              <w:rPr>
                <w:rFonts w:hint="eastAsia" w:ascii="宋体" w:hAnsi="宋体"/>
                <w:sz w:val="24"/>
                <w:highlight w:val="none"/>
              </w:rPr>
            </w:pPr>
            <w:r>
              <w:rPr>
                <w:rFonts w:hint="eastAsia" w:ascii="宋体" w:hAnsi="宋体"/>
                <w:sz w:val="24"/>
                <w:highlight w:val="none"/>
              </w:rPr>
              <w:t>自行补充</w:t>
            </w:r>
          </w:p>
        </w:tc>
      </w:tr>
      <w:tr w14:paraId="0754ACF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67E29B">
            <w:pPr>
              <w:autoSpaceDE w:val="0"/>
              <w:snapToGrid w:val="0"/>
              <w:rPr>
                <w:rFonts w:hint="eastAsia" w:ascii="宋体" w:hAnsi="宋体"/>
                <w:sz w:val="24"/>
                <w:highlight w:val="none"/>
              </w:rPr>
            </w:pPr>
            <w:r>
              <w:rPr>
                <w:rFonts w:hint="eastAsia" w:ascii="宋体" w:hAnsi="宋体"/>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A423D9">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50FE5E">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94574D">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2AA732">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F09C61">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1A4830">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0CBDCC">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E73110">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BDCDDF">
            <w:pPr>
              <w:autoSpaceDE w:val="0"/>
              <w:snapToGrid w:val="0"/>
              <w:rPr>
                <w:rFonts w:hint="eastAsia" w:ascii="宋体" w:hAnsi="宋体"/>
                <w:sz w:val="24"/>
                <w:highlight w:val="none"/>
              </w:rPr>
            </w:pPr>
          </w:p>
        </w:tc>
      </w:tr>
      <w:tr w14:paraId="14712B11">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2D2CD1">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2F63D7">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1C9467">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35AD3A">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819C28">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BB8041">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4A2685">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56681D">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180039">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117CBF">
            <w:pPr>
              <w:autoSpaceDE w:val="0"/>
              <w:snapToGrid w:val="0"/>
              <w:rPr>
                <w:rFonts w:hint="eastAsia" w:ascii="宋体" w:hAnsi="宋体"/>
                <w:sz w:val="24"/>
                <w:highlight w:val="none"/>
              </w:rPr>
            </w:pPr>
          </w:p>
        </w:tc>
      </w:tr>
      <w:tr w14:paraId="4A682F97">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886205">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D2C47">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B9A934">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41C2E5">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DCEA06">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D06B4F">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85DB9">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4937E">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E2698D">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6E5431">
            <w:pPr>
              <w:autoSpaceDE w:val="0"/>
              <w:snapToGrid w:val="0"/>
              <w:rPr>
                <w:rFonts w:hint="eastAsia" w:ascii="宋体" w:hAnsi="宋体"/>
                <w:sz w:val="24"/>
                <w:highlight w:val="none"/>
              </w:rPr>
            </w:pPr>
          </w:p>
        </w:tc>
      </w:tr>
      <w:tr w14:paraId="5D08395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A131EA">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2CB6C2">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478070">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6C88FA">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493ACE">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059330">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7B9D71">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FF1ED">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B25AE4">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CEB402">
            <w:pPr>
              <w:autoSpaceDE w:val="0"/>
              <w:snapToGrid w:val="0"/>
              <w:rPr>
                <w:rFonts w:hint="eastAsia" w:ascii="宋体" w:hAnsi="宋体"/>
                <w:sz w:val="24"/>
                <w:highlight w:val="none"/>
              </w:rPr>
            </w:pPr>
          </w:p>
        </w:tc>
      </w:tr>
      <w:tr w14:paraId="3AD5B26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4826E">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BB63AA">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8F159D">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658442">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A791D5">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E751EC">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89A100">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7BD248">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EBC790">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631C8E">
            <w:pPr>
              <w:autoSpaceDE w:val="0"/>
              <w:snapToGrid w:val="0"/>
              <w:rPr>
                <w:rFonts w:hint="eastAsia" w:ascii="宋体" w:hAnsi="宋体"/>
                <w:sz w:val="24"/>
                <w:highlight w:val="none"/>
              </w:rPr>
            </w:pPr>
          </w:p>
        </w:tc>
      </w:tr>
      <w:tr w14:paraId="5C18659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D94E0D">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0A739B">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0D63EF">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33E9A">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3CAE0D">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F588B2">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533F23">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A56334">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2F0EB">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C541B1">
            <w:pPr>
              <w:autoSpaceDE w:val="0"/>
              <w:snapToGrid w:val="0"/>
              <w:rPr>
                <w:rFonts w:hint="eastAsia" w:ascii="宋体" w:hAnsi="宋体"/>
                <w:sz w:val="24"/>
                <w:highlight w:val="none"/>
              </w:rPr>
            </w:pPr>
          </w:p>
        </w:tc>
      </w:tr>
    </w:tbl>
    <w:p w14:paraId="5BD64545">
      <w:pPr>
        <w:rPr>
          <w:rFonts w:hint="eastAsia" w:ascii="宋体" w:hAnsi="宋体"/>
          <w:b/>
          <w:kern w:val="0"/>
          <w:sz w:val="32"/>
          <w:highlight w:val="none"/>
        </w:rPr>
      </w:pPr>
    </w:p>
    <w:p w14:paraId="1F9D2DED">
      <w:pPr>
        <w:rPr>
          <w:rFonts w:hint="eastAsia" w:ascii="宋体" w:hAnsi="宋体"/>
          <w:b/>
          <w:kern w:val="0"/>
          <w:sz w:val="32"/>
          <w:highlight w:val="none"/>
        </w:rPr>
      </w:pPr>
      <w:r>
        <w:rPr>
          <w:rFonts w:hint="eastAsia" w:ascii="宋体" w:hAnsi="宋体"/>
          <w:b/>
          <w:kern w:val="0"/>
          <w:sz w:val="32"/>
          <w:highlight w:val="none"/>
        </w:rPr>
        <w:t>参考格式4</w:t>
      </w:r>
    </w:p>
    <w:p w14:paraId="5E2AB1FD">
      <w:pPr>
        <w:widowControl/>
        <w:jc w:val="center"/>
        <w:rPr>
          <w:rFonts w:hint="eastAsia" w:ascii="宋体" w:hAnsi="宋体"/>
          <w:b/>
          <w:kern w:val="0"/>
          <w:sz w:val="30"/>
          <w:highlight w:val="none"/>
        </w:rPr>
      </w:pPr>
      <w:r>
        <w:rPr>
          <w:rFonts w:hint="eastAsia" w:ascii="宋体" w:hAnsi="宋体"/>
          <w:b/>
          <w:kern w:val="0"/>
          <w:sz w:val="30"/>
          <w:highlight w:val="none"/>
        </w:rPr>
        <w:t>拟投入本项目的主要团队成员情况表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15BE7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2E144">
            <w:pPr>
              <w:pStyle w:val="37"/>
              <w:tabs>
                <w:tab w:val="left" w:pos="483"/>
              </w:tabs>
              <w:spacing w:before="104"/>
              <w:jc w:val="center"/>
              <w:rPr>
                <w:rFonts w:hint="eastAsia" w:ascii="宋体" w:hAnsi="宋体"/>
                <w:sz w:val="24"/>
                <w:highlight w:val="none"/>
              </w:rPr>
            </w:pPr>
            <w:r>
              <w:rPr>
                <w:rFonts w:hint="eastAsia" w:ascii="宋体" w:hAnsi="宋体"/>
                <w:sz w:val="24"/>
                <w:highlight w:val="none"/>
              </w:rPr>
              <w:t>姓</w:t>
            </w:r>
            <w:r>
              <w:rPr>
                <w:rFonts w:hint="eastAsia" w:ascii="宋体" w:hAnsi="宋体"/>
                <w:sz w:val="24"/>
                <w:highlight w:val="none"/>
              </w:rPr>
              <w:tab/>
            </w:r>
            <w:r>
              <w:rPr>
                <w:rFonts w:hint="eastAsia" w:ascii="宋体" w:hAnsi="宋体"/>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CDFA0F">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BAB582">
            <w:pPr>
              <w:pStyle w:val="37"/>
              <w:tabs>
                <w:tab w:val="left" w:pos="483"/>
              </w:tabs>
              <w:spacing w:before="104"/>
              <w:jc w:val="center"/>
              <w:rPr>
                <w:rFonts w:hint="eastAsia" w:ascii="宋体" w:hAnsi="宋体"/>
                <w:sz w:val="24"/>
                <w:highlight w:val="none"/>
              </w:rPr>
            </w:pPr>
            <w:r>
              <w:rPr>
                <w:rFonts w:hint="eastAsia" w:ascii="宋体" w:hAnsi="宋体"/>
                <w:sz w:val="24"/>
                <w:highlight w:val="none"/>
              </w:rPr>
              <w:t>性</w:t>
            </w:r>
            <w:r>
              <w:rPr>
                <w:rFonts w:hint="eastAsia" w:ascii="宋体" w:hAnsi="宋体"/>
                <w:sz w:val="24"/>
                <w:highlight w:val="none"/>
              </w:rPr>
              <w:tab/>
            </w:r>
            <w:r>
              <w:rPr>
                <w:rFonts w:hint="eastAsia" w:ascii="宋体" w:hAnsi="宋体"/>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A10B2F">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95C39">
            <w:pPr>
              <w:pStyle w:val="37"/>
              <w:tabs>
                <w:tab w:val="left" w:pos="483"/>
              </w:tabs>
              <w:spacing w:before="104"/>
              <w:jc w:val="center"/>
              <w:rPr>
                <w:rFonts w:hint="eastAsia" w:ascii="宋体" w:hAnsi="宋体"/>
                <w:sz w:val="24"/>
                <w:highlight w:val="none"/>
              </w:rPr>
            </w:pPr>
            <w:r>
              <w:rPr>
                <w:rFonts w:hint="eastAsia" w:ascii="宋体" w:hAnsi="宋体"/>
                <w:sz w:val="24"/>
                <w:highlight w:val="none"/>
              </w:rPr>
              <w:t>年</w:t>
            </w:r>
            <w:r>
              <w:rPr>
                <w:rFonts w:hint="eastAsia" w:ascii="宋体" w:hAnsi="宋体"/>
                <w:sz w:val="24"/>
                <w:highlight w:val="none"/>
              </w:rPr>
              <w:tab/>
            </w:r>
            <w:r>
              <w:rPr>
                <w:rFonts w:hint="eastAsia" w:ascii="宋体" w:hAnsi="宋体"/>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5A626E">
            <w:pPr>
              <w:pStyle w:val="37"/>
              <w:tabs>
                <w:tab w:val="left" w:pos="483"/>
              </w:tabs>
              <w:spacing w:before="104"/>
              <w:jc w:val="center"/>
              <w:rPr>
                <w:rFonts w:hint="eastAsia" w:ascii="宋体" w:hAnsi="宋体"/>
                <w:sz w:val="24"/>
                <w:highlight w:val="none"/>
              </w:rPr>
            </w:pPr>
          </w:p>
        </w:tc>
      </w:tr>
      <w:tr w14:paraId="657B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692B9E">
            <w:pPr>
              <w:pStyle w:val="37"/>
              <w:tabs>
                <w:tab w:val="left" w:pos="483"/>
              </w:tabs>
              <w:spacing w:before="104"/>
              <w:jc w:val="center"/>
              <w:rPr>
                <w:rFonts w:hint="eastAsia" w:ascii="宋体" w:hAnsi="宋体"/>
                <w:sz w:val="24"/>
                <w:highlight w:val="none"/>
              </w:rPr>
            </w:pPr>
            <w:r>
              <w:rPr>
                <w:rFonts w:hint="eastAsia" w:ascii="宋体" w:hAnsi="宋体"/>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FF384E">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19CEAF">
            <w:pPr>
              <w:pStyle w:val="37"/>
              <w:tabs>
                <w:tab w:val="left" w:pos="483"/>
              </w:tabs>
              <w:spacing w:before="104"/>
              <w:jc w:val="center"/>
              <w:rPr>
                <w:rFonts w:hint="eastAsia" w:ascii="宋体" w:hAnsi="宋体"/>
                <w:sz w:val="24"/>
                <w:highlight w:val="none"/>
              </w:rPr>
            </w:pPr>
            <w:r>
              <w:rPr>
                <w:rFonts w:hint="eastAsia" w:ascii="宋体" w:hAnsi="宋体"/>
                <w:sz w:val="24"/>
                <w:highlight w:val="none"/>
              </w:rPr>
              <w:t>学</w:t>
            </w:r>
            <w:r>
              <w:rPr>
                <w:rFonts w:hint="eastAsia" w:ascii="宋体" w:hAnsi="宋体"/>
                <w:sz w:val="24"/>
                <w:highlight w:val="none"/>
              </w:rPr>
              <w:tab/>
            </w:r>
            <w:r>
              <w:rPr>
                <w:rFonts w:hint="eastAsia" w:ascii="宋体" w:hAnsi="宋体"/>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860F7F">
            <w:pPr>
              <w:pStyle w:val="37"/>
              <w:tabs>
                <w:tab w:val="left" w:pos="483"/>
              </w:tabs>
              <w:spacing w:before="104"/>
              <w:jc w:val="center"/>
              <w:rPr>
                <w:rFonts w:hint="eastAsia" w:ascii="宋体" w:hAnsi="宋体"/>
                <w:sz w:val="24"/>
                <w:highlight w:val="none"/>
              </w:rPr>
            </w:pPr>
          </w:p>
        </w:tc>
      </w:tr>
      <w:tr w14:paraId="456A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1B9DE5">
            <w:pPr>
              <w:pStyle w:val="37"/>
              <w:tabs>
                <w:tab w:val="left" w:pos="483"/>
              </w:tabs>
              <w:spacing w:before="104"/>
              <w:jc w:val="center"/>
              <w:rPr>
                <w:rFonts w:hint="eastAsia" w:ascii="宋体" w:hAnsi="宋体"/>
                <w:sz w:val="24"/>
                <w:highlight w:val="none"/>
              </w:rPr>
            </w:pPr>
            <w:r>
              <w:rPr>
                <w:rFonts w:hint="eastAsia" w:ascii="宋体" w:hAnsi="宋体"/>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116B9C">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238F0E">
            <w:pPr>
              <w:pStyle w:val="37"/>
              <w:tabs>
                <w:tab w:val="left" w:pos="483"/>
              </w:tabs>
              <w:spacing w:before="104"/>
              <w:jc w:val="center"/>
              <w:rPr>
                <w:rFonts w:hint="eastAsia" w:ascii="宋体" w:hAnsi="宋体"/>
                <w:sz w:val="24"/>
                <w:highlight w:val="none"/>
              </w:rPr>
            </w:pPr>
            <w:r>
              <w:rPr>
                <w:rFonts w:hint="eastAsia" w:ascii="宋体" w:hAnsi="宋体"/>
                <w:sz w:val="24"/>
                <w:highlight w:val="none"/>
              </w:rPr>
              <w:t>职</w:t>
            </w:r>
            <w:r>
              <w:rPr>
                <w:rFonts w:hint="eastAsia" w:ascii="宋体" w:hAnsi="宋体"/>
                <w:sz w:val="24"/>
                <w:highlight w:val="none"/>
              </w:rPr>
              <w:tab/>
            </w:r>
            <w:r>
              <w:rPr>
                <w:rFonts w:hint="eastAsia" w:ascii="宋体" w:hAnsi="宋体"/>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C39880">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13B068">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37DFD2">
            <w:pPr>
              <w:pStyle w:val="37"/>
              <w:tabs>
                <w:tab w:val="left" w:pos="483"/>
              </w:tabs>
              <w:spacing w:before="104"/>
              <w:jc w:val="center"/>
              <w:rPr>
                <w:rFonts w:hint="eastAsia" w:ascii="宋体" w:hAnsi="宋体"/>
                <w:sz w:val="24"/>
                <w:highlight w:val="none"/>
              </w:rPr>
            </w:pPr>
          </w:p>
        </w:tc>
      </w:tr>
      <w:tr w14:paraId="1DC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EE8A71">
            <w:pPr>
              <w:pStyle w:val="37"/>
              <w:tabs>
                <w:tab w:val="left" w:pos="483"/>
              </w:tabs>
              <w:spacing w:before="104"/>
              <w:jc w:val="center"/>
              <w:rPr>
                <w:rFonts w:hint="eastAsia" w:ascii="宋体" w:hAnsi="宋体"/>
                <w:sz w:val="24"/>
                <w:highlight w:val="none"/>
              </w:rPr>
            </w:pPr>
            <w:r>
              <w:rPr>
                <w:rFonts w:hint="eastAsia" w:ascii="宋体" w:hAnsi="宋体"/>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82189A">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AD5E80">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88F2D1">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8DC26D">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4A9ECC">
            <w:pPr>
              <w:pStyle w:val="37"/>
              <w:tabs>
                <w:tab w:val="left" w:pos="483"/>
              </w:tabs>
              <w:spacing w:before="104"/>
              <w:jc w:val="center"/>
              <w:rPr>
                <w:rFonts w:hint="eastAsia" w:ascii="宋体" w:hAnsi="宋体"/>
                <w:sz w:val="24"/>
                <w:highlight w:val="none"/>
              </w:rPr>
            </w:pPr>
          </w:p>
        </w:tc>
      </w:tr>
      <w:tr w14:paraId="14D9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35E502">
            <w:pPr>
              <w:pStyle w:val="37"/>
              <w:tabs>
                <w:tab w:val="left" w:pos="483"/>
              </w:tabs>
              <w:spacing w:before="104"/>
              <w:jc w:val="center"/>
              <w:rPr>
                <w:rFonts w:hint="eastAsia" w:ascii="宋体" w:hAnsi="宋体"/>
                <w:sz w:val="24"/>
                <w:highlight w:val="none"/>
              </w:rPr>
            </w:pPr>
            <w:r>
              <w:rPr>
                <w:rFonts w:hint="eastAsia" w:ascii="宋体" w:hAnsi="宋体"/>
                <w:sz w:val="24"/>
                <w:highlight w:val="none"/>
              </w:rPr>
              <w:t>参加工作时间</w:t>
            </w:r>
          </w:p>
        </w:tc>
      </w:tr>
      <w:tr w14:paraId="7970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11E219">
            <w:pPr>
              <w:pStyle w:val="37"/>
              <w:tabs>
                <w:tab w:val="left" w:pos="483"/>
              </w:tabs>
              <w:spacing w:before="104"/>
              <w:jc w:val="center"/>
              <w:rPr>
                <w:rFonts w:hint="eastAsia" w:ascii="宋体" w:hAnsi="宋体"/>
                <w:sz w:val="24"/>
                <w:highlight w:val="none"/>
              </w:rPr>
            </w:pPr>
            <w:r>
              <w:rPr>
                <w:rFonts w:hint="eastAsia" w:ascii="宋体" w:hAnsi="宋体"/>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DAF30D">
            <w:pPr>
              <w:pStyle w:val="37"/>
              <w:tabs>
                <w:tab w:val="left" w:pos="483"/>
              </w:tabs>
              <w:spacing w:before="104"/>
              <w:jc w:val="center"/>
              <w:rPr>
                <w:rFonts w:hint="eastAsia" w:ascii="宋体" w:hAnsi="宋体"/>
                <w:sz w:val="24"/>
                <w:highlight w:val="none"/>
              </w:rPr>
            </w:pPr>
            <w:r>
              <w:rPr>
                <w:rFonts w:hint="eastAsia" w:ascii="宋体" w:hAnsi="宋体"/>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04E60C">
            <w:pPr>
              <w:pStyle w:val="37"/>
              <w:tabs>
                <w:tab w:val="left" w:pos="483"/>
              </w:tabs>
              <w:spacing w:before="104"/>
              <w:jc w:val="center"/>
              <w:rPr>
                <w:rFonts w:hint="eastAsia" w:ascii="宋体" w:hAnsi="宋体"/>
                <w:sz w:val="24"/>
                <w:highlight w:val="none"/>
              </w:rPr>
            </w:pPr>
            <w:r>
              <w:rPr>
                <w:rFonts w:hint="eastAsia" w:ascii="宋体" w:hAnsi="宋体"/>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EA6DEF">
            <w:pPr>
              <w:pStyle w:val="37"/>
              <w:tabs>
                <w:tab w:val="left" w:pos="483"/>
              </w:tabs>
              <w:spacing w:before="104"/>
              <w:jc w:val="center"/>
              <w:rPr>
                <w:rFonts w:hint="eastAsia" w:ascii="宋体" w:hAnsi="宋体"/>
                <w:sz w:val="24"/>
                <w:highlight w:val="none"/>
              </w:rPr>
            </w:pPr>
            <w:r>
              <w:rPr>
                <w:rFonts w:hint="eastAsia" w:ascii="宋体" w:hAnsi="宋体"/>
                <w:sz w:val="24"/>
                <w:highlight w:val="none"/>
              </w:rPr>
              <w:t>备注</w:t>
            </w:r>
          </w:p>
        </w:tc>
      </w:tr>
      <w:tr w14:paraId="144B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664265">
            <w:pPr>
              <w:pStyle w:val="37"/>
              <w:tabs>
                <w:tab w:val="left" w:pos="483"/>
              </w:tabs>
              <w:spacing w:before="104"/>
              <w:jc w:val="center"/>
              <w:rPr>
                <w:rFonts w:hint="eastAsia" w:ascii="宋体" w:hAnsi="宋体"/>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94D1A7">
            <w:pPr>
              <w:pStyle w:val="37"/>
              <w:tabs>
                <w:tab w:val="left" w:pos="483"/>
              </w:tabs>
              <w:spacing w:before="104"/>
              <w:jc w:val="center"/>
              <w:rPr>
                <w:rFonts w:hint="eastAsia" w:ascii="宋体" w:hAnsi="宋体"/>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499C48">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13195C">
            <w:pPr>
              <w:pStyle w:val="37"/>
              <w:tabs>
                <w:tab w:val="left" w:pos="483"/>
              </w:tabs>
              <w:spacing w:before="104"/>
              <w:jc w:val="center"/>
              <w:rPr>
                <w:rFonts w:hint="eastAsia" w:ascii="宋体" w:hAnsi="宋体"/>
                <w:sz w:val="24"/>
                <w:highlight w:val="none"/>
              </w:rPr>
            </w:pPr>
          </w:p>
        </w:tc>
      </w:tr>
      <w:tr w14:paraId="147C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C22FD2">
            <w:pPr>
              <w:pStyle w:val="37"/>
              <w:tabs>
                <w:tab w:val="left" w:pos="483"/>
              </w:tabs>
              <w:spacing w:before="104"/>
              <w:jc w:val="center"/>
              <w:rPr>
                <w:rFonts w:hint="eastAsia" w:ascii="宋体" w:hAnsi="宋体"/>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C830A6">
            <w:pPr>
              <w:pStyle w:val="37"/>
              <w:tabs>
                <w:tab w:val="left" w:pos="483"/>
              </w:tabs>
              <w:spacing w:before="104"/>
              <w:jc w:val="center"/>
              <w:rPr>
                <w:rFonts w:hint="eastAsia" w:ascii="宋体" w:hAnsi="宋体"/>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85772D">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4628F4">
            <w:pPr>
              <w:pStyle w:val="37"/>
              <w:tabs>
                <w:tab w:val="left" w:pos="483"/>
              </w:tabs>
              <w:spacing w:before="104"/>
              <w:jc w:val="center"/>
              <w:rPr>
                <w:rFonts w:hint="eastAsia" w:ascii="宋体" w:hAnsi="宋体"/>
                <w:sz w:val="24"/>
                <w:highlight w:val="none"/>
              </w:rPr>
            </w:pPr>
          </w:p>
        </w:tc>
      </w:tr>
      <w:tr w14:paraId="3925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76BBE9">
            <w:pPr>
              <w:pStyle w:val="37"/>
              <w:tabs>
                <w:tab w:val="left" w:pos="483"/>
              </w:tabs>
              <w:spacing w:before="104"/>
              <w:jc w:val="center"/>
              <w:rPr>
                <w:rFonts w:hint="eastAsia" w:ascii="宋体" w:hAnsi="宋体"/>
                <w:sz w:val="24"/>
                <w:highlight w:val="none"/>
                <w:lang w:eastAsia="zh-CN"/>
              </w:rPr>
            </w:pPr>
            <w:r>
              <w:rPr>
                <w:rFonts w:hint="eastAsia" w:ascii="宋体" w:hAnsi="宋体"/>
                <w:sz w:val="24"/>
                <w:highlight w:val="none"/>
                <w:lang w:eastAsia="zh-CN"/>
              </w:rPr>
              <w:t>已成功实施的类似项目情况</w:t>
            </w:r>
          </w:p>
        </w:tc>
      </w:tr>
      <w:tr w14:paraId="44087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38FEDC">
            <w:pPr>
              <w:pStyle w:val="37"/>
              <w:tabs>
                <w:tab w:val="left" w:pos="483"/>
              </w:tabs>
              <w:spacing w:before="104"/>
              <w:jc w:val="center"/>
              <w:rPr>
                <w:rFonts w:hint="eastAsia" w:ascii="宋体" w:hAnsi="宋体"/>
                <w:sz w:val="24"/>
                <w:highlight w:val="none"/>
              </w:rPr>
            </w:pPr>
            <w:r>
              <w:rPr>
                <w:rFonts w:hint="eastAsia" w:ascii="宋体" w:hAnsi="宋体"/>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FC8F6C">
            <w:pPr>
              <w:pStyle w:val="37"/>
              <w:tabs>
                <w:tab w:val="left" w:pos="483"/>
              </w:tabs>
              <w:spacing w:before="104"/>
              <w:jc w:val="center"/>
              <w:rPr>
                <w:rFonts w:hint="eastAsia" w:ascii="宋体" w:hAnsi="宋体"/>
                <w:sz w:val="24"/>
                <w:highlight w:val="none"/>
              </w:rPr>
            </w:pPr>
            <w:r>
              <w:rPr>
                <w:rFonts w:hint="eastAsia" w:ascii="宋体" w:hAnsi="宋体"/>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4E029A">
            <w:pPr>
              <w:pStyle w:val="37"/>
              <w:tabs>
                <w:tab w:val="left" w:pos="483"/>
              </w:tabs>
              <w:spacing w:before="104"/>
              <w:jc w:val="center"/>
              <w:rPr>
                <w:rFonts w:hint="eastAsia" w:ascii="宋体" w:hAnsi="宋体"/>
                <w:sz w:val="24"/>
                <w:highlight w:val="none"/>
              </w:rPr>
            </w:pPr>
            <w:r>
              <w:rPr>
                <w:rFonts w:hint="eastAsia" w:ascii="宋体" w:hAnsi="宋体"/>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08E781">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CA4139">
            <w:pPr>
              <w:pStyle w:val="37"/>
              <w:tabs>
                <w:tab w:val="left" w:pos="483"/>
              </w:tabs>
              <w:spacing w:before="104"/>
              <w:jc w:val="center"/>
              <w:rPr>
                <w:rFonts w:hint="eastAsia" w:ascii="宋体" w:hAnsi="宋体"/>
                <w:sz w:val="24"/>
                <w:highlight w:val="none"/>
              </w:rPr>
            </w:pPr>
            <w:r>
              <w:rPr>
                <w:rFonts w:hint="eastAsia" w:ascii="宋体" w:hAnsi="宋体"/>
                <w:sz w:val="24"/>
                <w:highlight w:val="none"/>
              </w:rPr>
              <w:t>项目类型</w:t>
            </w:r>
          </w:p>
        </w:tc>
      </w:tr>
      <w:tr w14:paraId="2B23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2C8DCB">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CC4D6">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85F1F">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A7A128">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9F0012">
            <w:pPr>
              <w:pStyle w:val="37"/>
              <w:tabs>
                <w:tab w:val="left" w:pos="483"/>
              </w:tabs>
              <w:spacing w:before="104"/>
              <w:jc w:val="center"/>
              <w:rPr>
                <w:rFonts w:hint="eastAsia" w:ascii="宋体" w:hAnsi="宋体"/>
                <w:sz w:val="24"/>
                <w:highlight w:val="none"/>
              </w:rPr>
            </w:pPr>
          </w:p>
        </w:tc>
      </w:tr>
      <w:tr w14:paraId="09A8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F6BACDA">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505A5E">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0BC6D4">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6C92BE">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216FE6">
            <w:pPr>
              <w:pStyle w:val="37"/>
              <w:tabs>
                <w:tab w:val="left" w:pos="483"/>
              </w:tabs>
              <w:spacing w:before="104"/>
              <w:jc w:val="center"/>
              <w:rPr>
                <w:rFonts w:hint="eastAsia" w:ascii="宋体" w:hAnsi="宋体"/>
                <w:sz w:val="24"/>
                <w:highlight w:val="none"/>
              </w:rPr>
            </w:pPr>
          </w:p>
        </w:tc>
      </w:tr>
      <w:tr w14:paraId="45B3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CE8812">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EABCBE">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7BE373">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4C2D0B">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BA1ADB">
            <w:pPr>
              <w:pStyle w:val="37"/>
              <w:tabs>
                <w:tab w:val="left" w:pos="483"/>
              </w:tabs>
              <w:spacing w:before="104"/>
              <w:jc w:val="center"/>
              <w:rPr>
                <w:rFonts w:hint="eastAsia" w:ascii="宋体" w:hAnsi="宋体"/>
                <w:sz w:val="24"/>
                <w:highlight w:val="none"/>
              </w:rPr>
            </w:pPr>
          </w:p>
        </w:tc>
      </w:tr>
      <w:tr w14:paraId="25B09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364640">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D1219C">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B183A">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EEA28A">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8B32CA">
            <w:pPr>
              <w:pStyle w:val="37"/>
              <w:tabs>
                <w:tab w:val="left" w:pos="483"/>
              </w:tabs>
              <w:spacing w:before="104"/>
              <w:jc w:val="center"/>
              <w:rPr>
                <w:rFonts w:hint="eastAsia" w:ascii="宋体" w:hAnsi="宋体"/>
                <w:sz w:val="24"/>
                <w:highlight w:val="none"/>
              </w:rPr>
            </w:pPr>
          </w:p>
        </w:tc>
      </w:tr>
      <w:tr w14:paraId="0728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C0F4EA">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41931B">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41ACEE">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11174D">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9EB313">
            <w:pPr>
              <w:pStyle w:val="37"/>
              <w:tabs>
                <w:tab w:val="left" w:pos="483"/>
              </w:tabs>
              <w:spacing w:before="104"/>
              <w:jc w:val="center"/>
              <w:rPr>
                <w:rFonts w:hint="eastAsia" w:ascii="宋体" w:hAnsi="宋体"/>
                <w:sz w:val="24"/>
                <w:highlight w:val="none"/>
              </w:rPr>
            </w:pPr>
          </w:p>
        </w:tc>
      </w:tr>
    </w:tbl>
    <w:p w14:paraId="1891C672">
      <w:pPr>
        <w:autoSpaceDE w:val="0"/>
        <w:autoSpaceDN w:val="0"/>
        <w:snapToGrid w:val="0"/>
        <w:spacing w:line="360" w:lineRule="auto"/>
        <w:rPr>
          <w:rFonts w:hint="eastAsia" w:ascii="宋体" w:hAnsi="宋体"/>
          <w:b/>
          <w:sz w:val="24"/>
          <w:highlight w:val="none"/>
        </w:rPr>
      </w:pPr>
      <w:r>
        <w:rPr>
          <w:rFonts w:hint="eastAsia" w:ascii="宋体" w:hAnsi="宋体"/>
          <w:b/>
          <w:sz w:val="24"/>
          <w:highlight w:val="none"/>
        </w:rPr>
        <w:t>参考格式，可酌情调整补充</w:t>
      </w:r>
    </w:p>
    <w:p w14:paraId="09E75AB3">
      <w:pPr>
        <w:rPr>
          <w:rFonts w:hint="eastAsia" w:ascii="宋体" w:hAnsi="宋体"/>
          <w:b/>
          <w:kern w:val="0"/>
          <w:sz w:val="32"/>
          <w:highlight w:val="none"/>
        </w:rPr>
      </w:pPr>
    </w:p>
    <w:p w14:paraId="0696C394">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DC88FA9">
      <w:pPr>
        <w:ind w:firstLine="2891" w:firstLineChars="900"/>
        <w:rPr>
          <w:rFonts w:hint="eastAsia"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1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6E7C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1C372A7">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30B8F6E5">
            <w:pPr>
              <w:spacing w:line="360" w:lineRule="auto"/>
              <w:jc w:val="center"/>
              <w:rPr>
                <w:rFonts w:hint="eastAsia" w:ascii="宋体" w:hAnsi="宋体" w:cs="宋体"/>
                <w:b/>
                <w:sz w:val="24"/>
                <w:highlight w:val="none"/>
              </w:rPr>
            </w:pPr>
            <w:r>
              <w:rPr>
                <w:rFonts w:hint="eastAsia" w:ascii="宋体" w:hAnsi="宋体" w:cs="宋体"/>
                <w:b/>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14:paraId="3951C6E5">
            <w:pPr>
              <w:spacing w:line="360" w:lineRule="auto"/>
              <w:jc w:val="center"/>
              <w:rPr>
                <w:rFonts w:hint="eastAsia" w:ascii="宋体" w:hAnsi="宋体" w:cs="宋体"/>
                <w:b/>
                <w:sz w:val="24"/>
                <w:highlight w:val="none"/>
              </w:rPr>
            </w:pPr>
          </w:p>
          <w:p w14:paraId="6D615248">
            <w:pPr>
              <w:spacing w:line="360" w:lineRule="auto"/>
              <w:jc w:val="center"/>
              <w:rPr>
                <w:rFonts w:hint="eastAsia" w:ascii="宋体" w:hAnsi="宋体" w:cs="宋体"/>
                <w:b/>
                <w:sz w:val="24"/>
                <w:highlight w:val="none"/>
              </w:rPr>
            </w:pPr>
            <w:r>
              <w:rPr>
                <w:rFonts w:hint="eastAsia" w:ascii="宋体" w:hAnsi="宋体" w:cs="宋体"/>
                <w:b/>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1C03D6BE">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05264581">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F954BD9">
            <w:pPr>
              <w:spacing w:line="360" w:lineRule="auto"/>
              <w:jc w:val="center"/>
              <w:rPr>
                <w:rFonts w:hint="eastAsia" w:ascii="宋体" w:hAnsi="宋体" w:cs="宋体"/>
                <w:b/>
                <w:sz w:val="24"/>
                <w:highlight w:val="none"/>
              </w:rPr>
            </w:pPr>
            <w:r>
              <w:rPr>
                <w:rFonts w:hint="eastAsia" w:ascii="宋体" w:hAnsi="宋体" w:cs="宋体"/>
                <w:b/>
                <w:sz w:val="24"/>
                <w:highlight w:val="none"/>
              </w:rPr>
              <w:t>备注</w:t>
            </w:r>
          </w:p>
        </w:tc>
      </w:tr>
      <w:tr w14:paraId="0C43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8692DDB">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7F690A1A">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5373964">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49B41B44">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31883486">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109DBCC">
            <w:pPr>
              <w:spacing w:line="360" w:lineRule="auto"/>
              <w:jc w:val="center"/>
              <w:rPr>
                <w:rFonts w:hint="eastAsia" w:ascii="宋体" w:hAnsi="宋体" w:cs="宋体"/>
                <w:sz w:val="24"/>
                <w:highlight w:val="none"/>
              </w:rPr>
            </w:pPr>
          </w:p>
        </w:tc>
      </w:tr>
      <w:tr w14:paraId="52F6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86B4748">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2713C4D9">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4C8BDFA">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247CA761">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4D96EB5E">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AC399A1">
            <w:pPr>
              <w:spacing w:line="360" w:lineRule="auto"/>
              <w:jc w:val="center"/>
              <w:rPr>
                <w:rFonts w:hint="eastAsia" w:ascii="宋体" w:hAnsi="宋体" w:cs="宋体"/>
                <w:sz w:val="24"/>
                <w:highlight w:val="none"/>
              </w:rPr>
            </w:pPr>
          </w:p>
        </w:tc>
      </w:tr>
      <w:tr w14:paraId="4D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162057C">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3420AE60">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A71909A">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3ECE13C1">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77E211CE">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199B674F">
            <w:pPr>
              <w:spacing w:line="360" w:lineRule="auto"/>
              <w:jc w:val="center"/>
              <w:rPr>
                <w:rFonts w:hint="eastAsia" w:ascii="宋体" w:hAnsi="宋体" w:cs="宋体"/>
                <w:sz w:val="24"/>
                <w:highlight w:val="none"/>
              </w:rPr>
            </w:pPr>
          </w:p>
        </w:tc>
      </w:tr>
    </w:tbl>
    <w:p w14:paraId="3451F7CF">
      <w:pPr>
        <w:spacing w:line="360" w:lineRule="auto"/>
        <w:ind w:right="420"/>
        <w:rPr>
          <w:rFonts w:hint="eastAsia" w:ascii="宋体" w:hAnsi="宋体" w:cs="宋体"/>
          <w:sz w:val="24"/>
          <w:highlight w:val="none"/>
        </w:rPr>
      </w:pPr>
      <w:r>
        <w:rPr>
          <w:rFonts w:hint="eastAsia" w:ascii="宋体" w:hAnsi="宋体" w:cs="宋体"/>
          <w:sz w:val="24"/>
          <w:highlight w:val="none"/>
        </w:rPr>
        <w:t>注：</w:t>
      </w:r>
    </w:p>
    <w:p w14:paraId="1DC5D02E">
      <w:pPr>
        <w:spacing w:line="360" w:lineRule="auto"/>
        <w:ind w:right="42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14:paraId="36AB7D1C">
      <w:pPr>
        <w:numPr>
          <w:ilvl w:val="-1"/>
          <w:numId w:val="0"/>
        </w:numPr>
        <w:spacing w:line="360" w:lineRule="auto"/>
        <w:ind w:right="420"/>
        <w:rPr>
          <w:rFonts w:hint="eastAsia" w:ascii="宋体" w:hAnsi="宋体" w:eastAsia="宋体" w:cs="宋体"/>
          <w:b/>
          <w:bCs/>
          <w:color w:val="auto"/>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b/>
          <w:bCs/>
          <w:color w:val="auto"/>
          <w:sz w:val="24"/>
          <w:highlight w:val="none"/>
          <w:lang w:val="en-US" w:eastAsia="zh-CN"/>
        </w:rPr>
        <w:t>如</w:t>
      </w:r>
      <w:r>
        <w:rPr>
          <w:rFonts w:hint="eastAsia" w:ascii="宋体" w:hAnsi="宋体" w:cs="宋体"/>
          <w:b/>
          <w:bCs/>
          <w:color w:val="auto"/>
          <w:sz w:val="24"/>
          <w:highlight w:val="none"/>
          <w:lang w:val="en-US" w:eastAsia="zh-CN"/>
        </w:rPr>
        <w:t>有投标产品与原有校园系统设备</w:t>
      </w:r>
      <w:r>
        <w:rPr>
          <w:rFonts w:hint="eastAsia" w:ascii="宋体" w:hAnsi="宋体" w:eastAsia="宋体" w:cs="宋体"/>
          <w:b/>
          <w:bCs/>
          <w:color w:val="auto"/>
          <w:sz w:val="24"/>
          <w:highlight w:val="none"/>
          <w:lang w:val="en-US" w:eastAsia="zh-CN"/>
        </w:rPr>
        <w:t>无法兼容，</w:t>
      </w:r>
      <w:r>
        <w:rPr>
          <w:rFonts w:hint="eastAsia" w:ascii="宋体" w:hAnsi="宋体" w:cs="宋体"/>
          <w:b/>
          <w:bCs/>
          <w:color w:val="auto"/>
          <w:sz w:val="24"/>
          <w:highlight w:val="none"/>
          <w:lang w:val="en-US" w:eastAsia="zh-CN"/>
        </w:rPr>
        <w:t>需要</w:t>
      </w:r>
      <w:r>
        <w:rPr>
          <w:rFonts w:hint="eastAsia" w:ascii="宋体" w:hAnsi="宋体" w:eastAsia="宋体" w:cs="宋体"/>
          <w:b/>
          <w:bCs/>
          <w:color w:val="auto"/>
          <w:sz w:val="24"/>
          <w:highlight w:val="none"/>
          <w:lang w:val="en-US" w:eastAsia="zh-CN"/>
        </w:rPr>
        <w:t>对涉及到的设备及平台进行替换或改造</w:t>
      </w:r>
      <w:r>
        <w:rPr>
          <w:rFonts w:hint="eastAsia" w:ascii="宋体" w:hAnsi="宋体" w:cs="宋体"/>
          <w:b/>
          <w:bCs/>
          <w:color w:val="auto"/>
          <w:sz w:val="24"/>
          <w:highlight w:val="none"/>
          <w:lang w:val="en-US" w:eastAsia="zh-CN"/>
        </w:rPr>
        <w:t>的</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须在《投标标的清单》中列明替换清单和数量，</w:t>
      </w:r>
      <w:r>
        <w:rPr>
          <w:rFonts w:hint="eastAsia" w:ascii="宋体" w:hAnsi="宋体" w:eastAsia="宋体" w:cs="宋体"/>
          <w:b/>
          <w:bCs/>
          <w:color w:val="auto"/>
          <w:sz w:val="24"/>
          <w:highlight w:val="none"/>
          <w:lang w:val="en-US" w:eastAsia="zh-CN"/>
        </w:rPr>
        <w:t>替换或改造后设备所有参数均不得低于现有设备</w:t>
      </w:r>
      <w:r>
        <w:rPr>
          <w:rFonts w:hint="eastAsia" w:ascii="宋体" w:hAnsi="宋体" w:cs="宋体"/>
          <w:b/>
          <w:bCs/>
          <w:color w:val="auto"/>
          <w:sz w:val="24"/>
          <w:highlight w:val="none"/>
          <w:lang w:val="en-US" w:eastAsia="zh-CN"/>
        </w:rPr>
        <w:t>。</w:t>
      </w:r>
    </w:p>
    <w:p w14:paraId="7CC0E648">
      <w:pPr>
        <w:spacing w:line="360" w:lineRule="auto"/>
        <w:ind w:right="420"/>
        <w:rPr>
          <w:rFonts w:hint="eastAsia" w:ascii="宋体" w:hAnsi="宋体" w:cs="宋体"/>
          <w:sz w:val="24"/>
          <w:highlight w:val="none"/>
        </w:rPr>
      </w:pPr>
    </w:p>
    <w:p w14:paraId="7BED29BE">
      <w:pPr>
        <w:jc w:val="center"/>
        <w:rPr>
          <w:rFonts w:hint="eastAsia" w:ascii="宋体" w:hAnsi="宋体" w:cs="宋体"/>
          <w:b/>
          <w:kern w:val="0"/>
          <w:sz w:val="32"/>
          <w:szCs w:val="32"/>
          <w:highlight w:val="none"/>
        </w:rPr>
      </w:pPr>
    </w:p>
    <w:p w14:paraId="32704509">
      <w:pPr>
        <w:jc w:val="center"/>
        <w:rPr>
          <w:rFonts w:hint="eastAsia" w:ascii="宋体" w:hAnsi="宋体" w:cs="宋体"/>
          <w:b/>
          <w:kern w:val="0"/>
          <w:sz w:val="32"/>
          <w:szCs w:val="32"/>
          <w:highlight w:val="none"/>
        </w:rPr>
      </w:pPr>
    </w:p>
    <w:p w14:paraId="078B3DD2">
      <w:pPr>
        <w:jc w:val="center"/>
        <w:rPr>
          <w:rFonts w:hint="eastAsia" w:ascii="宋体" w:hAnsi="宋体" w:cs="宋体"/>
          <w:b/>
          <w:kern w:val="0"/>
          <w:sz w:val="32"/>
          <w:szCs w:val="32"/>
          <w:highlight w:val="none"/>
        </w:rPr>
      </w:pPr>
    </w:p>
    <w:p w14:paraId="7B8E861D">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4FDC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0CEF4F09">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4097" w:type="dxa"/>
            <w:gridSpan w:val="2"/>
          </w:tcPr>
          <w:p w14:paraId="4655BB4C">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132" w:type="dxa"/>
          </w:tcPr>
          <w:p w14:paraId="1D5EBD48">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75316333">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60D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7E5C79DD">
            <w:pPr>
              <w:jc w:val="center"/>
              <w:rPr>
                <w:rFonts w:hint="eastAsia" w:ascii="宋体" w:hAnsi="宋体" w:cs="宋体"/>
                <w:b/>
                <w:bCs/>
                <w:sz w:val="24"/>
                <w:highlight w:val="none"/>
              </w:rPr>
            </w:pPr>
            <w:r>
              <w:rPr>
                <w:rFonts w:hint="eastAsia" w:ascii="宋体" w:hAnsi="宋体" w:cs="宋体"/>
                <w:b/>
                <w:bCs/>
                <w:sz w:val="24"/>
                <w:highlight w:val="none"/>
              </w:rPr>
              <w:t>商务偏离表</w:t>
            </w:r>
          </w:p>
        </w:tc>
      </w:tr>
      <w:tr w14:paraId="79A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7FED5B54">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4097" w:type="dxa"/>
            <w:gridSpan w:val="2"/>
          </w:tcPr>
          <w:p w14:paraId="3B5D9A16">
            <w:pPr>
              <w:jc w:val="center"/>
              <w:rPr>
                <w:rFonts w:hint="eastAsia" w:ascii="宋体" w:hAnsi="宋体" w:cs="宋体"/>
                <w:b/>
                <w:kern w:val="0"/>
                <w:sz w:val="32"/>
                <w:szCs w:val="32"/>
                <w:highlight w:val="none"/>
              </w:rPr>
            </w:pPr>
          </w:p>
        </w:tc>
        <w:tc>
          <w:tcPr>
            <w:tcW w:w="3132" w:type="dxa"/>
          </w:tcPr>
          <w:p w14:paraId="46537B65">
            <w:pPr>
              <w:jc w:val="center"/>
              <w:rPr>
                <w:rFonts w:hint="eastAsia" w:ascii="宋体" w:hAnsi="宋体" w:cs="宋体"/>
                <w:b/>
                <w:kern w:val="0"/>
                <w:sz w:val="32"/>
                <w:szCs w:val="32"/>
                <w:highlight w:val="none"/>
              </w:rPr>
            </w:pPr>
          </w:p>
        </w:tc>
        <w:tc>
          <w:tcPr>
            <w:tcW w:w="1276" w:type="dxa"/>
          </w:tcPr>
          <w:p w14:paraId="1269F683">
            <w:pPr>
              <w:jc w:val="center"/>
              <w:rPr>
                <w:rFonts w:hint="eastAsia" w:ascii="宋体" w:hAnsi="宋体" w:cs="宋体"/>
                <w:b/>
                <w:kern w:val="0"/>
                <w:sz w:val="32"/>
                <w:szCs w:val="32"/>
                <w:highlight w:val="none"/>
              </w:rPr>
            </w:pPr>
          </w:p>
        </w:tc>
      </w:tr>
      <w:tr w14:paraId="64D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232DAB80">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4097" w:type="dxa"/>
            <w:gridSpan w:val="2"/>
          </w:tcPr>
          <w:p w14:paraId="652BF749">
            <w:pPr>
              <w:jc w:val="center"/>
              <w:rPr>
                <w:rFonts w:hint="eastAsia" w:ascii="宋体" w:hAnsi="宋体" w:cs="宋体"/>
                <w:b/>
                <w:kern w:val="0"/>
                <w:sz w:val="32"/>
                <w:szCs w:val="32"/>
                <w:highlight w:val="none"/>
              </w:rPr>
            </w:pPr>
          </w:p>
        </w:tc>
        <w:tc>
          <w:tcPr>
            <w:tcW w:w="3132" w:type="dxa"/>
          </w:tcPr>
          <w:p w14:paraId="2EBCECD2">
            <w:pPr>
              <w:jc w:val="center"/>
              <w:rPr>
                <w:rFonts w:hint="eastAsia" w:ascii="宋体" w:hAnsi="宋体" w:cs="宋体"/>
                <w:b/>
                <w:kern w:val="0"/>
                <w:sz w:val="32"/>
                <w:szCs w:val="32"/>
                <w:highlight w:val="none"/>
              </w:rPr>
            </w:pPr>
          </w:p>
        </w:tc>
        <w:tc>
          <w:tcPr>
            <w:tcW w:w="1276" w:type="dxa"/>
          </w:tcPr>
          <w:p w14:paraId="161A2021">
            <w:pPr>
              <w:jc w:val="center"/>
              <w:rPr>
                <w:rFonts w:hint="eastAsia" w:ascii="宋体" w:hAnsi="宋体" w:cs="宋体"/>
                <w:b/>
                <w:kern w:val="0"/>
                <w:sz w:val="32"/>
                <w:szCs w:val="32"/>
                <w:highlight w:val="none"/>
              </w:rPr>
            </w:pPr>
          </w:p>
        </w:tc>
      </w:tr>
      <w:tr w14:paraId="713D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51F6B08A">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4097" w:type="dxa"/>
            <w:gridSpan w:val="2"/>
          </w:tcPr>
          <w:p w14:paraId="71551123">
            <w:pPr>
              <w:jc w:val="center"/>
              <w:rPr>
                <w:rFonts w:hint="eastAsia" w:ascii="宋体" w:hAnsi="宋体" w:cs="宋体"/>
                <w:b/>
                <w:kern w:val="0"/>
                <w:sz w:val="32"/>
                <w:szCs w:val="32"/>
                <w:highlight w:val="none"/>
              </w:rPr>
            </w:pPr>
          </w:p>
        </w:tc>
        <w:tc>
          <w:tcPr>
            <w:tcW w:w="3132" w:type="dxa"/>
          </w:tcPr>
          <w:p w14:paraId="34DADCB4">
            <w:pPr>
              <w:jc w:val="center"/>
              <w:rPr>
                <w:rFonts w:hint="eastAsia" w:ascii="宋体" w:hAnsi="宋体" w:cs="宋体"/>
                <w:b/>
                <w:kern w:val="0"/>
                <w:sz w:val="32"/>
                <w:szCs w:val="32"/>
                <w:highlight w:val="none"/>
              </w:rPr>
            </w:pPr>
          </w:p>
        </w:tc>
        <w:tc>
          <w:tcPr>
            <w:tcW w:w="1276" w:type="dxa"/>
          </w:tcPr>
          <w:p w14:paraId="0A1A3D1D">
            <w:pPr>
              <w:jc w:val="center"/>
              <w:rPr>
                <w:rFonts w:hint="eastAsia" w:ascii="宋体" w:hAnsi="宋体" w:cs="宋体"/>
                <w:b/>
                <w:kern w:val="0"/>
                <w:sz w:val="32"/>
                <w:szCs w:val="32"/>
                <w:highlight w:val="none"/>
              </w:rPr>
            </w:pPr>
          </w:p>
        </w:tc>
      </w:tr>
      <w:tr w14:paraId="14F1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506DE85E">
            <w:pPr>
              <w:jc w:val="center"/>
              <w:rPr>
                <w:rFonts w:hint="eastAsia" w:ascii="宋体" w:hAnsi="宋体" w:cs="宋体"/>
                <w:b/>
                <w:kern w:val="0"/>
                <w:sz w:val="32"/>
                <w:szCs w:val="32"/>
                <w:highlight w:val="none"/>
              </w:rPr>
            </w:pPr>
            <w:r>
              <w:rPr>
                <w:rFonts w:hint="eastAsia" w:ascii="宋体" w:hAnsi="宋体" w:cs="宋体"/>
                <w:b/>
                <w:bCs/>
                <w:sz w:val="24"/>
                <w:highlight w:val="none"/>
              </w:rPr>
              <w:t>技术偏离表</w:t>
            </w:r>
          </w:p>
        </w:tc>
      </w:tr>
      <w:tr w14:paraId="7AFD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48A6D570">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1236" w:type="dxa"/>
            <w:gridSpan w:val="2"/>
          </w:tcPr>
          <w:p w14:paraId="0D7D51E5">
            <w:pPr>
              <w:jc w:val="center"/>
              <w:rPr>
                <w:rFonts w:hint="eastAsia" w:ascii="宋体" w:hAnsi="宋体" w:cs="宋体"/>
                <w:b/>
                <w:bCs/>
                <w:sz w:val="24"/>
                <w:highlight w:val="none"/>
              </w:rPr>
            </w:pPr>
            <w:r>
              <w:rPr>
                <w:rFonts w:hint="eastAsia" w:ascii="宋体" w:hAnsi="宋体" w:cs="宋体"/>
                <w:b/>
                <w:bCs/>
                <w:sz w:val="24"/>
                <w:highlight w:val="none"/>
              </w:rPr>
              <w:t>货物名称/型号</w:t>
            </w:r>
          </w:p>
        </w:tc>
        <w:tc>
          <w:tcPr>
            <w:tcW w:w="3225" w:type="dxa"/>
          </w:tcPr>
          <w:p w14:paraId="03F1E689">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132" w:type="dxa"/>
          </w:tcPr>
          <w:p w14:paraId="3ED29832">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1159E73B">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3D49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D568ABB">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236" w:type="dxa"/>
            <w:gridSpan w:val="2"/>
          </w:tcPr>
          <w:p w14:paraId="25608739">
            <w:pPr>
              <w:jc w:val="center"/>
              <w:rPr>
                <w:rFonts w:hint="eastAsia" w:ascii="宋体" w:hAnsi="宋体" w:cs="宋体"/>
                <w:b/>
                <w:kern w:val="0"/>
                <w:sz w:val="32"/>
                <w:szCs w:val="32"/>
                <w:highlight w:val="none"/>
              </w:rPr>
            </w:pPr>
          </w:p>
        </w:tc>
        <w:tc>
          <w:tcPr>
            <w:tcW w:w="3225" w:type="dxa"/>
          </w:tcPr>
          <w:p w14:paraId="1D1296AB">
            <w:pPr>
              <w:jc w:val="center"/>
              <w:rPr>
                <w:rFonts w:hint="eastAsia" w:ascii="宋体" w:hAnsi="宋体" w:cs="宋体"/>
                <w:b/>
                <w:kern w:val="0"/>
                <w:sz w:val="32"/>
                <w:szCs w:val="32"/>
                <w:highlight w:val="none"/>
              </w:rPr>
            </w:pPr>
          </w:p>
        </w:tc>
        <w:tc>
          <w:tcPr>
            <w:tcW w:w="3132" w:type="dxa"/>
          </w:tcPr>
          <w:p w14:paraId="24B5F09A">
            <w:pPr>
              <w:jc w:val="center"/>
              <w:rPr>
                <w:rFonts w:hint="eastAsia" w:ascii="宋体" w:hAnsi="宋体" w:cs="宋体"/>
                <w:b/>
                <w:kern w:val="0"/>
                <w:sz w:val="32"/>
                <w:szCs w:val="32"/>
                <w:highlight w:val="none"/>
              </w:rPr>
            </w:pPr>
          </w:p>
        </w:tc>
        <w:tc>
          <w:tcPr>
            <w:tcW w:w="1276" w:type="dxa"/>
          </w:tcPr>
          <w:p w14:paraId="2FC18223">
            <w:pPr>
              <w:jc w:val="center"/>
              <w:rPr>
                <w:rFonts w:hint="eastAsia" w:ascii="宋体" w:hAnsi="宋体" w:cs="宋体"/>
                <w:b/>
                <w:kern w:val="0"/>
                <w:sz w:val="32"/>
                <w:szCs w:val="32"/>
                <w:highlight w:val="none"/>
              </w:rPr>
            </w:pPr>
          </w:p>
        </w:tc>
      </w:tr>
      <w:tr w14:paraId="745F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85B6361">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1236" w:type="dxa"/>
            <w:gridSpan w:val="2"/>
          </w:tcPr>
          <w:p w14:paraId="52C121BE">
            <w:pPr>
              <w:jc w:val="center"/>
              <w:rPr>
                <w:rFonts w:hint="eastAsia" w:ascii="宋体" w:hAnsi="宋体" w:cs="宋体"/>
                <w:b/>
                <w:kern w:val="0"/>
                <w:sz w:val="32"/>
                <w:szCs w:val="32"/>
                <w:highlight w:val="none"/>
              </w:rPr>
            </w:pPr>
          </w:p>
        </w:tc>
        <w:tc>
          <w:tcPr>
            <w:tcW w:w="3225" w:type="dxa"/>
          </w:tcPr>
          <w:p w14:paraId="6178B24A">
            <w:pPr>
              <w:jc w:val="center"/>
              <w:rPr>
                <w:rFonts w:hint="eastAsia" w:ascii="宋体" w:hAnsi="宋体" w:cs="宋体"/>
                <w:b/>
                <w:kern w:val="0"/>
                <w:sz w:val="32"/>
                <w:szCs w:val="32"/>
                <w:highlight w:val="none"/>
              </w:rPr>
            </w:pPr>
          </w:p>
        </w:tc>
        <w:tc>
          <w:tcPr>
            <w:tcW w:w="3132" w:type="dxa"/>
          </w:tcPr>
          <w:p w14:paraId="1EA59050">
            <w:pPr>
              <w:jc w:val="center"/>
              <w:rPr>
                <w:rFonts w:hint="eastAsia" w:ascii="宋体" w:hAnsi="宋体" w:cs="宋体"/>
                <w:b/>
                <w:kern w:val="0"/>
                <w:sz w:val="32"/>
                <w:szCs w:val="32"/>
                <w:highlight w:val="none"/>
              </w:rPr>
            </w:pPr>
          </w:p>
        </w:tc>
        <w:tc>
          <w:tcPr>
            <w:tcW w:w="1276" w:type="dxa"/>
          </w:tcPr>
          <w:p w14:paraId="4E6F4413">
            <w:pPr>
              <w:jc w:val="center"/>
              <w:rPr>
                <w:rFonts w:hint="eastAsia" w:ascii="宋体" w:hAnsi="宋体" w:cs="宋体"/>
                <w:b/>
                <w:kern w:val="0"/>
                <w:sz w:val="32"/>
                <w:szCs w:val="32"/>
                <w:highlight w:val="none"/>
              </w:rPr>
            </w:pPr>
          </w:p>
        </w:tc>
      </w:tr>
      <w:tr w14:paraId="425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0245F30">
            <w:pPr>
              <w:jc w:val="center"/>
              <w:rPr>
                <w:rFonts w:hint="eastAsia" w:ascii="宋体" w:hAnsi="宋体" w:cs="宋体"/>
                <w:kern w:val="0"/>
                <w:sz w:val="24"/>
                <w:highlight w:val="none"/>
              </w:rPr>
            </w:pPr>
            <w:r>
              <w:rPr>
                <w:rFonts w:hint="eastAsia" w:ascii="宋体" w:hAnsi="宋体" w:cs="宋体"/>
                <w:kern w:val="0"/>
                <w:sz w:val="24"/>
                <w:highlight w:val="none"/>
              </w:rPr>
              <w:t>3</w:t>
            </w:r>
          </w:p>
        </w:tc>
        <w:tc>
          <w:tcPr>
            <w:tcW w:w="1236" w:type="dxa"/>
            <w:gridSpan w:val="2"/>
          </w:tcPr>
          <w:p w14:paraId="42ACE577">
            <w:pPr>
              <w:jc w:val="center"/>
              <w:rPr>
                <w:rFonts w:hint="eastAsia" w:ascii="宋体" w:hAnsi="宋体" w:cs="宋体"/>
                <w:b/>
                <w:kern w:val="0"/>
                <w:sz w:val="32"/>
                <w:szCs w:val="32"/>
                <w:highlight w:val="none"/>
              </w:rPr>
            </w:pPr>
          </w:p>
        </w:tc>
        <w:tc>
          <w:tcPr>
            <w:tcW w:w="3225" w:type="dxa"/>
          </w:tcPr>
          <w:p w14:paraId="60C356A7">
            <w:pPr>
              <w:jc w:val="center"/>
              <w:rPr>
                <w:rFonts w:hint="eastAsia" w:ascii="宋体" w:hAnsi="宋体" w:cs="宋体"/>
                <w:b/>
                <w:kern w:val="0"/>
                <w:sz w:val="32"/>
                <w:szCs w:val="32"/>
                <w:highlight w:val="none"/>
              </w:rPr>
            </w:pPr>
          </w:p>
        </w:tc>
        <w:tc>
          <w:tcPr>
            <w:tcW w:w="3132" w:type="dxa"/>
          </w:tcPr>
          <w:p w14:paraId="199285B1">
            <w:pPr>
              <w:jc w:val="center"/>
              <w:rPr>
                <w:rFonts w:hint="eastAsia" w:ascii="宋体" w:hAnsi="宋体" w:cs="宋体"/>
                <w:b/>
                <w:kern w:val="0"/>
                <w:sz w:val="32"/>
                <w:szCs w:val="32"/>
                <w:highlight w:val="none"/>
              </w:rPr>
            </w:pPr>
          </w:p>
        </w:tc>
        <w:tc>
          <w:tcPr>
            <w:tcW w:w="1276" w:type="dxa"/>
          </w:tcPr>
          <w:p w14:paraId="7914FCA6">
            <w:pPr>
              <w:jc w:val="center"/>
              <w:rPr>
                <w:rFonts w:hint="eastAsia" w:ascii="宋体" w:hAnsi="宋体" w:cs="宋体"/>
                <w:b/>
                <w:kern w:val="0"/>
                <w:sz w:val="32"/>
                <w:szCs w:val="32"/>
                <w:highlight w:val="none"/>
              </w:rPr>
            </w:pPr>
          </w:p>
        </w:tc>
      </w:tr>
    </w:tbl>
    <w:p w14:paraId="37C3312A">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投标人保证：除商务技术偏离表列出的偏离外，投标人响应招标文件的全部要求。有佐证材料的请标明佐证材料页码。</w:t>
      </w:r>
    </w:p>
    <w:p w14:paraId="567AA372">
      <w:pPr>
        <w:spacing w:line="360" w:lineRule="auto"/>
        <w:jc w:val="center"/>
        <w:rPr>
          <w:rFonts w:hint="eastAsia" w:ascii="宋体" w:hAnsi="宋体" w:cs="宋体"/>
          <w:b/>
          <w:kern w:val="0"/>
          <w:sz w:val="24"/>
          <w:highlight w:val="none"/>
        </w:rPr>
      </w:pPr>
    </w:p>
    <w:p w14:paraId="50DEE32D">
      <w:pPr>
        <w:spacing w:line="360" w:lineRule="auto"/>
        <w:ind w:right="420"/>
        <w:rPr>
          <w:rFonts w:hint="eastAsia" w:ascii="宋体" w:hAnsi="宋体" w:cs="宋体"/>
          <w:b/>
          <w:bCs/>
          <w:sz w:val="24"/>
          <w:highlight w:val="none"/>
        </w:rPr>
      </w:pPr>
      <w:r>
        <w:rPr>
          <w:rFonts w:hint="eastAsia" w:ascii="宋体" w:hAnsi="宋体" w:cs="宋体"/>
          <w:sz w:val="24"/>
          <w:highlight w:val="none"/>
        </w:rPr>
        <w:t>注：按本格式和要求提供。</w:t>
      </w:r>
    </w:p>
    <w:p w14:paraId="408B1EB8">
      <w:pPr>
        <w:ind w:firstLine="1911" w:firstLineChars="595"/>
        <w:rPr>
          <w:rFonts w:hint="eastAsia" w:ascii="宋体" w:hAnsi="宋体" w:cs="宋体"/>
          <w:b/>
          <w:bCs/>
          <w:sz w:val="32"/>
          <w:szCs w:val="32"/>
          <w:highlight w:val="none"/>
        </w:rPr>
      </w:pPr>
    </w:p>
    <w:p w14:paraId="6BD8D4B1">
      <w:pPr>
        <w:ind w:firstLine="1911" w:firstLineChars="595"/>
        <w:rPr>
          <w:rFonts w:hint="eastAsia" w:ascii="宋体" w:hAnsi="宋体" w:cs="宋体"/>
          <w:b/>
          <w:bCs/>
          <w:sz w:val="32"/>
          <w:szCs w:val="32"/>
          <w:highlight w:val="none"/>
        </w:rPr>
      </w:pPr>
    </w:p>
    <w:p w14:paraId="5997AFEA">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01D57F98">
      <w:pPr>
        <w:spacing w:line="360" w:lineRule="auto"/>
        <w:jc w:val="center"/>
        <w:rPr>
          <w:rFonts w:hint="eastAsia"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19AAB91C">
      <w:pPr>
        <w:adjustRightInd/>
        <w:snapToGrid w:val="0"/>
        <w:spacing w:line="360" w:lineRule="auto"/>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杭州高级中学临平学校、</w:t>
      </w:r>
      <w:r>
        <w:rPr>
          <w:rFonts w:hint="eastAsia" w:ascii="宋体" w:hAnsi="宋体" w:cs="仿宋_GB2312"/>
          <w:snapToGrid w:val="0"/>
          <w:kern w:val="0"/>
          <w:sz w:val="24"/>
          <w:szCs w:val="20"/>
          <w:highlight w:val="none"/>
          <w:lang w:eastAsia="zh-CN"/>
        </w:rPr>
        <w:t>欧邦工程管理集团有限公司</w:t>
      </w:r>
      <w:r>
        <w:rPr>
          <w:rFonts w:hint="eastAsia" w:ascii="宋体" w:hAnsi="宋体" w:cs="仿宋_GB2312"/>
          <w:snapToGrid w:val="0"/>
          <w:kern w:val="0"/>
          <w:sz w:val="24"/>
          <w:szCs w:val="20"/>
          <w:highlight w:val="none"/>
        </w:rPr>
        <w:t>：</w:t>
      </w:r>
    </w:p>
    <w:p w14:paraId="1B400FD3">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我单位响应你单位项目招标要求参加投标。在这次投标过程中和中标后，我们将严格遵守国家法律法规要求，并郑重承诺：</w:t>
      </w:r>
    </w:p>
    <w:p w14:paraId="2E96D853">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一、不向项目有关人员及部门赠送礼金礼物、有价证券、回扣以及中介费、介绍费、咨询费等好处费； </w:t>
      </w:r>
    </w:p>
    <w:p w14:paraId="545CBA95">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二、不为项目有关人员及部门报销应由你方单位或个人支付的费用； </w:t>
      </w:r>
    </w:p>
    <w:p w14:paraId="210AB41F">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三、不向项目有关人员及部门提供有可能影响公正的宴请和健身娱乐等活动； </w:t>
      </w:r>
    </w:p>
    <w:p w14:paraId="322D2404">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四、不为项目有关人员及部门出国（境）、旅游等提供方便；</w:t>
      </w:r>
    </w:p>
    <w:p w14:paraId="3DACB942">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五、不为项目有关人员个人装修住房、婚丧嫁娶、配偶子女工作安排等提供</w:t>
      </w:r>
    </w:p>
    <w:p w14:paraId="7A57617E">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好处；</w:t>
      </w:r>
    </w:p>
    <w:p w14:paraId="3F756901">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6192A851">
      <w:pPr>
        <w:adjustRightInd/>
        <w:snapToGrid w:val="0"/>
        <w:spacing w:line="360" w:lineRule="auto"/>
        <w:ind w:firstLine="424" w:firstLineChars="177"/>
        <w:rPr>
          <w:rFonts w:hint="eastAsia" w:ascii="宋体" w:hAnsi="宋体" w:cs="宋体"/>
          <w:kern w:val="0"/>
          <w:sz w:val="24"/>
          <w:highlight w:val="none"/>
          <w:lang w:val="zh-CN"/>
        </w:rPr>
      </w:pPr>
      <w:r>
        <w:rPr>
          <w:rFonts w:hint="eastAsia" w:ascii="宋体" w:hAnsi="宋体" w:cs="仿宋_GB2312"/>
          <w:snapToGrid w:val="0"/>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9993458">
      <w:pPr>
        <w:adjustRightInd/>
        <w:snapToGrid w:val="0"/>
        <w:spacing w:line="336" w:lineRule="auto"/>
        <w:ind w:firstLine="4915" w:firstLineChars="2048"/>
        <w:rPr>
          <w:rFonts w:hint="eastAsia" w:ascii="宋体" w:hAnsi="宋体" w:cs="宋体"/>
          <w:kern w:val="0"/>
          <w:sz w:val="24"/>
          <w:highlight w:val="none"/>
          <w:lang w:val="zh-CN"/>
        </w:rPr>
      </w:pPr>
    </w:p>
    <w:p w14:paraId="6C340ACD">
      <w:pPr>
        <w:adjustRightInd/>
        <w:snapToGrid w:val="0"/>
        <w:spacing w:line="336" w:lineRule="auto"/>
        <w:ind w:firstLine="4915" w:firstLineChars="2048"/>
        <w:rPr>
          <w:rFonts w:hint="eastAsia" w:ascii="宋体" w:hAnsi="宋体" w:cs="宋体"/>
          <w:kern w:val="0"/>
          <w:sz w:val="24"/>
          <w:highlight w:val="none"/>
          <w:lang w:val="zh-CN"/>
        </w:rPr>
      </w:pPr>
    </w:p>
    <w:p w14:paraId="3BDAE221">
      <w:pPr>
        <w:adjustRightInd/>
        <w:snapToGrid w:val="0"/>
        <w:spacing w:line="336" w:lineRule="auto"/>
        <w:ind w:firstLine="4915" w:firstLineChars="2048"/>
        <w:rPr>
          <w:rFonts w:hint="eastAsia" w:ascii="宋体" w:hAnsi="宋体" w:cs="仿宋_GB2312"/>
          <w:snapToGrid w:val="0"/>
          <w:kern w:val="0"/>
          <w:sz w:val="24"/>
          <w:szCs w:val="20"/>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w:t>
      </w:r>
    </w:p>
    <w:p w14:paraId="7B093FF7">
      <w:pPr>
        <w:spacing w:line="360" w:lineRule="auto"/>
        <w:jc w:val="center"/>
        <w:rPr>
          <w:rFonts w:hint="eastAsia" w:ascii="宋体" w:hAnsi="宋体" w:cs="宋体"/>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C430FC7">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408C6AF7">
      <w:pPr>
        <w:spacing w:line="360" w:lineRule="auto"/>
        <w:jc w:val="center"/>
        <w:rPr>
          <w:rFonts w:hint="eastAsia"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D013002">
      <w:pPr>
        <w:spacing w:line="360" w:lineRule="auto"/>
        <w:jc w:val="center"/>
        <w:outlineLvl w:val="0"/>
        <w:rPr>
          <w:rFonts w:hint="eastAsia" w:ascii="宋体" w:hAnsi="宋体" w:cs="宋体"/>
          <w:b/>
          <w:kern w:val="0"/>
          <w:sz w:val="36"/>
          <w:szCs w:val="36"/>
          <w:highlight w:val="none"/>
        </w:rPr>
      </w:pPr>
    </w:p>
    <w:p w14:paraId="72F2C741">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27DF4D39">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6123712E">
      <w:pPr>
        <w:spacing w:line="360" w:lineRule="auto"/>
        <w:jc w:val="center"/>
        <w:outlineLvl w:val="0"/>
        <w:rPr>
          <w:rFonts w:hint="eastAsia" w:ascii="宋体" w:hAnsi="宋体" w:cs="宋体"/>
          <w:b/>
          <w:kern w:val="0"/>
          <w:sz w:val="36"/>
          <w:szCs w:val="36"/>
          <w:highlight w:val="none"/>
        </w:rPr>
      </w:pPr>
    </w:p>
    <w:p w14:paraId="6DA445BD">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14:paraId="1EE880F7">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报价情况说明…………………………………………………………………（页码）</w:t>
      </w:r>
    </w:p>
    <w:p w14:paraId="5C0A495C">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中小企业声明函………………………………………………………………（页码）</w:t>
      </w:r>
    </w:p>
    <w:p w14:paraId="2EBC2BAF">
      <w:pPr>
        <w:snapToGrid w:val="0"/>
        <w:spacing w:line="360" w:lineRule="auto"/>
        <w:ind w:right="480"/>
        <w:jc w:val="center"/>
        <w:rPr>
          <w:rFonts w:hint="eastAsia" w:ascii="宋体" w:hAnsi="宋体" w:cs="宋体"/>
          <w:b/>
          <w:kern w:val="0"/>
          <w:sz w:val="32"/>
          <w:szCs w:val="32"/>
          <w:highlight w:val="none"/>
        </w:rPr>
      </w:pPr>
    </w:p>
    <w:p w14:paraId="34638044">
      <w:pPr>
        <w:snapToGrid w:val="0"/>
        <w:spacing w:line="360" w:lineRule="auto"/>
        <w:ind w:right="480"/>
        <w:jc w:val="center"/>
        <w:rPr>
          <w:rFonts w:hint="eastAsia" w:ascii="宋体" w:hAnsi="宋体" w:cs="宋体"/>
          <w:b/>
          <w:kern w:val="0"/>
          <w:sz w:val="32"/>
          <w:szCs w:val="32"/>
          <w:highlight w:val="none"/>
        </w:rPr>
      </w:pPr>
    </w:p>
    <w:p w14:paraId="39E4DC7E">
      <w:pPr>
        <w:snapToGrid w:val="0"/>
        <w:spacing w:line="360" w:lineRule="auto"/>
        <w:ind w:right="480"/>
        <w:jc w:val="center"/>
        <w:rPr>
          <w:rFonts w:hint="eastAsia" w:ascii="宋体" w:hAnsi="宋体" w:cs="宋体"/>
          <w:b/>
          <w:kern w:val="0"/>
          <w:sz w:val="32"/>
          <w:szCs w:val="32"/>
          <w:highlight w:val="none"/>
        </w:rPr>
      </w:pPr>
    </w:p>
    <w:p w14:paraId="666BBA25">
      <w:pPr>
        <w:snapToGrid w:val="0"/>
        <w:spacing w:line="360" w:lineRule="auto"/>
        <w:ind w:right="480"/>
        <w:jc w:val="center"/>
        <w:rPr>
          <w:rFonts w:hint="eastAsia" w:ascii="宋体" w:hAnsi="宋体" w:cs="宋体"/>
          <w:b/>
          <w:kern w:val="0"/>
          <w:sz w:val="32"/>
          <w:szCs w:val="32"/>
          <w:highlight w:val="none"/>
        </w:rPr>
      </w:pPr>
    </w:p>
    <w:p w14:paraId="60A25944">
      <w:pPr>
        <w:snapToGrid w:val="0"/>
        <w:spacing w:line="360" w:lineRule="auto"/>
        <w:ind w:right="480"/>
        <w:jc w:val="center"/>
        <w:rPr>
          <w:rFonts w:hint="eastAsia" w:ascii="宋体" w:hAnsi="宋体" w:cs="宋体"/>
          <w:b/>
          <w:kern w:val="0"/>
          <w:sz w:val="32"/>
          <w:szCs w:val="32"/>
          <w:highlight w:val="none"/>
        </w:rPr>
      </w:pPr>
    </w:p>
    <w:p w14:paraId="752FF025">
      <w:pPr>
        <w:snapToGrid w:val="0"/>
        <w:spacing w:line="360" w:lineRule="auto"/>
        <w:ind w:right="480"/>
        <w:jc w:val="center"/>
        <w:rPr>
          <w:rFonts w:hint="eastAsia" w:ascii="宋体" w:hAnsi="宋体" w:cs="宋体"/>
          <w:b/>
          <w:kern w:val="0"/>
          <w:sz w:val="32"/>
          <w:szCs w:val="32"/>
          <w:highlight w:val="none"/>
        </w:rPr>
      </w:pPr>
    </w:p>
    <w:p w14:paraId="15CEA873">
      <w:pPr>
        <w:snapToGrid w:val="0"/>
        <w:spacing w:line="360" w:lineRule="auto"/>
        <w:ind w:right="480"/>
        <w:jc w:val="center"/>
        <w:rPr>
          <w:rFonts w:hint="eastAsia" w:ascii="宋体" w:hAnsi="宋体" w:cs="宋体"/>
          <w:b/>
          <w:kern w:val="0"/>
          <w:sz w:val="32"/>
          <w:szCs w:val="32"/>
          <w:highlight w:val="none"/>
        </w:rPr>
      </w:pPr>
    </w:p>
    <w:p w14:paraId="42350F27">
      <w:pPr>
        <w:snapToGrid w:val="0"/>
        <w:spacing w:line="360" w:lineRule="auto"/>
        <w:ind w:right="480"/>
        <w:jc w:val="center"/>
        <w:rPr>
          <w:rFonts w:hint="eastAsia" w:ascii="宋体" w:hAnsi="宋体" w:cs="宋体"/>
          <w:b/>
          <w:kern w:val="0"/>
          <w:sz w:val="32"/>
          <w:szCs w:val="32"/>
          <w:highlight w:val="none"/>
        </w:rPr>
      </w:pPr>
    </w:p>
    <w:p w14:paraId="11A1E7CD">
      <w:pPr>
        <w:snapToGrid w:val="0"/>
        <w:spacing w:line="360" w:lineRule="auto"/>
        <w:ind w:right="480"/>
        <w:jc w:val="center"/>
        <w:rPr>
          <w:rFonts w:hint="eastAsia" w:ascii="宋体" w:hAnsi="宋体" w:cs="宋体"/>
          <w:b/>
          <w:kern w:val="0"/>
          <w:sz w:val="32"/>
          <w:szCs w:val="32"/>
          <w:highlight w:val="none"/>
        </w:rPr>
      </w:pPr>
    </w:p>
    <w:p w14:paraId="00A9686A">
      <w:pPr>
        <w:snapToGrid w:val="0"/>
        <w:spacing w:line="360" w:lineRule="auto"/>
        <w:ind w:right="480"/>
        <w:jc w:val="center"/>
        <w:rPr>
          <w:rFonts w:hint="eastAsia" w:ascii="宋体" w:hAnsi="宋体" w:cs="宋体"/>
          <w:b/>
          <w:kern w:val="0"/>
          <w:sz w:val="32"/>
          <w:szCs w:val="32"/>
          <w:highlight w:val="none"/>
        </w:rPr>
      </w:pPr>
    </w:p>
    <w:p w14:paraId="74675309">
      <w:pPr>
        <w:snapToGrid w:val="0"/>
        <w:spacing w:line="360" w:lineRule="auto"/>
        <w:ind w:right="480"/>
        <w:jc w:val="center"/>
        <w:rPr>
          <w:rFonts w:hint="eastAsia" w:ascii="宋体" w:hAnsi="宋体" w:cs="宋体"/>
          <w:b/>
          <w:kern w:val="0"/>
          <w:sz w:val="32"/>
          <w:szCs w:val="32"/>
          <w:highlight w:val="none"/>
        </w:rPr>
      </w:pPr>
    </w:p>
    <w:p w14:paraId="1818B781">
      <w:pPr>
        <w:snapToGrid w:val="0"/>
        <w:spacing w:line="360" w:lineRule="auto"/>
        <w:ind w:right="480"/>
        <w:jc w:val="center"/>
        <w:rPr>
          <w:rFonts w:hint="eastAsia" w:ascii="宋体" w:hAnsi="宋体" w:cs="宋体"/>
          <w:b/>
          <w:kern w:val="0"/>
          <w:sz w:val="32"/>
          <w:szCs w:val="32"/>
          <w:highlight w:val="none"/>
        </w:rPr>
      </w:pPr>
    </w:p>
    <w:p w14:paraId="1E788743">
      <w:pPr>
        <w:snapToGrid w:val="0"/>
        <w:spacing w:line="360" w:lineRule="auto"/>
        <w:ind w:right="480"/>
        <w:jc w:val="center"/>
        <w:rPr>
          <w:rFonts w:hint="eastAsia" w:ascii="宋体" w:hAnsi="宋体" w:cs="宋体"/>
          <w:b/>
          <w:kern w:val="0"/>
          <w:sz w:val="32"/>
          <w:szCs w:val="32"/>
          <w:highlight w:val="none"/>
        </w:rPr>
      </w:pPr>
    </w:p>
    <w:p w14:paraId="31B5A279">
      <w:pPr>
        <w:snapToGrid w:val="0"/>
        <w:spacing w:line="360" w:lineRule="auto"/>
        <w:ind w:right="480"/>
        <w:jc w:val="center"/>
        <w:rPr>
          <w:rFonts w:hint="eastAsia" w:ascii="宋体" w:hAnsi="宋体" w:cs="宋体"/>
          <w:b/>
          <w:kern w:val="0"/>
          <w:sz w:val="32"/>
          <w:szCs w:val="32"/>
          <w:highlight w:val="none"/>
        </w:rPr>
      </w:pPr>
    </w:p>
    <w:p w14:paraId="14079AA0">
      <w:pPr>
        <w:snapToGrid w:val="0"/>
        <w:spacing w:line="360" w:lineRule="auto"/>
        <w:ind w:right="480"/>
        <w:jc w:val="center"/>
        <w:rPr>
          <w:rFonts w:hint="eastAsia" w:ascii="宋体" w:hAnsi="宋体" w:cs="宋体"/>
          <w:b/>
          <w:kern w:val="0"/>
          <w:sz w:val="32"/>
          <w:szCs w:val="32"/>
          <w:highlight w:val="none"/>
        </w:rPr>
      </w:pPr>
    </w:p>
    <w:p w14:paraId="765072F1">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23C8D22">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3A11034">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r>
        <w:rPr>
          <w:rFonts w:hint="eastAsia" w:ascii="宋体" w:hAnsi="宋体" w:cs="宋体"/>
          <w:kern w:val="0"/>
          <w:sz w:val="24"/>
          <w:highlight w:val="none"/>
          <w:lang w:val="zh-CN"/>
        </w:rPr>
        <w:t>：</w:t>
      </w:r>
    </w:p>
    <w:p w14:paraId="336D7107">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杭州高级中学临平学校校园网络建设二期项目</w:t>
      </w:r>
      <w:r>
        <w:rPr>
          <w:rFonts w:hint="eastAsia" w:ascii="宋体" w:hAnsi="宋体" w:cs="宋体"/>
          <w:kern w:val="0"/>
          <w:sz w:val="24"/>
          <w:highlight w:val="none"/>
          <w:lang w:val="zh-CN"/>
        </w:rPr>
        <w:t>【项目编号：</w:t>
      </w:r>
      <w:r>
        <w:rPr>
          <w:rFonts w:hint="eastAsia" w:ascii="宋体" w:hAnsi="宋体" w:cs="宋体"/>
          <w:sz w:val="24"/>
          <w:highlight w:val="none"/>
          <w:lang w:eastAsia="zh-CN"/>
        </w:rPr>
        <w:t>ZJOB-HGLP-2025006</w:t>
      </w:r>
      <w:r>
        <w:rPr>
          <w:rFonts w:hint="eastAsia" w:ascii="宋体" w:hAnsi="宋体" w:cs="宋体"/>
          <w:sz w:val="24"/>
          <w:highlight w:val="none"/>
        </w:rPr>
        <w:t>】的实施</w:t>
      </w:r>
      <w:r>
        <w:rPr>
          <w:rFonts w:hint="eastAsia" w:ascii="宋体" w:hAnsi="宋体" w:cs="宋体"/>
          <w:kern w:val="0"/>
          <w:sz w:val="24"/>
          <w:highlight w:val="none"/>
          <w:lang w:val="zh-CN"/>
        </w:rPr>
        <w:t>。</w:t>
      </w:r>
    </w:p>
    <w:p w14:paraId="77CD8AB1">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17"/>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497E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14:paraId="7056396B">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417" w:type="dxa"/>
            <w:vAlign w:val="center"/>
          </w:tcPr>
          <w:p w14:paraId="143ED10B">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842" w:type="dxa"/>
          </w:tcPr>
          <w:p w14:paraId="5FD86131">
            <w:pPr>
              <w:spacing w:line="360" w:lineRule="auto"/>
              <w:rPr>
                <w:rFonts w:hint="eastAsia" w:ascii="宋体" w:hAnsi="宋体" w:cs="宋体"/>
                <w:b/>
                <w:sz w:val="24"/>
                <w:highlight w:val="none"/>
              </w:rPr>
            </w:pPr>
            <w:r>
              <w:rPr>
                <w:rFonts w:hint="eastAsia" w:ascii="宋体" w:hAnsi="宋体" w:cs="宋体"/>
                <w:b/>
                <w:sz w:val="24"/>
                <w:highlight w:val="none"/>
              </w:rPr>
              <w:t>品牌（如果有）</w:t>
            </w:r>
          </w:p>
        </w:tc>
        <w:tc>
          <w:tcPr>
            <w:tcW w:w="3117" w:type="dxa"/>
            <w:vAlign w:val="center"/>
          </w:tcPr>
          <w:p w14:paraId="1764D725">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49C40606">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558" w:type="dxa"/>
            <w:vAlign w:val="center"/>
          </w:tcPr>
          <w:p w14:paraId="01432409">
            <w:pPr>
              <w:spacing w:line="360" w:lineRule="auto"/>
              <w:jc w:val="center"/>
              <w:rPr>
                <w:rFonts w:hint="eastAsia" w:ascii="宋体" w:hAnsi="宋体" w:cs="宋体"/>
                <w:b/>
                <w:sz w:val="24"/>
                <w:highlight w:val="none"/>
              </w:rPr>
            </w:pPr>
            <w:r>
              <w:rPr>
                <w:rFonts w:hint="eastAsia" w:ascii="宋体" w:hAnsi="宋体" w:cs="宋体"/>
                <w:b/>
                <w:sz w:val="24"/>
                <w:highlight w:val="none"/>
              </w:rPr>
              <w:t>单价</w:t>
            </w:r>
          </w:p>
        </w:tc>
        <w:tc>
          <w:tcPr>
            <w:tcW w:w="1988" w:type="dxa"/>
            <w:vAlign w:val="center"/>
          </w:tcPr>
          <w:p w14:paraId="61150222">
            <w:pPr>
              <w:spacing w:line="360" w:lineRule="auto"/>
              <w:jc w:val="center"/>
              <w:rPr>
                <w:rFonts w:hint="eastAsia" w:ascii="宋体" w:hAnsi="宋体" w:cs="宋体"/>
                <w:b/>
                <w:sz w:val="24"/>
                <w:highlight w:val="none"/>
              </w:rPr>
            </w:pPr>
            <w:r>
              <w:rPr>
                <w:rFonts w:hint="eastAsia" w:ascii="宋体" w:hAnsi="宋体" w:cs="宋体"/>
                <w:b/>
                <w:sz w:val="24"/>
                <w:highlight w:val="none"/>
              </w:rPr>
              <w:t>合计</w:t>
            </w:r>
          </w:p>
        </w:tc>
        <w:tc>
          <w:tcPr>
            <w:tcW w:w="3118" w:type="dxa"/>
            <w:vAlign w:val="center"/>
          </w:tcPr>
          <w:p w14:paraId="6E9CF308">
            <w:pPr>
              <w:spacing w:line="360" w:lineRule="auto"/>
              <w:jc w:val="center"/>
              <w:rPr>
                <w:rFonts w:hint="eastAsia" w:ascii="宋体" w:hAnsi="宋体" w:cs="宋体"/>
                <w:b/>
                <w:sz w:val="24"/>
                <w:highlight w:val="none"/>
              </w:rPr>
            </w:pPr>
            <w:r>
              <w:rPr>
                <w:rFonts w:hint="eastAsia" w:ascii="宋体" w:hAnsi="宋体" w:cs="宋体"/>
                <w:b/>
                <w:bCs/>
                <w:sz w:val="24"/>
                <w:highlight w:val="none"/>
              </w:rPr>
              <w:t>项目负责人</w:t>
            </w:r>
          </w:p>
        </w:tc>
      </w:tr>
      <w:tr w14:paraId="294B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5FC9C907">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417" w:type="dxa"/>
            <w:vAlign w:val="center"/>
          </w:tcPr>
          <w:p w14:paraId="70E96B3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2" w:type="dxa"/>
            <w:vAlign w:val="center"/>
          </w:tcPr>
          <w:p w14:paraId="660C9167">
            <w:pPr>
              <w:snapToGrid w:val="0"/>
              <w:spacing w:line="360" w:lineRule="auto"/>
              <w:jc w:val="center"/>
              <w:rPr>
                <w:rFonts w:hint="eastAsia" w:ascii="宋体" w:hAnsi="宋体" w:cs="宋体"/>
                <w:sz w:val="24"/>
                <w:highlight w:val="none"/>
              </w:rPr>
            </w:pPr>
          </w:p>
        </w:tc>
        <w:tc>
          <w:tcPr>
            <w:tcW w:w="3117" w:type="dxa"/>
            <w:vAlign w:val="center"/>
          </w:tcPr>
          <w:p w14:paraId="57D77697">
            <w:pPr>
              <w:snapToGrid w:val="0"/>
              <w:spacing w:line="360" w:lineRule="auto"/>
              <w:jc w:val="center"/>
              <w:rPr>
                <w:rFonts w:hint="eastAsia" w:ascii="宋体" w:hAnsi="宋体" w:cs="宋体"/>
                <w:sz w:val="24"/>
                <w:highlight w:val="none"/>
              </w:rPr>
            </w:pPr>
          </w:p>
        </w:tc>
        <w:tc>
          <w:tcPr>
            <w:tcW w:w="993" w:type="dxa"/>
            <w:vAlign w:val="center"/>
          </w:tcPr>
          <w:p w14:paraId="071F8B75">
            <w:pPr>
              <w:snapToGrid w:val="0"/>
              <w:spacing w:line="360" w:lineRule="auto"/>
              <w:jc w:val="center"/>
              <w:rPr>
                <w:rFonts w:hint="eastAsia" w:ascii="宋体" w:hAnsi="宋体" w:cs="宋体"/>
                <w:sz w:val="24"/>
                <w:highlight w:val="none"/>
              </w:rPr>
            </w:pPr>
          </w:p>
        </w:tc>
        <w:tc>
          <w:tcPr>
            <w:tcW w:w="1558" w:type="dxa"/>
            <w:vAlign w:val="center"/>
          </w:tcPr>
          <w:p w14:paraId="448101C1">
            <w:pPr>
              <w:spacing w:line="360" w:lineRule="auto"/>
              <w:jc w:val="center"/>
              <w:rPr>
                <w:rFonts w:hint="eastAsia" w:ascii="宋体" w:hAnsi="宋体" w:cs="宋体"/>
                <w:sz w:val="24"/>
                <w:highlight w:val="none"/>
              </w:rPr>
            </w:pPr>
          </w:p>
        </w:tc>
        <w:tc>
          <w:tcPr>
            <w:tcW w:w="1988" w:type="dxa"/>
            <w:vAlign w:val="center"/>
          </w:tcPr>
          <w:p w14:paraId="45878A2E">
            <w:pPr>
              <w:spacing w:line="360" w:lineRule="auto"/>
              <w:jc w:val="center"/>
              <w:rPr>
                <w:rFonts w:hint="eastAsia" w:ascii="宋体" w:hAnsi="宋体" w:cs="宋体"/>
                <w:sz w:val="24"/>
                <w:highlight w:val="none"/>
              </w:rPr>
            </w:pPr>
          </w:p>
        </w:tc>
        <w:tc>
          <w:tcPr>
            <w:tcW w:w="3118" w:type="dxa"/>
            <w:vAlign w:val="center"/>
          </w:tcPr>
          <w:p w14:paraId="548315BA">
            <w:pPr>
              <w:spacing w:line="360" w:lineRule="auto"/>
              <w:jc w:val="center"/>
              <w:rPr>
                <w:rFonts w:hint="eastAsia" w:ascii="宋体" w:hAnsi="宋体" w:cs="宋体"/>
                <w:sz w:val="24"/>
                <w:highlight w:val="none"/>
              </w:rPr>
            </w:pPr>
          </w:p>
        </w:tc>
      </w:tr>
      <w:tr w14:paraId="2396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6342F721">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417" w:type="dxa"/>
            <w:vAlign w:val="center"/>
          </w:tcPr>
          <w:p w14:paraId="3523822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2" w:type="dxa"/>
            <w:vAlign w:val="center"/>
          </w:tcPr>
          <w:p w14:paraId="077A2C27">
            <w:pPr>
              <w:snapToGrid w:val="0"/>
              <w:spacing w:line="360" w:lineRule="auto"/>
              <w:jc w:val="center"/>
              <w:rPr>
                <w:rFonts w:hint="eastAsia" w:ascii="宋体" w:hAnsi="宋体" w:cs="宋体"/>
                <w:sz w:val="24"/>
                <w:highlight w:val="none"/>
              </w:rPr>
            </w:pPr>
          </w:p>
        </w:tc>
        <w:tc>
          <w:tcPr>
            <w:tcW w:w="3117" w:type="dxa"/>
            <w:vAlign w:val="center"/>
          </w:tcPr>
          <w:p w14:paraId="665154AD">
            <w:pPr>
              <w:snapToGrid w:val="0"/>
              <w:spacing w:line="360" w:lineRule="auto"/>
              <w:jc w:val="center"/>
              <w:rPr>
                <w:rFonts w:hint="eastAsia" w:ascii="宋体" w:hAnsi="宋体" w:cs="宋体"/>
                <w:sz w:val="24"/>
                <w:highlight w:val="none"/>
              </w:rPr>
            </w:pPr>
          </w:p>
        </w:tc>
        <w:tc>
          <w:tcPr>
            <w:tcW w:w="993" w:type="dxa"/>
            <w:vAlign w:val="center"/>
          </w:tcPr>
          <w:p w14:paraId="624CB6DD">
            <w:pPr>
              <w:snapToGrid w:val="0"/>
              <w:spacing w:line="360" w:lineRule="auto"/>
              <w:jc w:val="center"/>
              <w:rPr>
                <w:rFonts w:hint="eastAsia" w:ascii="宋体" w:hAnsi="宋体" w:cs="宋体"/>
                <w:sz w:val="24"/>
                <w:highlight w:val="none"/>
              </w:rPr>
            </w:pPr>
          </w:p>
        </w:tc>
        <w:tc>
          <w:tcPr>
            <w:tcW w:w="1558" w:type="dxa"/>
            <w:vAlign w:val="center"/>
          </w:tcPr>
          <w:p w14:paraId="5DD32A95">
            <w:pPr>
              <w:spacing w:line="360" w:lineRule="auto"/>
              <w:jc w:val="center"/>
              <w:rPr>
                <w:rFonts w:hint="eastAsia" w:ascii="宋体" w:hAnsi="宋体" w:cs="宋体"/>
                <w:sz w:val="24"/>
                <w:highlight w:val="none"/>
              </w:rPr>
            </w:pPr>
          </w:p>
        </w:tc>
        <w:tc>
          <w:tcPr>
            <w:tcW w:w="1988" w:type="dxa"/>
            <w:vAlign w:val="center"/>
          </w:tcPr>
          <w:p w14:paraId="13F4777D">
            <w:pPr>
              <w:spacing w:line="360" w:lineRule="auto"/>
              <w:jc w:val="center"/>
              <w:rPr>
                <w:rFonts w:hint="eastAsia" w:ascii="宋体" w:hAnsi="宋体" w:cs="宋体"/>
                <w:sz w:val="24"/>
                <w:highlight w:val="none"/>
              </w:rPr>
            </w:pPr>
          </w:p>
        </w:tc>
        <w:tc>
          <w:tcPr>
            <w:tcW w:w="3118" w:type="dxa"/>
            <w:vAlign w:val="center"/>
          </w:tcPr>
          <w:p w14:paraId="4EA0F0E4">
            <w:pPr>
              <w:spacing w:line="360" w:lineRule="auto"/>
              <w:jc w:val="center"/>
              <w:rPr>
                <w:rFonts w:hint="eastAsia" w:ascii="宋体" w:hAnsi="宋体" w:cs="宋体"/>
                <w:sz w:val="24"/>
                <w:highlight w:val="none"/>
              </w:rPr>
            </w:pPr>
          </w:p>
        </w:tc>
      </w:tr>
      <w:tr w14:paraId="363D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A4A9EC2">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417" w:type="dxa"/>
            <w:vAlign w:val="center"/>
          </w:tcPr>
          <w:p w14:paraId="1594CCD3">
            <w:pPr>
              <w:snapToGrid w:val="0"/>
              <w:spacing w:line="360" w:lineRule="auto"/>
              <w:jc w:val="center"/>
              <w:rPr>
                <w:rFonts w:hint="eastAsia" w:ascii="宋体" w:hAnsi="宋体" w:cs="宋体"/>
                <w:sz w:val="24"/>
                <w:highlight w:val="none"/>
              </w:rPr>
            </w:pPr>
          </w:p>
        </w:tc>
        <w:tc>
          <w:tcPr>
            <w:tcW w:w="1842" w:type="dxa"/>
            <w:vAlign w:val="center"/>
          </w:tcPr>
          <w:p w14:paraId="24185238">
            <w:pPr>
              <w:snapToGrid w:val="0"/>
              <w:spacing w:line="360" w:lineRule="auto"/>
              <w:jc w:val="center"/>
              <w:rPr>
                <w:rFonts w:hint="eastAsia" w:ascii="宋体" w:hAnsi="宋体" w:cs="宋体"/>
                <w:sz w:val="24"/>
                <w:highlight w:val="none"/>
              </w:rPr>
            </w:pPr>
          </w:p>
        </w:tc>
        <w:tc>
          <w:tcPr>
            <w:tcW w:w="3117" w:type="dxa"/>
            <w:vAlign w:val="center"/>
          </w:tcPr>
          <w:p w14:paraId="25ADE67F">
            <w:pPr>
              <w:snapToGrid w:val="0"/>
              <w:spacing w:line="360" w:lineRule="auto"/>
              <w:jc w:val="center"/>
              <w:rPr>
                <w:rFonts w:hint="eastAsia" w:ascii="宋体" w:hAnsi="宋体" w:cs="宋体"/>
                <w:sz w:val="24"/>
                <w:highlight w:val="none"/>
              </w:rPr>
            </w:pPr>
          </w:p>
        </w:tc>
        <w:tc>
          <w:tcPr>
            <w:tcW w:w="993" w:type="dxa"/>
            <w:vAlign w:val="center"/>
          </w:tcPr>
          <w:p w14:paraId="49F4B973">
            <w:pPr>
              <w:snapToGrid w:val="0"/>
              <w:spacing w:line="360" w:lineRule="auto"/>
              <w:jc w:val="center"/>
              <w:rPr>
                <w:rFonts w:hint="eastAsia" w:ascii="宋体" w:hAnsi="宋体" w:cs="宋体"/>
                <w:sz w:val="24"/>
                <w:highlight w:val="none"/>
              </w:rPr>
            </w:pPr>
          </w:p>
        </w:tc>
        <w:tc>
          <w:tcPr>
            <w:tcW w:w="1558" w:type="dxa"/>
            <w:vAlign w:val="center"/>
          </w:tcPr>
          <w:p w14:paraId="4C2935FA">
            <w:pPr>
              <w:spacing w:line="360" w:lineRule="auto"/>
              <w:jc w:val="center"/>
              <w:rPr>
                <w:rFonts w:hint="eastAsia" w:ascii="宋体" w:hAnsi="宋体" w:cs="宋体"/>
                <w:sz w:val="24"/>
                <w:highlight w:val="none"/>
              </w:rPr>
            </w:pPr>
          </w:p>
        </w:tc>
        <w:tc>
          <w:tcPr>
            <w:tcW w:w="1988" w:type="dxa"/>
            <w:vAlign w:val="center"/>
          </w:tcPr>
          <w:p w14:paraId="584B3B31">
            <w:pPr>
              <w:spacing w:line="360" w:lineRule="auto"/>
              <w:jc w:val="center"/>
              <w:rPr>
                <w:rFonts w:hint="eastAsia" w:ascii="宋体" w:hAnsi="宋体" w:cs="宋体"/>
                <w:sz w:val="24"/>
                <w:highlight w:val="none"/>
              </w:rPr>
            </w:pPr>
          </w:p>
        </w:tc>
        <w:tc>
          <w:tcPr>
            <w:tcW w:w="3118" w:type="dxa"/>
            <w:vAlign w:val="center"/>
          </w:tcPr>
          <w:p w14:paraId="2F315B23">
            <w:pPr>
              <w:spacing w:line="360" w:lineRule="auto"/>
              <w:jc w:val="center"/>
              <w:rPr>
                <w:rFonts w:hint="eastAsia" w:ascii="宋体" w:hAnsi="宋体" w:cs="宋体"/>
                <w:sz w:val="24"/>
                <w:highlight w:val="none"/>
              </w:rPr>
            </w:pPr>
            <w:r>
              <w:rPr>
                <w:rFonts w:hint="eastAsia" w:ascii="宋体" w:hAnsi="宋体" w:cs="宋体"/>
                <w:sz w:val="24"/>
                <w:highlight w:val="none"/>
              </w:rPr>
              <w:t>质量标准</w:t>
            </w:r>
          </w:p>
        </w:tc>
      </w:tr>
      <w:tr w14:paraId="0C57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D2E4F54">
            <w:pPr>
              <w:spacing w:line="360" w:lineRule="auto"/>
              <w:jc w:val="center"/>
              <w:rPr>
                <w:rFonts w:hint="eastAsia" w:ascii="宋体" w:hAnsi="宋体" w:cs="宋体"/>
                <w:sz w:val="24"/>
                <w:highlight w:val="none"/>
              </w:rPr>
            </w:pPr>
          </w:p>
        </w:tc>
        <w:tc>
          <w:tcPr>
            <w:tcW w:w="1417" w:type="dxa"/>
            <w:vAlign w:val="center"/>
          </w:tcPr>
          <w:p w14:paraId="448E6CCA">
            <w:pPr>
              <w:snapToGrid w:val="0"/>
              <w:spacing w:line="360" w:lineRule="auto"/>
              <w:jc w:val="center"/>
              <w:rPr>
                <w:rFonts w:hint="eastAsia" w:ascii="宋体" w:hAnsi="宋体" w:cs="宋体"/>
                <w:sz w:val="24"/>
                <w:highlight w:val="none"/>
              </w:rPr>
            </w:pPr>
          </w:p>
        </w:tc>
        <w:tc>
          <w:tcPr>
            <w:tcW w:w="1842" w:type="dxa"/>
            <w:vAlign w:val="center"/>
          </w:tcPr>
          <w:p w14:paraId="1BD97217">
            <w:pPr>
              <w:snapToGrid w:val="0"/>
              <w:spacing w:line="360" w:lineRule="auto"/>
              <w:jc w:val="center"/>
              <w:rPr>
                <w:rFonts w:hint="eastAsia" w:ascii="宋体" w:hAnsi="宋体" w:cs="宋体"/>
                <w:sz w:val="24"/>
                <w:highlight w:val="none"/>
              </w:rPr>
            </w:pPr>
          </w:p>
        </w:tc>
        <w:tc>
          <w:tcPr>
            <w:tcW w:w="3117" w:type="dxa"/>
            <w:vAlign w:val="center"/>
          </w:tcPr>
          <w:p w14:paraId="0F67522C">
            <w:pPr>
              <w:snapToGrid w:val="0"/>
              <w:spacing w:line="360" w:lineRule="auto"/>
              <w:jc w:val="center"/>
              <w:rPr>
                <w:rFonts w:hint="eastAsia" w:ascii="宋体" w:hAnsi="宋体" w:cs="宋体"/>
                <w:sz w:val="24"/>
                <w:highlight w:val="none"/>
              </w:rPr>
            </w:pPr>
          </w:p>
        </w:tc>
        <w:tc>
          <w:tcPr>
            <w:tcW w:w="993" w:type="dxa"/>
            <w:vAlign w:val="center"/>
          </w:tcPr>
          <w:p w14:paraId="591FE457">
            <w:pPr>
              <w:snapToGrid w:val="0"/>
              <w:spacing w:line="360" w:lineRule="auto"/>
              <w:jc w:val="center"/>
              <w:rPr>
                <w:rFonts w:hint="eastAsia" w:ascii="宋体" w:hAnsi="宋体" w:cs="宋体"/>
                <w:sz w:val="24"/>
                <w:highlight w:val="none"/>
              </w:rPr>
            </w:pPr>
          </w:p>
        </w:tc>
        <w:tc>
          <w:tcPr>
            <w:tcW w:w="1558" w:type="dxa"/>
            <w:vAlign w:val="center"/>
          </w:tcPr>
          <w:p w14:paraId="735F073F">
            <w:pPr>
              <w:spacing w:line="360" w:lineRule="auto"/>
              <w:jc w:val="center"/>
              <w:rPr>
                <w:rFonts w:hint="eastAsia" w:ascii="宋体" w:hAnsi="宋体" w:cs="宋体"/>
                <w:sz w:val="24"/>
                <w:highlight w:val="none"/>
              </w:rPr>
            </w:pPr>
          </w:p>
        </w:tc>
        <w:tc>
          <w:tcPr>
            <w:tcW w:w="1988" w:type="dxa"/>
            <w:vAlign w:val="center"/>
          </w:tcPr>
          <w:p w14:paraId="605948AA">
            <w:pPr>
              <w:spacing w:line="360" w:lineRule="auto"/>
              <w:jc w:val="center"/>
              <w:rPr>
                <w:rFonts w:hint="eastAsia" w:ascii="宋体" w:hAnsi="宋体" w:cs="宋体"/>
                <w:sz w:val="24"/>
                <w:highlight w:val="none"/>
              </w:rPr>
            </w:pPr>
          </w:p>
        </w:tc>
        <w:tc>
          <w:tcPr>
            <w:tcW w:w="3118" w:type="dxa"/>
            <w:vAlign w:val="center"/>
          </w:tcPr>
          <w:p w14:paraId="07D142AD">
            <w:pPr>
              <w:spacing w:line="360" w:lineRule="auto"/>
              <w:jc w:val="center"/>
              <w:rPr>
                <w:rFonts w:hint="eastAsia" w:ascii="宋体" w:hAnsi="宋体" w:cs="宋体"/>
                <w:sz w:val="24"/>
                <w:highlight w:val="none"/>
              </w:rPr>
            </w:pPr>
          </w:p>
        </w:tc>
      </w:tr>
      <w:tr w14:paraId="671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4F0EC260">
            <w:pPr>
              <w:spacing w:line="360" w:lineRule="auto"/>
              <w:jc w:val="center"/>
              <w:rPr>
                <w:rFonts w:hint="eastAsia" w:ascii="宋体" w:hAnsi="宋体" w:cs="宋体"/>
                <w:sz w:val="24"/>
                <w:highlight w:val="none"/>
              </w:rPr>
            </w:pPr>
          </w:p>
        </w:tc>
        <w:tc>
          <w:tcPr>
            <w:tcW w:w="1417" w:type="dxa"/>
            <w:vAlign w:val="center"/>
          </w:tcPr>
          <w:p w14:paraId="1F223B44">
            <w:pPr>
              <w:snapToGrid w:val="0"/>
              <w:spacing w:line="360" w:lineRule="auto"/>
              <w:jc w:val="center"/>
              <w:rPr>
                <w:rFonts w:hint="eastAsia" w:ascii="宋体" w:hAnsi="宋体" w:cs="宋体"/>
                <w:sz w:val="24"/>
                <w:highlight w:val="none"/>
              </w:rPr>
            </w:pPr>
          </w:p>
        </w:tc>
        <w:tc>
          <w:tcPr>
            <w:tcW w:w="1842" w:type="dxa"/>
            <w:vAlign w:val="center"/>
          </w:tcPr>
          <w:p w14:paraId="3914A283">
            <w:pPr>
              <w:snapToGrid w:val="0"/>
              <w:spacing w:line="360" w:lineRule="auto"/>
              <w:jc w:val="center"/>
              <w:rPr>
                <w:rFonts w:hint="eastAsia" w:ascii="宋体" w:hAnsi="宋体" w:cs="宋体"/>
                <w:sz w:val="24"/>
                <w:highlight w:val="none"/>
              </w:rPr>
            </w:pPr>
          </w:p>
        </w:tc>
        <w:tc>
          <w:tcPr>
            <w:tcW w:w="3117" w:type="dxa"/>
            <w:vAlign w:val="center"/>
          </w:tcPr>
          <w:p w14:paraId="27A052B6">
            <w:pPr>
              <w:snapToGrid w:val="0"/>
              <w:spacing w:line="360" w:lineRule="auto"/>
              <w:jc w:val="center"/>
              <w:rPr>
                <w:rFonts w:hint="eastAsia" w:ascii="宋体" w:hAnsi="宋体" w:cs="宋体"/>
                <w:sz w:val="24"/>
                <w:highlight w:val="none"/>
              </w:rPr>
            </w:pPr>
          </w:p>
        </w:tc>
        <w:tc>
          <w:tcPr>
            <w:tcW w:w="993" w:type="dxa"/>
            <w:vAlign w:val="center"/>
          </w:tcPr>
          <w:p w14:paraId="375175C4">
            <w:pPr>
              <w:snapToGrid w:val="0"/>
              <w:spacing w:line="360" w:lineRule="auto"/>
              <w:jc w:val="center"/>
              <w:rPr>
                <w:rFonts w:hint="eastAsia" w:ascii="宋体" w:hAnsi="宋体" w:cs="宋体"/>
                <w:sz w:val="24"/>
                <w:highlight w:val="none"/>
              </w:rPr>
            </w:pPr>
          </w:p>
        </w:tc>
        <w:tc>
          <w:tcPr>
            <w:tcW w:w="1558" w:type="dxa"/>
            <w:vAlign w:val="center"/>
          </w:tcPr>
          <w:p w14:paraId="0DC62688">
            <w:pPr>
              <w:spacing w:line="360" w:lineRule="auto"/>
              <w:jc w:val="center"/>
              <w:rPr>
                <w:rFonts w:hint="eastAsia" w:ascii="宋体" w:hAnsi="宋体" w:cs="宋体"/>
                <w:sz w:val="24"/>
                <w:highlight w:val="none"/>
              </w:rPr>
            </w:pPr>
          </w:p>
        </w:tc>
        <w:tc>
          <w:tcPr>
            <w:tcW w:w="1988" w:type="dxa"/>
            <w:vAlign w:val="center"/>
          </w:tcPr>
          <w:p w14:paraId="1B18E2E5">
            <w:pPr>
              <w:spacing w:line="360" w:lineRule="auto"/>
              <w:jc w:val="center"/>
              <w:rPr>
                <w:rFonts w:hint="eastAsia" w:ascii="宋体" w:hAnsi="宋体" w:cs="宋体"/>
                <w:sz w:val="24"/>
                <w:highlight w:val="none"/>
              </w:rPr>
            </w:pPr>
          </w:p>
        </w:tc>
        <w:tc>
          <w:tcPr>
            <w:tcW w:w="3118" w:type="dxa"/>
            <w:vAlign w:val="center"/>
          </w:tcPr>
          <w:p w14:paraId="7C8B33B8">
            <w:pPr>
              <w:spacing w:line="360" w:lineRule="auto"/>
              <w:jc w:val="center"/>
              <w:rPr>
                <w:rFonts w:hint="eastAsia" w:ascii="宋体" w:hAnsi="宋体" w:cs="宋体"/>
                <w:sz w:val="24"/>
                <w:highlight w:val="none"/>
              </w:rPr>
            </w:pPr>
          </w:p>
        </w:tc>
      </w:tr>
      <w:tr w14:paraId="0463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36220E8C">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投标报价（小写）</w:t>
            </w:r>
          </w:p>
        </w:tc>
        <w:tc>
          <w:tcPr>
            <w:tcW w:w="7656" w:type="dxa"/>
            <w:gridSpan w:val="4"/>
            <w:vAlign w:val="center"/>
          </w:tcPr>
          <w:p w14:paraId="22235300">
            <w:pPr>
              <w:spacing w:line="360" w:lineRule="auto"/>
              <w:jc w:val="center"/>
              <w:rPr>
                <w:rFonts w:hint="eastAsia" w:ascii="宋体" w:hAnsi="宋体" w:cs="宋体"/>
                <w:sz w:val="24"/>
                <w:highlight w:val="none"/>
              </w:rPr>
            </w:pPr>
          </w:p>
        </w:tc>
        <w:tc>
          <w:tcPr>
            <w:tcW w:w="3118" w:type="dxa"/>
            <w:vAlign w:val="center"/>
          </w:tcPr>
          <w:p w14:paraId="3F995A88">
            <w:pPr>
              <w:spacing w:line="360" w:lineRule="auto"/>
              <w:jc w:val="center"/>
              <w:rPr>
                <w:rFonts w:hint="eastAsia" w:ascii="宋体" w:hAnsi="宋体" w:cs="宋体"/>
                <w:sz w:val="24"/>
                <w:highlight w:val="none"/>
              </w:rPr>
            </w:pPr>
            <w:r>
              <w:rPr>
                <w:rFonts w:hint="eastAsia" w:ascii="宋体" w:hAnsi="宋体" w:cs="宋体"/>
                <w:sz w:val="24"/>
                <w:highlight w:val="none"/>
              </w:rPr>
              <w:t>实施期</w:t>
            </w:r>
          </w:p>
        </w:tc>
      </w:tr>
      <w:tr w14:paraId="454D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571CC4B5">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投标报价（大写）</w:t>
            </w:r>
          </w:p>
        </w:tc>
        <w:tc>
          <w:tcPr>
            <w:tcW w:w="7656" w:type="dxa"/>
            <w:gridSpan w:val="4"/>
            <w:vAlign w:val="center"/>
          </w:tcPr>
          <w:p w14:paraId="6806B8E5">
            <w:pPr>
              <w:spacing w:line="360" w:lineRule="auto"/>
              <w:jc w:val="center"/>
              <w:rPr>
                <w:rFonts w:hint="eastAsia" w:ascii="宋体" w:hAnsi="宋体" w:cs="宋体"/>
                <w:sz w:val="24"/>
                <w:highlight w:val="none"/>
              </w:rPr>
            </w:pPr>
          </w:p>
        </w:tc>
        <w:tc>
          <w:tcPr>
            <w:tcW w:w="3118" w:type="dxa"/>
            <w:vAlign w:val="center"/>
          </w:tcPr>
          <w:p w14:paraId="24896829">
            <w:pPr>
              <w:spacing w:line="360" w:lineRule="auto"/>
              <w:jc w:val="center"/>
              <w:rPr>
                <w:rFonts w:hint="eastAsia" w:ascii="宋体" w:hAnsi="宋体" w:cs="宋体"/>
                <w:sz w:val="24"/>
                <w:highlight w:val="none"/>
              </w:rPr>
            </w:pPr>
          </w:p>
        </w:tc>
      </w:tr>
    </w:tbl>
    <w:p w14:paraId="1C49263F">
      <w:pPr>
        <w:snapToGrid w:val="0"/>
        <w:spacing w:line="360" w:lineRule="auto"/>
        <w:ind w:left="480"/>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14A625F1">
      <w:pPr>
        <w:spacing w:line="360" w:lineRule="auto"/>
        <w:ind w:left="-2" w:leftChars="-1"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b/>
          <w:kern w:val="0"/>
          <w:sz w:val="24"/>
          <w:highlight w:val="none"/>
        </w:rPr>
        <w:t>若上述表格不足以说明报价情况，可附报价明细表做进一步补充说明</w:t>
      </w:r>
    </w:p>
    <w:p w14:paraId="37139B6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bCs/>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9202288">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56A07F84">
      <w:pPr>
        <w:snapToGrid w:val="0"/>
        <w:spacing w:line="360" w:lineRule="auto"/>
        <w:ind w:firstLine="480" w:firstLineChars="200"/>
        <w:jc w:val="left"/>
        <w:rPr>
          <w:rFonts w:hint="eastAsia"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435E10">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rPr>
        <w:t>5、项目负责人应与商务技术文件中一致</w:t>
      </w:r>
      <w:r>
        <w:rPr>
          <w:rFonts w:hint="eastAsia" w:ascii="宋体" w:hAnsi="宋体" w:cs="宋体"/>
          <w:kern w:val="0"/>
          <w:sz w:val="24"/>
          <w:highlight w:val="none"/>
          <w:lang w:val="zh-CN"/>
        </w:rPr>
        <w:t>。</w:t>
      </w:r>
    </w:p>
    <w:p w14:paraId="3DA5D7B8">
      <w:pPr>
        <w:pStyle w:val="3"/>
        <w:rPr>
          <w:highlight w:val="none"/>
          <w:lang w:val="zh-CN"/>
        </w:rPr>
      </w:pPr>
    </w:p>
    <w:p w14:paraId="1507DD9D">
      <w:pPr>
        <w:spacing w:line="360" w:lineRule="auto"/>
        <w:ind w:firstLine="482" w:firstLineChars="200"/>
        <w:rPr>
          <w:rFonts w:hint="eastAsia" w:ascii="宋体" w:hAnsi="宋体" w:cs="宋体"/>
          <w:b/>
          <w:kern w:val="0"/>
          <w:sz w:val="24"/>
          <w:highlight w:val="none"/>
        </w:rPr>
      </w:pPr>
    </w:p>
    <w:p w14:paraId="00AEED1E">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2E92000E">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F3BD8EE">
      <w:pPr>
        <w:pStyle w:val="38"/>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二、报价情况说明（如果有）</w:t>
      </w:r>
    </w:p>
    <w:p w14:paraId="66389899">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（如供应商报价低于项目预算50%的，应当提交本文档，详细阐述不影响产品质量或者诚信履约的具体原因。）</w:t>
      </w:r>
    </w:p>
    <w:p w14:paraId="5F504701">
      <w:pPr>
        <w:pStyle w:val="38"/>
        <w:keepNext w:val="0"/>
        <w:pageBreakBefore w:val="0"/>
        <w:tabs>
          <w:tab w:val="clear" w:pos="720"/>
        </w:tabs>
        <w:snapToGrid w:val="0"/>
        <w:spacing w:before="120" w:after="120"/>
        <w:outlineLvl w:val="9"/>
        <w:rPr>
          <w:rFonts w:hint="eastAsia" w:ascii="宋体" w:hAnsi="宋体" w:eastAsia="宋体" w:cs="宋体"/>
          <w:kern w:val="2"/>
          <w:sz w:val="28"/>
          <w:szCs w:val="28"/>
          <w:highlight w:val="none"/>
        </w:rPr>
      </w:pPr>
    </w:p>
    <w:p w14:paraId="321CA765">
      <w:pPr>
        <w:pStyle w:val="38"/>
        <w:keepNext w:val="0"/>
        <w:pageBreakBefore w:val="0"/>
        <w:tabs>
          <w:tab w:val="clear" w:pos="720"/>
        </w:tabs>
        <w:snapToGrid w:val="0"/>
        <w:spacing w:before="120" w:after="120"/>
        <w:jc w:val="both"/>
        <w:outlineLvl w:val="9"/>
        <w:rPr>
          <w:rFonts w:hint="eastAsia" w:ascii="宋体" w:hAnsi="宋体" w:eastAsia="宋体" w:cs="宋体"/>
          <w:kern w:val="2"/>
          <w:sz w:val="32"/>
          <w:szCs w:val="32"/>
          <w:highlight w:val="none"/>
        </w:rPr>
      </w:pPr>
    </w:p>
    <w:p w14:paraId="6BE610F8">
      <w:pPr>
        <w:pStyle w:val="38"/>
        <w:keepNext w:val="0"/>
        <w:pageBreakBefore w:val="0"/>
        <w:tabs>
          <w:tab w:val="clear" w:pos="720"/>
        </w:tabs>
        <w:snapToGrid w:val="0"/>
        <w:spacing w:before="120" w:after="120"/>
        <w:jc w:val="both"/>
        <w:outlineLvl w:val="9"/>
        <w:rPr>
          <w:rFonts w:hint="eastAsia" w:ascii="宋体" w:hAnsi="宋体" w:eastAsia="宋体" w:cs="宋体"/>
          <w:kern w:val="2"/>
          <w:sz w:val="32"/>
          <w:szCs w:val="32"/>
          <w:highlight w:val="none"/>
        </w:rPr>
      </w:pPr>
    </w:p>
    <w:p w14:paraId="1D6AE393">
      <w:pPr>
        <w:pStyle w:val="38"/>
        <w:keepNext w:val="0"/>
        <w:pageBreakBefore w:val="0"/>
        <w:tabs>
          <w:tab w:val="clear" w:pos="720"/>
        </w:tabs>
        <w:snapToGrid w:val="0"/>
        <w:spacing w:before="120" w:after="12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三、中小企业声明函（如果有）</w:t>
      </w:r>
    </w:p>
    <w:p w14:paraId="46887873">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1B00663C">
      <w:pPr>
        <w:spacing w:line="360" w:lineRule="auto"/>
        <w:ind w:right="420" w:firstLine="3614" w:firstLineChars="1000"/>
        <w:rPr>
          <w:rFonts w:hint="eastAsia" w:ascii="宋体" w:hAnsi="宋体" w:cs="宋体"/>
          <w:b/>
          <w:kern w:val="0"/>
          <w:sz w:val="36"/>
          <w:szCs w:val="36"/>
          <w:highlight w:val="none"/>
        </w:rPr>
      </w:pPr>
    </w:p>
    <w:p w14:paraId="748399BE">
      <w:pPr>
        <w:spacing w:line="360" w:lineRule="auto"/>
        <w:ind w:right="420" w:firstLine="3614" w:firstLineChars="1000"/>
        <w:rPr>
          <w:rFonts w:hint="eastAsia" w:ascii="宋体" w:hAnsi="宋体" w:cs="宋体"/>
          <w:b/>
          <w:kern w:val="0"/>
          <w:sz w:val="36"/>
          <w:szCs w:val="36"/>
          <w:highlight w:val="none"/>
        </w:rPr>
      </w:pPr>
    </w:p>
    <w:p w14:paraId="0094B388">
      <w:pPr>
        <w:spacing w:line="360" w:lineRule="auto"/>
        <w:ind w:right="420" w:firstLine="3614" w:firstLineChars="1000"/>
        <w:rPr>
          <w:rFonts w:hint="eastAsia" w:ascii="宋体" w:hAnsi="宋体" w:cs="宋体"/>
          <w:b/>
          <w:kern w:val="0"/>
          <w:sz w:val="36"/>
          <w:szCs w:val="36"/>
          <w:highlight w:val="none"/>
        </w:rPr>
      </w:pPr>
    </w:p>
    <w:p w14:paraId="5A2F7792">
      <w:pPr>
        <w:spacing w:line="360" w:lineRule="auto"/>
        <w:ind w:right="420" w:firstLine="3614" w:firstLineChars="1000"/>
        <w:rPr>
          <w:rFonts w:hint="eastAsia" w:ascii="宋体" w:hAnsi="宋体" w:cs="宋体"/>
          <w:b/>
          <w:kern w:val="0"/>
          <w:sz w:val="36"/>
          <w:szCs w:val="36"/>
          <w:highlight w:val="none"/>
        </w:rPr>
      </w:pPr>
    </w:p>
    <w:p w14:paraId="70D508CF">
      <w:pPr>
        <w:spacing w:line="360" w:lineRule="auto"/>
        <w:ind w:right="420" w:firstLine="3614" w:firstLineChars="1000"/>
        <w:rPr>
          <w:rFonts w:hint="eastAsia" w:ascii="宋体" w:hAnsi="宋体" w:cs="宋体"/>
          <w:b/>
          <w:kern w:val="0"/>
          <w:sz w:val="36"/>
          <w:szCs w:val="36"/>
          <w:highlight w:val="none"/>
        </w:rPr>
      </w:pPr>
    </w:p>
    <w:p w14:paraId="12AAFE44">
      <w:pPr>
        <w:spacing w:line="360" w:lineRule="auto"/>
        <w:ind w:right="420" w:firstLine="3614" w:firstLineChars="1000"/>
        <w:rPr>
          <w:rFonts w:hint="eastAsia" w:ascii="宋体" w:hAnsi="宋体" w:cs="宋体"/>
          <w:b/>
          <w:kern w:val="0"/>
          <w:sz w:val="36"/>
          <w:szCs w:val="36"/>
          <w:highlight w:val="none"/>
        </w:rPr>
      </w:pPr>
    </w:p>
    <w:p w14:paraId="5AB23217">
      <w:pPr>
        <w:spacing w:line="360" w:lineRule="auto"/>
        <w:ind w:right="420" w:firstLine="3614" w:firstLineChars="1000"/>
        <w:rPr>
          <w:rFonts w:hint="eastAsia" w:ascii="宋体" w:hAnsi="宋体" w:cs="宋体"/>
          <w:b/>
          <w:kern w:val="0"/>
          <w:sz w:val="36"/>
          <w:szCs w:val="36"/>
          <w:highlight w:val="none"/>
        </w:rPr>
      </w:pPr>
    </w:p>
    <w:p w14:paraId="3BCBA990">
      <w:pPr>
        <w:rPr>
          <w:rFonts w:hint="eastAsia" w:ascii="宋体" w:hAnsi="宋体" w:cs="宋体"/>
          <w:b/>
          <w:sz w:val="32"/>
          <w:szCs w:val="32"/>
          <w:highlight w:val="none"/>
        </w:rPr>
      </w:pPr>
      <w:r>
        <w:rPr>
          <w:rFonts w:hint="eastAsia" w:ascii="宋体" w:hAnsi="宋体" w:cs="宋体"/>
          <w:b/>
          <w:sz w:val="32"/>
          <w:szCs w:val="32"/>
          <w:highlight w:val="none"/>
        </w:rPr>
        <w:br w:type="page"/>
      </w:r>
    </w:p>
    <w:p w14:paraId="1121870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highlight w:val="none"/>
        </w:rPr>
      </w:pPr>
      <w:bookmarkStart w:id="513" w:name="_Toc465665161"/>
      <w:r>
        <w:rPr>
          <w:rFonts w:hint="eastAsia" w:ascii="宋体" w:hAnsi="宋体" w:cs="宋体"/>
          <w:highlight w:val="none"/>
        </w:rPr>
        <w:t>附件</w:t>
      </w:r>
      <w:bookmarkEnd w:id="513"/>
    </w:p>
    <w:p w14:paraId="6C40FF4D">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附件1：</w:t>
      </w:r>
    </w:p>
    <w:p w14:paraId="1C1BF33A">
      <w:pPr>
        <w:spacing w:line="360" w:lineRule="auto"/>
        <w:jc w:val="center"/>
        <w:rPr>
          <w:rFonts w:hint="eastAsia" w:ascii="宋体" w:hAnsi="宋体" w:cs="宋体"/>
          <w:b/>
          <w:spacing w:val="6"/>
          <w:sz w:val="32"/>
          <w:szCs w:val="32"/>
          <w:highlight w:val="none"/>
        </w:rPr>
      </w:pPr>
      <w:bookmarkStart w:id="514" w:name="OLE_LINK14"/>
      <w:bookmarkStart w:id="515" w:name="OLE_LINK13"/>
      <w:r>
        <w:rPr>
          <w:rFonts w:hint="eastAsia" w:ascii="宋体" w:hAnsi="宋体" w:cs="宋体"/>
          <w:b/>
          <w:spacing w:val="6"/>
          <w:sz w:val="32"/>
          <w:szCs w:val="32"/>
          <w:highlight w:val="none"/>
        </w:rPr>
        <w:t>残疾人福利性单位声明函</w:t>
      </w:r>
    </w:p>
    <w:bookmarkEnd w:id="514"/>
    <w:bookmarkEnd w:id="515"/>
    <w:p w14:paraId="7C543950">
      <w:pPr>
        <w:spacing w:line="360" w:lineRule="auto"/>
        <w:rPr>
          <w:rFonts w:hint="eastAsia" w:ascii="宋体" w:hAnsi="宋体" w:cs="宋体"/>
          <w:b/>
          <w:spacing w:val="6"/>
          <w:sz w:val="30"/>
          <w:szCs w:val="30"/>
          <w:highlight w:val="none"/>
        </w:rPr>
      </w:pPr>
    </w:p>
    <w:p w14:paraId="6F5AC26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（采购人）</w:t>
      </w:r>
      <w:r>
        <w:rPr>
          <w:rFonts w:hint="eastAsia" w:ascii="宋体" w:hAnsi="宋体" w:cs="宋体"/>
          <w:sz w:val="24"/>
          <w:highlight w:val="none"/>
        </w:rPr>
        <w:t>单位的</w:t>
      </w:r>
      <w:r>
        <w:rPr>
          <w:rFonts w:hint="eastAsia" w:ascii="宋体" w:hAnsi="宋体" w:cs="宋体"/>
          <w:sz w:val="24"/>
          <w:highlight w:val="none"/>
          <w:u w:val="single"/>
        </w:rPr>
        <w:t>（项目名称）</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6BEA5E6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2D53BF5">
      <w:pPr>
        <w:spacing w:line="360" w:lineRule="auto"/>
        <w:ind w:firstLine="480" w:firstLineChars="200"/>
        <w:rPr>
          <w:rFonts w:hint="eastAsia" w:ascii="宋体" w:hAnsi="宋体" w:cs="宋体"/>
          <w:sz w:val="24"/>
          <w:highlight w:val="none"/>
        </w:rPr>
      </w:pPr>
    </w:p>
    <w:p w14:paraId="7FA52F05">
      <w:pPr>
        <w:spacing w:line="360" w:lineRule="auto"/>
        <w:ind w:firstLine="480" w:firstLineChars="200"/>
        <w:rPr>
          <w:rFonts w:hint="eastAsia" w:ascii="宋体" w:hAnsi="宋体" w:cs="宋体"/>
          <w:sz w:val="24"/>
          <w:highlight w:val="none"/>
        </w:rPr>
      </w:pPr>
    </w:p>
    <w:p w14:paraId="47C61B14">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4F315E4">
      <w:pPr>
        <w:tabs>
          <w:tab w:val="left" w:pos="4860"/>
        </w:tabs>
        <w:spacing w:line="360" w:lineRule="auto"/>
        <w:ind w:right="1560" w:firstLine="3600" w:firstLineChars="1500"/>
        <w:rPr>
          <w:rFonts w:hint="eastAsia" w:ascii="宋体" w:hAnsi="宋体" w:cs="宋体"/>
          <w:sz w:val="24"/>
          <w:highlight w:val="none"/>
        </w:rPr>
      </w:pPr>
      <w:r>
        <w:rPr>
          <w:rFonts w:hint="eastAsia" w:ascii="宋体" w:hAnsi="宋体" w:cs="宋体"/>
          <w:sz w:val="24"/>
          <w:highlight w:val="none"/>
        </w:rPr>
        <w:t>日  期：</w:t>
      </w:r>
    </w:p>
    <w:p w14:paraId="30037124">
      <w:pPr>
        <w:spacing w:line="360" w:lineRule="auto"/>
        <w:ind w:firstLine="480" w:firstLineChars="200"/>
        <w:rPr>
          <w:rFonts w:hint="eastAsia" w:ascii="宋体" w:hAnsi="宋体" w:cs="宋体"/>
          <w:sz w:val="24"/>
          <w:highlight w:val="none"/>
        </w:rPr>
      </w:pPr>
    </w:p>
    <w:p w14:paraId="3F4CDFEF">
      <w:pPr>
        <w:spacing w:line="360" w:lineRule="auto"/>
        <w:ind w:firstLine="420" w:firstLineChars="200"/>
        <w:rPr>
          <w:rFonts w:hint="eastAsia" w:ascii="宋体" w:hAnsi="宋体" w:cs="宋体"/>
          <w:highlight w:val="none"/>
        </w:rPr>
      </w:pPr>
    </w:p>
    <w:p w14:paraId="2ADA972A">
      <w:pPr>
        <w:spacing w:line="360" w:lineRule="auto"/>
        <w:ind w:firstLine="420" w:firstLineChars="200"/>
        <w:rPr>
          <w:rFonts w:hint="eastAsia" w:ascii="宋体" w:hAnsi="宋体" w:cs="宋体"/>
          <w:highlight w:val="none"/>
        </w:rPr>
      </w:pPr>
    </w:p>
    <w:p w14:paraId="37FF7161">
      <w:pPr>
        <w:spacing w:line="360" w:lineRule="auto"/>
        <w:ind w:firstLine="420" w:firstLineChars="200"/>
        <w:rPr>
          <w:rFonts w:hint="eastAsia" w:ascii="宋体" w:hAnsi="宋体" w:cs="宋体"/>
          <w:highlight w:val="none"/>
        </w:rPr>
      </w:pPr>
    </w:p>
    <w:p w14:paraId="03C20AC3">
      <w:pPr>
        <w:spacing w:line="360" w:lineRule="auto"/>
        <w:ind w:firstLine="420" w:firstLineChars="200"/>
        <w:rPr>
          <w:rFonts w:hint="eastAsia" w:ascii="宋体" w:hAnsi="宋体" w:cs="宋体"/>
          <w:highlight w:val="none"/>
        </w:rPr>
      </w:pPr>
    </w:p>
    <w:p w14:paraId="77FC45BB">
      <w:pPr>
        <w:spacing w:line="360" w:lineRule="auto"/>
        <w:rPr>
          <w:rFonts w:hint="eastAsia" w:ascii="宋体" w:hAnsi="宋体" w:cs="宋体"/>
          <w:b/>
          <w:sz w:val="24"/>
          <w:highlight w:val="none"/>
        </w:rPr>
      </w:pPr>
    </w:p>
    <w:p w14:paraId="7966EB5C">
      <w:pPr>
        <w:spacing w:line="360" w:lineRule="auto"/>
        <w:rPr>
          <w:rFonts w:hint="eastAsia" w:ascii="宋体" w:hAnsi="宋体" w:cs="宋体"/>
          <w:b/>
          <w:sz w:val="24"/>
          <w:highlight w:val="none"/>
        </w:rPr>
      </w:pPr>
    </w:p>
    <w:p w14:paraId="7C46DE53">
      <w:pPr>
        <w:spacing w:line="360" w:lineRule="auto"/>
        <w:rPr>
          <w:rFonts w:hint="eastAsia" w:ascii="宋体" w:hAnsi="宋体" w:cs="宋体"/>
          <w:b/>
          <w:sz w:val="24"/>
          <w:highlight w:val="none"/>
        </w:rPr>
      </w:pPr>
    </w:p>
    <w:p w14:paraId="31CD49A5">
      <w:pPr>
        <w:spacing w:line="360" w:lineRule="auto"/>
        <w:rPr>
          <w:rFonts w:hint="eastAsia" w:ascii="宋体" w:hAnsi="宋体" w:cs="宋体"/>
          <w:b/>
          <w:sz w:val="24"/>
          <w:highlight w:val="none"/>
        </w:rPr>
      </w:pPr>
    </w:p>
    <w:p w14:paraId="1D81F249">
      <w:pPr>
        <w:spacing w:line="360" w:lineRule="auto"/>
        <w:rPr>
          <w:rFonts w:hint="eastAsia" w:ascii="宋体" w:hAnsi="宋体" w:cs="宋体"/>
          <w:b/>
          <w:sz w:val="24"/>
          <w:highlight w:val="none"/>
        </w:rPr>
      </w:pPr>
    </w:p>
    <w:p w14:paraId="2C557889">
      <w:pPr>
        <w:spacing w:line="360" w:lineRule="auto"/>
        <w:rPr>
          <w:rFonts w:hint="eastAsia" w:ascii="宋体" w:hAnsi="宋体" w:cs="宋体"/>
          <w:b/>
          <w:sz w:val="24"/>
          <w:highlight w:val="none"/>
        </w:rPr>
      </w:pPr>
    </w:p>
    <w:p w14:paraId="2463968A">
      <w:pPr>
        <w:spacing w:line="360" w:lineRule="auto"/>
        <w:rPr>
          <w:rFonts w:hint="eastAsia" w:ascii="宋体" w:hAnsi="宋体" w:cs="宋体"/>
          <w:b/>
          <w:sz w:val="24"/>
          <w:highlight w:val="none"/>
        </w:rPr>
      </w:pPr>
    </w:p>
    <w:p w14:paraId="2D00F01B">
      <w:pPr>
        <w:spacing w:line="360" w:lineRule="auto"/>
        <w:rPr>
          <w:rFonts w:hint="eastAsia" w:ascii="宋体" w:hAnsi="宋体" w:cs="宋体"/>
          <w:b/>
          <w:sz w:val="24"/>
          <w:highlight w:val="none"/>
        </w:rPr>
      </w:pPr>
    </w:p>
    <w:p w14:paraId="14AFDD61">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2EA90F9">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482BD3A">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DA4101D">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19DE49B8">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44FBB0E">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CE01353">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7657633">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68A5E1B3">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630B223">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FD65789">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260DE30E">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3613C4A">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59D6CD9">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5DC9DE88">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5B1063A">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33683C5E">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63C99C8">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8C30C86">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44A754E">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57EA02DD">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38FB49A3">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424FF05C">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C237EDF">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4D6D4DF7">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719BEB6B">
      <w:pPr>
        <w:spacing w:line="360" w:lineRule="auto"/>
        <w:jc w:val="center"/>
        <w:rPr>
          <w:rFonts w:hint="eastAsia" w:ascii="宋体" w:hAnsi="宋体" w:cs="宋体"/>
          <w:b/>
          <w:bCs/>
          <w:sz w:val="24"/>
          <w:highlight w:val="none"/>
        </w:rPr>
      </w:pPr>
    </w:p>
    <w:p w14:paraId="2DD0A756">
      <w:pPr>
        <w:spacing w:line="360" w:lineRule="auto"/>
        <w:rPr>
          <w:rFonts w:hint="eastAsia" w:ascii="宋体" w:hAnsi="宋体" w:cs="宋体"/>
          <w:b/>
          <w:sz w:val="24"/>
          <w:highlight w:val="none"/>
        </w:rPr>
      </w:pPr>
    </w:p>
    <w:p w14:paraId="086634D9">
      <w:pPr>
        <w:spacing w:line="360" w:lineRule="auto"/>
        <w:rPr>
          <w:rFonts w:hint="eastAsia" w:ascii="宋体" w:hAnsi="宋体" w:cs="宋体"/>
          <w:b/>
          <w:sz w:val="24"/>
          <w:highlight w:val="none"/>
        </w:rPr>
      </w:pPr>
    </w:p>
    <w:p w14:paraId="40C24D51">
      <w:pPr>
        <w:spacing w:line="360" w:lineRule="auto"/>
        <w:rPr>
          <w:rFonts w:hint="eastAsia" w:ascii="宋体" w:hAnsi="宋体" w:cs="宋体"/>
          <w:b/>
          <w:sz w:val="24"/>
          <w:highlight w:val="none"/>
        </w:rPr>
      </w:pPr>
    </w:p>
    <w:p w14:paraId="24034DFA">
      <w:pPr>
        <w:rPr>
          <w:rFonts w:hint="eastAsia" w:ascii="宋体" w:hAnsi="宋体" w:cs="宋体"/>
          <w:b/>
          <w:sz w:val="24"/>
          <w:highlight w:val="none"/>
        </w:rPr>
      </w:pPr>
      <w:r>
        <w:rPr>
          <w:rFonts w:hint="eastAsia" w:ascii="宋体" w:hAnsi="宋体" w:cs="宋体"/>
          <w:b/>
          <w:sz w:val="24"/>
          <w:highlight w:val="none"/>
        </w:rPr>
        <w:br w:type="page"/>
      </w:r>
    </w:p>
    <w:p w14:paraId="4167F1FA">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02F6153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0F7928B0">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3D2EC0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951ACFF">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2115BE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5387B514">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8125DAA">
      <w:pPr>
        <w:widowControl/>
        <w:spacing w:line="360" w:lineRule="auto"/>
        <w:ind w:firstLine="600" w:firstLineChars="200"/>
        <w:jc w:val="left"/>
        <w:rPr>
          <w:rFonts w:hint="eastAsia" w:ascii="宋体" w:hAnsi="宋体" w:cs="宋体"/>
          <w:sz w:val="30"/>
          <w:szCs w:val="30"/>
          <w:highlight w:val="none"/>
        </w:rPr>
      </w:pPr>
    </w:p>
    <w:p w14:paraId="77806E13">
      <w:pPr>
        <w:spacing w:line="360" w:lineRule="auto"/>
        <w:jc w:val="center"/>
        <w:rPr>
          <w:rFonts w:hint="eastAsia" w:ascii="宋体" w:hAnsi="宋体" w:cs="宋体"/>
          <w:b/>
          <w:spacing w:val="6"/>
          <w:sz w:val="32"/>
          <w:szCs w:val="32"/>
          <w:highlight w:val="none"/>
        </w:rPr>
      </w:pPr>
    </w:p>
    <w:p w14:paraId="1ED227A1">
      <w:pPr>
        <w:spacing w:line="360" w:lineRule="auto"/>
        <w:jc w:val="center"/>
        <w:rPr>
          <w:rFonts w:hint="eastAsia" w:ascii="宋体" w:hAnsi="宋体" w:cs="宋体"/>
          <w:b/>
          <w:spacing w:val="6"/>
          <w:sz w:val="32"/>
          <w:szCs w:val="32"/>
          <w:highlight w:val="none"/>
        </w:rPr>
      </w:pPr>
    </w:p>
    <w:p w14:paraId="490C1002">
      <w:pPr>
        <w:spacing w:line="360" w:lineRule="auto"/>
        <w:jc w:val="center"/>
        <w:rPr>
          <w:rFonts w:hint="eastAsia" w:ascii="宋体" w:hAnsi="宋体" w:cs="宋体"/>
          <w:b/>
          <w:spacing w:val="6"/>
          <w:sz w:val="32"/>
          <w:szCs w:val="32"/>
          <w:highlight w:val="none"/>
        </w:rPr>
      </w:pPr>
    </w:p>
    <w:p w14:paraId="0D602C50">
      <w:pPr>
        <w:spacing w:line="360" w:lineRule="auto"/>
        <w:jc w:val="center"/>
        <w:rPr>
          <w:rFonts w:hint="eastAsia" w:ascii="宋体" w:hAnsi="宋体" w:cs="宋体"/>
          <w:b/>
          <w:spacing w:val="6"/>
          <w:sz w:val="32"/>
          <w:szCs w:val="32"/>
          <w:highlight w:val="none"/>
        </w:rPr>
      </w:pPr>
    </w:p>
    <w:p w14:paraId="6BE7FB16">
      <w:pPr>
        <w:spacing w:line="360" w:lineRule="auto"/>
        <w:jc w:val="center"/>
        <w:rPr>
          <w:rFonts w:hint="eastAsia" w:ascii="宋体" w:hAnsi="宋体" w:cs="宋体"/>
          <w:b/>
          <w:spacing w:val="6"/>
          <w:sz w:val="32"/>
          <w:szCs w:val="32"/>
          <w:highlight w:val="none"/>
        </w:rPr>
      </w:pPr>
    </w:p>
    <w:p w14:paraId="1F8CBF78">
      <w:pPr>
        <w:spacing w:line="360" w:lineRule="auto"/>
        <w:jc w:val="center"/>
        <w:rPr>
          <w:rFonts w:hint="eastAsia" w:ascii="宋体" w:hAnsi="宋体" w:cs="宋体"/>
          <w:b/>
          <w:spacing w:val="6"/>
          <w:sz w:val="32"/>
          <w:szCs w:val="32"/>
          <w:highlight w:val="none"/>
        </w:rPr>
      </w:pPr>
    </w:p>
    <w:p w14:paraId="5C2F1CEA">
      <w:pPr>
        <w:spacing w:line="360" w:lineRule="auto"/>
        <w:jc w:val="center"/>
        <w:rPr>
          <w:rFonts w:hint="eastAsia" w:ascii="宋体" w:hAnsi="宋体" w:cs="宋体"/>
          <w:b/>
          <w:spacing w:val="6"/>
          <w:sz w:val="32"/>
          <w:szCs w:val="32"/>
          <w:highlight w:val="none"/>
        </w:rPr>
      </w:pPr>
    </w:p>
    <w:p w14:paraId="3C0C29ED">
      <w:pPr>
        <w:spacing w:line="360" w:lineRule="auto"/>
        <w:jc w:val="center"/>
        <w:rPr>
          <w:rFonts w:hint="eastAsia" w:ascii="宋体" w:hAnsi="宋体" w:cs="宋体"/>
          <w:b/>
          <w:spacing w:val="6"/>
          <w:sz w:val="32"/>
          <w:szCs w:val="32"/>
          <w:highlight w:val="none"/>
        </w:rPr>
      </w:pPr>
    </w:p>
    <w:p w14:paraId="5EADE93D">
      <w:pPr>
        <w:spacing w:line="360" w:lineRule="auto"/>
        <w:jc w:val="center"/>
        <w:rPr>
          <w:rFonts w:hint="eastAsia" w:ascii="宋体" w:hAnsi="宋体" w:cs="宋体"/>
          <w:b/>
          <w:spacing w:val="6"/>
          <w:sz w:val="32"/>
          <w:szCs w:val="32"/>
          <w:highlight w:val="none"/>
        </w:rPr>
      </w:pPr>
    </w:p>
    <w:p w14:paraId="21E87251">
      <w:pPr>
        <w:spacing w:line="360" w:lineRule="auto"/>
        <w:jc w:val="center"/>
        <w:rPr>
          <w:rFonts w:hint="eastAsia" w:ascii="宋体" w:hAnsi="宋体" w:cs="宋体"/>
          <w:b/>
          <w:spacing w:val="6"/>
          <w:sz w:val="32"/>
          <w:szCs w:val="32"/>
          <w:highlight w:val="none"/>
        </w:rPr>
      </w:pPr>
    </w:p>
    <w:p w14:paraId="15070810">
      <w:pPr>
        <w:spacing w:line="360" w:lineRule="auto"/>
        <w:jc w:val="center"/>
        <w:rPr>
          <w:rFonts w:hint="eastAsia" w:ascii="宋体" w:hAnsi="宋体" w:cs="宋体"/>
          <w:b/>
          <w:spacing w:val="6"/>
          <w:sz w:val="32"/>
          <w:szCs w:val="32"/>
          <w:highlight w:val="none"/>
        </w:rPr>
      </w:pPr>
    </w:p>
    <w:p w14:paraId="1618A04A">
      <w:pPr>
        <w:spacing w:line="360" w:lineRule="auto"/>
        <w:jc w:val="center"/>
        <w:rPr>
          <w:rFonts w:hint="eastAsia" w:ascii="宋体" w:hAnsi="宋体" w:cs="宋体"/>
          <w:b/>
          <w:spacing w:val="6"/>
          <w:sz w:val="32"/>
          <w:szCs w:val="32"/>
          <w:highlight w:val="none"/>
        </w:rPr>
      </w:pPr>
    </w:p>
    <w:p w14:paraId="3225F9C8">
      <w:pPr>
        <w:spacing w:line="360" w:lineRule="auto"/>
        <w:jc w:val="left"/>
        <w:rPr>
          <w:rFonts w:hint="eastAsia" w:ascii="宋体" w:hAnsi="宋体" w:cs="宋体"/>
          <w:b/>
          <w:spacing w:val="6"/>
          <w:sz w:val="32"/>
          <w:szCs w:val="32"/>
          <w:highlight w:val="none"/>
        </w:rPr>
      </w:pPr>
    </w:p>
    <w:p w14:paraId="0CF98197">
      <w:pPr>
        <w:spacing w:line="360" w:lineRule="auto"/>
        <w:jc w:val="left"/>
        <w:rPr>
          <w:rFonts w:hint="eastAsia" w:ascii="宋体" w:hAnsi="宋体" w:cs="宋体"/>
          <w:b/>
          <w:spacing w:val="6"/>
          <w:sz w:val="32"/>
          <w:szCs w:val="32"/>
          <w:highlight w:val="none"/>
        </w:rPr>
      </w:pPr>
    </w:p>
    <w:p w14:paraId="4064447B">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B31F13F">
      <w:pPr>
        <w:spacing w:line="360" w:lineRule="auto"/>
        <w:jc w:val="center"/>
        <w:rPr>
          <w:rFonts w:hint="eastAsia" w:ascii="宋体" w:hAnsi="宋体" w:cs="宋体"/>
          <w:b/>
          <w:sz w:val="24"/>
          <w:highlight w:val="none"/>
        </w:rPr>
      </w:pPr>
    </w:p>
    <w:p w14:paraId="254B9A31">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7A3C920">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71267B54">
      <w:pPr>
        <w:spacing w:line="360" w:lineRule="auto"/>
        <w:rPr>
          <w:rFonts w:hint="eastAsia"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B227AC5">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DC36E03">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5ECD07F">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4E8F9C2">
      <w:pPr>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A28882B">
      <w:pPr>
        <w:spacing w:line="360" w:lineRule="auto"/>
        <w:rPr>
          <w:rFonts w:hint="eastAsia"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73BA37B">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p>
    <w:p w14:paraId="3184DAE3">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DCD678C">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0B75ADF">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3FEB15BD">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66B9C88D">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p>
    <w:p w14:paraId="79CB7F27">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02E961F">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100E2CB">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6E21D009">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D050085">
      <w:pPr>
        <w:spacing w:line="360" w:lineRule="auto"/>
        <w:rPr>
          <w:rFonts w:hint="eastAsia"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D67FA0C">
      <w:pPr>
        <w:spacing w:line="360" w:lineRule="auto"/>
        <w:rPr>
          <w:rFonts w:hint="eastAsia"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9E78AF6">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989AF07">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913B509">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4841B71">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21E2ADDF">
      <w:pPr>
        <w:spacing w:line="360" w:lineRule="auto"/>
        <w:rPr>
          <w:rFonts w:hint="eastAsia"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1A657AF">
      <w:pPr>
        <w:spacing w:line="360" w:lineRule="auto"/>
        <w:rPr>
          <w:rFonts w:hint="eastAsia" w:ascii="宋体" w:hAnsi="宋体" w:cs="宋体"/>
          <w:sz w:val="24"/>
          <w:highlight w:val="none"/>
        </w:rPr>
      </w:pPr>
      <w:r>
        <w:rPr>
          <w:rFonts w:hint="eastAsia" w:ascii="宋体" w:hAnsi="宋体" w:cs="宋体"/>
          <w:sz w:val="24"/>
          <w:highlight w:val="none"/>
        </w:rPr>
        <w:t>采购人/代理机构于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F6FA462">
      <w:pPr>
        <w:spacing w:line="360" w:lineRule="auto"/>
        <w:rPr>
          <w:rFonts w:hint="eastAsia" w:ascii="宋体" w:hAnsi="宋体" w:cs="宋体"/>
          <w:sz w:val="24"/>
          <w:highlight w:val="none"/>
        </w:rPr>
      </w:pPr>
    </w:p>
    <w:p w14:paraId="027B9940">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42E1407D">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2661D5D">
      <w:pPr>
        <w:spacing w:line="360" w:lineRule="auto"/>
        <w:rPr>
          <w:rFonts w:hint="eastAsia"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19B2360">
      <w:pPr>
        <w:spacing w:line="360" w:lineRule="auto"/>
        <w:rPr>
          <w:rFonts w:hint="eastAsia"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6EA1BAA">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2913EEB9">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5146E91D">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0059C1D5">
      <w:pPr>
        <w:spacing w:line="360" w:lineRule="auto"/>
        <w:rPr>
          <w:rFonts w:hint="eastAsia"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3FBA19">
      <w:pPr>
        <w:spacing w:line="360" w:lineRule="auto"/>
        <w:rPr>
          <w:rFonts w:hint="eastAsia" w:ascii="宋体" w:hAnsi="宋体" w:cs="宋体"/>
          <w:sz w:val="24"/>
          <w:highlight w:val="none"/>
          <w:u w:val="single"/>
        </w:rPr>
      </w:pPr>
      <w:r>
        <w:rPr>
          <w:rFonts w:hint="eastAsia" w:ascii="宋体" w:hAnsi="宋体" w:cs="宋体"/>
          <w:sz w:val="24"/>
          <w:highlight w:val="none"/>
        </w:rPr>
        <w:t xml:space="preserve">                                                                                                    </w:t>
      </w:r>
    </w:p>
    <w:p w14:paraId="0FF5B377">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1C0C190E">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64773781">
      <w:pPr>
        <w:spacing w:line="360" w:lineRule="auto"/>
        <w:rPr>
          <w:rFonts w:hint="eastAsia" w:ascii="宋体" w:hAnsi="宋体" w:cs="宋体"/>
          <w:b/>
          <w:sz w:val="24"/>
          <w:highlight w:val="none"/>
        </w:rPr>
      </w:pPr>
    </w:p>
    <w:p w14:paraId="7D488DBD">
      <w:pPr>
        <w:spacing w:line="360" w:lineRule="auto"/>
        <w:rPr>
          <w:rFonts w:hint="eastAsia" w:ascii="宋体" w:hAnsi="宋体" w:cs="宋体"/>
          <w:b/>
          <w:sz w:val="24"/>
          <w:highlight w:val="none"/>
        </w:rPr>
      </w:pPr>
    </w:p>
    <w:p w14:paraId="10FE3552">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2AE0B37C">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E3D8774">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97CD6F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E45DED9">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1861FE2">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CB7FE9F">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316B7F0C">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3BD21C5">
      <w:pPr>
        <w:spacing w:line="360" w:lineRule="auto"/>
        <w:rPr>
          <w:rFonts w:hint="eastAsia" w:ascii="宋体" w:hAnsi="宋体" w:cs="宋体"/>
          <w:b/>
          <w:sz w:val="24"/>
          <w:highlight w:val="none"/>
        </w:rPr>
      </w:pPr>
    </w:p>
    <w:p w14:paraId="7C74FD5C">
      <w:pPr>
        <w:autoSpaceDE w:val="0"/>
        <w:autoSpaceDN w:val="0"/>
        <w:jc w:val="center"/>
        <w:rPr>
          <w:rFonts w:hint="eastAsia" w:ascii="宋体" w:hAnsi="宋体" w:cs="宋体"/>
          <w:b/>
          <w:spacing w:val="6"/>
          <w:sz w:val="32"/>
          <w:szCs w:val="32"/>
          <w:highlight w:val="none"/>
        </w:rPr>
      </w:pPr>
    </w:p>
    <w:p w14:paraId="76053DA3">
      <w:pPr>
        <w:autoSpaceDE w:val="0"/>
        <w:autoSpaceDN w:val="0"/>
        <w:jc w:val="center"/>
        <w:rPr>
          <w:rFonts w:hint="eastAsia" w:ascii="宋体" w:hAnsi="宋体" w:cs="宋体"/>
          <w:b/>
          <w:spacing w:val="6"/>
          <w:sz w:val="32"/>
          <w:szCs w:val="32"/>
          <w:highlight w:val="none"/>
        </w:rPr>
      </w:pPr>
    </w:p>
    <w:p w14:paraId="1179A8B2">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3BF913A7">
      <w:pPr>
        <w:autoSpaceDE w:val="0"/>
        <w:autoSpaceDN w:val="0"/>
        <w:jc w:val="center"/>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D97BB5B">
      <w:pPr>
        <w:spacing w:line="360" w:lineRule="auto"/>
        <w:rPr>
          <w:rFonts w:hint="eastAsia" w:ascii="宋体" w:hAnsi="宋体" w:cs="宋体"/>
          <w:sz w:val="24"/>
          <w:highlight w:val="none"/>
          <w:u w:val="single"/>
        </w:rPr>
      </w:pPr>
    </w:p>
    <w:p w14:paraId="39F84E0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杭州高级中学临平学校、</w:t>
      </w:r>
      <w:r>
        <w:rPr>
          <w:rFonts w:hint="eastAsia" w:ascii="宋体" w:hAnsi="宋体" w:cs="宋体"/>
          <w:sz w:val="24"/>
          <w:highlight w:val="none"/>
          <w:lang w:eastAsia="zh-CN"/>
        </w:rPr>
        <w:t>欧邦工程管理集团有限公司</w:t>
      </w:r>
    </w:p>
    <w:p w14:paraId="07EC0CA8">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杭州高级中学临平学校校园网络建设二期项目</w:t>
      </w:r>
      <w:r>
        <w:rPr>
          <w:rFonts w:hint="eastAsia" w:ascii="宋体" w:hAnsi="宋体" w:cs="宋体"/>
          <w:sz w:val="24"/>
          <w:highlight w:val="none"/>
        </w:rPr>
        <w:t>【项目编号：</w:t>
      </w:r>
      <w:r>
        <w:rPr>
          <w:rFonts w:hint="eastAsia" w:ascii="宋体" w:hAnsi="宋体" w:cs="宋体"/>
          <w:sz w:val="24"/>
          <w:highlight w:val="none"/>
          <w:lang w:eastAsia="zh-CN"/>
        </w:rPr>
        <w:t>ZJOB-HGLP-2025006</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6CADB47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14:paraId="0570BD76">
      <w:pPr>
        <w:spacing w:line="360" w:lineRule="auto"/>
        <w:ind w:firstLine="494"/>
        <w:rPr>
          <w:rFonts w:hint="eastAsia" w:ascii="宋体" w:hAnsi="宋体" w:cs="宋体"/>
          <w:sz w:val="24"/>
          <w:highlight w:val="none"/>
        </w:rPr>
      </w:pPr>
    </w:p>
    <w:p w14:paraId="423E5E8F">
      <w:pPr>
        <w:spacing w:line="360" w:lineRule="auto"/>
        <w:ind w:firstLine="494"/>
        <w:rPr>
          <w:rFonts w:hint="eastAsia" w:ascii="宋体" w:hAnsi="宋体" w:cs="宋体"/>
          <w:sz w:val="24"/>
          <w:highlight w:val="none"/>
        </w:rPr>
      </w:pPr>
    </w:p>
    <w:p w14:paraId="00E699F3">
      <w:pPr>
        <w:spacing w:line="360" w:lineRule="auto"/>
        <w:ind w:firstLine="494"/>
        <w:rPr>
          <w:rFonts w:hint="eastAsia" w:ascii="宋体" w:hAnsi="宋体" w:cs="宋体"/>
          <w:sz w:val="24"/>
          <w:highlight w:val="none"/>
        </w:rPr>
      </w:pPr>
    </w:p>
    <w:p w14:paraId="305333BA">
      <w:pPr>
        <w:spacing w:line="360" w:lineRule="auto"/>
        <w:ind w:firstLine="494"/>
        <w:rPr>
          <w:rFonts w:hint="eastAsia" w:ascii="宋体" w:hAnsi="宋体" w:cs="宋体"/>
          <w:sz w:val="24"/>
          <w:highlight w:val="none"/>
        </w:rPr>
      </w:pPr>
    </w:p>
    <w:p w14:paraId="16E4A640">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投标单位（法定名称章）：</w:t>
      </w:r>
    </w:p>
    <w:p w14:paraId="0A68EE29">
      <w:pPr>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058CF60D">
      <w:pPr>
        <w:rPr>
          <w:rFonts w:hint="eastAsia" w:ascii="宋体" w:hAnsi="宋体" w:cs="宋体"/>
          <w:b/>
          <w:bCs/>
          <w:sz w:val="24"/>
          <w:highlight w:val="none"/>
        </w:rPr>
      </w:pPr>
    </w:p>
    <w:p w14:paraId="502E581D">
      <w:pPr>
        <w:rPr>
          <w:rFonts w:hint="eastAsia" w:ascii="宋体" w:hAnsi="宋体" w:cs="宋体"/>
          <w:b/>
          <w:bCs/>
          <w:sz w:val="24"/>
          <w:highlight w:val="none"/>
        </w:rPr>
      </w:pPr>
    </w:p>
    <w:p w14:paraId="7998EA79">
      <w:pPr>
        <w:rPr>
          <w:rFonts w:hint="eastAsia" w:ascii="宋体" w:hAnsi="宋体" w:cs="宋体"/>
          <w:sz w:val="24"/>
          <w:highlight w:val="none"/>
        </w:rPr>
      </w:pPr>
      <w:r>
        <w:rPr>
          <w:rFonts w:hint="eastAsia" w:ascii="宋体" w:hAnsi="宋体" w:cs="宋体"/>
          <w:b/>
          <w:bCs/>
          <w:sz w:val="24"/>
          <w:highlight w:val="none"/>
        </w:rPr>
        <w:t>附：</w:t>
      </w:r>
    </w:p>
    <w:p w14:paraId="63DE9D60">
      <w:pPr>
        <w:spacing w:line="360" w:lineRule="auto"/>
        <w:rPr>
          <w:rFonts w:hint="eastAsia" w:ascii="宋体" w:hAnsi="宋体" w:cs="宋体"/>
          <w:bCs/>
          <w:sz w:val="24"/>
          <w:highlight w:val="none"/>
        </w:rPr>
      </w:pPr>
      <w:r>
        <w:rPr>
          <w:rFonts w:hint="eastAsia" w:ascii="宋体" w:hAnsi="宋体" w:cs="宋体"/>
          <w:b/>
          <w:bCs/>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2215A427">
      <w:pPr>
        <w:autoSpaceDE w:val="0"/>
        <w:autoSpaceDN w:val="0"/>
        <w:jc w:val="center"/>
        <w:rPr>
          <w:rFonts w:hint="eastAsia" w:ascii="宋体" w:hAnsi="宋体" w:cs="宋体"/>
          <w:b/>
          <w:spacing w:val="6"/>
          <w:sz w:val="32"/>
          <w:szCs w:val="32"/>
          <w:highlight w:val="none"/>
        </w:rPr>
      </w:pPr>
    </w:p>
    <w:p w14:paraId="039934D0">
      <w:pPr>
        <w:autoSpaceDE w:val="0"/>
        <w:autoSpaceDN w:val="0"/>
        <w:jc w:val="center"/>
        <w:rPr>
          <w:rFonts w:hint="eastAsia" w:ascii="宋体" w:hAnsi="宋体" w:cs="宋体"/>
          <w:b/>
          <w:spacing w:val="6"/>
          <w:sz w:val="32"/>
          <w:szCs w:val="32"/>
          <w:highlight w:val="none"/>
        </w:rPr>
      </w:pPr>
    </w:p>
    <w:p w14:paraId="4CDA059D">
      <w:pPr>
        <w:autoSpaceDE w:val="0"/>
        <w:autoSpaceDN w:val="0"/>
        <w:jc w:val="center"/>
        <w:rPr>
          <w:rFonts w:hint="eastAsia" w:ascii="宋体" w:hAnsi="宋体" w:cs="宋体"/>
          <w:b/>
          <w:spacing w:val="6"/>
          <w:sz w:val="32"/>
          <w:szCs w:val="32"/>
          <w:highlight w:val="none"/>
        </w:rPr>
      </w:pPr>
    </w:p>
    <w:p w14:paraId="7B9B7008">
      <w:pPr>
        <w:autoSpaceDE w:val="0"/>
        <w:autoSpaceDN w:val="0"/>
        <w:jc w:val="center"/>
        <w:rPr>
          <w:rFonts w:hint="eastAsia" w:ascii="宋体" w:hAnsi="宋体" w:cs="宋体"/>
          <w:b/>
          <w:spacing w:val="6"/>
          <w:sz w:val="32"/>
          <w:szCs w:val="32"/>
          <w:highlight w:val="none"/>
        </w:rPr>
      </w:pPr>
    </w:p>
    <w:p w14:paraId="733CE842">
      <w:pPr>
        <w:autoSpaceDE w:val="0"/>
        <w:autoSpaceDN w:val="0"/>
        <w:jc w:val="center"/>
        <w:rPr>
          <w:rFonts w:hint="eastAsia" w:ascii="宋体" w:hAnsi="宋体" w:cs="宋体"/>
          <w:b/>
          <w:spacing w:val="6"/>
          <w:sz w:val="32"/>
          <w:szCs w:val="32"/>
          <w:highlight w:val="none"/>
        </w:rPr>
      </w:pPr>
    </w:p>
    <w:p w14:paraId="1FBC54C2">
      <w:pPr>
        <w:autoSpaceDE w:val="0"/>
        <w:autoSpaceDN w:val="0"/>
        <w:jc w:val="center"/>
        <w:rPr>
          <w:rFonts w:hint="eastAsia" w:ascii="宋体" w:hAnsi="宋体" w:cs="宋体"/>
          <w:b/>
          <w:spacing w:val="6"/>
          <w:sz w:val="32"/>
          <w:szCs w:val="32"/>
          <w:highlight w:val="none"/>
        </w:rPr>
      </w:pPr>
    </w:p>
    <w:p w14:paraId="37C166D1">
      <w:pPr>
        <w:autoSpaceDE w:val="0"/>
        <w:autoSpaceDN w:val="0"/>
        <w:jc w:val="center"/>
        <w:rPr>
          <w:rFonts w:hint="eastAsia" w:ascii="宋体" w:hAnsi="宋体" w:cs="宋体"/>
          <w:b/>
          <w:spacing w:val="6"/>
          <w:sz w:val="32"/>
          <w:szCs w:val="32"/>
          <w:highlight w:val="none"/>
        </w:rPr>
      </w:pPr>
    </w:p>
    <w:p w14:paraId="4FBB1CBE">
      <w:pPr>
        <w:autoSpaceDE w:val="0"/>
        <w:autoSpaceDN w:val="0"/>
        <w:jc w:val="center"/>
        <w:rPr>
          <w:rFonts w:hint="eastAsia" w:ascii="宋体" w:hAnsi="宋体" w:cs="宋体"/>
          <w:b/>
          <w:spacing w:val="6"/>
          <w:sz w:val="32"/>
          <w:szCs w:val="32"/>
          <w:highlight w:val="none"/>
        </w:rPr>
      </w:pPr>
    </w:p>
    <w:p w14:paraId="42EE12E4">
      <w:pPr>
        <w:autoSpaceDE w:val="0"/>
        <w:autoSpaceDN w:val="0"/>
        <w:jc w:val="center"/>
        <w:rPr>
          <w:rFonts w:hint="eastAsia" w:ascii="宋体" w:hAnsi="宋体" w:cs="宋体"/>
          <w:b/>
          <w:spacing w:val="6"/>
          <w:sz w:val="32"/>
          <w:szCs w:val="32"/>
          <w:highlight w:val="none"/>
        </w:rPr>
      </w:pPr>
    </w:p>
    <w:p w14:paraId="0094C131">
      <w:pPr>
        <w:autoSpaceDE w:val="0"/>
        <w:autoSpaceDN w:val="0"/>
        <w:jc w:val="center"/>
        <w:rPr>
          <w:rFonts w:hint="eastAsia" w:ascii="宋体" w:hAnsi="宋体" w:cs="宋体"/>
          <w:b/>
          <w:spacing w:val="6"/>
          <w:sz w:val="32"/>
          <w:szCs w:val="32"/>
          <w:highlight w:val="none"/>
        </w:rPr>
      </w:pPr>
    </w:p>
    <w:p w14:paraId="0396540A">
      <w:pPr>
        <w:autoSpaceDE w:val="0"/>
        <w:autoSpaceDN w:val="0"/>
        <w:jc w:val="center"/>
        <w:rPr>
          <w:rFonts w:hint="eastAsia" w:ascii="宋体" w:hAnsi="宋体" w:cs="宋体"/>
          <w:b/>
          <w:spacing w:val="6"/>
          <w:sz w:val="32"/>
          <w:szCs w:val="32"/>
          <w:highlight w:val="none"/>
        </w:rPr>
      </w:pPr>
    </w:p>
    <w:p w14:paraId="1F719A01">
      <w:pPr>
        <w:autoSpaceDE w:val="0"/>
        <w:autoSpaceDN w:val="0"/>
        <w:jc w:val="center"/>
        <w:rPr>
          <w:rFonts w:hint="eastAsia" w:ascii="宋体" w:hAnsi="宋体" w:cs="宋体"/>
          <w:b/>
          <w:spacing w:val="6"/>
          <w:sz w:val="32"/>
          <w:szCs w:val="32"/>
          <w:highlight w:val="none"/>
        </w:rPr>
      </w:pPr>
    </w:p>
    <w:p w14:paraId="2D98FB55">
      <w:pPr>
        <w:autoSpaceDE w:val="0"/>
        <w:autoSpaceDN w:val="0"/>
        <w:jc w:val="center"/>
        <w:rPr>
          <w:rFonts w:hint="eastAsia" w:ascii="宋体" w:hAnsi="宋体" w:cs="宋体"/>
          <w:b/>
          <w:spacing w:val="6"/>
          <w:sz w:val="32"/>
          <w:szCs w:val="32"/>
          <w:highlight w:val="none"/>
        </w:rPr>
      </w:pPr>
    </w:p>
    <w:p w14:paraId="1D9E5C1A">
      <w:pPr>
        <w:pStyle w:val="5"/>
        <w:rPr>
          <w:highlight w:val="none"/>
        </w:rPr>
      </w:pPr>
    </w:p>
    <w:p w14:paraId="41F14142">
      <w:pPr>
        <w:autoSpaceDE w:val="0"/>
        <w:autoSpaceDN w:val="0"/>
        <w:jc w:val="center"/>
        <w:rPr>
          <w:rFonts w:hint="eastAsia" w:ascii="宋体" w:hAnsi="宋体" w:cs="宋体"/>
          <w:b/>
          <w:spacing w:val="6"/>
          <w:sz w:val="32"/>
          <w:szCs w:val="32"/>
          <w:highlight w:val="none"/>
        </w:rPr>
      </w:pPr>
    </w:p>
    <w:p w14:paraId="33BF0013">
      <w:pPr>
        <w:autoSpaceDE w:val="0"/>
        <w:autoSpaceDN w:val="0"/>
        <w:jc w:val="center"/>
        <w:rPr>
          <w:rFonts w:hint="eastAsia"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1947CC33">
      <w:pPr>
        <w:widowControl/>
        <w:spacing w:line="30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2359857">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杭州高级中学临平学校校园网络建设二期项目</w:t>
      </w:r>
      <w:r>
        <w:rPr>
          <w:rFonts w:hint="eastAsia" w:ascii="宋体" w:hAnsi="宋体" w:cs="宋体"/>
          <w:sz w:val="24"/>
          <w:highlight w:val="none"/>
        </w:rPr>
        <w:t>【项目编号：</w:t>
      </w:r>
      <w:r>
        <w:rPr>
          <w:rFonts w:hint="eastAsia" w:ascii="宋体" w:hAnsi="宋体" w:cs="宋体"/>
          <w:sz w:val="24"/>
          <w:highlight w:val="none"/>
          <w:lang w:eastAsia="zh-CN"/>
        </w:rPr>
        <w:t>ZJOB-HGLP-2025006</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18F81EE6">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5D6D30AF">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2D77CDE2">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E730E00">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4D1A607">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AF624CA">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w:t>
      </w:r>
    </w:p>
    <w:p w14:paraId="293ACF9C">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A52217">
      <w:pPr>
        <w:snapToGrid w:val="0"/>
        <w:spacing w:line="300" w:lineRule="auto"/>
        <w:ind w:firstLine="576"/>
        <w:rPr>
          <w:rFonts w:hint="eastAsia"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6"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6"/>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7"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rPr>
        <w:t>前附表</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bookmarkEnd w:id="517"/>
      <w:r>
        <w:rPr>
          <w:rFonts w:hint="eastAsia" w:ascii="宋体" w:hAnsi="宋体" w:cs="宋体"/>
          <w:b/>
          <w:kern w:val="0"/>
          <w:sz w:val="24"/>
          <w:highlight w:val="none"/>
          <w:lang w:val="zh-CN"/>
        </w:rPr>
        <w:t>）</w:t>
      </w:r>
    </w:p>
    <w:p w14:paraId="020B6D42">
      <w:pPr>
        <w:spacing w:line="30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w:t>
      </w:r>
      <w:bookmarkStart w:id="518"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8"/>
    </w:p>
    <w:p w14:paraId="39189B34">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0F793B99">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09A27C45">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1、联合体各方不再单独参加或者与其他供应商另外组成联合体参加同一合同项下的采购活动。</w:t>
      </w:r>
    </w:p>
    <w:p w14:paraId="3BBBA202">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04B1A7B">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0725605B">
      <w:pPr>
        <w:snapToGrid w:val="0"/>
        <w:spacing w:line="30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E06EF08">
      <w:pPr>
        <w:snapToGrid w:val="0"/>
        <w:spacing w:line="30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3D2A3E9">
      <w:pPr>
        <w:spacing w:line="300" w:lineRule="auto"/>
        <w:ind w:right="420"/>
        <w:rPr>
          <w:rFonts w:hint="eastAsia" w:ascii="宋体" w:hAnsi="宋体" w:cs="宋体"/>
          <w:b/>
          <w:spacing w:val="6"/>
          <w:sz w:val="32"/>
          <w:szCs w:val="32"/>
          <w:highlight w:val="none"/>
        </w:rPr>
      </w:pPr>
      <w:r>
        <w:rPr>
          <w:rFonts w:hint="eastAsia" w:ascii="宋体" w:hAnsi="宋体" w:cs="宋体"/>
          <w:sz w:val="24"/>
          <w:highlight w:val="none"/>
        </w:rPr>
        <w:t>注：按本格式和要求提供。</w:t>
      </w:r>
    </w:p>
    <w:p w14:paraId="47C9A57C">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22254B0">
      <w:pPr>
        <w:snapToGrid w:val="0"/>
        <w:spacing w:line="360" w:lineRule="auto"/>
        <w:jc w:val="center"/>
        <w:rPr>
          <w:rFonts w:hint="eastAsia"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0BCA8165">
      <w:pPr>
        <w:widowControl/>
        <w:spacing w:line="30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57C6A30">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杭州高级中学临平学校校园网络建设二期项目</w:t>
      </w:r>
      <w:r>
        <w:rPr>
          <w:rFonts w:hint="eastAsia" w:ascii="宋体" w:hAnsi="宋体" w:cs="宋体"/>
          <w:sz w:val="24"/>
          <w:highlight w:val="none"/>
        </w:rPr>
        <w:t>【项目编号：</w:t>
      </w:r>
      <w:r>
        <w:rPr>
          <w:rFonts w:hint="eastAsia" w:ascii="宋体" w:hAnsi="宋体" w:cs="宋体"/>
          <w:sz w:val="24"/>
          <w:highlight w:val="none"/>
          <w:lang w:eastAsia="zh-CN"/>
        </w:rPr>
        <w:t>ZJOB-HGLP-2025006</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1E95ECF">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93E0606">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4CA4A8A7">
      <w:pPr>
        <w:pStyle w:val="4"/>
        <w:spacing w:line="300" w:lineRule="auto"/>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78CB7FE8">
      <w:pPr>
        <w:spacing w:line="30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0B6CBBD">
      <w:pPr>
        <w:snapToGrid w:val="0"/>
        <w:spacing w:line="300" w:lineRule="auto"/>
        <w:ind w:firstLine="576"/>
        <w:rPr>
          <w:rFonts w:hint="eastAsia"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rPr>
        <w:t>前附表</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2D1D575">
      <w:pPr>
        <w:spacing w:line="30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E637FD1">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43E17A8F">
      <w:pPr>
        <w:snapToGrid w:val="0"/>
        <w:spacing w:line="300" w:lineRule="auto"/>
        <w:ind w:firstLine="576"/>
        <w:rPr>
          <w:rFonts w:hint="eastAsia" w:ascii="宋体" w:hAnsi="宋体" w:cs="宋体"/>
          <w:highlight w:val="none"/>
          <w:u w:val="single"/>
        </w:rPr>
      </w:pPr>
      <w:r>
        <w:rPr>
          <w:rFonts w:hint="eastAsia" w:ascii="宋体" w:hAnsi="宋体" w:cs="宋体"/>
          <w:highlight w:val="none"/>
          <w:u w:val="single"/>
        </w:rPr>
        <w:t xml:space="preserve">                                                                                  </w:t>
      </w:r>
    </w:p>
    <w:p w14:paraId="027ED58E">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四、质量</w:t>
      </w:r>
    </w:p>
    <w:p w14:paraId="20C117EF">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46E59D22">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14:paraId="5F29B1BC">
      <w:pPr>
        <w:snapToGrid w:val="0"/>
        <w:spacing w:line="300" w:lineRule="auto"/>
        <w:ind w:left="573" w:leftChars="273"/>
        <w:rPr>
          <w:rFonts w:hint="eastAsia" w:ascii="宋体" w:hAnsi="宋体" w:cs="宋体"/>
          <w:kern w:val="0"/>
          <w:sz w:val="24"/>
          <w:highlight w:val="none"/>
          <w:lang w:val="zh-CN"/>
        </w:rPr>
      </w:pPr>
      <w:r>
        <w:rPr>
          <w:rFonts w:hint="eastAsia" w:ascii="宋体" w:hAnsi="宋体" w:cs="宋体"/>
          <w:highlight w:val="none"/>
          <w:u w:val="single"/>
        </w:rPr>
        <w:t xml:space="preserve">                                                                                     </w:t>
      </w:r>
    </w:p>
    <w:p w14:paraId="2DDE8708">
      <w:pPr>
        <w:snapToGrid w:val="0"/>
        <w:spacing w:line="300" w:lineRule="auto"/>
        <w:ind w:left="573" w:leftChars="273"/>
        <w:rPr>
          <w:rFonts w:hint="eastAsia" w:ascii="宋体" w:hAnsi="宋体" w:cs="宋体"/>
          <w:kern w:val="0"/>
          <w:sz w:val="24"/>
          <w:highlight w:val="none"/>
          <w:lang w:val="zh-CN"/>
        </w:rPr>
      </w:pPr>
      <w:r>
        <w:rPr>
          <w:rFonts w:hint="eastAsia" w:ascii="宋体" w:hAnsi="宋体" w:cs="宋体"/>
          <w:kern w:val="0"/>
          <w:sz w:val="24"/>
          <w:highlight w:val="none"/>
          <w:lang w:val="zh-CN"/>
        </w:rPr>
        <w:t>六、违约责任</w:t>
      </w:r>
    </w:p>
    <w:p w14:paraId="3E73A7AD">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000D0B7A">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60C0E877">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0907B7D2">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八、其他</w:t>
      </w:r>
    </w:p>
    <w:p w14:paraId="51AF7DBA">
      <w:pPr>
        <w:snapToGrid w:val="0"/>
        <w:spacing w:line="300" w:lineRule="auto"/>
        <w:ind w:left="5758" w:leftChars="342" w:hanging="5040" w:hangingChars="2100"/>
        <w:jc w:val="left"/>
        <w:rPr>
          <w:rFonts w:hint="eastAsia"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0AB83C09">
      <w:pPr>
        <w:snapToGrid w:val="0"/>
        <w:spacing w:line="300" w:lineRule="auto"/>
        <w:ind w:left="5758" w:leftChars="342" w:hanging="5040" w:hangingChars="2100"/>
        <w:jc w:val="center"/>
        <w:rPr>
          <w:rFonts w:hint="eastAsia"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投标人名称(电子签名)：</w:t>
      </w:r>
    </w:p>
    <w:p w14:paraId="6CBE056D">
      <w:pPr>
        <w:snapToGrid w:val="0"/>
        <w:spacing w:line="30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D0EB6DC">
      <w:pPr>
        <w:snapToGrid w:val="0"/>
        <w:spacing w:line="300" w:lineRule="auto"/>
        <w:jc w:val="center"/>
        <w:rPr>
          <w:rFonts w:hint="eastAsia" w:ascii="宋体" w:hAnsi="宋体" w:cs="宋体"/>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w:t>
      </w:r>
    </w:p>
    <w:p w14:paraId="60ED028B">
      <w:pPr>
        <w:spacing w:line="300" w:lineRule="auto"/>
        <w:jc w:val="center"/>
        <w:rPr>
          <w:rFonts w:hint="eastAsia" w:ascii="宋体" w:hAnsi="宋体" w:cs="宋体"/>
          <w:b/>
          <w:spacing w:val="6"/>
          <w:sz w:val="32"/>
          <w:szCs w:val="32"/>
          <w:highlight w:val="none"/>
        </w:rPr>
        <w:sectPr>
          <w:headerReference r:id="rId23" w:type="first"/>
          <w:footerReference r:id="rId25" w:type="first"/>
          <w:headerReference r:id="rId22" w:type="default"/>
          <w:footerReference r:id="rId24" w:type="default"/>
          <w:pgSz w:w="11906" w:h="16838"/>
          <w:pgMar w:top="1276" w:right="1417" w:bottom="1247" w:left="1417" w:header="851" w:footer="992" w:gutter="0"/>
          <w:cols w:space="0" w:num="1"/>
          <w:titlePg/>
          <w:docGrid w:linePitch="312" w:charSpace="0"/>
        </w:sectPr>
      </w:pPr>
      <w:r>
        <w:rPr>
          <w:rFonts w:hint="eastAsia" w:ascii="宋体" w:hAnsi="宋体" w:cs="宋体"/>
          <w:kern w:val="0"/>
          <w:sz w:val="24"/>
          <w:highlight w:val="none"/>
          <w:lang w:val="zh-CN"/>
        </w:rPr>
        <w:t xml:space="preserve">                                 日期：  年  月   日</w:t>
      </w:r>
    </w:p>
    <w:p w14:paraId="40011BC3">
      <w:pPr>
        <w:autoSpaceDE w:val="0"/>
        <w:autoSpaceDN w:val="0"/>
        <w:spacing w:line="360" w:lineRule="auto"/>
        <w:jc w:val="center"/>
        <w:rPr>
          <w:rFonts w:hint="eastAsia" w:ascii="宋体" w:hAnsi="宋体"/>
          <w:b/>
          <w:sz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b/>
          <w:sz w:val="32"/>
          <w:highlight w:val="none"/>
        </w:rPr>
        <w:t>中小企业声明函（货物）</w:t>
      </w:r>
    </w:p>
    <w:p w14:paraId="5A601D3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本公司（联合体）郑重声明，根据《政府采购促进中小企业发展管理办法》（财库﹝2020﹞46 号）的规定，本公司（联合体）参加 </w:t>
      </w:r>
      <w:r>
        <w:rPr>
          <w:rFonts w:hint="eastAsia" w:ascii="宋体" w:hAnsi="宋体"/>
          <w:sz w:val="24"/>
          <w:highlight w:val="none"/>
          <w:u w:val="single"/>
        </w:rPr>
        <w:t xml:space="preserve">（采购人） </w:t>
      </w:r>
      <w:r>
        <w:rPr>
          <w:rFonts w:hint="eastAsia" w:ascii="宋体" w:hAnsi="宋体"/>
          <w:sz w:val="24"/>
          <w:highlight w:val="none"/>
        </w:rPr>
        <w:t xml:space="preserve">的 </w:t>
      </w:r>
      <w:r>
        <w:rPr>
          <w:rFonts w:hint="eastAsia" w:ascii="宋体" w:hAnsi="宋体"/>
          <w:sz w:val="24"/>
          <w:highlight w:val="none"/>
          <w:u w:val="single"/>
        </w:rPr>
        <w:t>（项目名称）</w:t>
      </w:r>
      <w:r>
        <w:rPr>
          <w:rFonts w:hint="eastAsia" w:ascii="宋体" w:hAnsi="宋体"/>
          <w:sz w:val="24"/>
          <w:highlight w:val="none"/>
        </w:rPr>
        <w:t xml:space="preserve"> 采购活动，提供的货物全部由符合政策要求的中小企业制造。相关企业（含联合体中的中小企业、签订分包意向协议的中小企业）的具体情况如下：</w:t>
      </w:r>
    </w:p>
    <w:tbl>
      <w:tblPr>
        <w:tblStyle w:val="17"/>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0269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73E97991">
            <w:pPr>
              <w:widowControl/>
              <w:snapToGrid w:val="0"/>
              <w:jc w:val="center"/>
              <w:textAlignment w:val="center"/>
              <w:rPr>
                <w:rFonts w:hint="eastAsia" w:ascii="宋体" w:hAnsi="宋体" w:cs="宋体"/>
                <w:b/>
                <w:bCs/>
                <w:sz w:val="24"/>
                <w:highlight w:val="none"/>
              </w:rPr>
            </w:pPr>
            <w:r>
              <w:rPr>
                <w:rFonts w:hint="eastAsia" w:ascii="宋体" w:hAnsi="宋体" w:cs="宋体"/>
                <w:b/>
                <w:bCs/>
                <w:kern w:val="0"/>
                <w:sz w:val="24"/>
                <w:highlight w:val="none"/>
              </w:rPr>
              <w:t>序号</w:t>
            </w:r>
          </w:p>
        </w:tc>
        <w:tc>
          <w:tcPr>
            <w:tcW w:w="2452" w:type="dxa"/>
            <w:vAlign w:val="center"/>
          </w:tcPr>
          <w:p w14:paraId="59789300">
            <w:pPr>
              <w:widowControl/>
              <w:snapToGrid w:val="0"/>
              <w:jc w:val="center"/>
              <w:textAlignment w:val="center"/>
              <w:rPr>
                <w:rFonts w:hint="eastAsia" w:ascii="宋体" w:hAnsi="宋体" w:cs="宋体"/>
                <w:b/>
                <w:bCs/>
                <w:sz w:val="24"/>
                <w:highlight w:val="none"/>
              </w:rPr>
            </w:pPr>
            <w:r>
              <w:rPr>
                <w:rFonts w:hint="eastAsia" w:ascii="宋体" w:hAnsi="宋体" w:cs="宋体"/>
                <w:b/>
                <w:bCs/>
                <w:kern w:val="0"/>
                <w:sz w:val="24"/>
                <w:highlight w:val="none"/>
              </w:rPr>
              <w:t>标的（货物）名称</w:t>
            </w:r>
          </w:p>
        </w:tc>
        <w:tc>
          <w:tcPr>
            <w:tcW w:w="907" w:type="dxa"/>
            <w:vAlign w:val="center"/>
          </w:tcPr>
          <w:p w14:paraId="1EEC68EB">
            <w:pPr>
              <w:widowControl/>
              <w:snapToGrid w:val="0"/>
              <w:jc w:val="center"/>
              <w:textAlignment w:val="center"/>
              <w:rPr>
                <w:rFonts w:hint="eastAsia" w:ascii="宋体" w:hAnsi="宋体" w:cs="宋体"/>
                <w:b/>
                <w:bCs/>
                <w:sz w:val="24"/>
                <w:highlight w:val="none"/>
              </w:rPr>
            </w:pPr>
            <w:r>
              <w:rPr>
                <w:rFonts w:hint="eastAsia" w:ascii="宋体" w:hAnsi="宋体" w:cs="宋体"/>
                <w:sz w:val="24"/>
                <w:highlight w:val="none"/>
              </w:rPr>
              <w:t>属于行业</w:t>
            </w:r>
          </w:p>
        </w:tc>
        <w:tc>
          <w:tcPr>
            <w:tcW w:w="3536" w:type="dxa"/>
            <w:vAlign w:val="center"/>
          </w:tcPr>
          <w:p w14:paraId="1A1695DD">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制造商名称</w:t>
            </w:r>
          </w:p>
        </w:tc>
        <w:tc>
          <w:tcPr>
            <w:tcW w:w="1389" w:type="dxa"/>
            <w:vAlign w:val="center"/>
          </w:tcPr>
          <w:p w14:paraId="07C86BE3">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从业人员（人数）</w:t>
            </w:r>
          </w:p>
        </w:tc>
        <w:tc>
          <w:tcPr>
            <w:tcW w:w="1312" w:type="dxa"/>
            <w:vAlign w:val="center"/>
          </w:tcPr>
          <w:p w14:paraId="17626304">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营业收入（万元）</w:t>
            </w:r>
          </w:p>
        </w:tc>
        <w:tc>
          <w:tcPr>
            <w:tcW w:w="1409" w:type="dxa"/>
            <w:vAlign w:val="center"/>
          </w:tcPr>
          <w:p w14:paraId="05DDBAFB">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资产总额（万元）</w:t>
            </w:r>
          </w:p>
        </w:tc>
        <w:tc>
          <w:tcPr>
            <w:tcW w:w="2451" w:type="dxa"/>
            <w:vAlign w:val="center"/>
          </w:tcPr>
          <w:p w14:paraId="1C75E242">
            <w:pPr>
              <w:widowControl/>
              <w:snapToGrid w:val="0"/>
              <w:jc w:val="center"/>
              <w:textAlignment w:val="center"/>
              <w:rPr>
                <w:rFonts w:hint="eastAsia" w:ascii="宋体" w:hAnsi="宋体" w:cs="宋体"/>
                <w:b/>
                <w:bCs/>
                <w:kern w:val="0"/>
                <w:sz w:val="24"/>
                <w:highlight w:val="none"/>
              </w:rPr>
            </w:pPr>
            <w:r>
              <w:rPr>
                <w:rFonts w:hint="eastAsia" w:ascii="宋体" w:hAnsi="宋体" w:cs="宋体"/>
                <w:sz w:val="24"/>
                <w:highlight w:val="none"/>
              </w:rPr>
              <w:t>属于</w:t>
            </w:r>
            <w:r>
              <w:rPr>
                <w:rFonts w:hint="eastAsia" w:ascii="宋体" w:hAnsi="宋体" w:cs="宋体"/>
                <w:sz w:val="24"/>
                <w:highlight w:val="none"/>
                <w:u w:val="single"/>
              </w:rPr>
              <w:t>（中型企业、小型企业、微型企业）</w:t>
            </w:r>
          </w:p>
        </w:tc>
      </w:tr>
      <w:tr w14:paraId="5CF5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91BCD28">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1</w:t>
            </w:r>
          </w:p>
        </w:tc>
        <w:tc>
          <w:tcPr>
            <w:tcW w:w="2452" w:type="dxa"/>
            <w:vAlign w:val="center"/>
          </w:tcPr>
          <w:p w14:paraId="3147E67F">
            <w:pPr>
              <w:snapToGrid w:val="0"/>
              <w:jc w:val="center"/>
              <w:rPr>
                <w:rFonts w:hint="eastAsia" w:ascii="宋体" w:hAnsi="宋体" w:cs="宋体"/>
                <w:sz w:val="24"/>
                <w:highlight w:val="none"/>
              </w:rPr>
            </w:pPr>
          </w:p>
        </w:tc>
        <w:tc>
          <w:tcPr>
            <w:tcW w:w="907" w:type="dxa"/>
            <w:vAlign w:val="center"/>
          </w:tcPr>
          <w:p w14:paraId="49A62305">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工业</w:t>
            </w:r>
          </w:p>
        </w:tc>
        <w:tc>
          <w:tcPr>
            <w:tcW w:w="3536" w:type="dxa"/>
            <w:vAlign w:val="center"/>
          </w:tcPr>
          <w:p w14:paraId="2469B615">
            <w:pPr>
              <w:widowControl/>
              <w:snapToGrid w:val="0"/>
              <w:jc w:val="center"/>
              <w:textAlignment w:val="center"/>
              <w:rPr>
                <w:rFonts w:hint="eastAsia" w:ascii="宋体" w:hAnsi="宋体" w:cs="宋体"/>
                <w:sz w:val="24"/>
                <w:highlight w:val="none"/>
              </w:rPr>
            </w:pPr>
          </w:p>
        </w:tc>
        <w:tc>
          <w:tcPr>
            <w:tcW w:w="1389" w:type="dxa"/>
            <w:vAlign w:val="center"/>
          </w:tcPr>
          <w:p w14:paraId="62C52B7D">
            <w:pPr>
              <w:widowControl/>
              <w:snapToGrid w:val="0"/>
              <w:jc w:val="center"/>
              <w:textAlignment w:val="center"/>
              <w:rPr>
                <w:rFonts w:hint="eastAsia" w:ascii="宋体" w:hAnsi="宋体" w:cs="宋体"/>
                <w:sz w:val="24"/>
                <w:highlight w:val="none"/>
              </w:rPr>
            </w:pPr>
          </w:p>
        </w:tc>
        <w:tc>
          <w:tcPr>
            <w:tcW w:w="1312" w:type="dxa"/>
            <w:vAlign w:val="center"/>
          </w:tcPr>
          <w:p w14:paraId="5CB9E3F1">
            <w:pPr>
              <w:snapToGrid w:val="0"/>
              <w:jc w:val="center"/>
              <w:rPr>
                <w:rFonts w:hint="eastAsia" w:ascii="宋体" w:hAnsi="宋体" w:cs="宋体"/>
                <w:sz w:val="24"/>
                <w:highlight w:val="none"/>
              </w:rPr>
            </w:pPr>
          </w:p>
        </w:tc>
        <w:tc>
          <w:tcPr>
            <w:tcW w:w="1409" w:type="dxa"/>
            <w:vAlign w:val="center"/>
          </w:tcPr>
          <w:p w14:paraId="67452996">
            <w:pPr>
              <w:snapToGrid w:val="0"/>
              <w:jc w:val="center"/>
              <w:rPr>
                <w:rFonts w:hint="eastAsia" w:ascii="宋体" w:hAnsi="宋体" w:cs="宋体"/>
                <w:sz w:val="24"/>
                <w:highlight w:val="none"/>
              </w:rPr>
            </w:pPr>
          </w:p>
        </w:tc>
        <w:tc>
          <w:tcPr>
            <w:tcW w:w="2451" w:type="dxa"/>
            <w:vAlign w:val="center"/>
          </w:tcPr>
          <w:p w14:paraId="4A93FFCA">
            <w:pPr>
              <w:snapToGrid w:val="0"/>
              <w:jc w:val="center"/>
              <w:rPr>
                <w:rFonts w:hint="eastAsia" w:ascii="宋体" w:hAnsi="宋体" w:cs="宋体"/>
                <w:sz w:val="24"/>
                <w:highlight w:val="none"/>
              </w:rPr>
            </w:pPr>
          </w:p>
        </w:tc>
      </w:tr>
      <w:tr w14:paraId="54D1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2DB3415">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2</w:t>
            </w:r>
          </w:p>
        </w:tc>
        <w:tc>
          <w:tcPr>
            <w:tcW w:w="2452" w:type="dxa"/>
            <w:vAlign w:val="center"/>
          </w:tcPr>
          <w:p w14:paraId="455D1F6C">
            <w:pPr>
              <w:snapToGrid w:val="0"/>
              <w:jc w:val="center"/>
              <w:rPr>
                <w:rFonts w:hint="eastAsia" w:ascii="宋体" w:hAnsi="宋体" w:cs="宋体"/>
                <w:sz w:val="24"/>
                <w:highlight w:val="none"/>
              </w:rPr>
            </w:pPr>
          </w:p>
        </w:tc>
        <w:tc>
          <w:tcPr>
            <w:tcW w:w="907" w:type="dxa"/>
            <w:vAlign w:val="center"/>
          </w:tcPr>
          <w:p w14:paraId="0617AD3F">
            <w:pPr>
              <w:widowControl/>
              <w:snapToGrid w:val="0"/>
              <w:jc w:val="center"/>
              <w:textAlignment w:val="center"/>
              <w:rPr>
                <w:rFonts w:hint="eastAsia" w:ascii="宋体" w:hAnsi="宋体" w:cs="宋体"/>
                <w:sz w:val="24"/>
                <w:highlight w:val="none"/>
              </w:rPr>
            </w:pPr>
          </w:p>
        </w:tc>
        <w:tc>
          <w:tcPr>
            <w:tcW w:w="3536" w:type="dxa"/>
            <w:vAlign w:val="center"/>
          </w:tcPr>
          <w:p w14:paraId="507E1B71">
            <w:pPr>
              <w:widowControl/>
              <w:snapToGrid w:val="0"/>
              <w:jc w:val="center"/>
              <w:textAlignment w:val="center"/>
              <w:rPr>
                <w:rFonts w:hint="eastAsia" w:ascii="宋体" w:hAnsi="宋体" w:cs="宋体"/>
                <w:sz w:val="24"/>
                <w:highlight w:val="none"/>
              </w:rPr>
            </w:pPr>
          </w:p>
        </w:tc>
        <w:tc>
          <w:tcPr>
            <w:tcW w:w="1389" w:type="dxa"/>
            <w:vAlign w:val="center"/>
          </w:tcPr>
          <w:p w14:paraId="17E26AED">
            <w:pPr>
              <w:widowControl/>
              <w:snapToGrid w:val="0"/>
              <w:jc w:val="center"/>
              <w:textAlignment w:val="center"/>
              <w:rPr>
                <w:rFonts w:hint="eastAsia" w:ascii="宋体" w:hAnsi="宋体" w:cs="宋体"/>
                <w:sz w:val="24"/>
                <w:highlight w:val="none"/>
              </w:rPr>
            </w:pPr>
          </w:p>
        </w:tc>
        <w:tc>
          <w:tcPr>
            <w:tcW w:w="1312" w:type="dxa"/>
            <w:vAlign w:val="center"/>
          </w:tcPr>
          <w:p w14:paraId="69ACD666">
            <w:pPr>
              <w:snapToGrid w:val="0"/>
              <w:jc w:val="center"/>
              <w:rPr>
                <w:rFonts w:hint="eastAsia" w:ascii="宋体" w:hAnsi="宋体" w:cs="宋体"/>
                <w:sz w:val="24"/>
                <w:highlight w:val="none"/>
              </w:rPr>
            </w:pPr>
          </w:p>
        </w:tc>
        <w:tc>
          <w:tcPr>
            <w:tcW w:w="1409" w:type="dxa"/>
            <w:vAlign w:val="center"/>
          </w:tcPr>
          <w:p w14:paraId="0E75FAE6">
            <w:pPr>
              <w:snapToGrid w:val="0"/>
              <w:jc w:val="center"/>
              <w:rPr>
                <w:rFonts w:hint="eastAsia" w:ascii="宋体" w:hAnsi="宋体" w:cs="宋体"/>
                <w:sz w:val="24"/>
                <w:highlight w:val="none"/>
              </w:rPr>
            </w:pPr>
          </w:p>
        </w:tc>
        <w:tc>
          <w:tcPr>
            <w:tcW w:w="2451" w:type="dxa"/>
            <w:vAlign w:val="center"/>
          </w:tcPr>
          <w:p w14:paraId="54D0EDC0">
            <w:pPr>
              <w:snapToGrid w:val="0"/>
              <w:jc w:val="center"/>
              <w:rPr>
                <w:rFonts w:hint="eastAsia" w:ascii="宋体" w:hAnsi="宋体" w:cs="宋体"/>
                <w:sz w:val="24"/>
                <w:highlight w:val="none"/>
              </w:rPr>
            </w:pPr>
          </w:p>
        </w:tc>
      </w:tr>
      <w:tr w14:paraId="4A80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FD93ABD">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3</w:t>
            </w:r>
          </w:p>
        </w:tc>
        <w:tc>
          <w:tcPr>
            <w:tcW w:w="2452" w:type="dxa"/>
            <w:vAlign w:val="center"/>
          </w:tcPr>
          <w:p w14:paraId="74E731B2">
            <w:pPr>
              <w:snapToGrid w:val="0"/>
              <w:jc w:val="center"/>
              <w:rPr>
                <w:rFonts w:hint="eastAsia" w:ascii="宋体" w:hAnsi="宋体" w:cs="宋体"/>
                <w:sz w:val="24"/>
                <w:highlight w:val="none"/>
              </w:rPr>
            </w:pPr>
          </w:p>
        </w:tc>
        <w:tc>
          <w:tcPr>
            <w:tcW w:w="907" w:type="dxa"/>
            <w:vAlign w:val="center"/>
          </w:tcPr>
          <w:p w14:paraId="4A78C16F">
            <w:pPr>
              <w:widowControl/>
              <w:snapToGrid w:val="0"/>
              <w:jc w:val="center"/>
              <w:textAlignment w:val="center"/>
              <w:rPr>
                <w:rFonts w:hint="eastAsia" w:ascii="宋体" w:hAnsi="宋体" w:cs="宋体"/>
                <w:sz w:val="24"/>
                <w:highlight w:val="none"/>
              </w:rPr>
            </w:pPr>
          </w:p>
        </w:tc>
        <w:tc>
          <w:tcPr>
            <w:tcW w:w="3536" w:type="dxa"/>
            <w:vAlign w:val="center"/>
          </w:tcPr>
          <w:p w14:paraId="4942AE69">
            <w:pPr>
              <w:widowControl/>
              <w:snapToGrid w:val="0"/>
              <w:jc w:val="center"/>
              <w:textAlignment w:val="center"/>
              <w:rPr>
                <w:rFonts w:hint="eastAsia" w:ascii="宋体" w:hAnsi="宋体" w:cs="宋体"/>
                <w:sz w:val="24"/>
                <w:highlight w:val="none"/>
              </w:rPr>
            </w:pPr>
          </w:p>
        </w:tc>
        <w:tc>
          <w:tcPr>
            <w:tcW w:w="1389" w:type="dxa"/>
            <w:vAlign w:val="center"/>
          </w:tcPr>
          <w:p w14:paraId="3ACDB766">
            <w:pPr>
              <w:widowControl/>
              <w:snapToGrid w:val="0"/>
              <w:jc w:val="center"/>
              <w:textAlignment w:val="center"/>
              <w:rPr>
                <w:rFonts w:hint="eastAsia" w:ascii="宋体" w:hAnsi="宋体" w:cs="宋体"/>
                <w:sz w:val="24"/>
                <w:highlight w:val="none"/>
              </w:rPr>
            </w:pPr>
          </w:p>
        </w:tc>
        <w:tc>
          <w:tcPr>
            <w:tcW w:w="1312" w:type="dxa"/>
            <w:vAlign w:val="center"/>
          </w:tcPr>
          <w:p w14:paraId="3865EB00">
            <w:pPr>
              <w:snapToGrid w:val="0"/>
              <w:jc w:val="center"/>
              <w:rPr>
                <w:rFonts w:hint="eastAsia" w:ascii="宋体" w:hAnsi="宋体" w:cs="宋体"/>
                <w:sz w:val="24"/>
                <w:highlight w:val="none"/>
              </w:rPr>
            </w:pPr>
          </w:p>
        </w:tc>
        <w:tc>
          <w:tcPr>
            <w:tcW w:w="1409" w:type="dxa"/>
            <w:vAlign w:val="center"/>
          </w:tcPr>
          <w:p w14:paraId="61C6E98E">
            <w:pPr>
              <w:snapToGrid w:val="0"/>
              <w:jc w:val="center"/>
              <w:rPr>
                <w:rFonts w:hint="eastAsia" w:ascii="宋体" w:hAnsi="宋体" w:cs="宋体"/>
                <w:sz w:val="24"/>
                <w:highlight w:val="none"/>
              </w:rPr>
            </w:pPr>
          </w:p>
        </w:tc>
        <w:tc>
          <w:tcPr>
            <w:tcW w:w="2451" w:type="dxa"/>
            <w:vAlign w:val="center"/>
          </w:tcPr>
          <w:p w14:paraId="2459BFB6">
            <w:pPr>
              <w:snapToGrid w:val="0"/>
              <w:jc w:val="center"/>
              <w:rPr>
                <w:rFonts w:hint="eastAsia" w:ascii="宋体" w:hAnsi="宋体" w:cs="宋体"/>
                <w:sz w:val="24"/>
                <w:highlight w:val="none"/>
              </w:rPr>
            </w:pPr>
          </w:p>
        </w:tc>
      </w:tr>
      <w:tr w14:paraId="539C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4438C4B">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4</w:t>
            </w:r>
          </w:p>
        </w:tc>
        <w:tc>
          <w:tcPr>
            <w:tcW w:w="2452" w:type="dxa"/>
            <w:vAlign w:val="center"/>
          </w:tcPr>
          <w:p w14:paraId="43C288D8">
            <w:pPr>
              <w:widowControl/>
              <w:jc w:val="center"/>
              <w:textAlignment w:val="center"/>
              <w:rPr>
                <w:rFonts w:hint="eastAsia" w:ascii="宋体" w:hAnsi="宋体" w:cs="宋体"/>
                <w:kern w:val="0"/>
                <w:sz w:val="24"/>
                <w:highlight w:val="none"/>
              </w:rPr>
            </w:pPr>
          </w:p>
        </w:tc>
        <w:tc>
          <w:tcPr>
            <w:tcW w:w="907" w:type="dxa"/>
            <w:vAlign w:val="center"/>
          </w:tcPr>
          <w:p w14:paraId="73C32BE2">
            <w:pPr>
              <w:widowControl/>
              <w:snapToGrid w:val="0"/>
              <w:jc w:val="center"/>
              <w:textAlignment w:val="center"/>
              <w:rPr>
                <w:rFonts w:hint="eastAsia" w:ascii="宋体" w:hAnsi="宋体" w:cs="宋体"/>
                <w:sz w:val="24"/>
                <w:highlight w:val="none"/>
              </w:rPr>
            </w:pPr>
          </w:p>
        </w:tc>
        <w:tc>
          <w:tcPr>
            <w:tcW w:w="3536" w:type="dxa"/>
            <w:vAlign w:val="center"/>
          </w:tcPr>
          <w:p w14:paraId="45F4649E">
            <w:pPr>
              <w:widowControl/>
              <w:snapToGrid w:val="0"/>
              <w:jc w:val="center"/>
              <w:textAlignment w:val="center"/>
              <w:rPr>
                <w:rFonts w:hint="eastAsia" w:ascii="宋体" w:hAnsi="宋体" w:cs="宋体"/>
                <w:sz w:val="24"/>
                <w:highlight w:val="none"/>
              </w:rPr>
            </w:pPr>
          </w:p>
        </w:tc>
        <w:tc>
          <w:tcPr>
            <w:tcW w:w="1389" w:type="dxa"/>
            <w:vAlign w:val="center"/>
          </w:tcPr>
          <w:p w14:paraId="225C9A11">
            <w:pPr>
              <w:widowControl/>
              <w:snapToGrid w:val="0"/>
              <w:jc w:val="center"/>
              <w:textAlignment w:val="center"/>
              <w:rPr>
                <w:rFonts w:hint="eastAsia" w:ascii="宋体" w:hAnsi="宋体" w:cs="宋体"/>
                <w:sz w:val="24"/>
                <w:highlight w:val="none"/>
              </w:rPr>
            </w:pPr>
          </w:p>
        </w:tc>
        <w:tc>
          <w:tcPr>
            <w:tcW w:w="1312" w:type="dxa"/>
            <w:vAlign w:val="center"/>
          </w:tcPr>
          <w:p w14:paraId="2BE53A8E">
            <w:pPr>
              <w:snapToGrid w:val="0"/>
              <w:jc w:val="center"/>
              <w:rPr>
                <w:rFonts w:hint="eastAsia" w:ascii="宋体" w:hAnsi="宋体" w:cs="宋体"/>
                <w:sz w:val="24"/>
                <w:highlight w:val="none"/>
              </w:rPr>
            </w:pPr>
          </w:p>
        </w:tc>
        <w:tc>
          <w:tcPr>
            <w:tcW w:w="1409" w:type="dxa"/>
            <w:vAlign w:val="center"/>
          </w:tcPr>
          <w:p w14:paraId="42DFAF15">
            <w:pPr>
              <w:snapToGrid w:val="0"/>
              <w:jc w:val="center"/>
              <w:rPr>
                <w:rFonts w:hint="eastAsia" w:ascii="宋体" w:hAnsi="宋体" w:cs="宋体"/>
                <w:sz w:val="24"/>
                <w:highlight w:val="none"/>
              </w:rPr>
            </w:pPr>
          </w:p>
        </w:tc>
        <w:tc>
          <w:tcPr>
            <w:tcW w:w="2451" w:type="dxa"/>
            <w:vAlign w:val="center"/>
          </w:tcPr>
          <w:p w14:paraId="646CCF73">
            <w:pPr>
              <w:snapToGrid w:val="0"/>
              <w:jc w:val="center"/>
              <w:rPr>
                <w:rFonts w:hint="eastAsia" w:ascii="宋体" w:hAnsi="宋体" w:cs="宋体"/>
                <w:sz w:val="24"/>
                <w:highlight w:val="none"/>
              </w:rPr>
            </w:pPr>
          </w:p>
        </w:tc>
      </w:tr>
      <w:tr w14:paraId="62C3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E4164A8">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w:t>
            </w:r>
          </w:p>
        </w:tc>
        <w:tc>
          <w:tcPr>
            <w:tcW w:w="2452" w:type="dxa"/>
            <w:vAlign w:val="center"/>
          </w:tcPr>
          <w:p w14:paraId="498F4E02">
            <w:pPr>
              <w:jc w:val="center"/>
              <w:rPr>
                <w:rFonts w:hint="eastAsia" w:ascii="宋体" w:hAnsi="宋体" w:cs="宋体"/>
                <w:kern w:val="0"/>
                <w:sz w:val="24"/>
                <w:highlight w:val="none"/>
              </w:rPr>
            </w:pPr>
          </w:p>
        </w:tc>
        <w:tc>
          <w:tcPr>
            <w:tcW w:w="907" w:type="dxa"/>
            <w:vAlign w:val="center"/>
          </w:tcPr>
          <w:p w14:paraId="7D4D72DF">
            <w:pPr>
              <w:widowControl/>
              <w:snapToGrid w:val="0"/>
              <w:jc w:val="center"/>
              <w:textAlignment w:val="center"/>
              <w:rPr>
                <w:rFonts w:hint="eastAsia" w:ascii="宋体" w:hAnsi="宋体" w:cs="宋体"/>
                <w:sz w:val="24"/>
                <w:highlight w:val="none"/>
              </w:rPr>
            </w:pPr>
          </w:p>
        </w:tc>
        <w:tc>
          <w:tcPr>
            <w:tcW w:w="3536" w:type="dxa"/>
            <w:vAlign w:val="center"/>
          </w:tcPr>
          <w:p w14:paraId="54AAB67C">
            <w:pPr>
              <w:widowControl/>
              <w:snapToGrid w:val="0"/>
              <w:jc w:val="center"/>
              <w:textAlignment w:val="center"/>
              <w:rPr>
                <w:rFonts w:hint="eastAsia" w:ascii="宋体" w:hAnsi="宋体" w:cs="宋体"/>
                <w:sz w:val="24"/>
                <w:highlight w:val="none"/>
              </w:rPr>
            </w:pPr>
          </w:p>
        </w:tc>
        <w:tc>
          <w:tcPr>
            <w:tcW w:w="1389" w:type="dxa"/>
            <w:vAlign w:val="center"/>
          </w:tcPr>
          <w:p w14:paraId="7A6B17B4">
            <w:pPr>
              <w:widowControl/>
              <w:snapToGrid w:val="0"/>
              <w:jc w:val="center"/>
              <w:textAlignment w:val="center"/>
              <w:rPr>
                <w:rFonts w:hint="eastAsia" w:ascii="宋体" w:hAnsi="宋体" w:cs="宋体"/>
                <w:sz w:val="24"/>
                <w:highlight w:val="none"/>
              </w:rPr>
            </w:pPr>
          </w:p>
        </w:tc>
        <w:tc>
          <w:tcPr>
            <w:tcW w:w="1312" w:type="dxa"/>
            <w:vAlign w:val="center"/>
          </w:tcPr>
          <w:p w14:paraId="52364DD2">
            <w:pPr>
              <w:snapToGrid w:val="0"/>
              <w:jc w:val="center"/>
              <w:rPr>
                <w:rFonts w:hint="eastAsia" w:ascii="宋体" w:hAnsi="宋体" w:cs="宋体"/>
                <w:sz w:val="24"/>
                <w:highlight w:val="none"/>
              </w:rPr>
            </w:pPr>
          </w:p>
        </w:tc>
        <w:tc>
          <w:tcPr>
            <w:tcW w:w="1409" w:type="dxa"/>
            <w:vAlign w:val="center"/>
          </w:tcPr>
          <w:p w14:paraId="73CE9FD5">
            <w:pPr>
              <w:snapToGrid w:val="0"/>
              <w:jc w:val="center"/>
              <w:rPr>
                <w:rFonts w:hint="eastAsia" w:ascii="宋体" w:hAnsi="宋体" w:cs="宋体"/>
                <w:sz w:val="24"/>
                <w:highlight w:val="none"/>
              </w:rPr>
            </w:pPr>
          </w:p>
        </w:tc>
        <w:tc>
          <w:tcPr>
            <w:tcW w:w="2451" w:type="dxa"/>
            <w:vAlign w:val="center"/>
          </w:tcPr>
          <w:p w14:paraId="71A637DF">
            <w:pPr>
              <w:snapToGrid w:val="0"/>
              <w:jc w:val="center"/>
              <w:rPr>
                <w:rFonts w:hint="eastAsia" w:ascii="宋体" w:hAnsi="宋体" w:cs="宋体"/>
                <w:sz w:val="24"/>
                <w:highlight w:val="none"/>
              </w:rPr>
            </w:pPr>
          </w:p>
        </w:tc>
      </w:tr>
    </w:tbl>
    <w:p w14:paraId="50B1F974">
      <w:pPr>
        <w:spacing w:line="360" w:lineRule="auto"/>
        <w:ind w:firstLine="480" w:firstLineChars="200"/>
        <w:rPr>
          <w:rFonts w:hint="eastAsia"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14:paraId="594F1EDF">
      <w:pPr>
        <w:spacing w:line="360" w:lineRule="auto"/>
        <w:ind w:firstLine="480" w:firstLineChars="200"/>
        <w:rPr>
          <w:rFonts w:hint="eastAsia" w:ascii="宋体" w:hAnsi="宋体"/>
          <w:sz w:val="24"/>
          <w:highlight w:val="none"/>
        </w:rPr>
      </w:pPr>
      <w:r>
        <w:rPr>
          <w:rFonts w:hint="eastAsia" w:ascii="宋体" w:hAnsi="宋体"/>
          <w:sz w:val="24"/>
          <w:highlight w:val="none"/>
        </w:rPr>
        <w:t>本企业对上述声明内容的真实性负责。如有虚假，将依法承担相应责任。</w:t>
      </w:r>
    </w:p>
    <w:p w14:paraId="40759C38">
      <w:pPr>
        <w:snapToGrid w:val="0"/>
        <w:spacing w:line="360" w:lineRule="auto"/>
        <w:rPr>
          <w:rFonts w:hint="eastAsia" w:ascii="宋体" w:hAnsi="宋体"/>
          <w:kern w:val="0"/>
          <w:sz w:val="24"/>
          <w:highlight w:val="none"/>
        </w:rPr>
      </w:pPr>
      <w:r>
        <w:rPr>
          <w:rFonts w:hint="eastAsia" w:ascii="宋体" w:hAnsi="宋体"/>
          <w:kern w:val="0"/>
          <w:sz w:val="24"/>
          <w:highlight w:val="none"/>
        </w:rPr>
        <w:t>投标人名称(电子签名)：</w:t>
      </w:r>
    </w:p>
    <w:p w14:paraId="763121BD">
      <w:pPr>
        <w:snapToGrid w:val="0"/>
        <w:spacing w:line="360" w:lineRule="auto"/>
        <w:rPr>
          <w:rFonts w:hint="eastAsia" w:ascii="宋体" w:hAnsi="宋体"/>
          <w:kern w:val="0"/>
          <w:sz w:val="24"/>
          <w:highlight w:val="none"/>
        </w:rPr>
      </w:pPr>
      <w:r>
        <w:rPr>
          <w:rFonts w:hint="eastAsia" w:ascii="宋体" w:hAnsi="宋体"/>
          <w:kern w:val="0"/>
          <w:sz w:val="24"/>
          <w:highlight w:val="none"/>
        </w:rPr>
        <w:t>日期：  年  月   日</w:t>
      </w:r>
    </w:p>
    <w:p w14:paraId="69348A27">
      <w:pPr>
        <w:spacing w:line="360" w:lineRule="auto"/>
        <w:ind w:firstLine="482" w:firstLineChars="200"/>
        <w:jc w:val="left"/>
        <w:rPr>
          <w:rFonts w:hint="eastAsia" w:ascii="宋体" w:hAnsi="宋体"/>
          <w:b/>
          <w:bCs/>
          <w:sz w:val="24"/>
          <w:szCs w:val="28"/>
          <w:highlight w:val="none"/>
        </w:rPr>
      </w:pPr>
      <w:r>
        <w:rPr>
          <w:rFonts w:hint="eastAsia" w:ascii="宋体" w:hAnsi="宋体"/>
          <w:b/>
          <w:bCs/>
          <w:sz w:val="24"/>
          <w:szCs w:val="28"/>
          <w:highlight w:val="none"/>
        </w:rPr>
        <w:t>从业人员、营业收入、资产总额填报上一年度数据，无上一年度数据的新成立企业可不填报。</w:t>
      </w:r>
    </w:p>
    <w:p w14:paraId="6E2B62A9">
      <w:pPr>
        <w:spacing w:line="360" w:lineRule="auto"/>
        <w:ind w:right="420" w:firstLine="480" w:firstLineChars="200"/>
        <w:rPr>
          <w:rFonts w:hint="eastAsia" w:ascii="宋体" w:hAnsi="宋体"/>
          <w:sz w:val="24"/>
          <w:highlight w:val="none"/>
        </w:rPr>
      </w:pPr>
      <w:r>
        <w:rPr>
          <w:rFonts w:hint="eastAsia" w:ascii="宋体" w:hAnsi="宋体"/>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B0F1A2">
      <w:pPr>
        <w:spacing w:line="360" w:lineRule="auto"/>
        <w:ind w:right="420" w:firstLine="480" w:firstLineChars="200"/>
        <w:rPr>
          <w:highlight w:val="none"/>
        </w:rPr>
      </w:pPr>
      <w:r>
        <w:rPr>
          <w:rFonts w:hint="eastAsia" w:ascii="宋体" w:hAnsi="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A6FFC2">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29C5">
    <w:pPr>
      <w:pStyle w:val="11"/>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08F5B7">
                          <w:pPr>
                            <w:pStyle w:val="1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308F5B7">
                    <w:pPr>
                      <w:pStyle w:val="1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9A79">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0F9E03">
                          <w:pPr>
                            <w:pStyle w:val="1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7C0F9E03">
                    <w:pPr>
                      <w:pStyle w:val="1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78EA">
    <w:pPr>
      <w:pStyle w:val="11"/>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5FEAE1">
                          <w:pPr>
                            <w:pStyle w:val="1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515FEAE1">
                    <w:pPr>
                      <w:pStyle w:val="1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6285">
    <w:pPr>
      <w:pStyle w:val="11"/>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E5F05A">
                          <w:pPr>
                            <w:pStyle w:val="1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32E5F05A">
                    <w:pPr>
                      <w:pStyle w:val="1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218B">
    <w:pPr>
      <w:pStyle w:val="11"/>
      <w:framePr w:wrap="around" w:vAnchor="text" w:hAnchor="margin" w:xAlign="right" w:y="1"/>
      <w:rPr>
        <w:rStyle w:val="21"/>
      </w:rPr>
    </w:pPr>
    <w:r>
      <w:fldChar w:fldCharType="begin"/>
    </w:r>
    <w:r>
      <w:rPr>
        <w:rStyle w:val="21"/>
      </w:rPr>
      <w:instrText xml:space="preserve">PAGE  </w:instrText>
    </w:r>
    <w:r>
      <w:fldChar w:fldCharType="end"/>
    </w:r>
  </w:p>
  <w:p w14:paraId="19857F2C">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84F0">
    <w:pPr>
      <w:pStyle w:val="11"/>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772346">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63772346">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885570"/>
    </w:sdtPr>
    <w:sdtContent>
      <w:p w14:paraId="018C8CA1">
        <w:pPr>
          <w:pStyle w:val="11"/>
          <w:ind w:firstLine="360"/>
          <w:jc w:val="center"/>
        </w:pPr>
        <w:r>
          <w:fldChar w:fldCharType="begin"/>
        </w:r>
        <w:r>
          <w:instrText xml:space="preserve">PAGE   \* MERGEFORMAT</w:instrText>
        </w:r>
        <w:r>
          <w:fldChar w:fldCharType="separate"/>
        </w:r>
        <w:r>
          <w:rPr>
            <w:lang w:val="zh-CN"/>
          </w:rPr>
          <w:t>12</w:t>
        </w:r>
        <w:r>
          <w:fldChar w:fldCharType="end"/>
        </w:r>
      </w:p>
    </w:sdtContent>
  </w:sdt>
  <w:p w14:paraId="41A12CFD">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F082">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A080A5">
                          <w:pPr>
                            <w:pStyle w:val="1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33A080A5">
                    <w:pPr>
                      <w:pStyle w:val="1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4035">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53B66A">
                          <w:pPr>
                            <w:pStyle w:val="1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4653B66A">
                    <w:pPr>
                      <w:pStyle w:val="1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9681">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0E640E">
                          <w:pPr>
                            <w:pStyle w:val="1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1A0E640E">
                    <w:pPr>
                      <w:pStyle w:val="1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AB57">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5EAF97">
                          <w:pPr>
                            <w:pStyle w:val="1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095EAF97">
                    <w:pPr>
                      <w:pStyle w:val="1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C419">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92BCA4">
                          <w:pPr>
                            <w:pStyle w:val="1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1E92BCA4">
                    <w:pPr>
                      <w:pStyle w:val="1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EC86">
    <w:pPr>
      <w:pStyle w:val="12"/>
      <w:pBdr>
        <w:bottom w:val="single" w:color="auto" w:sz="6" w:space="4"/>
      </w:pBdr>
      <w:jc w:val="right"/>
    </w:pPr>
    <w:r>
      <w:t></w:t>
    </w:r>
    <w:r>
      <w:rPr>
        <w:rFonts w:hint="eastAsia"/>
      </w:rPr>
      <w:t xml:space="preserve">             公开招标文件</w:t>
    </w:r>
  </w:p>
  <w:p w14:paraId="74F7ACA5">
    <w:pPr>
      <w:pStyle w:val="1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7649">
    <w:pPr>
      <w:pStyle w:val="12"/>
      <w:jc w:val="right"/>
      <w:rPr>
        <w:rFonts w:ascii="仿宋_GB2312"/>
        <w:b/>
        <w:i/>
        <w:iCs/>
        <w:u w:val="single"/>
      </w:rPr>
    </w:pPr>
    <w:r>
      <w:t></w:t>
    </w: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4ADE">
    <w:pPr>
      <w:pStyle w:val="12"/>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C578">
    <w:pPr>
      <w:pStyle w:val="12"/>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659A">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9634">
    <w:pPr>
      <w:pStyle w:val="12"/>
      <w:rPr>
        <w:rFonts w:ascii="仿宋_GB2312"/>
        <w:b/>
        <w:i/>
        <w:u w:val="single"/>
      </w:rPr>
    </w:pPr>
    <w:r>
      <w:t></w:t>
    </w:r>
    <w:r>
      <w:rPr>
        <w:rFonts w:hint="eastAsia"/>
      </w:rPr>
      <w:t xml:space="preserve">                                                  </w:t>
    </w:r>
    <w:r>
      <w:t xml:space="preserve">                  </w:t>
    </w:r>
    <w:r>
      <w:rPr>
        <w:rFonts w:hint="eastAsia"/>
      </w:rPr>
      <w:t>公开招标文件</w:t>
    </w:r>
  </w:p>
  <w:p w14:paraId="2C9FED6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E4D9">
    <w:pPr>
      <w:pStyle w:val="12"/>
    </w:pPr>
    <w:r>
      <w:t></w:t>
    </w:r>
    <w:r>
      <w:rPr>
        <w:rFonts w:hint="eastAsia"/>
      </w:rPr>
      <w:t xml:space="preserve">         </w:t>
    </w:r>
  </w:p>
  <w:p w14:paraId="34ED22E3">
    <w:pPr>
      <w:pStyle w:val="12"/>
    </w:pP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D550">
    <w:pPr>
      <w:pStyle w:val="12"/>
      <w:rPr>
        <w:rFonts w:ascii="仿宋_GB2312"/>
        <w:b/>
        <w:i/>
        <w:u w:val="single"/>
      </w:rPr>
    </w:pPr>
    <w:r>
      <w:t></w:t>
    </w:r>
    <w:r>
      <w:rPr>
        <w:rFonts w:hint="eastAsia"/>
      </w:rPr>
      <w:t xml:space="preserve">                                                  公开招标文件</w:t>
    </w:r>
  </w:p>
  <w:p w14:paraId="5C95B4C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1BC7">
    <w:pPr>
      <w:pStyle w:val="12"/>
      <w:jc w:val="right"/>
    </w:pPr>
    <w:r>
      <w:t></w:t>
    </w:r>
    <w:r>
      <w:rPr>
        <w:rFonts w:hint="eastAsia"/>
      </w:rPr>
      <w:t xml:space="preserve">                 </w:t>
    </w:r>
    <w:r>
      <w:t xml:space="preserve">                                </w:t>
    </w: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6931">
    <w:pPr>
      <w:pStyle w:val="12"/>
      <w:jc w:val="right"/>
      <w:rPr>
        <w:rFonts w:ascii="仿宋_GB2312"/>
        <w:b/>
        <w:i/>
        <w:u w:val="single"/>
      </w:rPr>
    </w:pPr>
    <w:r>
      <w:rPr>
        <w:rFonts w:hint="eastAsia"/>
      </w:rPr>
      <w:t xml:space="preserve">                                  公开招标文件</w:t>
    </w:r>
  </w:p>
  <w:p w14:paraId="57FF481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540">
    <w:pPr>
      <w:pStyle w:val="12"/>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0654"/>
    <w:multiLevelType w:val="singleLevel"/>
    <w:tmpl w:val="D6390654"/>
    <w:lvl w:ilvl="0" w:tentative="0">
      <w:start w:val="3"/>
      <w:numFmt w:val="decimal"/>
      <w:lvlText w:val="%1."/>
      <w:lvlJc w:val="left"/>
      <w:pPr>
        <w:tabs>
          <w:tab w:val="left" w:pos="312"/>
        </w:tabs>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3">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4">
    <w:nsid w:val="2B4F2FAC"/>
    <w:multiLevelType w:val="multilevel"/>
    <w:tmpl w:val="2B4F2FAC"/>
    <w:lvl w:ilvl="0" w:tentative="0">
      <w:start w:val="1"/>
      <w:numFmt w:val="bullet"/>
      <w:lvlText w:val=""/>
      <w:lvlJc w:val="left"/>
      <w:pPr>
        <w:ind w:left="420" w:hanging="420"/>
      </w:pPr>
      <w:rPr>
        <w:rFonts w:hint="default" w:ascii="Wingdings" w:hAnsi="Wingdings"/>
      </w:rPr>
    </w:lvl>
    <w:lvl w:ilvl="1" w:tentative="0">
      <w:start w:val="3"/>
      <w:numFmt w:val="decimal"/>
      <w:lvlText w:val="%2）"/>
      <w:lvlJc w:val="left"/>
      <w:pPr>
        <w:ind w:left="885" w:hanging="4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6">
    <w:nsid w:val="2DD89816"/>
    <w:multiLevelType w:val="singleLevel"/>
    <w:tmpl w:val="2DD89816"/>
    <w:lvl w:ilvl="0" w:tentative="0">
      <w:start w:val="1"/>
      <w:numFmt w:val="decimal"/>
      <w:suff w:val="nothing"/>
      <w:lvlText w:val="（%1）"/>
      <w:lvlJc w:val="left"/>
    </w:lvl>
  </w:abstractNum>
  <w:abstractNum w:abstractNumId="7">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8">
    <w:nsid w:val="6A6A2843"/>
    <w:multiLevelType w:val="multilevel"/>
    <w:tmpl w:val="6A6A284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7"/>
  </w:num>
  <w:num w:numId="3">
    <w:abstractNumId w:val="6"/>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GRkZjk4MTFkZTkwNjA2NWI2M2UyYWFiODc5YjYifQ=="/>
  </w:docVars>
  <w:rsids>
    <w:rsidRoot w:val="6F0B5468"/>
    <w:rsid w:val="00113833"/>
    <w:rsid w:val="00134844"/>
    <w:rsid w:val="00190D4E"/>
    <w:rsid w:val="00193D61"/>
    <w:rsid w:val="001A0A68"/>
    <w:rsid w:val="00235A05"/>
    <w:rsid w:val="003617D7"/>
    <w:rsid w:val="00370DEC"/>
    <w:rsid w:val="004441F7"/>
    <w:rsid w:val="0044606B"/>
    <w:rsid w:val="00472FBF"/>
    <w:rsid w:val="004E708F"/>
    <w:rsid w:val="004F056A"/>
    <w:rsid w:val="0056224C"/>
    <w:rsid w:val="005859FF"/>
    <w:rsid w:val="00710CA5"/>
    <w:rsid w:val="007E35CB"/>
    <w:rsid w:val="0082249A"/>
    <w:rsid w:val="00914494"/>
    <w:rsid w:val="00945AD6"/>
    <w:rsid w:val="00B45118"/>
    <w:rsid w:val="00B46232"/>
    <w:rsid w:val="00B80CC6"/>
    <w:rsid w:val="00BA31AA"/>
    <w:rsid w:val="00C303F8"/>
    <w:rsid w:val="00C46B04"/>
    <w:rsid w:val="00C574C2"/>
    <w:rsid w:val="00D93347"/>
    <w:rsid w:val="00E86715"/>
    <w:rsid w:val="00EA2A32"/>
    <w:rsid w:val="00FA6C7B"/>
    <w:rsid w:val="00FD1D85"/>
    <w:rsid w:val="045331DC"/>
    <w:rsid w:val="04DD5D69"/>
    <w:rsid w:val="05F72770"/>
    <w:rsid w:val="08B40DD4"/>
    <w:rsid w:val="08D56A3C"/>
    <w:rsid w:val="0CE24F81"/>
    <w:rsid w:val="0DBE2B84"/>
    <w:rsid w:val="0EE409F0"/>
    <w:rsid w:val="144E2788"/>
    <w:rsid w:val="15C375BB"/>
    <w:rsid w:val="1CB57CA7"/>
    <w:rsid w:val="21843C8D"/>
    <w:rsid w:val="27E0108D"/>
    <w:rsid w:val="2862154F"/>
    <w:rsid w:val="2932368C"/>
    <w:rsid w:val="29800286"/>
    <w:rsid w:val="2B7868A3"/>
    <w:rsid w:val="2E853A7D"/>
    <w:rsid w:val="30D9771F"/>
    <w:rsid w:val="312F7117"/>
    <w:rsid w:val="32457E25"/>
    <w:rsid w:val="371A7F91"/>
    <w:rsid w:val="381673B4"/>
    <w:rsid w:val="3A415021"/>
    <w:rsid w:val="3F400D9C"/>
    <w:rsid w:val="433947DC"/>
    <w:rsid w:val="43685813"/>
    <w:rsid w:val="46486168"/>
    <w:rsid w:val="47787708"/>
    <w:rsid w:val="48396CD0"/>
    <w:rsid w:val="49493663"/>
    <w:rsid w:val="586A6F1E"/>
    <w:rsid w:val="5C122143"/>
    <w:rsid w:val="5EC901D4"/>
    <w:rsid w:val="603A630C"/>
    <w:rsid w:val="60E1665E"/>
    <w:rsid w:val="64F418E5"/>
    <w:rsid w:val="650C4F7D"/>
    <w:rsid w:val="6B6D4F70"/>
    <w:rsid w:val="6D693580"/>
    <w:rsid w:val="6F0B5468"/>
    <w:rsid w:val="76873458"/>
    <w:rsid w:val="76E9529A"/>
    <w:rsid w:val="7AD3190D"/>
    <w:rsid w:val="7CE1273E"/>
    <w:rsid w:val="7CFC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rPr>
      <w:rFonts w:ascii="Calibri" w:hAnsi="Calibri"/>
      <w:sz w:val="21"/>
      <w:szCs w:val="22"/>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next w:val="5"/>
    <w:qFormat/>
    <w:uiPriority w:val="0"/>
    <w:pPr>
      <w:spacing w:line="480" w:lineRule="exact"/>
      <w:ind w:firstLine="480" w:firstLineChars="200"/>
    </w:pPr>
    <w:rPr>
      <w:rFonts w:ascii="宋体" w:hAnsi="宋体"/>
      <w:sz w:val="24"/>
    </w:rPr>
  </w:style>
  <w:style w:type="paragraph" w:styleId="9">
    <w:name w:val="Plain Text"/>
    <w:basedOn w:val="1"/>
    <w:next w:val="10"/>
    <w:qFormat/>
    <w:uiPriority w:val="0"/>
    <w:rPr>
      <w:rFonts w:ascii="宋体" w:hAnsi="Courier New" w:cs="Arial"/>
      <w:snapToGrid w:val="0"/>
      <w:szCs w:val="21"/>
    </w:rPr>
  </w:style>
  <w:style w:type="paragraph" w:styleId="10">
    <w:name w:val="Date"/>
    <w:basedOn w:val="1"/>
    <w:next w:val="1"/>
    <w:qFormat/>
    <w:uiPriority w:val="0"/>
    <w:pPr>
      <w:ind w:left="100" w:leftChars="2500"/>
    </w:pPr>
    <w:rPr>
      <w:rFonts w:ascii="宋体"/>
      <w:sz w:val="24"/>
      <w:szCs w:val="21"/>
      <w:lang w:val="zh-CN"/>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0"/>
    <w:pPr>
      <w:ind w:left="2100" w:leftChars="10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2"/>
    <w:basedOn w:val="8"/>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29">
    <w:name w:val="网格型7"/>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List Paragraph"/>
    <w:basedOn w:val="1"/>
    <w:qFormat/>
    <w:uiPriority w:val="34"/>
    <w:pPr>
      <w:spacing w:line="360" w:lineRule="auto"/>
      <w:ind w:firstLine="200" w:firstLineChars="200"/>
    </w:pPr>
    <w:rPr>
      <w:rFonts w:eastAsia="楷体_GB2312" w:cs="Lucida Sans"/>
      <w:sz w:val="24"/>
    </w:rPr>
  </w:style>
  <w:style w:type="paragraph" w:customStyle="1" w:styleId="31">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0"/>
    <w:pPr>
      <w:adjustRightInd/>
      <w:jc w:val="left"/>
    </w:pPr>
    <w:rPr>
      <w:rFonts w:ascii="Calibri" w:hAnsi="Calibri"/>
      <w:kern w:val="0"/>
      <w:sz w:val="22"/>
      <w:szCs w:val="22"/>
      <w:lang w:eastAsia="en-US"/>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9">
    <w:name w:val="font91"/>
    <w:basedOn w:val="19"/>
    <w:qFormat/>
    <w:uiPriority w:val="0"/>
    <w:rPr>
      <w:rFonts w:hint="eastAsia" w:ascii="宋体" w:hAnsi="宋体" w:eastAsia="宋体" w:cs="宋体"/>
      <w:color w:val="FF0000"/>
      <w:sz w:val="28"/>
      <w:szCs w:val="28"/>
      <w:u w:val="none"/>
    </w:rPr>
  </w:style>
  <w:style w:type="paragraph" w:customStyle="1" w:styleId="40">
    <w:name w:val="一级标题"/>
    <w:basedOn w:val="1"/>
    <w:autoRedefine/>
    <w:qFormat/>
    <w:uiPriority w:val="0"/>
    <w:pPr>
      <w:widowControl w:val="0"/>
      <w:spacing w:line="360" w:lineRule="auto"/>
      <w:jc w:val="both"/>
      <w:outlineLvl w:val="0"/>
    </w:pPr>
    <w:rPr>
      <w:rFonts w:ascii="仿宋" w:hAnsi="仿宋" w:eastAsia="仿宋" w:cs="仿宋_GB2312"/>
      <w:b/>
      <w:sz w:val="32"/>
      <w:szCs w:val="24"/>
    </w:rPr>
  </w:style>
  <w:style w:type="paragraph" w:customStyle="1" w:styleId="41">
    <w:name w:val="[Normal]"/>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kern w:val="0"/>
      <w:sz w:val="24"/>
      <w:szCs w:val="24"/>
      <w:lang w:val="en-US" w:eastAsia="zh-CN" w:bidi="ar"/>
    </w:rPr>
  </w:style>
  <w:style w:type="character" w:customStyle="1" w:styleId="42">
    <w:name w:val="font71"/>
    <w:basedOn w:val="1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972</Words>
  <Characters>1249</Characters>
  <Lines>333</Lines>
  <Paragraphs>93</Paragraphs>
  <TotalTime>18</TotalTime>
  <ScaleCrop>false</ScaleCrop>
  <LinksUpToDate>false</LinksUpToDate>
  <CharactersWithSpaces>1370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2024-11-01T03:18:00Z</dcterms:created>
  <dc:creator>Administrator</dc:creator>
  <cp:lastModifiedBy>招标代理</cp:lastModifiedBy>
  <dcterms:modified xsi:type="dcterms:W3CDTF">2025-07-01T09:34:18Z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E704F5FBD4D64D4D837CCDF028CC8885_13</vt:lpwstr>
  </property>
  <property fmtid="{D5CDD505-2E9C-101B-9397-08002B2CF9AE}" pid="4" name="KSOTemplateDocerSaveRecord">
    <vt:lpwstr>eyJoZGlkIjoiM2IxNWNiN2VhMDQyMWRkM2VkNzJiMjAzMTY0MTdkOGEiLCJ1c2VySWQiOiI0MTIwMDM4MjYifQ==</vt:lpwstr>
  </property>
</Properties>
</file>