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6"/>
        <w:keepNext/>
        <w:keepLines/>
        <w:pageBreakBefore w:val="0"/>
        <w:widowControl w:val="0"/>
        <w:kinsoku/>
        <w:wordWrap/>
        <w:overflowPunct/>
        <w:topLinePunct w:val="0"/>
        <w:autoSpaceDE/>
        <w:autoSpaceDN/>
        <w:bidi w:val="0"/>
        <w:adjustRightInd/>
        <w:snapToGrid/>
        <w:spacing w:before="469" w:beforeLines="150" w:after="0" w:afterLines="0" w:line="640" w:lineRule="exact"/>
        <w:ind w:firstLine="0" w:firstLineChars="0"/>
        <w:jc w:val="center"/>
        <w:textAlignment w:val="auto"/>
        <w:rPr>
          <w:rFonts w:hint="eastAsia" w:ascii="仿宋" w:hAnsi="仿宋" w:eastAsia="仿宋" w:cs="仿宋"/>
          <w:color w:val="auto"/>
          <w:sz w:val="48"/>
          <w:szCs w:val="48"/>
          <w:lang w:eastAsia="zh-CN"/>
        </w:rPr>
      </w:pPr>
      <w:r>
        <w:rPr>
          <w:rFonts w:hint="eastAsia" w:ascii="仿宋" w:hAnsi="仿宋" w:eastAsia="仿宋" w:cs="仿宋"/>
          <w:color w:val="auto"/>
          <w:sz w:val="48"/>
          <w:szCs w:val="48"/>
          <w:lang w:eastAsia="zh-CN"/>
        </w:rPr>
        <w:t>嵊州市鹿山街道宸希未来社区建设项目（办公家具）（第二次）</w:t>
      </w:r>
    </w:p>
    <w:p>
      <w:pPr>
        <w:pStyle w:val="6"/>
        <w:keepNext/>
        <w:keepLines/>
        <w:pageBreakBefore w:val="0"/>
        <w:widowControl w:val="0"/>
        <w:kinsoku/>
        <w:wordWrap/>
        <w:overflowPunct/>
        <w:topLinePunct w:val="0"/>
        <w:autoSpaceDE/>
        <w:autoSpaceDN/>
        <w:bidi w:val="0"/>
        <w:adjustRightInd/>
        <w:snapToGrid/>
        <w:spacing w:before="937" w:beforeLines="300" w:after="0" w:afterLines="0" w:line="480" w:lineRule="auto"/>
        <w:jc w:val="center"/>
        <w:textAlignment w:val="auto"/>
        <w:rPr>
          <w:rFonts w:hint="eastAsia" w:ascii="仿宋" w:hAnsi="仿宋" w:eastAsia="仿宋" w:cs="仿宋"/>
          <w:color w:val="auto"/>
          <w:sz w:val="36"/>
          <w:szCs w:val="36"/>
        </w:rPr>
      </w:pPr>
      <w:r>
        <w:rPr>
          <w:rFonts w:hint="eastAsia" w:ascii="仿宋" w:hAnsi="仿宋" w:eastAsia="仿宋" w:cs="仿宋"/>
          <w:color w:val="auto"/>
          <w:sz w:val="36"/>
          <w:szCs w:val="36"/>
          <w:lang w:eastAsia="zh-CN"/>
        </w:rPr>
        <w:t>项目</w:t>
      </w:r>
      <w:r>
        <w:rPr>
          <w:rFonts w:hint="eastAsia" w:ascii="仿宋" w:hAnsi="仿宋" w:eastAsia="仿宋" w:cs="仿宋"/>
          <w:color w:val="auto"/>
          <w:sz w:val="36"/>
          <w:szCs w:val="36"/>
        </w:rPr>
        <w:t>编号：</w:t>
      </w:r>
      <w:r>
        <w:rPr>
          <w:rFonts w:hint="eastAsia" w:ascii="仿宋" w:hAnsi="仿宋" w:eastAsia="仿宋" w:cs="仿宋"/>
          <w:color w:val="auto"/>
          <w:sz w:val="36"/>
          <w:szCs w:val="36"/>
          <w:lang w:eastAsia="zh-CN"/>
        </w:rPr>
        <w:t>ZJZL2025-007（2）</w:t>
      </w:r>
    </w:p>
    <w:p>
      <w:pPr>
        <w:spacing w:line="500" w:lineRule="exact"/>
        <w:jc w:val="center"/>
        <w:rPr>
          <w:rFonts w:hint="eastAsia" w:ascii="仿宋" w:hAnsi="仿宋" w:eastAsia="仿宋" w:cs="仿宋"/>
          <w:b/>
          <w:color w:val="auto"/>
          <w:w w:val="150"/>
          <w:sz w:val="44"/>
        </w:rPr>
      </w:pPr>
    </w:p>
    <w:p>
      <w:pPr>
        <w:pStyle w:val="79"/>
        <w:rPr>
          <w:rFonts w:hint="eastAsia" w:ascii="仿宋" w:hAnsi="仿宋" w:eastAsia="仿宋" w:cs="仿宋"/>
          <w:color w:val="auto"/>
        </w:rPr>
      </w:pPr>
    </w:p>
    <w:p>
      <w:pPr>
        <w:rPr>
          <w:rFonts w:hint="eastAsia" w:ascii="仿宋" w:hAnsi="仿宋" w:eastAsia="仿宋" w:cs="仿宋"/>
          <w:color w:val="auto"/>
        </w:rPr>
      </w:pPr>
    </w:p>
    <w:p>
      <w:pPr>
        <w:pStyle w:val="28"/>
        <w:rPr>
          <w:rFonts w:hint="eastAsia"/>
          <w:color w:val="auto"/>
        </w:rPr>
      </w:pPr>
    </w:p>
    <w:p>
      <w:pPr>
        <w:snapToGrid w:val="0"/>
        <w:spacing w:line="800" w:lineRule="exact"/>
        <w:jc w:val="both"/>
        <w:rPr>
          <w:rFonts w:hint="eastAsia" w:ascii="仿宋" w:hAnsi="仿宋" w:eastAsia="仿宋" w:cs="仿宋"/>
          <w:b/>
          <w:color w:val="auto"/>
          <w:sz w:val="52"/>
          <w:szCs w:val="52"/>
        </w:rPr>
      </w:pPr>
    </w:p>
    <w:p>
      <w:pPr>
        <w:snapToGrid w:val="0"/>
        <w:spacing w:line="800" w:lineRule="exact"/>
        <w:jc w:val="center"/>
        <w:rPr>
          <w:rFonts w:hint="eastAsia" w:ascii="仿宋" w:hAnsi="仿宋" w:eastAsia="仿宋" w:cs="仿宋"/>
          <w:b/>
          <w:color w:val="auto"/>
          <w:sz w:val="48"/>
          <w:szCs w:val="48"/>
        </w:rPr>
      </w:pPr>
      <w:r>
        <w:rPr>
          <w:rFonts w:hint="eastAsia" w:ascii="仿宋" w:hAnsi="仿宋" w:eastAsia="仿宋" w:cs="仿宋"/>
          <w:b/>
          <w:color w:val="auto"/>
          <w:sz w:val="48"/>
          <w:szCs w:val="48"/>
        </w:rPr>
        <w:t>公开招标采购文件</w:t>
      </w:r>
    </w:p>
    <w:p>
      <w:pPr>
        <w:snapToGrid w:val="0"/>
        <w:spacing w:line="800" w:lineRule="exact"/>
        <w:jc w:val="center"/>
        <w:rPr>
          <w:rFonts w:hint="eastAsia" w:ascii="仿宋" w:hAnsi="仿宋" w:eastAsia="仿宋" w:cs="仿宋"/>
          <w:b/>
          <w:color w:val="auto"/>
          <w:sz w:val="44"/>
          <w:szCs w:val="44"/>
          <w:lang w:eastAsia="zh-CN"/>
        </w:rPr>
      </w:pPr>
      <w:r>
        <w:rPr>
          <w:rFonts w:hint="eastAsia" w:ascii="仿宋" w:hAnsi="仿宋" w:eastAsia="仿宋" w:cs="仿宋"/>
          <w:b/>
          <w:color w:val="auto"/>
          <w:sz w:val="44"/>
          <w:szCs w:val="44"/>
          <w:lang w:eastAsia="zh-CN"/>
        </w:rPr>
        <w:t>（</w:t>
      </w:r>
      <w:r>
        <w:rPr>
          <w:rFonts w:hint="eastAsia" w:ascii="仿宋" w:hAnsi="仿宋" w:eastAsia="仿宋" w:cs="仿宋"/>
          <w:b/>
          <w:color w:val="auto"/>
          <w:sz w:val="44"/>
          <w:szCs w:val="44"/>
          <w:lang w:val="en-US" w:eastAsia="zh-CN"/>
        </w:rPr>
        <w:t>国企采购</w:t>
      </w:r>
      <w:r>
        <w:rPr>
          <w:rFonts w:hint="eastAsia" w:ascii="仿宋" w:hAnsi="仿宋" w:eastAsia="仿宋" w:cs="仿宋"/>
          <w:b/>
          <w:color w:val="auto"/>
          <w:sz w:val="44"/>
          <w:szCs w:val="44"/>
          <w:lang w:eastAsia="zh-CN"/>
        </w:rPr>
        <w:t>）</w:t>
      </w:r>
    </w:p>
    <w:p>
      <w:pPr>
        <w:pStyle w:val="79"/>
        <w:rPr>
          <w:rFonts w:hint="eastAsia" w:ascii="仿宋" w:hAnsi="仿宋" w:eastAsia="仿宋" w:cs="仿宋"/>
          <w:color w:val="auto"/>
        </w:rPr>
      </w:pPr>
    </w:p>
    <w:p>
      <w:pPr>
        <w:rPr>
          <w:rFonts w:hint="eastAsia" w:ascii="仿宋" w:hAnsi="仿宋" w:eastAsia="仿宋" w:cs="仿宋"/>
          <w:color w:val="auto"/>
          <w:sz w:val="44"/>
        </w:rPr>
      </w:pPr>
    </w:p>
    <w:p>
      <w:pPr>
        <w:pStyle w:val="34"/>
        <w:rPr>
          <w:rFonts w:hint="eastAsia" w:ascii="仿宋" w:hAnsi="仿宋" w:eastAsia="仿宋" w:cs="仿宋"/>
          <w:color w:val="auto"/>
        </w:rPr>
      </w:pPr>
    </w:p>
    <w:p>
      <w:pPr>
        <w:pStyle w:val="79"/>
        <w:rPr>
          <w:rFonts w:hint="eastAsia" w:ascii="仿宋" w:hAnsi="仿宋" w:eastAsia="仿宋" w:cs="仿宋"/>
          <w:color w:val="auto"/>
        </w:rPr>
      </w:pPr>
    </w:p>
    <w:p>
      <w:pPr>
        <w:rPr>
          <w:rFonts w:hint="eastAsia"/>
          <w:color w:val="auto"/>
        </w:rPr>
      </w:pPr>
    </w:p>
    <w:p>
      <w:pPr>
        <w:keepNext w:val="0"/>
        <w:keepLines w:val="0"/>
        <w:pageBreakBefore w:val="0"/>
        <w:widowControl w:val="0"/>
        <w:kinsoku/>
        <w:wordWrap/>
        <w:overflowPunct/>
        <w:topLinePunct w:val="0"/>
        <w:autoSpaceDE/>
        <w:autoSpaceDN/>
        <w:bidi w:val="0"/>
        <w:adjustRightInd/>
        <w:snapToGrid/>
        <w:spacing w:line="660" w:lineRule="exact"/>
        <w:ind w:firstLine="1084" w:firstLineChars="300"/>
        <w:textAlignment w:val="auto"/>
        <w:rPr>
          <w:rFonts w:hint="eastAsia" w:ascii="仿宋" w:hAnsi="仿宋" w:eastAsia="仿宋" w:cs="仿宋"/>
          <w:b/>
          <w:bCs w:val="0"/>
          <w:color w:val="auto"/>
          <w:sz w:val="36"/>
        </w:rPr>
      </w:pPr>
    </w:p>
    <w:p>
      <w:pPr>
        <w:keepNext w:val="0"/>
        <w:keepLines w:val="0"/>
        <w:pageBreakBefore w:val="0"/>
        <w:widowControl w:val="0"/>
        <w:kinsoku/>
        <w:wordWrap/>
        <w:overflowPunct/>
        <w:topLinePunct w:val="0"/>
        <w:autoSpaceDE/>
        <w:autoSpaceDN/>
        <w:bidi w:val="0"/>
        <w:adjustRightInd/>
        <w:snapToGrid/>
        <w:spacing w:line="720" w:lineRule="exact"/>
        <w:ind w:firstLine="723" w:firstLineChars="200"/>
        <w:textAlignment w:val="auto"/>
        <w:rPr>
          <w:rFonts w:hint="eastAsia" w:ascii="仿宋" w:hAnsi="仿宋" w:eastAsia="仿宋" w:cs="仿宋"/>
          <w:b/>
          <w:bCs w:val="0"/>
          <w:color w:val="auto"/>
          <w:sz w:val="36"/>
        </w:rPr>
      </w:pPr>
      <w:r>
        <w:rPr>
          <w:rFonts w:hint="eastAsia" w:ascii="仿宋" w:hAnsi="仿宋" w:eastAsia="仿宋" w:cs="仿宋"/>
          <w:b/>
          <w:bCs w:val="0"/>
          <w:color w:val="auto"/>
          <w:sz w:val="36"/>
        </w:rPr>
        <w:t>采购单位：嵊州市城市建设投资发展集团有限公司</w:t>
      </w:r>
    </w:p>
    <w:p>
      <w:pPr>
        <w:keepNext w:val="0"/>
        <w:keepLines w:val="0"/>
        <w:pageBreakBefore w:val="0"/>
        <w:widowControl w:val="0"/>
        <w:kinsoku/>
        <w:wordWrap/>
        <w:overflowPunct/>
        <w:topLinePunct w:val="0"/>
        <w:autoSpaceDE/>
        <w:autoSpaceDN/>
        <w:bidi w:val="0"/>
        <w:adjustRightInd/>
        <w:snapToGrid/>
        <w:spacing w:line="720" w:lineRule="exact"/>
        <w:ind w:firstLine="723" w:firstLineChars="200"/>
        <w:textAlignment w:val="auto"/>
        <w:rPr>
          <w:rFonts w:hint="eastAsia" w:ascii="仿宋" w:hAnsi="仿宋" w:eastAsia="仿宋" w:cs="仿宋"/>
          <w:b/>
          <w:bCs w:val="0"/>
          <w:color w:val="auto"/>
          <w:sz w:val="36"/>
        </w:rPr>
      </w:pPr>
      <w:r>
        <w:rPr>
          <w:rFonts w:hint="eastAsia" w:ascii="仿宋" w:hAnsi="仿宋" w:eastAsia="仿宋" w:cs="仿宋"/>
          <w:b/>
          <w:bCs w:val="0"/>
          <w:color w:val="auto"/>
          <w:sz w:val="36"/>
          <w:lang w:eastAsia="zh-CN"/>
        </w:rPr>
        <w:t>实施单位：嵊州市鹿山街道办事处</w:t>
      </w:r>
    </w:p>
    <w:p>
      <w:pPr>
        <w:keepNext w:val="0"/>
        <w:keepLines w:val="0"/>
        <w:pageBreakBefore w:val="0"/>
        <w:widowControl w:val="0"/>
        <w:kinsoku/>
        <w:wordWrap/>
        <w:overflowPunct/>
        <w:topLinePunct w:val="0"/>
        <w:autoSpaceDE/>
        <w:autoSpaceDN/>
        <w:bidi w:val="0"/>
        <w:adjustRightInd/>
        <w:snapToGrid/>
        <w:spacing w:line="720" w:lineRule="exact"/>
        <w:ind w:firstLine="723" w:firstLineChars="200"/>
        <w:jc w:val="both"/>
        <w:textAlignment w:val="auto"/>
        <w:rPr>
          <w:rFonts w:hint="eastAsia" w:ascii="仿宋" w:hAnsi="仿宋" w:eastAsia="仿宋" w:cs="仿宋"/>
          <w:b/>
          <w:bCs w:val="0"/>
          <w:color w:val="auto"/>
          <w:sz w:val="36"/>
          <w:lang w:eastAsia="zh-CN"/>
        </w:rPr>
      </w:pPr>
      <w:r>
        <w:rPr>
          <w:rFonts w:hint="eastAsia" w:ascii="仿宋" w:hAnsi="仿宋" w:eastAsia="仿宋" w:cs="仿宋"/>
          <w:b/>
          <w:bCs w:val="0"/>
          <w:color w:val="auto"/>
          <w:sz w:val="36"/>
        </w:rPr>
        <w:t>采购代理机构：</w:t>
      </w:r>
      <w:r>
        <w:rPr>
          <w:rFonts w:hint="eastAsia" w:ascii="仿宋" w:hAnsi="仿宋" w:eastAsia="仿宋" w:cs="仿宋"/>
          <w:b/>
          <w:bCs w:val="0"/>
          <w:color w:val="auto"/>
          <w:sz w:val="36"/>
          <w:lang w:eastAsia="zh-CN"/>
        </w:rPr>
        <w:t>浙江中林工程管理有限公司</w:t>
      </w:r>
    </w:p>
    <w:p>
      <w:pPr>
        <w:pStyle w:val="47"/>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宋体" w:hAnsi="宋体" w:eastAsia="宋体" w:cs="宋体"/>
          <w:color w:val="auto"/>
        </w:rPr>
      </w:pPr>
      <w:bookmarkStart w:id="0" w:name="用户单位名称"/>
      <w:bookmarkEnd w:id="0"/>
      <w:bookmarkStart w:id="1" w:name="_Toc180555915"/>
      <w:bookmarkStart w:id="2" w:name="_Toc105829294"/>
      <w:r>
        <w:rPr>
          <w:rFonts w:hint="eastAsia" w:ascii="仿宋" w:hAnsi="仿宋" w:eastAsia="仿宋" w:cs="仿宋"/>
          <w:b/>
          <w:bCs w:val="0"/>
          <w:color w:val="auto"/>
          <w:szCs w:val="32"/>
          <w:lang w:eastAsia="zh-CN"/>
        </w:rPr>
        <w:t>日期：</w:t>
      </w:r>
      <w:r>
        <w:rPr>
          <w:rFonts w:hint="eastAsia" w:ascii="仿宋" w:hAnsi="仿宋" w:eastAsia="仿宋" w:cs="仿宋"/>
          <w:b/>
          <w:bCs w:val="0"/>
          <w:color w:val="auto"/>
          <w:szCs w:val="32"/>
        </w:rPr>
        <w:t>202</w:t>
      </w:r>
      <w:r>
        <w:rPr>
          <w:rFonts w:hint="eastAsia" w:ascii="仿宋" w:hAnsi="仿宋" w:eastAsia="仿宋" w:cs="仿宋"/>
          <w:b/>
          <w:bCs w:val="0"/>
          <w:color w:val="auto"/>
          <w:szCs w:val="32"/>
          <w:lang w:val="en-US" w:eastAsia="zh-CN"/>
        </w:rPr>
        <w:t>5</w:t>
      </w:r>
      <w:r>
        <w:rPr>
          <w:rFonts w:hint="eastAsia" w:ascii="仿宋" w:hAnsi="仿宋" w:eastAsia="仿宋" w:cs="仿宋"/>
          <w:b/>
          <w:bCs w:val="0"/>
          <w:color w:val="auto"/>
          <w:szCs w:val="32"/>
        </w:rPr>
        <w:t>年</w:t>
      </w:r>
      <w:r>
        <w:rPr>
          <w:rFonts w:hint="eastAsia" w:ascii="仿宋" w:hAnsi="仿宋" w:eastAsia="仿宋" w:cs="仿宋"/>
          <w:b/>
          <w:bCs w:val="0"/>
          <w:color w:val="auto"/>
          <w:szCs w:val="32"/>
          <w:lang w:val="en-US" w:eastAsia="zh-CN"/>
        </w:rPr>
        <w:t>7</w:t>
      </w:r>
      <w:r>
        <w:rPr>
          <w:rFonts w:hint="eastAsia" w:ascii="仿宋" w:hAnsi="仿宋" w:eastAsia="仿宋" w:cs="仿宋"/>
          <w:b/>
          <w:bCs w:val="0"/>
          <w:color w:val="auto"/>
          <w:szCs w:val="32"/>
        </w:rPr>
        <w:t>月</w:t>
      </w:r>
      <w:r>
        <w:rPr>
          <w:rFonts w:hint="eastAsia" w:ascii="宋体" w:hAnsi="宋体" w:eastAsia="宋体" w:cs="宋体"/>
          <w:b/>
          <w:bCs w:val="0"/>
          <w:color w:val="auto"/>
        </w:rPr>
        <w:br w:type="page"/>
      </w:r>
      <w:bookmarkStart w:id="3" w:name="_Toc226337756"/>
      <w:bookmarkStart w:id="4" w:name="_Toc248065034"/>
      <w:bookmarkStart w:id="5" w:name="_Toc304551308"/>
      <w:bookmarkStart w:id="6" w:name="_Toc340321907"/>
      <w:bookmarkStart w:id="7" w:name="_Toc10071"/>
      <w:bookmarkStart w:id="8" w:name="_Toc340322162"/>
      <w:bookmarkStart w:id="9" w:name="_Toc339302123"/>
    </w:p>
    <w:p>
      <w:pPr>
        <w:rPr>
          <w:rFonts w:hint="eastAsia" w:ascii="宋体" w:hAnsi="宋体"/>
          <w:color w:val="auto"/>
        </w:rPr>
      </w:pPr>
    </w:p>
    <w:p>
      <w:pPr>
        <w:pStyle w:val="47"/>
        <w:widowControl w:val="0"/>
        <w:spacing w:line="580" w:lineRule="exact"/>
        <w:jc w:val="center"/>
        <w:rPr>
          <w:rFonts w:hint="eastAsia" w:ascii="仿宋" w:hAnsi="仿宋" w:eastAsia="仿宋" w:cs="仿宋"/>
          <w:b/>
          <w:bCs/>
          <w:color w:val="auto"/>
          <w:sz w:val="44"/>
          <w:szCs w:val="44"/>
        </w:rPr>
      </w:pPr>
      <w:r>
        <w:rPr>
          <w:rFonts w:hint="eastAsia" w:ascii="仿宋" w:hAnsi="仿宋" w:eastAsia="仿宋" w:cs="仿宋"/>
          <w:b/>
          <w:bCs/>
          <w:color w:val="auto"/>
          <w:sz w:val="44"/>
          <w:szCs w:val="44"/>
        </w:rPr>
        <w:t>目  录</w:t>
      </w:r>
    </w:p>
    <w:p>
      <w:pPr>
        <w:rPr>
          <w:rFonts w:hint="eastAsia" w:ascii="仿宋" w:hAnsi="仿宋" w:eastAsia="仿宋" w:cs="仿宋"/>
          <w:color w:val="auto"/>
        </w:rPr>
      </w:pPr>
    </w:p>
    <w:p>
      <w:pPr>
        <w:rPr>
          <w:rFonts w:hint="eastAsia" w:ascii="仿宋" w:hAnsi="仿宋" w:eastAsia="仿宋" w:cs="仿宋"/>
          <w:color w:val="auto"/>
        </w:rPr>
      </w:pPr>
    </w:p>
    <w:p>
      <w:pPr>
        <w:pStyle w:val="55"/>
        <w:tabs>
          <w:tab w:val="right" w:leader="dot" w:pos="9110"/>
        </w:tabs>
        <w:spacing w:line="700" w:lineRule="exact"/>
        <w:rPr>
          <w:rFonts w:hint="eastAsia" w:ascii="仿宋" w:hAnsi="仿宋" w:eastAsia="仿宋" w:cs="仿宋"/>
          <w:caps w:val="0"/>
          <w:color w:val="auto"/>
          <w:sz w:val="30"/>
          <w:szCs w:val="30"/>
        </w:rPr>
      </w:pPr>
      <w:r>
        <w:rPr>
          <w:rFonts w:hint="eastAsia" w:ascii="仿宋" w:hAnsi="仿宋" w:eastAsia="仿宋" w:cs="仿宋"/>
          <w:color w:val="auto"/>
        </w:rPr>
        <w:fldChar w:fldCharType="begin"/>
      </w:r>
      <w:r>
        <w:rPr>
          <w:rFonts w:hint="eastAsia" w:ascii="仿宋" w:hAnsi="仿宋" w:eastAsia="仿宋" w:cs="仿宋"/>
          <w:color w:val="auto"/>
        </w:rPr>
        <w:instrText xml:space="preserve"> TOC \o "1-2" \h \z \u </w:instrText>
      </w:r>
      <w:r>
        <w:rPr>
          <w:rFonts w:hint="eastAsia" w:ascii="仿宋" w:hAnsi="仿宋" w:eastAsia="仿宋" w:cs="仿宋"/>
          <w:color w:val="auto"/>
        </w:rPr>
        <w:fldChar w:fldCharType="separate"/>
      </w:r>
      <w:r>
        <w:rPr>
          <w:rFonts w:hint="eastAsia" w:ascii="仿宋" w:hAnsi="仿宋" w:eastAsia="仿宋" w:cs="仿宋"/>
          <w:color w:val="auto"/>
          <w:sz w:val="30"/>
          <w:szCs w:val="30"/>
        </w:rPr>
        <w:fldChar w:fldCharType="begin"/>
      </w:r>
      <w:r>
        <w:rPr>
          <w:rStyle w:val="90"/>
          <w:rFonts w:hint="eastAsia" w:ascii="仿宋" w:hAnsi="仿宋" w:eastAsia="仿宋" w:cs="仿宋"/>
          <w:color w:val="auto"/>
          <w:sz w:val="30"/>
          <w:szCs w:val="30"/>
        </w:rPr>
        <w:instrText xml:space="preserve"> </w:instrText>
      </w:r>
      <w:r>
        <w:rPr>
          <w:rFonts w:hint="eastAsia" w:ascii="仿宋" w:hAnsi="仿宋" w:eastAsia="仿宋" w:cs="仿宋"/>
          <w:color w:val="auto"/>
          <w:sz w:val="30"/>
          <w:szCs w:val="30"/>
        </w:rPr>
        <w:instrText xml:space="preserve">HYPERLINK \l "_Toc54978887"</w:instrText>
      </w:r>
      <w:r>
        <w:rPr>
          <w:rStyle w:val="90"/>
          <w:rFonts w:hint="eastAsia" w:ascii="仿宋" w:hAnsi="仿宋" w:eastAsia="仿宋" w:cs="仿宋"/>
          <w:color w:val="auto"/>
          <w:sz w:val="30"/>
          <w:szCs w:val="30"/>
        </w:rPr>
        <w:instrText xml:space="preserve"> </w:instrText>
      </w:r>
      <w:r>
        <w:rPr>
          <w:rFonts w:hint="eastAsia" w:ascii="仿宋" w:hAnsi="仿宋" w:eastAsia="仿宋" w:cs="仿宋"/>
          <w:color w:val="auto"/>
          <w:sz w:val="30"/>
          <w:szCs w:val="30"/>
        </w:rPr>
        <w:fldChar w:fldCharType="separate"/>
      </w:r>
      <w:r>
        <w:rPr>
          <w:rStyle w:val="90"/>
          <w:rFonts w:hint="eastAsia" w:ascii="仿宋" w:hAnsi="仿宋" w:eastAsia="仿宋" w:cs="仿宋"/>
          <w:color w:val="auto"/>
          <w:sz w:val="30"/>
          <w:szCs w:val="30"/>
        </w:rPr>
        <w:t xml:space="preserve">第一部分  </w:t>
      </w:r>
      <w:r>
        <w:rPr>
          <w:rStyle w:val="90"/>
          <w:rFonts w:hint="eastAsia" w:ascii="仿宋" w:hAnsi="仿宋" w:eastAsia="仿宋" w:cs="仿宋"/>
          <w:color w:val="auto"/>
          <w:sz w:val="30"/>
          <w:szCs w:val="30"/>
          <w:lang w:eastAsia="zh-CN"/>
        </w:rPr>
        <w:t>招标</w:t>
      </w:r>
      <w:r>
        <w:rPr>
          <w:rStyle w:val="90"/>
          <w:rFonts w:hint="eastAsia" w:ascii="仿宋" w:hAnsi="仿宋" w:eastAsia="仿宋" w:cs="仿宋"/>
          <w:color w:val="auto"/>
          <w:sz w:val="30"/>
          <w:szCs w:val="30"/>
        </w:rPr>
        <w:t>公告</w:t>
      </w:r>
      <w:r>
        <w:rPr>
          <w:rFonts w:hint="eastAsia" w:ascii="仿宋" w:hAnsi="仿宋" w:eastAsia="仿宋" w:cs="仿宋"/>
          <w:color w:val="auto"/>
          <w:sz w:val="30"/>
          <w:szCs w:val="30"/>
        </w:rPr>
        <w:tab/>
      </w:r>
      <w:r>
        <w:rPr>
          <w:rFonts w:hint="eastAsia" w:ascii="仿宋" w:hAnsi="仿宋" w:eastAsia="仿宋" w:cs="仿宋"/>
          <w:color w:val="auto"/>
          <w:sz w:val="30"/>
          <w:szCs w:val="30"/>
        </w:rPr>
        <w:fldChar w:fldCharType="begin"/>
      </w:r>
      <w:r>
        <w:rPr>
          <w:rFonts w:hint="eastAsia" w:ascii="仿宋" w:hAnsi="仿宋" w:eastAsia="仿宋" w:cs="仿宋"/>
          <w:color w:val="auto"/>
          <w:sz w:val="30"/>
          <w:szCs w:val="30"/>
        </w:rPr>
        <w:instrText xml:space="preserve"> PAGEREF _Toc54978887 \h </w:instrText>
      </w:r>
      <w:r>
        <w:rPr>
          <w:rFonts w:hint="eastAsia" w:ascii="仿宋" w:hAnsi="仿宋" w:eastAsia="仿宋" w:cs="仿宋"/>
          <w:color w:val="auto"/>
          <w:sz w:val="30"/>
          <w:szCs w:val="30"/>
        </w:rPr>
        <w:fldChar w:fldCharType="separate"/>
      </w:r>
      <w:r>
        <w:rPr>
          <w:rFonts w:hint="eastAsia" w:ascii="仿宋" w:hAnsi="仿宋" w:eastAsia="仿宋" w:cs="仿宋"/>
          <w:color w:val="auto"/>
          <w:sz w:val="30"/>
          <w:szCs w:val="30"/>
        </w:rPr>
        <w:t>3</w:t>
      </w:r>
      <w:r>
        <w:rPr>
          <w:rFonts w:hint="eastAsia" w:ascii="仿宋" w:hAnsi="仿宋" w:eastAsia="仿宋" w:cs="仿宋"/>
          <w:color w:val="auto"/>
          <w:sz w:val="30"/>
          <w:szCs w:val="30"/>
        </w:rPr>
        <w:fldChar w:fldCharType="end"/>
      </w:r>
      <w:r>
        <w:rPr>
          <w:rFonts w:hint="eastAsia" w:ascii="仿宋" w:hAnsi="仿宋" w:eastAsia="仿宋" w:cs="仿宋"/>
          <w:color w:val="auto"/>
          <w:sz w:val="30"/>
          <w:szCs w:val="30"/>
        </w:rPr>
        <w:fldChar w:fldCharType="end"/>
      </w:r>
    </w:p>
    <w:p>
      <w:pPr>
        <w:pStyle w:val="55"/>
        <w:tabs>
          <w:tab w:val="right" w:leader="dot" w:pos="9110"/>
        </w:tabs>
        <w:spacing w:line="700" w:lineRule="exact"/>
        <w:rPr>
          <w:rFonts w:hint="eastAsia" w:ascii="仿宋" w:hAnsi="仿宋" w:eastAsia="仿宋" w:cs="仿宋"/>
          <w:caps w:val="0"/>
          <w:color w:val="auto"/>
          <w:sz w:val="30"/>
          <w:szCs w:val="30"/>
        </w:rPr>
      </w:pPr>
      <w:r>
        <w:rPr>
          <w:rFonts w:hint="eastAsia" w:ascii="仿宋" w:hAnsi="仿宋" w:eastAsia="仿宋" w:cs="仿宋"/>
          <w:color w:val="auto"/>
          <w:sz w:val="30"/>
          <w:szCs w:val="30"/>
        </w:rPr>
        <w:fldChar w:fldCharType="begin"/>
      </w:r>
      <w:r>
        <w:rPr>
          <w:rStyle w:val="90"/>
          <w:rFonts w:hint="eastAsia" w:ascii="仿宋" w:hAnsi="仿宋" w:eastAsia="仿宋" w:cs="仿宋"/>
          <w:color w:val="auto"/>
          <w:sz w:val="30"/>
          <w:szCs w:val="30"/>
        </w:rPr>
        <w:instrText xml:space="preserve"> </w:instrText>
      </w:r>
      <w:r>
        <w:rPr>
          <w:rFonts w:hint="eastAsia" w:ascii="仿宋" w:hAnsi="仿宋" w:eastAsia="仿宋" w:cs="仿宋"/>
          <w:color w:val="auto"/>
          <w:sz w:val="30"/>
          <w:szCs w:val="30"/>
        </w:rPr>
        <w:instrText xml:space="preserve">HYPERLINK \l "_Toc54978888"</w:instrText>
      </w:r>
      <w:r>
        <w:rPr>
          <w:rStyle w:val="90"/>
          <w:rFonts w:hint="eastAsia" w:ascii="仿宋" w:hAnsi="仿宋" w:eastAsia="仿宋" w:cs="仿宋"/>
          <w:color w:val="auto"/>
          <w:sz w:val="30"/>
          <w:szCs w:val="30"/>
        </w:rPr>
        <w:instrText xml:space="preserve"> </w:instrText>
      </w:r>
      <w:r>
        <w:rPr>
          <w:rFonts w:hint="eastAsia" w:ascii="仿宋" w:hAnsi="仿宋" w:eastAsia="仿宋" w:cs="仿宋"/>
          <w:color w:val="auto"/>
          <w:sz w:val="30"/>
          <w:szCs w:val="30"/>
        </w:rPr>
        <w:fldChar w:fldCharType="separate"/>
      </w:r>
      <w:r>
        <w:rPr>
          <w:rStyle w:val="90"/>
          <w:rFonts w:hint="eastAsia" w:ascii="仿宋" w:hAnsi="仿宋" w:eastAsia="仿宋" w:cs="仿宋"/>
          <w:color w:val="auto"/>
          <w:sz w:val="30"/>
          <w:szCs w:val="30"/>
        </w:rPr>
        <w:t>第二部分  投标须知</w:t>
      </w:r>
      <w:r>
        <w:rPr>
          <w:rFonts w:hint="eastAsia" w:ascii="仿宋" w:hAnsi="仿宋" w:eastAsia="仿宋" w:cs="仿宋"/>
          <w:color w:val="auto"/>
          <w:sz w:val="30"/>
          <w:szCs w:val="30"/>
        </w:rPr>
        <w:tab/>
      </w:r>
      <w:r>
        <w:rPr>
          <w:rFonts w:hint="eastAsia" w:ascii="仿宋" w:hAnsi="仿宋" w:eastAsia="仿宋" w:cs="仿宋"/>
          <w:color w:val="auto"/>
          <w:sz w:val="30"/>
          <w:szCs w:val="30"/>
          <w:lang w:val="en-US" w:eastAsia="zh-CN"/>
        </w:rPr>
        <w:t>6</w:t>
      </w:r>
      <w:r>
        <w:rPr>
          <w:rFonts w:hint="eastAsia" w:ascii="仿宋" w:hAnsi="仿宋" w:eastAsia="仿宋" w:cs="仿宋"/>
          <w:color w:val="auto"/>
          <w:sz w:val="30"/>
          <w:szCs w:val="30"/>
        </w:rPr>
        <w:fldChar w:fldCharType="end"/>
      </w:r>
    </w:p>
    <w:p>
      <w:pPr>
        <w:pStyle w:val="55"/>
        <w:tabs>
          <w:tab w:val="right" w:leader="dot" w:pos="9110"/>
        </w:tabs>
        <w:spacing w:line="700" w:lineRule="exact"/>
        <w:rPr>
          <w:rFonts w:hint="eastAsia" w:ascii="仿宋" w:hAnsi="仿宋" w:eastAsia="仿宋" w:cs="仿宋"/>
          <w:caps w:val="0"/>
          <w:color w:val="auto"/>
          <w:sz w:val="30"/>
          <w:szCs w:val="30"/>
        </w:rPr>
      </w:pPr>
      <w:r>
        <w:rPr>
          <w:rFonts w:hint="eastAsia" w:ascii="仿宋" w:hAnsi="仿宋" w:eastAsia="仿宋" w:cs="仿宋"/>
          <w:color w:val="auto"/>
          <w:sz w:val="30"/>
          <w:szCs w:val="30"/>
        </w:rPr>
        <w:fldChar w:fldCharType="begin"/>
      </w:r>
      <w:r>
        <w:rPr>
          <w:rStyle w:val="90"/>
          <w:rFonts w:hint="eastAsia" w:ascii="仿宋" w:hAnsi="仿宋" w:eastAsia="仿宋" w:cs="仿宋"/>
          <w:color w:val="auto"/>
          <w:sz w:val="30"/>
          <w:szCs w:val="30"/>
        </w:rPr>
        <w:instrText xml:space="preserve"> </w:instrText>
      </w:r>
      <w:r>
        <w:rPr>
          <w:rFonts w:hint="eastAsia" w:ascii="仿宋" w:hAnsi="仿宋" w:eastAsia="仿宋" w:cs="仿宋"/>
          <w:color w:val="auto"/>
          <w:sz w:val="30"/>
          <w:szCs w:val="30"/>
        </w:rPr>
        <w:instrText xml:space="preserve">HYPERLINK \l "_Toc54978898"</w:instrText>
      </w:r>
      <w:r>
        <w:rPr>
          <w:rStyle w:val="90"/>
          <w:rFonts w:hint="eastAsia" w:ascii="仿宋" w:hAnsi="仿宋" w:eastAsia="仿宋" w:cs="仿宋"/>
          <w:color w:val="auto"/>
          <w:sz w:val="30"/>
          <w:szCs w:val="30"/>
        </w:rPr>
        <w:instrText xml:space="preserve"> </w:instrText>
      </w:r>
      <w:r>
        <w:rPr>
          <w:rFonts w:hint="eastAsia" w:ascii="仿宋" w:hAnsi="仿宋" w:eastAsia="仿宋" w:cs="仿宋"/>
          <w:color w:val="auto"/>
          <w:sz w:val="30"/>
          <w:szCs w:val="30"/>
        </w:rPr>
        <w:fldChar w:fldCharType="separate"/>
      </w:r>
      <w:r>
        <w:rPr>
          <w:rStyle w:val="90"/>
          <w:rFonts w:hint="eastAsia" w:ascii="仿宋" w:hAnsi="仿宋" w:eastAsia="仿宋" w:cs="仿宋"/>
          <w:color w:val="auto"/>
          <w:sz w:val="30"/>
          <w:szCs w:val="30"/>
        </w:rPr>
        <w:t>第三部分  项目招标范围及服务要求</w:t>
      </w:r>
      <w:r>
        <w:rPr>
          <w:rFonts w:hint="eastAsia" w:ascii="仿宋" w:hAnsi="仿宋" w:eastAsia="仿宋" w:cs="仿宋"/>
          <w:color w:val="auto"/>
          <w:sz w:val="30"/>
          <w:szCs w:val="30"/>
        </w:rPr>
        <w:tab/>
      </w:r>
      <w:r>
        <w:rPr>
          <w:rFonts w:hint="eastAsia" w:ascii="仿宋" w:hAnsi="仿宋" w:eastAsia="仿宋" w:cs="仿宋"/>
          <w:color w:val="auto"/>
          <w:sz w:val="30"/>
          <w:szCs w:val="30"/>
        </w:rPr>
        <w:fldChar w:fldCharType="begin"/>
      </w:r>
      <w:r>
        <w:rPr>
          <w:rFonts w:hint="eastAsia" w:ascii="仿宋" w:hAnsi="仿宋" w:eastAsia="仿宋" w:cs="仿宋"/>
          <w:color w:val="auto"/>
          <w:sz w:val="30"/>
          <w:szCs w:val="30"/>
        </w:rPr>
        <w:instrText xml:space="preserve"> PAGEREF _Toc54978898 \h </w:instrText>
      </w:r>
      <w:r>
        <w:rPr>
          <w:rFonts w:hint="eastAsia" w:ascii="仿宋" w:hAnsi="仿宋" w:eastAsia="仿宋" w:cs="仿宋"/>
          <w:color w:val="auto"/>
          <w:sz w:val="30"/>
          <w:szCs w:val="30"/>
        </w:rPr>
        <w:fldChar w:fldCharType="separate"/>
      </w:r>
      <w:r>
        <w:rPr>
          <w:rFonts w:hint="eastAsia" w:ascii="仿宋" w:hAnsi="仿宋" w:eastAsia="仿宋" w:cs="仿宋"/>
          <w:color w:val="auto"/>
          <w:sz w:val="30"/>
          <w:szCs w:val="30"/>
        </w:rPr>
        <w:t>29</w:t>
      </w:r>
      <w:r>
        <w:rPr>
          <w:rFonts w:hint="eastAsia" w:ascii="仿宋" w:hAnsi="仿宋" w:eastAsia="仿宋" w:cs="仿宋"/>
          <w:color w:val="auto"/>
          <w:sz w:val="30"/>
          <w:szCs w:val="30"/>
        </w:rPr>
        <w:fldChar w:fldCharType="end"/>
      </w:r>
      <w:r>
        <w:rPr>
          <w:rFonts w:hint="eastAsia" w:ascii="仿宋" w:hAnsi="仿宋" w:eastAsia="仿宋" w:cs="仿宋"/>
          <w:color w:val="auto"/>
          <w:sz w:val="30"/>
          <w:szCs w:val="30"/>
        </w:rPr>
        <w:fldChar w:fldCharType="end"/>
      </w:r>
    </w:p>
    <w:p>
      <w:pPr>
        <w:pStyle w:val="55"/>
        <w:tabs>
          <w:tab w:val="right" w:leader="dot" w:pos="9110"/>
        </w:tabs>
        <w:spacing w:line="700" w:lineRule="exact"/>
        <w:rPr>
          <w:rFonts w:hint="eastAsia" w:ascii="仿宋" w:hAnsi="仿宋" w:eastAsia="仿宋" w:cs="仿宋"/>
          <w:caps w:val="0"/>
          <w:color w:val="auto"/>
          <w:sz w:val="30"/>
          <w:szCs w:val="30"/>
          <w:lang w:val="en-US" w:eastAsia="zh-CN"/>
        </w:rPr>
      </w:pPr>
      <w:r>
        <w:rPr>
          <w:rFonts w:hint="eastAsia" w:ascii="仿宋" w:hAnsi="仿宋" w:eastAsia="仿宋" w:cs="仿宋"/>
          <w:color w:val="auto"/>
          <w:sz w:val="30"/>
          <w:szCs w:val="30"/>
        </w:rPr>
        <w:fldChar w:fldCharType="begin"/>
      </w:r>
      <w:r>
        <w:rPr>
          <w:rStyle w:val="90"/>
          <w:rFonts w:hint="eastAsia" w:ascii="仿宋" w:hAnsi="仿宋" w:eastAsia="仿宋" w:cs="仿宋"/>
          <w:color w:val="auto"/>
          <w:sz w:val="30"/>
          <w:szCs w:val="30"/>
        </w:rPr>
        <w:instrText xml:space="preserve"> </w:instrText>
      </w:r>
      <w:r>
        <w:rPr>
          <w:rFonts w:hint="eastAsia" w:ascii="仿宋" w:hAnsi="仿宋" w:eastAsia="仿宋" w:cs="仿宋"/>
          <w:color w:val="auto"/>
          <w:sz w:val="30"/>
          <w:szCs w:val="30"/>
        </w:rPr>
        <w:instrText xml:space="preserve">HYPERLINK \l "_Toc54978899"</w:instrText>
      </w:r>
      <w:r>
        <w:rPr>
          <w:rStyle w:val="90"/>
          <w:rFonts w:hint="eastAsia" w:ascii="仿宋" w:hAnsi="仿宋" w:eastAsia="仿宋" w:cs="仿宋"/>
          <w:color w:val="auto"/>
          <w:sz w:val="30"/>
          <w:szCs w:val="30"/>
        </w:rPr>
        <w:instrText xml:space="preserve"> </w:instrText>
      </w:r>
      <w:r>
        <w:rPr>
          <w:rFonts w:hint="eastAsia" w:ascii="仿宋" w:hAnsi="仿宋" w:eastAsia="仿宋" w:cs="仿宋"/>
          <w:color w:val="auto"/>
          <w:sz w:val="30"/>
          <w:szCs w:val="30"/>
        </w:rPr>
        <w:fldChar w:fldCharType="separate"/>
      </w:r>
      <w:r>
        <w:rPr>
          <w:rStyle w:val="90"/>
          <w:rFonts w:hint="eastAsia" w:ascii="仿宋" w:hAnsi="仿宋" w:eastAsia="仿宋" w:cs="仿宋"/>
          <w:color w:val="auto"/>
          <w:sz w:val="30"/>
          <w:szCs w:val="30"/>
        </w:rPr>
        <w:t>第四部分  评标办法</w:t>
      </w:r>
      <w:r>
        <w:rPr>
          <w:rFonts w:hint="eastAsia" w:ascii="仿宋" w:hAnsi="仿宋" w:eastAsia="仿宋" w:cs="仿宋"/>
          <w:color w:val="auto"/>
          <w:sz w:val="30"/>
          <w:szCs w:val="30"/>
        </w:rPr>
        <w:tab/>
      </w:r>
      <w:r>
        <w:rPr>
          <w:rFonts w:hint="eastAsia" w:ascii="仿宋" w:hAnsi="仿宋" w:eastAsia="仿宋" w:cs="仿宋"/>
          <w:color w:val="auto"/>
          <w:sz w:val="30"/>
          <w:szCs w:val="30"/>
          <w:lang w:val="en-US" w:eastAsia="zh-CN"/>
        </w:rPr>
        <w:t>3</w:t>
      </w:r>
      <w:r>
        <w:rPr>
          <w:rFonts w:hint="eastAsia" w:ascii="仿宋" w:hAnsi="仿宋" w:eastAsia="仿宋" w:cs="仿宋"/>
          <w:color w:val="auto"/>
          <w:sz w:val="30"/>
          <w:szCs w:val="30"/>
        </w:rPr>
        <w:fldChar w:fldCharType="end"/>
      </w:r>
      <w:r>
        <w:rPr>
          <w:rFonts w:hint="eastAsia" w:ascii="仿宋" w:hAnsi="仿宋" w:eastAsia="仿宋" w:cs="仿宋"/>
          <w:color w:val="auto"/>
          <w:sz w:val="30"/>
          <w:szCs w:val="30"/>
          <w:lang w:val="en-US" w:eastAsia="zh-CN"/>
        </w:rPr>
        <w:t>4</w:t>
      </w:r>
    </w:p>
    <w:p>
      <w:pPr>
        <w:pStyle w:val="55"/>
        <w:tabs>
          <w:tab w:val="right" w:leader="dot" w:pos="9110"/>
        </w:tabs>
        <w:spacing w:line="700" w:lineRule="exact"/>
        <w:rPr>
          <w:rFonts w:hint="eastAsia" w:ascii="仿宋" w:hAnsi="仿宋" w:eastAsia="仿宋" w:cs="仿宋"/>
          <w:caps w:val="0"/>
          <w:color w:val="auto"/>
          <w:sz w:val="30"/>
          <w:szCs w:val="30"/>
          <w:lang w:val="en-US" w:eastAsia="zh-CN"/>
        </w:rPr>
      </w:pPr>
      <w:r>
        <w:rPr>
          <w:rFonts w:hint="eastAsia" w:ascii="仿宋" w:hAnsi="仿宋" w:eastAsia="仿宋" w:cs="仿宋"/>
          <w:color w:val="auto"/>
          <w:sz w:val="30"/>
          <w:szCs w:val="30"/>
        </w:rPr>
        <w:fldChar w:fldCharType="begin"/>
      </w:r>
      <w:r>
        <w:rPr>
          <w:rStyle w:val="90"/>
          <w:rFonts w:hint="eastAsia" w:ascii="仿宋" w:hAnsi="仿宋" w:eastAsia="仿宋" w:cs="仿宋"/>
          <w:color w:val="auto"/>
          <w:sz w:val="30"/>
          <w:szCs w:val="30"/>
        </w:rPr>
        <w:instrText xml:space="preserve"> </w:instrText>
      </w:r>
      <w:r>
        <w:rPr>
          <w:rFonts w:hint="eastAsia" w:ascii="仿宋" w:hAnsi="仿宋" w:eastAsia="仿宋" w:cs="仿宋"/>
          <w:color w:val="auto"/>
          <w:sz w:val="30"/>
          <w:szCs w:val="30"/>
        </w:rPr>
        <w:instrText xml:space="preserve">HYPERLINK \l "_Toc54978900"</w:instrText>
      </w:r>
      <w:r>
        <w:rPr>
          <w:rStyle w:val="90"/>
          <w:rFonts w:hint="eastAsia" w:ascii="仿宋" w:hAnsi="仿宋" w:eastAsia="仿宋" w:cs="仿宋"/>
          <w:color w:val="auto"/>
          <w:sz w:val="30"/>
          <w:szCs w:val="30"/>
        </w:rPr>
        <w:instrText xml:space="preserve"> </w:instrText>
      </w:r>
      <w:r>
        <w:rPr>
          <w:rFonts w:hint="eastAsia" w:ascii="仿宋" w:hAnsi="仿宋" w:eastAsia="仿宋" w:cs="仿宋"/>
          <w:color w:val="auto"/>
          <w:sz w:val="30"/>
          <w:szCs w:val="30"/>
        </w:rPr>
        <w:fldChar w:fldCharType="separate"/>
      </w:r>
      <w:r>
        <w:rPr>
          <w:rStyle w:val="90"/>
          <w:rFonts w:hint="eastAsia" w:ascii="仿宋" w:hAnsi="仿宋" w:eastAsia="仿宋" w:cs="仿宋"/>
          <w:bCs/>
          <w:color w:val="auto"/>
          <w:sz w:val="30"/>
          <w:szCs w:val="30"/>
        </w:rPr>
        <w:t>第五部分  拟签订合同范本</w:t>
      </w:r>
      <w:r>
        <w:rPr>
          <w:rFonts w:hint="eastAsia" w:ascii="仿宋" w:hAnsi="仿宋" w:eastAsia="仿宋" w:cs="仿宋"/>
          <w:color w:val="auto"/>
          <w:sz w:val="30"/>
          <w:szCs w:val="30"/>
        </w:rPr>
        <w:tab/>
      </w:r>
      <w:r>
        <w:rPr>
          <w:rFonts w:hint="eastAsia" w:ascii="仿宋" w:hAnsi="仿宋" w:eastAsia="仿宋" w:cs="仿宋"/>
          <w:color w:val="auto"/>
          <w:sz w:val="30"/>
          <w:szCs w:val="30"/>
          <w:lang w:val="en-US" w:eastAsia="zh-CN"/>
        </w:rPr>
        <w:t>3</w:t>
      </w:r>
      <w:r>
        <w:rPr>
          <w:rFonts w:hint="eastAsia" w:ascii="仿宋" w:hAnsi="仿宋" w:eastAsia="仿宋" w:cs="仿宋"/>
          <w:color w:val="auto"/>
          <w:sz w:val="30"/>
          <w:szCs w:val="30"/>
        </w:rPr>
        <w:fldChar w:fldCharType="end"/>
      </w:r>
      <w:r>
        <w:rPr>
          <w:rFonts w:hint="eastAsia" w:ascii="仿宋" w:hAnsi="仿宋" w:eastAsia="仿宋" w:cs="仿宋"/>
          <w:color w:val="auto"/>
          <w:sz w:val="30"/>
          <w:szCs w:val="30"/>
          <w:lang w:val="en-US" w:eastAsia="zh-CN"/>
        </w:rPr>
        <w:t>8</w:t>
      </w:r>
    </w:p>
    <w:p>
      <w:pPr>
        <w:pStyle w:val="55"/>
        <w:tabs>
          <w:tab w:val="right" w:leader="dot" w:pos="9110"/>
        </w:tabs>
        <w:spacing w:line="700" w:lineRule="exact"/>
        <w:rPr>
          <w:rFonts w:hint="eastAsia" w:ascii="仿宋" w:hAnsi="仿宋" w:eastAsia="仿宋" w:cs="仿宋"/>
          <w:caps w:val="0"/>
          <w:color w:val="auto"/>
          <w:sz w:val="28"/>
          <w:szCs w:val="28"/>
          <w:lang w:val="en-US" w:eastAsia="zh-CN"/>
        </w:rPr>
      </w:pPr>
      <w:r>
        <w:rPr>
          <w:rFonts w:hint="eastAsia" w:ascii="仿宋" w:hAnsi="仿宋" w:eastAsia="仿宋" w:cs="仿宋"/>
          <w:color w:val="auto"/>
          <w:sz w:val="30"/>
          <w:szCs w:val="30"/>
        </w:rPr>
        <w:fldChar w:fldCharType="begin"/>
      </w:r>
      <w:r>
        <w:rPr>
          <w:rStyle w:val="90"/>
          <w:rFonts w:hint="eastAsia" w:ascii="仿宋" w:hAnsi="仿宋" w:eastAsia="仿宋" w:cs="仿宋"/>
          <w:color w:val="auto"/>
          <w:sz w:val="30"/>
          <w:szCs w:val="30"/>
        </w:rPr>
        <w:instrText xml:space="preserve"> </w:instrText>
      </w:r>
      <w:r>
        <w:rPr>
          <w:rFonts w:hint="eastAsia" w:ascii="仿宋" w:hAnsi="仿宋" w:eastAsia="仿宋" w:cs="仿宋"/>
          <w:color w:val="auto"/>
          <w:sz w:val="30"/>
          <w:szCs w:val="30"/>
        </w:rPr>
        <w:instrText xml:space="preserve">HYPERLINK \l "_Toc54978901"</w:instrText>
      </w:r>
      <w:r>
        <w:rPr>
          <w:rStyle w:val="90"/>
          <w:rFonts w:hint="eastAsia" w:ascii="仿宋" w:hAnsi="仿宋" w:eastAsia="仿宋" w:cs="仿宋"/>
          <w:color w:val="auto"/>
          <w:sz w:val="30"/>
          <w:szCs w:val="30"/>
        </w:rPr>
        <w:instrText xml:space="preserve"> </w:instrText>
      </w:r>
      <w:r>
        <w:rPr>
          <w:rFonts w:hint="eastAsia" w:ascii="仿宋" w:hAnsi="仿宋" w:eastAsia="仿宋" w:cs="仿宋"/>
          <w:color w:val="auto"/>
          <w:sz w:val="30"/>
          <w:szCs w:val="30"/>
        </w:rPr>
        <w:fldChar w:fldCharType="separate"/>
      </w:r>
      <w:r>
        <w:rPr>
          <w:rStyle w:val="90"/>
          <w:rFonts w:hint="eastAsia" w:ascii="仿宋" w:hAnsi="仿宋" w:eastAsia="仿宋" w:cs="仿宋"/>
          <w:color w:val="auto"/>
          <w:sz w:val="30"/>
          <w:szCs w:val="30"/>
        </w:rPr>
        <w:t>第六部分  投标文件</w:t>
      </w:r>
      <w:r>
        <w:rPr>
          <w:rStyle w:val="90"/>
          <w:rFonts w:hint="eastAsia" w:ascii="仿宋" w:hAnsi="仿宋" w:eastAsia="仿宋" w:cs="仿宋"/>
          <w:color w:val="auto"/>
          <w:sz w:val="30"/>
          <w:szCs w:val="30"/>
          <w:lang w:val="en-US" w:eastAsia="zh-CN"/>
        </w:rPr>
        <w:t>及其附件</w:t>
      </w:r>
      <w:r>
        <w:rPr>
          <w:rStyle w:val="90"/>
          <w:rFonts w:hint="eastAsia" w:ascii="仿宋" w:hAnsi="仿宋" w:eastAsia="仿宋" w:cs="仿宋"/>
          <w:color w:val="auto"/>
          <w:sz w:val="30"/>
          <w:szCs w:val="30"/>
        </w:rPr>
        <w:t>格式</w:t>
      </w:r>
      <w:r>
        <w:rPr>
          <w:rFonts w:hint="eastAsia" w:ascii="仿宋" w:hAnsi="仿宋" w:eastAsia="仿宋" w:cs="仿宋"/>
          <w:color w:val="auto"/>
          <w:sz w:val="30"/>
          <w:szCs w:val="30"/>
        </w:rPr>
        <w:tab/>
      </w:r>
      <w:r>
        <w:rPr>
          <w:rFonts w:hint="eastAsia" w:ascii="仿宋" w:hAnsi="仿宋" w:eastAsia="仿宋" w:cs="仿宋"/>
          <w:color w:val="auto"/>
          <w:sz w:val="30"/>
          <w:szCs w:val="30"/>
          <w:lang w:val="en-US" w:eastAsia="zh-CN"/>
        </w:rPr>
        <w:t>4</w:t>
      </w:r>
      <w:r>
        <w:rPr>
          <w:rFonts w:hint="eastAsia" w:ascii="仿宋" w:hAnsi="仿宋" w:eastAsia="仿宋" w:cs="仿宋"/>
          <w:color w:val="auto"/>
          <w:sz w:val="30"/>
          <w:szCs w:val="30"/>
        </w:rPr>
        <w:fldChar w:fldCharType="end"/>
      </w:r>
      <w:r>
        <w:rPr>
          <w:rFonts w:hint="eastAsia" w:ascii="仿宋" w:hAnsi="仿宋" w:eastAsia="仿宋" w:cs="仿宋"/>
          <w:color w:val="auto"/>
          <w:sz w:val="28"/>
          <w:szCs w:val="28"/>
          <w:lang w:val="en-US" w:eastAsia="zh-CN"/>
        </w:rPr>
        <w:t>3</w:t>
      </w:r>
    </w:p>
    <w:p>
      <w:pPr>
        <w:pStyle w:val="4"/>
        <w:spacing w:line="700" w:lineRule="exact"/>
        <w:rPr>
          <w:rFonts w:hint="eastAsia" w:ascii="仿宋" w:hAnsi="仿宋" w:eastAsia="仿宋" w:cs="仿宋"/>
          <w:b/>
          <w:bCs/>
          <w:color w:val="auto"/>
          <w:sz w:val="32"/>
          <w:szCs w:val="32"/>
        </w:rPr>
      </w:pPr>
      <w:r>
        <w:rPr>
          <w:rFonts w:hint="eastAsia" w:ascii="仿宋" w:hAnsi="仿宋" w:eastAsia="仿宋" w:cs="仿宋"/>
          <w:color w:val="auto"/>
        </w:rPr>
        <w:fldChar w:fldCharType="end"/>
      </w:r>
      <w:bookmarkStart w:id="10" w:name="_Toc54978887"/>
      <w:r>
        <w:rPr>
          <w:rFonts w:hint="eastAsia" w:ascii="仿宋" w:hAnsi="仿宋" w:eastAsia="仿宋" w:cs="仿宋"/>
          <w:b/>
          <w:bCs/>
          <w:color w:val="auto"/>
          <w:sz w:val="32"/>
          <w:szCs w:val="32"/>
        </w:rPr>
        <w:t>第一部分</w:t>
      </w:r>
      <w:bookmarkEnd w:id="1"/>
      <w:bookmarkEnd w:id="2"/>
      <w:bookmarkEnd w:id="3"/>
      <w:bookmarkEnd w:id="4"/>
      <w:bookmarkEnd w:id="5"/>
      <w:r>
        <w:rPr>
          <w:rFonts w:hint="eastAsia" w:ascii="仿宋" w:hAnsi="仿宋" w:eastAsia="仿宋" w:cs="仿宋"/>
          <w:b/>
          <w:bCs/>
          <w:color w:val="auto"/>
          <w:sz w:val="32"/>
          <w:szCs w:val="32"/>
        </w:rPr>
        <w:t xml:space="preserve">  </w:t>
      </w:r>
      <w:bookmarkEnd w:id="6"/>
      <w:bookmarkEnd w:id="7"/>
      <w:bookmarkEnd w:id="8"/>
      <w:bookmarkEnd w:id="9"/>
      <w:r>
        <w:rPr>
          <w:rFonts w:hint="eastAsia" w:ascii="仿宋" w:hAnsi="仿宋" w:eastAsia="仿宋" w:cs="仿宋"/>
          <w:b/>
          <w:bCs/>
          <w:color w:val="auto"/>
          <w:sz w:val="32"/>
          <w:szCs w:val="32"/>
          <w:lang w:eastAsia="zh-CN"/>
        </w:rPr>
        <w:t>招标</w:t>
      </w:r>
      <w:r>
        <w:rPr>
          <w:rFonts w:hint="eastAsia" w:ascii="仿宋" w:hAnsi="仿宋" w:eastAsia="仿宋" w:cs="仿宋"/>
          <w:b/>
          <w:bCs/>
          <w:color w:val="auto"/>
          <w:sz w:val="32"/>
          <w:szCs w:val="32"/>
        </w:rPr>
        <w:t>公告</w:t>
      </w:r>
      <w:bookmarkEnd w:id="10"/>
    </w:p>
    <w:p>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4"/>
          <w:szCs w:val="24"/>
        </w:rPr>
      </w:pPr>
      <w:bookmarkStart w:id="11" w:name="_Toc226337757"/>
      <w:bookmarkStart w:id="12" w:name="_Toc340322163"/>
      <w:bookmarkStart w:id="13" w:name="_Toc304551309"/>
      <w:bookmarkStart w:id="14" w:name="_Toc180555916"/>
      <w:bookmarkStart w:id="15" w:name="_Toc340321908"/>
      <w:bookmarkStart w:id="16" w:name="_Toc5837"/>
      <w:bookmarkStart w:id="17" w:name="_Toc54978888"/>
      <w:bookmarkStart w:id="18" w:name="_Toc248065035"/>
      <w:bookmarkStart w:id="19" w:name="_Toc339302124"/>
      <w:r>
        <w:rPr>
          <w:rFonts w:hint="eastAsia" w:ascii="仿宋" w:hAnsi="仿宋" w:eastAsia="仿宋" w:cs="仿宋"/>
          <w:color w:val="auto"/>
          <w:sz w:val="24"/>
          <w:szCs w:val="24"/>
        </w:rPr>
        <w:t>项目概况</w:t>
      </w:r>
    </w:p>
    <w:p>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u w:val="single"/>
          <w:lang w:eastAsia="zh-CN"/>
        </w:rPr>
        <w:t>嵊州市鹿山街道宸希未来社区建设项目（办公家具）（第二次）</w:t>
      </w:r>
      <w:r>
        <w:rPr>
          <w:rFonts w:hint="eastAsia" w:ascii="仿宋" w:hAnsi="仿宋" w:eastAsia="仿宋" w:cs="仿宋"/>
          <w:color w:val="auto"/>
          <w:sz w:val="24"/>
          <w:szCs w:val="24"/>
          <w:u w:val="single"/>
        </w:rPr>
        <w:t>的潜在供应商应在</w:t>
      </w:r>
      <w:r>
        <w:rPr>
          <w:rFonts w:hint="eastAsia" w:ascii="仿宋" w:hAnsi="仿宋" w:eastAsia="仿宋" w:cs="仿宋"/>
          <w:color w:val="auto"/>
          <w:sz w:val="24"/>
          <w:szCs w:val="24"/>
          <w:u w:val="single"/>
          <w:lang w:eastAsia="zh-CN"/>
        </w:rPr>
        <w:t>乐采云平台（https://www.lecaiyun.com/）</w:t>
      </w:r>
      <w:r>
        <w:rPr>
          <w:rFonts w:hint="eastAsia" w:ascii="仿宋" w:hAnsi="仿宋" w:eastAsia="仿宋" w:cs="仿宋"/>
          <w:color w:val="auto"/>
          <w:sz w:val="24"/>
          <w:szCs w:val="24"/>
          <w:u w:val="single"/>
        </w:rPr>
        <w:t>获取采购文件，并于</w:t>
      </w:r>
      <w:r>
        <w:rPr>
          <w:rFonts w:hint="eastAsia" w:ascii="仿宋" w:hAnsi="仿宋" w:eastAsia="仿宋" w:cs="仿宋"/>
          <w:color w:val="auto"/>
          <w:sz w:val="24"/>
          <w:szCs w:val="24"/>
          <w:u w:val="single"/>
          <w:lang w:val="en-US" w:eastAsia="zh-CN"/>
        </w:rPr>
        <w:t>2025</w:t>
      </w:r>
      <w:r>
        <w:rPr>
          <w:rFonts w:hint="eastAsia" w:ascii="仿宋" w:hAnsi="仿宋" w:eastAsia="仿宋" w:cs="仿宋"/>
          <w:color w:val="auto"/>
          <w:sz w:val="24"/>
          <w:szCs w:val="24"/>
          <w:u w:val="single"/>
        </w:rPr>
        <w:t>年</w:t>
      </w:r>
      <w:r>
        <w:rPr>
          <w:rFonts w:hint="eastAsia" w:ascii="仿宋" w:hAnsi="仿宋" w:eastAsia="仿宋" w:cs="仿宋"/>
          <w:color w:val="auto"/>
          <w:sz w:val="24"/>
          <w:szCs w:val="24"/>
          <w:u w:val="single"/>
          <w:lang w:val="en-US" w:eastAsia="zh-CN"/>
        </w:rPr>
        <w:t>7</w:t>
      </w:r>
      <w:r>
        <w:rPr>
          <w:rFonts w:hint="eastAsia" w:ascii="仿宋" w:hAnsi="仿宋" w:eastAsia="仿宋" w:cs="仿宋"/>
          <w:color w:val="auto"/>
          <w:sz w:val="24"/>
          <w:szCs w:val="24"/>
          <w:u w:val="single"/>
        </w:rPr>
        <w:t>月</w:t>
      </w:r>
      <w:r>
        <w:rPr>
          <w:rFonts w:hint="eastAsia" w:ascii="仿宋" w:hAnsi="仿宋" w:eastAsia="仿宋" w:cs="仿宋"/>
          <w:color w:val="auto"/>
          <w:sz w:val="24"/>
          <w:szCs w:val="24"/>
          <w:u w:val="single"/>
          <w:lang w:val="en-US" w:eastAsia="zh-CN"/>
        </w:rPr>
        <w:t>22</w:t>
      </w:r>
      <w:r>
        <w:rPr>
          <w:rFonts w:hint="eastAsia" w:ascii="仿宋" w:hAnsi="仿宋" w:eastAsia="仿宋" w:cs="仿宋"/>
          <w:color w:val="auto"/>
          <w:sz w:val="24"/>
          <w:szCs w:val="24"/>
          <w:u w:val="single"/>
        </w:rPr>
        <w:t>日</w:t>
      </w:r>
      <w:r>
        <w:rPr>
          <w:rFonts w:hint="eastAsia" w:ascii="仿宋" w:hAnsi="仿宋" w:eastAsia="仿宋" w:cs="仿宋"/>
          <w:color w:val="auto"/>
          <w:sz w:val="24"/>
          <w:szCs w:val="24"/>
          <w:u w:val="single"/>
          <w:lang w:val="en-US" w:eastAsia="zh-CN"/>
        </w:rPr>
        <w:t>上</w:t>
      </w:r>
      <w:r>
        <w:rPr>
          <w:rFonts w:hint="eastAsia" w:ascii="仿宋" w:hAnsi="仿宋" w:eastAsia="仿宋" w:cs="仿宋"/>
          <w:color w:val="auto"/>
          <w:sz w:val="24"/>
          <w:szCs w:val="24"/>
          <w:u w:val="single"/>
          <w:lang w:eastAsia="zh-CN"/>
        </w:rPr>
        <w:t>午</w:t>
      </w:r>
      <w:r>
        <w:rPr>
          <w:rFonts w:hint="eastAsia" w:ascii="仿宋" w:hAnsi="仿宋" w:eastAsia="仿宋" w:cs="仿宋"/>
          <w:color w:val="auto"/>
          <w:sz w:val="24"/>
          <w:szCs w:val="24"/>
          <w:u w:val="single"/>
          <w:lang w:val="en-US" w:eastAsia="zh-CN"/>
        </w:rPr>
        <w:t>09</w:t>
      </w:r>
      <w:r>
        <w:rPr>
          <w:rFonts w:hint="eastAsia" w:ascii="仿宋" w:hAnsi="仿宋" w:eastAsia="仿宋" w:cs="仿宋"/>
          <w:color w:val="auto"/>
          <w:sz w:val="24"/>
          <w:szCs w:val="24"/>
          <w:u w:val="single"/>
        </w:rPr>
        <w:t>点</w:t>
      </w:r>
      <w:r>
        <w:rPr>
          <w:rFonts w:hint="eastAsia" w:ascii="仿宋" w:hAnsi="仿宋" w:eastAsia="仿宋" w:cs="仿宋"/>
          <w:color w:val="auto"/>
          <w:sz w:val="24"/>
          <w:szCs w:val="24"/>
          <w:u w:val="single"/>
          <w:lang w:val="en-US" w:eastAsia="zh-CN"/>
        </w:rPr>
        <w:t>00</w:t>
      </w:r>
      <w:r>
        <w:rPr>
          <w:rFonts w:hint="eastAsia" w:ascii="仿宋" w:hAnsi="仿宋" w:eastAsia="仿宋" w:cs="仿宋"/>
          <w:color w:val="auto"/>
          <w:sz w:val="24"/>
          <w:szCs w:val="24"/>
          <w:u w:val="single"/>
        </w:rPr>
        <w:t>分（北京时间）前提交</w:t>
      </w:r>
      <w:r>
        <w:rPr>
          <w:rFonts w:hint="eastAsia" w:ascii="仿宋" w:hAnsi="仿宋" w:eastAsia="仿宋" w:cs="仿宋"/>
          <w:color w:val="auto"/>
          <w:sz w:val="24"/>
          <w:szCs w:val="24"/>
          <w:u w:val="single"/>
          <w:lang w:eastAsia="zh-CN"/>
        </w:rPr>
        <w:t>投标</w:t>
      </w:r>
      <w:r>
        <w:rPr>
          <w:rFonts w:hint="eastAsia" w:ascii="仿宋" w:hAnsi="仿宋" w:eastAsia="仿宋" w:cs="仿宋"/>
          <w:color w:val="auto"/>
          <w:sz w:val="24"/>
          <w:szCs w:val="24"/>
          <w:u w:val="single"/>
        </w:rPr>
        <w:t>文件</w:t>
      </w:r>
      <w:r>
        <w:rPr>
          <w:rFonts w:hint="eastAsia" w:ascii="仿宋" w:hAnsi="仿宋" w:eastAsia="仿宋" w:cs="仿宋"/>
          <w:color w:val="auto"/>
          <w:sz w:val="24"/>
          <w:szCs w:val="24"/>
          <w:u w:val="none"/>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color w:val="auto"/>
          <w:spacing w:val="6"/>
          <w:sz w:val="24"/>
          <w:szCs w:val="24"/>
        </w:rPr>
      </w:pPr>
      <w:bookmarkStart w:id="20" w:name="_Toc35393621"/>
      <w:bookmarkStart w:id="21" w:name="_Toc28359079"/>
      <w:bookmarkStart w:id="22" w:name="_Toc35393790"/>
      <w:bookmarkStart w:id="23" w:name="_Toc28359002"/>
      <w:bookmarkStart w:id="24" w:name="_Hlk24379207"/>
      <w:r>
        <w:rPr>
          <w:rFonts w:hint="eastAsia" w:ascii="仿宋" w:hAnsi="仿宋" w:eastAsia="仿宋" w:cs="仿宋"/>
          <w:b/>
          <w:bCs/>
          <w:color w:val="auto"/>
          <w:spacing w:val="6"/>
          <w:sz w:val="24"/>
          <w:szCs w:val="24"/>
        </w:rPr>
        <w:t>一、项目基本情况</w:t>
      </w:r>
      <w:bookmarkEnd w:id="20"/>
      <w:bookmarkEnd w:id="21"/>
      <w:bookmarkEnd w:id="22"/>
      <w:bookmarkEnd w:id="23"/>
    </w:p>
    <w:p>
      <w:pPr>
        <w:keepNext w:val="0"/>
        <w:keepLines w:val="0"/>
        <w:pageBreakBefore w:val="0"/>
        <w:kinsoku/>
        <w:wordWrap/>
        <w:overflowPunct/>
        <w:topLinePunct w:val="0"/>
        <w:bidi w:val="0"/>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1.项目编号：</w:t>
      </w:r>
      <w:r>
        <w:rPr>
          <w:rFonts w:hint="eastAsia" w:ascii="仿宋" w:hAnsi="仿宋" w:eastAsia="仿宋" w:cs="仿宋"/>
          <w:color w:val="auto"/>
          <w:sz w:val="24"/>
          <w:szCs w:val="24"/>
          <w:lang w:eastAsia="zh-CN"/>
        </w:rPr>
        <w:t>ZJZL2025-007（2）</w:t>
      </w:r>
    </w:p>
    <w:p>
      <w:pPr>
        <w:keepNext w:val="0"/>
        <w:keepLines w:val="0"/>
        <w:pageBreakBefore w:val="0"/>
        <w:kinsoku/>
        <w:wordWrap/>
        <w:overflowPunct/>
        <w:topLinePunct w:val="0"/>
        <w:bidi w:val="0"/>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2.项目名称：</w:t>
      </w:r>
      <w:r>
        <w:rPr>
          <w:rFonts w:hint="eastAsia" w:ascii="仿宋" w:hAnsi="仿宋" w:eastAsia="仿宋" w:cs="仿宋"/>
          <w:color w:val="auto"/>
          <w:sz w:val="24"/>
          <w:szCs w:val="24"/>
          <w:lang w:eastAsia="zh-CN"/>
        </w:rPr>
        <w:t>嵊州市鹿山街道宸希未来社区建设项目（办公家具）（第二次）</w:t>
      </w:r>
    </w:p>
    <w:bookmarkEnd w:id="24"/>
    <w:p>
      <w:pPr>
        <w:keepNext w:val="0"/>
        <w:keepLines w:val="0"/>
        <w:pageBreakBefore w:val="0"/>
        <w:kinsoku/>
        <w:wordWrap/>
        <w:overflowPunct/>
        <w:topLinePunct w:val="0"/>
        <w:bidi w:val="0"/>
        <w:spacing w:line="360" w:lineRule="auto"/>
        <w:ind w:firstLine="480" w:firstLineChars="200"/>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3.预算金额：</w:t>
      </w:r>
      <w:r>
        <w:rPr>
          <w:rFonts w:hint="eastAsia" w:ascii="仿宋" w:hAnsi="仿宋" w:eastAsia="仿宋" w:cs="仿宋"/>
          <w:color w:val="auto"/>
          <w:sz w:val="24"/>
          <w:szCs w:val="24"/>
          <w:lang w:val="en-US" w:eastAsia="zh-CN"/>
        </w:rPr>
        <w:t>300000元</w:t>
      </w:r>
      <w:r>
        <w:rPr>
          <w:rFonts w:hint="eastAsia" w:ascii="仿宋" w:hAnsi="仿宋" w:eastAsia="仿宋" w:cs="仿宋"/>
          <w:color w:val="auto"/>
          <w:sz w:val="24"/>
          <w:szCs w:val="24"/>
          <w:lang w:eastAsia="zh-CN"/>
        </w:rPr>
        <w:t>。</w:t>
      </w:r>
    </w:p>
    <w:p>
      <w:pPr>
        <w:keepNext w:val="0"/>
        <w:keepLines w:val="0"/>
        <w:pageBreakBefore w:val="0"/>
        <w:kinsoku/>
        <w:wordWrap/>
        <w:overflowPunct/>
        <w:topLinePunct w:val="0"/>
        <w:bidi w:val="0"/>
        <w:spacing w:line="360" w:lineRule="auto"/>
        <w:ind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lang w:eastAsia="zh-CN"/>
        </w:rPr>
        <w:t>.采购需求：详见招标文件第三部分</w:t>
      </w:r>
    </w:p>
    <w:tbl>
      <w:tblPr>
        <w:tblStyle w:val="82"/>
        <w:tblW w:w="90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6"/>
        <w:gridCol w:w="3768"/>
        <w:gridCol w:w="1109"/>
        <w:gridCol w:w="1893"/>
        <w:gridCol w:w="13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5" w:hRule="atLeast"/>
        </w:trPr>
        <w:tc>
          <w:tcPr>
            <w:tcW w:w="88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序号</w:t>
            </w:r>
          </w:p>
        </w:tc>
        <w:tc>
          <w:tcPr>
            <w:tcW w:w="376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名称</w:t>
            </w:r>
          </w:p>
        </w:tc>
        <w:tc>
          <w:tcPr>
            <w:tcW w:w="110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数量</w:t>
            </w:r>
          </w:p>
        </w:tc>
        <w:tc>
          <w:tcPr>
            <w:tcW w:w="189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val="en-US" w:eastAsia="zh-CN"/>
              </w:rPr>
              <w:t>预算金额</w:t>
            </w:r>
            <w:r>
              <w:rPr>
                <w:rFonts w:hint="eastAsia" w:ascii="仿宋" w:hAnsi="仿宋" w:eastAsia="仿宋" w:cs="仿宋"/>
                <w:b/>
                <w:bCs/>
                <w:color w:val="auto"/>
                <w:sz w:val="24"/>
                <w:szCs w:val="24"/>
                <w:lang w:eastAsia="zh-CN"/>
              </w:rPr>
              <w:t>（元）</w:t>
            </w:r>
          </w:p>
        </w:tc>
        <w:tc>
          <w:tcPr>
            <w:tcW w:w="137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8" w:hRule="atLeast"/>
        </w:trPr>
        <w:tc>
          <w:tcPr>
            <w:tcW w:w="88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1</w:t>
            </w:r>
          </w:p>
        </w:tc>
        <w:tc>
          <w:tcPr>
            <w:tcW w:w="376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嵊州市鹿山街道宸希未来社区建设项目（办公家具）（第二次）</w:t>
            </w:r>
          </w:p>
        </w:tc>
        <w:tc>
          <w:tcPr>
            <w:tcW w:w="110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1批</w:t>
            </w:r>
          </w:p>
        </w:tc>
        <w:tc>
          <w:tcPr>
            <w:tcW w:w="189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0" w:firstLineChars="0"/>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300000元</w:t>
            </w:r>
          </w:p>
        </w:tc>
        <w:tc>
          <w:tcPr>
            <w:tcW w:w="137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0" w:firstLineChars="0"/>
              <w:jc w:val="left"/>
              <w:textAlignment w:val="auto"/>
              <w:rPr>
                <w:rFonts w:hint="eastAsia" w:ascii="仿宋" w:hAnsi="仿宋" w:eastAsia="仿宋" w:cs="仿宋"/>
                <w:color w:val="auto"/>
                <w:sz w:val="24"/>
                <w:szCs w:val="24"/>
                <w:lang w:eastAsia="zh-CN"/>
              </w:rPr>
            </w:pPr>
          </w:p>
        </w:tc>
      </w:tr>
    </w:tbl>
    <w:p>
      <w:pPr>
        <w:keepNext w:val="0"/>
        <w:keepLines w:val="0"/>
        <w:pageBreakBefore w:val="0"/>
        <w:kinsoku/>
        <w:wordWrap/>
        <w:overflowPunct/>
        <w:topLinePunct w:val="0"/>
        <w:bidi w:val="0"/>
        <w:spacing w:line="360" w:lineRule="auto"/>
        <w:textAlignment w:val="auto"/>
        <w:rPr>
          <w:rFonts w:hint="eastAsia" w:ascii="仿宋" w:hAnsi="仿宋" w:eastAsia="仿宋" w:cs="仿宋"/>
          <w:b/>
          <w:bCs/>
          <w:color w:val="auto"/>
          <w:spacing w:val="6"/>
          <w:sz w:val="24"/>
          <w:szCs w:val="24"/>
        </w:rPr>
      </w:pPr>
      <w:bookmarkStart w:id="25" w:name="_Toc28359080"/>
      <w:bookmarkStart w:id="26" w:name="_Toc28359003"/>
      <w:bookmarkStart w:id="27" w:name="_Toc35393622"/>
      <w:bookmarkStart w:id="28" w:name="_Toc35393791"/>
      <w:r>
        <w:rPr>
          <w:rFonts w:hint="eastAsia" w:ascii="仿宋" w:hAnsi="仿宋" w:eastAsia="仿宋" w:cs="仿宋"/>
          <w:b/>
          <w:bCs/>
          <w:color w:val="auto"/>
          <w:spacing w:val="6"/>
          <w:sz w:val="24"/>
          <w:szCs w:val="24"/>
        </w:rPr>
        <w:t>二、申请人的资格要求：</w:t>
      </w:r>
      <w:bookmarkEnd w:id="25"/>
      <w:bookmarkEnd w:id="26"/>
      <w:bookmarkEnd w:id="27"/>
      <w:bookmarkEnd w:id="28"/>
    </w:p>
    <w:p>
      <w:pPr>
        <w:keepNext w:val="0"/>
        <w:keepLines w:val="0"/>
        <w:pageBreakBefore w:val="0"/>
        <w:kinsoku/>
        <w:wordWrap/>
        <w:overflowPunct/>
        <w:topLinePunct w:val="0"/>
        <w:bidi w:val="0"/>
        <w:snapToGrid w:val="0"/>
        <w:spacing w:line="360" w:lineRule="auto"/>
        <w:ind w:firstLine="480" w:firstLineChars="200"/>
        <w:textAlignment w:val="auto"/>
        <w:rPr>
          <w:rFonts w:hint="eastAsia" w:ascii="仿宋" w:hAnsi="仿宋" w:eastAsia="仿宋" w:cs="仿宋"/>
          <w:color w:val="auto"/>
          <w:sz w:val="24"/>
          <w:szCs w:val="24"/>
        </w:rPr>
      </w:pPr>
      <w:bookmarkStart w:id="29" w:name="_Toc28359081"/>
      <w:bookmarkStart w:id="30" w:name="_Toc28359004"/>
      <w:bookmarkStart w:id="31" w:name="_Toc35393623"/>
      <w:bookmarkStart w:id="32" w:name="_Toc35393792"/>
      <w:r>
        <w:rPr>
          <w:rFonts w:hint="eastAsia" w:ascii="仿宋" w:hAnsi="仿宋" w:eastAsia="仿宋" w:cs="仿宋"/>
          <w:color w:val="auto"/>
          <w:sz w:val="24"/>
          <w:szCs w:val="24"/>
        </w:rPr>
        <w:t>1.具</w:t>
      </w:r>
      <w:r>
        <w:rPr>
          <w:rFonts w:hint="eastAsia" w:ascii="仿宋" w:hAnsi="仿宋" w:eastAsia="仿宋" w:cs="仿宋"/>
          <w:color w:val="auto"/>
          <w:sz w:val="24"/>
          <w:szCs w:val="24"/>
          <w:lang w:eastAsia="zh-CN"/>
        </w:rPr>
        <w:t>有</w:t>
      </w:r>
      <w:r>
        <w:rPr>
          <w:rFonts w:hint="eastAsia" w:ascii="仿宋" w:hAnsi="仿宋" w:eastAsia="仿宋" w:cs="仿宋"/>
          <w:color w:val="auto"/>
          <w:sz w:val="24"/>
          <w:szCs w:val="24"/>
        </w:rPr>
        <w:t>独立承担民事责任的能力；</w:t>
      </w:r>
    </w:p>
    <w:p>
      <w:pPr>
        <w:keepNext w:val="0"/>
        <w:keepLines w:val="0"/>
        <w:pageBreakBefore w:val="0"/>
        <w:kinsoku/>
        <w:wordWrap/>
        <w:overflowPunct/>
        <w:topLinePunct w:val="0"/>
        <w:bidi w:val="0"/>
        <w:snapToGrid w:val="0"/>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具有良好的</w:t>
      </w:r>
      <w:r>
        <w:rPr>
          <w:rFonts w:hint="eastAsia" w:ascii="仿宋" w:hAnsi="仿宋" w:eastAsia="仿宋" w:cs="仿宋"/>
          <w:color w:val="auto"/>
          <w:sz w:val="24"/>
          <w:szCs w:val="24"/>
          <w:lang w:eastAsia="zh-CN"/>
        </w:rPr>
        <w:t>商</w:t>
      </w:r>
      <w:r>
        <w:rPr>
          <w:rFonts w:hint="eastAsia" w:ascii="仿宋" w:hAnsi="仿宋" w:eastAsia="仿宋" w:cs="仿宋"/>
          <w:color w:val="auto"/>
          <w:sz w:val="24"/>
          <w:szCs w:val="24"/>
        </w:rPr>
        <w:t>业信誉；</w:t>
      </w:r>
    </w:p>
    <w:p>
      <w:pPr>
        <w:keepNext w:val="0"/>
        <w:keepLines w:val="0"/>
        <w:pageBreakBefore w:val="0"/>
        <w:kinsoku/>
        <w:wordWrap/>
        <w:overflowPunct/>
        <w:topLinePunct w:val="0"/>
        <w:bidi w:val="0"/>
        <w:snapToGrid w:val="0"/>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具有履行合同所必需的设备和专业技术，售后保障等能力；</w:t>
      </w:r>
    </w:p>
    <w:p>
      <w:pPr>
        <w:keepNext w:val="0"/>
        <w:keepLines w:val="0"/>
        <w:pageBreakBefore w:val="0"/>
        <w:kinsoku/>
        <w:wordWrap/>
        <w:overflowPunct/>
        <w:topLinePunct w:val="0"/>
        <w:bidi w:val="0"/>
        <w:snapToGrid w:val="0"/>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有</w:t>
      </w:r>
      <w:r>
        <w:rPr>
          <w:rFonts w:hint="eastAsia" w:ascii="仿宋" w:hAnsi="仿宋" w:eastAsia="仿宋" w:cs="仿宋"/>
          <w:color w:val="auto"/>
          <w:sz w:val="24"/>
          <w:szCs w:val="24"/>
          <w:lang w:eastAsia="zh-CN"/>
        </w:rPr>
        <w:t>依</w:t>
      </w:r>
      <w:r>
        <w:rPr>
          <w:rFonts w:hint="eastAsia" w:ascii="仿宋" w:hAnsi="仿宋" w:eastAsia="仿宋" w:cs="仿宋"/>
          <w:color w:val="auto"/>
          <w:sz w:val="24"/>
          <w:szCs w:val="24"/>
        </w:rPr>
        <w:t>法缴纳税收和社会保障</w:t>
      </w:r>
      <w:r>
        <w:rPr>
          <w:rFonts w:hint="eastAsia" w:ascii="仿宋" w:hAnsi="仿宋" w:eastAsia="仿宋" w:cs="仿宋"/>
          <w:color w:val="auto"/>
          <w:sz w:val="24"/>
          <w:szCs w:val="24"/>
          <w:lang w:eastAsia="zh-CN"/>
        </w:rPr>
        <w:t>资</w:t>
      </w:r>
      <w:r>
        <w:rPr>
          <w:rFonts w:hint="eastAsia" w:ascii="仿宋" w:hAnsi="仿宋" w:eastAsia="仿宋" w:cs="仿宋"/>
          <w:color w:val="auto"/>
          <w:sz w:val="24"/>
          <w:szCs w:val="24"/>
        </w:rPr>
        <w:t>金的</w:t>
      </w:r>
      <w:r>
        <w:rPr>
          <w:rFonts w:hint="eastAsia" w:ascii="仿宋" w:hAnsi="仿宋" w:eastAsia="仿宋" w:cs="仿宋"/>
          <w:color w:val="auto"/>
          <w:sz w:val="24"/>
          <w:szCs w:val="24"/>
          <w:lang w:eastAsia="zh-CN"/>
        </w:rPr>
        <w:t>良</w:t>
      </w:r>
      <w:r>
        <w:rPr>
          <w:rFonts w:hint="eastAsia" w:ascii="仿宋" w:hAnsi="仿宋" w:eastAsia="仿宋" w:cs="仿宋"/>
          <w:color w:val="auto"/>
          <w:sz w:val="24"/>
          <w:szCs w:val="24"/>
        </w:rPr>
        <w:t>好记录；</w:t>
      </w:r>
    </w:p>
    <w:p>
      <w:pPr>
        <w:keepNext w:val="0"/>
        <w:keepLines w:val="0"/>
        <w:pageBreakBefore w:val="0"/>
        <w:kinsoku/>
        <w:wordWrap/>
        <w:overflowPunct/>
        <w:topLinePunct w:val="0"/>
        <w:bidi w:val="0"/>
        <w:snapToGrid w:val="0"/>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参加</w:t>
      </w:r>
      <w:r>
        <w:rPr>
          <w:rFonts w:hint="eastAsia" w:ascii="仿宋" w:hAnsi="仿宋" w:eastAsia="仿宋" w:cs="仿宋"/>
          <w:color w:val="auto"/>
          <w:sz w:val="24"/>
          <w:szCs w:val="24"/>
          <w:lang w:eastAsia="zh-CN"/>
        </w:rPr>
        <w:t>采购</w:t>
      </w:r>
      <w:r>
        <w:rPr>
          <w:rFonts w:hint="eastAsia" w:ascii="仿宋" w:hAnsi="仿宋" w:eastAsia="仿宋" w:cs="仿宋"/>
          <w:color w:val="auto"/>
          <w:sz w:val="24"/>
          <w:szCs w:val="24"/>
        </w:rPr>
        <w:t>活动前三年内，没有重大</w:t>
      </w:r>
      <w:r>
        <w:rPr>
          <w:rFonts w:hint="eastAsia" w:ascii="仿宋" w:hAnsi="仿宋" w:eastAsia="仿宋" w:cs="仿宋"/>
          <w:color w:val="auto"/>
          <w:sz w:val="24"/>
          <w:szCs w:val="24"/>
          <w:lang w:eastAsia="zh-CN"/>
        </w:rPr>
        <w:t>违</w:t>
      </w:r>
      <w:r>
        <w:rPr>
          <w:rFonts w:hint="eastAsia" w:ascii="仿宋" w:hAnsi="仿宋" w:eastAsia="仿宋" w:cs="仿宋"/>
          <w:color w:val="auto"/>
          <w:sz w:val="24"/>
          <w:szCs w:val="24"/>
        </w:rPr>
        <w:t>法记录，严重</w:t>
      </w:r>
      <w:r>
        <w:rPr>
          <w:rFonts w:hint="eastAsia" w:ascii="仿宋" w:hAnsi="仿宋" w:eastAsia="仿宋" w:cs="仿宋"/>
          <w:color w:val="auto"/>
          <w:sz w:val="24"/>
          <w:szCs w:val="24"/>
          <w:lang w:eastAsia="zh-CN"/>
        </w:rPr>
        <w:t>失信</w:t>
      </w:r>
      <w:r>
        <w:rPr>
          <w:rFonts w:hint="eastAsia" w:ascii="仿宋" w:hAnsi="仿宋" w:eastAsia="仿宋" w:cs="仿宋"/>
          <w:color w:val="auto"/>
          <w:sz w:val="24"/>
          <w:szCs w:val="24"/>
        </w:rPr>
        <w:t>行为和行贿记录；</w:t>
      </w:r>
    </w:p>
    <w:p>
      <w:pPr>
        <w:keepNext w:val="0"/>
        <w:keepLines w:val="0"/>
        <w:pageBreakBefore w:val="0"/>
        <w:kinsoku/>
        <w:wordWrap/>
        <w:overflowPunct/>
        <w:topLinePunct w:val="0"/>
        <w:bidi w:val="0"/>
        <w:snapToGrid w:val="0"/>
        <w:spacing w:line="360" w:lineRule="auto"/>
        <w:ind w:firstLine="480" w:firstLineChars="200"/>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法律、行政法规规定的其他条件</w:t>
      </w:r>
      <w:r>
        <w:rPr>
          <w:rFonts w:hint="eastAsia" w:ascii="仿宋" w:hAnsi="仿宋" w:eastAsia="仿宋" w:cs="仿宋"/>
          <w:color w:val="auto"/>
          <w:sz w:val="24"/>
          <w:szCs w:val="24"/>
          <w:lang w:eastAsia="zh-CN"/>
        </w:rPr>
        <w:t>。</w:t>
      </w:r>
    </w:p>
    <w:p>
      <w:pPr>
        <w:keepNext w:val="0"/>
        <w:keepLines w:val="0"/>
        <w:pageBreakBefore w:val="0"/>
        <w:kinsoku/>
        <w:wordWrap/>
        <w:overflowPunct/>
        <w:topLinePunct w:val="0"/>
        <w:bidi w:val="0"/>
        <w:snapToGrid w:val="0"/>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rPr>
        <w:t>.单位负责人为同一人或者存在直接控股、管理关系的不同供应商，不得参加同一合同项下的采购活动；为采购项目提供整体设计、规范编制或者项目管理、监理、检测等服务后不得再参加该采购项目的其他采购活动。</w:t>
      </w:r>
    </w:p>
    <w:p>
      <w:pPr>
        <w:keepNext w:val="0"/>
        <w:keepLines w:val="0"/>
        <w:pageBreakBefore w:val="0"/>
        <w:kinsoku/>
        <w:wordWrap/>
        <w:overflowPunct/>
        <w:topLinePunct w:val="0"/>
        <w:bidi w:val="0"/>
        <w:snapToGrid w:val="0"/>
        <w:spacing w:line="360" w:lineRule="auto"/>
        <w:ind w:firstLine="480" w:firstLineChars="200"/>
        <w:textAlignment w:val="auto"/>
        <w:rPr>
          <w:rFonts w:hint="eastAsia" w:ascii="仿宋" w:hAnsi="仿宋" w:eastAsia="仿宋" w:cs="仿宋"/>
          <w:color w:val="auto"/>
          <w:spacing w:val="6"/>
          <w:sz w:val="24"/>
          <w:szCs w:val="24"/>
          <w:lang w:val="en-US" w:eastAsia="zh-CN"/>
        </w:rPr>
      </w:pPr>
      <w:r>
        <w:rPr>
          <w:rFonts w:hint="eastAsia" w:ascii="仿宋" w:hAnsi="仿宋" w:eastAsia="仿宋" w:cs="仿宋"/>
          <w:color w:val="auto"/>
          <w:sz w:val="24"/>
          <w:szCs w:val="24"/>
          <w:lang w:val="en-US" w:eastAsia="zh-CN"/>
        </w:rPr>
        <w:t>8.</w:t>
      </w:r>
      <w:r>
        <w:rPr>
          <w:rFonts w:hint="eastAsia" w:ascii="仿宋" w:hAnsi="仿宋" w:eastAsia="仿宋" w:cs="仿宋"/>
          <w:color w:val="auto"/>
          <w:sz w:val="24"/>
          <w:szCs w:val="24"/>
        </w:rPr>
        <w:t>未被“信用中国”（www.creditchina.gov.cn)、中国政府采购网（www.ccgp.gov.cn）列入失信被执行人、重大税收违法案件当事人名单、政府采购严重违法失信行为记录名单</w:t>
      </w:r>
      <w:r>
        <w:rPr>
          <w:rFonts w:hint="eastAsia" w:ascii="仿宋" w:hAnsi="仿宋" w:eastAsia="仿宋" w:cs="仿宋"/>
          <w:color w:val="auto"/>
          <w:sz w:val="24"/>
          <w:szCs w:val="24"/>
          <w:lang w:eastAsia="zh-CN"/>
        </w:rPr>
        <w:t>。</w:t>
      </w:r>
    </w:p>
    <w:p>
      <w:pPr>
        <w:keepNext w:val="0"/>
        <w:keepLines w:val="0"/>
        <w:pageBreakBefore w:val="0"/>
        <w:kinsoku/>
        <w:wordWrap/>
        <w:overflowPunct/>
        <w:topLinePunct w:val="0"/>
        <w:bidi w:val="0"/>
        <w:snapToGrid w:val="0"/>
        <w:spacing w:line="360" w:lineRule="auto"/>
        <w:ind w:firstLine="480" w:firstLineChars="200"/>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9</w:t>
      </w:r>
      <w:r>
        <w:rPr>
          <w:rFonts w:hint="eastAsia" w:ascii="仿宋" w:hAnsi="仿宋" w:eastAsia="仿宋" w:cs="仿宋"/>
          <w:color w:val="auto"/>
          <w:sz w:val="24"/>
          <w:szCs w:val="24"/>
        </w:rPr>
        <w:t>.特定资格要求</w:t>
      </w:r>
      <w:r>
        <w:rPr>
          <w:rFonts w:hint="eastAsia" w:ascii="仿宋" w:hAnsi="仿宋" w:eastAsia="仿宋" w:cs="仿宋"/>
          <w:color w:val="auto"/>
          <w:sz w:val="24"/>
          <w:szCs w:val="24"/>
          <w:lang w:val="en-US" w:eastAsia="zh-CN"/>
        </w:rPr>
        <w:t>:无。</w:t>
      </w:r>
    </w:p>
    <w:p>
      <w:pPr>
        <w:keepNext w:val="0"/>
        <w:keepLines w:val="0"/>
        <w:pageBreakBefore w:val="0"/>
        <w:widowControl w:val="0"/>
        <w:kinsoku/>
        <w:wordWrap/>
        <w:overflowPunct/>
        <w:topLinePunct w:val="0"/>
        <w:bidi w:val="0"/>
        <w:snapToGrid/>
        <w:spacing w:line="360" w:lineRule="auto"/>
        <w:ind w:firstLine="504" w:firstLineChars="200"/>
        <w:textAlignment w:val="auto"/>
        <w:rPr>
          <w:rFonts w:hint="eastAsia" w:ascii="仿宋" w:hAnsi="仿宋" w:eastAsia="仿宋" w:cs="仿宋"/>
          <w:color w:val="auto"/>
          <w:spacing w:val="6"/>
          <w:sz w:val="24"/>
          <w:szCs w:val="24"/>
        </w:rPr>
      </w:pPr>
      <w:r>
        <w:rPr>
          <w:rFonts w:hint="eastAsia" w:ascii="仿宋" w:hAnsi="仿宋" w:eastAsia="仿宋" w:cs="仿宋"/>
          <w:color w:val="auto"/>
          <w:spacing w:val="6"/>
          <w:sz w:val="24"/>
          <w:szCs w:val="24"/>
          <w:lang w:val="en-US" w:eastAsia="zh-CN"/>
        </w:rPr>
        <w:t>10.</w:t>
      </w:r>
      <w:r>
        <w:rPr>
          <w:rFonts w:hint="eastAsia" w:ascii="仿宋" w:hAnsi="仿宋" w:eastAsia="仿宋" w:cs="仿宋"/>
          <w:color w:val="auto"/>
          <w:spacing w:val="6"/>
          <w:sz w:val="24"/>
          <w:szCs w:val="24"/>
        </w:rPr>
        <w:t>本项目</w:t>
      </w:r>
      <w:r>
        <w:rPr>
          <w:rFonts w:hint="eastAsia" w:ascii="仿宋" w:hAnsi="仿宋" w:eastAsia="仿宋" w:cs="仿宋"/>
          <w:color w:val="auto"/>
          <w:spacing w:val="6"/>
          <w:sz w:val="24"/>
          <w:szCs w:val="24"/>
          <w:lang w:eastAsia="zh-CN"/>
        </w:rPr>
        <w:t>不</w:t>
      </w:r>
      <w:r>
        <w:rPr>
          <w:rFonts w:hint="eastAsia" w:ascii="仿宋" w:hAnsi="仿宋" w:eastAsia="仿宋" w:cs="仿宋"/>
          <w:color w:val="auto"/>
          <w:spacing w:val="6"/>
          <w:sz w:val="24"/>
          <w:szCs w:val="24"/>
        </w:rPr>
        <w:t>接受联合体</w:t>
      </w:r>
      <w:r>
        <w:rPr>
          <w:rFonts w:hint="eastAsia" w:ascii="仿宋" w:hAnsi="仿宋" w:eastAsia="仿宋" w:cs="仿宋"/>
          <w:color w:val="auto"/>
          <w:spacing w:val="6"/>
          <w:sz w:val="24"/>
          <w:szCs w:val="24"/>
          <w:lang w:eastAsia="zh-CN"/>
        </w:rPr>
        <w:t>投标</w:t>
      </w:r>
      <w:r>
        <w:rPr>
          <w:rFonts w:hint="eastAsia" w:ascii="仿宋" w:hAnsi="仿宋" w:eastAsia="仿宋" w:cs="仿宋"/>
          <w:color w:val="auto"/>
          <w:spacing w:val="6"/>
          <w:sz w:val="24"/>
          <w:szCs w:val="24"/>
        </w:rPr>
        <w:t>。</w:t>
      </w:r>
    </w:p>
    <w:p>
      <w:pPr>
        <w:pStyle w:val="34"/>
        <w:keepNext w:val="0"/>
        <w:keepLines w:val="0"/>
        <w:pageBreakBefore w:val="0"/>
        <w:widowControl w:val="0"/>
        <w:kinsoku/>
        <w:wordWrap/>
        <w:overflowPunct/>
        <w:topLinePunct w:val="0"/>
        <w:bidi w:val="0"/>
        <w:snapToGrid/>
        <w:spacing w:line="360" w:lineRule="auto"/>
        <w:ind w:firstLine="253" w:firstLineChars="100"/>
        <w:textAlignment w:val="auto"/>
        <w:rPr>
          <w:rFonts w:hint="eastAsia" w:ascii="仿宋" w:hAnsi="仿宋" w:eastAsia="仿宋" w:cs="仿宋"/>
          <w:b/>
          <w:bCs/>
          <w:color w:val="auto"/>
          <w:spacing w:val="6"/>
          <w:sz w:val="24"/>
          <w:szCs w:val="24"/>
        </w:rPr>
      </w:pPr>
      <w:r>
        <w:rPr>
          <w:rFonts w:hint="eastAsia" w:ascii="仿宋" w:hAnsi="仿宋" w:eastAsia="仿宋" w:cs="仿宋"/>
          <w:b/>
          <w:bCs/>
          <w:color w:val="auto"/>
          <w:spacing w:val="6"/>
          <w:sz w:val="24"/>
          <w:szCs w:val="24"/>
        </w:rPr>
        <w:t>三、获取</w:t>
      </w:r>
      <w:bookmarkEnd w:id="29"/>
      <w:bookmarkEnd w:id="30"/>
      <w:bookmarkEnd w:id="31"/>
      <w:bookmarkEnd w:id="32"/>
      <w:r>
        <w:rPr>
          <w:rFonts w:hint="eastAsia" w:ascii="仿宋" w:hAnsi="仿宋" w:eastAsia="仿宋" w:cs="仿宋"/>
          <w:b/>
          <w:bCs/>
          <w:color w:val="auto"/>
          <w:spacing w:val="6"/>
          <w:sz w:val="24"/>
          <w:szCs w:val="24"/>
        </w:rPr>
        <w:t>采购文件</w:t>
      </w:r>
      <w:bookmarkStart w:id="33" w:name="_Toc28359082"/>
      <w:bookmarkStart w:id="34" w:name="_Toc28359005"/>
      <w:bookmarkStart w:id="35" w:name="_Toc35393624"/>
      <w:bookmarkStart w:id="36" w:name="_Toc35393793"/>
    </w:p>
    <w:p>
      <w:pPr>
        <w:pStyle w:val="34"/>
        <w:keepNext w:val="0"/>
        <w:keepLines w:val="0"/>
        <w:pageBreakBefore w:val="0"/>
        <w:widowControl w:val="0"/>
        <w:kinsoku/>
        <w:wordWrap/>
        <w:overflowPunct/>
        <w:topLinePunct w:val="0"/>
        <w:bidi w:val="0"/>
        <w:snapToGrid/>
        <w:spacing w:line="360" w:lineRule="auto"/>
        <w:ind w:firstLine="504" w:firstLineChars="200"/>
        <w:textAlignment w:val="auto"/>
        <w:rPr>
          <w:rFonts w:hint="eastAsia" w:ascii="仿宋" w:hAnsi="仿宋" w:eastAsia="仿宋" w:cs="仿宋"/>
          <w:color w:val="auto"/>
          <w:spacing w:val="6"/>
          <w:sz w:val="24"/>
          <w:szCs w:val="24"/>
        </w:rPr>
      </w:pPr>
      <w:r>
        <w:rPr>
          <w:rFonts w:hint="eastAsia" w:ascii="仿宋" w:hAnsi="仿宋" w:eastAsia="仿宋" w:cs="仿宋"/>
          <w:color w:val="auto"/>
          <w:spacing w:val="6"/>
          <w:sz w:val="24"/>
          <w:szCs w:val="24"/>
        </w:rPr>
        <w:t>1.采购文件获取时间：</w:t>
      </w:r>
      <w:r>
        <w:rPr>
          <w:rFonts w:hint="eastAsia" w:ascii="仿宋" w:hAnsi="仿宋" w:eastAsia="仿宋" w:cs="仿宋"/>
          <w:color w:val="auto"/>
          <w:spacing w:val="6"/>
          <w:sz w:val="24"/>
          <w:szCs w:val="24"/>
          <w:lang w:val="en-US" w:eastAsia="zh-CN"/>
        </w:rPr>
        <w:t>2025年7月1日</w:t>
      </w:r>
      <w:r>
        <w:rPr>
          <w:rFonts w:hint="eastAsia" w:ascii="仿宋" w:hAnsi="仿宋" w:eastAsia="仿宋" w:cs="仿宋"/>
          <w:color w:val="auto"/>
          <w:spacing w:val="6"/>
          <w:sz w:val="24"/>
          <w:szCs w:val="24"/>
        </w:rPr>
        <w:t>至</w:t>
      </w:r>
      <w:r>
        <w:rPr>
          <w:rFonts w:hint="eastAsia" w:ascii="仿宋" w:hAnsi="仿宋" w:eastAsia="仿宋" w:cs="仿宋"/>
          <w:color w:val="auto"/>
          <w:spacing w:val="6"/>
          <w:sz w:val="24"/>
          <w:szCs w:val="24"/>
          <w:lang w:val="en-US" w:eastAsia="zh-CN"/>
        </w:rPr>
        <w:t>2025年7</w:t>
      </w:r>
      <w:r>
        <w:rPr>
          <w:rFonts w:hint="eastAsia" w:ascii="仿宋" w:hAnsi="仿宋" w:eastAsia="仿宋" w:cs="仿宋"/>
          <w:color w:val="auto"/>
          <w:spacing w:val="6"/>
          <w:sz w:val="24"/>
          <w:szCs w:val="24"/>
        </w:rPr>
        <w:t>月</w:t>
      </w:r>
      <w:r>
        <w:rPr>
          <w:rFonts w:hint="eastAsia" w:ascii="仿宋" w:hAnsi="仿宋" w:eastAsia="仿宋" w:cs="仿宋"/>
          <w:color w:val="auto"/>
          <w:spacing w:val="6"/>
          <w:sz w:val="24"/>
          <w:szCs w:val="24"/>
          <w:lang w:val="en-US" w:eastAsia="zh-CN"/>
        </w:rPr>
        <w:t>22</w:t>
      </w:r>
      <w:r>
        <w:rPr>
          <w:rFonts w:hint="eastAsia" w:ascii="仿宋" w:hAnsi="仿宋" w:eastAsia="仿宋" w:cs="仿宋"/>
          <w:color w:val="auto"/>
          <w:spacing w:val="6"/>
          <w:sz w:val="24"/>
          <w:szCs w:val="24"/>
        </w:rPr>
        <w:t>日，每天上午00:00至12:00，下午12:00至23:59（北京时间，线上获取法定节假日均可，线下获取文件法定节假日除外）</w:t>
      </w:r>
    </w:p>
    <w:p>
      <w:pPr>
        <w:pStyle w:val="34"/>
        <w:keepNext w:val="0"/>
        <w:keepLines w:val="0"/>
        <w:pageBreakBefore w:val="0"/>
        <w:widowControl w:val="0"/>
        <w:kinsoku/>
        <w:wordWrap/>
        <w:overflowPunct/>
        <w:topLinePunct w:val="0"/>
        <w:bidi w:val="0"/>
        <w:snapToGrid/>
        <w:spacing w:line="360" w:lineRule="auto"/>
        <w:ind w:firstLine="504" w:firstLineChars="200"/>
        <w:textAlignment w:val="auto"/>
        <w:rPr>
          <w:rFonts w:hint="eastAsia" w:ascii="仿宋" w:hAnsi="仿宋" w:eastAsia="仿宋" w:cs="仿宋"/>
          <w:color w:val="auto"/>
          <w:spacing w:val="6"/>
          <w:sz w:val="24"/>
          <w:szCs w:val="24"/>
        </w:rPr>
      </w:pPr>
      <w:r>
        <w:rPr>
          <w:rFonts w:hint="eastAsia" w:ascii="仿宋" w:hAnsi="仿宋" w:eastAsia="仿宋" w:cs="仿宋"/>
          <w:color w:val="auto"/>
          <w:spacing w:val="6"/>
          <w:sz w:val="24"/>
          <w:szCs w:val="24"/>
        </w:rPr>
        <w:t>2.地点（网址）：</w:t>
      </w:r>
      <w:r>
        <w:rPr>
          <w:rFonts w:hint="eastAsia" w:ascii="仿宋" w:hAnsi="仿宋" w:eastAsia="仿宋" w:cs="仿宋"/>
          <w:color w:val="auto"/>
          <w:spacing w:val="6"/>
          <w:sz w:val="24"/>
          <w:szCs w:val="24"/>
          <w:lang w:eastAsia="zh-CN"/>
        </w:rPr>
        <w:t>乐采云平台（https://www.lecaiyun.com/）</w:t>
      </w:r>
      <w:r>
        <w:rPr>
          <w:rFonts w:hint="eastAsia" w:ascii="仿宋" w:hAnsi="仿宋" w:eastAsia="仿宋" w:cs="仿宋"/>
          <w:color w:val="auto"/>
          <w:spacing w:val="6"/>
          <w:sz w:val="24"/>
          <w:szCs w:val="24"/>
        </w:rPr>
        <w:t> </w:t>
      </w:r>
    </w:p>
    <w:p>
      <w:pPr>
        <w:pStyle w:val="34"/>
        <w:keepNext w:val="0"/>
        <w:keepLines w:val="0"/>
        <w:pageBreakBefore w:val="0"/>
        <w:widowControl w:val="0"/>
        <w:kinsoku/>
        <w:wordWrap/>
        <w:overflowPunct/>
        <w:topLinePunct w:val="0"/>
        <w:bidi w:val="0"/>
        <w:snapToGrid/>
        <w:spacing w:line="360" w:lineRule="auto"/>
        <w:ind w:firstLine="504" w:firstLineChars="200"/>
        <w:textAlignment w:val="auto"/>
        <w:rPr>
          <w:rFonts w:hint="eastAsia" w:ascii="仿宋" w:hAnsi="仿宋" w:eastAsia="仿宋" w:cs="仿宋"/>
          <w:color w:val="auto"/>
          <w:spacing w:val="6"/>
          <w:sz w:val="24"/>
          <w:szCs w:val="24"/>
        </w:rPr>
      </w:pPr>
      <w:r>
        <w:rPr>
          <w:rFonts w:hint="eastAsia" w:ascii="仿宋" w:hAnsi="仿宋" w:eastAsia="仿宋" w:cs="仿宋"/>
          <w:color w:val="auto"/>
          <w:spacing w:val="6"/>
          <w:sz w:val="24"/>
          <w:szCs w:val="24"/>
        </w:rPr>
        <w:t>3.获取方式：供应商登录</w:t>
      </w:r>
      <w:r>
        <w:rPr>
          <w:rFonts w:hint="eastAsia" w:ascii="仿宋" w:hAnsi="仿宋" w:eastAsia="仿宋" w:cs="仿宋"/>
          <w:color w:val="auto"/>
          <w:spacing w:val="6"/>
          <w:sz w:val="24"/>
          <w:szCs w:val="24"/>
          <w:lang w:eastAsia="zh-CN"/>
        </w:rPr>
        <w:t>乐采云平台（https://www.lecaiyun.com/）</w:t>
      </w:r>
      <w:r>
        <w:rPr>
          <w:rFonts w:hint="eastAsia" w:ascii="仿宋" w:hAnsi="仿宋" w:eastAsia="仿宋" w:cs="仿宋"/>
          <w:color w:val="auto"/>
          <w:spacing w:val="6"/>
          <w:sz w:val="24"/>
          <w:szCs w:val="24"/>
        </w:rPr>
        <w:t>，在线申请获取采购文件（进入“项目采购”应用，在获取采购文件菜单中选择项目，申请获取采购文件,仅需浏览采购文件的供应商可点击“游客，浏览采购文件”直接下载采购文件浏览）。</w:t>
      </w:r>
    </w:p>
    <w:p>
      <w:pPr>
        <w:keepNext w:val="0"/>
        <w:keepLines w:val="0"/>
        <w:pageBreakBefore w:val="0"/>
        <w:widowControl w:val="0"/>
        <w:kinsoku/>
        <w:wordWrap/>
        <w:overflowPunct/>
        <w:topLinePunct w:val="0"/>
        <w:bidi w:val="0"/>
        <w:snapToGrid/>
        <w:spacing w:line="360" w:lineRule="auto"/>
        <w:ind w:firstLine="504" w:firstLineChars="200"/>
        <w:textAlignment w:val="auto"/>
        <w:rPr>
          <w:rFonts w:hint="eastAsia" w:ascii="仿宋" w:hAnsi="仿宋" w:eastAsia="仿宋" w:cs="仿宋"/>
          <w:b/>
          <w:bCs/>
          <w:color w:val="auto"/>
          <w:spacing w:val="6"/>
          <w:sz w:val="24"/>
          <w:szCs w:val="24"/>
        </w:rPr>
      </w:pPr>
      <w:r>
        <w:rPr>
          <w:rFonts w:hint="eastAsia" w:ascii="仿宋" w:hAnsi="仿宋" w:eastAsia="仿宋" w:cs="仿宋"/>
          <w:color w:val="auto"/>
          <w:spacing w:val="6"/>
          <w:sz w:val="24"/>
          <w:szCs w:val="24"/>
        </w:rPr>
        <w:t>4.采购文件售价：免费。</w:t>
      </w:r>
    </w:p>
    <w:p>
      <w:pPr>
        <w:keepNext w:val="0"/>
        <w:keepLines w:val="0"/>
        <w:pageBreakBefore w:val="0"/>
        <w:widowControl w:val="0"/>
        <w:kinsoku/>
        <w:wordWrap/>
        <w:overflowPunct/>
        <w:topLinePunct w:val="0"/>
        <w:bidi w:val="0"/>
        <w:snapToGrid/>
        <w:spacing w:line="360" w:lineRule="auto"/>
        <w:textAlignment w:val="auto"/>
        <w:rPr>
          <w:rFonts w:hint="eastAsia" w:ascii="仿宋" w:hAnsi="仿宋" w:eastAsia="仿宋" w:cs="仿宋"/>
          <w:b/>
          <w:bCs/>
          <w:color w:val="auto"/>
          <w:spacing w:val="6"/>
          <w:sz w:val="24"/>
          <w:szCs w:val="24"/>
        </w:rPr>
      </w:pPr>
      <w:r>
        <w:rPr>
          <w:rFonts w:hint="eastAsia" w:ascii="仿宋" w:hAnsi="仿宋" w:eastAsia="仿宋" w:cs="仿宋"/>
          <w:b/>
          <w:bCs/>
          <w:color w:val="auto"/>
          <w:spacing w:val="6"/>
          <w:sz w:val="24"/>
          <w:szCs w:val="24"/>
        </w:rPr>
        <w:t>四、提交投标文件</w:t>
      </w:r>
      <w:bookmarkEnd w:id="33"/>
      <w:bookmarkEnd w:id="34"/>
      <w:r>
        <w:rPr>
          <w:rFonts w:hint="eastAsia" w:ascii="仿宋" w:hAnsi="仿宋" w:eastAsia="仿宋" w:cs="仿宋"/>
          <w:b/>
          <w:bCs/>
          <w:color w:val="auto"/>
          <w:spacing w:val="6"/>
          <w:sz w:val="24"/>
          <w:szCs w:val="24"/>
        </w:rPr>
        <w:t>截止时间、开标时间和地点</w:t>
      </w:r>
      <w:bookmarkEnd w:id="35"/>
      <w:bookmarkEnd w:id="36"/>
    </w:p>
    <w:p>
      <w:pPr>
        <w:keepNext w:val="0"/>
        <w:keepLines w:val="0"/>
        <w:pageBreakBefore w:val="0"/>
        <w:widowControl w:val="0"/>
        <w:kinsoku/>
        <w:wordWrap/>
        <w:overflowPunct/>
        <w:topLinePunct w:val="0"/>
        <w:bidi w:val="0"/>
        <w:snapToGrid/>
        <w:spacing w:line="360" w:lineRule="auto"/>
        <w:ind w:firstLine="504" w:firstLineChars="200"/>
        <w:textAlignment w:val="auto"/>
        <w:rPr>
          <w:rFonts w:hint="eastAsia" w:ascii="仿宋" w:hAnsi="仿宋" w:eastAsia="仿宋" w:cs="仿宋"/>
          <w:color w:val="auto"/>
          <w:spacing w:val="6"/>
          <w:sz w:val="24"/>
          <w:szCs w:val="24"/>
        </w:rPr>
      </w:pPr>
      <w:bookmarkStart w:id="37" w:name="_Toc28359084"/>
      <w:bookmarkStart w:id="38" w:name="_Toc35393794"/>
      <w:bookmarkStart w:id="39" w:name="_Toc35393625"/>
      <w:bookmarkStart w:id="40" w:name="_Toc28359007"/>
      <w:r>
        <w:rPr>
          <w:rFonts w:hint="eastAsia" w:ascii="仿宋" w:hAnsi="仿宋" w:eastAsia="仿宋" w:cs="仿宋"/>
          <w:color w:val="auto"/>
          <w:spacing w:val="6"/>
          <w:sz w:val="24"/>
          <w:szCs w:val="24"/>
        </w:rPr>
        <w:t>1.提交投标文件截止时间：</w:t>
      </w:r>
      <w:r>
        <w:rPr>
          <w:rFonts w:hint="eastAsia" w:ascii="仿宋" w:hAnsi="仿宋" w:eastAsia="仿宋" w:cs="仿宋"/>
          <w:color w:val="auto"/>
          <w:spacing w:val="6"/>
          <w:sz w:val="24"/>
          <w:szCs w:val="24"/>
          <w:lang w:val="en-US" w:eastAsia="zh-CN"/>
        </w:rPr>
        <w:t>2025</w:t>
      </w:r>
      <w:r>
        <w:rPr>
          <w:rFonts w:hint="eastAsia" w:ascii="仿宋" w:hAnsi="仿宋" w:eastAsia="仿宋" w:cs="仿宋"/>
          <w:color w:val="auto"/>
          <w:spacing w:val="6"/>
          <w:sz w:val="24"/>
          <w:szCs w:val="24"/>
        </w:rPr>
        <w:t>年</w:t>
      </w:r>
      <w:r>
        <w:rPr>
          <w:rFonts w:hint="eastAsia" w:ascii="仿宋" w:hAnsi="仿宋" w:eastAsia="仿宋" w:cs="仿宋"/>
          <w:color w:val="auto"/>
          <w:spacing w:val="6"/>
          <w:sz w:val="24"/>
          <w:szCs w:val="24"/>
          <w:lang w:val="en-US" w:eastAsia="zh-CN"/>
        </w:rPr>
        <w:t>7</w:t>
      </w:r>
      <w:r>
        <w:rPr>
          <w:rFonts w:hint="eastAsia" w:ascii="仿宋" w:hAnsi="仿宋" w:eastAsia="仿宋" w:cs="仿宋"/>
          <w:color w:val="auto"/>
          <w:spacing w:val="6"/>
          <w:sz w:val="24"/>
          <w:szCs w:val="24"/>
        </w:rPr>
        <w:t>月</w:t>
      </w:r>
      <w:r>
        <w:rPr>
          <w:rFonts w:hint="eastAsia" w:ascii="仿宋" w:hAnsi="仿宋" w:eastAsia="仿宋" w:cs="仿宋"/>
          <w:color w:val="auto"/>
          <w:spacing w:val="6"/>
          <w:sz w:val="24"/>
          <w:szCs w:val="24"/>
          <w:lang w:val="en-US" w:eastAsia="zh-CN"/>
        </w:rPr>
        <w:t>22</w:t>
      </w:r>
      <w:r>
        <w:rPr>
          <w:rFonts w:hint="eastAsia" w:ascii="仿宋" w:hAnsi="仿宋" w:eastAsia="仿宋" w:cs="仿宋"/>
          <w:color w:val="auto"/>
          <w:spacing w:val="6"/>
          <w:sz w:val="24"/>
          <w:szCs w:val="24"/>
        </w:rPr>
        <w:t>日</w:t>
      </w:r>
      <w:r>
        <w:rPr>
          <w:rFonts w:hint="eastAsia" w:ascii="仿宋" w:hAnsi="仿宋" w:eastAsia="仿宋" w:cs="仿宋"/>
          <w:color w:val="auto"/>
          <w:spacing w:val="6"/>
          <w:sz w:val="24"/>
          <w:szCs w:val="24"/>
          <w:lang w:val="en-US" w:eastAsia="zh-CN"/>
        </w:rPr>
        <w:t>上</w:t>
      </w:r>
      <w:r>
        <w:rPr>
          <w:rFonts w:hint="eastAsia" w:ascii="仿宋" w:hAnsi="仿宋" w:eastAsia="仿宋" w:cs="仿宋"/>
          <w:color w:val="auto"/>
          <w:spacing w:val="6"/>
          <w:sz w:val="24"/>
          <w:szCs w:val="24"/>
          <w:lang w:eastAsia="zh-CN"/>
        </w:rPr>
        <w:t>午</w:t>
      </w:r>
      <w:r>
        <w:rPr>
          <w:rFonts w:hint="eastAsia" w:ascii="仿宋" w:hAnsi="仿宋" w:eastAsia="仿宋" w:cs="仿宋"/>
          <w:color w:val="auto"/>
          <w:spacing w:val="6"/>
          <w:sz w:val="24"/>
          <w:szCs w:val="24"/>
          <w:lang w:val="en-US" w:eastAsia="zh-CN"/>
        </w:rPr>
        <w:t>09：00</w:t>
      </w:r>
      <w:r>
        <w:rPr>
          <w:rFonts w:hint="eastAsia" w:ascii="仿宋" w:hAnsi="仿宋" w:eastAsia="仿宋" w:cs="仿宋"/>
          <w:color w:val="auto"/>
          <w:spacing w:val="6"/>
          <w:sz w:val="24"/>
          <w:szCs w:val="24"/>
        </w:rPr>
        <w:t>（北京时间）。</w:t>
      </w:r>
    </w:p>
    <w:p>
      <w:pPr>
        <w:keepNext w:val="0"/>
        <w:keepLines w:val="0"/>
        <w:pageBreakBefore w:val="0"/>
        <w:kinsoku/>
        <w:wordWrap/>
        <w:overflowPunct/>
        <w:topLinePunct w:val="0"/>
        <w:bidi w:val="0"/>
        <w:spacing w:line="360" w:lineRule="auto"/>
        <w:ind w:firstLine="504" w:firstLineChars="200"/>
        <w:textAlignment w:val="auto"/>
        <w:rPr>
          <w:rFonts w:hint="eastAsia" w:ascii="仿宋" w:hAnsi="仿宋" w:eastAsia="仿宋" w:cs="仿宋"/>
          <w:color w:val="auto"/>
          <w:spacing w:val="6"/>
          <w:sz w:val="24"/>
          <w:szCs w:val="24"/>
        </w:rPr>
      </w:pPr>
      <w:r>
        <w:rPr>
          <w:rFonts w:hint="eastAsia" w:ascii="仿宋" w:hAnsi="仿宋" w:eastAsia="仿宋" w:cs="仿宋"/>
          <w:color w:val="auto"/>
          <w:spacing w:val="6"/>
          <w:sz w:val="24"/>
          <w:szCs w:val="24"/>
        </w:rPr>
        <w:t>2.投标地点（网址）：</w:t>
      </w:r>
      <w:r>
        <w:rPr>
          <w:rFonts w:hint="eastAsia" w:ascii="仿宋" w:hAnsi="仿宋" w:eastAsia="仿宋" w:cs="仿宋"/>
          <w:color w:val="auto"/>
          <w:spacing w:val="6"/>
          <w:sz w:val="24"/>
          <w:szCs w:val="24"/>
          <w:lang w:eastAsia="zh-CN"/>
        </w:rPr>
        <w:t>乐采云平台（https://www.lecaiyun.com/）</w:t>
      </w:r>
      <w:r>
        <w:rPr>
          <w:rFonts w:hint="eastAsia" w:ascii="仿宋" w:hAnsi="仿宋" w:eastAsia="仿宋" w:cs="仿宋"/>
          <w:color w:val="auto"/>
          <w:spacing w:val="6"/>
          <w:sz w:val="24"/>
          <w:szCs w:val="24"/>
        </w:rPr>
        <w:t>。</w:t>
      </w:r>
    </w:p>
    <w:p>
      <w:pPr>
        <w:keepNext w:val="0"/>
        <w:keepLines w:val="0"/>
        <w:pageBreakBefore w:val="0"/>
        <w:kinsoku/>
        <w:wordWrap/>
        <w:overflowPunct/>
        <w:topLinePunct w:val="0"/>
        <w:bidi w:val="0"/>
        <w:spacing w:line="360" w:lineRule="auto"/>
        <w:ind w:firstLine="504" w:firstLineChars="200"/>
        <w:textAlignment w:val="auto"/>
        <w:rPr>
          <w:rFonts w:hint="eastAsia" w:ascii="仿宋" w:hAnsi="仿宋" w:eastAsia="仿宋" w:cs="仿宋"/>
          <w:color w:val="auto"/>
          <w:spacing w:val="6"/>
          <w:sz w:val="24"/>
          <w:szCs w:val="24"/>
          <w:lang w:val="en-US" w:eastAsia="zh-CN"/>
        </w:rPr>
      </w:pPr>
      <w:r>
        <w:rPr>
          <w:rFonts w:hint="eastAsia" w:ascii="仿宋" w:hAnsi="仿宋" w:eastAsia="仿宋" w:cs="仿宋"/>
          <w:color w:val="auto"/>
          <w:spacing w:val="6"/>
          <w:sz w:val="24"/>
          <w:szCs w:val="24"/>
        </w:rPr>
        <w:t>3.</w:t>
      </w:r>
      <w:r>
        <w:rPr>
          <w:rFonts w:hint="eastAsia" w:ascii="仿宋" w:hAnsi="仿宋" w:eastAsia="仿宋" w:cs="仿宋"/>
          <w:color w:val="auto"/>
          <w:spacing w:val="6"/>
          <w:sz w:val="24"/>
          <w:szCs w:val="24"/>
          <w:lang w:val="en-US" w:eastAsia="zh-CN"/>
        </w:rPr>
        <w:t>开标时间：</w:t>
      </w:r>
      <w:r>
        <w:rPr>
          <w:rFonts w:hint="eastAsia" w:ascii="仿宋" w:hAnsi="仿宋" w:eastAsia="仿宋" w:cs="仿宋"/>
          <w:color w:val="auto"/>
          <w:spacing w:val="6"/>
          <w:sz w:val="24"/>
          <w:szCs w:val="24"/>
        </w:rPr>
        <w:t>202</w:t>
      </w:r>
      <w:r>
        <w:rPr>
          <w:rFonts w:hint="eastAsia" w:ascii="仿宋" w:hAnsi="仿宋" w:eastAsia="仿宋" w:cs="仿宋"/>
          <w:color w:val="auto"/>
          <w:spacing w:val="6"/>
          <w:sz w:val="24"/>
          <w:szCs w:val="24"/>
          <w:lang w:val="en-US" w:eastAsia="zh-CN"/>
        </w:rPr>
        <w:t>5</w:t>
      </w:r>
      <w:r>
        <w:rPr>
          <w:rFonts w:hint="eastAsia" w:ascii="仿宋" w:hAnsi="仿宋" w:eastAsia="仿宋" w:cs="仿宋"/>
          <w:color w:val="auto"/>
          <w:spacing w:val="6"/>
          <w:sz w:val="24"/>
          <w:szCs w:val="24"/>
        </w:rPr>
        <w:t>年</w:t>
      </w:r>
      <w:r>
        <w:rPr>
          <w:rFonts w:hint="eastAsia" w:ascii="仿宋" w:hAnsi="仿宋" w:eastAsia="仿宋" w:cs="仿宋"/>
          <w:color w:val="auto"/>
          <w:spacing w:val="6"/>
          <w:sz w:val="24"/>
          <w:szCs w:val="24"/>
          <w:lang w:val="en-US" w:eastAsia="zh-CN"/>
        </w:rPr>
        <w:t>7</w:t>
      </w:r>
      <w:r>
        <w:rPr>
          <w:rFonts w:hint="eastAsia" w:ascii="仿宋" w:hAnsi="仿宋" w:eastAsia="仿宋" w:cs="仿宋"/>
          <w:color w:val="auto"/>
          <w:spacing w:val="6"/>
          <w:sz w:val="24"/>
          <w:szCs w:val="24"/>
        </w:rPr>
        <w:t>月</w:t>
      </w:r>
      <w:r>
        <w:rPr>
          <w:rFonts w:hint="eastAsia" w:ascii="仿宋" w:hAnsi="仿宋" w:eastAsia="仿宋" w:cs="仿宋"/>
          <w:color w:val="auto"/>
          <w:spacing w:val="6"/>
          <w:sz w:val="24"/>
          <w:szCs w:val="24"/>
          <w:lang w:val="en-US" w:eastAsia="zh-CN"/>
        </w:rPr>
        <w:t>22</w:t>
      </w:r>
      <w:r>
        <w:rPr>
          <w:rFonts w:hint="eastAsia" w:ascii="仿宋" w:hAnsi="仿宋" w:eastAsia="仿宋" w:cs="仿宋"/>
          <w:color w:val="auto"/>
          <w:spacing w:val="6"/>
          <w:sz w:val="24"/>
          <w:szCs w:val="24"/>
        </w:rPr>
        <w:t>日</w:t>
      </w:r>
      <w:r>
        <w:rPr>
          <w:rFonts w:hint="eastAsia" w:ascii="仿宋" w:hAnsi="仿宋" w:eastAsia="仿宋" w:cs="仿宋"/>
          <w:color w:val="auto"/>
          <w:spacing w:val="6"/>
          <w:sz w:val="24"/>
          <w:szCs w:val="24"/>
          <w:lang w:val="en-US" w:eastAsia="zh-CN"/>
        </w:rPr>
        <w:t>上</w:t>
      </w:r>
      <w:r>
        <w:rPr>
          <w:rFonts w:hint="eastAsia" w:ascii="仿宋" w:hAnsi="仿宋" w:eastAsia="仿宋" w:cs="仿宋"/>
          <w:color w:val="auto"/>
          <w:spacing w:val="6"/>
          <w:sz w:val="24"/>
          <w:szCs w:val="24"/>
          <w:lang w:eastAsia="zh-CN"/>
        </w:rPr>
        <w:t>午</w:t>
      </w:r>
      <w:r>
        <w:rPr>
          <w:rFonts w:hint="eastAsia" w:ascii="仿宋" w:hAnsi="仿宋" w:eastAsia="仿宋" w:cs="仿宋"/>
          <w:color w:val="auto"/>
          <w:spacing w:val="6"/>
          <w:sz w:val="24"/>
          <w:szCs w:val="24"/>
          <w:lang w:val="en-US" w:eastAsia="zh-CN"/>
        </w:rPr>
        <w:t>09：00分</w:t>
      </w:r>
      <w:r>
        <w:rPr>
          <w:rFonts w:hint="eastAsia" w:ascii="仿宋" w:hAnsi="仿宋" w:eastAsia="仿宋" w:cs="仿宋"/>
          <w:color w:val="auto"/>
          <w:spacing w:val="6"/>
          <w:sz w:val="24"/>
          <w:szCs w:val="24"/>
        </w:rPr>
        <w:t>整</w:t>
      </w:r>
      <w:r>
        <w:rPr>
          <w:rFonts w:hint="eastAsia" w:ascii="仿宋" w:hAnsi="仿宋" w:eastAsia="仿宋" w:cs="仿宋"/>
          <w:color w:val="auto"/>
          <w:spacing w:val="6"/>
          <w:sz w:val="24"/>
          <w:szCs w:val="24"/>
          <w:lang w:eastAsia="zh-CN"/>
        </w:rPr>
        <w:t>。</w:t>
      </w:r>
    </w:p>
    <w:p>
      <w:pPr>
        <w:keepNext w:val="0"/>
        <w:keepLines w:val="0"/>
        <w:pageBreakBefore w:val="0"/>
        <w:kinsoku/>
        <w:wordWrap/>
        <w:overflowPunct/>
        <w:topLinePunct w:val="0"/>
        <w:bidi w:val="0"/>
        <w:spacing w:line="360" w:lineRule="auto"/>
        <w:ind w:firstLine="504" w:firstLineChars="200"/>
        <w:textAlignment w:val="auto"/>
        <w:rPr>
          <w:rFonts w:hint="eastAsia" w:ascii="仿宋" w:hAnsi="仿宋" w:eastAsia="仿宋" w:cs="仿宋"/>
          <w:color w:val="auto"/>
          <w:spacing w:val="6"/>
          <w:sz w:val="24"/>
          <w:szCs w:val="24"/>
        </w:rPr>
      </w:pPr>
      <w:r>
        <w:rPr>
          <w:rFonts w:hint="eastAsia" w:ascii="仿宋" w:hAnsi="仿宋" w:eastAsia="仿宋" w:cs="仿宋"/>
          <w:color w:val="auto"/>
          <w:spacing w:val="6"/>
          <w:sz w:val="24"/>
          <w:szCs w:val="24"/>
        </w:rPr>
        <w:t>4.开标地点（网址）</w:t>
      </w:r>
      <w:r>
        <w:rPr>
          <w:rFonts w:hint="eastAsia" w:ascii="仿宋" w:hAnsi="仿宋" w:eastAsia="仿宋" w:cs="仿宋"/>
          <w:color w:val="auto"/>
          <w:spacing w:val="6"/>
          <w:sz w:val="24"/>
          <w:szCs w:val="24"/>
          <w:lang w:eastAsia="zh-CN"/>
        </w:rPr>
        <w:t>：乐采云平台（https://www.lecaiyun.com/）</w:t>
      </w:r>
      <w:r>
        <w:rPr>
          <w:rFonts w:hint="eastAsia" w:ascii="仿宋" w:hAnsi="仿宋" w:eastAsia="仿宋" w:cs="仿宋"/>
          <w:color w:val="auto"/>
          <w:spacing w:val="6"/>
          <w:sz w:val="24"/>
          <w:szCs w:val="24"/>
        </w:rPr>
        <w:t>。</w:t>
      </w:r>
    </w:p>
    <w:p>
      <w:pPr>
        <w:keepNext w:val="0"/>
        <w:keepLines w:val="0"/>
        <w:pageBreakBefore w:val="0"/>
        <w:kinsoku/>
        <w:wordWrap/>
        <w:overflowPunct/>
        <w:topLinePunct w:val="0"/>
        <w:bidi w:val="0"/>
        <w:spacing w:line="360" w:lineRule="auto"/>
        <w:textAlignment w:val="auto"/>
        <w:rPr>
          <w:rFonts w:hint="eastAsia" w:ascii="仿宋" w:hAnsi="仿宋" w:eastAsia="仿宋" w:cs="仿宋"/>
          <w:b/>
          <w:bCs/>
          <w:color w:val="auto"/>
          <w:spacing w:val="6"/>
          <w:sz w:val="24"/>
          <w:szCs w:val="24"/>
        </w:rPr>
      </w:pPr>
      <w:r>
        <w:rPr>
          <w:rFonts w:hint="eastAsia" w:ascii="仿宋" w:hAnsi="仿宋" w:eastAsia="仿宋" w:cs="仿宋"/>
          <w:b/>
          <w:bCs/>
          <w:color w:val="auto"/>
          <w:spacing w:val="6"/>
          <w:sz w:val="24"/>
          <w:szCs w:val="24"/>
        </w:rPr>
        <w:t>五、公告期限</w:t>
      </w:r>
      <w:bookmarkEnd w:id="37"/>
      <w:bookmarkEnd w:id="38"/>
      <w:bookmarkEnd w:id="39"/>
      <w:bookmarkEnd w:id="40"/>
    </w:p>
    <w:p>
      <w:pPr>
        <w:keepNext w:val="0"/>
        <w:keepLines w:val="0"/>
        <w:pageBreakBefore w:val="0"/>
        <w:kinsoku/>
        <w:wordWrap/>
        <w:overflowPunct/>
        <w:topLinePunct w:val="0"/>
        <w:bidi w:val="0"/>
        <w:spacing w:line="360" w:lineRule="auto"/>
        <w:ind w:firstLine="480" w:firstLineChars="200"/>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自本公告发布之日起5个工作日。</w:t>
      </w:r>
    </w:p>
    <w:p>
      <w:pPr>
        <w:pStyle w:val="43"/>
        <w:keepNext w:val="0"/>
        <w:keepLines w:val="0"/>
        <w:pageBreakBefore w:val="0"/>
        <w:numPr>
          <w:ilvl w:val="0"/>
          <w:numId w:val="0"/>
        </w:numPr>
        <w:kinsoku/>
        <w:wordWrap/>
        <w:overflowPunct/>
        <w:topLinePunct w:val="0"/>
        <w:bidi w:val="0"/>
        <w:adjustRightInd w:val="0"/>
        <w:snapToGrid w:val="0"/>
        <w:spacing w:line="360" w:lineRule="auto"/>
        <w:textAlignment w:val="auto"/>
        <w:rPr>
          <w:rFonts w:hint="eastAsia" w:ascii="仿宋" w:hAnsi="仿宋" w:eastAsia="仿宋" w:cs="仿宋"/>
          <w:b/>
          <w:bCs/>
          <w:color w:val="auto"/>
          <w:spacing w:val="6"/>
          <w:sz w:val="24"/>
          <w:szCs w:val="24"/>
        </w:rPr>
      </w:pPr>
      <w:bookmarkStart w:id="41" w:name="_Toc35393795"/>
      <w:bookmarkStart w:id="42" w:name="_Toc35393626"/>
      <w:r>
        <w:rPr>
          <w:rFonts w:hint="eastAsia" w:ascii="仿宋" w:hAnsi="仿宋" w:eastAsia="仿宋" w:cs="仿宋"/>
          <w:b/>
          <w:bCs/>
          <w:color w:val="auto"/>
          <w:spacing w:val="6"/>
          <w:sz w:val="24"/>
          <w:szCs w:val="24"/>
          <w:lang w:val="en-US" w:eastAsia="zh-CN"/>
        </w:rPr>
        <w:t>六、</w:t>
      </w:r>
      <w:r>
        <w:rPr>
          <w:rFonts w:hint="eastAsia" w:ascii="仿宋" w:hAnsi="仿宋" w:eastAsia="仿宋" w:cs="仿宋"/>
          <w:b/>
          <w:bCs/>
          <w:color w:val="auto"/>
          <w:spacing w:val="6"/>
          <w:sz w:val="24"/>
          <w:szCs w:val="24"/>
        </w:rPr>
        <w:t>其他补充事宜</w:t>
      </w:r>
    </w:p>
    <w:bookmarkEnd w:id="41"/>
    <w:bookmarkEnd w:id="42"/>
    <w:p>
      <w:pPr>
        <w:keepNext w:val="0"/>
        <w:keepLines w:val="0"/>
        <w:pageBreakBefore w:val="0"/>
        <w:widowControl w:val="0"/>
        <w:kinsoku/>
        <w:wordWrap/>
        <w:overflowPunct/>
        <w:topLinePunct w:val="0"/>
        <w:autoSpaceDE/>
        <w:autoSpaceDN/>
        <w:bidi w:val="0"/>
        <w:spacing w:line="360" w:lineRule="auto"/>
        <w:ind w:firstLine="504" w:firstLineChars="200"/>
        <w:textAlignment w:val="auto"/>
        <w:rPr>
          <w:rFonts w:ascii="仿宋" w:hAnsi="仿宋" w:eastAsia="仿宋" w:cs="仿宋"/>
          <w:color w:val="auto"/>
          <w:sz w:val="24"/>
        </w:rPr>
      </w:pPr>
      <w:bookmarkStart w:id="43" w:name="_Toc28359008"/>
      <w:bookmarkStart w:id="44" w:name="_Toc35393796"/>
      <w:bookmarkStart w:id="45" w:name="_Toc35393627"/>
      <w:bookmarkStart w:id="46" w:name="_Toc28359085"/>
      <w:r>
        <w:rPr>
          <w:rFonts w:hint="eastAsia" w:ascii="仿宋" w:hAnsi="仿宋" w:eastAsia="仿宋" w:cs="仿宋"/>
          <w:color w:val="auto"/>
          <w:spacing w:val="6"/>
          <w:sz w:val="24"/>
          <w:szCs w:val="24"/>
        </w:rPr>
        <w:t>1.</w:t>
      </w:r>
      <w:r>
        <w:rPr>
          <w:rFonts w:ascii="仿宋" w:hAnsi="仿宋" w:eastAsia="仿宋" w:cs="仿宋"/>
          <w:color w:val="auto"/>
          <w:sz w:val="24"/>
        </w:rPr>
        <w:t>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采购监督管理部门投诉。质疑函范本、投诉书范本请到浙江政府采购网下载专区下载。</w:t>
      </w:r>
    </w:p>
    <w:p>
      <w:pPr>
        <w:pStyle w:val="43"/>
        <w:keepNext w:val="0"/>
        <w:keepLines w:val="0"/>
        <w:pageBreakBefore w:val="0"/>
        <w:widowControl w:val="0"/>
        <w:kinsoku/>
        <w:wordWrap/>
        <w:overflowPunct/>
        <w:topLinePunct w:val="0"/>
        <w:autoSpaceDE/>
        <w:autoSpaceDN/>
        <w:bidi w:val="0"/>
        <w:adjustRightInd w:val="0"/>
        <w:snapToGrid w:val="0"/>
        <w:spacing w:line="360" w:lineRule="auto"/>
        <w:ind w:firstLine="482" w:firstLineChars="201"/>
        <w:textAlignment w:val="auto"/>
        <w:rPr>
          <w:rFonts w:hint="eastAsia" w:ascii="仿宋" w:hAnsi="仿宋" w:eastAsia="仿宋" w:cs="仿宋"/>
          <w:b/>
          <w:bCs/>
          <w:color w:val="auto"/>
          <w:spacing w:val="6"/>
          <w:sz w:val="24"/>
          <w:szCs w:val="24"/>
          <w:lang w:eastAsia="zh-CN"/>
        </w:rPr>
      </w:pPr>
      <w:r>
        <w:rPr>
          <w:rFonts w:hint="eastAsia" w:ascii="仿宋" w:hAnsi="仿宋" w:eastAsia="仿宋" w:cs="仿宋"/>
          <w:color w:val="auto"/>
          <w:sz w:val="24"/>
          <w:lang w:val="en-US" w:eastAsia="zh-CN"/>
        </w:rPr>
        <w:t>2</w:t>
      </w:r>
      <w:r>
        <w:rPr>
          <w:rFonts w:ascii="仿宋" w:hAnsi="仿宋" w:eastAsia="仿宋" w:cs="仿宋"/>
          <w:color w:val="auto"/>
          <w:sz w:val="24"/>
        </w:rPr>
        <w:t>.其他事项：</w:t>
      </w:r>
      <w:r>
        <w:rPr>
          <w:rFonts w:hint="eastAsia" w:ascii="仿宋" w:hAnsi="仿宋" w:eastAsia="仿宋" w:cs="仿宋"/>
          <w:color w:val="auto"/>
          <w:sz w:val="24"/>
        </w:rPr>
        <w:t>（</w:t>
      </w:r>
      <w:r>
        <w:rPr>
          <w:rFonts w:ascii="仿宋" w:hAnsi="仿宋" w:eastAsia="仿宋" w:cs="仿宋"/>
          <w:color w:val="auto"/>
          <w:sz w:val="24"/>
        </w:rPr>
        <w:t>1）需要落实的采购政策：包括节约资源、保护环境、支持创新、促进中小企业发展等。详见招标文件的第二部分总则。（2）电子招投标的说明：①电子招投标：本项目以数据电文形式，依托“乐采云平台（www.lecaiyun.com</w:t>
      </w:r>
      <w:r>
        <w:rPr>
          <w:rFonts w:hint="eastAsia" w:ascii="仿宋" w:hAnsi="仿宋" w:eastAsia="仿宋" w:cs="仿宋"/>
          <w:color w:val="auto"/>
          <w:sz w:val="24"/>
        </w:rPr>
        <w:t>）”进行招投标活动，不接受纸质投标文件；②投标准备：注册账号</w:t>
      </w:r>
      <w:r>
        <w:rPr>
          <w:rFonts w:ascii="仿宋" w:hAnsi="仿宋" w:eastAsia="仿宋" w:cs="仿宋"/>
          <w:color w:val="auto"/>
          <w:sz w:val="24"/>
        </w:rPr>
        <w:t>--</w:t>
      </w:r>
      <w:r>
        <w:rPr>
          <w:rFonts w:hint="eastAsia" w:ascii="仿宋" w:hAnsi="仿宋" w:eastAsia="仿宋" w:cs="仿宋"/>
          <w:color w:val="auto"/>
          <w:sz w:val="24"/>
        </w:rPr>
        <w:t>点击“商家入驻”，进行采购供应商资料填写；申领</w:t>
      </w:r>
      <w:r>
        <w:rPr>
          <w:rFonts w:ascii="仿宋" w:hAnsi="仿宋" w:eastAsia="仿宋" w:cs="仿宋"/>
          <w:color w:val="auto"/>
          <w:sz w:val="24"/>
        </w:rPr>
        <w:t>CA数字证书---申领流程详见“浙江政府采购网-下载专区-电子交易客户端-CA驱动和申领流程”；安装“</w:t>
      </w:r>
      <w:r>
        <w:rPr>
          <w:rFonts w:hint="eastAsia" w:ascii="仿宋" w:hAnsi="仿宋" w:eastAsia="仿宋" w:cs="仿宋"/>
          <w:color w:val="auto"/>
          <w:sz w:val="24"/>
        </w:rPr>
        <w:t>乐采云电子交易客户端”</w:t>
      </w:r>
      <w:r>
        <w:rPr>
          <w:rFonts w:ascii="仿宋" w:hAnsi="仿宋" w:eastAsia="仿宋" w:cs="仿宋"/>
          <w:color w:val="auto"/>
          <w:sz w:val="24"/>
        </w:rPr>
        <w:t>----</w:t>
      </w:r>
      <w:r>
        <w:rPr>
          <w:rFonts w:hint="eastAsia" w:ascii="仿宋" w:hAnsi="仿宋" w:eastAsia="仿宋" w:cs="仿宋"/>
          <w:color w:val="auto"/>
          <w:sz w:val="24"/>
        </w:rPr>
        <w:t>前往“浙江政府采购网</w:t>
      </w:r>
      <w:r>
        <w:rPr>
          <w:rFonts w:ascii="仿宋" w:hAnsi="仿宋" w:eastAsia="仿宋" w:cs="仿宋"/>
          <w:color w:val="auto"/>
          <w:sz w:val="24"/>
        </w:rPr>
        <w:t>-下载专区-电子交易客户端”进行下载并安装；③招标文件的获取：使用账号登录或者使用CA登录</w:t>
      </w:r>
      <w:r>
        <w:rPr>
          <w:rFonts w:hint="eastAsia" w:ascii="仿宋" w:hAnsi="仿宋" w:eastAsia="仿宋" w:cs="仿宋"/>
          <w:color w:val="auto"/>
          <w:sz w:val="24"/>
        </w:rPr>
        <w:t>乐采云平台；进入“项目采购”应用，在获取采购文件菜单中选择项目，获取招标文件；④投标文件的制作：在“乐采云电子交易客户端”中完成“填写基本信息”、“导入投标文件”、“标书关联”、“标书检查”、“电子签名”、“生成电子标书”等操作；⑤采购人、采购代理机构将依托乐采云平台完成本项目的电子交易活动，平台不接受未按上述方式获取招标文件的供应商进行投标活动；⑥对未按上述方式获取招标文件的供应商对该文件提出的质疑，采购人或采购代理机构将不予处理；⑦不提供招标文件纸质版；⑧投标文件的传输递交：投标人在投标截止时间前将加密的投标文件上传至乐采云平台；⑨投标文件的解密：</w:t>
      </w:r>
      <w:r>
        <w:rPr>
          <w:rFonts w:hint="eastAsia" w:ascii="仿宋" w:hAnsi="仿宋" w:eastAsia="仿宋" w:cs="仿宋_GB2312"/>
          <w:color w:val="auto"/>
          <w:sz w:val="24"/>
        </w:rPr>
        <w:t>投标人按照平台提示和招标文件的规定在半小时内完成在线解密。通过“乐采云平台”上传递交的投标文件无法按时解密</w:t>
      </w:r>
      <w:r>
        <w:rPr>
          <w:rFonts w:hint="eastAsia" w:ascii="仿宋" w:hAnsi="仿宋" w:eastAsia="仿宋" w:cs="仿宋_GB2312"/>
          <w:b/>
          <w:color w:val="auto"/>
          <w:sz w:val="24"/>
        </w:rPr>
        <w:t>（投标人应特别注意CA锁有效性，CA锁延期、补办后，虽硬件介质不变，但锁的证书Key号发生改变，视为不同锁，会导致开标时无法解密投标文件）</w:t>
      </w:r>
      <w:r>
        <w:rPr>
          <w:rFonts w:hint="eastAsia" w:ascii="仿宋" w:hAnsi="仿宋" w:eastAsia="仿宋" w:cs="仿宋_GB2312"/>
          <w:color w:val="auto"/>
          <w:sz w:val="24"/>
        </w:rPr>
        <w:t>，视为投标文件撤回；</w:t>
      </w:r>
      <w:r>
        <w:rPr>
          <w:rFonts w:hint="eastAsia" w:ascii="仿宋" w:hAnsi="仿宋" w:eastAsia="仿宋" w:cs="仿宋"/>
          <w:color w:val="auto"/>
          <w:sz w:val="24"/>
        </w:rPr>
        <w:t>⑩具体操作指南：详见乐采云平台“服务中心</w:t>
      </w:r>
      <w:r>
        <w:rPr>
          <w:rFonts w:ascii="仿宋" w:hAnsi="仿宋" w:eastAsia="仿宋" w:cs="仿宋"/>
          <w:color w:val="auto"/>
          <w:sz w:val="24"/>
        </w:rPr>
        <w:t>-帮助文档-项目采购-操作流程-电子招投标-政府采购项目电子交易管理操作指南-供应商”。（3）招标文件公告期限与招标公告的公告期限一致</w:t>
      </w:r>
      <w:r>
        <w:rPr>
          <w:rFonts w:hint="eastAsia" w:ascii="仿宋" w:hAnsi="仿宋" w:eastAsia="仿宋" w:cs="仿宋"/>
          <w:color w:val="auto"/>
          <w:spacing w:val="6"/>
          <w:sz w:val="24"/>
          <w:szCs w:val="24"/>
        </w:rPr>
        <w:t>。</w:t>
      </w:r>
    </w:p>
    <w:p>
      <w:pPr>
        <w:keepNext w:val="0"/>
        <w:keepLines w:val="0"/>
        <w:pageBreakBefore w:val="0"/>
        <w:kinsoku/>
        <w:wordWrap/>
        <w:overflowPunct/>
        <w:topLinePunct w:val="0"/>
        <w:bidi w:val="0"/>
        <w:spacing w:line="360" w:lineRule="auto"/>
        <w:textAlignment w:val="auto"/>
        <w:rPr>
          <w:rFonts w:hint="eastAsia" w:ascii="仿宋" w:hAnsi="仿宋" w:eastAsia="仿宋" w:cs="仿宋"/>
          <w:b/>
          <w:bCs/>
          <w:color w:val="auto"/>
          <w:spacing w:val="6"/>
          <w:sz w:val="24"/>
          <w:szCs w:val="24"/>
        </w:rPr>
      </w:pPr>
      <w:r>
        <w:rPr>
          <w:rFonts w:hint="eastAsia" w:ascii="仿宋" w:hAnsi="仿宋" w:eastAsia="仿宋" w:cs="仿宋"/>
          <w:b/>
          <w:bCs/>
          <w:color w:val="auto"/>
          <w:spacing w:val="6"/>
          <w:sz w:val="24"/>
          <w:szCs w:val="24"/>
          <w:lang w:val="en-US" w:eastAsia="zh-CN"/>
        </w:rPr>
        <w:t>七</w:t>
      </w:r>
      <w:r>
        <w:rPr>
          <w:rFonts w:hint="eastAsia" w:ascii="仿宋" w:hAnsi="仿宋" w:eastAsia="仿宋" w:cs="仿宋"/>
          <w:b/>
          <w:bCs/>
          <w:color w:val="auto"/>
          <w:spacing w:val="6"/>
          <w:sz w:val="24"/>
          <w:szCs w:val="24"/>
        </w:rPr>
        <w:t>、对本次采购提出询问，请按以下方式联系</w:t>
      </w:r>
      <w:bookmarkEnd w:id="43"/>
      <w:bookmarkEnd w:id="44"/>
      <w:bookmarkEnd w:id="45"/>
      <w:bookmarkEnd w:id="46"/>
    </w:p>
    <w:p>
      <w:pPr>
        <w:keepNext w:val="0"/>
        <w:keepLines w:val="0"/>
        <w:pageBreakBefore w:val="0"/>
        <w:widowControl/>
        <w:kinsoku/>
        <w:wordWrap/>
        <w:overflowPunct/>
        <w:topLinePunct w:val="0"/>
        <w:bidi w:val="0"/>
        <w:spacing w:line="360" w:lineRule="auto"/>
        <w:ind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1.采购人信息</w:t>
      </w:r>
    </w:p>
    <w:p>
      <w:pPr>
        <w:keepNext w:val="0"/>
        <w:keepLines w:val="0"/>
        <w:pageBreakBefore w:val="0"/>
        <w:kinsoku/>
        <w:wordWrap/>
        <w:overflowPunct/>
        <w:topLinePunct w:val="0"/>
        <w:bidi w:val="0"/>
        <w:spacing w:line="360" w:lineRule="auto"/>
        <w:ind w:firstLine="480" w:firstLineChars="200"/>
        <w:jc w:val="left"/>
        <w:textAlignment w:val="auto"/>
        <w:rPr>
          <w:rFonts w:hint="eastAsia" w:ascii="仿宋" w:hAnsi="仿宋" w:eastAsia="仿宋" w:cs="仿宋"/>
          <w:color w:val="auto"/>
          <w:sz w:val="24"/>
          <w:szCs w:val="24"/>
          <w:u w:val="none"/>
          <w:lang w:eastAsia="zh-CN"/>
        </w:rPr>
      </w:pPr>
      <w:r>
        <w:rPr>
          <w:rFonts w:hint="eastAsia" w:ascii="仿宋" w:hAnsi="仿宋" w:eastAsia="仿宋" w:cs="仿宋"/>
          <w:color w:val="auto"/>
          <w:sz w:val="24"/>
          <w:szCs w:val="24"/>
          <w:u w:val="none"/>
        </w:rPr>
        <w:t>名 称：</w:t>
      </w:r>
      <w:r>
        <w:rPr>
          <w:rFonts w:hint="eastAsia" w:ascii="仿宋" w:hAnsi="仿宋" w:eastAsia="仿宋" w:cs="仿宋"/>
          <w:color w:val="auto"/>
          <w:sz w:val="24"/>
          <w:szCs w:val="24"/>
          <w:u w:val="none"/>
          <w:lang w:eastAsia="zh-CN"/>
        </w:rPr>
        <w:t>嵊州市城市建设投资发展集团有限公司</w:t>
      </w:r>
    </w:p>
    <w:p>
      <w:pPr>
        <w:keepNext w:val="0"/>
        <w:keepLines w:val="0"/>
        <w:pageBreakBefore w:val="0"/>
        <w:kinsoku/>
        <w:wordWrap/>
        <w:overflowPunct/>
        <w:topLinePunct w:val="0"/>
        <w:bidi w:val="0"/>
        <w:spacing w:line="360" w:lineRule="auto"/>
        <w:ind w:firstLine="480" w:firstLineChars="200"/>
        <w:jc w:val="left"/>
        <w:textAlignment w:val="auto"/>
        <w:rPr>
          <w:rFonts w:hint="eastAsia" w:ascii="仿宋" w:hAnsi="仿宋" w:eastAsia="仿宋" w:cs="仿宋"/>
          <w:color w:val="auto"/>
          <w:sz w:val="24"/>
          <w:szCs w:val="24"/>
          <w:u w:val="none"/>
          <w:lang w:val="en-US" w:eastAsia="zh-CN"/>
        </w:rPr>
      </w:pPr>
      <w:r>
        <w:rPr>
          <w:rFonts w:hint="eastAsia" w:ascii="仿宋" w:hAnsi="仿宋" w:eastAsia="仿宋" w:cs="仿宋"/>
          <w:color w:val="auto"/>
          <w:sz w:val="24"/>
          <w:szCs w:val="24"/>
          <w:u w:val="none"/>
          <w:lang w:val="en-US" w:eastAsia="zh-CN"/>
        </w:rPr>
        <w:t>2.实施单位</w:t>
      </w:r>
    </w:p>
    <w:p>
      <w:pPr>
        <w:keepNext w:val="0"/>
        <w:keepLines w:val="0"/>
        <w:pageBreakBefore w:val="0"/>
        <w:kinsoku/>
        <w:wordWrap/>
        <w:overflowPunct/>
        <w:topLinePunct w:val="0"/>
        <w:bidi w:val="0"/>
        <w:spacing w:line="360" w:lineRule="auto"/>
        <w:ind w:firstLine="480" w:firstLineChars="200"/>
        <w:jc w:val="left"/>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lang w:val="en-US" w:eastAsia="zh-CN"/>
        </w:rPr>
        <w:t>名称：</w:t>
      </w:r>
      <w:r>
        <w:rPr>
          <w:rFonts w:hint="eastAsia" w:ascii="仿宋" w:hAnsi="仿宋" w:eastAsia="仿宋" w:cs="仿宋"/>
          <w:color w:val="auto"/>
          <w:sz w:val="24"/>
          <w:szCs w:val="24"/>
          <w:u w:val="none"/>
          <w:lang w:eastAsia="zh-CN"/>
        </w:rPr>
        <w:t>嵊州市鹿山街道办事处</w:t>
      </w:r>
      <w:r>
        <w:rPr>
          <w:rFonts w:hint="eastAsia" w:ascii="仿宋" w:hAnsi="仿宋" w:eastAsia="仿宋" w:cs="仿宋"/>
          <w:color w:val="auto"/>
          <w:sz w:val="24"/>
          <w:szCs w:val="24"/>
          <w:u w:val="none"/>
        </w:rPr>
        <w:t xml:space="preserve">       　</w:t>
      </w:r>
    </w:p>
    <w:p>
      <w:pPr>
        <w:keepNext w:val="0"/>
        <w:keepLines w:val="0"/>
        <w:pageBreakBefore w:val="0"/>
        <w:kinsoku/>
        <w:wordWrap/>
        <w:overflowPunct/>
        <w:topLinePunct w:val="0"/>
        <w:bidi w:val="0"/>
        <w:spacing w:line="360" w:lineRule="auto"/>
        <w:ind w:firstLine="480" w:firstLineChars="200"/>
        <w:jc w:val="left"/>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 xml:space="preserve">地址：嵊州市富豪路202号    </w:t>
      </w:r>
    </w:p>
    <w:p>
      <w:pPr>
        <w:keepNext w:val="0"/>
        <w:keepLines w:val="0"/>
        <w:pageBreakBefore w:val="0"/>
        <w:kinsoku/>
        <w:wordWrap/>
        <w:overflowPunct/>
        <w:topLinePunct w:val="0"/>
        <w:bidi w:val="0"/>
        <w:spacing w:line="360" w:lineRule="auto"/>
        <w:ind w:firstLine="480" w:firstLineChars="200"/>
        <w:jc w:val="left"/>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联系人：</w:t>
      </w:r>
      <w:r>
        <w:rPr>
          <w:rFonts w:hint="eastAsia" w:ascii="仿宋" w:hAnsi="仿宋" w:eastAsia="仿宋" w:cs="仿宋"/>
          <w:color w:val="auto"/>
          <w:sz w:val="24"/>
          <w:szCs w:val="24"/>
          <w:u w:val="none"/>
          <w:lang w:val="en-US" w:eastAsia="zh-CN"/>
        </w:rPr>
        <w:t>陈先生</w:t>
      </w:r>
      <w:r>
        <w:rPr>
          <w:rFonts w:hint="eastAsia" w:ascii="仿宋" w:hAnsi="仿宋" w:eastAsia="仿宋" w:cs="仿宋"/>
          <w:color w:val="auto"/>
          <w:sz w:val="24"/>
          <w:szCs w:val="24"/>
          <w:u w:val="none"/>
        </w:rPr>
        <w:t>　 　</w:t>
      </w:r>
      <w:r>
        <w:rPr>
          <w:rFonts w:hint="eastAsia" w:ascii="仿宋" w:hAnsi="仿宋" w:eastAsia="仿宋" w:cs="仿宋"/>
          <w:color w:val="auto"/>
          <w:sz w:val="24"/>
          <w:szCs w:val="24"/>
          <w:u w:val="none"/>
          <w:lang w:val="en-US" w:eastAsia="zh-CN"/>
        </w:rPr>
        <w:t xml:space="preserve"> </w:t>
      </w:r>
      <w:r>
        <w:rPr>
          <w:rFonts w:hint="eastAsia" w:ascii="仿宋" w:hAnsi="仿宋" w:eastAsia="仿宋" w:cs="仿宋"/>
          <w:color w:val="auto"/>
          <w:sz w:val="24"/>
          <w:szCs w:val="24"/>
          <w:u w:val="none"/>
        </w:rPr>
        <w:t>　</w:t>
      </w:r>
      <w:r>
        <w:rPr>
          <w:rFonts w:hint="eastAsia" w:ascii="仿宋" w:hAnsi="仿宋" w:eastAsia="仿宋" w:cs="仿宋"/>
          <w:color w:val="auto"/>
          <w:sz w:val="24"/>
          <w:szCs w:val="24"/>
          <w:u w:val="none"/>
          <w:lang w:val="en-US" w:eastAsia="zh-CN"/>
        </w:rPr>
        <w:t xml:space="preserve">     </w:t>
      </w:r>
      <w:r>
        <w:rPr>
          <w:rFonts w:hint="eastAsia" w:ascii="仿宋" w:hAnsi="仿宋" w:eastAsia="仿宋" w:cs="仿宋"/>
          <w:color w:val="auto"/>
          <w:sz w:val="24"/>
          <w:szCs w:val="24"/>
          <w:u w:val="none"/>
        </w:rPr>
        <w:t xml:space="preserve">   　　  </w:t>
      </w:r>
    </w:p>
    <w:p>
      <w:pPr>
        <w:keepNext w:val="0"/>
        <w:keepLines w:val="0"/>
        <w:pageBreakBefore w:val="0"/>
        <w:kinsoku/>
        <w:wordWrap/>
        <w:overflowPunct/>
        <w:topLinePunct w:val="0"/>
        <w:bidi w:val="0"/>
        <w:spacing w:line="360" w:lineRule="auto"/>
        <w:ind w:firstLine="480" w:firstLineChars="200"/>
        <w:jc w:val="left"/>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lang w:val="en-US" w:eastAsia="zh-CN"/>
        </w:rPr>
        <w:t xml:space="preserve">联系方式：0575-83111111           </w:t>
      </w:r>
      <w:r>
        <w:rPr>
          <w:rFonts w:hint="eastAsia" w:ascii="仿宋" w:hAnsi="仿宋" w:eastAsia="仿宋" w:cs="仿宋"/>
          <w:color w:val="auto"/>
          <w:sz w:val="24"/>
          <w:szCs w:val="24"/>
          <w:u w:val="none"/>
        </w:rPr>
        <w:t xml:space="preserve">    </w:t>
      </w:r>
    </w:p>
    <w:p>
      <w:pPr>
        <w:keepNext w:val="0"/>
        <w:keepLines w:val="0"/>
        <w:pageBreakBefore w:val="0"/>
        <w:kinsoku/>
        <w:wordWrap/>
        <w:overflowPunct/>
        <w:topLinePunct w:val="0"/>
        <w:bidi w:val="0"/>
        <w:spacing w:line="360" w:lineRule="auto"/>
        <w:ind w:firstLine="480" w:firstLineChars="200"/>
        <w:jc w:val="left"/>
        <w:textAlignment w:val="auto"/>
        <w:rPr>
          <w:rFonts w:hint="eastAsia" w:ascii="仿宋" w:hAnsi="仿宋" w:eastAsia="仿宋" w:cs="仿宋"/>
          <w:color w:val="auto"/>
          <w:sz w:val="24"/>
          <w:szCs w:val="24"/>
          <w:u w:val="none"/>
        </w:rPr>
      </w:pPr>
      <w:bookmarkStart w:id="47" w:name="_Toc28359086"/>
      <w:bookmarkStart w:id="48" w:name="_Toc28359009"/>
      <w:r>
        <w:rPr>
          <w:rFonts w:hint="eastAsia" w:ascii="仿宋" w:hAnsi="仿宋" w:eastAsia="仿宋" w:cs="仿宋"/>
          <w:color w:val="auto"/>
          <w:sz w:val="24"/>
          <w:szCs w:val="24"/>
          <w:u w:val="none"/>
          <w:lang w:val="en-US" w:eastAsia="zh-CN"/>
        </w:rPr>
        <w:t>3</w:t>
      </w:r>
      <w:r>
        <w:rPr>
          <w:rFonts w:hint="eastAsia" w:ascii="仿宋" w:hAnsi="仿宋" w:eastAsia="仿宋" w:cs="仿宋"/>
          <w:color w:val="auto"/>
          <w:sz w:val="24"/>
          <w:szCs w:val="24"/>
          <w:u w:val="none"/>
        </w:rPr>
        <w:t>.采购代理机构信息</w:t>
      </w:r>
      <w:bookmarkEnd w:id="47"/>
      <w:bookmarkEnd w:id="48"/>
    </w:p>
    <w:p>
      <w:pPr>
        <w:keepNext w:val="0"/>
        <w:keepLines w:val="0"/>
        <w:pageBreakBefore w:val="0"/>
        <w:kinsoku/>
        <w:wordWrap/>
        <w:overflowPunct/>
        <w:topLinePunct w:val="0"/>
        <w:bidi w:val="0"/>
        <w:spacing w:line="360" w:lineRule="auto"/>
        <w:ind w:firstLine="480" w:firstLineChars="200"/>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名 称：</w:t>
      </w:r>
      <w:r>
        <w:rPr>
          <w:rFonts w:hint="eastAsia" w:ascii="仿宋" w:hAnsi="仿宋" w:eastAsia="仿宋" w:cs="仿宋"/>
          <w:color w:val="auto"/>
          <w:sz w:val="24"/>
          <w:szCs w:val="24"/>
          <w:u w:val="none"/>
          <w:lang w:eastAsia="zh-CN"/>
        </w:rPr>
        <w:t>浙江中林工程管理有限公司</w:t>
      </w:r>
      <w:r>
        <w:rPr>
          <w:rFonts w:hint="eastAsia" w:ascii="仿宋" w:hAnsi="仿宋" w:eastAsia="仿宋" w:cs="仿宋"/>
          <w:color w:val="auto"/>
          <w:sz w:val="24"/>
          <w:szCs w:val="24"/>
          <w:u w:val="none"/>
        </w:rPr>
        <w:t xml:space="preserve">      </w:t>
      </w:r>
    </w:p>
    <w:p>
      <w:pPr>
        <w:keepNext w:val="0"/>
        <w:keepLines w:val="0"/>
        <w:pageBreakBefore w:val="0"/>
        <w:kinsoku/>
        <w:wordWrap/>
        <w:overflowPunct/>
        <w:topLinePunct w:val="0"/>
        <w:bidi w:val="0"/>
        <w:spacing w:line="360" w:lineRule="auto"/>
        <w:ind w:firstLine="480" w:firstLineChars="200"/>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地　址：嵊州市官河南路339号量子芯座11楼110</w:t>
      </w:r>
      <w:r>
        <w:rPr>
          <w:rFonts w:hint="eastAsia" w:ascii="仿宋" w:hAnsi="仿宋" w:eastAsia="仿宋" w:cs="仿宋"/>
          <w:color w:val="auto"/>
          <w:sz w:val="24"/>
          <w:szCs w:val="24"/>
          <w:u w:val="none"/>
          <w:lang w:val="en-US" w:eastAsia="zh-CN"/>
        </w:rPr>
        <w:t>6</w:t>
      </w:r>
      <w:r>
        <w:rPr>
          <w:rFonts w:hint="eastAsia" w:ascii="仿宋" w:hAnsi="仿宋" w:eastAsia="仿宋" w:cs="仿宋"/>
          <w:color w:val="auto"/>
          <w:sz w:val="24"/>
          <w:szCs w:val="24"/>
          <w:u w:val="none"/>
        </w:rPr>
        <w:t>室</w:t>
      </w:r>
    </w:p>
    <w:p>
      <w:pPr>
        <w:keepNext w:val="0"/>
        <w:keepLines w:val="0"/>
        <w:pageBreakBefore w:val="0"/>
        <w:kinsoku/>
        <w:wordWrap/>
        <w:overflowPunct/>
        <w:topLinePunct w:val="0"/>
        <w:bidi w:val="0"/>
        <w:spacing w:line="360" w:lineRule="auto"/>
        <w:ind w:firstLine="480" w:firstLineChars="200"/>
        <w:jc w:val="left"/>
        <w:textAlignment w:val="auto"/>
        <w:rPr>
          <w:rFonts w:hint="default" w:ascii="仿宋" w:hAnsi="仿宋" w:eastAsia="仿宋" w:cs="仿宋"/>
          <w:color w:val="auto"/>
          <w:sz w:val="24"/>
          <w:szCs w:val="24"/>
          <w:u w:val="none"/>
          <w:lang w:val="en-US" w:eastAsia="zh-CN"/>
        </w:rPr>
      </w:pPr>
      <w:r>
        <w:rPr>
          <w:rFonts w:hint="eastAsia" w:ascii="仿宋" w:hAnsi="仿宋" w:eastAsia="仿宋" w:cs="仿宋"/>
          <w:color w:val="auto"/>
          <w:sz w:val="24"/>
          <w:szCs w:val="24"/>
          <w:u w:val="none"/>
          <w:lang w:val="en-US" w:eastAsia="zh-CN"/>
        </w:rPr>
        <w:t>项目联系人（询问）：喻女士</w:t>
      </w:r>
    </w:p>
    <w:p>
      <w:pPr>
        <w:keepNext w:val="0"/>
        <w:keepLines w:val="0"/>
        <w:pageBreakBefore w:val="0"/>
        <w:kinsoku/>
        <w:wordWrap/>
        <w:overflowPunct/>
        <w:topLinePunct w:val="0"/>
        <w:bidi w:val="0"/>
        <w:spacing w:line="360" w:lineRule="auto"/>
        <w:ind w:firstLine="480" w:firstLineChars="200"/>
        <w:jc w:val="left"/>
        <w:textAlignment w:val="auto"/>
        <w:rPr>
          <w:rFonts w:hint="default" w:ascii="仿宋" w:hAnsi="仿宋" w:eastAsia="仿宋" w:cs="仿宋"/>
          <w:color w:val="auto"/>
          <w:sz w:val="24"/>
          <w:szCs w:val="24"/>
          <w:u w:val="none"/>
          <w:lang w:val="en-US" w:eastAsia="zh-CN"/>
        </w:rPr>
      </w:pPr>
      <w:r>
        <w:rPr>
          <w:rFonts w:hint="eastAsia" w:ascii="仿宋" w:hAnsi="仿宋" w:eastAsia="仿宋" w:cs="仿宋"/>
          <w:color w:val="auto"/>
          <w:sz w:val="24"/>
          <w:szCs w:val="24"/>
          <w:u w:val="none"/>
          <w:lang w:val="en-US" w:eastAsia="zh-CN"/>
        </w:rPr>
        <w:t>项目联系方式（询问）：0575-83275560</w:t>
      </w:r>
    </w:p>
    <w:p>
      <w:pPr>
        <w:keepNext w:val="0"/>
        <w:keepLines w:val="0"/>
        <w:pageBreakBefore w:val="0"/>
        <w:kinsoku/>
        <w:wordWrap/>
        <w:overflowPunct/>
        <w:topLinePunct w:val="0"/>
        <w:bidi w:val="0"/>
        <w:spacing w:line="360" w:lineRule="auto"/>
        <w:ind w:firstLine="480" w:firstLineChars="200"/>
        <w:jc w:val="left"/>
        <w:textAlignment w:val="auto"/>
        <w:rPr>
          <w:rFonts w:hint="eastAsia" w:ascii="仿宋" w:hAnsi="仿宋" w:eastAsia="仿宋" w:cs="仿宋"/>
          <w:color w:val="auto"/>
          <w:sz w:val="24"/>
          <w:szCs w:val="24"/>
          <w:u w:val="none"/>
          <w:lang w:val="en-US" w:eastAsia="zh-CN"/>
        </w:rPr>
      </w:pPr>
      <w:r>
        <w:rPr>
          <w:rFonts w:hint="eastAsia" w:ascii="仿宋" w:hAnsi="仿宋" w:eastAsia="仿宋" w:cs="仿宋"/>
          <w:color w:val="auto"/>
          <w:sz w:val="24"/>
          <w:szCs w:val="24"/>
          <w:u w:val="none"/>
          <w:lang w:val="en-US" w:eastAsia="zh-CN"/>
        </w:rPr>
        <w:t>质疑联系人：裘先生</w:t>
      </w:r>
    </w:p>
    <w:p>
      <w:pPr>
        <w:keepNext w:val="0"/>
        <w:keepLines w:val="0"/>
        <w:pageBreakBefore w:val="0"/>
        <w:kinsoku/>
        <w:wordWrap/>
        <w:overflowPunct/>
        <w:topLinePunct w:val="0"/>
        <w:bidi w:val="0"/>
        <w:spacing w:line="360" w:lineRule="auto"/>
        <w:ind w:firstLine="480" w:firstLineChars="200"/>
        <w:jc w:val="left"/>
        <w:textAlignment w:val="auto"/>
        <w:rPr>
          <w:rFonts w:hint="default" w:ascii="仿宋" w:hAnsi="仿宋" w:eastAsia="仿宋" w:cs="仿宋"/>
          <w:color w:val="auto"/>
          <w:sz w:val="24"/>
          <w:szCs w:val="24"/>
          <w:u w:val="none"/>
          <w:lang w:val="en-US" w:eastAsia="zh-CN"/>
        </w:rPr>
      </w:pPr>
      <w:r>
        <w:rPr>
          <w:rFonts w:hint="eastAsia" w:ascii="仿宋" w:hAnsi="仿宋" w:eastAsia="仿宋" w:cs="仿宋"/>
          <w:color w:val="auto"/>
          <w:sz w:val="24"/>
          <w:szCs w:val="24"/>
          <w:u w:val="none"/>
          <w:lang w:val="en-US" w:eastAsia="zh-CN"/>
        </w:rPr>
        <w:t>质疑联系方式：0575-83275561</w:t>
      </w:r>
    </w:p>
    <w:p>
      <w:pPr>
        <w:keepNext w:val="0"/>
        <w:keepLines w:val="0"/>
        <w:pageBreakBefore w:val="0"/>
        <w:kinsoku/>
        <w:wordWrap/>
        <w:overflowPunct/>
        <w:topLinePunct w:val="0"/>
        <w:bidi w:val="0"/>
        <w:spacing w:line="360" w:lineRule="auto"/>
        <w:ind w:firstLine="480" w:firstLineChars="200"/>
        <w:jc w:val="left"/>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　　</w:t>
      </w:r>
    </w:p>
    <w:p>
      <w:pPr>
        <w:keepNext w:val="0"/>
        <w:keepLines w:val="0"/>
        <w:pageBreakBefore w:val="0"/>
        <w:kinsoku/>
        <w:wordWrap/>
        <w:overflowPunct/>
        <w:topLinePunct w:val="0"/>
        <w:bidi w:val="0"/>
        <w:spacing w:line="360" w:lineRule="auto"/>
        <w:ind w:firstLine="482" w:firstLineChars="200"/>
        <w:jc w:val="left"/>
        <w:textAlignment w:val="auto"/>
        <w:rPr>
          <w:rFonts w:hint="eastAsia" w:ascii="仿宋" w:hAnsi="仿宋" w:eastAsia="仿宋" w:cs="仿宋"/>
          <w:b/>
          <w:bCs/>
          <w:color w:val="auto"/>
          <w:sz w:val="24"/>
          <w:szCs w:val="24"/>
          <w:u w:val="none"/>
        </w:rPr>
      </w:pPr>
      <w:r>
        <w:rPr>
          <w:rFonts w:hint="eastAsia" w:ascii="仿宋" w:hAnsi="仿宋" w:eastAsia="仿宋" w:cs="仿宋"/>
          <w:b/>
          <w:bCs/>
          <w:color w:val="auto"/>
          <w:sz w:val="24"/>
          <w:szCs w:val="24"/>
          <w:u w:val="none"/>
        </w:rPr>
        <w:t>若对项目采购电子交易系统操作有疑问，可登录</w:t>
      </w:r>
      <w:r>
        <w:rPr>
          <w:rFonts w:hint="eastAsia" w:ascii="仿宋" w:hAnsi="仿宋" w:eastAsia="仿宋" w:cs="仿宋"/>
          <w:b/>
          <w:bCs/>
          <w:color w:val="auto"/>
          <w:sz w:val="24"/>
          <w:szCs w:val="24"/>
          <w:u w:val="none"/>
          <w:lang w:eastAsia="zh-CN"/>
        </w:rPr>
        <w:t>乐采云</w:t>
      </w:r>
      <w:r>
        <w:rPr>
          <w:rFonts w:hint="eastAsia" w:ascii="仿宋" w:hAnsi="仿宋" w:eastAsia="仿宋" w:cs="仿宋"/>
          <w:b/>
          <w:bCs/>
          <w:color w:val="auto"/>
          <w:sz w:val="24"/>
          <w:szCs w:val="24"/>
          <w:u w:val="none"/>
        </w:rPr>
        <w:t>（https://www.lecaiyun.com/），点击右侧咨询小采，获取采小蜜智能服务管家帮助，或拨打</w:t>
      </w:r>
      <w:r>
        <w:rPr>
          <w:rFonts w:hint="eastAsia" w:ascii="仿宋" w:hAnsi="仿宋" w:eastAsia="仿宋" w:cs="仿宋"/>
          <w:b/>
          <w:bCs/>
          <w:color w:val="auto"/>
          <w:sz w:val="24"/>
          <w:szCs w:val="24"/>
          <w:u w:val="none"/>
          <w:lang w:eastAsia="zh-CN"/>
        </w:rPr>
        <w:t>乐采云</w:t>
      </w:r>
      <w:r>
        <w:rPr>
          <w:rFonts w:hint="eastAsia" w:ascii="仿宋" w:hAnsi="仿宋" w:eastAsia="仿宋" w:cs="仿宋"/>
          <w:b/>
          <w:bCs/>
          <w:color w:val="auto"/>
          <w:sz w:val="24"/>
          <w:szCs w:val="24"/>
          <w:u w:val="none"/>
        </w:rPr>
        <w:t>服务热线</w:t>
      </w:r>
      <w:r>
        <w:rPr>
          <w:rFonts w:hint="eastAsia" w:ascii="仿宋" w:hAnsi="仿宋" w:eastAsia="仿宋" w:cs="仿宋"/>
          <w:b/>
          <w:bCs/>
          <w:color w:val="auto"/>
          <w:sz w:val="24"/>
          <w:szCs w:val="24"/>
          <w:u w:val="none"/>
          <w:lang w:val="en-US" w:eastAsia="zh-CN"/>
        </w:rPr>
        <w:t>95763</w:t>
      </w:r>
      <w:r>
        <w:rPr>
          <w:rFonts w:hint="eastAsia" w:ascii="仿宋" w:hAnsi="仿宋" w:eastAsia="仿宋" w:cs="仿宋"/>
          <w:b/>
          <w:bCs/>
          <w:color w:val="auto"/>
          <w:sz w:val="24"/>
          <w:szCs w:val="24"/>
          <w:u w:val="none"/>
        </w:rPr>
        <w:t>获取热线服务帮助。</w:t>
      </w:r>
    </w:p>
    <w:p>
      <w:pPr>
        <w:keepNext w:val="0"/>
        <w:keepLines w:val="0"/>
        <w:pageBreakBefore w:val="0"/>
        <w:kinsoku/>
        <w:wordWrap/>
        <w:overflowPunct/>
        <w:topLinePunct w:val="0"/>
        <w:bidi w:val="0"/>
        <w:spacing w:line="360" w:lineRule="auto"/>
        <w:ind w:firstLine="482" w:firstLineChars="200"/>
        <w:jc w:val="left"/>
        <w:textAlignment w:val="auto"/>
        <w:rPr>
          <w:rFonts w:hint="eastAsia" w:ascii="仿宋" w:hAnsi="仿宋" w:eastAsia="仿宋" w:cs="仿宋"/>
          <w:b/>
          <w:bCs/>
          <w:color w:val="auto"/>
          <w:sz w:val="24"/>
          <w:szCs w:val="24"/>
          <w:u w:val="none"/>
        </w:rPr>
      </w:pPr>
      <w:r>
        <w:rPr>
          <w:rFonts w:hint="eastAsia" w:ascii="仿宋" w:hAnsi="仿宋" w:eastAsia="仿宋" w:cs="仿宋"/>
          <w:b/>
          <w:bCs/>
          <w:color w:val="auto"/>
          <w:sz w:val="24"/>
          <w:szCs w:val="24"/>
          <w:u w:val="none"/>
        </w:rPr>
        <w:t>CA问题联系电话（人工）：汇信CA 400-888-4636；天谷CA 400-087-8198。</w:t>
      </w:r>
    </w:p>
    <w:p>
      <w:pPr>
        <w:pStyle w:val="4"/>
        <w:spacing w:line="700" w:lineRule="exact"/>
        <w:rPr>
          <w:rFonts w:hint="eastAsia" w:ascii="仿宋" w:hAnsi="仿宋" w:eastAsia="仿宋" w:cs="仿宋"/>
          <w:b/>
          <w:bCs/>
          <w:color w:val="auto"/>
          <w:sz w:val="36"/>
          <w:szCs w:val="36"/>
        </w:rPr>
      </w:pPr>
      <w:r>
        <w:rPr>
          <w:rFonts w:hint="eastAsia" w:ascii="仿宋" w:hAnsi="仿宋" w:eastAsia="仿宋" w:cs="仿宋"/>
          <w:b/>
          <w:bCs/>
          <w:color w:val="auto"/>
          <w:sz w:val="32"/>
          <w:szCs w:val="32"/>
        </w:rPr>
        <w:t>第二部分  投标须知</w:t>
      </w:r>
      <w:bookmarkEnd w:id="11"/>
      <w:bookmarkEnd w:id="12"/>
      <w:bookmarkEnd w:id="13"/>
      <w:bookmarkEnd w:id="14"/>
      <w:bookmarkEnd w:id="15"/>
      <w:bookmarkEnd w:id="16"/>
      <w:bookmarkEnd w:id="17"/>
      <w:bookmarkEnd w:id="18"/>
      <w:bookmarkEnd w:id="19"/>
    </w:p>
    <w:p>
      <w:pPr>
        <w:pStyle w:val="5"/>
        <w:spacing w:line="500" w:lineRule="exact"/>
        <w:ind w:left="357"/>
        <w:rPr>
          <w:rFonts w:hint="eastAsia" w:ascii="仿宋" w:hAnsi="仿宋" w:eastAsia="仿宋" w:cs="仿宋"/>
          <w:b/>
          <w:bCs w:val="0"/>
          <w:color w:val="auto"/>
          <w:sz w:val="24"/>
          <w:szCs w:val="24"/>
        </w:rPr>
      </w:pPr>
      <w:bookmarkStart w:id="49" w:name="_Toc340321909"/>
      <w:bookmarkStart w:id="50" w:name="_Toc513456140"/>
      <w:bookmarkStart w:id="51" w:name="_Toc248065036"/>
      <w:bookmarkStart w:id="52" w:name="_Toc339302125"/>
      <w:bookmarkStart w:id="53" w:name="_Toc226337758"/>
      <w:bookmarkStart w:id="54" w:name="_Toc340322164"/>
      <w:bookmarkStart w:id="55" w:name="_Toc54978889"/>
      <w:bookmarkStart w:id="56" w:name="_Toc180555917"/>
      <w:bookmarkStart w:id="57" w:name="_Toc19659"/>
      <w:bookmarkStart w:id="58" w:name="_Toc304551310"/>
      <w:bookmarkStart w:id="59" w:name="_Toc489481887"/>
      <w:r>
        <w:rPr>
          <w:rFonts w:hint="eastAsia" w:ascii="仿宋" w:hAnsi="仿宋" w:eastAsia="仿宋" w:cs="仿宋"/>
          <w:b w:val="0"/>
          <w:bCs/>
          <w:color w:val="auto"/>
          <w:sz w:val="24"/>
          <w:szCs w:val="24"/>
        </w:rPr>
        <w:t>一、</w:t>
      </w:r>
      <w:r>
        <w:rPr>
          <w:rFonts w:hint="eastAsia" w:ascii="仿宋" w:hAnsi="仿宋" w:eastAsia="仿宋" w:cs="仿宋"/>
          <w:b/>
          <w:bCs w:val="0"/>
          <w:color w:val="auto"/>
          <w:sz w:val="24"/>
          <w:szCs w:val="24"/>
        </w:rPr>
        <w:t>投标须知前附表</w:t>
      </w:r>
      <w:bookmarkEnd w:id="49"/>
      <w:bookmarkEnd w:id="50"/>
      <w:bookmarkEnd w:id="51"/>
      <w:bookmarkEnd w:id="52"/>
      <w:bookmarkEnd w:id="53"/>
      <w:bookmarkEnd w:id="54"/>
      <w:bookmarkEnd w:id="55"/>
      <w:bookmarkEnd w:id="56"/>
      <w:bookmarkEnd w:id="57"/>
      <w:bookmarkEnd w:id="58"/>
      <w:bookmarkEnd w:id="59"/>
    </w:p>
    <w:tbl>
      <w:tblPr>
        <w:tblStyle w:val="82"/>
        <w:tblW w:w="960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1"/>
        <w:gridCol w:w="1787"/>
        <w:gridCol w:w="70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1" w:hRule="exact"/>
          <w:jc w:val="center"/>
        </w:trPr>
        <w:tc>
          <w:tcPr>
            <w:tcW w:w="791" w:type="dxa"/>
            <w:noWrap w:val="0"/>
            <w:vAlign w:val="center"/>
          </w:tcPr>
          <w:p>
            <w:pPr>
              <w:keepNext w:val="0"/>
              <w:keepLines w:val="0"/>
              <w:suppressLineNumbers w:val="0"/>
              <w:autoSpaceDE w:val="0"/>
              <w:autoSpaceDN w:val="0"/>
              <w:snapToGrid w:val="0"/>
              <w:spacing w:before="0" w:beforeAutospacing="0" w:after="0" w:afterAutospacing="0" w:line="400" w:lineRule="exact"/>
              <w:ind w:left="0" w:right="0"/>
              <w:jc w:val="center"/>
              <w:textAlignment w:val="bottom"/>
              <w:rPr>
                <w:rFonts w:hint="eastAsia" w:ascii="仿宋" w:hAnsi="仿宋" w:eastAsia="仿宋" w:cs="仿宋"/>
                <w:color w:val="auto"/>
                <w:sz w:val="24"/>
                <w:szCs w:val="24"/>
              </w:rPr>
            </w:pPr>
            <w:bookmarkStart w:id="60" w:name="_Toc82338239"/>
            <w:bookmarkStart w:id="61" w:name="_Toc82873322"/>
            <w:bookmarkStart w:id="62" w:name="_Toc35261571"/>
            <w:r>
              <w:rPr>
                <w:rFonts w:hint="eastAsia" w:ascii="仿宋" w:hAnsi="仿宋" w:eastAsia="仿宋" w:cs="仿宋"/>
                <w:color w:val="auto"/>
                <w:sz w:val="24"/>
                <w:szCs w:val="24"/>
              </w:rPr>
              <w:t>序号</w:t>
            </w:r>
          </w:p>
        </w:tc>
        <w:tc>
          <w:tcPr>
            <w:tcW w:w="1787" w:type="dxa"/>
            <w:noWrap w:val="0"/>
            <w:vAlign w:val="center"/>
          </w:tcPr>
          <w:p>
            <w:pPr>
              <w:keepNext w:val="0"/>
              <w:keepLines w:val="0"/>
              <w:suppressLineNumbers w:val="0"/>
              <w:autoSpaceDE w:val="0"/>
              <w:autoSpaceDN w:val="0"/>
              <w:snapToGrid w:val="0"/>
              <w:spacing w:before="0" w:beforeAutospacing="0" w:after="0" w:afterAutospacing="0" w:line="400" w:lineRule="exact"/>
              <w:ind w:left="0" w:right="0"/>
              <w:jc w:val="center"/>
              <w:textAlignment w:val="bottom"/>
              <w:rPr>
                <w:rFonts w:hint="eastAsia" w:ascii="仿宋" w:hAnsi="仿宋" w:eastAsia="仿宋" w:cs="仿宋"/>
                <w:color w:val="auto"/>
                <w:sz w:val="24"/>
                <w:szCs w:val="24"/>
              </w:rPr>
            </w:pPr>
            <w:r>
              <w:rPr>
                <w:rFonts w:hint="eastAsia" w:ascii="仿宋" w:hAnsi="仿宋" w:eastAsia="仿宋" w:cs="仿宋"/>
                <w:color w:val="auto"/>
                <w:sz w:val="24"/>
                <w:szCs w:val="24"/>
              </w:rPr>
              <w:t>项目</w:t>
            </w:r>
          </w:p>
        </w:tc>
        <w:tc>
          <w:tcPr>
            <w:tcW w:w="7025" w:type="dxa"/>
            <w:noWrap w:val="0"/>
            <w:vAlign w:val="center"/>
          </w:tcPr>
          <w:p>
            <w:pPr>
              <w:keepNext w:val="0"/>
              <w:keepLines w:val="0"/>
              <w:suppressLineNumbers w:val="0"/>
              <w:autoSpaceDE w:val="0"/>
              <w:autoSpaceDN w:val="0"/>
              <w:snapToGrid w:val="0"/>
              <w:spacing w:before="0" w:beforeAutospacing="0" w:after="0" w:afterAutospacing="0" w:line="400" w:lineRule="exact"/>
              <w:ind w:left="0" w:right="0"/>
              <w:jc w:val="center"/>
              <w:textAlignment w:val="bottom"/>
              <w:rPr>
                <w:rFonts w:hint="eastAsia" w:ascii="仿宋" w:hAnsi="仿宋" w:eastAsia="仿宋" w:cs="仿宋"/>
                <w:color w:val="auto"/>
                <w:sz w:val="24"/>
                <w:szCs w:val="24"/>
              </w:rPr>
            </w:pPr>
            <w:r>
              <w:rPr>
                <w:rFonts w:hint="eastAsia" w:ascii="仿宋" w:hAnsi="仿宋" w:eastAsia="仿宋" w:cs="仿宋"/>
                <w:color w:val="auto"/>
                <w:sz w:val="24"/>
                <w:szCs w:val="24"/>
              </w:rPr>
              <w:t>编  例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exact"/>
          <w:jc w:val="center"/>
        </w:trPr>
        <w:tc>
          <w:tcPr>
            <w:tcW w:w="791" w:type="dxa"/>
            <w:noWrap w:val="0"/>
            <w:vAlign w:val="center"/>
          </w:tcPr>
          <w:p>
            <w:pPr>
              <w:keepNext w:val="0"/>
              <w:keepLines w:val="0"/>
              <w:suppressLineNumbers w:val="0"/>
              <w:autoSpaceDE w:val="0"/>
              <w:autoSpaceDN w:val="0"/>
              <w:snapToGrid w:val="0"/>
              <w:spacing w:before="0" w:beforeAutospacing="0" w:after="0" w:afterAutospacing="0" w:line="400" w:lineRule="exact"/>
              <w:ind w:left="0" w:right="0"/>
              <w:jc w:val="center"/>
              <w:textAlignment w:val="bottom"/>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w:t>
            </w:r>
          </w:p>
        </w:tc>
        <w:tc>
          <w:tcPr>
            <w:tcW w:w="1787" w:type="dxa"/>
            <w:noWrap w:val="0"/>
            <w:vAlign w:val="center"/>
          </w:tcPr>
          <w:p>
            <w:pPr>
              <w:keepNext w:val="0"/>
              <w:keepLines w:val="0"/>
              <w:suppressLineNumbers w:val="0"/>
              <w:autoSpaceDE w:val="0"/>
              <w:autoSpaceDN w:val="0"/>
              <w:snapToGrid w:val="0"/>
              <w:spacing w:before="0" w:beforeAutospacing="0" w:after="0" w:afterAutospacing="0" w:line="400" w:lineRule="exact"/>
              <w:ind w:left="0" w:leftChars="0" w:right="0" w:rightChars="0"/>
              <w:jc w:val="center"/>
              <w:textAlignment w:val="bottom"/>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项目属性与核心产品</w:t>
            </w:r>
          </w:p>
        </w:tc>
        <w:tc>
          <w:tcPr>
            <w:tcW w:w="7025" w:type="dxa"/>
            <w:noWrap w:val="0"/>
            <w:vAlign w:val="center"/>
          </w:tcPr>
          <w:p>
            <w:pPr>
              <w:keepNext w:val="0"/>
              <w:keepLines w:val="0"/>
              <w:pageBreakBefore w:val="0"/>
              <w:widowControl w:val="0"/>
              <w:suppressLineNumbers w:val="0"/>
              <w:kinsoku/>
              <w:wordWrap/>
              <w:overflowPunct/>
              <w:topLinePunct w:val="0"/>
              <w:bidi w:val="0"/>
              <w:adjustRightInd w:val="0"/>
              <w:spacing w:before="0" w:beforeAutospacing="0" w:after="0" w:afterAutospacing="0" w:line="440" w:lineRule="exact"/>
              <w:ind w:left="0" w:leftChars="0" w:right="0" w:rightChars="0"/>
              <w:rPr>
                <w:rFonts w:hint="eastAsia" w:ascii="仿宋" w:hAnsi="仿宋" w:eastAsia="仿宋" w:cs="仿宋"/>
                <w:color w:val="auto"/>
                <w:sz w:val="24"/>
                <w:szCs w:val="24"/>
              </w:rPr>
            </w:pPr>
            <w:r>
              <w:rPr>
                <w:rFonts w:hint="eastAsia" w:ascii="仿宋" w:hAnsi="仿宋" w:eastAsia="仿宋" w:cs="仿宋"/>
                <w:color w:val="auto"/>
                <w:kern w:val="0"/>
                <w:sz w:val="24"/>
                <w:szCs w:val="24"/>
              </w:rPr>
              <w:sym w:font="Wingdings" w:char="00FE"/>
            </w:r>
            <w:r>
              <w:rPr>
                <w:rFonts w:hint="eastAsia" w:ascii="仿宋" w:hAnsi="仿宋" w:eastAsia="仿宋" w:cs="仿宋"/>
                <w:color w:val="auto"/>
                <w:kern w:val="0"/>
                <w:sz w:val="24"/>
                <w:szCs w:val="24"/>
              </w:rPr>
              <w:t>A</w:t>
            </w:r>
            <w:r>
              <w:rPr>
                <w:rFonts w:hint="eastAsia" w:ascii="仿宋" w:hAnsi="仿宋" w:eastAsia="仿宋" w:cs="仿宋"/>
                <w:color w:val="auto"/>
                <w:sz w:val="24"/>
                <w:szCs w:val="24"/>
              </w:rPr>
              <w:t>货物类，单一产品或核心产品为：</w:t>
            </w:r>
            <w:r>
              <w:rPr>
                <w:rFonts w:hint="eastAsia" w:ascii="仿宋" w:hAnsi="仿宋" w:eastAsia="仿宋" w:cs="仿宋"/>
                <w:color w:val="auto"/>
                <w:sz w:val="24"/>
                <w:szCs w:val="24"/>
                <w:u w:val="single"/>
                <w:lang w:val="en-US" w:eastAsia="zh-CN"/>
              </w:rPr>
              <w:t>椅类-办公椅、组合式会议桌</w:t>
            </w:r>
            <w:r>
              <w:rPr>
                <w:rFonts w:hint="eastAsia" w:ascii="仿宋" w:hAnsi="仿宋" w:eastAsia="仿宋" w:cs="仿宋"/>
                <w:color w:val="auto"/>
                <w:sz w:val="24"/>
                <w:szCs w:val="24"/>
              </w:rPr>
              <w:t>。</w:t>
            </w:r>
          </w:p>
          <w:p>
            <w:pPr>
              <w:keepNext w:val="0"/>
              <w:keepLines w:val="0"/>
              <w:suppressLineNumbers w:val="0"/>
              <w:autoSpaceDE w:val="0"/>
              <w:autoSpaceDN w:val="0"/>
              <w:snapToGrid w:val="0"/>
              <w:spacing w:before="0" w:beforeAutospacing="0" w:after="0" w:afterAutospacing="0" w:line="400" w:lineRule="exact"/>
              <w:ind w:left="0" w:leftChars="0" w:right="0" w:rightChars="0"/>
              <w:jc w:val="both"/>
              <w:textAlignment w:val="bottom"/>
              <w:rPr>
                <w:rFonts w:hint="eastAsia" w:ascii="仿宋" w:hAnsi="仿宋" w:eastAsia="仿宋" w:cs="仿宋"/>
                <w:color w:val="auto"/>
                <w:sz w:val="24"/>
                <w:szCs w:val="24"/>
              </w:rPr>
            </w:pPr>
            <w:r>
              <w:rPr>
                <w:rFonts w:hint="eastAsia" w:ascii="仿宋" w:hAnsi="仿宋" w:eastAsia="仿宋" w:cs="仿宋"/>
                <w:color w:val="auto"/>
                <w:kern w:val="0"/>
                <w:sz w:val="24"/>
                <w:szCs w:val="24"/>
              </w:rPr>
              <w:t>☐B</w:t>
            </w:r>
            <w:r>
              <w:rPr>
                <w:rFonts w:hint="eastAsia" w:ascii="仿宋" w:hAnsi="仿宋" w:eastAsia="仿宋" w:cs="仿宋"/>
                <w:color w:val="auto"/>
                <w:kern w:val="0"/>
                <w:sz w:val="24"/>
                <w:szCs w:val="24"/>
                <w:lang w:val="en-US" w:eastAsia="zh-CN"/>
              </w:rPr>
              <w:t xml:space="preserve"> </w:t>
            </w:r>
            <w:r>
              <w:rPr>
                <w:rFonts w:hint="eastAsia" w:ascii="仿宋" w:hAnsi="仿宋" w:eastAsia="仿宋" w:cs="仿宋"/>
                <w:color w:val="auto"/>
                <w:sz w:val="24"/>
                <w:szCs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7" w:hRule="exact"/>
          <w:jc w:val="center"/>
        </w:trPr>
        <w:tc>
          <w:tcPr>
            <w:tcW w:w="791" w:type="dxa"/>
            <w:noWrap w:val="0"/>
            <w:vAlign w:val="center"/>
          </w:tcPr>
          <w:p>
            <w:pPr>
              <w:keepNext w:val="0"/>
              <w:keepLines w:val="0"/>
              <w:suppressLineNumbers w:val="0"/>
              <w:autoSpaceDE w:val="0"/>
              <w:autoSpaceDN w:val="0"/>
              <w:snapToGrid w:val="0"/>
              <w:spacing w:before="0" w:beforeAutospacing="0" w:after="0" w:afterAutospacing="0" w:line="400" w:lineRule="exact"/>
              <w:ind w:left="0" w:right="0"/>
              <w:jc w:val="center"/>
              <w:textAlignment w:val="bottom"/>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w:t>
            </w:r>
          </w:p>
        </w:tc>
        <w:tc>
          <w:tcPr>
            <w:tcW w:w="1787" w:type="dxa"/>
            <w:noWrap w:val="0"/>
            <w:vAlign w:val="center"/>
          </w:tcPr>
          <w:p>
            <w:pPr>
              <w:keepNext w:val="0"/>
              <w:keepLines w:val="0"/>
              <w:suppressLineNumbers w:val="0"/>
              <w:autoSpaceDE w:val="0"/>
              <w:autoSpaceDN w:val="0"/>
              <w:snapToGrid w:val="0"/>
              <w:spacing w:before="0" w:beforeAutospacing="0" w:after="0" w:afterAutospacing="0" w:line="400" w:lineRule="exact"/>
              <w:ind w:left="0" w:right="0"/>
              <w:jc w:val="center"/>
              <w:textAlignment w:val="bottom"/>
              <w:rPr>
                <w:rFonts w:hint="eastAsia" w:ascii="仿宋" w:hAnsi="仿宋" w:eastAsia="仿宋" w:cs="仿宋"/>
                <w:b w:val="0"/>
                <w:bCs/>
                <w:color w:val="auto"/>
                <w:sz w:val="24"/>
                <w:szCs w:val="24"/>
              </w:rPr>
            </w:pPr>
            <w:r>
              <w:rPr>
                <w:rFonts w:hint="eastAsia" w:ascii="仿宋" w:hAnsi="仿宋" w:eastAsia="仿宋" w:cs="仿宋"/>
                <w:b/>
                <w:color w:val="auto"/>
                <w:sz w:val="24"/>
                <w:szCs w:val="24"/>
              </w:rPr>
              <w:t>是否允许采购进口产品</w:t>
            </w:r>
          </w:p>
        </w:tc>
        <w:tc>
          <w:tcPr>
            <w:tcW w:w="7025" w:type="dxa"/>
            <w:noWrap w:val="0"/>
            <w:vAlign w:val="center"/>
          </w:tcPr>
          <w:p>
            <w:pPr>
              <w:keepNext w:val="0"/>
              <w:keepLines w:val="0"/>
              <w:suppressLineNumbers w:val="0"/>
              <w:snapToGrid w:val="0"/>
              <w:spacing w:before="0" w:beforeAutospacing="0" w:after="0" w:afterAutospacing="0" w:line="360" w:lineRule="auto"/>
              <w:ind w:left="0" w:right="0"/>
              <w:contextualSpacing/>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sym w:font="Wingdings" w:char="F0FE"/>
            </w:r>
            <w:r>
              <w:rPr>
                <w:rFonts w:hint="eastAsia" w:ascii="仿宋" w:hAnsi="仿宋" w:eastAsia="仿宋" w:cs="仿宋"/>
                <w:color w:val="auto"/>
                <w:kern w:val="0"/>
                <w:sz w:val="24"/>
                <w:szCs w:val="24"/>
              </w:rPr>
              <w:t>本项目不允许采购进口产品。</w:t>
            </w:r>
          </w:p>
          <w:p>
            <w:pPr>
              <w:keepNext w:val="0"/>
              <w:keepLines w:val="0"/>
              <w:suppressLineNumbers w:val="0"/>
              <w:autoSpaceDE w:val="0"/>
              <w:autoSpaceDN w:val="0"/>
              <w:snapToGrid w:val="0"/>
              <w:spacing w:before="0" w:beforeAutospacing="0" w:after="0" w:afterAutospacing="0" w:line="400" w:lineRule="exact"/>
              <w:ind w:left="0" w:right="0"/>
              <w:textAlignment w:val="bottom"/>
              <w:rPr>
                <w:rFonts w:hint="eastAsia" w:ascii="仿宋" w:hAnsi="仿宋" w:eastAsia="仿宋" w:cs="仿宋"/>
                <w:color w:val="auto"/>
                <w:sz w:val="24"/>
                <w:szCs w:val="24"/>
              </w:rPr>
            </w:pPr>
            <w:r>
              <w:rPr>
                <w:rFonts w:hint="eastAsia" w:ascii="仿宋" w:hAnsi="仿宋" w:eastAsia="仿宋" w:cs="仿宋"/>
                <w:color w:val="auto"/>
                <w:kern w:val="0"/>
                <w:sz w:val="24"/>
                <w:szCs w:val="24"/>
              </w:rPr>
              <w:t>☐可以就</w:t>
            </w:r>
            <w:r>
              <w:rPr>
                <w:rFonts w:hint="eastAsia" w:ascii="仿宋" w:hAnsi="仿宋" w:eastAsia="仿宋" w:cs="仿宋"/>
                <w:color w:val="auto"/>
                <w:sz w:val="24"/>
                <w:szCs w:val="24"/>
                <w:u w:val="single"/>
              </w:rPr>
              <w:t xml:space="preserve">    </w:t>
            </w:r>
            <w:r>
              <w:rPr>
                <w:rFonts w:hint="eastAsia" w:ascii="仿宋" w:hAnsi="仿宋" w:eastAsia="仿宋" w:cs="仿宋"/>
                <w:color w:val="auto"/>
                <w:kern w:val="0"/>
                <w:sz w:val="24"/>
                <w:szCs w:val="24"/>
              </w:rPr>
              <w:t>采购进口产品。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2" w:hRule="exact"/>
          <w:jc w:val="center"/>
        </w:trPr>
        <w:tc>
          <w:tcPr>
            <w:tcW w:w="791" w:type="dxa"/>
            <w:noWrap w:val="0"/>
            <w:vAlign w:val="center"/>
          </w:tcPr>
          <w:p>
            <w:pPr>
              <w:keepNext w:val="0"/>
              <w:keepLines w:val="0"/>
              <w:suppressLineNumbers w:val="0"/>
              <w:autoSpaceDE w:val="0"/>
              <w:autoSpaceDN w:val="0"/>
              <w:snapToGrid w:val="0"/>
              <w:spacing w:before="0" w:beforeAutospacing="0" w:after="0" w:afterAutospacing="0" w:line="400" w:lineRule="exact"/>
              <w:ind w:left="0" w:right="0"/>
              <w:jc w:val="center"/>
              <w:textAlignment w:val="bottom"/>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w:t>
            </w:r>
          </w:p>
        </w:tc>
        <w:tc>
          <w:tcPr>
            <w:tcW w:w="1787" w:type="dxa"/>
            <w:noWrap w:val="0"/>
            <w:vAlign w:val="center"/>
          </w:tcPr>
          <w:p>
            <w:pPr>
              <w:keepNext w:val="0"/>
              <w:keepLines w:val="0"/>
              <w:suppressLineNumbers w:val="0"/>
              <w:autoSpaceDE w:val="0"/>
              <w:autoSpaceDN w:val="0"/>
              <w:snapToGrid w:val="0"/>
              <w:spacing w:before="0" w:beforeAutospacing="0" w:after="0" w:afterAutospacing="0" w:line="400" w:lineRule="exact"/>
              <w:ind w:left="0" w:right="0"/>
              <w:jc w:val="center"/>
              <w:textAlignment w:val="bottom"/>
              <w:rPr>
                <w:rFonts w:hint="eastAsia" w:ascii="仿宋" w:hAnsi="仿宋" w:eastAsia="仿宋" w:cs="仿宋"/>
                <w:b/>
                <w:color w:val="auto"/>
                <w:sz w:val="24"/>
                <w:szCs w:val="24"/>
                <w:lang w:val="en-US" w:eastAsia="zh-CN"/>
              </w:rPr>
            </w:pPr>
            <w:r>
              <w:rPr>
                <w:rFonts w:hint="eastAsia" w:ascii="仿宋" w:hAnsi="仿宋" w:eastAsia="仿宋" w:cs="仿宋"/>
                <w:b/>
                <w:color w:val="auto"/>
                <w:sz w:val="24"/>
                <w:szCs w:val="24"/>
                <w:lang w:val="en-US" w:eastAsia="zh-CN"/>
              </w:rPr>
              <w:t>分包</w:t>
            </w:r>
          </w:p>
        </w:tc>
        <w:tc>
          <w:tcPr>
            <w:tcW w:w="7025" w:type="dxa"/>
            <w:noWrap w:val="0"/>
            <w:vAlign w:val="center"/>
          </w:tcPr>
          <w:p>
            <w:pPr>
              <w:keepNext w:val="0"/>
              <w:keepLines w:val="0"/>
              <w:suppressLineNumbers w:val="0"/>
              <w:snapToGrid w:val="0"/>
              <w:spacing w:before="0" w:beforeAutospacing="0" w:after="0" w:afterAutospacing="0" w:line="360" w:lineRule="auto"/>
              <w:ind w:left="0" w:right="0"/>
              <w:contextualSpacing/>
              <w:rPr>
                <w:rFonts w:hint="eastAsia" w:ascii="仿宋" w:hAnsi="仿宋" w:eastAsia="仿宋" w:cs="仿宋"/>
                <w:color w:val="auto"/>
                <w:sz w:val="24"/>
                <w:szCs w:val="24"/>
              </w:rPr>
            </w:pPr>
            <w:r>
              <w:rPr>
                <w:rFonts w:hint="eastAsia" w:ascii="仿宋" w:hAnsi="仿宋" w:eastAsia="仿宋" w:cs="仿宋"/>
                <w:color w:val="auto"/>
                <w:kern w:val="0"/>
                <w:sz w:val="24"/>
                <w:szCs w:val="24"/>
              </w:rPr>
              <w:t>☐A</w:t>
            </w:r>
            <w:r>
              <w:rPr>
                <w:rFonts w:hint="eastAsia" w:ascii="仿宋" w:hAnsi="仿宋" w:eastAsia="仿宋" w:cs="仿宋"/>
                <w:color w:val="auto"/>
                <w:sz w:val="24"/>
                <w:szCs w:val="24"/>
              </w:rPr>
              <w:t>同意将非主体、非关键性的</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工作分包。</w:t>
            </w:r>
          </w:p>
          <w:p>
            <w:pPr>
              <w:keepNext w:val="0"/>
              <w:keepLines w:val="0"/>
              <w:suppressLineNumbers w:val="0"/>
              <w:snapToGrid w:val="0"/>
              <w:spacing w:before="0" w:beforeAutospacing="0" w:after="0" w:afterAutospacing="0" w:line="360" w:lineRule="auto"/>
              <w:ind w:left="0" w:right="0"/>
              <w:contextualSpacing/>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sym w:font="Wingdings" w:char="F0FE"/>
            </w:r>
            <w:r>
              <w:rPr>
                <w:rFonts w:hint="eastAsia" w:ascii="仿宋" w:hAnsi="仿宋" w:eastAsia="仿宋" w:cs="仿宋"/>
                <w:color w:val="auto"/>
                <w:kern w:val="0"/>
                <w:sz w:val="24"/>
                <w:szCs w:val="24"/>
              </w:rPr>
              <w:t>B</w:t>
            </w:r>
            <w:r>
              <w:rPr>
                <w:rFonts w:hint="eastAsia" w:ascii="仿宋" w:hAnsi="仿宋" w:eastAsia="仿宋" w:cs="仿宋"/>
                <w:color w:val="auto"/>
                <w:sz w:val="24"/>
                <w:szCs w:val="24"/>
              </w:rPr>
              <w:t>不同意分包</w:t>
            </w:r>
            <w:r>
              <w:rPr>
                <w:rFonts w:hint="eastAsia" w:ascii="仿宋" w:hAnsi="仿宋" w:eastAsia="仿宋" w:cs="仿宋"/>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91" w:type="dxa"/>
            <w:noWrap w:val="0"/>
            <w:vAlign w:val="center"/>
          </w:tcPr>
          <w:p>
            <w:pPr>
              <w:keepNext w:val="0"/>
              <w:keepLines w:val="0"/>
              <w:suppressLineNumbers w:val="0"/>
              <w:autoSpaceDE w:val="0"/>
              <w:autoSpaceDN w:val="0"/>
              <w:snapToGrid w:val="0"/>
              <w:spacing w:before="0" w:beforeAutospacing="0" w:after="0" w:afterAutospacing="0" w:line="400" w:lineRule="exact"/>
              <w:ind w:left="0" w:right="0"/>
              <w:jc w:val="center"/>
              <w:textAlignment w:val="bottom"/>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w:t>
            </w:r>
          </w:p>
        </w:tc>
        <w:tc>
          <w:tcPr>
            <w:tcW w:w="1787" w:type="dxa"/>
            <w:noWrap w:val="0"/>
            <w:vAlign w:val="center"/>
          </w:tcPr>
          <w:p>
            <w:pPr>
              <w:keepNext w:val="0"/>
              <w:keepLines w:val="0"/>
              <w:suppressLineNumbers w:val="0"/>
              <w:snapToGrid w:val="0"/>
              <w:spacing w:before="0" w:beforeAutospacing="0" w:after="0" w:afterAutospacing="0"/>
              <w:ind w:left="0" w:right="0"/>
              <w:jc w:val="center"/>
              <w:rPr>
                <w:rFonts w:hint="eastAsia" w:ascii="仿宋" w:hAnsi="仿宋" w:eastAsia="仿宋" w:cs="仿宋"/>
                <w:bCs/>
                <w:color w:val="auto"/>
                <w:sz w:val="24"/>
                <w:szCs w:val="24"/>
              </w:rPr>
            </w:pPr>
            <w:r>
              <w:rPr>
                <w:rFonts w:hint="eastAsia" w:ascii="仿宋" w:hAnsi="仿宋" w:eastAsia="仿宋" w:cs="仿宋"/>
                <w:b/>
                <w:color w:val="auto"/>
                <w:sz w:val="24"/>
                <w:szCs w:val="24"/>
              </w:rPr>
              <w:t>开标前答疑会或现场考察</w:t>
            </w:r>
          </w:p>
        </w:tc>
        <w:tc>
          <w:tcPr>
            <w:tcW w:w="7025" w:type="dxa"/>
            <w:noWrap w:val="0"/>
            <w:vAlign w:val="center"/>
          </w:tcPr>
          <w:p>
            <w:pPr>
              <w:keepNext w:val="0"/>
              <w:keepLines w:val="0"/>
              <w:suppressLineNumbers w:val="0"/>
              <w:snapToGrid w:val="0"/>
              <w:spacing w:before="0" w:beforeAutospacing="0" w:after="0" w:afterAutospacing="0" w:line="360" w:lineRule="auto"/>
              <w:ind w:left="0" w:right="0"/>
              <w:contextualSpacing/>
              <w:rPr>
                <w:rFonts w:hint="eastAsia" w:ascii="仿宋" w:hAnsi="仿宋" w:eastAsia="仿宋" w:cs="仿宋"/>
                <w:color w:val="auto"/>
                <w:sz w:val="24"/>
                <w:szCs w:val="24"/>
              </w:rPr>
            </w:pPr>
            <w:r>
              <w:rPr>
                <w:rFonts w:hint="eastAsia" w:ascii="仿宋" w:hAnsi="仿宋" w:eastAsia="仿宋" w:cs="仿宋"/>
                <w:color w:val="auto"/>
                <w:kern w:val="0"/>
                <w:sz w:val="24"/>
                <w:szCs w:val="24"/>
              </w:rPr>
              <w:sym w:font="Wingdings" w:char="F0FE"/>
            </w:r>
            <w:r>
              <w:rPr>
                <w:rFonts w:hint="eastAsia" w:ascii="仿宋" w:hAnsi="仿宋" w:eastAsia="仿宋" w:cs="仿宋"/>
                <w:color w:val="auto"/>
                <w:kern w:val="0"/>
                <w:sz w:val="24"/>
                <w:szCs w:val="24"/>
              </w:rPr>
              <w:t>A</w:t>
            </w:r>
            <w:r>
              <w:rPr>
                <w:rFonts w:hint="eastAsia" w:ascii="仿宋" w:hAnsi="仿宋" w:eastAsia="仿宋" w:cs="仿宋"/>
                <w:color w:val="auto"/>
                <w:sz w:val="24"/>
                <w:szCs w:val="24"/>
              </w:rPr>
              <w:t>不组织。</w:t>
            </w:r>
          </w:p>
          <w:p>
            <w:pPr>
              <w:keepNext w:val="0"/>
              <w:keepLines w:val="0"/>
              <w:suppressLineNumbers w:val="0"/>
              <w:snapToGrid w:val="0"/>
              <w:spacing w:before="0" w:beforeAutospacing="0" w:after="0" w:afterAutospacing="0" w:line="360" w:lineRule="auto"/>
              <w:ind w:left="0" w:right="0"/>
              <w:contextualSpacing/>
              <w:rPr>
                <w:rFonts w:hint="eastAsia" w:ascii="仿宋" w:hAnsi="仿宋" w:eastAsia="仿宋" w:cs="仿宋"/>
                <w:color w:val="auto"/>
                <w:sz w:val="24"/>
                <w:szCs w:val="24"/>
              </w:rPr>
            </w:pPr>
            <w:r>
              <w:rPr>
                <w:rFonts w:hint="eastAsia" w:ascii="仿宋" w:hAnsi="仿宋" w:eastAsia="仿宋" w:cs="仿宋"/>
                <w:color w:val="auto"/>
                <w:kern w:val="0"/>
                <w:sz w:val="24"/>
                <w:szCs w:val="24"/>
              </w:rPr>
              <w:t>☐B组织，</w:t>
            </w:r>
            <w:r>
              <w:rPr>
                <w:rFonts w:hint="eastAsia" w:ascii="仿宋" w:hAnsi="仿宋" w:eastAsia="仿宋" w:cs="仿宋"/>
                <w:color w:val="auto"/>
                <w:sz w:val="24"/>
                <w:szCs w:val="24"/>
              </w:rPr>
              <w:t>时间：</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,地点：</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，联系人：</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，联系方式：</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91" w:type="dxa"/>
            <w:noWrap w:val="0"/>
            <w:vAlign w:val="center"/>
          </w:tcPr>
          <w:p>
            <w:pPr>
              <w:keepNext w:val="0"/>
              <w:keepLines w:val="0"/>
              <w:suppressLineNumbers w:val="0"/>
              <w:autoSpaceDE w:val="0"/>
              <w:autoSpaceDN w:val="0"/>
              <w:snapToGrid w:val="0"/>
              <w:spacing w:before="0" w:beforeAutospacing="0" w:after="0" w:afterAutospacing="0" w:line="400" w:lineRule="exact"/>
              <w:ind w:left="0" w:right="0"/>
              <w:jc w:val="center"/>
              <w:textAlignment w:val="bottom"/>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w:t>
            </w:r>
          </w:p>
        </w:tc>
        <w:tc>
          <w:tcPr>
            <w:tcW w:w="1787" w:type="dxa"/>
            <w:noWrap w:val="0"/>
            <w:vAlign w:val="center"/>
          </w:tcPr>
          <w:p>
            <w:pPr>
              <w:keepNext w:val="0"/>
              <w:keepLines w:val="0"/>
              <w:suppressLineNumbers w:val="0"/>
              <w:snapToGrid w:val="0"/>
              <w:spacing w:before="0" w:beforeAutospacing="0" w:after="0" w:afterAutospacing="0"/>
              <w:ind w:left="0" w:right="0"/>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样品提供</w:t>
            </w:r>
          </w:p>
        </w:tc>
        <w:tc>
          <w:tcPr>
            <w:tcW w:w="7025" w:type="dxa"/>
            <w:noWrap w:val="0"/>
            <w:vAlign w:val="center"/>
          </w:tcPr>
          <w:p>
            <w:pPr>
              <w:keepNext w:val="0"/>
              <w:keepLines w:val="0"/>
              <w:suppressLineNumbers w:val="0"/>
              <w:snapToGrid w:val="0"/>
              <w:spacing w:before="0" w:beforeAutospacing="0" w:after="0" w:afterAutospacing="0" w:line="360" w:lineRule="auto"/>
              <w:ind w:left="0" w:right="0"/>
              <w:contextualSpacing/>
              <w:rPr>
                <w:rFonts w:hint="eastAsia" w:ascii="仿宋" w:hAnsi="仿宋" w:eastAsia="仿宋" w:cs="仿宋"/>
                <w:color w:val="auto"/>
                <w:sz w:val="24"/>
                <w:szCs w:val="24"/>
              </w:rPr>
            </w:pPr>
            <w:r>
              <w:rPr>
                <w:rFonts w:hint="eastAsia" w:ascii="仿宋" w:hAnsi="仿宋" w:eastAsia="仿宋" w:cs="仿宋"/>
                <w:color w:val="auto"/>
                <w:kern w:val="0"/>
                <w:sz w:val="24"/>
                <w:szCs w:val="24"/>
              </w:rPr>
              <w:sym w:font="Wingdings" w:char="00A8"/>
            </w:r>
            <w:r>
              <w:rPr>
                <w:rFonts w:hint="eastAsia" w:ascii="仿宋" w:hAnsi="仿宋" w:eastAsia="仿宋" w:cs="仿宋"/>
                <w:color w:val="auto"/>
                <w:kern w:val="0"/>
                <w:sz w:val="24"/>
                <w:szCs w:val="24"/>
              </w:rPr>
              <w:t>A</w:t>
            </w:r>
            <w:r>
              <w:rPr>
                <w:rFonts w:hint="eastAsia" w:ascii="仿宋" w:hAnsi="仿宋" w:eastAsia="仿宋" w:cs="仿宋"/>
                <w:color w:val="auto"/>
                <w:sz w:val="24"/>
                <w:szCs w:val="24"/>
              </w:rPr>
              <w:t>不要求提供。</w:t>
            </w:r>
          </w:p>
          <w:p>
            <w:pPr>
              <w:keepNext w:val="0"/>
              <w:keepLines w:val="0"/>
              <w:suppressLineNumbers w:val="0"/>
              <w:snapToGrid w:val="0"/>
              <w:spacing w:before="0" w:beforeAutospacing="0" w:after="0" w:afterAutospacing="0" w:line="360" w:lineRule="auto"/>
              <w:ind w:left="0" w:right="0"/>
              <w:contextualSpacing/>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sym w:font="Wingdings" w:char="00FE"/>
            </w:r>
            <w:r>
              <w:rPr>
                <w:rFonts w:hint="eastAsia" w:ascii="仿宋" w:hAnsi="仿宋" w:eastAsia="仿宋" w:cs="仿宋"/>
                <w:color w:val="auto"/>
                <w:kern w:val="0"/>
                <w:sz w:val="24"/>
                <w:szCs w:val="24"/>
              </w:rPr>
              <w:t>B要求提供，</w:t>
            </w:r>
          </w:p>
          <w:p>
            <w:pPr>
              <w:keepNext w:val="0"/>
              <w:keepLines w:val="0"/>
              <w:suppressLineNumbers w:val="0"/>
              <w:snapToGrid w:val="0"/>
              <w:spacing w:before="0" w:beforeAutospacing="0" w:after="0" w:afterAutospacing="0" w:line="360" w:lineRule="auto"/>
              <w:ind w:left="0" w:right="0"/>
              <w:contextualSpacing/>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w:t>
            </w:r>
            <w:r>
              <w:rPr>
                <w:rFonts w:hint="eastAsia" w:ascii="仿宋" w:hAnsi="仿宋" w:eastAsia="仿宋" w:cs="仿宋"/>
                <w:snapToGrid w:val="0"/>
                <w:color w:val="auto"/>
                <w:kern w:val="28"/>
                <w:sz w:val="24"/>
                <w:szCs w:val="24"/>
              </w:rPr>
              <w:t>样品：</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single"/>
                <w:lang w:val="en-US" w:eastAsia="zh-CN"/>
              </w:rPr>
              <w:t>详见项目招标范围及服务要求</w:t>
            </w:r>
            <w:r>
              <w:rPr>
                <w:rFonts w:hint="eastAsia" w:ascii="仿宋" w:hAnsi="仿宋" w:eastAsia="仿宋" w:cs="仿宋"/>
                <w:color w:val="auto"/>
                <w:sz w:val="24"/>
                <w:szCs w:val="24"/>
                <w:u w:val="single"/>
              </w:rPr>
              <w:t xml:space="preserve"> </w:t>
            </w:r>
            <w:r>
              <w:rPr>
                <w:rFonts w:hint="eastAsia" w:ascii="仿宋" w:hAnsi="仿宋" w:eastAsia="仿宋" w:cs="仿宋"/>
                <w:color w:val="auto"/>
                <w:kern w:val="0"/>
                <w:sz w:val="24"/>
                <w:szCs w:val="24"/>
              </w:rPr>
              <w:t>；</w:t>
            </w:r>
          </w:p>
          <w:p>
            <w:pPr>
              <w:keepNext w:val="0"/>
              <w:keepLines w:val="0"/>
              <w:suppressLineNumbers w:val="0"/>
              <w:snapToGrid w:val="0"/>
              <w:spacing w:before="0" w:beforeAutospacing="0" w:after="0" w:afterAutospacing="0" w:line="360" w:lineRule="auto"/>
              <w:ind w:left="0" w:right="0"/>
              <w:contextualSpacing/>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w:t>
            </w:r>
            <w:r>
              <w:rPr>
                <w:rFonts w:hint="eastAsia" w:ascii="仿宋" w:hAnsi="仿宋" w:eastAsia="仿宋" w:cs="仿宋"/>
                <w:snapToGrid w:val="0"/>
                <w:color w:val="auto"/>
                <w:kern w:val="28"/>
                <w:sz w:val="24"/>
                <w:szCs w:val="24"/>
              </w:rPr>
              <w:t>样品制作的标准和要求：</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single"/>
                <w:lang w:val="en-US" w:eastAsia="zh-CN"/>
              </w:rPr>
              <w:t>详见项目招标范围及服务要求</w:t>
            </w:r>
            <w:r>
              <w:rPr>
                <w:rFonts w:hint="eastAsia" w:ascii="仿宋" w:hAnsi="仿宋" w:eastAsia="仿宋" w:cs="仿宋"/>
                <w:color w:val="auto"/>
                <w:sz w:val="24"/>
                <w:szCs w:val="24"/>
                <w:u w:val="single"/>
              </w:rPr>
              <w:t xml:space="preserve"> </w:t>
            </w:r>
            <w:r>
              <w:rPr>
                <w:rFonts w:hint="eastAsia" w:ascii="仿宋" w:hAnsi="仿宋" w:eastAsia="仿宋" w:cs="仿宋"/>
                <w:color w:val="auto"/>
                <w:kern w:val="0"/>
                <w:sz w:val="24"/>
                <w:szCs w:val="24"/>
              </w:rPr>
              <w:t>；</w:t>
            </w:r>
          </w:p>
          <w:p>
            <w:pPr>
              <w:keepNext w:val="0"/>
              <w:keepLines w:val="0"/>
              <w:suppressLineNumbers w:val="0"/>
              <w:snapToGrid w:val="0"/>
              <w:spacing w:before="0" w:beforeAutospacing="0" w:after="0" w:afterAutospacing="0" w:line="360" w:lineRule="auto"/>
              <w:ind w:left="0" w:right="0"/>
              <w:contextualSpacing/>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（3）样品的评审方法以及评审标准</w:t>
            </w:r>
            <w:r>
              <w:rPr>
                <w:rFonts w:hint="eastAsia" w:ascii="仿宋" w:hAnsi="仿宋" w:eastAsia="仿宋" w:cs="仿宋"/>
                <w:snapToGrid w:val="0"/>
                <w:color w:val="auto"/>
                <w:kern w:val="28"/>
                <w:sz w:val="24"/>
                <w:szCs w:val="24"/>
              </w:rPr>
              <w:t>：详见</w:t>
            </w:r>
            <w:r>
              <w:rPr>
                <w:rFonts w:hint="eastAsia" w:ascii="仿宋" w:hAnsi="仿宋" w:eastAsia="仿宋" w:cs="仿宋"/>
                <w:color w:val="auto"/>
                <w:sz w:val="24"/>
                <w:szCs w:val="24"/>
                <w:u w:val="single"/>
              </w:rPr>
              <w:t>评标办法</w:t>
            </w:r>
            <w:r>
              <w:rPr>
                <w:rFonts w:hint="eastAsia" w:ascii="仿宋" w:hAnsi="仿宋" w:eastAsia="仿宋" w:cs="仿宋"/>
                <w:color w:val="auto"/>
                <w:kern w:val="0"/>
                <w:sz w:val="24"/>
                <w:szCs w:val="24"/>
              </w:rPr>
              <w:t>；</w:t>
            </w:r>
          </w:p>
          <w:p>
            <w:pPr>
              <w:keepNext w:val="0"/>
              <w:keepLines w:val="0"/>
              <w:suppressLineNumbers w:val="0"/>
              <w:snapToGrid w:val="0"/>
              <w:spacing w:before="0" w:beforeAutospacing="0" w:after="0" w:afterAutospacing="0" w:line="360" w:lineRule="auto"/>
              <w:ind w:left="0" w:right="0"/>
              <w:contextualSpacing/>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（4）是否需要随样品提交检测报告：</w:t>
            </w:r>
            <w:r>
              <w:rPr>
                <w:rFonts w:hint="eastAsia" w:ascii="仿宋" w:hAnsi="仿宋" w:eastAsia="仿宋" w:cs="仿宋"/>
                <w:color w:val="auto"/>
                <w:kern w:val="0"/>
                <w:sz w:val="24"/>
                <w:szCs w:val="24"/>
              </w:rPr>
              <w:sym w:font="Wingdings" w:char="00FE"/>
            </w:r>
            <w:r>
              <w:rPr>
                <w:rFonts w:hint="eastAsia" w:ascii="仿宋" w:hAnsi="仿宋" w:eastAsia="仿宋" w:cs="仿宋"/>
                <w:color w:val="auto"/>
                <w:kern w:val="0"/>
                <w:sz w:val="24"/>
                <w:szCs w:val="24"/>
              </w:rPr>
              <w:t>否；☐是，检测机构的要求</w:t>
            </w:r>
            <w:r>
              <w:rPr>
                <w:rFonts w:hint="eastAsia" w:ascii="仿宋" w:hAnsi="仿宋" w:eastAsia="仿宋" w:cs="仿宋"/>
                <w:color w:val="auto"/>
                <w:sz w:val="24"/>
                <w:szCs w:val="24"/>
              </w:rPr>
              <w:t>：</w:t>
            </w:r>
            <w:r>
              <w:rPr>
                <w:rFonts w:hint="eastAsia" w:ascii="仿宋" w:hAnsi="仿宋" w:eastAsia="仿宋" w:cs="仿宋"/>
                <w:color w:val="auto"/>
                <w:sz w:val="24"/>
                <w:szCs w:val="24"/>
                <w:u w:val="single"/>
              </w:rPr>
              <w:t xml:space="preserve">    </w:t>
            </w:r>
            <w:r>
              <w:rPr>
                <w:rFonts w:hint="eastAsia" w:ascii="仿宋" w:hAnsi="仿宋" w:eastAsia="仿宋" w:cs="仿宋"/>
                <w:color w:val="auto"/>
                <w:kern w:val="0"/>
                <w:sz w:val="24"/>
                <w:szCs w:val="24"/>
              </w:rPr>
              <w:t>；检测内容</w:t>
            </w:r>
            <w:r>
              <w:rPr>
                <w:rFonts w:hint="eastAsia" w:ascii="仿宋" w:hAnsi="仿宋" w:eastAsia="仿宋" w:cs="仿宋"/>
                <w:color w:val="auto"/>
                <w:sz w:val="24"/>
                <w:szCs w:val="24"/>
              </w:rPr>
              <w:t>：</w:t>
            </w:r>
            <w:r>
              <w:rPr>
                <w:rFonts w:hint="eastAsia" w:ascii="仿宋" w:hAnsi="仿宋" w:eastAsia="仿宋" w:cs="仿宋"/>
                <w:color w:val="auto"/>
                <w:sz w:val="24"/>
                <w:szCs w:val="24"/>
                <w:u w:val="single"/>
              </w:rPr>
              <w:t xml:space="preserve">    </w:t>
            </w:r>
            <w:r>
              <w:rPr>
                <w:rFonts w:hint="eastAsia" w:ascii="仿宋" w:hAnsi="仿宋" w:eastAsia="仿宋" w:cs="仿宋"/>
                <w:color w:val="auto"/>
                <w:kern w:val="0"/>
                <w:sz w:val="24"/>
                <w:szCs w:val="24"/>
              </w:rPr>
              <w:t>。</w:t>
            </w:r>
          </w:p>
          <w:p>
            <w:pPr>
              <w:keepNext w:val="0"/>
              <w:keepLines w:val="0"/>
              <w:suppressLineNumbers w:val="0"/>
              <w:snapToGrid w:val="0"/>
              <w:spacing w:before="0" w:beforeAutospacing="0" w:after="0" w:afterAutospacing="0" w:line="360" w:lineRule="auto"/>
              <w:ind w:left="0" w:right="0"/>
              <w:contextualSpacing/>
              <w:rPr>
                <w:rFonts w:hint="eastAsia" w:ascii="仿宋" w:hAnsi="仿宋" w:eastAsia="仿宋" w:cs="仿宋"/>
                <w:color w:val="auto"/>
                <w:sz w:val="24"/>
                <w:szCs w:val="24"/>
              </w:rPr>
            </w:pPr>
            <w:r>
              <w:rPr>
                <w:rFonts w:hint="eastAsia" w:ascii="仿宋" w:hAnsi="仿宋" w:eastAsia="仿宋" w:cs="仿宋"/>
                <w:color w:val="auto"/>
                <w:sz w:val="24"/>
                <w:szCs w:val="24"/>
              </w:rPr>
              <w:t>（5）提供样品的时间：</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highlight w:val="none"/>
                <w:u w:val="single"/>
                <w:lang w:val="en-US" w:eastAsia="zh-CN"/>
              </w:rPr>
              <w:t>投标截止时间前</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rPr>
              <w:t>；地点：</w:t>
            </w:r>
            <w:r>
              <w:rPr>
                <w:rFonts w:hint="eastAsia" w:ascii="仿宋" w:hAnsi="仿宋" w:eastAsia="仿宋" w:cs="仿宋"/>
                <w:color w:val="auto"/>
                <w:sz w:val="24"/>
                <w:szCs w:val="24"/>
                <w:highlight w:val="none"/>
                <w:u w:val="single"/>
              </w:rPr>
              <w:t>嵊州市官河南路339号量子芯座11楼110</w:t>
            </w:r>
            <w:r>
              <w:rPr>
                <w:rFonts w:hint="eastAsia" w:ascii="仿宋" w:hAnsi="仿宋" w:eastAsia="仿宋" w:cs="仿宋"/>
                <w:color w:val="auto"/>
                <w:sz w:val="24"/>
                <w:szCs w:val="24"/>
                <w:highlight w:val="none"/>
                <w:u w:val="single"/>
                <w:lang w:val="en-US" w:eastAsia="zh-CN"/>
              </w:rPr>
              <w:t>6</w:t>
            </w:r>
            <w:r>
              <w:rPr>
                <w:rFonts w:hint="eastAsia" w:ascii="仿宋" w:hAnsi="仿宋" w:eastAsia="仿宋" w:cs="仿宋"/>
                <w:color w:val="auto"/>
                <w:sz w:val="24"/>
                <w:szCs w:val="24"/>
                <w:highlight w:val="none"/>
                <w:u w:val="single"/>
              </w:rPr>
              <w:t>室</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rPr>
              <w:t>；联系人：</w:t>
            </w:r>
            <w:r>
              <w:rPr>
                <w:rFonts w:hint="eastAsia" w:ascii="仿宋" w:hAnsi="仿宋" w:eastAsia="仿宋" w:cs="仿宋"/>
                <w:strike w:val="0"/>
                <w:dstrike w:val="0"/>
                <w:color w:val="auto"/>
                <w:sz w:val="24"/>
                <w:szCs w:val="24"/>
                <w:u w:val="single"/>
                <w:lang w:val="en-US" w:eastAsia="zh-CN"/>
              </w:rPr>
              <w:t xml:space="preserve"> 喻女士 </w:t>
            </w:r>
            <w:r>
              <w:rPr>
                <w:rFonts w:hint="eastAsia" w:ascii="仿宋" w:hAnsi="仿宋" w:eastAsia="仿宋" w:cs="仿宋"/>
                <w:color w:val="auto"/>
                <w:sz w:val="24"/>
                <w:szCs w:val="24"/>
              </w:rPr>
              <w:t>，联系电话：</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highlight w:val="none"/>
                <w:u w:val="single"/>
                <w:lang w:val="en-US" w:eastAsia="zh-CN"/>
              </w:rPr>
              <w:t>0575-83275560</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rPr>
              <w:t>。请投标人在上述时间内提供样品并按规定位置安装完毕。超过截止时间的，采购人或采购代理机构将不予接收，并将清场并封闭样品现场。</w:t>
            </w:r>
          </w:p>
          <w:p>
            <w:pPr>
              <w:keepNext w:val="0"/>
              <w:keepLines w:val="0"/>
              <w:suppressLineNumbers w:val="0"/>
              <w:snapToGrid w:val="0"/>
              <w:spacing w:before="0" w:beforeAutospacing="0" w:after="0" w:afterAutospacing="0" w:line="360" w:lineRule="auto"/>
              <w:ind w:left="0" w:right="0"/>
              <w:contextualSpacing/>
              <w:rPr>
                <w:rFonts w:hint="eastAsia" w:ascii="仿宋" w:hAnsi="仿宋" w:eastAsia="仿宋" w:cs="仿宋"/>
                <w:color w:val="auto"/>
                <w:sz w:val="24"/>
                <w:szCs w:val="24"/>
              </w:rPr>
            </w:pPr>
            <w:r>
              <w:rPr>
                <w:rFonts w:hint="eastAsia" w:ascii="仿宋" w:hAnsi="仿宋" w:eastAsia="仿宋" w:cs="仿宋"/>
                <w:color w:val="auto"/>
                <w:sz w:val="24"/>
                <w:szCs w:val="24"/>
              </w:rPr>
              <w:t>（6）采购活动结束后，对于未</w:t>
            </w:r>
            <w:r>
              <w:rPr>
                <w:rFonts w:hint="eastAsia" w:ascii="仿宋" w:hAnsi="仿宋" w:eastAsia="仿宋" w:cs="仿宋"/>
                <w:color w:val="auto"/>
                <w:sz w:val="24"/>
                <w:szCs w:val="24"/>
                <w:lang w:eastAsia="zh-CN"/>
              </w:rPr>
              <w:t>中标人</w:t>
            </w:r>
            <w:r>
              <w:rPr>
                <w:rFonts w:hint="eastAsia" w:ascii="仿宋" w:hAnsi="仿宋" w:eastAsia="仿宋" w:cs="仿宋"/>
                <w:color w:val="auto"/>
                <w:sz w:val="24"/>
                <w:szCs w:val="24"/>
              </w:rPr>
              <w:t>提供的样品，采购人、采购机构将通知未</w:t>
            </w:r>
            <w:r>
              <w:rPr>
                <w:rFonts w:hint="eastAsia" w:ascii="仿宋" w:hAnsi="仿宋" w:eastAsia="仿宋" w:cs="仿宋"/>
                <w:color w:val="auto"/>
                <w:sz w:val="24"/>
                <w:szCs w:val="24"/>
                <w:lang w:eastAsia="zh-CN"/>
              </w:rPr>
              <w:t>中标人</w:t>
            </w:r>
            <w:r>
              <w:rPr>
                <w:rFonts w:hint="eastAsia" w:ascii="仿宋" w:hAnsi="仿宋" w:eastAsia="仿宋" w:cs="仿宋"/>
                <w:color w:val="auto"/>
                <w:sz w:val="24"/>
                <w:szCs w:val="24"/>
              </w:rPr>
              <w:t>在规定的时间内取回，逾期未取回的，采购人、采购机构不负保管义务；对于</w:t>
            </w:r>
            <w:r>
              <w:rPr>
                <w:rFonts w:hint="eastAsia" w:ascii="仿宋" w:hAnsi="仿宋" w:eastAsia="仿宋" w:cs="仿宋"/>
                <w:color w:val="auto"/>
                <w:sz w:val="24"/>
                <w:szCs w:val="24"/>
                <w:lang w:eastAsia="zh-CN"/>
              </w:rPr>
              <w:t>中标人</w:t>
            </w:r>
            <w:r>
              <w:rPr>
                <w:rFonts w:hint="eastAsia" w:ascii="仿宋" w:hAnsi="仿宋" w:eastAsia="仿宋" w:cs="仿宋"/>
                <w:color w:val="auto"/>
                <w:sz w:val="24"/>
                <w:szCs w:val="24"/>
              </w:rPr>
              <w:t>提供的样品，采购人将进行保管、封存，并作为履约验收的参考。</w:t>
            </w:r>
          </w:p>
          <w:p>
            <w:pPr>
              <w:keepNext w:val="0"/>
              <w:keepLines w:val="0"/>
              <w:suppressLineNumbers w:val="0"/>
              <w:snapToGrid w:val="0"/>
              <w:spacing w:before="0" w:beforeAutospacing="0" w:after="0" w:afterAutospacing="0" w:line="360" w:lineRule="auto"/>
              <w:ind w:left="0" w:right="0"/>
              <w:contextualSpacing/>
              <w:rPr>
                <w:rFonts w:hint="eastAsia" w:ascii="仿宋" w:hAnsi="仿宋" w:eastAsia="仿宋" w:cs="仿宋"/>
                <w:color w:val="auto"/>
                <w:kern w:val="0"/>
                <w:sz w:val="24"/>
                <w:szCs w:val="24"/>
              </w:rPr>
            </w:pPr>
            <w:r>
              <w:rPr>
                <w:rFonts w:hint="eastAsia" w:ascii="仿宋" w:hAnsi="仿宋" w:eastAsia="仿宋" w:cs="仿宋"/>
                <w:color w:val="auto"/>
                <w:sz w:val="24"/>
                <w:szCs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91" w:type="dxa"/>
            <w:noWrap w:val="0"/>
            <w:vAlign w:val="center"/>
          </w:tcPr>
          <w:p>
            <w:pPr>
              <w:keepNext w:val="0"/>
              <w:keepLines w:val="0"/>
              <w:suppressLineNumbers w:val="0"/>
              <w:autoSpaceDE w:val="0"/>
              <w:autoSpaceDN w:val="0"/>
              <w:snapToGrid w:val="0"/>
              <w:spacing w:before="0" w:beforeAutospacing="0" w:after="0" w:afterAutospacing="0" w:line="400" w:lineRule="exact"/>
              <w:ind w:left="0" w:right="0"/>
              <w:jc w:val="center"/>
              <w:textAlignment w:val="bottom"/>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w:t>
            </w:r>
          </w:p>
        </w:tc>
        <w:tc>
          <w:tcPr>
            <w:tcW w:w="1787" w:type="dxa"/>
            <w:noWrap w:val="0"/>
            <w:vAlign w:val="center"/>
          </w:tcPr>
          <w:p>
            <w:pPr>
              <w:keepNext w:val="0"/>
              <w:keepLines w:val="0"/>
              <w:suppressLineNumbers w:val="0"/>
              <w:autoSpaceDE w:val="0"/>
              <w:autoSpaceDN w:val="0"/>
              <w:snapToGrid w:val="0"/>
              <w:spacing w:before="0" w:beforeAutospacing="0" w:after="0" w:afterAutospacing="0" w:line="400" w:lineRule="exact"/>
              <w:ind w:left="0" w:right="0"/>
              <w:jc w:val="center"/>
              <w:textAlignment w:val="bottom"/>
              <w:rPr>
                <w:rFonts w:hint="eastAsia" w:ascii="仿宋" w:hAnsi="仿宋" w:eastAsia="仿宋" w:cs="仿宋"/>
                <w:color w:val="auto"/>
                <w:sz w:val="24"/>
                <w:szCs w:val="24"/>
              </w:rPr>
            </w:pPr>
            <w:r>
              <w:rPr>
                <w:rFonts w:hint="eastAsia" w:ascii="仿宋" w:hAnsi="仿宋" w:eastAsia="仿宋" w:cs="仿宋"/>
                <w:b/>
                <w:bCs/>
                <w:color w:val="auto"/>
                <w:sz w:val="24"/>
                <w:szCs w:val="24"/>
              </w:rPr>
              <w:t>质疑与澄清</w:t>
            </w:r>
          </w:p>
        </w:tc>
        <w:tc>
          <w:tcPr>
            <w:tcW w:w="7025" w:type="dxa"/>
            <w:noWrap w:val="0"/>
            <w:vAlign w:val="center"/>
          </w:tcPr>
          <w:p>
            <w:pPr>
              <w:keepNext w:val="0"/>
              <w:keepLines w:val="0"/>
              <w:suppressLineNumbers w:val="0"/>
              <w:autoSpaceDE w:val="0"/>
              <w:autoSpaceDN w:val="0"/>
              <w:snapToGrid w:val="0"/>
              <w:spacing w:before="0" w:beforeAutospacing="0" w:after="0" w:afterAutospacing="0" w:line="400" w:lineRule="exact"/>
              <w:ind w:left="0" w:right="0"/>
              <w:textAlignment w:val="bottom"/>
              <w:rPr>
                <w:rFonts w:hint="eastAsia" w:ascii="仿宋" w:hAnsi="仿宋" w:eastAsia="仿宋" w:cs="仿宋"/>
                <w:color w:val="auto"/>
                <w:sz w:val="24"/>
                <w:szCs w:val="24"/>
              </w:rPr>
            </w:pPr>
            <w:r>
              <w:rPr>
                <w:rFonts w:hint="eastAsia" w:ascii="仿宋" w:hAnsi="仿宋" w:eastAsia="仿宋" w:cs="仿宋"/>
                <w:color w:val="auto"/>
                <w:spacing w:val="6"/>
                <w:sz w:val="24"/>
                <w:szCs w:val="24"/>
                <w:lang w:val="en-US" w:eastAsia="zh-CN"/>
              </w:rPr>
              <w:t>投标人</w:t>
            </w:r>
            <w:r>
              <w:rPr>
                <w:rFonts w:hint="eastAsia" w:ascii="仿宋" w:hAnsi="仿宋" w:eastAsia="仿宋" w:cs="仿宋"/>
                <w:color w:val="auto"/>
                <w:spacing w:val="6"/>
                <w:sz w:val="24"/>
                <w:szCs w:val="24"/>
              </w:rPr>
              <w:t>如对采购文件有异议应该按财政部第94号令《政府采购质疑和投诉办法》规定的时间</w:t>
            </w:r>
            <w:r>
              <w:rPr>
                <w:rFonts w:hint="eastAsia" w:ascii="仿宋" w:hAnsi="仿宋" w:eastAsia="仿宋" w:cs="仿宋"/>
                <w:color w:val="auto"/>
                <w:sz w:val="24"/>
                <w:szCs w:val="24"/>
              </w:rPr>
              <w:t>要求一次性提出针对同一采购程序环节的质疑</w:t>
            </w:r>
            <w:r>
              <w:rPr>
                <w:rFonts w:hint="eastAsia" w:ascii="仿宋" w:hAnsi="仿宋" w:eastAsia="仿宋" w:cs="仿宋"/>
                <w:color w:val="auto"/>
                <w:spacing w:val="6"/>
                <w:sz w:val="24"/>
                <w:szCs w:val="24"/>
              </w:rPr>
              <w:t>，逾期提出的，代理机构不予受理、答复。对未按上述方式获取采购文件的供应商对该文件提出的质疑，</w:t>
            </w:r>
            <w:r>
              <w:rPr>
                <w:rFonts w:hint="eastAsia" w:ascii="仿宋" w:hAnsi="仿宋" w:eastAsia="仿宋" w:cs="仿宋"/>
                <w:color w:val="auto"/>
                <w:spacing w:val="6"/>
                <w:sz w:val="24"/>
                <w:szCs w:val="24"/>
                <w:lang w:eastAsia="zh-CN"/>
              </w:rPr>
              <w:t>采购人</w:t>
            </w:r>
            <w:r>
              <w:rPr>
                <w:rFonts w:hint="eastAsia" w:ascii="仿宋" w:hAnsi="仿宋" w:eastAsia="仿宋" w:cs="仿宋"/>
                <w:color w:val="auto"/>
                <w:spacing w:val="6"/>
                <w:sz w:val="24"/>
                <w:szCs w:val="24"/>
              </w:rPr>
              <w:t>或采购代理机构将不予处理。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91" w:type="dxa"/>
            <w:noWrap w:val="0"/>
            <w:vAlign w:val="center"/>
          </w:tcPr>
          <w:p>
            <w:pPr>
              <w:keepNext w:val="0"/>
              <w:keepLines w:val="0"/>
              <w:suppressLineNumbers w:val="0"/>
              <w:autoSpaceDE w:val="0"/>
              <w:autoSpaceDN w:val="0"/>
              <w:snapToGrid w:val="0"/>
              <w:spacing w:before="0" w:beforeAutospacing="0" w:after="0" w:afterAutospacing="0" w:line="400" w:lineRule="exact"/>
              <w:ind w:left="0" w:right="0"/>
              <w:jc w:val="center"/>
              <w:textAlignment w:val="bottom"/>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7</w:t>
            </w:r>
          </w:p>
        </w:tc>
        <w:tc>
          <w:tcPr>
            <w:tcW w:w="1787" w:type="dxa"/>
            <w:noWrap w:val="0"/>
            <w:vAlign w:val="center"/>
          </w:tcPr>
          <w:p>
            <w:pPr>
              <w:keepNext w:val="0"/>
              <w:keepLines w:val="0"/>
              <w:suppressLineNumbers w:val="0"/>
              <w:snapToGrid w:val="0"/>
              <w:spacing w:before="0" w:beforeAutospacing="0" w:after="0" w:afterAutospacing="0"/>
              <w:ind w:left="0" w:right="0"/>
              <w:jc w:val="center"/>
              <w:rPr>
                <w:rFonts w:hint="eastAsia" w:ascii="仿宋" w:hAnsi="仿宋" w:eastAsia="仿宋" w:cs="仿宋"/>
                <w:color w:val="auto"/>
                <w:sz w:val="24"/>
                <w:szCs w:val="24"/>
              </w:rPr>
            </w:pPr>
            <w:r>
              <w:rPr>
                <w:rFonts w:hint="eastAsia" w:ascii="仿宋" w:hAnsi="仿宋" w:eastAsia="仿宋" w:cs="仿宋"/>
                <w:b/>
                <w:color w:val="auto"/>
                <w:sz w:val="24"/>
                <w:szCs w:val="24"/>
              </w:rPr>
              <w:t>方案讲解演示</w:t>
            </w:r>
          </w:p>
        </w:tc>
        <w:tc>
          <w:tcPr>
            <w:tcW w:w="7025" w:type="dxa"/>
            <w:noWrap w:val="0"/>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400" w:lineRule="exact"/>
              <w:ind w:left="0" w:right="0"/>
              <w:contextualSpacing/>
              <w:rPr>
                <w:rFonts w:hint="eastAsia" w:ascii="仿宋" w:hAnsi="仿宋" w:eastAsia="仿宋" w:cs="仿宋"/>
                <w:color w:val="auto"/>
                <w:sz w:val="24"/>
                <w:szCs w:val="24"/>
              </w:rPr>
            </w:pPr>
            <w:r>
              <w:rPr>
                <w:rFonts w:hint="eastAsia" w:ascii="仿宋" w:hAnsi="仿宋" w:eastAsia="仿宋" w:cs="仿宋"/>
                <w:color w:val="auto"/>
                <w:kern w:val="0"/>
                <w:sz w:val="24"/>
                <w:szCs w:val="24"/>
              </w:rPr>
              <w:sym w:font="Wingdings" w:char="00FE"/>
            </w:r>
            <w:r>
              <w:rPr>
                <w:rFonts w:hint="eastAsia" w:ascii="仿宋" w:hAnsi="仿宋" w:eastAsia="仿宋" w:cs="仿宋"/>
                <w:color w:val="auto"/>
                <w:kern w:val="0"/>
                <w:sz w:val="24"/>
                <w:szCs w:val="24"/>
              </w:rPr>
              <w:t>A</w:t>
            </w:r>
            <w:r>
              <w:rPr>
                <w:rFonts w:hint="eastAsia" w:ascii="仿宋" w:hAnsi="仿宋" w:eastAsia="仿宋" w:cs="仿宋"/>
                <w:color w:val="auto"/>
                <w:sz w:val="24"/>
                <w:szCs w:val="24"/>
              </w:rPr>
              <w:t>不组织。</w:t>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400" w:lineRule="exact"/>
              <w:ind w:left="0" w:right="0"/>
              <w:contextualSpacing/>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sym w:font="Wingdings" w:char="00A8"/>
            </w:r>
            <w:r>
              <w:rPr>
                <w:rFonts w:hint="eastAsia" w:ascii="仿宋" w:hAnsi="仿宋" w:eastAsia="仿宋" w:cs="仿宋"/>
                <w:color w:val="auto"/>
                <w:kern w:val="0"/>
                <w:sz w:val="24"/>
                <w:szCs w:val="24"/>
              </w:rPr>
              <w:t>B组织。</w:t>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400" w:lineRule="exact"/>
              <w:ind w:left="0" w:right="0"/>
              <w:contextualSpacing/>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（1）在评标时安排每个投标人进行方案讲解演示。每个投标人时间不超过</w:t>
            </w:r>
            <w:r>
              <w:rPr>
                <w:rFonts w:hint="eastAsia" w:ascii="仿宋" w:hAnsi="仿宋" w:eastAsia="仿宋" w:cs="仿宋"/>
                <w:color w:val="auto"/>
                <w:kern w:val="0"/>
                <w:sz w:val="24"/>
                <w:szCs w:val="24"/>
                <w:lang w:val="en-US" w:eastAsia="zh-CN"/>
              </w:rPr>
              <w:t>15</w:t>
            </w:r>
            <w:r>
              <w:rPr>
                <w:rFonts w:hint="eastAsia" w:ascii="仿宋" w:hAnsi="仿宋" w:eastAsia="仿宋" w:cs="仿宋"/>
                <w:color w:val="auto"/>
                <w:kern w:val="0"/>
                <w:sz w:val="24"/>
                <w:szCs w:val="24"/>
              </w:rPr>
              <w:t>分钟，讲解次序以投标文件解密时间先后次序为准，讲解演示人员不超过</w:t>
            </w:r>
            <w:r>
              <w:rPr>
                <w:rFonts w:hint="eastAsia" w:ascii="仿宋" w:hAnsi="仿宋" w:eastAsia="仿宋" w:cs="仿宋"/>
                <w:color w:val="auto"/>
                <w:kern w:val="0"/>
                <w:sz w:val="24"/>
                <w:szCs w:val="24"/>
                <w:lang w:val="en-US" w:eastAsia="zh-CN"/>
              </w:rPr>
              <w:t>2</w:t>
            </w:r>
            <w:r>
              <w:rPr>
                <w:rFonts w:hint="eastAsia" w:ascii="仿宋" w:hAnsi="仿宋" w:eastAsia="仿宋" w:cs="仿宋"/>
                <w:color w:val="auto"/>
                <w:kern w:val="0"/>
                <w:sz w:val="24"/>
                <w:szCs w:val="24"/>
              </w:rPr>
              <w:t>人。讲解演示结束后按要求解答评标委员会提问。</w:t>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400" w:lineRule="exact"/>
              <w:ind w:left="0" w:right="0"/>
              <w:contextualSpacing/>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（2）方案讲解演示可选择以下其中一种方式：</w:t>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400" w:lineRule="exact"/>
              <w:ind w:left="0" w:right="0"/>
              <w:contextualSpacing/>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w:t>
            </w:r>
            <w:r>
              <w:rPr>
                <w:rFonts w:hint="eastAsia" w:ascii="仿宋" w:hAnsi="仿宋" w:eastAsia="仿宋" w:cs="仿宋"/>
                <w:b/>
                <w:bCs/>
                <w:color w:val="auto"/>
                <w:kern w:val="0"/>
                <w:sz w:val="24"/>
                <w:szCs w:val="24"/>
              </w:rPr>
              <w:t>方式一：</w:t>
            </w:r>
            <w:r>
              <w:rPr>
                <w:rFonts w:hint="eastAsia" w:ascii="仿宋" w:hAnsi="仿宋" w:eastAsia="仿宋" w:cs="仿宋"/>
                <w:color w:val="auto"/>
                <w:kern w:val="0"/>
                <w:sz w:val="24"/>
                <w:szCs w:val="24"/>
                <w:lang w:eastAsia="zh-CN"/>
              </w:rPr>
              <w:t>乐采云</w:t>
            </w:r>
            <w:r>
              <w:rPr>
                <w:rFonts w:hint="eastAsia" w:ascii="仿宋" w:hAnsi="仿宋" w:eastAsia="仿宋" w:cs="仿宋"/>
                <w:color w:val="auto"/>
                <w:kern w:val="0"/>
                <w:sz w:val="24"/>
                <w:szCs w:val="24"/>
              </w:rPr>
              <w:t>平台在线讲解演示。</w:t>
            </w:r>
            <w:r>
              <w:rPr>
                <w:rFonts w:hint="eastAsia" w:ascii="仿宋" w:hAnsi="仿宋" w:eastAsia="仿宋" w:cs="仿宋"/>
                <w:color w:val="auto"/>
                <w:kern w:val="0"/>
                <w:sz w:val="24"/>
                <w:szCs w:val="24"/>
                <w:lang w:eastAsia="zh-CN"/>
              </w:rPr>
              <w:t>乐采云</w:t>
            </w:r>
            <w:r>
              <w:rPr>
                <w:rFonts w:hint="eastAsia" w:ascii="仿宋" w:hAnsi="仿宋" w:eastAsia="仿宋" w:cs="仿宋"/>
                <w:color w:val="auto"/>
                <w:kern w:val="0"/>
                <w:sz w:val="24"/>
                <w:szCs w:val="24"/>
              </w:rPr>
              <w:t>平台在线讲解需投标人根据</w:t>
            </w:r>
            <w:r>
              <w:rPr>
                <w:rFonts w:hint="eastAsia" w:ascii="仿宋" w:hAnsi="仿宋" w:eastAsia="仿宋" w:cs="仿宋"/>
                <w:color w:val="auto"/>
                <w:kern w:val="0"/>
                <w:sz w:val="24"/>
                <w:szCs w:val="24"/>
                <w:lang w:eastAsia="zh-CN"/>
              </w:rPr>
              <w:t>乐采云</w:t>
            </w:r>
            <w:r>
              <w:rPr>
                <w:rFonts w:hint="eastAsia" w:ascii="仿宋" w:hAnsi="仿宋" w:eastAsia="仿宋" w:cs="仿宋"/>
                <w:color w:val="auto"/>
                <w:kern w:val="0"/>
                <w:sz w:val="24"/>
                <w:szCs w:val="24"/>
              </w:rPr>
              <w:t>平台操作要求做好准备工作，提前完善软硬件配置环境。</w:t>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400" w:lineRule="exact"/>
              <w:ind w:left="0" w:right="0"/>
              <w:contextualSpacing/>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sym w:font="Wingdings" w:char="00A8"/>
            </w:r>
            <w:r>
              <w:rPr>
                <w:rFonts w:hint="eastAsia" w:ascii="仿宋" w:hAnsi="仿宋" w:eastAsia="仿宋" w:cs="仿宋"/>
                <w:b/>
                <w:bCs/>
                <w:color w:val="auto"/>
                <w:kern w:val="0"/>
                <w:sz w:val="24"/>
                <w:szCs w:val="24"/>
              </w:rPr>
              <w:t>方式二：</w:t>
            </w:r>
            <w:r>
              <w:rPr>
                <w:rFonts w:hint="eastAsia" w:ascii="仿宋" w:hAnsi="仿宋" w:eastAsia="仿宋" w:cs="仿宋"/>
                <w:color w:val="auto"/>
                <w:kern w:val="0"/>
                <w:sz w:val="24"/>
                <w:szCs w:val="24"/>
              </w:rPr>
              <w:t>代理机构评标场所现场讲解演示。现场讲解地点为</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u w:val="single"/>
              </w:rPr>
              <w:t xml:space="preserve"> </w:t>
            </w:r>
            <w:r>
              <w:rPr>
                <w:rFonts w:hint="eastAsia" w:ascii="仿宋" w:hAnsi="仿宋" w:eastAsia="仿宋" w:cs="仿宋"/>
                <w:color w:val="auto"/>
                <w:kern w:val="0"/>
                <w:sz w:val="24"/>
                <w:szCs w:val="24"/>
              </w:rPr>
              <w:t>，讲解演示所用电脑等设备由投标人自备。现场讲解演示人员进场时提供讲解人员名单（加盖公章）及身份证明，否则不得讲解演示。</w:t>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400" w:lineRule="exact"/>
              <w:ind w:left="0" w:right="0"/>
              <w:contextualSpacing/>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w:t>
            </w:r>
            <w:r>
              <w:rPr>
                <w:rFonts w:hint="eastAsia" w:ascii="仿宋" w:hAnsi="仿宋" w:eastAsia="仿宋" w:cs="仿宋"/>
                <w:b/>
                <w:bCs/>
                <w:color w:val="auto"/>
                <w:kern w:val="0"/>
                <w:sz w:val="24"/>
                <w:szCs w:val="24"/>
              </w:rPr>
              <w:t>方式三：</w:t>
            </w:r>
            <w:r>
              <w:rPr>
                <w:rFonts w:hint="eastAsia" w:ascii="仿宋" w:hAnsi="仿宋" w:eastAsia="仿宋" w:cs="仿宋"/>
                <w:color w:val="auto"/>
                <w:kern w:val="0"/>
                <w:sz w:val="24"/>
                <w:szCs w:val="24"/>
              </w:rPr>
              <w:t>采用视频录制方式，用U盘介质储存快递或邮寄至代理机构（公告中列明的地址）</w:t>
            </w:r>
            <w:r>
              <w:rPr>
                <w:rFonts w:hint="eastAsia" w:ascii="仿宋" w:hAnsi="仿宋" w:eastAsia="仿宋" w:cs="仿宋"/>
                <w:color w:val="auto"/>
                <w:kern w:val="0"/>
                <w:sz w:val="24"/>
                <w:szCs w:val="24"/>
                <w:lang w:eastAsia="zh-CN"/>
              </w:rPr>
              <w:t>，</w:t>
            </w:r>
            <w:r>
              <w:rPr>
                <w:rFonts w:hint="eastAsia" w:ascii="仿宋" w:hAnsi="仿宋" w:eastAsia="仿宋" w:cs="仿宋"/>
                <w:color w:val="auto"/>
                <w:kern w:val="0"/>
                <w:sz w:val="24"/>
                <w:szCs w:val="24"/>
              </w:rPr>
              <w:t>若因U盘损坏或打不开则按视为未提交。</w:t>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400" w:lineRule="exact"/>
              <w:ind w:left="0" w:right="0"/>
              <w:contextualSpacing/>
              <w:rPr>
                <w:rFonts w:hint="eastAsia" w:ascii="仿宋" w:hAnsi="仿宋" w:eastAsia="仿宋" w:cs="仿宋"/>
                <w:color w:val="auto"/>
                <w:sz w:val="24"/>
                <w:szCs w:val="24"/>
              </w:rPr>
            </w:pPr>
            <w:r>
              <w:rPr>
                <w:rFonts w:hint="eastAsia" w:ascii="仿宋" w:hAnsi="仿宋" w:eastAsia="仿宋" w:cs="仿宋"/>
                <w:color w:val="auto"/>
                <w:kern w:val="0"/>
                <w:sz w:val="24"/>
                <w:szCs w:val="24"/>
              </w:rPr>
              <w:t>☐</w:t>
            </w:r>
            <w:r>
              <w:rPr>
                <w:rFonts w:hint="eastAsia" w:ascii="仿宋" w:hAnsi="仿宋" w:eastAsia="仿宋" w:cs="仿宋"/>
                <w:b/>
                <w:bCs/>
                <w:color w:val="auto"/>
                <w:kern w:val="0"/>
                <w:sz w:val="24"/>
                <w:szCs w:val="24"/>
              </w:rPr>
              <w:t>方式四：</w:t>
            </w:r>
            <w:r>
              <w:rPr>
                <w:rFonts w:hint="eastAsia" w:ascii="仿宋" w:hAnsi="仿宋" w:eastAsia="仿宋" w:cs="仿宋"/>
                <w:color w:val="auto"/>
                <w:kern w:val="0"/>
                <w:sz w:val="24"/>
                <w:szCs w:val="24"/>
              </w:rPr>
              <w:t>采用现场钉钉直播演示的。开标后，演示人请加钉钉号：</w:t>
            </w:r>
            <w:r>
              <w:rPr>
                <w:rFonts w:hint="eastAsia" w:ascii="仿宋" w:hAnsi="仿宋" w:eastAsia="仿宋" w:cs="仿宋"/>
                <w:color w:val="auto"/>
                <w:kern w:val="0"/>
                <w:sz w:val="24"/>
                <w:szCs w:val="24"/>
                <w:u w:val="single"/>
              </w:rPr>
              <w:t xml:space="preserve">    </w:t>
            </w:r>
            <w:r>
              <w:rPr>
                <w:rFonts w:hint="eastAsia" w:ascii="仿宋" w:hAnsi="仿宋" w:eastAsia="仿宋" w:cs="仿宋"/>
                <w:color w:val="auto"/>
                <w:kern w:val="0"/>
                <w:sz w:val="24"/>
                <w:szCs w:val="24"/>
              </w:rPr>
              <w:t>，添加时请备注单位名称。请求发送后，代理工作人员将通过好友验证。直播演示前，首先演示人进行身份信息直播核对。未派遣投标文件中的项目组人员进行直播演示讲解或未提供身份证明的，评分项不得分。</w:t>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400" w:lineRule="exact"/>
              <w:ind w:left="0" w:right="0"/>
              <w:contextualSpacing/>
              <w:rPr>
                <w:rFonts w:hint="eastAsia" w:ascii="仿宋" w:hAnsi="仿宋" w:eastAsia="仿宋" w:cs="仿宋"/>
                <w:color w:val="auto"/>
                <w:spacing w:val="6"/>
                <w:sz w:val="24"/>
                <w:szCs w:val="24"/>
                <w:lang w:val="en-US" w:eastAsia="zh-CN"/>
              </w:rPr>
            </w:pPr>
            <w:r>
              <w:rPr>
                <w:rFonts w:hint="eastAsia" w:ascii="仿宋" w:hAnsi="仿宋" w:eastAsia="仿宋" w:cs="仿宋"/>
                <w:color w:val="auto"/>
                <w:kern w:val="0"/>
                <w:sz w:val="24"/>
                <w:szCs w:val="24"/>
              </w:rPr>
              <w:t>注：因投标人自身原因导致无法演示或者演示效果不理想的，责任自负。因平台原因导致本项目方案讲解演示环节无法顺利开展，按照《浙江省政府采购项目电子交易管理暂行办法》相关规定执行。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jc w:val="center"/>
        </w:trPr>
        <w:tc>
          <w:tcPr>
            <w:tcW w:w="791" w:type="dxa"/>
            <w:vMerge w:val="restart"/>
            <w:noWrap w:val="0"/>
            <w:vAlign w:val="center"/>
          </w:tcPr>
          <w:p>
            <w:pPr>
              <w:keepNext w:val="0"/>
              <w:keepLines w:val="0"/>
              <w:suppressLineNumbers w:val="0"/>
              <w:autoSpaceDE w:val="0"/>
              <w:autoSpaceDN w:val="0"/>
              <w:snapToGrid w:val="0"/>
              <w:spacing w:before="0" w:beforeAutospacing="0" w:after="0" w:afterAutospacing="0" w:line="400" w:lineRule="exact"/>
              <w:ind w:left="0" w:right="0"/>
              <w:jc w:val="center"/>
              <w:textAlignment w:val="bottom"/>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w:t>
            </w:r>
          </w:p>
        </w:tc>
        <w:tc>
          <w:tcPr>
            <w:tcW w:w="1787" w:type="dxa"/>
            <w:vMerge w:val="restart"/>
            <w:noWrap w:val="0"/>
            <w:vAlign w:val="center"/>
          </w:tcPr>
          <w:p>
            <w:pPr>
              <w:keepNext w:val="0"/>
              <w:keepLines w:val="0"/>
              <w:suppressLineNumbers w:val="0"/>
              <w:snapToGrid w:val="0"/>
              <w:spacing w:before="0" w:beforeAutospacing="0" w:after="0" w:afterAutospacing="0"/>
              <w:ind w:left="0" w:right="0"/>
              <w:jc w:val="center"/>
              <w:rPr>
                <w:rFonts w:hint="eastAsia" w:ascii="仿宋" w:hAnsi="仿宋" w:eastAsia="仿宋" w:cs="仿宋"/>
                <w:color w:val="auto"/>
                <w:sz w:val="24"/>
                <w:szCs w:val="24"/>
              </w:rPr>
            </w:pPr>
            <w:r>
              <w:rPr>
                <w:rFonts w:hint="eastAsia" w:ascii="仿宋" w:hAnsi="仿宋" w:eastAsia="仿宋" w:cs="仿宋"/>
                <w:b/>
                <w:color w:val="auto"/>
                <w:sz w:val="24"/>
                <w:szCs w:val="24"/>
              </w:rPr>
              <w:t>投标人应当提供的资格、资信证明文件</w:t>
            </w:r>
          </w:p>
        </w:tc>
        <w:tc>
          <w:tcPr>
            <w:tcW w:w="7025" w:type="dxa"/>
            <w:noWrap w:val="0"/>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400" w:lineRule="exact"/>
              <w:ind w:left="0" w:right="0"/>
              <w:contextualSpacing/>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（1）资格证明文件</w:t>
            </w:r>
            <w:r>
              <w:rPr>
                <w:rFonts w:hint="eastAsia" w:ascii="仿宋" w:hAnsi="仿宋" w:eastAsia="仿宋" w:cs="仿宋"/>
                <w:color w:val="auto"/>
                <w:sz w:val="24"/>
                <w:szCs w:val="24"/>
                <w:lang w:val="en-US" w:eastAsia="zh-CN"/>
              </w:rPr>
              <w:t>见招标文件第二部分4.2.1</w:t>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400" w:lineRule="exact"/>
              <w:ind w:left="0" w:right="0"/>
              <w:contextualSpacing/>
              <w:rPr>
                <w:rFonts w:hint="eastAsia" w:ascii="仿宋" w:hAnsi="仿宋" w:eastAsia="仿宋" w:cs="仿宋"/>
                <w:color w:val="auto"/>
                <w:sz w:val="24"/>
                <w:szCs w:val="24"/>
              </w:rPr>
            </w:pPr>
            <w:r>
              <w:rPr>
                <w:rFonts w:hint="eastAsia" w:ascii="仿宋" w:hAnsi="仿宋" w:eastAsia="仿宋" w:cs="仿宋"/>
                <w:color w:val="auto"/>
                <w:kern w:val="0"/>
                <w:sz w:val="24"/>
                <w:szCs w:val="24"/>
                <w:lang w:val="zh-CN"/>
              </w:rPr>
              <w:t>投标人未提供有效的资格证明文件的，视为投标人不具备招标文件中规定的资格要求，投标无效。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7" w:hRule="atLeast"/>
          <w:jc w:val="center"/>
        </w:trPr>
        <w:tc>
          <w:tcPr>
            <w:tcW w:w="791" w:type="dxa"/>
            <w:vMerge w:val="continue"/>
            <w:noWrap w:val="0"/>
            <w:vAlign w:val="center"/>
          </w:tcPr>
          <w:p>
            <w:pPr>
              <w:keepNext w:val="0"/>
              <w:keepLines w:val="0"/>
              <w:suppressLineNumbers w:val="0"/>
              <w:snapToGrid w:val="0"/>
              <w:spacing w:before="0" w:beforeAutospacing="0" w:after="0" w:afterAutospacing="0" w:line="360" w:lineRule="auto"/>
              <w:ind w:left="0" w:right="0"/>
              <w:contextualSpacing/>
              <w:rPr>
                <w:rFonts w:hint="eastAsia" w:ascii="仿宋" w:hAnsi="仿宋" w:eastAsia="仿宋" w:cs="仿宋"/>
                <w:color w:val="auto"/>
                <w:sz w:val="24"/>
                <w:szCs w:val="24"/>
              </w:rPr>
            </w:pPr>
          </w:p>
        </w:tc>
        <w:tc>
          <w:tcPr>
            <w:tcW w:w="1787" w:type="dxa"/>
            <w:vMerge w:val="continue"/>
            <w:noWrap w:val="0"/>
            <w:vAlign w:val="center"/>
          </w:tcPr>
          <w:p>
            <w:pPr>
              <w:keepNext w:val="0"/>
              <w:keepLines w:val="0"/>
              <w:suppressLineNumbers w:val="0"/>
              <w:snapToGrid w:val="0"/>
              <w:spacing w:before="0" w:beforeAutospacing="0" w:after="0" w:afterAutospacing="0" w:line="360" w:lineRule="auto"/>
              <w:ind w:left="0" w:right="0"/>
              <w:contextualSpacing/>
              <w:rPr>
                <w:rFonts w:hint="eastAsia" w:ascii="仿宋" w:hAnsi="仿宋" w:eastAsia="仿宋" w:cs="仿宋"/>
                <w:color w:val="auto"/>
                <w:sz w:val="24"/>
                <w:szCs w:val="24"/>
              </w:rPr>
            </w:pPr>
          </w:p>
        </w:tc>
        <w:tc>
          <w:tcPr>
            <w:tcW w:w="7025" w:type="dxa"/>
            <w:noWrap w:val="0"/>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400" w:lineRule="exact"/>
              <w:ind w:left="0" w:right="0"/>
              <w:contextualSpacing/>
              <w:rPr>
                <w:rFonts w:hint="eastAsia" w:ascii="仿宋" w:hAnsi="仿宋" w:eastAsia="仿宋" w:cs="仿宋"/>
                <w:color w:val="auto"/>
                <w:kern w:val="0"/>
                <w:sz w:val="24"/>
                <w:szCs w:val="24"/>
                <w:lang w:val="zh-CN"/>
              </w:rPr>
            </w:pPr>
            <w:r>
              <w:rPr>
                <w:rFonts w:hint="eastAsia" w:ascii="仿宋" w:hAnsi="仿宋" w:eastAsia="仿宋" w:cs="仿宋"/>
                <w:color w:val="auto"/>
                <w:sz w:val="24"/>
                <w:szCs w:val="24"/>
              </w:rPr>
              <w:t>（2）</w:t>
            </w:r>
            <w:r>
              <w:rPr>
                <w:rFonts w:hint="eastAsia" w:ascii="仿宋" w:hAnsi="仿宋" w:eastAsia="仿宋" w:cs="仿宋"/>
                <w:color w:val="auto"/>
                <w:sz w:val="24"/>
                <w:szCs w:val="24"/>
                <w:lang w:eastAsia="zh-CN"/>
              </w:rPr>
              <w:t>商务技术</w:t>
            </w:r>
            <w:r>
              <w:rPr>
                <w:rFonts w:hint="eastAsia" w:ascii="仿宋" w:hAnsi="仿宋" w:eastAsia="仿宋" w:cs="仿宋"/>
                <w:color w:val="auto"/>
                <w:sz w:val="24"/>
                <w:szCs w:val="24"/>
              </w:rPr>
              <w:t>文件：根据</w:t>
            </w:r>
            <w:r>
              <w:rPr>
                <w:rFonts w:hint="eastAsia" w:ascii="仿宋" w:hAnsi="仿宋" w:eastAsia="仿宋" w:cs="仿宋"/>
                <w:color w:val="auto"/>
                <w:sz w:val="24"/>
                <w:szCs w:val="24"/>
                <w:lang w:eastAsia="zh-CN"/>
              </w:rPr>
              <w:t>招标</w:t>
            </w:r>
            <w:r>
              <w:rPr>
                <w:rFonts w:hint="eastAsia" w:ascii="仿宋" w:hAnsi="仿宋" w:eastAsia="仿宋" w:cs="仿宋"/>
                <w:color w:val="auto"/>
                <w:sz w:val="24"/>
                <w:szCs w:val="24"/>
              </w:rPr>
              <w:t>文件第四部分评标标准提供。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1" w:hRule="atLeast"/>
          <w:jc w:val="center"/>
        </w:trPr>
        <w:tc>
          <w:tcPr>
            <w:tcW w:w="791" w:type="dxa"/>
            <w:noWrap w:val="0"/>
            <w:vAlign w:val="center"/>
          </w:tcPr>
          <w:p>
            <w:pPr>
              <w:keepNext w:val="0"/>
              <w:keepLines w:val="0"/>
              <w:suppressLineNumbers w:val="0"/>
              <w:autoSpaceDE w:val="0"/>
              <w:autoSpaceDN w:val="0"/>
              <w:snapToGrid w:val="0"/>
              <w:spacing w:before="0" w:beforeAutospacing="0" w:after="0" w:afterAutospacing="0" w:line="400" w:lineRule="exact"/>
              <w:ind w:left="0" w:right="0"/>
              <w:jc w:val="center"/>
              <w:textAlignment w:val="bottom"/>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9</w:t>
            </w:r>
          </w:p>
        </w:tc>
        <w:tc>
          <w:tcPr>
            <w:tcW w:w="1787" w:type="dxa"/>
            <w:noWrap w:val="0"/>
            <w:vAlign w:val="center"/>
          </w:tcPr>
          <w:p>
            <w:pPr>
              <w:keepNext w:val="0"/>
              <w:keepLines w:val="0"/>
              <w:suppressLineNumbers w:val="0"/>
              <w:autoSpaceDE w:val="0"/>
              <w:autoSpaceDN w:val="0"/>
              <w:snapToGrid w:val="0"/>
              <w:spacing w:before="0" w:beforeAutospacing="0" w:after="0" w:afterAutospacing="0" w:line="400" w:lineRule="exact"/>
              <w:ind w:left="0" w:right="0"/>
              <w:jc w:val="center"/>
              <w:textAlignment w:val="bottom"/>
              <w:rPr>
                <w:rFonts w:hint="eastAsia" w:ascii="仿宋" w:hAnsi="仿宋" w:eastAsia="仿宋" w:cs="仿宋"/>
                <w:color w:val="auto"/>
                <w:sz w:val="24"/>
                <w:szCs w:val="24"/>
              </w:rPr>
            </w:pPr>
            <w:r>
              <w:rPr>
                <w:rFonts w:hint="eastAsia" w:ascii="仿宋" w:hAnsi="仿宋" w:eastAsia="仿宋" w:cs="仿宋"/>
                <w:b/>
                <w:bCs/>
                <w:color w:val="auto"/>
                <w:sz w:val="24"/>
                <w:szCs w:val="24"/>
              </w:rPr>
              <w:t>投标文件编制</w:t>
            </w:r>
          </w:p>
        </w:tc>
        <w:tc>
          <w:tcPr>
            <w:tcW w:w="7025" w:type="dxa"/>
            <w:noWrap w:val="0"/>
            <w:vAlign w:val="center"/>
          </w:tcPr>
          <w:p>
            <w:pPr>
              <w:keepNext w:val="0"/>
              <w:keepLines w:val="0"/>
              <w:suppressLineNumbers w:val="0"/>
              <w:autoSpaceDE w:val="0"/>
              <w:autoSpaceDN w:val="0"/>
              <w:snapToGrid w:val="0"/>
              <w:spacing w:before="0" w:beforeAutospacing="0" w:after="0" w:afterAutospacing="0" w:line="400" w:lineRule="exact"/>
              <w:ind w:left="0" w:right="0"/>
              <w:textAlignment w:val="bottom"/>
              <w:rPr>
                <w:rFonts w:hint="eastAsia" w:ascii="仿宋" w:hAnsi="仿宋" w:eastAsia="仿宋" w:cs="仿宋"/>
                <w:color w:val="auto"/>
                <w:sz w:val="24"/>
                <w:szCs w:val="24"/>
              </w:rPr>
            </w:pPr>
            <w:r>
              <w:rPr>
                <w:rFonts w:hint="eastAsia" w:ascii="仿宋" w:hAnsi="仿宋" w:eastAsia="仿宋" w:cs="仿宋"/>
                <w:color w:val="auto"/>
                <w:sz w:val="24"/>
                <w:szCs w:val="24"/>
              </w:rPr>
              <w:t>供应商应先安装“</w:t>
            </w:r>
            <w:r>
              <w:rPr>
                <w:rFonts w:hint="eastAsia" w:ascii="仿宋" w:hAnsi="仿宋" w:eastAsia="仿宋" w:cs="仿宋"/>
                <w:color w:val="auto"/>
                <w:sz w:val="24"/>
                <w:szCs w:val="24"/>
                <w:lang w:eastAsia="zh-CN"/>
              </w:rPr>
              <w:t>乐采云</w:t>
            </w:r>
            <w:r>
              <w:rPr>
                <w:rFonts w:hint="eastAsia" w:ascii="仿宋" w:hAnsi="仿宋" w:eastAsia="仿宋" w:cs="仿宋"/>
                <w:color w:val="auto"/>
                <w:sz w:val="24"/>
                <w:szCs w:val="24"/>
              </w:rPr>
              <w:t>电子交易客户端”，并按照本采购文件和“</w:t>
            </w:r>
            <w:r>
              <w:rPr>
                <w:rFonts w:hint="eastAsia" w:ascii="仿宋" w:hAnsi="仿宋" w:eastAsia="仿宋" w:cs="仿宋"/>
                <w:color w:val="auto"/>
                <w:sz w:val="24"/>
                <w:szCs w:val="24"/>
                <w:lang w:eastAsia="zh-CN"/>
              </w:rPr>
              <w:t>采购云平台</w:t>
            </w:r>
            <w:r>
              <w:rPr>
                <w:rFonts w:hint="eastAsia" w:ascii="仿宋" w:hAnsi="仿宋" w:eastAsia="仿宋" w:cs="仿宋"/>
                <w:color w:val="auto"/>
                <w:sz w:val="24"/>
                <w:szCs w:val="24"/>
              </w:rPr>
              <w:t>”的要求，通过“</w:t>
            </w:r>
            <w:r>
              <w:rPr>
                <w:rFonts w:hint="eastAsia" w:ascii="仿宋" w:hAnsi="仿宋" w:eastAsia="仿宋" w:cs="仿宋"/>
                <w:color w:val="auto"/>
                <w:sz w:val="24"/>
                <w:szCs w:val="24"/>
                <w:lang w:eastAsia="zh-CN"/>
              </w:rPr>
              <w:t>乐采云</w:t>
            </w:r>
            <w:r>
              <w:rPr>
                <w:rFonts w:hint="eastAsia" w:ascii="仿宋" w:hAnsi="仿宋" w:eastAsia="仿宋" w:cs="仿宋"/>
                <w:color w:val="auto"/>
                <w:sz w:val="24"/>
                <w:szCs w:val="24"/>
              </w:rPr>
              <w:t>电子交易客户端”编制并加密投标文件。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1" w:hRule="atLeast"/>
          <w:jc w:val="center"/>
        </w:trPr>
        <w:tc>
          <w:tcPr>
            <w:tcW w:w="791" w:type="dxa"/>
            <w:noWrap w:val="0"/>
            <w:vAlign w:val="center"/>
          </w:tcPr>
          <w:p>
            <w:pPr>
              <w:keepNext w:val="0"/>
              <w:keepLines w:val="0"/>
              <w:suppressLineNumbers w:val="0"/>
              <w:autoSpaceDE w:val="0"/>
              <w:autoSpaceDN w:val="0"/>
              <w:snapToGrid w:val="0"/>
              <w:spacing w:before="0" w:beforeAutospacing="0" w:after="0" w:afterAutospacing="0" w:line="400" w:lineRule="exact"/>
              <w:ind w:left="0" w:right="0"/>
              <w:jc w:val="center"/>
              <w:textAlignment w:val="bottom"/>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10</w:t>
            </w:r>
          </w:p>
        </w:tc>
        <w:tc>
          <w:tcPr>
            <w:tcW w:w="1787" w:type="dxa"/>
            <w:noWrap w:val="0"/>
            <w:vAlign w:val="center"/>
          </w:tcPr>
          <w:p>
            <w:pPr>
              <w:keepNext w:val="0"/>
              <w:keepLines w:val="0"/>
              <w:suppressLineNumbers w:val="0"/>
              <w:autoSpaceDE w:val="0"/>
              <w:autoSpaceDN w:val="0"/>
              <w:snapToGrid w:val="0"/>
              <w:spacing w:before="0" w:beforeAutospacing="0" w:after="0" w:afterAutospacing="0" w:line="400" w:lineRule="exact"/>
              <w:ind w:left="0" w:right="0"/>
              <w:jc w:val="center"/>
              <w:textAlignment w:val="bottom"/>
              <w:rPr>
                <w:rFonts w:hint="eastAsia" w:ascii="仿宋" w:hAnsi="仿宋" w:eastAsia="仿宋" w:cs="仿宋"/>
                <w:color w:val="auto"/>
                <w:sz w:val="24"/>
                <w:szCs w:val="24"/>
                <w:lang w:eastAsia="zh-CN"/>
              </w:rPr>
            </w:pPr>
            <w:r>
              <w:rPr>
                <w:rFonts w:hint="eastAsia" w:ascii="仿宋" w:hAnsi="仿宋" w:eastAsia="仿宋" w:cs="仿宋"/>
                <w:b/>
                <w:bCs/>
                <w:color w:val="auto"/>
                <w:sz w:val="24"/>
                <w:szCs w:val="24"/>
                <w:lang w:eastAsia="zh-CN"/>
              </w:rPr>
              <w:t>签字或盖章要求</w:t>
            </w:r>
          </w:p>
        </w:tc>
        <w:tc>
          <w:tcPr>
            <w:tcW w:w="7025" w:type="dxa"/>
            <w:noWrap w:val="0"/>
            <w:vAlign w:val="center"/>
          </w:tcPr>
          <w:p>
            <w:pPr>
              <w:keepNext w:val="0"/>
              <w:keepLines w:val="0"/>
              <w:suppressLineNumbers w:val="0"/>
              <w:autoSpaceDE w:val="0"/>
              <w:autoSpaceDN w:val="0"/>
              <w:snapToGrid w:val="0"/>
              <w:spacing w:before="0" w:beforeAutospacing="0" w:after="0" w:afterAutospacing="0" w:line="400" w:lineRule="exact"/>
              <w:ind w:left="0" w:right="0"/>
              <w:textAlignment w:val="bottom"/>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lang w:eastAsia="zh-CN"/>
              </w:rPr>
              <w:t>）电子投标文件必须有电子签章；</w:t>
            </w:r>
          </w:p>
          <w:p>
            <w:pPr>
              <w:keepNext w:val="0"/>
              <w:keepLines w:val="0"/>
              <w:suppressLineNumbers w:val="0"/>
              <w:autoSpaceDE w:val="0"/>
              <w:autoSpaceDN w:val="0"/>
              <w:snapToGrid w:val="0"/>
              <w:spacing w:before="0" w:beforeAutospacing="0" w:after="0" w:afterAutospacing="0" w:line="400" w:lineRule="exact"/>
              <w:ind w:left="0" w:right="0"/>
              <w:textAlignment w:val="bottom"/>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lang w:eastAsia="zh-CN"/>
              </w:rPr>
              <w:t>）开标后，相关信息记录确认、澄清说明、回复等内容，电子签章、或者签章后上传相关文件，均认可；</w:t>
            </w:r>
          </w:p>
          <w:p>
            <w:pPr>
              <w:keepNext w:val="0"/>
              <w:keepLines w:val="0"/>
              <w:suppressLineNumbers w:val="0"/>
              <w:autoSpaceDE w:val="0"/>
              <w:autoSpaceDN w:val="0"/>
              <w:snapToGrid w:val="0"/>
              <w:spacing w:before="0" w:beforeAutospacing="0" w:after="0" w:afterAutospacing="0" w:line="400" w:lineRule="exact"/>
              <w:ind w:left="0" w:right="0"/>
              <w:textAlignment w:val="bottom"/>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lang w:eastAsia="zh-CN"/>
              </w:rPr>
              <w:t>）乐采云系统平台有新的操作流程的，按其规定。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1" w:hRule="atLeast"/>
          <w:jc w:val="center"/>
        </w:trPr>
        <w:tc>
          <w:tcPr>
            <w:tcW w:w="791" w:type="dxa"/>
            <w:noWrap w:val="0"/>
            <w:vAlign w:val="center"/>
          </w:tcPr>
          <w:p>
            <w:pPr>
              <w:keepNext w:val="0"/>
              <w:keepLines w:val="0"/>
              <w:suppressLineNumbers w:val="0"/>
              <w:autoSpaceDE w:val="0"/>
              <w:autoSpaceDN w:val="0"/>
              <w:snapToGrid w:val="0"/>
              <w:spacing w:before="0" w:beforeAutospacing="0" w:after="0" w:afterAutospacing="0" w:line="400" w:lineRule="exact"/>
              <w:ind w:left="0" w:right="0"/>
              <w:jc w:val="center"/>
              <w:textAlignment w:val="bottom"/>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11</w:t>
            </w:r>
          </w:p>
        </w:tc>
        <w:tc>
          <w:tcPr>
            <w:tcW w:w="1787" w:type="dxa"/>
            <w:noWrap w:val="0"/>
            <w:vAlign w:val="center"/>
          </w:tcPr>
          <w:p>
            <w:pPr>
              <w:keepNext w:val="0"/>
              <w:keepLines w:val="0"/>
              <w:suppressLineNumbers w:val="0"/>
              <w:autoSpaceDE w:val="0"/>
              <w:autoSpaceDN w:val="0"/>
              <w:snapToGrid w:val="0"/>
              <w:spacing w:before="0" w:beforeAutospacing="0" w:after="0" w:afterAutospacing="0" w:line="400" w:lineRule="exact"/>
              <w:ind w:left="0" w:right="0"/>
              <w:jc w:val="center"/>
              <w:textAlignment w:val="bottom"/>
              <w:rPr>
                <w:rFonts w:hint="eastAsia" w:ascii="仿宋" w:hAnsi="仿宋" w:eastAsia="仿宋" w:cs="仿宋"/>
                <w:color w:val="auto"/>
                <w:sz w:val="24"/>
                <w:szCs w:val="24"/>
              </w:rPr>
            </w:pPr>
            <w:r>
              <w:rPr>
                <w:rFonts w:hint="eastAsia" w:ascii="仿宋" w:hAnsi="仿宋" w:eastAsia="仿宋" w:cs="仿宋"/>
                <w:b/>
                <w:bCs/>
                <w:color w:val="auto"/>
                <w:sz w:val="24"/>
                <w:szCs w:val="24"/>
              </w:rPr>
              <w:t>投标文件的形式</w:t>
            </w:r>
          </w:p>
        </w:tc>
        <w:tc>
          <w:tcPr>
            <w:tcW w:w="7025" w:type="dxa"/>
            <w:noWrap w:val="0"/>
            <w:vAlign w:val="center"/>
          </w:tcPr>
          <w:p>
            <w:pPr>
              <w:keepNext w:val="0"/>
              <w:keepLines w:val="0"/>
              <w:suppressLineNumbers w:val="0"/>
              <w:autoSpaceDE w:val="0"/>
              <w:autoSpaceDN w:val="0"/>
              <w:snapToGrid w:val="0"/>
              <w:spacing w:before="0" w:beforeAutospacing="0" w:after="0" w:afterAutospacing="0" w:line="400" w:lineRule="exact"/>
              <w:ind w:left="0" w:right="0"/>
              <w:textAlignment w:val="bottom"/>
              <w:rPr>
                <w:rFonts w:hint="eastAsia" w:ascii="仿宋" w:hAnsi="仿宋" w:eastAsia="仿宋" w:cs="仿宋"/>
                <w:color w:val="auto"/>
                <w:sz w:val="24"/>
                <w:szCs w:val="24"/>
              </w:rPr>
            </w:pPr>
            <w:r>
              <w:rPr>
                <w:rFonts w:hint="eastAsia" w:ascii="仿宋" w:hAnsi="仿宋" w:eastAsia="仿宋" w:cs="仿宋"/>
                <w:color w:val="auto"/>
                <w:sz w:val="24"/>
                <w:szCs w:val="24"/>
              </w:rPr>
              <w:t>电子投标文件（包括“电子加密投标文件”和“备份投标文件”，在投标文件编制完成后同时生成）；</w:t>
            </w:r>
          </w:p>
          <w:p>
            <w:pPr>
              <w:keepNext w:val="0"/>
              <w:keepLines w:val="0"/>
              <w:suppressLineNumbers w:val="0"/>
              <w:autoSpaceDE w:val="0"/>
              <w:autoSpaceDN w:val="0"/>
              <w:snapToGrid w:val="0"/>
              <w:spacing w:before="0" w:beforeAutospacing="0" w:after="0" w:afterAutospacing="0" w:line="400" w:lineRule="exact"/>
              <w:ind w:left="0" w:right="0"/>
              <w:textAlignment w:val="bottom"/>
              <w:rPr>
                <w:rFonts w:hint="eastAsia" w:ascii="仿宋" w:hAnsi="仿宋" w:eastAsia="仿宋" w:cs="仿宋"/>
                <w:color w:val="auto"/>
                <w:sz w:val="24"/>
                <w:szCs w:val="24"/>
              </w:rPr>
            </w:pPr>
            <w:r>
              <w:rPr>
                <w:rFonts w:hint="eastAsia" w:ascii="仿宋" w:hAnsi="仿宋" w:eastAsia="仿宋" w:cs="仿宋"/>
                <w:color w:val="auto"/>
                <w:sz w:val="24"/>
                <w:szCs w:val="24"/>
              </w:rPr>
              <w:t>（1）“电子加密投标文件”是指通过“</w:t>
            </w:r>
            <w:r>
              <w:rPr>
                <w:rFonts w:hint="eastAsia" w:ascii="仿宋" w:hAnsi="仿宋" w:eastAsia="仿宋" w:cs="仿宋"/>
                <w:color w:val="auto"/>
                <w:sz w:val="24"/>
                <w:szCs w:val="24"/>
                <w:lang w:eastAsia="zh-CN"/>
              </w:rPr>
              <w:t>乐采云</w:t>
            </w:r>
            <w:r>
              <w:rPr>
                <w:rFonts w:hint="eastAsia" w:ascii="仿宋" w:hAnsi="仿宋" w:eastAsia="仿宋" w:cs="仿宋"/>
                <w:color w:val="auto"/>
                <w:sz w:val="24"/>
                <w:szCs w:val="24"/>
              </w:rPr>
              <w:t>电子交易客户端”完成投标文件编制后生成并加密的数据电文形式的投标文件。</w:t>
            </w:r>
          </w:p>
          <w:p>
            <w:pPr>
              <w:keepNext w:val="0"/>
              <w:keepLines w:val="0"/>
              <w:suppressLineNumbers w:val="0"/>
              <w:autoSpaceDE w:val="0"/>
              <w:autoSpaceDN w:val="0"/>
              <w:snapToGrid w:val="0"/>
              <w:spacing w:before="0" w:beforeAutospacing="0" w:after="0" w:afterAutospacing="0" w:line="400" w:lineRule="exact"/>
              <w:ind w:left="0" w:right="0"/>
              <w:textAlignment w:val="bottom"/>
              <w:rPr>
                <w:rFonts w:hint="eastAsia" w:ascii="仿宋" w:hAnsi="仿宋" w:eastAsia="仿宋" w:cs="仿宋"/>
                <w:color w:val="auto"/>
                <w:sz w:val="24"/>
                <w:szCs w:val="24"/>
              </w:rPr>
            </w:pPr>
            <w:r>
              <w:rPr>
                <w:rFonts w:hint="eastAsia" w:ascii="仿宋" w:hAnsi="仿宋" w:eastAsia="仿宋" w:cs="仿宋"/>
                <w:color w:val="auto"/>
                <w:sz w:val="24"/>
                <w:szCs w:val="24"/>
              </w:rPr>
              <w:t>（2）“备份投标文件”是指与“电子加密投标文件”同时生成的以介质（U盘）存储的数据电文形式的电子文件（备份标书），其他方式编制的备份投标文件视为无效备份投标文件。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1" w:hRule="atLeast"/>
          <w:jc w:val="center"/>
        </w:trPr>
        <w:tc>
          <w:tcPr>
            <w:tcW w:w="791" w:type="dxa"/>
            <w:noWrap w:val="0"/>
            <w:vAlign w:val="center"/>
          </w:tcPr>
          <w:p>
            <w:pPr>
              <w:keepNext w:val="0"/>
              <w:keepLines w:val="0"/>
              <w:suppressLineNumbers w:val="0"/>
              <w:autoSpaceDE w:val="0"/>
              <w:autoSpaceDN w:val="0"/>
              <w:snapToGrid w:val="0"/>
              <w:spacing w:before="0" w:beforeAutospacing="0" w:after="0" w:afterAutospacing="0" w:line="400" w:lineRule="exact"/>
              <w:ind w:left="0" w:right="0"/>
              <w:jc w:val="center"/>
              <w:textAlignment w:val="bottom"/>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12</w:t>
            </w:r>
          </w:p>
        </w:tc>
        <w:tc>
          <w:tcPr>
            <w:tcW w:w="1787" w:type="dxa"/>
            <w:noWrap w:val="0"/>
            <w:vAlign w:val="center"/>
          </w:tcPr>
          <w:p>
            <w:pPr>
              <w:keepNext w:val="0"/>
              <w:keepLines w:val="0"/>
              <w:suppressLineNumbers w:val="0"/>
              <w:autoSpaceDE w:val="0"/>
              <w:autoSpaceDN w:val="0"/>
              <w:snapToGrid w:val="0"/>
              <w:spacing w:before="0" w:beforeAutospacing="0" w:after="0" w:afterAutospacing="0" w:line="400" w:lineRule="exact"/>
              <w:ind w:left="0" w:right="0"/>
              <w:jc w:val="center"/>
              <w:textAlignment w:val="bottom"/>
              <w:rPr>
                <w:rFonts w:hint="eastAsia" w:ascii="仿宋" w:hAnsi="仿宋" w:eastAsia="仿宋" w:cs="仿宋"/>
                <w:color w:val="auto"/>
                <w:sz w:val="24"/>
                <w:szCs w:val="24"/>
              </w:rPr>
            </w:pPr>
            <w:r>
              <w:rPr>
                <w:rFonts w:hint="eastAsia" w:ascii="仿宋" w:hAnsi="仿宋" w:eastAsia="仿宋" w:cs="仿宋"/>
                <w:b/>
                <w:bCs/>
                <w:color w:val="auto"/>
                <w:sz w:val="24"/>
                <w:szCs w:val="24"/>
              </w:rPr>
              <w:t>投标文件份数</w:t>
            </w:r>
          </w:p>
        </w:tc>
        <w:tc>
          <w:tcPr>
            <w:tcW w:w="7025" w:type="dxa"/>
            <w:noWrap w:val="0"/>
            <w:vAlign w:val="center"/>
          </w:tcPr>
          <w:p>
            <w:pPr>
              <w:keepNext w:val="0"/>
              <w:keepLines w:val="0"/>
              <w:suppressLineNumbers w:val="0"/>
              <w:autoSpaceDE w:val="0"/>
              <w:autoSpaceDN w:val="0"/>
              <w:snapToGrid w:val="0"/>
              <w:spacing w:before="0" w:beforeAutospacing="0" w:after="0" w:afterAutospacing="0" w:line="400" w:lineRule="exact"/>
              <w:ind w:left="0" w:right="0"/>
              <w:textAlignment w:val="bottom"/>
              <w:rPr>
                <w:rFonts w:hint="eastAsia" w:ascii="仿宋" w:hAnsi="仿宋" w:eastAsia="仿宋" w:cs="仿宋"/>
                <w:color w:val="auto"/>
                <w:sz w:val="24"/>
                <w:szCs w:val="24"/>
              </w:rPr>
            </w:pP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一份电子加密标书（后缀格式为.jmbs），一份备份标书文件（后缀格式为.bfbs）。</w:t>
            </w:r>
          </w:p>
          <w:p>
            <w:pPr>
              <w:keepNext w:val="0"/>
              <w:keepLines w:val="0"/>
              <w:suppressLineNumbers w:val="0"/>
              <w:autoSpaceDE w:val="0"/>
              <w:autoSpaceDN w:val="0"/>
              <w:snapToGrid w:val="0"/>
              <w:spacing w:before="0" w:beforeAutospacing="0" w:after="0" w:afterAutospacing="0" w:line="400" w:lineRule="exact"/>
              <w:ind w:left="0" w:right="0"/>
              <w:textAlignment w:val="bottom"/>
              <w:rPr>
                <w:rFonts w:hint="eastAsia" w:ascii="仿宋" w:hAnsi="仿宋" w:eastAsia="仿宋" w:cs="仿宋"/>
                <w:color w:val="auto"/>
                <w:sz w:val="24"/>
                <w:szCs w:val="24"/>
              </w:rPr>
            </w:pPr>
            <w:r>
              <w:rPr>
                <w:rFonts w:hint="eastAsia" w:ascii="仿宋" w:hAnsi="仿宋" w:eastAsia="仿宋" w:cs="仿宋"/>
                <w:color w:val="auto"/>
                <w:sz w:val="24"/>
                <w:szCs w:val="24"/>
              </w:rPr>
              <w:t>每份电子投标文件应包括资格证明文件、资信技术文件及报价文件三部分内容。</w:t>
            </w:r>
          </w:p>
          <w:p>
            <w:pPr>
              <w:keepNext w:val="0"/>
              <w:keepLines w:val="0"/>
              <w:numPr>
                <w:ilvl w:val="0"/>
                <w:numId w:val="0"/>
              </w:numPr>
              <w:suppressLineNumbers w:val="0"/>
              <w:autoSpaceDE w:val="0"/>
              <w:autoSpaceDN w:val="0"/>
              <w:snapToGrid w:val="0"/>
              <w:spacing w:before="0" w:beforeAutospacing="0" w:after="0" w:afterAutospacing="0" w:line="400" w:lineRule="exact"/>
              <w:ind w:left="0" w:right="0"/>
              <w:textAlignment w:val="bottom"/>
              <w:rPr>
                <w:rFonts w:hint="eastAsia" w:ascii="仿宋" w:hAnsi="仿宋" w:eastAsia="仿宋" w:cs="仿宋"/>
                <w:color w:val="auto"/>
                <w:sz w:val="24"/>
                <w:szCs w:val="24"/>
              </w:rPr>
            </w:pP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如中标，</w:t>
            </w:r>
            <w:r>
              <w:rPr>
                <w:rFonts w:hint="eastAsia" w:ascii="仿宋" w:hAnsi="仿宋" w:eastAsia="仿宋" w:cs="仿宋"/>
                <w:color w:val="auto"/>
                <w:sz w:val="24"/>
                <w:szCs w:val="24"/>
                <w:lang w:eastAsia="zh-CN"/>
              </w:rPr>
              <w:t>中标人</w:t>
            </w:r>
            <w:r>
              <w:rPr>
                <w:rFonts w:hint="eastAsia" w:ascii="仿宋" w:hAnsi="仿宋" w:eastAsia="仿宋" w:cs="仿宋"/>
                <w:color w:val="auto"/>
                <w:sz w:val="24"/>
                <w:szCs w:val="24"/>
              </w:rPr>
              <w:t>需根据</w:t>
            </w:r>
            <w:r>
              <w:rPr>
                <w:rFonts w:hint="eastAsia" w:ascii="仿宋" w:hAnsi="仿宋" w:eastAsia="仿宋" w:cs="仿宋"/>
                <w:color w:val="auto"/>
                <w:sz w:val="24"/>
                <w:szCs w:val="24"/>
                <w:lang w:eastAsia="zh-CN"/>
              </w:rPr>
              <w:t>采购人</w:t>
            </w:r>
            <w:r>
              <w:rPr>
                <w:rFonts w:hint="eastAsia" w:ascii="仿宋" w:hAnsi="仿宋" w:eastAsia="仿宋" w:cs="仿宋"/>
                <w:color w:val="auto"/>
                <w:sz w:val="24"/>
                <w:szCs w:val="24"/>
              </w:rPr>
              <w:t>要求提供纸质投标文件至少一份。采购人有权要求</w:t>
            </w:r>
            <w:r>
              <w:rPr>
                <w:rFonts w:hint="eastAsia" w:ascii="仿宋" w:hAnsi="仿宋" w:eastAsia="仿宋" w:cs="仿宋"/>
                <w:color w:val="auto"/>
                <w:sz w:val="24"/>
                <w:szCs w:val="24"/>
                <w:lang w:eastAsia="zh-CN"/>
              </w:rPr>
              <w:t>中标人</w:t>
            </w:r>
            <w:r>
              <w:rPr>
                <w:rFonts w:hint="eastAsia" w:ascii="仿宋" w:hAnsi="仿宋" w:eastAsia="仿宋" w:cs="仿宋"/>
                <w:color w:val="auto"/>
                <w:sz w:val="24"/>
                <w:szCs w:val="24"/>
              </w:rPr>
              <w:t>提供原版技术资料。</w:t>
            </w:r>
          </w:p>
          <w:p>
            <w:pPr>
              <w:keepNext w:val="0"/>
              <w:keepLines w:val="0"/>
              <w:numPr>
                <w:ilvl w:val="0"/>
                <w:numId w:val="0"/>
              </w:numPr>
              <w:suppressLineNumbers w:val="0"/>
              <w:autoSpaceDE w:val="0"/>
              <w:autoSpaceDN w:val="0"/>
              <w:snapToGrid w:val="0"/>
              <w:spacing w:before="0" w:beforeAutospacing="0" w:after="0" w:afterAutospacing="0" w:line="400" w:lineRule="exact"/>
              <w:ind w:left="0" w:right="0"/>
              <w:textAlignment w:val="bottom"/>
              <w:rPr>
                <w:rFonts w:hint="eastAsia" w:ascii="仿宋" w:hAnsi="仿宋" w:eastAsia="仿宋" w:cs="仿宋"/>
                <w:color w:val="auto"/>
                <w:sz w:val="24"/>
                <w:szCs w:val="24"/>
              </w:rPr>
            </w:pP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“备份投标文件”：密封包装后（邮寄形式）投标截止时间前递交一份（邮寄地址：嵊州市官河南路339号量子芯座11楼110</w:t>
            </w: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室，</w:t>
            </w:r>
            <w:r>
              <w:rPr>
                <w:rFonts w:hint="eastAsia" w:ascii="仿宋" w:hAnsi="仿宋" w:eastAsia="仿宋" w:cs="仿宋"/>
                <w:color w:val="auto"/>
                <w:sz w:val="24"/>
                <w:szCs w:val="24"/>
                <w:lang w:eastAsia="zh-CN"/>
              </w:rPr>
              <w:t>喻女士</w:t>
            </w:r>
            <w:r>
              <w:rPr>
                <w:rFonts w:hint="eastAsia" w:ascii="仿宋" w:hAnsi="仿宋" w:eastAsia="仿宋" w:cs="仿宋"/>
                <w:color w:val="auto"/>
                <w:sz w:val="24"/>
                <w:szCs w:val="24"/>
              </w:rPr>
              <w:t>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1" w:hRule="atLeast"/>
          <w:jc w:val="center"/>
        </w:trPr>
        <w:tc>
          <w:tcPr>
            <w:tcW w:w="791" w:type="dxa"/>
            <w:noWrap w:val="0"/>
            <w:vAlign w:val="center"/>
          </w:tcPr>
          <w:p>
            <w:pPr>
              <w:keepNext w:val="0"/>
              <w:keepLines w:val="0"/>
              <w:suppressLineNumbers w:val="0"/>
              <w:autoSpaceDE w:val="0"/>
              <w:autoSpaceDN w:val="0"/>
              <w:snapToGrid w:val="0"/>
              <w:spacing w:before="0" w:beforeAutospacing="0" w:after="0" w:afterAutospacing="0" w:line="400" w:lineRule="exact"/>
              <w:ind w:left="0" w:right="0"/>
              <w:jc w:val="center"/>
              <w:textAlignment w:val="bottom"/>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13</w:t>
            </w:r>
          </w:p>
        </w:tc>
        <w:tc>
          <w:tcPr>
            <w:tcW w:w="1787" w:type="dxa"/>
            <w:noWrap w:val="0"/>
            <w:vAlign w:val="center"/>
          </w:tcPr>
          <w:p>
            <w:pPr>
              <w:keepNext w:val="0"/>
              <w:keepLines w:val="0"/>
              <w:suppressLineNumbers w:val="0"/>
              <w:autoSpaceDE w:val="0"/>
              <w:autoSpaceDN w:val="0"/>
              <w:snapToGrid w:val="0"/>
              <w:spacing w:before="0" w:beforeAutospacing="0" w:after="0" w:afterAutospacing="0" w:line="400" w:lineRule="exact"/>
              <w:ind w:left="0" w:right="0"/>
              <w:jc w:val="center"/>
              <w:textAlignment w:val="bottom"/>
              <w:rPr>
                <w:rFonts w:hint="eastAsia" w:ascii="仿宋" w:hAnsi="仿宋" w:eastAsia="仿宋" w:cs="仿宋"/>
                <w:color w:val="auto"/>
                <w:sz w:val="24"/>
                <w:szCs w:val="24"/>
              </w:rPr>
            </w:pPr>
            <w:r>
              <w:rPr>
                <w:rFonts w:hint="eastAsia" w:ascii="仿宋" w:hAnsi="仿宋" w:eastAsia="仿宋" w:cs="仿宋"/>
                <w:b/>
                <w:bCs/>
                <w:color w:val="auto"/>
                <w:sz w:val="24"/>
                <w:szCs w:val="24"/>
              </w:rPr>
              <w:t>电子加密投标文件的上传、递交</w:t>
            </w:r>
          </w:p>
        </w:tc>
        <w:tc>
          <w:tcPr>
            <w:tcW w:w="7025" w:type="dxa"/>
            <w:noWrap w:val="0"/>
            <w:vAlign w:val="center"/>
          </w:tcPr>
          <w:p>
            <w:pPr>
              <w:keepNext w:val="0"/>
              <w:keepLines w:val="0"/>
              <w:suppressLineNumbers w:val="0"/>
              <w:autoSpaceDE w:val="0"/>
              <w:autoSpaceDN w:val="0"/>
              <w:snapToGrid w:val="0"/>
              <w:spacing w:before="0" w:beforeAutospacing="0" w:after="0" w:afterAutospacing="0" w:line="400" w:lineRule="exact"/>
              <w:ind w:left="0" w:right="0"/>
              <w:textAlignment w:val="bottom"/>
              <w:rPr>
                <w:rFonts w:hint="eastAsia" w:ascii="仿宋" w:hAnsi="仿宋" w:eastAsia="仿宋" w:cs="仿宋"/>
                <w:color w:val="auto"/>
                <w:sz w:val="24"/>
                <w:szCs w:val="24"/>
              </w:rPr>
            </w:pPr>
            <w:r>
              <w:rPr>
                <w:rFonts w:hint="eastAsia" w:ascii="仿宋" w:hAnsi="仿宋" w:eastAsia="仿宋" w:cs="仿宋"/>
                <w:color w:val="auto"/>
                <w:sz w:val="24"/>
                <w:szCs w:val="24"/>
              </w:rPr>
              <w:t>（1）投标供应商应在投标截止时间前将“电子加密投标文件”成功上传递交至“</w:t>
            </w:r>
            <w:r>
              <w:rPr>
                <w:rFonts w:hint="eastAsia" w:ascii="仿宋" w:hAnsi="仿宋" w:eastAsia="仿宋" w:cs="仿宋"/>
                <w:color w:val="auto"/>
                <w:sz w:val="24"/>
                <w:szCs w:val="24"/>
                <w:lang w:eastAsia="zh-CN"/>
              </w:rPr>
              <w:t>采购云平台</w:t>
            </w:r>
            <w:r>
              <w:rPr>
                <w:rFonts w:hint="eastAsia" w:ascii="仿宋" w:hAnsi="仿宋" w:eastAsia="仿宋" w:cs="仿宋"/>
                <w:color w:val="auto"/>
                <w:sz w:val="24"/>
                <w:szCs w:val="24"/>
              </w:rPr>
              <w:t>”，否则投标无效。</w:t>
            </w:r>
          </w:p>
          <w:p>
            <w:pPr>
              <w:keepNext w:val="0"/>
              <w:keepLines w:val="0"/>
              <w:suppressLineNumbers w:val="0"/>
              <w:autoSpaceDE w:val="0"/>
              <w:autoSpaceDN w:val="0"/>
              <w:snapToGrid w:val="0"/>
              <w:spacing w:before="0" w:beforeAutospacing="0" w:after="0" w:afterAutospacing="0" w:line="400" w:lineRule="exact"/>
              <w:ind w:left="0" w:right="0"/>
              <w:textAlignment w:val="bottom"/>
              <w:rPr>
                <w:rFonts w:hint="eastAsia" w:ascii="仿宋" w:hAnsi="仿宋" w:eastAsia="仿宋" w:cs="仿宋"/>
                <w:color w:val="auto"/>
                <w:sz w:val="24"/>
                <w:szCs w:val="24"/>
              </w:rPr>
            </w:pPr>
            <w:r>
              <w:rPr>
                <w:rFonts w:hint="eastAsia" w:ascii="仿宋" w:hAnsi="仿宋" w:eastAsia="仿宋" w:cs="仿宋"/>
                <w:color w:val="auto"/>
                <w:sz w:val="24"/>
                <w:szCs w:val="24"/>
              </w:rPr>
              <w:t>（2）“电子加密投标文件”成功上传递交后，供应商可自行打印投标文件接收回执。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1" w:hRule="atLeast"/>
          <w:jc w:val="center"/>
        </w:trPr>
        <w:tc>
          <w:tcPr>
            <w:tcW w:w="791" w:type="dxa"/>
            <w:noWrap w:val="0"/>
            <w:vAlign w:val="center"/>
          </w:tcPr>
          <w:p>
            <w:pPr>
              <w:keepNext w:val="0"/>
              <w:keepLines w:val="0"/>
              <w:suppressLineNumbers w:val="0"/>
              <w:autoSpaceDE w:val="0"/>
              <w:autoSpaceDN w:val="0"/>
              <w:snapToGrid w:val="0"/>
              <w:spacing w:before="0" w:beforeAutospacing="0" w:after="0" w:afterAutospacing="0" w:line="400" w:lineRule="exact"/>
              <w:ind w:left="0" w:right="0"/>
              <w:jc w:val="center"/>
              <w:textAlignment w:val="bottom"/>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14</w:t>
            </w:r>
          </w:p>
        </w:tc>
        <w:tc>
          <w:tcPr>
            <w:tcW w:w="1787" w:type="dxa"/>
            <w:noWrap w:val="0"/>
            <w:vAlign w:val="center"/>
          </w:tcPr>
          <w:p>
            <w:pPr>
              <w:keepNext w:val="0"/>
              <w:keepLines w:val="0"/>
              <w:suppressLineNumbers w:val="0"/>
              <w:autoSpaceDE w:val="0"/>
              <w:autoSpaceDN w:val="0"/>
              <w:snapToGrid w:val="0"/>
              <w:spacing w:before="0" w:beforeAutospacing="0" w:after="0" w:afterAutospacing="0" w:line="400" w:lineRule="exact"/>
              <w:ind w:left="0" w:right="0"/>
              <w:jc w:val="center"/>
              <w:textAlignment w:val="bottom"/>
              <w:rPr>
                <w:rFonts w:hint="eastAsia" w:ascii="仿宋" w:hAnsi="仿宋" w:eastAsia="仿宋" w:cs="仿宋"/>
                <w:color w:val="auto"/>
                <w:sz w:val="24"/>
                <w:szCs w:val="24"/>
              </w:rPr>
            </w:pPr>
            <w:r>
              <w:rPr>
                <w:rFonts w:hint="eastAsia" w:ascii="仿宋" w:hAnsi="仿宋" w:eastAsia="仿宋" w:cs="仿宋"/>
                <w:b/>
                <w:bCs/>
                <w:color w:val="auto"/>
                <w:sz w:val="24"/>
                <w:szCs w:val="24"/>
              </w:rPr>
              <w:t>备份投标文件的密封包装、递交</w:t>
            </w:r>
          </w:p>
        </w:tc>
        <w:tc>
          <w:tcPr>
            <w:tcW w:w="7025" w:type="dxa"/>
            <w:noWrap w:val="0"/>
            <w:vAlign w:val="center"/>
          </w:tcPr>
          <w:p>
            <w:pPr>
              <w:keepNext w:val="0"/>
              <w:keepLines w:val="0"/>
              <w:suppressLineNumbers w:val="0"/>
              <w:autoSpaceDE w:val="0"/>
              <w:autoSpaceDN w:val="0"/>
              <w:snapToGrid w:val="0"/>
              <w:spacing w:before="0" w:beforeAutospacing="0" w:after="0" w:afterAutospacing="0" w:line="400" w:lineRule="exact"/>
              <w:ind w:left="0" w:right="0"/>
              <w:textAlignment w:val="bottom"/>
              <w:rPr>
                <w:rFonts w:hint="eastAsia" w:ascii="仿宋" w:hAnsi="仿宋" w:eastAsia="仿宋" w:cs="仿宋"/>
                <w:color w:val="auto"/>
                <w:sz w:val="24"/>
                <w:szCs w:val="24"/>
              </w:rPr>
            </w:pPr>
            <w:r>
              <w:rPr>
                <w:rFonts w:hint="eastAsia" w:ascii="仿宋" w:hAnsi="仿宋" w:eastAsia="仿宋" w:cs="仿宋"/>
                <w:color w:val="auto"/>
                <w:sz w:val="24"/>
                <w:szCs w:val="24"/>
              </w:rPr>
              <w:t>（1）投标供应商在“</w:t>
            </w:r>
            <w:r>
              <w:rPr>
                <w:rFonts w:hint="eastAsia" w:ascii="仿宋" w:hAnsi="仿宋" w:eastAsia="仿宋" w:cs="仿宋"/>
                <w:color w:val="auto"/>
                <w:sz w:val="24"/>
                <w:szCs w:val="24"/>
                <w:lang w:eastAsia="zh-CN"/>
              </w:rPr>
              <w:t>采购云平台</w:t>
            </w:r>
            <w:r>
              <w:rPr>
                <w:rFonts w:hint="eastAsia" w:ascii="仿宋" w:hAnsi="仿宋" w:eastAsia="仿宋" w:cs="仿宋"/>
                <w:color w:val="auto"/>
                <w:sz w:val="24"/>
                <w:szCs w:val="24"/>
              </w:rPr>
              <w:t>”完成“电子加密投标文件”的上传递交后，还可以（邮寄形式）在投标截止时间前递交以介质（U盘）存储的“备份投标文件”（一份）；</w:t>
            </w:r>
          </w:p>
          <w:p>
            <w:pPr>
              <w:keepNext w:val="0"/>
              <w:keepLines w:val="0"/>
              <w:suppressLineNumbers w:val="0"/>
              <w:autoSpaceDE w:val="0"/>
              <w:autoSpaceDN w:val="0"/>
              <w:snapToGrid w:val="0"/>
              <w:spacing w:before="0" w:beforeAutospacing="0" w:after="0" w:afterAutospacing="0" w:line="400" w:lineRule="exact"/>
              <w:ind w:left="0" w:right="0"/>
              <w:textAlignment w:val="bottom"/>
              <w:rPr>
                <w:rFonts w:hint="eastAsia" w:ascii="仿宋" w:hAnsi="仿宋" w:eastAsia="仿宋" w:cs="仿宋"/>
                <w:color w:val="auto"/>
                <w:sz w:val="24"/>
                <w:szCs w:val="24"/>
              </w:rPr>
            </w:pPr>
            <w:r>
              <w:rPr>
                <w:rFonts w:hint="eastAsia" w:ascii="仿宋" w:hAnsi="仿宋" w:eastAsia="仿宋" w:cs="仿宋"/>
                <w:color w:val="auto"/>
                <w:sz w:val="24"/>
                <w:szCs w:val="24"/>
              </w:rPr>
              <w:t>（2）“备份投标文件”应当密封包装，并在包装上标注投标项目名称、</w:t>
            </w:r>
            <w:r>
              <w:rPr>
                <w:rFonts w:hint="eastAsia" w:ascii="仿宋" w:hAnsi="仿宋" w:eastAsia="仿宋" w:cs="仿宋"/>
                <w:color w:val="auto"/>
                <w:sz w:val="24"/>
                <w:szCs w:val="24"/>
                <w:lang w:eastAsia="zh-CN"/>
              </w:rPr>
              <w:t>投标人</w:t>
            </w:r>
            <w:r>
              <w:rPr>
                <w:rFonts w:hint="eastAsia" w:ascii="仿宋" w:hAnsi="仿宋" w:eastAsia="仿宋" w:cs="仿宋"/>
                <w:color w:val="auto"/>
                <w:sz w:val="24"/>
                <w:szCs w:val="24"/>
              </w:rPr>
              <w:t>名称并加盖公章。没有密封包装或者逾期邮寄送达至投标地点的“备份投标文件”将不予接收；</w:t>
            </w:r>
          </w:p>
          <w:p>
            <w:pPr>
              <w:keepNext w:val="0"/>
              <w:keepLines w:val="0"/>
              <w:suppressLineNumbers w:val="0"/>
              <w:autoSpaceDE w:val="0"/>
              <w:autoSpaceDN w:val="0"/>
              <w:snapToGrid w:val="0"/>
              <w:spacing w:before="0" w:beforeAutospacing="0" w:after="0" w:afterAutospacing="0" w:line="400" w:lineRule="exact"/>
              <w:ind w:left="0" w:right="0"/>
              <w:textAlignment w:val="bottom"/>
              <w:rPr>
                <w:rFonts w:hint="eastAsia" w:ascii="仿宋" w:hAnsi="仿宋" w:eastAsia="仿宋" w:cs="仿宋"/>
                <w:color w:val="auto"/>
                <w:sz w:val="24"/>
                <w:szCs w:val="24"/>
              </w:rPr>
            </w:pPr>
            <w:r>
              <w:rPr>
                <w:rFonts w:hint="eastAsia" w:ascii="仿宋" w:hAnsi="仿宋" w:eastAsia="仿宋" w:cs="仿宋"/>
                <w:color w:val="auto"/>
                <w:sz w:val="24"/>
                <w:szCs w:val="24"/>
              </w:rPr>
              <w:t>（3）通过“</w:t>
            </w:r>
            <w:r>
              <w:rPr>
                <w:rFonts w:hint="eastAsia" w:ascii="仿宋" w:hAnsi="仿宋" w:eastAsia="仿宋" w:cs="仿宋"/>
                <w:color w:val="auto"/>
                <w:sz w:val="24"/>
                <w:szCs w:val="24"/>
                <w:lang w:eastAsia="zh-CN"/>
              </w:rPr>
              <w:t>采购云平台</w:t>
            </w:r>
            <w:r>
              <w:rPr>
                <w:rFonts w:hint="eastAsia" w:ascii="仿宋" w:hAnsi="仿宋" w:eastAsia="仿宋" w:cs="仿宋"/>
                <w:color w:val="auto"/>
                <w:sz w:val="24"/>
                <w:szCs w:val="24"/>
              </w:rPr>
              <w:t>”成功上传递交的“电子加密投标文件”已按时解密的，“备份投标文件”自动失效。投标截止时间前，投标供应商仅递交了“备份投标文件”而未将“电子加密投标文件”成功上传至“</w:t>
            </w:r>
            <w:r>
              <w:rPr>
                <w:rFonts w:hint="eastAsia" w:ascii="仿宋" w:hAnsi="仿宋" w:eastAsia="仿宋" w:cs="仿宋"/>
                <w:color w:val="auto"/>
                <w:sz w:val="24"/>
                <w:szCs w:val="24"/>
                <w:lang w:eastAsia="zh-CN"/>
              </w:rPr>
              <w:t>采购云平台</w:t>
            </w:r>
            <w:r>
              <w:rPr>
                <w:rFonts w:hint="eastAsia" w:ascii="仿宋" w:hAnsi="仿宋" w:eastAsia="仿宋" w:cs="仿宋"/>
                <w:color w:val="auto"/>
                <w:sz w:val="24"/>
                <w:szCs w:val="24"/>
              </w:rPr>
              <w:t>”的，投标无效。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1" w:hRule="atLeast"/>
          <w:jc w:val="center"/>
        </w:trPr>
        <w:tc>
          <w:tcPr>
            <w:tcW w:w="791" w:type="dxa"/>
            <w:noWrap w:val="0"/>
            <w:vAlign w:val="center"/>
          </w:tcPr>
          <w:p>
            <w:pPr>
              <w:keepNext w:val="0"/>
              <w:keepLines w:val="0"/>
              <w:suppressLineNumbers w:val="0"/>
              <w:autoSpaceDE w:val="0"/>
              <w:autoSpaceDN w:val="0"/>
              <w:snapToGrid w:val="0"/>
              <w:spacing w:before="0" w:beforeAutospacing="0" w:after="0" w:afterAutospacing="0" w:line="400" w:lineRule="exact"/>
              <w:ind w:left="0" w:right="0"/>
              <w:jc w:val="center"/>
              <w:textAlignment w:val="bottom"/>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15</w:t>
            </w:r>
          </w:p>
        </w:tc>
        <w:tc>
          <w:tcPr>
            <w:tcW w:w="1787" w:type="dxa"/>
            <w:noWrap w:val="0"/>
            <w:vAlign w:val="center"/>
          </w:tcPr>
          <w:p>
            <w:pPr>
              <w:keepNext w:val="0"/>
              <w:keepLines w:val="0"/>
              <w:suppressLineNumbers w:val="0"/>
              <w:autoSpaceDE w:val="0"/>
              <w:autoSpaceDN w:val="0"/>
              <w:snapToGrid w:val="0"/>
              <w:spacing w:before="0" w:beforeAutospacing="0" w:after="0" w:afterAutospacing="0" w:line="400" w:lineRule="exact"/>
              <w:ind w:left="0" w:right="0"/>
              <w:jc w:val="center"/>
              <w:textAlignment w:val="bottom"/>
              <w:rPr>
                <w:rFonts w:hint="eastAsia" w:ascii="仿宋" w:hAnsi="仿宋" w:eastAsia="仿宋" w:cs="仿宋"/>
                <w:color w:val="auto"/>
                <w:sz w:val="24"/>
                <w:szCs w:val="24"/>
              </w:rPr>
            </w:pPr>
            <w:r>
              <w:rPr>
                <w:rFonts w:hint="eastAsia" w:ascii="仿宋" w:hAnsi="仿宋" w:eastAsia="仿宋" w:cs="仿宋"/>
                <w:b/>
                <w:bCs/>
                <w:color w:val="auto"/>
                <w:sz w:val="24"/>
                <w:szCs w:val="24"/>
              </w:rPr>
              <w:t>电子加密投标文件的解密和异常情况处理</w:t>
            </w:r>
          </w:p>
        </w:tc>
        <w:tc>
          <w:tcPr>
            <w:tcW w:w="7025" w:type="dxa"/>
            <w:noWrap w:val="0"/>
            <w:vAlign w:val="center"/>
          </w:tcPr>
          <w:p>
            <w:pPr>
              <w:keepNext w:val="0"/>
              <w:keepLines w:val="0"/>
              <w:suppressLineNumbers w:val="0"/>
              <w:autoSpaceDE w:val="0"/>
              <w:autoSpaceDN w:val="0"/>
              <w:snapToGrid w:val="0"/>
              <w:spacing w:before="0" w:beforeAutospacing="0" w:after="0" w:afterAutospacing="0" w:line="400" w:lineRule="exact"/>
              <w:ind w:left="0" w:right="0"/>
              <w:textAlignment w:val="bottom"/>
              <w:rPr>
                <w:rFonts w:hint="eastAsia" w:ascii="仿宋" w:hAnsi="仿宋" w:eastAsia="仿宋" w:cs="仿宋"/>
                <w:color w:val="auto"/>
                <w:sz w:val="24"/>
                <w:szCs w:val="24"/>
              </w:rPr>
            </w:pPr>
            <w:r>
              <w:rPr>
                <w:rFonts w:hint="eastAsia" w:ascii="仿宋" w:hAnsi="仿宋" w:eastAsia="仿宋" w:cs="仿宋"/>
                <w:color w:val="auto"/>
                <w:sz w:val="24"/>
                <w:szCs w:val="24"/>
              </w:rPr>
              <w:t>（1）开标后，采购组织机构将向各投标供应商发出“电子加密投标文件”的解密通知，各投标供应商代表应当在接到解密通知后30分钟内自行完成“电子加密投标文件”的在线解密。</w:t>
            </w:r>
          </w:p>
          <w:p>
            <w:pPr>
              <w:keepNext w:val="0"/>
              <w:keepLines w:val="0"/>
              <w:suppressLineNumbers w:val="0"/>
              <w:autoSpaceDE w:val="0"/>
              <w:autoSpaceDN w:val="0"/>
              <w:snapToGrid w:val="0"/>
              <w:spacing w:before="0" w:beforeAutospacing="0" w:after="0" w:afterAutospacing="0" w:line="400" w:lineRule="exact"/>
              <w:ind w:left="0" w:right="0"/>
              <w:textAlignment w:val="bottom"/>
              <w:rPr>
                <w:rFonts w:hint="eastAsia" w:ascii="仿宋" w:hAnsi="仿宋" w:eastAsia="仿宋" w:cs="仿宋"/>
                <w:color w:val="auto"/>
                <w:sz w:val="24"/>
                <w:szCs w:val="24"/>
              </w:rPr>
            </w:pPr>
            <w:r>
              <w:rPr>
                <w:rFonts w:hint="eastAsia" w:ascii="仿宋" w:hAnsi="仿宋" w:eastAsia="仿宋" w:cs="仿宋"/>
                <w:color w:val="auto"/>
                <w:sz w:val="24"/>
                <w:szCs w:val="24"/>
              </w:rPr>
              <w:t>（2）通过“</w:t>
            </w:r>
            <w:r>
              <w:rPr>
                <w:rFonts w:hint="eastAsia" w:ascii="仿宋" w:hAnsi="仿宋" w:eastAsia="仿宋" w:cs="仿宋"/>
                <w:color w:val="auto"/>
                <w:sz w:val="24"/>
                <w:szCs w:val="24"/>
                <w:lang w:eastAsia="zh-CN"/>
              </w:rPr>
              <w:t>采购云平台</w:t>
            </w:r>
            <w:r>
              <w:rPr>
                <w:rFonts w:hint="eastAsia" w:ascii="仿宋" w:hAnsi="仿宋" w:eastAsia="仿宋" w:cs="仿宋"/>
                <w:color w:val="auto"/>
                <w:sz w:val="24"/>
                <w:szCs w:val="24"/>
              </w:rPr>
              <w:t>”成功上传递交的“电子加密投标文件”无法按时解密，投标供应商如按规定递交了“备份投标文件”的，以“备份投标文件”为依据（由采购组织机构按“</w:t>
            </w:r>
            <w:r>
              <w:rPr>
                <w:rFonts w:hint="eastAsia" w:ascii="仿宋" w:hAnsi="仿宋" w:eastAsia="仿宋" w:cs="仿宋"/>
                <w:color w:val="auto"/>
                <w:sz w:val="24"/>
                <w:szCs w:val="24"/>
                <w:lang w:eastAsia="zh-CN"/>
              </w:rPr>
              <w:t>采购云平台</w:t>
            </w:r>
            <w:r>
              <w:rPr>
                <w:rFonts w:hint="eastAsia" w:ascii="仿宋" w:hAnsi="仿宋" w:eastAsia="仿宋" w:cs="仿宋"/>
                <w:color w:val="auto"/>
                <w:sz w:val="24"/>
                <w:szCs w:val="24"/>
              </w:rPr>
              <w:t>”操作规范将“备份投标文件”上传至“</w:t>
            </w:r>
            <w:r>
              <w:rPr>
                <w:rFonts w:hint="eastAsia" w:ascii="仿宋" w:hAnsi="仿宋" w:eastAsia="仿宋" w:cs="仿宋"/>
                <w:color w:val="auto"/>
                <w:sz w:val="24"/>
                <w:szCs w:val="24"/>
                <w:lang w:eastAsia="zh-CN"/>
              </w:rPr>
              <w:t>采购云平台</w:t>
            </w:r>
            <w:r>
              <w:rPr>
                <w:rFonts w:hint="eastAsia" w:ascii="仿宋" w:hAnsi="仿宋" w:eastAsia="仿宋" w:cs="仿宋"/>
                <w:color w:val="auto"/>
                <w:sz w:val="24"/>
                <w:szCs w:val="24"/>
              </w:rPr>
              <w:t>”，上传成功后，“电子加密投标文件”自动失效），否则视为投标文件撤回。</w:t>
            </w:r>
          </w:p>
          <w:p>
            <w:pPr>
              <w:keepNext w:val="0"/>
              <w:keepLines w:val="0"/>
              <w:suppressLineNumbers w:val="0"/>
              <w:autoSpaceDE w:val="0"/>
              <w:autoSpaceDN w:val="0"/>
              <w:snapToGrid w:val="0"/>
              <w:spacing w:before="0" w:beforeAutospacing="0" w:after="0" w:afterAutospacing="0" w:line="400" w:lineRule="exact"/>
              <w:ind w:left="0" w:right="0"/>
              <w:textAlignment w:val="bottom"/>
              <w:rPr>
                <w:rFonts w:hint="eastAsia" w:ascii="仿宋" w:hAnsi="仿宋" w:eastAsia="仿宋" w:cs="仿宋"/>
                <w:color w:val="auto"/>
                <w:sz w:val="24"/>
                <w:szCs w:val="24"/>
              </w:rPr>
            </w:pPr>
            <w:r>
              <w:rPr>
                <w:rFonts w:hint="eastAsia" w:ascii="仿宋" w:hAnsi="仿宋" w:eastAsia="仿宋" w:cs="仿宋"/>
                <w:color w:val="auto"/>
                <w:sz w:val="24"/>
                <w:szCs w:val="24"/>
              </w:rPr>
              <w:t>（3）投标截止时间前，投标供应商仅递交了“备份投标文件”而未将电子加密投标文件上传至“</w:t>
            </w:r>
            <w:r>
              <w:rPr>
                <w:rFonts w:hint="eastAsia" w:ascii="仿宋" w:hAnsi="仿宋" w:eastAsia="仿宋" w:cs="仿宋"/>
                <w:color w:val="auto"/>
                <w:sz w:val="24"/>
                <w:szCs w:val="24"/>
                <w:lang w:eastAsia="zh-CN"/>
              </w:rPr>
              <w:t>采购云平台</w:t>
            </w:r>
            <w:r>
              <w:rPr>
                <w:rFonts w:hint="eastAsia" w:ascii="仿宋" w:hAnsi="仿宋" w:eastAsia="仿宋" w:cs="仿宋"/>
                <w:color w:val="auto"/>
                <w:sz w:val="24"/>
                <w:szCs w:val="24"/>
              </w:rPr>
              <w:t>”的，投标无效。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4" w:hRule="atLeast"/>
          <w:jc w:val="center"/>
        </w:trPr>
        <w:tc>
          <w:tcPr>
            <w:tcW w:w="791" w:type="dxa"/>
            <w:noWrap w:val="0"/>
            <w:vAlign w:val="center"/>
          </w:tcPr>
          <w:p>
            <w:pPr>
              <w:keepNext w:val="0"/>
              <w:keepLines w:val="0"/>
              <w:suppressLineNumbers w:val="0"/>
              <w:autoSpaceDE w:val="0"/>
              <w:autoSpaceDN w:val="0"/>
              <w:snapToGrid w:val="0"/>
              <w:spacing w:before="0" w:beforeAutospacing="0" w:after="0" w:afterAutospacing="0" w:line="400" w:lineRule="exact"/>
              <w:ind w:left="0" w:right="0"/>
              <w:jc w:val="center"/>
              <w:textAlignment w:val="bottom"/>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16</w:t>
            </w:r>
          </w:p>
        </w:tc>
        <w:tc>
          <w:tcPr>
            <w:tcW w:w="1787" w:type="dxa"/>
            <w:noWrap w:val="0"/>
            <w:vAlign w:val="center"/>
          </w:tcPr>
          <w:p>
            <w:pPr>
              <w:keepNext w:val="0"/>
              <w:keepLines w:val="0"/>
              <w:suppressLineNumbers w:val="0"/>
              <w:autoSpaceDE w:val="0"/>
              <w:autoSpaceDN w:val="0"/>
              <w:snapToGrid w:val="0"/>
              <w:spacing w:before="0" w:beforeAutospacing="0" w:after="0" w:afterAutospacing="0" w:line="400" w:lineRule="exact"/>
              <w:ind w:left="0" w:right="0"/>
              <w:jc w:val="center"/>
              <w:textAlignment w:val="bottom"/>
              <w:rPr>
                <w:rFonts w:hint="eastAsia" w:ascii="仿宋" w:hAnsi="仿宋" w:eastAsia="仿宋" w:cs="仿宋"/>
                <w:color w:val="auto"/>
                <w:sz w:val="24"/>
                <w:szCs w:val="24"/>
              </w:rPr>
            </w:pPr>
            <w:r>
              <w:rPr>
                <w:rFonts w:hint="eastAsia" w:ascii="仿宋" w:hAnsi="仿宋" w:eastAsia="仿宋" w:cs="仿宋"/>
                <w:b/>
                <w:bCs/>
                <w:color w:val="auto"/>
                <w:sz w:val="24"/>
                <w:szCs w:val="24"/>
              </w:rPr>
              <w:t>投标有效期</w:t>
            </w:r>
          </w:p>
        </w:tc>
        <w:tc>
          <w:tcPr>
            <w:tcW w:w="7025" w:type="dxa"/>
            <w:noWrap w:val="0"/>
            <w:vAlign w:val="center"/>
          </w:tcPr>
          <w:p>
            <w:pPr>
              <w:keepNext w:val="0"/>
              <w:keepLines w:val="0"/>
              <w:suppressLineNumbers w:val="0"/>
              <w:autoSpaceDE w:val="0"/>
              <w:autoSpaceDN w:val="0"/>
              <w:snapToGrid w:val="0"/>
              <w:spacing w:before="0" w:beforeAutospacing="0" w:after="0" w:afterAutospacing="0" w:line="400" w:lineRule="exact"/>
              <w:ind w:left="0" w:right="0"/>
              <w:textAlignment w:val="bottom"/>
              <w:rPr>
                <w:rFonts w:hint="eastAsia" w:ascii="仿宋" w:hAnsi="仿宋" w:eastAsia="仿宋" w:cs="仿宋"/>
                <w:color w:val="auto"/>
                <w:sz w:val="24"/>
                <w:szCs w:val="24"/>
              </w:rPr>
            </w:pPr>
            <w:r>
              <w:rPr>
                <w:rFonts w:hint="eastAsia" w:ascii="仿宋" w:hAnsi="仿宋" w:eastAsia="仿宋" w:cs="仿宋"/>
                <w:color w:val="auto"/>
                <w:sz w:val="24"/>
                <w:szCs w:val="24"/>
              </w:rPr>
              <w:t>投标截止时间后90天。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2" w:hRule="atLeast"/>
          <w:jc w:val="center"/>
        </w:trPr>
        <w:tc>
          <w:tcPr>
            <w:tcW w:w="791" w:type="dxa"/>
            <w:noWrap w:val="0"/>
            <w:vAlign w:val="center"/>
          </w:tcPr>
          <w:p>
            <w:pPr>
              <w:keepNext w:val="0"/>
              <w:keepLines w:val="0"/>
              <w:suppressLineNumbers w:val="0"/>
              <w:autoSpaceDE w:val="0"/>
              <w:autoSpaceDN w:val="0"/>
              <w:snapToGrid w:val="0"/>
              <w:spacing w:before="0" w:beforeAutospacing="0" w:after="0" w:afterAutospacing="0" w:line="400" w:lineRule="exact"/>
              <w:ind w:left="0" w:right="0"/>
              <w:jc w:val="center"/>
              <w:textAlignment w:val="bottom"/>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17</w:t>
            </w:r>
          </w:p>
        </w:tc>
        <w:tc>
          <w:tcPr>
            <w:tcW w:w="1787" w:type="dxa"/>
            <w:noWrap w:val="0"/>
            <w:vAlign w:val="center"/>
          </w:tcPr>
          <w:p>
            <w:pPr>
              <w:keepNext w:val="0"/>
              <w:keepLines w:val="0"/>
              <w:suppressLineNumbers w:val="0"/>
              <w:autoSpaceDE w:val="0"/>
              <w:autoSpaceDN w:val="0"/>
              <w:snapToGrid w:val="0"/>
              <w:spacing w:before="0" w:beforeAutospacing="0" w:after="0" w:afterAutospacing="0" w:line="400" w:lineRule="exact"/>
              <w:ind w:left="0" w:right="0"/>
              <w:jc w:val="center"/>
              <w:textAlignment w:val="bottom"/>
              <w:rPr>
                <w:rFonts w:hint="eastAsia" w:ascii="仿宋" w:hAnsi="仿宋" w:eastAsia="仿宋" w:cs="仿宋"/>
                <w:color w:val="auto"/>
                <w:sz w:val="24"/>
                <w:szCs w:val="24"/>
              </w:rPr>
            </w:pPr>
            <w:r>
              <w:rPr>
                <w:rFonts w:hint="eastAsia" w:ascii="仿宋" w:hAnsi="仿宋" w:eastAsia="仿宋" w:cs="仿宋"/>
                <w:b/>
                <w:bCs/>
                <w:color w:val="auto"/>
                <w:sz w:val="24"/>
                <w:szCs w:val="24"/>
              </w:rPr>
              <w:t>特别说明</w:t>
            </w:r>
          </w:p>
        </w:tc>
        <w:tc>
          <w:tcPr>
            <w:tcW w:w="7025" w:type="dxa"/>
            <w:noWrap w:val="0"/>
            <w:vAlign w:val="center"/>
          </w:tcPr>
          <w:p>
            <w:pPr>
              <w:pStyle w:val="294"/>
              <w:keepNext w:val="0"/>
              <w:keepLines w:val="0"/>
              <w:widowControl w:val="0"/>
              <w:suppressLineNumbers w:val="0"/>
              <w:autoSpaceDE w:val="0"/>
              <w:autoSpaceDN w:val="0"/>
              <w:snapToGrid w:val="0"/>
              <w:spacing w:before="0" w:beforeAutospacing="0" w:after="0" w:afterAutospacing="0" w:line="400" w:lineRule="exact"/>
              <w:ind w:left="0" w:right="0"/>
              <w:textAlignment w:val="bottom"/>
              <w:rPr>
                <w:rFonts w:hint="eastAsia" w:ascii="仿宋" w:hAnsi="仿宋" w:eastAsia="仿宋" w:cs="仿宋"/>
                <w:color w:val="auto"/>
                <w:sz w:val="24"/>
                <w:szCs w:val="24"/>
              </w:rPr>
            </w:pPr>
            <w:r>
              <w:rPr>
                <w:rFonts w:hint="eastAsia" w:ascii="仿宋" w:hAnsi="仿宋" w:eastAsia="仿宋" w:cs="仿宋"/>
                <w:color w:val="auto"/>
                <w:sz w:val="24"/>
                <w:szCs w:val="24"/>
              </w:rPr>
              <w:t>如发现采购文件及其评标办法中存在含糊不清、相互矛盾、多种含义以及歧视性不公正条款或违法违规等内容时，请在规定的质疑时间前同时向招标采购单位书面反映。逾期不得再对采购文件的条款提出质疑。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2" w:hRule="atLeast"/>
          <w:jc w:val="center"/>
        </w:trPr>
        <w:tc>
          <w:tcPr>
            <w:tcW w:w="791" w:type="dxa"/>
            <w:noWrap w:val="0"/>
            <w:vAlign w:val="center"/>
          </w:tcPr>
          <w:p>
            <w:pPr>
              <w:keepNext w:val="0"/>
              <w:keepLines w:val="0"/>
              <w:suppressLineNumbers w:val="0"/>
              <w:autoSpaceDE w:val="0"/>
              <w:autoSpaceDN w:val="0"/>
              <w:snapToGrid w:val="0"/>
              <w:spacing w:before="0" w:beforeAutospacing="0" w:after="0" w:afterAutospacing="0" w:line="400" w:lineRule="exact"/>
              <w:ind w:left="0" w:right="0"/>
              <w:jc w:val="center"/>
              <w:textAlignment w:val="bottom"/>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18</w:t>
            </w:r>
          </w:p>
        </w:tc>
        <w:tc>
          <w:tcPr>
            <w:tcW w:w="1787" w:type="dxa"/>
            <w:noWrap w:val="0"/>
            <w:vAlign w:val="center"/>
          </w:tcPr>
          <w:p>
            <w:pPr>
              <w:keepNext w:val="0"/>
              <w:keepLines w:val="0"/>
              <w:suppressLineNumbers w:val="0"/>
              <w:autoSpaceDE w:val="0"/>
              <w:autoSpaceDN w:val="0"/>
              <w:snapToGrid w:val="0"/>
              <w:spacing w:before="0" w:beforeAutospacing="0" w:after="0" w:afterAutospacing="0" w:line="400" w:lineRule="exact"/>
              <w:ind w:left="0" w:right="0"/>
              <w:jc w:val="center"/>
              <w:textAlignment w:val="bottom"/>
              <w:rPr>
                <w:rFonts w:hint="eastAsia" w:ascii="仿宋" w:hAnsi="仿宋" w:eastAsia="仿宋" w:cs="仿宋"/>
                <w:b/>
                <w:bCs/>
                <w:color w:val="auto"/>
                <w:sz w:val="24"/>
                <w:szCs w:val="24"/>
              </w:rPr>
            </w:pPr>
            <w:r>
              <w:rPr>
                <w:rFonts w:hint="eastAsia" w:ascii="仿宋" w:hAnsi="仿宋" w:eastAsia="仿宋" w:cs="仿宋"/>
                <w:b/>
                <w:bCs/>
                <w:snapToGrid w:val="0"/>
                <w:color w:val="auto"/>
                <w:sz w:val="24"/>
                <w:szCs w:val="21"/>
                <w:highlight w:val="none"/>
              </w:rPr>
              <w:t>推荐中标候选人数量</w:t>
            </w:r>
          </w:p>
        </w:tc>
        <w:tc>
          <w:tcPr>
            <w:tcW w:w="7025" w:type="dxa"/>
            <w:noWrap w:val="0"/>
            <w:vAlign w:val="center"/>
          </w:tcPr>
          <w:p>
            <w:pPr>
              <w:pStyle w:val="294"/>
              <w:keepNext w:val="0"/>
              <w:keepLines w:val="0"/>
              <w:widowControl w:val="0"/>
              <w:suppressLineNumbers w:val="0"/>
              <w:autoSpaceDE w:val="0"/>
              <w:autoSpaceDN w:val="0"/>
              <w:snapToGrid w:val="0"/>
              <w:spacing w:before="0" w:beforeAutospacing="0" w:after="0" w:afterAutospacing="0" w:line="400" w:lineRule="exact"/>
              <w:ind w:left="0" w:right="0"/>
              <w:textAlignment w:val="bottom"/>
              <w:rPr>
                <w:rFonts w:hint="eastAsia" w:ascii="仿宋" w:hAnsi="仿宋" w:eastAsia="仿宋" w:cs="仿宋"/>
                <w:color w:val="auto"/>
                <w:sz w:val="24"/>
                <w:szCs w:val="24"/>
              </w:rPr>
            </w:pPr>
            <w:r>
              <w:rPr>
                <w:rFonts w:hint="eastAsia" w:ascii="仿宋" w:hAnsi="仿宋" w:eastAsia="仿宋" w:cs="仿宋"/>
                <w:b/>
                <w:bCs/>
                <w:snapToGrid w:val="0"/>
                <w:color w:val="auto"/>
                <w:sz w:val="24"/>
                <w:szCs w:val="21"/>
                <w:highlight w:val="none"/>
              </w:rPr>
              <w:t>推荐中标候选人数量：</w:t>
            </w:r>
            <w:r>
              <w:rPr>
                <w:rFonts w:hint="eastAsia" w:ascii="仿宋" w:hAnsi="仿宋" w:eastAsia="仿宋" w:cs="仿宋"/>
                <w:snapToGrid w:val="0"/>
                <w:color w:val="auto"/>
                <w:sz w:val="24"/>
                <w:szCs w:val="21"/>
                <w:highlight w:val="none"/>
              </w:rPr>
              <w:t>1名。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2" w:hRule="atLeast"/>
          <w:jc w:val="center"/>
        </w:trPr>
        <w:tc>
          <w:tcPr>
            <w:tcW w:w="791" w:type="dxa"/>
            <w:noWrap w:val="0"/>
            <w:vAlign w:val="center"/>
          </w:tcPr>
          <w:p>
            <w:pPr>
              <w:keepNext w:val="0"/>
              <w:keepLines w:val="0"/>
              <w:suppressLineNumbers w:val="0"/>
              <w:autoSpaceDE w:val="0"/>
              <w:autoSpaceDN w:val="0"/>
              <w:snapToGrid w:val="0"/>
              <w:spacing w:before="0" w:beforeAutospacing="0" w:after="0" w:afterAutospacing="0" w:line="400" w:lineRule="exact"/>
              <w:ind w:left="0" w:right="0"/>
              <w:jc w:val="center"/>
              <w:textAlignment w:val="bottom"/>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19</w:t>
            </w:r>
          </w:p>
        </w:tc>
        <w:tc>
          <w:tcPr>
            <w:tcW w:w="1787" w:type="dxa"/>
            <w:noWrap w:val="0"/>
            <w:vAlign w:val="center"/>
          </w:tcPr>
          <w:p>
            <w:pPr>
              <w:keepNext w:val="0"/>
              <w:keepLines w:val="0"/>
              <w:suppressLineNumbers w:val="0"/>
              <w:autoSpaceDE w:val="0"/>
              <w:autoSpaceDN w:val="0"/>
              <w:snapToGrid w:val="0"/>
              <w:spacing w:before="0" w:beforeAutospacing="0" w:after="0" w:afterAutospacing="0" w:line="400" w:lineRule="exact"/>
              <w:ind w:left="0" w:right="0"/>
              <w:jc w:val="center"/>
              <w:textAlignment w:val="bottom"/>
              <w:rPr>
                <w:rFonts w:hint="eastAsia" w:ascii="仿宋" w:hAnsi="仿宋" w:eastAsia="仿宋" w:cs="仿宋"/>
                <w:color w:val="auto"/>
                <w:sz w:val="24"/>
                <w:szCs w:val="24"/>
              </w:rPr>
            </w:pPr>
            <w:r>
              <w:rPr>
                <w:rFonts w:hint="eastAsia" w:ascii="仿宋" w:hAnsi="仿宋" w:eastAsia="仿宋" w:cs="仿宋"/>
                <w:b/>
                <w:bCs/>
                <w:color w:val="auto"/>
                <w:sz w:val="24"/>
                <w:szCs w:val="24"/>
              </w:rPr>
              <w:t>有关费用</w:t>
            </w:r>
          </w:p>
        </w:tc>
        <w:tc>
          <w:tcPr>
            <w:tcW w:w="7025" w:type="dxa"/>
            <w:noWrap w:val="0"/>
            <w:vAlign w:val="center"/>
          </w:tcPr>
          <w:p>
            <w:pPr>
              <w:keepNext w:val="0"/>
              <w:keepLines w:val="0"/>
              <w:suppressLineNumbers w:val="0"/>
              <w:spacing w:before="0" w:beforeAutospacing="0" w:after="0" w:afterAutospacing="0" w:line="336" w:lineRule="auto"/>
              <w:ind w:left="0" w:right="0"/>
              <w:rPr>
                <w:rFonts w:hint="eastAsia" w:ascii="仿宋" w:hAnsi="仿宋" w:eastAsia="仿宋" w:cs="仿宋"/>
                <w:color w:val="auto"/>
                <w:kern w:val="2"/>
                <w:sz w:val="24"/>
                <w:szCs w:val="24"/>
                <w:lang w:val="en-US" w:eastAsia="zh-CN" w:bidi="ar-SA"/>
              </w:rPr>
            </w:pPr>
            <w:r>
              <w:rPr>
                <w:rFonts w:hint="default" w:ascii="仿宋" w:hAnsi="仿宋" w:eastAsia="仿宋" w:cs="仿宋"/>
                <w:color w:val="auto"/>
                <w:kern w:val="2"/>
                <w:sz w:val="24"/>
                <w:szCs w:val="24"/>
                <w:lang w:val="en-US" w:eastAsia="zh-CN" w:bidi="ar-SA"/>
              </w:rPr>
              <w:t>①</w:t>
            </w:r>
            <w:r>
              <w:rPr>
                <w:rFonts w:hint="eastAsia" w:ascii="仿宋" w:hAnsi="仿宋" w:eastAsia="仿宋" w:cs="仿宋"/>
                <w:color w:val="auto"/>
                <w:kern w:val="2"/>
                <w:sz w:val="24"/>
                <w:szCs w:val="24"/>
                <w:lang w:val="en-US" w:eastAsia="zh-CN" w:bidi="ar-SA"/>
              </w:rPr>
              <w:t>中标人须向招标代理机构支付中标服务费，按如下标准采用差额定率累进法进行计算，</w:t>
            </w:r>
            <w:r>
              <w:rPr>
                <w:rFonts w:hint="eastAsia" w:ascii="仿宋" w:hAnsi="仿宋" w:eastAsia="仿宋" w:cs="仿宋"/>
                <w:color w:val="auto"/>
                <w:sz w:val="24"/>
                <w:szCs w:val="24"/>
                <w:lang w:eastAsia="zh-CN"/>
              </w:rPr>
              <w:t>其他费用按实结算，</w:t>
            </w:r>
            <w:r>
              <w:rPr>
                <w:rFonts w:hint="eastAsia" w:ascii="仿宋" w:hAnsi="仿宋" w:eastAsia="仿宋" w:cs="仿宋"/>
                <w:color w:val="auto"/>
                <w:kern w:val="2"/>
                <w:sz w:val="24"/>
                <w:szCs w:val="24"/>
                <w:lang w:val="en-US" w:eastAsia="zh-CN" w:bidi="ar-SA"/>
              </w:rPr>
              <w:t>请在投标报价中自行考虑：</w:t>
            </w:r>
          </w:p>
          <w:tbl>
            <w:tblPr>
              <w:tblStyle w:val="82"/>
              <w:tblW w:w="6918"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6"/>
              <w:gridCol w:w="1840"/>
              <w:gridCol w:w="197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40" w:hRule="atLeast"/>
              </w:trPr>
              <w:tc>
                <w:tcPr>
                  <w:tcW w:w="3106" w:type="dxa"/>
                  <w:tcBorders>
                    <w:top w:val="single" w:color="000000" w:sz="4" w:space="0"/>
                    <w:left w:val="single" w:color="000000" w:sz="4" w:space="0"/>
                    <w:bottom w:val="single" w:color="000000" w:sz="4" w:space="0"/>
                    <w:right w:val="single" w:color="000000" w:sz="4" w:space="0"/>
                    <w:tl2br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              采购类型金额（万元）        </w:t>
                  </w:r>
                </w:p>
              </w:tc>
              <w:tc>
                <w:tcPr>
                  <w:tcW w:w="18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货物招标</w:t>
                  </w:r>
                </w:p>
              </w:tc>
              <w:tc>
                <w:tcPr>
                  <w:tcW w:w="197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服务招标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82" w:hRule="atLeast"/>
              </w:trPr>
              <w:tc>
                <w:tcPr>
                  <w:tcW w:w="310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100以下</w:t>
                  </w:r>
                </w:p>
              </w:tc>
              <w:tc>
                <w:tcPr>
                  <w:tcW w:w="18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w:t>
                  </w:r>
                </w:p>
              </w:tc>
              <w:tc>
                <w:tcPr>
                  <w:tcW w:w="197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72" w:hRule="atLeast"/>
              </w:trPr>
              <w:tc>
                <w:tcPr>
                  <w:tcW w:w="310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100-500</w:t>
                  </w:r>
                </w:p>
              </w:tc>
              <w:tc>
                <w:tcPr>
                  <w:tcW w:w="18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w:t>
                  </w:r>
                </w:p>
              </w:tc>
              <w:tc>
                <w:tcPr>
                  <w:tcW w:w="197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0.8%</w:t>
                  </w:r>
                </w:p>
              </w:tc>
            </w:tr>
          </w:tbl>
          <w:p>
            <w:pPr>
              <w:pStyle w:val="294"/>
              <w:keepNext w:val="0"/>
              <w:keepLines w:val="0"/>
              <w:widowControl w:val="0"/>
              <w:suppressLineNumbers w:val="0"/>
              <w:autoSpaceDE w:val="0"/>
              <w:autoSpaceDN w:val="0"/>
              <w:snapToGrid w:val="0"/>
              <w:spacing w:before="0" w:beforeAutospacing="0" w:after="0" w:afterAutospacing="0" w:line="400" w:lineRule="exact"/>
              <w:ind w:left="0" w:right="0"/>
              <w:textAlignment w:val="bottom"/>
              <w:rPr>
                <w:rFonts w:hint="eastAsia" w:ascii="仿宋" w:hAnsi="仿宋" w:eastAsia="仿宋" w:cs="仿宋"/>
                <w:color w:val="auto"/>
                <w:sz w:val="24"/>
                <w:szCs w:val="24"/>
              </w:rPr>
            </w:pPr>
            <w:r>
              <w:rPr>
                <w:rFonts w:hint="eastAsia" w:ascii="仿宋" w:hAnsi="仿宋" w:eastAsia="仿宋" w:cs="仿宋"/>
                <w:color w:val="auto"/>
                <w:sz w:val="24"/>
                <w:szCs w:val="24"/>
              </w:rPr>
              <w:t>②中标服务费的交纳方式：</w:t>
            </w:r>
          </w:p>
          <w:p>
            <w:pPr>
              <w:pStyle w:val="294"/>
              <w:keepNext w:val="0"/>
              <w:keepLines w:val="0"/>
              <w:widowControl w:val="0"/>
              <w:suppressLineNumbers w:val="0"/>
              <w:autoSpaceDE w:val="0"/>
              <w:autoSpaceDN w:val="0"/>
              <w:snapToGrid w:val="0"/>
              <w:spacing w:before="0" w:beforeAutospacing="0" w:after="0" w:afterAutospacing="0" w:line="400" w:lineRule="exact"/>
              <w:ind w:left="0" w:right="0"/>
              <w:textAlignment w:val="bottom"/>
              <w:rPr>
                <w:rFonts w:hint="eastAsia" w:ascii="仿宋" w:hAnsi="仿宋" w:eastAsia="仿宋" w:cs="仿宋"/>
                <w:color w:val="auto"/>
                <w:sz w:val="24"/>
                <w:szCs w:val="24"/>
              </w:rPr>
            </w:pPr>
            <w:r>
              <w:rPr>
                <w:rFonts w:hint="eastAsia" w:ascii="仿宋" w:hAnsi="仿宋" w:eastAsia="仿宋" w:cs="仿宋"/>
                <w:color w:val="auto"/>
                <w:sz w:val="24"/>
                <w:szCs w:val="24"/>
              </w:rPr>
              <w:t>用银行支票、汇票、电汇、现金等付款方式直接交纳中标服务费。</w:t>
            </w:r>
          </w:p>
          <w:p>
            <w:pPr>
              <w:pStyle w:val="294"/>
              <w:keepNext w:val="0"/>
              <w:keepLines w:val="0"/>
              <w:widowControl w:val="0"/>
              <w:suppressLineNumbers w:val="0"/>
              <w:autoSpaceDE w:val="0"/>
              <w:autoSpaceDN w:val="0"/>
              <w:snapToGrid w:val="0"/>
              <w:spacing w:before="0" w:beforeAutospacing="0" w:after="0" w:afterAutospacing="0" w:line="400" w:lineRule="exact"/>
              <w:ind w:left="0" w:right="0"/>
              <w:textAlignment w:val="bottom"/>
              <w:rPr>
                <w:rFonts w:hint="eastAsia" w:ascii="仿宋" w:hAnsi="仿宋" w:eastAsia="仿宋" w:cs="仿宋"/>
                <w:color w:val="auto"/>
                <w:sz w:val="24"/>
                <w:szCs w:val="24"/>
                <w:lang w:eastAsia="zh-CN"/>
              </w:rPr>
            </w:pPr>
            <w:r>
              <w:rPr>
                <w:rFonts w:hint="eastAsia" w:ascii="仿宋" w:hAnsi="仿宋" w:eastAsia="仿宋" w:cs="仿宋"/>
                <w:color w:val="auto"/>
                <w:sz w:val="24"/>
                <w:szCs w:val="24"/>
              </w:rPr>
              <w:t>公司名称：</w:t>
            </w:r>
            <w:r>
              <w:rPr>
                <w:rFonts w:hint="eastAsia" w:ascii="仿宋" w:hAnsi="仿宋" w:eastAsia="仿宋" w:cs="仿宋"/>
                <w:color w:val="auto"/>
                <w:sz w:val="24"/>
                <w:szCs w:val="24"/>
                <w:lang w:eastAsia="zh-CN"/>
              </w:rPr>
              <w:t>浙江中林工程管理有限公司</w:t>
            </w:r>
          </w:p>
          <w:p>
            <w:pPr>
              <w:pStyle w:val="294"/>
              <w:keepNext w:val="0"/>
              <w:keepLines w:val="0"/>
              <w:widowControl w:val="0"/>
              <w:suppressLineNumbers w:val="0"/>
              <w:autoSpaceDE w:val="0"/>
              <w:autoSpaceDN w:val="0"/>
              <w:snapToGrid w:val="0"/>
              <w:spacing w:before="0" w:beforeAutospacing="0" w:after="0" w:afterAutospacing="0" w:line="400" w:lineRule="exact"/>
              <w:ind w:left="0" w:right="0"/>
              <w:textAlignment w:val="bottom"/>
              <w:rPr>
                <w:rFonts w:hint="eastAsia" w:ascii="仿宋" w:hAnsi="仿宋" w:eastAsia="仿宋" w:cs="仿宋"/>
                <w:color w:val="auto"/>
                <w:sz w:val="24"/>
                <w:szCs w:val="24"/>
              </w:rPr>
            </w:pPr>
            <w:r>
              <w:rPr>
                <w:rFonts w:hint="eastAsia" w:ascii="仿宋" w:hAnsi="仿宋" w:eastAsia="仿宋" w:cs="仿宋"/>
                <w:color w:val="auto"/>
                <w:sz w:val="24"/>
                <w:szCs w:val="24"/>
              </w:rPr>
              <w:t>开户行：</w:t>
            </w:r>
            <w:r>
              <w:rPr>
                <w:rFonts w:hint="eastAsia" w:ascii="仿宋" w:hAnsi="仿宋" w:eastAsia="仿宋" w:cs="仿宋"/>
                <w:color w:val="auto"/>
                <w:sz w:val="24"/>
                <w:szCs w:val="24"/>
                <w:lang w:val="en-US" w:eastAsia="zh-CN"/>
              </w:rPr>
              <w:t>中国建设银行嵊州支行</w:t>
            </w:r>
          </w:p>
          <w:p>
            <w:pPr>
              <w:pStyle w:val="294"/>
              <w:keepNext w:val="0"/>
              <w:keepLines w:val="0"/>
              <w:widowControl w:val="0"/>
              <w:suppressLineNumbers w:val="0"/>
              <w:autoSpaceDE w:val="0"/>
              <w:autoSpaceDN w:val="0"/>
              <w:snapToGrid w:val="0"/>
              <w:spacing w:before="0" w:beforeAutospacing="0" w:after="0" w:afterAutospacing="0" w:line="400" w:lineRule="exact"/>
              <w:ind w:left="0" w:right="0"/>
              <w:textAlignment w:val="bottom"/>
              <w:rPr>
                <w:rFonts w:hint="eastAsia" w:ascii="仿宋" w:hAnsi="仿宋" w:eastAsia="仿宋" w:cs="仿宋"/>
                <w:color w:val="auto"/>
                <w:sz w:val="24"/>
                <w:szCs w:val="24"/>
              </w:rPr>
            </w:pPr>
            <w:r>
              <w:rPr>
                <w:rFonts w:hint="eastAsia" w:ascii="仿宋" w:hAnsi="仿宋" w:eastAsia="仿宋" w:cs="仿宋"/>
                <w:color w:val="auto"/>
                <w:sz w:val="24"/>
                <w:szCs w:val="24"/>
              </w:rPr>
              <w:t>账  号：</w:t>
            </w:r>
            <w:r>
              <w:rPr>
                <w:rFonts w:hint="eastAsia" w:ascii="仿宋" w:hAnsi="仿宋" w:eastAsia="仿宋" w:cs="仿宋"/>
                <w:color w:val="auto"/>
                <w:sz w:val="24"/>
                <w:szCs w:val="24"/>
                <w:lang w:val="en-US" w:eastAsia="zh-CN"/>
              </w:rPr>
              <w:t>33001656552053003772</w:t>
            </w:r>
          </w:p>
          <w:p>
            <w:pPr>
              <w:pStyle w:val="294"/>
              <w:keepNext w:val="0"/>
              <w:keepLines w:val="0"/>
              <w:widowControl w:val="0"/>
              <w:suppressLineNumbers w:val="0"/>
              <w:autoSpaceDE w:val="0"/>
              <w:autoSpaceDN w:val="0"/>
              <w:snapToGrid w:val="0"/>
              <w:spacing w:before="0" w:beforeAutospacing="0" w:after="0" w:afterAutospacing="0" w:line="400" w:lineRule="exact"/>
              <w:ind w:left="0" w:right="0"/>
              <w:textAlignment w:val="bottom"/>
              <w:rPr>
                <w:rFonts w:hint="eastAsia" w:ascii="仿宋" w:hAnsi="仿宋" w:eastAsia="仿宋" w:cs="仿宋"/>
                <w:color w:val="auto"/>
                <w:sz w:val="24"/>
                <w:szCs w:val="24"/>
              </w:rPr>
            </w:pPr>
            <w:r>
              <w:rPr>
                <w:rFonts w:hint="eastAsia" w:ascii="仿宋" w:hAnsi="仿宋" w:eastAsia="仿宋" w:cs="仿宋"/>
                <w:color w:val="auto"/>
                <w:sz w:val="24"/>
                <w:szCs w:val="24"/>
              </w:rPr>
              <w:t>③中标服务费交纳时间：领取中标通知书</w:t>
            </w:r>
            <w:r>
              <w:rPr>
                <w:rFonts w:hint="eastAsia" w:ascii="仿宋" w:hAnsi="仿宋" w:eastAsia="仿宋" w:cs="仿宋"/>
                <w:color w:val="auto"/>
                <w:sz w:val="24"/>
                <w:szCs w:val="24"/>
                <w:lang w:eastAsia="zh-CN"/>
              </w:rPr>
              <w:t>时</w:t>
            </w:r>
            <w:r>
              <w:rPr>
                <w:rFonts w:hint="eastAsia" w:ascii="仿宋" w:hAnsi="仿宋" w:eastAsia="仿宋" w:cs="仿宋"/>
                <w:color w:val="auto"/>
                <w:sz w:val="24"/>
                <w:szCs w:val="24"/>
              </w:rPr>
              <w:t>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91" w:type="dxa"/>
            <w:noWrap w:val="0"/>
            <w:vAlign w:val="center"/>
          </w:tcPr>
          <w:p>
            <w:pPr>
              <w:keepNext w:val="0"/>
              <w:keepLines w:val="0"/>
              <w:suppressLineNumbers w:val="0"/>
              <w:autoSpaceDE w:val="0"/>
              <w:autoSpaceDN w:val="0"/>
              <w:snapToGrid w:val="0"/>
              <w:spacing w:before="0" w:beforeAutospacing="0" w:after="0" w:afterAutospacing="0" w:line="400" w:lineRule="exact"/>
              <w:ind w:left="0" w:right="0"/>
              <w:jc w:val="center"/>
              <w:textAlignment w:val="bottom"/>
              <w:rPr>
                <w:rFonts w:hint="default" w:ascii="仿宋" w:hAnsi="仿宋" w:eastAsia="仿宋" w:cs="仿宋"/>
                <w:color w:val="auto"/>
                <w:sz w:val="24"/>
                <w:szCs w:val="24"/>
                <w:lang w:val="en-US"/>
              </w:rPr>
            </w:pPr>
            <w:r>
              <w:rPr>
                <w:rFonts w:hint="eastAsia" w:ascii="仿宋" w:hAnsi="仿宋" w:eastAsia="仿宋" w:cs="仿宋"/>
                <w:color w:val="auto"/>
                <w:sz w:val="24"/>
                <w:szCs w:val="24"/>
                <w:lang w:val="en-US" w:eastAsia="zh-CN"/>
              </w:rPr>
              <w:t>20</w:t>
            </w:r>
          </w:p>
        </w:tc>
        <w:tc>
          <w:tcPr>
            <w:tcW w:w="1787" w:type="dxa"/>
            <w:noWrap w:val="0"/>
            <w:vAlign w:val="center"/>
          </w:tcPr>
          <w:p>
            <w:pPr>
              <w:pStyle w:val="294"/>
              <w:keepNext w:val="0"/>
              <w:keepLines w:val="0"/>
              <w:widowControl w:val="0"/>
              <w:suppressLineNumbers w:val="0"/>
              <w:autoSpaceDE w:val="0"/>
              <w:autoSpaceDN w:val="0"/>
              <w:snapToGrid w:val="0"/>
              <w:spacing w:before="0" w:beforeAutospacing="0" w:after="0" w:afterAutospacing="0" w:line="400" w:lineRule="exact"/>
              <w:ind w:left="0" w:right="0"/>
              <w:jc w:val="center"/>
              <w:textAlignment w:val="bottom"/>
              <w:rPr>
                <w:rFonts w:hint="eastAsia" w:ascii="仿宋" w:hAnsi="仿宋" w:eastAsia="仿宋" w:cs="仿宋"/>
                <w:color w:val="auto"/>
                <w:sz w:val="24"/>
                <w:szCs w:val="24"/>
              </w:rPr>
            </w:pPr>
            <w:r>
              <w:rPr>
                <w:rFonts w:hint="eastAsia" w:ascii="仿宋" w:hAnsi="仿宋" w:eastAsia="仿宋" w:cs="仿宋"/>
                <w:b/>
                <w:bCs/>
                <w:color w:val="auto"/>
                <w:sz w:val="24"/>
                <w:szCs w:val="24"/>
              </w:rPr>
              <w:t>解释</w:t>
            </w:r>
          </w:p>
        </w:tc>
        <w:tc>
          <w:tcPr>
            <w:tcW w:w="7025" w:type="dxa"/>
            <w:noWrap w:val="0"/>
            <w:vAlign w:val="center"/>
          </w:tcPr>
          <w:p>
            <w:pPr>
              <w:pStyle w:val="294"/>
              <w:keepNext w:val="0"/>
              <w:keepLines w:val="0"/>
              <w:widowControl w:val="0"/>
              <w:suppressLineNumbers w:val="0"/>
              <w:autoSpaceDE w:val="0"/>
              <w:autoSpaceDN w:val="0"/>
              <w:snapToGrid w:val="0"/>
              <w:spacing w:before="0" w:beforeAutospacing="0" w:after="0" w:afterAutospacing="0" w:line="400" w:lineRule="exact"/>
              <w:ind w:left="0" w:right="0"/>
              <w:textAlignment w:val="bottom"/>
              <w:rPr>
                <w:rFonts w:hint="eastAsia" w:ascii="仿宋" w:hAnsi="仿宋" w:eastAsia="仿宋" w:cs="仿宋"/>
                <w:color w:val="auto"/>
                <w:sz w:val="24"/>
                <w:szCs w:val="24"/>
              </w:rPr>
            </w:pPr>
            <w:r>
              <w:rPr>
                <w:rFonts w:hint="eastAsia" w:ascii="仿宋" w:hAnsi="仿宋" w:eastAsia="仿宋" w:cs="仿宋"/>
                <w:color w:val="auto"/>
                <w:sz w:val="24"/>
                <w:szCs w:val="24"/>
              </w:rPr>
              <w:t>凡涉及本采购文件的解释权属于招标采购单位</w:t>
            </w:r>
            <w:r>
              <w:rPr>
                <w:rFonts w:hint="eastAsia" w:ascii="仿宋" w:hAnsi="仿宋" w:eastAsia="仿宋" w:cs="仿宋"/>
                <w:color w:val="auto"/>
                <w:sz w:val="24"/>
                <w:szCs w:val="24"/>
                <w:lang w:val="en-US" w:eastAsia="zh-CN"/>
              </w:rPr>
              <w:t>及招标代理机构</w:t>
            </w:r>
            <w:r>
              <w:rPr>
                <w:rFonts w:hint="eastAsia" w:ascii="仿宋" w:hAnsi="仿宋" w:eastAsia="仿宋" w:cs="仿宋"/>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0" w:hRule="atLeast"/>
          <w:jc w:val="center"/>
        </w:trPr>
        <w:tc>
          <w:tcPr>
            <w:tcW w:w="9603" w:type="dxa"/>
            <w:gridSpan w:val="3"/>
            <w:noWrap w:val="0"/>
            <w:vAlign w:val="center"/>
          </w:tcPr>
          <w:p>
            <w:pPr>
              <w:pStyle w:val="294"/>
              <w:keepNext w:val="0"/>
              <w:keepLines w:val="0"/>
              <w:widowControl w:val="0"/>
              <w:suppressLineNumbers w:val="0"/>
              <w:autoSpaceDE w:val="0"/>
              <w:autoSpaceDN w:val="0"/>
              <w:snapToGrid w:val="0"/>
              <w:spacing w:before="0" w:beforeAutospacing="0" w:after="0" w:afterAutospacing="0" w:line="400" w:lineRule="exact"/>
              <w:ind w:left="0" w:right="0"/>
              <w:textAlignment w:val="bottom"/>
              <w:rPr>
                <w:rFonts w:hint="eastAsia" w:ascii="仿宋" w:hAnsi="仿宋" w:eastAsia="仿宋" w:cs="仿宋"/>
                <w:color w:val="auto"/>
                <w:sz w:val="24"/>
                <w:szCs w:val="24"/>
              </w:rPr>
            </w:pPr>
            <w:r>
              <w:rPr>
                <w:rFonts w:hint="eastAsia" w:ascii="仿宋" w:hAnsi="仿宋" w:eastAsia="仿宋" w:cs="仿宋"/>
                <w:b/>
                <w:bCs/>
                <w:color w:val="auto"/>
                <w:sz w:val="24"/>
                <w:szCs w:val="24"/>
              </w:rPr>
              <w:t>注：中标人放弃中标资格或因质疑、投诉被取消预中标资格或不能履行合同的，</w:t>
            </w:r>
            <w:r>
              <w:rPr>
                <w:rFonts w:hint="eastAsia" w:ascii="仿宋" w:hAnsi="仿宋" w:eastAsia="仿宋" w:cs="仿宋"/>
                <w:b/>
                <w:bCs/>
                <w:color w:val="auto"/>
                <w:sz w:val="24"/>
                <w:szCs w:val="24"/>
                <w:lang w:val="en-US" w:eastAsia="zh-CN"/>
              </w:rPr>
              <w:t>本项目组织</w:t>
            </w:r>
            <w:r>
              <w:rPr>
                <w:rFonts w:hint="eastAsia" w:ascii="仿宋" w:hAnsi="仿宋" w:eastAsia="仿宋" w:cs="仿宋"/>
                <w:b/>
                <w:bCs/>
                <w:color w:val="auto"/>
                <w:sz w:val="24"/>
                <w:szCs w:val="24"/>
              </w:rPr>
              <w:t>重新招标。</w:t>
            </w:r>
          </w:p>
        </w:tc>
      </w:tr>
    </w:tbl>
    <w:p>
      <w:pPr>
        <w:pStyle w:val="5"/>
        <w:spacing w:line="460" w:lineRule="exact"/>
        <w:jc w:val="center"/>
        <w:rPr>
          <w:rFonts w:hint="eastAsia" w:ascii="仿宋" w:hAnsi="仿宋" w:eastAsia="仿宋" w:cs="仿宋"/>
          <w:color w:val="auto"/>
          <w:sz w:val="32"/>
          <w:szCs w:val="32"/>
        </w:rPr>
      </w:pPr>
      <w:bookmarkStart w:id="63" w:name="_Toc54978890"/>
      <w:r>
        <w:rPr>
          <w:rFonts w:hint="eastAsia" w:ascii="仿宋" w:hAnsi="仿宋" w:eastAsia="仿宋" w:cs="仿宋"/>
          <w:color w:val="auto"/>
          <w:sz w:val="32"/>
          <w:szCs w:val="32"/>
        </w:rPr>
        <w:t>二、</w:t>
      </w:r>
      <w:bookmarkEnd w:id="60"/>
      <w:bookmarkEnd w:id="61"/>
      <w:r>
        <w:rPr>
          <w:rFonts w:hint="eastAsia" w:ascii="仿宋" w:hAnsi="仿宋" w:eastAsia="仿宋" w:cs="仿宋"/>
          <w:color w:val="auto"/>
          <w:sz w:val="32"/>
          <w:szCs w:val="32"/>
        </w:rPr>
        <w:t>总则</w:t>
      </w:r>
      <w:bookmarkEnd w:id="62"/>
      <w:bookmarkEnd w:id="63"/>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bookmarkStart w:id="64" w:name="_Toc82338240"/>
      <w:bookmarkStart w:id="65" w:name="_Toc82873323"/>
      <w:r>
        <w:rPr>
          <w:rFonts w:hint="eastAsia" w:ascii="仿宋" w:hAnsi="仿宋" w:eastAsia="仿宋" w:cs="仿宋"/>
          <w:color w:val="auto"/>
          <w:sz w:val="24"/>
          <w:szCs w:val="24"/>
        </w:rPr>
        <w:t>1、实施依据</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本次招标工作是按照</w:t>
      </w:r>
      <w:r>
        <w:rPr>
          <w:rFonts w:hint="eastAsia" w:ascii="仿宋" w:hAnsi="仿宋" w:eastAsia="仿宋" w:cs="仿宋"/>
          <w:color w:val="auto"/>
          <w:kern w:val="0"/>
          <w:sz w:val="24"/>
          <w:szCs w:val="24"/>
        </w:rPr>
        <w:t>《中华人民共和国政府采购法》、《中华人民共和国政府采购法实施条例》</w:t>
      </w:r>
      <w:r>
        <w:rPr>
          <w:rFonts w:hint="eastAsia" w:ascii="仿宋" w:hAnsi="仿宋" w:eastAsia="仿宋" w:cs="仿宋"/>
          <w:color w:val="auto"/>
          <w:sz w:val="24"/>
          <w:szCs w:val="24"/>
        </w:rPr>
        <w:t>等招标投标有关法律、法规、规章、文件的规定组织和实施。</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2、定义</w:t>
      </w:r>
    </w:p>
    <w:p>
      <w:pPr>
        <w:pageBreakBefore w:val="0"/>
        <w:kinsoku/>
        <w:wordWrap/>
        <w:overflowPunct/>
        <w:topLinePunct w:val="0"/>
        <w:bidi w:val="0"/>
        <w:adjustRightIn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2.1 “采购人”系指采购公告中载明的本项目的采购人。</w:t>
      </w:r>
    </w:p>
    <w:p>
      <w:pPr>
        <w:pageBreakBefore w:val="0"/>
        <w:kinsoku/>
        <w:wordWrap/>
        <w:overflowPunct/>
        <w:topLinePunct w:val="0"/>
        <w:bidi w:val="0"/>
        <w:adjustRightIn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2.2 “采购机构”系指采购公告中载明的本项目的采购代理机构。</w:t>
      </w:r>
    </w:p>
    <w:p>
      <w:pPr>
        <w:pageBreakBefore w:val="0"/>
        <w:kinsoku/>
        <w:wordWrap/>
        <w:overflowPunct/>
        <w:topLinePunct w:val="0"/>
        <w:bidi w:val="0"/>
        <w:adjustRightIn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2.3 “投标人”系指是指响应招标、参加投标竞争的法人、其他组织或者自然人。</w:t>
      </w:r>
    </w:p>
    <w:p>
      <w:pPr>
        <w:pageBreakBefore w:val="0"/>
        <w:kinsoku/>
        <w:wordWrap/>
        <w:overflowPunct/>
        <w:topLinePunct w:val="0"/>
        <w:bidi w:val="0"/>
        <w:adjustRightIn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2.4 “负责人”系指法人企业的法定负责人，或其他组织为法律、行政法规规定代表单位行使职权的主要负责人，或自然人本人。</w:t>
      </w:r>
    </w:p>
    <w:p>
      <w:pPr>
        <w:pageBreakBefore w:val="0"/>
        <w:kinsoku/>
        <w:wordWrap/>
        <w:overflowPunct/>
        <w:topLinePunct w:val="0"/>
        <w:bidi w:val="0"/>
        <w:adjustRightIn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格式见附件</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w:t>
      </w:r>
    </w:p>
    <w:p>
      <w:pPr>
        <w:pageBreakBefore w:val="0"/>
        <w:kinsoku/>
        <w:wordWrap/>
        <w:overflowPunct/>
        <w:topLinePunct w:val="0"/>
        <w:bidi w:val="0"/>
        <w:adjustRightIn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2.6“电子交易平台”是指本项目采购活动所依托的</w:t>
      </w:r>
      <w:r>
        <w:rPr>
          <w:rFonts w:hint="eastAsia" w:ascii="仿宋" w:hAnsi="仿宋" w:eastAsia="仿宋" w:cs="仿宋"/>
          <w:color w:val="auto"/>
          <w:sz w:val="24"/>
          <w:szCs w:val="24"/>
          <w:lang w:eastAsia="zh-CN"/>
        </w:rPr>
        <w:t>采购云平台</w:t>
      </w:r>
      <w:r>
        <w:rPr>
          <w:rFonts w:hint="eastAsia" w:ascii="仿宋" w:hAnsi="仿宋" w:eastAsia="仿宋" w:cs="仿宋"/>
          <w:color w:val="auto"/>
          <w:sz w:val="24"/>
          <w:szCs w:val="24"/>
        </w:rPr>
        <w:t>（https://</w:t>
      </w:r>
      <w:r>
        <w:rPr>
          <w:rFonts w:hint="eastAsia" w:ascii="仿宋" w:hAnsi="仿宋" w:eastAsia="仿宋" w:cs="仿宋"/>
          <w:color w:val="auto"/>
          <w:sz w:val="24"/>
          <w:szCs w:val="24"/>
          <w:lang w:eastAsia="zh-CN"/>
        </w:rPr>
        <w:t>www.lecaiyun.com</w:t>
      </w:r>
      <w:r>
        <w:rPr>
          <w:rFonts w:hint="eastAsia" w:ascii="仿宋" w:hAnsi="仿宋" w:eastAsia="仿宋" w:cs="仿宋"/>
          <w:color w:val="auto"/>
          <w:sz w:val="24"/>
          <w:szCs w:val="24"/>
        </w:rPr>
        <w:t>/）。</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2.7 “★”系指实质性指标要求条款，“▲”系指主要性能指标要求条款。如任意一条打“★”的指标出现负偏离视为实质性不响应招标文件要求，作无效投标处理；如任意一条打“▲”的指标出现负偏离按评分标准规定处理。</w:t>
      </w:r>
    </w:p>
    <w:p>
      <w:pPr>
        <w:pageBreakBefore w:val="0"/>
        <w:kinsoku/>
        <w:wordWrap/>
        <w:overflowPunct/>
        <w:topLinePunct w:val="0"/>
        <w:bidi w:val="0"/>
        <w:adjustRightIn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w:t>
      </w:r>
      <w:r>
        <w:rPr>
          <w:rFonts w:hint="eastAsia" w:ascii="仿宋" w:hAnsi="仿宋" w:eastAsia="仿宋" w:cs="仿宋"/>
          <w:color w:val="auto"/>
          <w:sz w:val="24"/>
          <w:szCs w:val="24"/>
        </w:rPr>
        <w:sym w:font="Wingdings" w:char="F0FE"/>
      </w:r>
      <w:r>
        <w:rPr>
          <w:rFonts w:hint="eastAsia" w:ascii="仿宋" w:hAnsi="仿宋" w:eastAsia="仿宋" w:cs="仿宋"/>
          <w:color w:val="auto"/>
          <w:sz w:val="24"/>
          <w:szCs w:val="24"/>
        </w:rPr>
        <w:t>” 系指适用本项目的要求，“☐” 系指不适用本项目的要求。</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投标联合体：是指两个以上供应商组成联合体，以一个投标人的身份参加投标；</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货物和服务：是指按采购文件要求的货物和服务；</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3、投标人须知前附表规定接受联合体投标的，应遵守以下规定：</w:t>
      </w:r>
      <w:r>
        <w:rPr>
          <w:rFonts w:hint="eastAsia" w:ascii="仿宋" w:hAnsi="仿宋" w:eastAsia="仿宋" w:cs="仿宋"/>
          <w:b/>
          <w:color w:val="auto"/>
          <w:sz w:val="24"/>
          <w:szCs w:val="24"/>
        </w:rPr>
        <w:t>（本项目不适用）</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3.1</w:t>
      </w:r>
      <w:r>
        <w:rPr>
          <w:rFonts w:hint="eastAsia" w:ascii="仿宋" w:hAnsi="仿宋" w:eastAsia="仿宋" w:cs="仿宋"/>
          <w:color w:val="auto"/>
          <w:sz w:val="24"/>
          <w:szCs w:val="24"/>
        </w:rPr>
        <w:t>两个以上供应商可以组成一个联合体，以一个供应商的身份共同参加投标；</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3.2</w:t>
      </w:r>
      <w:r>
        <w:rPr>
          <w:rFonts w:hint="eastAsia" w:ascii="仿宋" w:hAnsi="仿宋" w:eastAsia="仿宋" w:cs="仿宋"/>
          <w:color w:val="auto"/>
          <w:sz w:val="24"/>
          <w:szCs w:val="24"/>
        </w:rPr>
        <w:t>组成联合体参加本项目投标的，投标人须在购买采购文件时向采购代理机构作出相关书面说明，否则投标无效；</w:t>
      </w:r>
    </w:p>
    <w:p>
      <w:pPr>
        <w:pageBreakBefore w:val="0"/>
        <w:kinsoku/>
        <w:wordWrap/>
        <w:overflowPunct/>
        <w:topLinePunct w:val="0"/>
        <w:bidi w:val="0"/>
        <w:adjustRightIn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3.3</w:t>
      </w:r>
      <w:r>
        <w:rPr>
          <w:rFonts w:hint="eastAsia" w:ascii="仿宋" w:hAnsi="仿宋" w:eastAsia="仿宋" w:cs="仿宋"/>
          <w:color w:val="auto"/>
          <w:sz w:val="24"/>
          <w:szCs w:val="24"/>
        </w:rPr>
        <w:t>以联合体形式参加本项目投标的，联合体的各成员均应当具备《中华人民共和国政府采购法》第二十二条规定的条件，联合体各方中至少应当有一方符合采购人规定的特定条件</w:t>
      </w:r>
      <w:r>
        <w:rPr>
          <w:rFonts w:hint="eastAsia" w:ascii="仿宋" w:hAnsi="仿宋" w:eastAsia="仿宋" w:cs="仿宋"/>
          <w:color w:val="auto"/>
          <w:kern w:val="0"/>
          <w:sz w:val="24"/>
          <w:szCs w:val="24"/>
        </w:rPr>
        <w:t>，但同一专业的投标人组成的联合体以资质最低的一方为依据；</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3.4</w:t>
      </w:r>
      <w:r>
        <w:rPr>
          <w:rFonts w:hint="eastAsia" w:ascii="仿宋" w:hAnsi="仿宋" w:eastAsia="仿宋" w:cs="仿宋"/>
          <w:color w:val="auto"/>
          <w:sz w:val="24"/>
          <w:szCs w:val="24"/>
        </w:rPr>
        <w:t>联合体各方之间须签订投标联合协议，明确约定联合体各方承担的工作和相应的责任，在投标联合协议中指定本项目主办人，并将投标联合协议作为投标文件组成的一部分；本项目的主体、关键性工作须由主办人完成，并在投标联合协议中进行说明；</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3.5</w:t>
      </w:r>
      <w:r>
        <w:rPr>
          <w:rFonts w:hint="eastAsia" w:ascii="仿宋" w:hAnsi="仿宋" w:eastAsia="仿宋" w:cs="仿宋"/>
          <w:color w:val="auto"/>
          <w:sz w:val="24"/>
          <w:szCs w:val="24"/>
        </w:rPr>
        <w:t>联合体各方签订投标联合协议后，不得再以自己名义单独在本项目中参加投标，也不得组成新的联合体参加本项目投标；</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3.6</w:t>
      </w:r>
      <w:r>
        <w:rPr>
          <w:rFonts w:hint="eastAsia" w:ascii="仿宋" w:hAnsi="仿宋" w:eastAsia="仿宋" w:cs="仿宋"/>
          <w:color w:val="auto"/>
          <w:sz w:val="24"/>
          <w:szCs w:val="24"/>
        </w:rPr>
        <w:t>联合体各方共同与采购人签订采购合同，就采购合同约定的事项对采购人承担连带责任；</w:t>
      </w:r>
    </w:p>
    <w:p>
      <w:pPr>
        <w:pageBreakBefore w:val="0"/>
        <w:kinsoku/>
        <w:wordWrap/>
        <w:overflowPunct/>
        <w:topLinePunct w:val="0"/>
        <w:bidi w:val="0"/>
        <w:adjustRightInd/>
        <w:spacing w:line="460" w:lineRule="exact"/>
        <w:ind w:firstLine="420"/>
        <w:textAlignment w:val="auto"/>
        <w:rPr>
          <w:rFonts w:hint="eastAsia" w:ascii="仿宋" w:hAnsi="仿宋" w:eastAsia="仿宋" w:cs="仿宋"/>
          <w:bCs/>
          <w:color w:val="auto"/>
          <w:sz w:val="24"/>
          <w:szCs w:val="24"/>
        </w:rPr>
      </w:pPr>
      <w:r>
        <w:rPr>
          <w:rFonts w:hint="eastAsia" w:ascii="仿宋" w:hAnsi="仿宋" w:eastAsia="仿宋" w:cs="仿宋"/>
          <w:bCs/>
          <w:color w:val="auto"/>
          <w:sz w:val="24"/>
          <w:szCs w:val="24"/>
        </w:rPr>
        <w:t>4、费用</w:t>
      </w:r>
    </w:p>
    <w:p>
      <w:pPr>
        <w:pageBreakBefore w:val="0"/>
        <w:kinsoku/>
        <w:wordWrap/>
        <w:overflowPunct/>
        <w:topLinePunct w:val="0"/>
        <w:bidi w:val="0"/>
        <w:adjustRightInd/>
        <w:spacing w:line="460" w:lineRule="exact"/>
        <w:ind w:firstLine="420"/>
        <w:textAlignment w:val="auto"/>
        <w:rPr>
          <w:rFonts w:hint="eastAsia" w:ascii="仿宋" w:hAnsi="仿宋" w:eastAsia="仿宋" w:cs="仿宋"/>
          <w:b/>
          <w:bCs/>
          <w:color w:val="auto"/>
          <w:sz w:val="24"/>
          <w:szCs w:val="24"/>
        </w:rPr>
      </w:pPr>
      <w:r>
        <w:rPr>
          <w:rFonts w:hint="eastAsia" w:ascii="仿宋" w:hAnsi="仿宋" w:eastAsia="仿宋" w:cs="仿宋"/>
          <w:color w:val="auto"/>
          <w:sz w:val="24"/>
          <w:szCs w:val="24"/>
        </w:rPr>
        <w:t>无论招投标过程中的做法和结果如何，投标人自行承担招投标活动中所发生的全部费用。</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5、保密</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参与招标投标活动的各方应对采购文件和投标文件中的商业和技术等秘密保密，违者应对此造成的后果承担法律责任。</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6、语言文字</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除专用术语外，与招标投标有关的语言使用中文。专用术语应附有中文注释。</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7、计量单位</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所有计量均采用中华人民共和国法定计量单位。</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8、踏勘现场</w:t>
      </w:r>
    </w:p>
    <w:p>
      <w:pPr>
        <w:pageBreakBefore w:val="0"/>
        <w:kinsoku/>
        <w:wordWrap/>
        <w:overflowPunct/>
        <w:topLinePunct w:val="0"/>
        <w:bidi w:val="0"/>
        <w:adjustRightIn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8.1投标人须知前附表规定组织踏勘现场的，采购人按投标人须知前附表规定的时间、地点组织投标人踏勘项目现场。</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8.2投标人踏勘现场发生的费用自理。</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8.3除采购人的原因外，投标人自行负责在踏勘现场中所发生的人员伤亡和财产损失。</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8.4采购人在踏勘现场中介绍的场地和相关的周边环境情况，供投标人在编制投标文件时参考，采购人不对投标人据此作出的判断和决策负责。</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9、答疑会</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9.1投标人须知前附表规定召开答疑会的，采购人按投标人须知前附表规定的时间和地点召开答疑会，澄清投标人提出的问题。</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9.2投标人应在答疑会时间的前一天，以书面形式将提出的问题送达采购人，以便采购人在会议期间澄清。</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9.3答疑会后，采购人按本章3.4款规定对投标人所提问题进行澄清答复。</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10、转包与分包</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本项目不允许转包及分包。</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11、偏离</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投标文件应完全响应采购文件规定的实质性内容和条件。</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12、其他</w:t>
      </w:r>
    </w:p>
    <w:p>
      <w:pPr>
        <w:pageBreakBefore w:val="0"/>
        <w:kinsoku/>
        <w:wordWrap/>
        <w:overflowPunct/>
        <w:topLinePunct w:val="0"/>
        <w:bidi w:val="0"/>
        <w:adjustRightInd/>
        <w:spacing w:line="460" w:lineRule="exact"/>
        <w:ind w:firstLine="420"/>
        <w:textAlignment w:val="auto"/>
        <w:rPr>
          <w:rFonts w:hint="eastAsia" w:ascii="仿宋" w:hAnsi="仿宋" w:eastAsia="仿宋" w:cs="仿宋"/>
          <w:b/>
          <w:bCs/>
          <w:color w:val="auto"/>
          <w:sz w:val="24"/>
          <w:szCs w:val="24"/>
          <w:u w:val="single"/>
        </w:rPr>
      </w:pPr>
      <w:r>
        <w:rPr>
          <w:rFonts w:hint="eastAsia" w:ascii="仿宋" w:hAnsi="仿宋" w:eastAsia="仿宋" w:cs="仿宋"/>
          <w:color w:val="auto"/>
          <w:sz w:val="24"/>
          <w:szCs w:val="24"/>
        </w:rPr>
        <w:t>12.1★</w:t>
      </w:r>
      <w:r>
        <w:rPr>
          <w:rFonts w:hint="eastAsia" w:ascii="仿宋" w:hAnsi="仿宋" w:eastAsia="仿宋" w:cs="仿宋"/>
          <w:b/>
          <w:bCs/>
          <w:color w:val="auto"/>
          <w:sz w:val="24"/>
          <w:szCs w:val="24"/>
          <w:u w:val="single"/>
        </w:rPr>
        <w:t>投标人对所投标项内的产品或服务必须按采购数量全部进行报价。</w:t>
      </w:r>
    </w:p>
    <w:p>
      <w:pPr>
        <w:pageBreakBefore w:val="0"/>
        <w:kinsoku/>
        <w:wordWrap/>
        <w:overflowPunct/>
        <w:topLinePunct w:val="0"/>
        <w:bidi w:val="0"/>
        <w:adjustRightInd/>
        <w:spacing w:line="460" w:lineRule="exact"/>
        <w:ind w:firstLine="420"/>
        <w:textAlignment w:val="auto"/>
        <w:rPr>
          <w:rFonts w:hint="eastAsia" w:ascii="仿宋" w:hAnsi="仿宋" w:eastAsia="仿宋" w:cs="仿宋"/>
          <w:b/>
          <w:bCs w:val="0"/>
          <w:color w:val="auto"/>
          <w:sz w:val="24"/>
          <w:szCs w:val="24"/>
          <w:u w:val="single"/>
        </w:rPr>
      </w:pPr>
      <w:r>
        <w:rPr>
          <w:rFonts w:hint="eastAsia" w:ascii="仿宋" w:hAnsi="仿宋" w:eastAsia="仿宋" w:cs="仿宋"/>
          <w:color w:val="auto"/>
          <w:sz w:val="24"/>
          <w:szCs w:val="24"/>
        </w:rPr>
        <w:t>12.</w:t>
      </w:r>
      <w:r>
        <w:rPr>
          <w:rFonts w:hint="eastAsia" w:ascii="仿宋" w:hAnsi="仿宋" w:eastAsia="仿宋" w:cs="仿宋"/>
          <w:color w:val="auto"/>
          <w:sz w:val="24"/>
          <w:szCs w:val="24"/>
          <w:lang w:val="en-US" w:eastAsia="zh-CN"/>
        </w:rPr>
        <w:t>2</w:t>
      </w:r>
      <w:r>
        <w:rPr>
          <w:rFonts w:hint="eastAsia" w:ascii="仿宋" w:hAnsi="仿宋" w:eastAsia="仿宋" w:cs="仿宋"/>
          <w:b/>
          <w:bCs w:val="0"/>
          <w:color w:val="auto"/>
          <w:sz w:val="24"/>
          <w:szCs w:val="24"/>
          <w:u w:val="single"/>
        </w:rPr>
        <w:t>投标人提供相同品牌产品且通过资格审查、符合性审查的不同投标人参加同一合同项下投标的，按一家投标人计算，评审后得分最高的同品牌投标人获得中标人推荐资格；评审得分相同的，由采购人或者采购人委托评标委员会按照磋商文件规定的方式确定一个投标人获得中标人推荐资格，磋商文件未规定的采取随机抽取方式确定，其他同品牌投标人不作为中标候选人。</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b w:val="0"/>
          <w:bCs/>
          <w:color w:val="auto"/>
          <w:sz w:val="24"/>
          <w:szCs w:val="24"/>
          <w:u w:val="none"/>
          <w:lang w:val="en-US" w:eastAsia="zh-CN"/>
        </w:rPr>
        <w:t>12.3</w:t>
      </w:r>
      <w:r>
        <w:rPr>
          <w:rFonts w:hint="eastAsia" w:ascii="仿宋" w:hAnsi="仿宋" w:eastAsia="仿宋" w:cs="仿宋"/>
          <w:color w:val="auto"/>
          <w:sz w:val="24"/>
          <w:szCs w:val="24"/>
        </w:rPr>
        <w:t>投标截止后投标人不足3家或者通过资格审查或符合性审查的投标人不足3家的，除采购任务取消情形外，按照以下方式处理：</w:t>
      </w:r>
    </w:p>
    <w:p>
      <w:pPr>
        <w:pageBreakBefore w:val="0"/>
        <w:kinsoku/>
        <w:wordWrap/>
        <w:overflowPunct/>
        <w:topLinePunct w:val="0"/>
        <w:bidi w:val="0"/>
        <w:adjustRightIn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12.3.1</w:t>
      </w:r>
      <w:r>
        <w:rPr>
          <w:rFonts w:hint="eastAsia" w:ascii="仿宋" w:hAnsi="仿宋" w:eastAsia="仿宋" w:cs="仿宋"/>
          <w:color w:val="auto"/>
          <w:sz w:val="24"/>
          <w:szCs w:val="24"/>
        </w:rPr>
        <w:t>采购文件存在不合理条款或者招标程序不符合规定的，采购人、采购代理机构改正后依法重新招标；</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u w:val="thick"/>
        </w:rPr>
      </w:pPr>
      <w:r>
        <w:rPr>
          <w:rFonts w:hint="eastAsia" w:ascii="仿宋" w:hAnsi="仿宋" w:eastAsia="仿宋" w:cs="仿宋"/>
          <w:color w:val="auto"/>
          <w:sz w:val="24"/>
          <w:szCs w:val="24"/>
          <w:lang w:val="en-US" w:eastAsia="zh-CN"/>
        </w:rPr>
        <w:t>12.3.2</w:t>
      </w:r>
      <w:r>
        <w:rPr>
          <w:rFonts w:hint="eastAsia" w:ascii="仿宋" w:hAnsi="仿宋" w:eastAsia="仿宋" w:cs="仿宋"/>
          <w:color w:val="auto"/>
          <w:sz w:val="24"/>
          <w:szCs w:val="24"/>
        </w:rPr>
        <w:t>采购文件没有不合理条款、招标程序符合规定，需要采用其他采购方式采购的，采购人应当依法报财政部门批准。</w:t>
      </w:r>
    </w:p>
    <w:p>
      <w:pPr>
        <w:pageBreakBefore w:val="0"/>
        <w:kinsoku/>
        <w:wordWrap/>
        <w:overflowPunct/>
        <w:topLinePunct w:val="0"/>
        <w:bidi w:val="0"/>
        <w:adjustRightInd/>
        <w:spacing w:line="460" w:lineRule="exact"/>
        <w:ind w:firstLine="420"/>
        <w:textAlignment w:val="auto"/>
        <w:rPr>
          <w:rFonts w:hint="eastAsia" w:ascii="仿宋" w:hAnsi="仿宋" w:eastAsia="仿宋" w:cs="仿宋"/>
          <w:bCs/>
          <w:color w:val="auto"/>
          <w:sz w:val="24"/>
          <w:szCs w:val="24"/>
        </w:rPr>
      </w:pPr>
      <w:r>
        <w:rPr>
          <w:rFonts w:hint="eastAsia" w:ascii="仿宋" w:hAnsi="仿宋" w:eastAsia="仿宋" w:cs="仿宋"/>
          <w:color w:val="auto"/>
          <w:sz w:val="24"/>
          <w:szCs w:val="24"/>
        </w:rPr>
        <w:t>12.</w:t>
      </w:r>
      <w:r>
        <w:rPr>
          <w:rFonts w:hint="eastAsia" w:ascii="仿宋" w:hAnsi="仿宋" w:eastAsia="仿宋" w:cs="仿宋"/>
          <w:color w:val="auto"/>
          <w:sz w:val="24"/>
          <w:szCs w:val="24"/>
          <w:lang w:val="en-US" w:eastAsia="zh-CN"/>
        </w:rPr>
        <w:t>4</w:t>
      </w:r>
      <w:r>
        <w:rPr>
          <w:rFonts w:hint="eastAsia" w:ascii="仿宋" w:hAnsi="仿宋" w:eastAsia="仿宋" w:cs="仿宋"/>
          <w:bCs/>
          <w:color w:val="auto"/>
          <w:sz w:val="24"/>
          <w:szCs w:val="24"/>
        </w:rPr>
        <w:t>采购文件中如有描述歧义或前后不一致的地方，评标委员会有权按公平、合理的原则进行评判，但对同一条款的评判适用于每个投标人。</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bCs/>
          <w:color w:val="auto"/>
          <w:sz w:val="24"/>
          <w:szCs w:val="24"/>
        </w:rPr>
        <w:t>12.</w:t>
      </w:r>
      <w:r>
        <w:rPr>
          <w:rFonts w:hint="eastAsia" w:ascii="仿宋" w:hAnsi="仿宋" w:eastAsia="仿宋" w:cs="仿宋"/>
          <w:bCs/>
          <w:color w:val="auto"/>
          <w:sz w:val="24"/>
          <w:szCs w:val="24"/>
          <w:lang w:val="en-US" w:eastAsia="zh-CN"/>
        </w:rPr>
        <w:t>5</w:t>
      </w:r>
      <w:r>
        <w:rPr>
          <w:rFonts w:hint="eastAsia" w:ascii="仿宋" w:hAnsi="仿宋" w:eastAsia="仿宋" w:cs="仿宋"/>
          <w:bCs/>
          <w:color w:val="auto"/>
          <w:sz w:val="24"/>
          <w:szCs w:val="24"/>
        </w:rPr>
        <w:t>投标文件的响应内容必须真实、明确、准确。否则，评标委员会将对其作出不利的评审。</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bCs/>
          <w:color w:val="auto"/>
          <w:sz w:val="24"/>
          <w:szCs w:val="24"/>
        </w:rPr>
        <w:t>12.</w:t>
      </w:r>
      <w:r>
        <w:rPr>
          <w:rFonts w:hint="eastAsia" w:ascii="仿宋" w:hAnsi="仿宋" w:eastAsia="仿宋" w:cs="仿宋"/>
          <w:bCs/>
          <w:color w:val="auto"/>
          <w:sz w:val="24"/>
          <w:szCs w:val="24"/>
          <w:lang w:val="en-US" w:eastAsia="zh-CN"/>
        </w:rPr>
        <w:t>6</w:t>
      </w:r>
      <w:r>
        <w:rPr>
          <w:rFonts w:hint="eastAsia" w:ascii="仿宋" w:hAnsi="仿宋" w:eastAsia="仿宋" w:cs="仿宋"/>
          <w:bCs/>
          <w:color w:val="auto"/>
          <w:sz w:val="24"/>
          <w:szCs w:val="24"/>
        </w:rPr>
        <w:t>乙</w:t>
      </w:r>
      <w:r>
        <w:rPr>
          <w:rFonts w:hint="eastAsia" w:ascii="仿宋" w:hAnsi="仿宋" w:eastAsia="仿宋" w:cs="仿宋"/>
          <w:color w:val="auto"/>
          <w:sz w:val="24"/>
          <w:szCs w:val="24"/>
        </w:rPr>
        <w:t>方为履行合同引起的相关人员的差旅费、食宿费以及其它不可预知的费用由乙方自理。合同实施过程中，须与甲</w:t>
      </w:r>
      <w:r>
        <w:rPr>
          <w:rFonts w:hint="eastAsia" w:ascii="仿宋" w:hAnsi="仿宋" w:eastAsia="仿宋" w:cs="仿宋"/>
          <w:color w:val="auto"/>
          <w:sz w:val="24"/>
          <w:szCs w:val="24"/>
          <w:lang w:eastAsia="zh-CN"/>
        </w:rPr>
        <w:t>、丙双</w:t>
      </w:r>
      <w:r>
        <w:rPr>
          <w:rFonts w:hint="eastAsia" w:ascii="仿宋" w:hAnsi="仿宋" w:eastAsia="仿宋" w:cs="仿宋"/>
          <w:color w:val="auto"/>
          <w:sz w:val="24"/>
          <w:szCs w:val="24"/>
        </w:rPr>
        <w:t>方积极配合。</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12.7项目资金已落实。</w:t>
      </w:r>
    </w:p>
    <w:p>
      <w:pPr>
        <w:pStyle w:val="5"/>
        <w:pageBreakBefore w:val="0"/>
        <w:kinsoku/>
        <w:wordWrap/>
        <w:overflowPunct/>
        <w:topLinePunct w:val="0"/>
        <w:bidi w:val="0"/>
        <w:adjustRightInd/>
        <w:spacing w:line="460" w:lineRule="exact"/>
        <w:ind w:firstLine="420"/>
        <w:jc w:val="center"/>
        <w:textAlignment w:val="auto"/>
        <w:rPr>
          <w:rFonts w:hint="eastAsia" w:ascii="仿宋" w:hAnsi="仿宋" w:eastAsia="仿宋" w:cs="仿宋"/>
          <w:color w:val="auto"/>
          <w:sz w:val="32"/>
          <w:szCs w:val="32"/>
          <w:lang w:eastAsia="zh-CN"/>
        </w:rPr>
      </w:pPr>
      <w:bookmarkStart w:id="66" w:name="_Toc35261572"/>
      <w:bookmarkStart w:id="67" w:name="_Toc54978891"/>
      <w:r>
        <w:rPr>
          <w:rFonts w:hint="eastAsia" w:ascii="仿宋" w:hAnsi="仿宋" w:eastAsia="仿宋" w:cs="仿宋"/>
          <w:color w:val="auto"/>
          <w:sz w:val="32"/>
          <w:szCs w:val="32"/>
        </w:rPr>
        <w:t>三、采购文件</w:t>
      </w:r>
      <w:bookmarkEnd w:id="64"/>
      <w:bookmarkEnd w:id="65"/>
      <w:bookmarkEnd w:id="66"/>
      <w:bookmarkEnd w:id="67"/>
      <w:r>
        <w:rPr>
          <w:rFonts w:hint="eastAsia" w:ascii="仿宋" w:hAnsi="仿宋" w:eastAsia="仿宋" w:cs="仿宋"/>
          <w:color w:val="auto"/>
          <w:sz w:val="32"/>
          <w:szCs w:val="32"/>
          <w:lang w:eastAsia="zh-CN"/>
        </w:rPr>
        <w:t>的构成、澄清、修改</w:t>
      </w:r>
    </w:p>
    <w:p>
      <w:pPr>
        <w:pageBreakBefore w:val="0"/>
        <w:kinsoku/>
        <w:wordWrap/>
        <w:overflowPunct/>
        <w:topLinePunct w:val="0"/>
        <w:bidi w:val="0"/>
        <w:adjustRightInd/>
        <w:spacing w:line="460" w:lineRule="exact"/>
        <w:ind w:firstLine="420"/>
        <w:textAlignment w:val="auto"/>
        <w:rPr>
          <w:rFonts w:hint="eastAsia" w:ascii="仿宋" w:hAnsi="仿宋" w:eastAsia="仿宋" w:cs="仿宋"/>
          <w:b/>
          <w:bCs/>
          <w:color w:val="auto"/>
          <w:sz w:val="24"/>
          <w:szCs w:val="24"/>
        </w:rPr>
      </w:pPr>
      <w:bookmarkStart w:id="68" w:name="_Toc82873324"/>
      <w:bookmarkStart w:id="69" w:name="_Toc82338241"/>
      <w:r>
        <w:rPr>
          <w:rFonts w:hint="eastAsia" w:ascii="仿宋" w:hAnsi="仿宋" w:eastAsia="仿宋" w:cs="仿宋"/>
          <w:b/>
          <w:bCs/>
          <w:color w:val="auto"/>
          <w:sz w:val="24"/>
          <w:szCs w:val="24"/>
        </w:rPr>
        <w:t>3.1、采购文件组成</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3.1.1第一章 采购公告</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3.1.2第二章 投标须知</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3.1.3第三章 项目招标范围及服务要求</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3.1.4第四章 评标办法</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3.1.5第五章 </w:t>
      </w:r>
      <w:r>
        <w:rPr>
          <w:rFonts w:hint="eastAsia" w:ascii="仿宋" w:hAnsi="仿宋" w:eastAsia="仿宋" w:cs="仿宋"/>
          <w:color w:val="auto"/>
          <w:sz w:val="24"/>
          <w:szCs w:val="24"/>
          <w:lang w:val="en-US" w:eastAsia="zh-CN"/>
        </w:rPr>
        <w:t>拟签订合同范本</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3.1.6第六章 投标文件格式</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3.1.7补充文件（如有）</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w:t>
      </w:r>
      <w:r>
        <w:rPr>
          <w:rFonts w:hint="eastAsia" w:ascii="仿宋" w:hAnsi="仿宋" w:eastAsia="仿宋" w:cs="仿宋"/>
          <w:color w:val="auto"/>
          <w:sz w:val="24"/>
          <w:szCs w:val="24"/>
          <w:lang w:val="en-US" w:eastAsia="zh-CN"/>
        </w:rPr>
        <w:t>1.8</w:t>
      </w:r>
      <w:r>
        <w:rPr>
          <w:rFonts w:hint="eastAsia" w:ascii="仿宋" w:hAnsi="仿宋" w:eastAsia="仿宋" w:cs="仿宋"/>
          <w:color w:val="auto"/>
          <w:sz w:val="24"/>
          <w:szCs w:val="24"/>
        </w:rPr>
        <w:t>与本项目有关的</w:t>
      </w:r>
      <w:r>
        <w:rPr>
          <w:rFonts w:hint="eastAsia" w:ascii="仿宋" w:hAnsi="仿宋" w:eastAsia="仿宋" w:cs="仿宋"/>
          <w:bCs/>
          <w:color w:val="auto"/>
          <w:sz w:val="24"/>
          <w:szCs w:val="24"/>
        </w:rPr>
        <w:t>澄清或者修改的内容为采购文件的组成部分</w:t>
      </w:r>
      <w:r>
        <w:rPr>
          <w:rFonts w:hint="eastAsia" w:ascii="仿宋" w:hAnsi="仿宋" w:eastAsia="仿宋" w:cs="仿宋"/>
          <w:color w:val="auto"/>
          <w:sz w:val="24"/>
          <w:szCs w:val="24"/>
        </w:rPr>
        <w:t>。</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采购文件的解释权归采购组织机构所有。</w:t>
      </w:r>
    </w:p>
    <w:p>
      <w:pPr>
        <w:pageBreakBefore w:val="0"/>
        <w:kinsoku/>
        <w:wordWrap/>
        <w:overflowPunct/>
        <w:topLinePunct w:val="0"/>
        <w:bidi w:val="0"/>
        <w:adjustRightInd/>
        <w:spacing w:line="460" w:lineRule="exact"/>
        <w:ind w:firstLine="420"/>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3.</w:t>
      </w:r>
      <w:r>
        <w:rPr>
          <w:rFonts w:hint="eastAsia" w:ascii="仿宋" w:hAnsi="仿宋" w:eastAsia="仿宋" w:cs="仿宋"/>
          <w:b/>
          <w:bCs/>
          <w:color w:val="auto"/>
          <w:sz w:val="24"/>
          <w:szCs w:val="24"/>
          <w:lang w:val="en-US" w:eastAsia="zh-CN"/>
        </w:rPr>
        <w:t>2</w:t>
      </w:r>
      <w:r>
        <w:rPr>
          <w:rFonts w:hint="eastAsia" w:ascii="仿宋" w:hAnsi="仿宋" w:eastAsia="仿宋" w:cs="仿宋"/>
          <w:b/>
          <w:bCs/>
          <w:color w:val="auto"/>
          <w:sz w:val="24"/>
          <w:szCs w:val="24"/>
        </w:rPr>
        <w:t>、采购文件的澄清</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.1投标人在获取采购文件后，若有问题需要澄清或认为有必要与采购人进行技术交流，应于前附表规定的时间前，将问题发电子邮件至</w:t>
      </w:r>
      <w:r>
        <w:rPr>
          <w:rFonts w:hint="eastAsia" w:ascii="仿宋" w:hAnsi="仿宋" w:eastAsia="仿宋" w:cs="仿宋"/>
          <w:color w:val="auto"/>
          <w:sz w:val="24"/>
          <w:szCs w:val="24"/>
          <w:lang w:eastAsia="zh-CN"/>
        </w:rPr>
        <w:t>821712838</w:t>
      </w:r>
      <w:r>
        <w:rPr>
          <w:rFonts w:hint="eastAsia" w:ascii="仿宋" w:hAnsi="仿宋" w:eastAsia="仿宋" w:cs="仿宋"/>
          <w:color w:val="auto"/>
          <w:sz w:val="24"/>
          <w:szCs w:val="24"/>
        </w:rPr>
        <w:t>@qq.com（电子邮件与书面文件有不一致的，以书面文件为准）。截止期后的疑问将不予受理、答复。</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.2 投标人要求解释或澄清的问题应以书面形式送达，并加盖公章、写明日期。</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.3 所有要求解释或澄清的问题都予以解答，答疑内容与补充内容以更正（澄清）公告形式告知所有购买采购文件的投标人。</w:t>
      </w:r>
    </w:p>
    <w:p>
      <w:pPr>
        <w:pageBreakBefore w:val="0"/>
        <w:kinsoku/>
        <w:wordWrap/>
        <w:overflowPunct/>
        <w:topLinePunct w:val="0"/>
        <w:bidi w:val="0"/>
        <w:adjustRightInd/>
        <w:spacing w:line="460" w:lineRule="exact"/>
        <w:ind w:firstLine="420"/>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3.</w:t>
      </w:r>
      <w:r>
        <w:rPr>
          <w:rFonts w:hint="eastAsia" w:ascii="仿宋" w:hAnsi="仿宋" w:eastAsia="仿宋" w:cs="仿宋"/>
          <w:b/>
          <w:bCs/>
          <w:color w:val="auto"/>
          <w:sz w:val="24"/>
          <w:szCs w:val="24"/>
          <w:lang w:val="en-US" w:eastAsia="zh-CN"/>
        </w:rPr>
        <w:t>3</w:t>
      </w:r>
      <w:r>
        <w:rPr>
          <w:rFonts w:hint="eastAsia" w:ascii="仿宋" w:hAnsi="仿宋" w:eastAsia="仿宋" w:cs="仿宋"/>
          <w:b/>
          <w:bCs/>
          <w:color w:val="auto"/>
          <w:sz w:val="24"/>
          <w:szCs w:val="24"/>
        </w:rPr>
        <w:t>、采购文件的修改</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1采购人或者采购代理机构可以对已发出的采购文件进行必要的澄清或者修改。澄清或者修改的内容可能影响投标文件编制的，采购人或者采购代理机构应当在投标截止时间至少15日前，以更正（澄清）公告形式通知所有获取采购文件的潜在投标人；不足15日的，采购人或者采购代理机构应当顺延提交投标文件的截止时间。</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.2 采购文件的修改将以更正（澄清）公告通知所有购买采购文件的投标人，并对其具有约束力。投标人应及时关注浙江政府采购网、</w:t>
      </w:r>
      <w:r>
        <w:rPr>
          <w:rFonts w:hint="eastAsia" w:ascii="仿宋" w:hAnsi="仿宋" w:eastAsia="仿宋" w:cs="仿宋"/>
          <w:color w:val="auto"/>
          <w:sz w:val="24"/>
          <w:szCs w:val="24"/>
          <w:lang w:eastAsia="zh-CN"/>
        </w:rPr>
        <w:t>嵊州市</w:t>
      </w:r>
      <w:r>
        <w:rPr>
          <w:rFonts w:hint="eastAsia" w:ascii="仿宋" w:hAnsi="仿宋" w:eastAsia="仿宋" w:cs="仿宋"/>
          <w:color w:val="auto"/>
          <w:sz w:val="24"/>
          <w:szCs w:val="24"/>
        </w:rPr>
        <w:t>公共资源交易网上该项目的公告信息。</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.3 在更正（澄清）公告发布后，如果投标人认为编制投标文件的时间不充分的，必须在公告发布之日的24小时内通知采购人和采购代理机构。否则，视同投标人有充足时间编制投标文件。</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.4采购文件澄清、答复、修改、补充的内容为采购文件的组成部分。当采购文件与采购文件的答复、澄清、修改、补充通知就同一内容的表述不一致时，以最后发出的更正（澄清）公告为准。</w:t>
      </w:r>
    </w:p>
    <w:p>
      <w:pPr>
        <w:snapToGrid w:val="0"/>
        <w:spacing w:line="440" w:lineRule="exact"/>
        <w:ind w:firstLine="480" w:firstLineChars="200"/>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3.</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采购文件的澄清、答复、修改或补充都应该通过本代理机构以法定形式发布，除此以外的发布不属于采购文件的组成部分。</w:t>
      </w:r>
    </w:p>
    <w:bookmarkEnd w:id="68"/>
    <w:bookmarkEnd w:id="69"/>
    <w:p>
      <w:pPr>
        <w:pStyle w:val="5"/>
        <w:pageBreakBefore w:val="0"/>
        <w:kinsoku/>
        <w:wordWrap/>
        <w:overflowPunct/>
        <w:topLinePunct w:val="0"/>
        <w:bidi w:val="0"/>
        <w:adjustRightInd/>
        <w:spacing w:line="460" w:lineRule="exact"/>
        <w:ind w:firstLine="420"/>
        <w:jc w:val="center"/>
        <w:textAlignment w:val="auto"/>
        <w:rPr>
          <w:rFonts w:hint="eastAsia" w:ascii="仿宋" w:hAnsi="仿宋" w:eastAsia="仿宋" w:cs="仿宋"/>
          <w:color w:val="auto"/>
          <w:sz w:val="32"/>
          <w:szCs w:val="32"/>
        </w:rPr>
      </w:pPr>
      <w:bookmarkStart w:id="70" w:name="_Toc35261573"/>
      <w:bookmarkStart w:id="71" w:name="_Toc450482498"/>
      <w:bookmarkStart w:id="72" w:name="_Toc54978892"/>
      <w:bookmarkStart w:id="73" w:name="_Toc82873325"/>
      <w:bookmarkStart w:id="74" w:name="_Toc82338242"/>
      <w:r>
        <w:rPr>
          <w:rFonts w:hint="eastAsia" w:ascii="仿宋" w:hAnsi="仿宋" w:eastAsia="仿宋" w:cs="仿宋"/>
          <w:color w:val="auto"/>
          <w:sz w:val="32"/>
          <w:szCs w:val="32"/>
        </w:rPr>
        <w:t>四、投标文件</w:t>
      </w:r>
      <w:bookmarkEnd w:id="70"/>
      <w:bookmarkEnd w:id="71"/>
      <w:bookmarkEnd w:id="72"/>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4.1、投标文件</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4.1.1 投标人应仔细阅读采购文件规定的所有内容，以保证能全面准确理解采购文件，并按照采购文件要求，详细编制投标文件，投标文件内容必须针对本次招标响应。</w:t>
      </w:r>
    </w:p>
    <w:p>
      <w:pPr>
        <w:pageBreakBefore w:val="0"/>
        <w:kinsoku/>
        <w:wordWrap/>
        <w:overflowPunct/>
        <w:topLinePunct w:val="0"/>
        <w:bidi w:val="0"/>
        <w:adjustRightInd/>
        <w:spacing w:line="460" w:lineRule="exact"/>
        <w:ind w:firstLine="420"/>
        <w:textAlignment w:val="auto"/>
        <w:rPr>
          <w:rFonts w:hint="eastAsia" w:ascii="仿宋" w:hAnsi="仿宋" w:eastAsia="仿宋" w:cs="仿宋"/>
          <w:bCs/>
          <w:color w:val="auto"/>
          <w:sz w:val="24"/>
          <w:szCs w:val="24"/>
        </w:rPr>
      </w:pPr>
      <w:r>
        <w:rPr>
          <w:rFonts w:hint="eastAsia" w:ascii="仿宋" w:hAnsi="仿宋" w:eastAsia="仿宋" w:cs="仿宋"/>
          <w:color w:val="auto"/>
          <w:sz w:val="24"/>
          <w:szCs w:val="24"/>
        </w:rPr>
        <w:t>4.1.2投标人必须按采购文件的要求提供相关资料，并对采购文件中提出的所有内容要求给予实质性响应，须保证投标文件的准确、真实、明确</w:t>
      </w:r>
      <w:r>
        <w:rPr>
          <w:rFonts w:hint="eastAsia" w:ascii="仿宋" w:hAnsi="仿宋" w:eastAsia="仿宋" w:cs="仿宋"/>
          <w:bCs/>
          <w:color w:val="auto"/>
          <w:sz w:val="24"/>
          <w:szCs w:val="24"/>
        </w:rPr>
        <w:t>。投标文件响应内容对采购文件要求如有偏离均应填写偏离表，如不填写，采购人有权视作投标文件完全响应采购文件要求。</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4.2、投标文件组成</w:t>
      </w:r>
    </w:p>
    <w:p>
      <w:pPr>
        <w:pageBreakBefore w:val="0"/>
        <w:kinsoku/>
        <w:wordWrap/>
        <w:overflowPunct/>
        <w:topLinePunct w:val="0"/>
        <w:bidi w:val="0"/>
        <w:adjustRightInd/>
        <w:spacing w:line="460" w:lineRule="exact"/>
        <w:ind w:firstLine="420"/>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4.2.1资格证明文件</w:t>
      </w:r>
    </w:p>
    <w:p>
      <w:pPr>
        <w:pageBreakBefore w:val="0"/>
        <w:widowControl/>
        <w:kinsoku/>
        <w:wordWrap/>
        <w:overflowPunct/>
        <w:topLinePunct w:val="0"/>
        <w:bidi w:val="0"/>
        <w:adjustRightInd/>
        <w:spacing w:line="460" w:lineRule="exact"/>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zh-CN"/>
        </w:rPr>
        <w:t>提供</w:t>
      </w:r>
      <w:r>
        <w:rPr>
          <w:rFonts w:hint="eastAsia" w:ascii="仿宋" w:hAnsi="仿宋" w:eastAsia="仿宋" w:cs="仿宋"/>
          <w:color w:val="auto"/>
          <w:sz w:val="24"/>
          <w:szCs w:val="24"/>
          <w:highlight w:val="none"/>
          <w:lang w:val="en-US" w:eastAsia="zh-CN"/>
        </w:rPr>
        <w:t>投标人</w:t>
      </w:r>
      <w:r>
        <w:rPr>
          <w:rFonts w:hint="eastAsia" w:ascii="仿宋" w:hAnsi="仿宋" w:eastAsia="仿宋" w:cs="仿宋"/>
          <w:color w:val="auto"/>
          <w:sz w:val="24"/>
          <w:szCs w:val="24"/>
          <w:highlight w:val="none"/>
          <w:lang w:val="zh-CN"/>
        </w:rPr>
        <w:t>营业执照</w:t>
      </w:r>
      <w:r>
        <w:rPr>
          <w:rFonts w:hint="eastAsia" w:ascii="仿宋" w:hAnsi="仿宋" w:eastAsia="仿宋" w:cs="仿宋"/>
          <w:color w:val="auto"/>
          <w:sz w:val="24"/>
          <w:szCs w:val="24"/>
          <w:highlight w:val="none"/>
          <w:lang w:val="en-US" w:eastAsia="zh-CN"/>
        </w:rPr>
        <w:t>扫描</w:t>
      </w:r>
      <w:r>
        <w:rPr>
          <w:rFonts w:hint="eastAsia" w:ascii="仿宋" w:hAnsi="仿宋" w:eastAsia="仿宋" w:cs="仿宋"/>
          <w:color w:val="auto"/>
          <w:sz w:val="24"/>
          <w:szCs w:val="24"/>
          <w:highlight w:val="none"/>
          <w:lang w:val="zh-CN"/>
        </w:rPr>
        <w:t>件；</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pacing w:val="6"/>
          <w:sz w:val="24"/>
          <w:szCs w:val="24"/>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val="zh-CN"/>
        </w:rPr>
        <w:t>）符合参加采购活动应当具备的一般条件的承诺函</w:t>
      </w:r>
      <w:r>
        <w:rPr>
          <w:rFonts w:hint="eastAsia" w:ascii="仿宋" w:hAnsi="仿宋" w:eastAsia="仿宋" w:cs="仿宋"/>
          <w:color w:val="auto"/>
          <w:sz w:val="24"/>
          <w:szCs w:val="24"/>
          <w:highlight w:val="none"/>
          <w:lang w:val="en-US" w:eastAsia="zh-CN"/>
        </w:rPr>
        <w:t>（格式见附件）</w:t>
      </w:r>
      <w:r>
        <w:rPr>
          <w:rFonts w:hint="eastAsia" w:ascii="仿宋" w:hAnsi="仿宋" w:eastAsia="仿宋" w:cs="仿宋"/>
          <w:color w:val="auto"/>
          <w:sz w:val="24"/>
          <w:szCs w:val="24"/>
          <w:highlight w:val="none"/>
          <w:lang w:val="zh-CN"/>
        </w:rPr>
        <w:t>；</w:t>
      </w:r>
    </w:p>
    <w:p>
      <w:pPr>
        <w:pageBreakBefore w:val="0"/>
        <w:kinsoku/>
        <w:wordWrap/>
        <w:overflowPunct/>
        <w:topLinePunct w:val="0"/>
        <w:bidi w:val="0"/>
        <w:adjustRightInd/>
        <w:spacing w:line="460" w:lineRule="exact"/>
        <w:ind w:firstLine="420"/>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lang w:val="en-US" w:eastAsia="zh-CN"/>
        </w:rPr>
        <w:t>3</w:t>
      </w:r>
      <w:r>
        <w:rPr>
          <w:rFonts w:hint="eastAsia" w:ascii="仿宋" w:hAnsi="仿宋" w:eastAsia="仿宋" w:cs="仿宋"/>
          <w:b w:val="0"/>
          <w:bCs/>
          <w:color w:val="auto"/>
          <w:sz w:val="24"/>
          <w:szCs w:val="24"/>
        </w:rPr>
        <w:t>）</w:t>
      </w:r>
      <w:r>
        <w:rPr>
          <w:rFonts w:hint="eastAsia" w:ascii="仿宋" w:hAnsi="仿宋" w:eastAsia="仿宋" w:cs="仿宋"/>
          <w:color w:val="auto"/>
          <w:sz w:val="24"/>
          <w:szCs w:val="24"/>
        </w:rPr>
        <w:t>本项目的特定资格要求</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如有</w:t>
      </w:r>
      <w:r>
        <w:rPr>
          <w:rFonts w:hint="eastAsia" w:ascii="仿宋" w:hAnsi="仿宋" w:eastAsia="仿宋" w:cs="仿宋"/>
          <w:color w:val="auto"/>
          <w:sz w:val="24"/>
          <w:szCs w:val="24"/>
          <w:lang w:eastAsia="zh-CN"/>
        </w:rPr>
        <w:t>）</w:t>
      </w:r>
      <w:r>
        <w:rPr>
          <w:rFonts w:hint="eastAsia" w:ascii="仿宋" w:hAnsi="仿宋" w:eastAsia="仿宋" w:cs="仿宋"/>
          <w:b w:val="0"/>
          <w:bCs/>
          <w:color w:val="auto"/>
          <w:sz w:val="24"/>
          <w:szCs w:val="24"/>
        </w:rPr>
        <w:t>。</w:t>
      </w:r>
    </w:p>
    <w:p>
      <w:pPr>
        <w:pageBreakBefore w:val="0"/>
        <w:kinsoku/>
        <w:wordWrap/>
        <w:overflowPunct/>
        <w:topLinePunct w:val="0"/>
        <w:bidi w:val="0"/>
        <w:adjustRightInd/>
        <w:spacing w:line="460" w:lineRule="exact"/>
        <w:ind w:firstLine="420"/>
        <w:textAlignment w:val="auto"/>
        <w:rPr>
          <w:rFonts w:hint="eastAsia" w:ascii="仿宋" w:hAnsi="仿宋" w:eastAsia="仿宋" w:cs="仿宋"/>
          <w:b w:val="0"/>
          <w:bCs/>
          <w:color w:val="auto"/>
          <w:sz w:val="24"/>
          <w:szCs w:val="24"/>
          <w:lang w:eastAsia="zh-CN"/>
        </w:rPr>
      </w:pPr>
      <w:r>
        <w:rPr>
          <w:rFonts w:hint="eastAsia" w:ascii="仿宋" w:hAnsi="仿宋" w:eastAsia="仿宋" w:cs="仿宋"/>
          <w:b/>
          <w:bCs w:val="0"/>
          <w:color w:val="auto"/>
          <w:sz w:val="24"/>
          <w:szCs w:val="24"/>
        </w:rPr>
        <w:t>4.2.2</w:t>
      </w:r>
      <w:r>
        <w:rPr>
          <w:rFonts w:hint="eastAsia" w:ascii="仿宋" w:hAnsi="仿宋" w:eastAsia="仿宋" w:cs="仿宋"/>
          <w:b/>
          <w:bCs w:val="0"/>
          <w:color w:val="auto"/>
          <w:sz w:val="24"/>
          <w:szCs w:val="24"/>
          <w:lang w:eastAsia="zh-CN"/>
        </w:rPr>
        <w:t>商务</w:t>
      </w:r>
      <w:r>
        <w:rPr>
          <w:rFonts w:hint="eastAsia" w:ascii="仿宋" w:hAnsi="仿宋" w:eastAsia="仿宋" w:cs="仿宋"/>
          <w:b/>
          <w:bCs w:val="0"/>
          <w:color w:val="auto"/>
          <w:sz w:val="24"/>
          <w:szCs w:val="24"/>
        </w:rPr>
        <w:t>技术</w:t>
      </w:r>
      <w:r>
        <w:rPr>
          <w:rFonts w:hint="eastAsia" w:ascii="仿宋" w:hAnsi="仿宋" w:eastAsia="仿宋" w:cs="仿宋"/>
          <w:b/>
          <w:bCs w:val="0"/>
          <w:color w:val="auto"/>
          <w:sz w:val="24"/>
          <w:szCs w:val="24"/>
          <w:lang w:eastAsia="zh-CN"/>
        </w:rPr>
        <w:t>文件</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1）评分索引表（格式见附件）；</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2）营业执照扫描件；</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3）投标函（格式见附件）；</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4）法定代表人授权委托书、法定代表人身份证扫描件、授权委托人身份证扫描件（格式见附件）；</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lang w:val="zh-CN"/>
        </w:rPr>
        <w:t>）主要业绩证明（格式见附件）；</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项目小组人员名单</w:t>
      </w:r>
      <w:r>
        <w:rPr>
          <w:rFonts w:hint="eastAsia" w:ascii="仿宋" w:hAnsi="仿宋" w:eastAsia="仿宋" w:cs="仿宋"/>
          <w:color w:val="auto"/>
          <w:sz w:val="24"/>
          <w:szCs w:val="24"/>
          <w:lang w:val="zh-CN"/>
        </w:rPr>
        <w:t>（格式见附件）；</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zh-CN"/>
        </w:rPr>
        <w:t>商务资信响应表、</w:t>
      </w:r>
      <w:r>
        <w:rPr>
          <w:rFonts w:hint="eastAsia" w:ascii="仿宋" w:hAnsi="仿宋" w:eastAsia="仿宋" w:cs="仿宋"/>
          <w:color w:val="auto"/>
          <w:sz w:val="24"/>
          <w:szCs w:val="24"/>
          <w:lang w:val="zh-CN" w:eastAsia="zh-CN"/>
        </w:rPr>
        <w:t>技术偏离表</w:t>
      </w:r>
      <w:r>
        <w:rPr>
          <w:rFonts w:hint="eastAsia" w:ascii="仿宋" w:hAnsi="仿宋" w:eastAsia="仿宋" w:cs="仿宋"/>
          <w:color w:val="auto"/>
          <w:sz w:val="24"/>
          <w:szCs w:val="24"/>
          <w:lang w:val="zh-CN"/>
        </w:rPr>
        <w:t>（格式见附件）；</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8）</w:t>
      </w:r>
      <w:r>
        <w:rPr>
          <w:rFonts w:hint="eastAsia" w:ascii="仿宋" w:hAnsi="仿宋" w:eastAsia="仿宋" w:cs="仿宋"/>
          <w:color w:val="auto"/>
          <w:sz w:val="24"/>
          <w:szCs w:val="24"/>
        </w:rPr>
        <w:t>评标标准相应的商务技术</w:t>
      </w:r>
      <w:r>
        <w:rPr>
          <w:rFonts w:hint="eastAsia" w:ascii="仿宋" w:hAnsi="仿宋" w:eastAsia="仿宋" w:cs="仿宋"/>
          <w:color w:val="auto"/>
          <w:sz w:val="24"/>
          <w:szCs w:val="24"/>
          <w:lang w:val="zh-CN"/>
        </w:rPr>
        <w:t>资料；</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9）</w:t>
      </w:r>
      <w:r>
        <w:rPr>
          <w:rFonts w:hint="eastAsia" w:ascii="仿宋" w:hAnsi="仿宋" w:eastAsia="仿宋" w:cs="仿宋"/>
          <w:color w:val="auto"/>
          <w:sz w:val="24"/>
          <w:szCs w:val="24"/>
          <w:lang w:val="zh-CN"/>
        </w:rPr>
        <w:t>廉政承诺书（格式见附件）；</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10</w:t>
      </w:r>
      <w:r>
        <w:rPr>
          <w:rFonts w:hint="eastAsia" w:ascii="仿宋" w:hAnsi="仿宋" w:eastAsia="仿宋" w:cs="仿宋"/>
          <w:color w:val="auto"/>
          <w:sz w:val="24"/>
          <w:szCs w:val="24"/>
          <w:lang w:val="zh-CN"/>
        </w:rPr>
        <w:t>）投标人认为需要提供的与投标评标有关的其他资料。</w:t>
      </w:r>
    </w:p>
    <w:p>
      <w:pPr>
        <w:pageBreakBefore w:val="0"/>
        <w:kinsoku/>
        <w:wordWrap/>
        <w:overflowPunct/>
        <w:topLinePunct w:val="0"/>
        <w:bidi w:val="0"/>
        <w:adjustRightInd/>
        <w:spacing w:line="460" w:lineRule="exact"/>
        <w:ind w:firstLine="420"/>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rPr>
        <w:t>4.2.3报价</w:t>
      </w:r>
      <w:r>
        <w:rPr>
          <w:rFonts w:hint="eastAsia" w:ascii="仿宋" w:hAnsi="仿宋" w:eastAsia="仿宋" w:cs="仿宋"/>
          <w:b/>
          <w:bCs/>
          <w:color w:val="auto"/>
          <w:sz w:val="24"/>
          <w:szCs w:val="24"/>
          <w:lang w:eastAsia="zh-CN"/>
        </w:rPr>
        <w:t>文件</w:t>
      </w:r>
    </w:p>
    <w:p>
      <w:pPr>
        <w:pageBreakBefore w:val="0"/>
        <w:tabs>
          <w:tab w:val="left" w:pos="399"/>
        </w:tabs>
        <w:kinsoku/>
        <w:wordWrap/>
        <w:overflowPunct/>
        <w:topLinePunct w:val="0"/>
        <w:bidi w:val="0"/>
        <w:adjustRightInd/>
        <w:spacing w:line="460" w:lineRule="exact"/>
        <w:ind w:firstLine="420"/>
        <w:textAlignment w:val="auto"/>
        <w:rPr>
          <w:rFonts w:hint="eastAsia" w:ascii="仿宋" w:hAnsi="仿宋" w:eastAsia="仿宋" w:cs="仿宋"/>
          <w:b w:val="0"/>
          <w:bCs w:val="0"/>
          <w:color w:val="auto"/>
          <w:sz w:val="24"/>
          <w:szCs w:val="24"/>
          <w:lang w:val="zh-CN"/>
        </w:rPr>
      </w:pPr>
      <w:r>
        <w:rPr>
          <w:rFonts w:hint="eastAsia" w:ascii="仿宋" w:hAnsi="仿宋" w:eastAsia="仿宋" w:cs="仿宋"/>
          <w:b w:val="0"/>
          <w:bCs w:val="0"/>
          <w:color w:val="auto"/>
          <w:sz w:val="24"/>
          <w:szCs w:val="24"/>
          <w:lang w:val="en-US" w:eastAsia="zh-CN"/>
        </w:rPr>
        <w:t>1）</w:t>
      </w:r>
      <w:r>
        <w:rPr>
          <w:rFonts w:hint="eastAsia" w:ascii="仿宋" w:hAnsi="仿宋" w:eastAsia="仿宋" w:cs="仿宋"/>
          <w:b w:val="0"/>
          <w:bCs w:val="0"/>
          <w:color w:val="auto"/>
          <w:sz w:val="24"/>
          <w:szCs w:val="24"/>
          <w:lang w:val="zh-CN"/>
        </w:rPr>
        <w:t>开标一览表（</w:t>
      </w:r>
      <w:r>
        <w:rPr>
          <w:rFonts w:hint="eastAsia" w:ascii="仿宋" w:hAnsi="仿宋" w:eastAsia="仿宋" w:cs="仿宋"/>
          <w:b w:val="0"/>
          <w:bCs w:val="0"/>
          <w:color w:val="auto"/>
          <w:sz w:val="24"/>
          <w:szCs w:val="24"/>
        </w:rPr>
        <w:t>格式见附件</w:t>
      </w:r>
      <w:r>
        <w:rPr>
          <w:rFonts w:hint="eastAsia" w:ascii="仿宋" w:hAnsi="仿宋" w:eastAsia="仿宋" w:cs="仿宋"/>
          <w:b w:val="0"/>
          <w:bCs w:val="0"/>
          <w:color w:val="auto"/>
          <w:sz w:val="24"/>
          <w:szCs w:val="24"/>
          <w:lang w:val="zh-CN"/>
        </w:rPr>
        <w:t>）；</w:t>
      </w:r>
    </w:p>
    <w:p>
      <w:pPr>
        <w:pageBreakBefore w:val="0"/>
        <w:tabs>
          <w:tab w:val="left" w:pos="399"/>
        </w:tabs>
        <w:kinsoku/>
        <w:wordWrap/>
        <w:overflowPunct/>
        <w:topLinePunct w:val="0"/>
        <w:bidi w:val="0"/>
        <w:adjustRightInd/>
        <w:spacing w:line="460" w:lineRule="exact"/>
        <w:ind w:firstLine="420"/>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2）投标报价明细表</w:t>
      </w:r>
      <w:r>
        <w:rPr>
          <w:rFonts w:hint="eastAsia" w:ascii="仿宋" w:hAnsi="仿宋" w:eastAsia="仿宋" w:cs="仿宋"/>
          <w:b w:val="0"/>
          <w:bCs w:val="0"/>
          <w:color w:val="auto"/>
          <w:sz w:val="24"/>
          <w:szCs w:val="24"/>
          <w:lang w:val="zh-CN"/>
        </w:rPr>
        <w:t>（</w:t>
      </w:r>
      <w:r>
        <w:rPr>
          <w:rFonts w:hint="eastAsia" w:ascii="仿宋" w:hAnsi="仿宋" w:eastAsia="仿宋" w:cs="仿宋"/>
          <w:b w:val="0"/>
          <w:bCs w:val="0"/>
          <w:color w:val="auto"/>
          <w:sz w:val="24"/>
          <w:szCs w:val="24"/>
        </w:rPr>
        <w:t>格式见附件</w:t>
      </w:r>
      <w:r>
        <w:rPr>
          <w:rFonts w:hint="eastAsia" w:ascii="仿宋" w:hAnsi="仿宋" w:eastAsia="仿宋" w:cs="仿宋"/>
          <w:b w:val="0"/>
          <w:bCs w:val="0"/>
          <w:color w:val="auto"/>
          <w:sz w:val="24"/>
          <w:szCs w:val="24"/>
          <w:lang w:val="zh-CN"/>
        </w:rPr>
        <w:t>）；</w:t>
      </w:r>
    </w:p>
    <w:p>
      <w:pPr>
        <w:pageBreakBefore w:val="0"/>
        <w:tabs>
          <w:tab w:val="left" w:pos="399"/>
        </w:tabs>
        <w:kinsoku/>
        <w:wordWrap/>
        <w:overflowPunct/>
        <w:topLinePunct w:val="0"/>
        <w:bidi w:val="0"/>
        <w:adjustRightInd/>
        <w:spacing w:line="460" w:lineRule="exact"/>
        <w:ind w:firstLine="420"/>
        <w:textAlignment w:val="auto"/>
        <w:rPr>
          <w:rFonts w:hint="eastAsia" w:ascii="仿宋" w:hAnsi="仿宋" w:eastAsia="仿宋" w:cs="仿宋"/>
          <w:b/>
          <w:bCs/>
          <w:color w:val="auto"/>
          <w:sz w:val="24"/>
          <w:szCs w:val="24"/>
        </w:rPr>
      </w:pPr>
      <w:r>
        <w:rPr>
          <w:rFonts w:hint="eastAsia" w:ascii="仿宋" w:hAnsi="仿宋" w:eastAsia="仿宋" w:cs="仿宋"/>
          <w:b w:val="0"/>
          <w:bCs w:val="0"/>
          <w:color w:val="auto"/>
          <w:sz w:val="24"/>
          <w:szCs w:val="24"/>
          <w:lang w:val="en-US" w:eastAsia="zh-CN"/>
        </w:rPr>
        <w:t>3）</w:t>
      </w:r>
      <w:r>
        <w:rPr>
          <w:rFonts w:hint="eastAsia" w:ascii="仿宋" w:hAnsi="仿宋" w:eastAsia="仿宋" w:cs="仿宋"/>
          <w:b w:val="0"/>
          <w:bCs w:val="0"/>
          <w:color w:val="auto"/>
          <w:sz w:val="24"/>
          <w:szCs w:val="24"/>
        </w:rPr>
        <w:t>投标人针对报价需要说明的其他文件和说明，格式自拟。</w:t>
      </w:r>
    </w:p>
    <w:p>
      <w:pPr>
        <w:pageBreakBefore w:val="0"/>
        <w:tabs>
          <w:tab w:val="left" w:pos="399"/>
        </w:tabs>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4.2.4投标时提供的人员、业绩、荣誉、资质、项目案例等，必须为投标人本身所具有。</w:t>
      </w:r>
    </w:p>
    <w:p>
      <w:pPr>
        <w:pageBreakBefore w:val="0"/>
        <w:kinsoku/>
        <w:wordWrap/>
        <w:overflowPunct/>
        <w:topLinePunct w:val="0"/>
        <w:bidi w:val="0"/>
        <w:adjustRightInd/>
        <w:spacing w:line="460" w:lineRule="exact"/>
        <w:ind w:firstLine="482" w:firstLineChars="200"/>
        <w:textAlignment w:val="auto"/>
        <w:rPr>
          <w:rFonts w:hint="eastAsia" w:ascii="仿宋" w:hAnsi="仿宋" w:eastAsia="仿宋" w:cs="仿宋"/>
          <w:b/>
          <w:color w:val="auto"/>
          <w:sz w:val="24"/>
          <w:szCs w:val="24"/>
        </w:rPr>
      </w:pPr>
      <w:r>
        <w:rPr>
          <w:rFonts w:hint="eastAsia" w:ascii="仿宋" w:hAnsi="仿宋" w:eastAsia="仿宋" w:cs="仿宋"/>
          <w:b/>
          <w:bCs/>
          <w:color w:val="auto"/>
          <w:sz w:val="24"/>
          <w:szCs w:val="24"/>
        </w:rPr>
        <w:t>4.2.5注意事项：</w:t>
      </w:r>
      <w:r>
        <w:rPr>
          <w:rFonts w:hint="eastAsia" w:ascii="仿宋" w:hAnsi="仿宋" w:eastAsia="仿宋" w:cs="仿宋"/>
          <w:b/>
          <w:color w:val="auto"/>
          <w:sz w:val="24"/>
          <w:szCs w:val="24"/>
        </w:rPr>
        <w:t>投标文件含有采购人不能接受的附加条件的，投标无效；</w:t>
      </w:r>
    </w:p>
    <w:p>
      <w:pPr>
        <w:pageBreakBefore w:val="0"/>
        <w:kinsoku/>
        <w:wordWrap/>
        <w:overflowPunct/>
        <w:topLinePunct w:val="0"/>
        <w:bidi w:val="0"/>
        <w:adjustRightInd/>
        <w:spacing w:line="460" w:lineRule="exact"/>
        <w:ind w:firstLine="482" w:firstLineChars="200"/>
        <w:textAlignment w:val="auto"/>
        <w:rPr>
          <w:rFonts w:hint="eastAsia" w:ascii="仿宋" w:hAnsi="仿宋" w:eastAsia="仿宋" w:cs="仿宋"/>
          <w:b/>
          <w:bCs/>
          <w:color w:val="auto"/>
          <w:sz w:val="24"/>
          <w:szCs w:val="24"/>
        </w:rPr>
      </w:pPr>
      <w:r>
        <w:rPr>
          <w:rFonts w:hint="eastAsia" w:ascii="仿宋" w:hAnsi="仿宋" w:eastAsia="仿宋" w:cs="仿宋"/>
          <w:b/>
          <w:color w:val="auto"/>
          <w:sz w:val="24"/>
          <w:szCs w:val="24"/>
          <w:lang w:val="en-US" w:eastAsia="zh-CN"/>
        </w:rPr>
        <w:t>4.2.6</w:t>
      </w:r>
      <w:r>
        <w:rPr>
          <w:rFonts w:hint="eastAsia" w:ascii="仿宋" w:hAnsi="仿宋" w:eastAsia="仿宋" w:cs="仿宋"/>
          <w:b/>
          <w:color w:val="auto"/>
          <w:sz w:val="24"/>
          <w:szCs w:val="24"/>
        </w:rPr>
        <w:t>投标人提供虚假材料投标的，投标无效。</w:t>
      </w:r>
    </w:p>
    <w:p>
      <w:pPr>
        <w:pageBreakBefore w:val="0"/>
        <w:kinsoku/>
        <w:wordWrap/>
        <w:overflowPunct/>
        <w:topLinePunct w:val="0"/>
        <w:bidi w:val="0"/>
        <w:adjustRightInd/>
        <w:spacing w:line="460" w:lineRule="exact"/>
        <w:ind w:firstLine="482" w:firstLineChars="200"/>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4.3、投标文件的编制</w:t>
      </w:r>
    </w:p>
    <w:p>
      <w:pPr>
        <w:pageBreakBefore w:val="0"/>
        <w:kinsoku/>
        <w:wordWrap/>
        <w:overflowPunct/>
        <w:topLinePunct w:val="0"/>
        <w:bidi w:val="0"/>
        <w:adjustRightInd/>
        <w:spacing w:line="460" w:lineRule="exact"/>
        <w:ind w:firstLine="482" w:firstLineChars="200"/>
        <w:textAlignment w:val="auto"/>
        <w:rPr>
          <w:rFonts w:hint="eastAsia" w:ascii="仿宋" w:hAnsi="仿宋" w:eastAsia="仿宋" w:cs="仿宋"/>
          <w:color w:val="auto"/>
          <w:sz w:val="24"/>
          <w:szCs w:val="24"/>
        </w:rPr>
      </w:pPr>
      <w:r>
        <w:rPr>
          <w:rFonts w:hint="eastAsia" w:ascii="仿宋" w:hAnsi="仿宋" w:eastAsia="仿宋" w:cs="仿宋"/>
          <w:b/>
          <w:bCs/>
          <w:color w:val="auto"/>
          <w:kern w:val="0"/>
          <w:sz w:val="24"/>
          <w:szCs w:val="24"/>
          <w:lang w:val="en-US" w:eastAsia="zh-CN"/>
        </w:rPr>
        <w:t>4.3.1</w:t>
      </w:r>
      <w:r>
        <w:rPr>
          <w:rFonts w:hint="eastAsia" w:ascii="仿宋" w:hAnsi="仿宋" w:eastAsia="仿宋" w:cs="仿宋"/>
          <w:b/>
          <w:bCs/>
          <w:color w:val="auto"/>
          <w:kern w:val="0"/>
          <w:sz w:val="24"/>
          <w:szCs w:val="24"/>
          <w:lang w:val="zh-CN"/>
        </w:rPr>
        <w:t>投标文件分为资格</w:t>
      </w:r>
      <w:r>
        <w:rPr>
          <w:rFonts w:hint="eastAsia" w:ascii="仿宋" w:hAnsi="仿宋" w:eastAsia="仿宋" w:cs="仿宋"/>
          <w:b/>
          <w:bCs/>
          <w:color w:val="auto"/>
          <w:kern w:val="0"/>
          <w:sz w:val="24"/>
          <w:szCs w:val="24"/>
          <w:lang w:val="en-US" w:eastAsia="zh-CN"/>
        </w:rPr>
        <w:t>证明</w:t>
      </w:r>
      <w:r>
        <w:rPr>
          <w:rFonts w:hint="eastAsia" w:ascii="仿宋" w:hAnsi="仿宋" w:eastAsia="仿宋" w:cs="仿宋"/>
          <w:b/>
          <w:bCs/>
          <w:color w:val="auto"/>
          <w:kern w:val="0"/>
          <w:sz w:val="24"/>
          <w:szCs w:val="24"/>
          <w:lang w:val="zh-CN"/>
        </w:rPr>
        <w:t>文件、商务技术文件、报价文件三部分。各投标人在编制投标文件时请按照采购文件第六部分规定的格式进行，混乱的编排导致投标文件被误读或评标委员会查找不到有效文件是投标人的风险。</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4.3.</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本项目通过“</w:t>
      </w:r>
      <w:r>
        <w:rPr>
          <w:rFonts w:hint="eastAsia" w:ascii="仿宋" w:hAnsi="仿宋" w:eastAsia="仿宋" w:cs="仿宋"/>
          <w:color w:val="auto"/>
          <w:sz w:val="24"/>
          <w:szCs w:val="24"/>
          <w:lang w:eastAsia="zh-CN"/>
        </w:rPr>
        <w:t>采购云平台</w:t>
      </w:r>
      <w:r>
        <w:rPr>
          <w:rFonts w:hint="eastAsia" w:ascii="仿宋" w:hAnsi="仿宋" w:eastAsia="仿宋" w:cs="仿宋"/>
          <w:color w:val="auto"/>
          <w:sz w:val="24"/>
          <w:szCs w:val="24"/>
        </w:rPr>
        <w:t>（</w:t>
      </w:r>
      <w:r>
        <w:rPr>
          <w:rFonts w:hint="eastAsia" w:ascii="仿宋" w:hAnsi="仿宋" w:eastAsia="仿宋" w:cs="仿宋"/>
          <w:color w:val="auto"/>
          <w:sz w:val="24"/>
          <w:szCs w:val="24"/>
          <w:lang w:eastAsia="zh-CN"/>
        </w:rPr>
        <w:t>www.lecaiyun.com</w:t>
      </w:r>
      <w:r>
        <w:rPr>
          <w:rFonts w:hint="eastAsia" w:ascii="仿宋" w:hAnsi="仿宋" w:eastAsia="仿宋" w:cs="仿宋"/>
          <w:color w:val="auto"/>
          <w:sz w:val="24"/>
          <w:szCs w:val="24"/>
        </w:rPr>
        <w:t>）”实行在线投标响应（电子投标）。供应商应通过“</w:t>
      </w:r>
      <w:r>
        <w:rPr>
          <w:rFonts w:hint="eastAsia" w:ascii="仿宋" w:hAnsi="仿宋" w:eastAsia="仿宋" w:cs="仿宋"/>
          <w:color w:val="auto"/>
          <w:sz w:val="24"/>
          <w:szCs w:val="24"/>
          <w:lang w:eastAsia="zh-CN"/>
        </w:rPr>
        <w:t>乐采云</w:t>
      </w:r>
      <w:r>
        <w:rPr>
          <w:rFonts w:hint="eastAsia" w:ascii="仿宋" w:hAnsi="仿宋" w:eastAsia="仿宋" w:cs="仿宋"/>
          <w:color w:val="auto"/>
          <w:sz w:val="24"/>
          <w:szCs w:val="24"/>
        </w:rPr>
        <w:t>电子交易客户端”，并按照本采购文件和“</w:t>
      </w:r>
      <w:r>
        <w:rPr>
          <w:rFonts w:hint="eastAsia" w:ascii="仿宋" w:hAnsi="仿宋" w:eastAsia="仿宋" w:cs="仿宋"/>
          <w:color w:val="auto"/>
          <w:sz w:val="24"/>
          <w:szCs w:val="24"/>
          <w:lang w:eastAsia="zh-CN"/>
        </w:rPr>
        <w:t>采购云平台</w:t>
      </w:r>
      <w:r>
        <w:rPr>
          <w:rFonts w:hint="eastAsia" w:ascii="仿宋" w:hAnsi="仿宋" w:eastAsia="仿宋" w:cs="仿宋"/>
          <w:color w:val="auto"/>
          <w:sz w:val="24"/>
          <w:szCs w:val="24"/>
        </w:rPr>
        <w:t>”的要求编制并加密投标文件。</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4.3.</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投标供应商应当按照本章4.2款中规定的内容及顺序在“</w:t>
      </w:r>
      <w:r>
        <w:rPr>
          <w:rFonts w:hint="eastAsia" w:ascii="仿宋" w:hAnsi="仿宋" w:eastAsia="仿宋" w:cs="仿宋"/>
          <w:color w:val="auto"/>
          <w:sz w:val="24"/>
          <w:szCs w:val="24"/>
          <w:lang w:eastAsia="zh-CN"/>
        </w:rPr>
        <w:t>乐采云</w:t>
      </w:r>
      <w:r>
        <w:rPr>
          <w:rFonts w:hint="eastAsia" w:ascii="仿宋" w:hAnsi="仿宋" w:eastAsia="仿宋" w:cs="仿宋"/>
          <w:color w:val="auto"/>
          <w:sz w:val="24"/>
          <w:szCs w:val="24"/>
        </w:rPr>
        <w:t>电子交易客户端”编制投标文件。其中《资格证明文件》和《资信技术文件》中不得出现本项目投标报价</w:t>
      </w:r>
      <w:r>
        <w:rPr>
          <w:rFonts w:hint="eastAsia" w:ascii="仿宋" w:hAnsi="仿宋" w:eastAsia="仿宋" w:cs="仿宋"/>
          <w:color w:val="auto"/>
          <w:sz w:val="24"/>
          <w:szCs w:val="24"/>
          <w:lang w:eastAsia="zh-CN"/>
        </w:rPr>
        <w:t>，否则作无效投标</w:t>
      </w:r>
      <w:r>
        <w:rPr>
          <w:rFonts w:hint="eastAsia" w:ascii="仿宋" w:hAnsi="仿宋" w:eastAsia="仿宋" w:cs="仿宋"/>
          <w:color w:val="auto"/>
          <w:sz w:val="24"/>
          <w:szCs w:val="24"/>
        </w:rPr>
        <w:t>。</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4.3.</w:t>
      </w: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本文件《第六章  投标文件格式》中有提供格式的，投标供应商须参照格式进行编制（格式中要求提供相关证明材料的还需后附相关证明材料），并按格式要求在指定位置根据要求进行签章，否则视为未提供；本文件《第六章  投标文件格式》未提供格式的，请各投标供应商自行拟定格式，并加盖单位公章并由法定代表人或其授权代表签署（签字或盖章），否则视为未提供。</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4.3.</w:t>
      </w: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投标文件应当对采购文件规定的内容进行明确，对采购文件规定的实质性内容应当作出响应。</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4.3.</w:t>
      </w: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投标文件由于字迹模糊或表达不清引起的后果由投标人负责。</w:t>
      </w:r>
    </w:p>
    <w:p>
      <w:pPr>
        <w:pageBreakBefore w:val="0"/>
        <w:kinsoku/>
        <w:wordWrap/>
        <w:overflowPunct/>
        <w:topLinePunct w:val="0"/>
        <w:bidi w:val="0"/>
        <w:adjustRightInd/>
        <w:snapToGrid w:val="0"/>
        <w:spacing w:line="460" w:lineRule="exact"/>
        <w:ind w:firstLine="480" w:firstLineChars="200"/>
        <w:jc w:val="left"/>
        <w:textAlignment w:val="auto"/>
        <w:outlineLvl w:val="2"/>
        <w:rPr>
          <w:rFonts w:hint="eastAsia" w:ascii="仿宋" w:hAnsi="仿宋" w:eastAsia="仿宋" w:cs="仿宋"/>
          <w:color w:val="auto"/>
          <w:sz w:val="24"/>
          <w:szCs w:val="24"/>
        </w:rPr>
      </w:pPr>
      <w:r>
        <w:rPr>
          <w:rFonts w:hint="eastAsia" w:ascii="仿宋" w:hAnsi="仿宋" w:eastAsia="仿宋" w:cs="仿宋"/>
          <w:color w:val="auto"/>
          <w:sz w:val="24"/>
          <w:szCs w:val="24"/>
        </w:rPr>
        <w:t>4.3.</w:t>
      </w: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rPr>
        <w:t>投标供应商没有按照本章节 “4.2、投标文件组成”要求提供全部资料，或者没有仔细阅读采购文件，或者没有对采购文件在各方面的要求作出实质性响应是投标供应商的风险，由此造成的一切后果由投标供应商自行承担。</w:t>
      </w:r>
    </w:p>
    <w:p>
      <w:pPr>
        <w:pageBreakBefore w:val="0"/>
        <w:kinsoku/>
        <w:wordWrap/>
        <w:overflowPunct/>
        <w:topLinePunct w:val="0"/>
        <w:bidi w:val="0"/>
        <w:adjustRightInd/>
        <w:snapToGrid w:val="0"/>
        <w:spacing w:line="460" w:lineRule="exact"/>
        <w:jc w:val="left"/>
        <w:textAlignment w:val="auto"/>
        <w:outlineLvl w:val="2"/>
        <w:rPr>
          <w:rFonts w:hint="eastAsia" w:ascii="仿宋" w:hAnsi="仿宋" w:eastAsia="仿宋" w:cs="仿宋"/>
          <w:b/>
          <w:color w:val="auto"/>
          <w:sz w:val="24"/>
          <w:szCs w:val="24"/>
        </w:rPr>
      </w:pPr>
      <w:r>
        <w:rPr>
          <w:rFonts w:hint="eastAsia" w:ascii="仿宋" w:hAnsi="仿宋" w:eastAsia="仿宋" w:cs="仿宋"/>
          <w:b/>
          <w:bCs/>
          <w:color w:val="auto"/>
          <w:sz w:val="24"/>
          <w:szCs w:val="24"/>
          <w:lang w:val="en-US" w:eastAsia="zh-CN"/>
        </w:rPr>
        <w:t>5</w:t>
      </w:r>
      <w:r>
        <w:rPr>
          <w:rFonts w:hint="eastAsia" w:ascii="仿宋" w:hAnsi="仿宋" w:eastAsia="仿宋" w:cs="仿宋"/>
          <w:color w:val="auto"/>
          <w:sz w:val="24"/>
          <w:szCs w:val="24"/>
          <w:lang w:val="en-US" w:eastAsia="zh-CN"/>
        </w:rPr>
        <w:t>.</w:t>
      </w:r>
      <w:r>
        <w:rPr>
          <w:rFonts w:hint="eastAsia" w:ascii="仿宋" w:hAnsi="仿宋" w:eastAsia="仿宋" w:cs="仿宋"/>
          <w:b/>
          <w:color w:val="auto"/>
          <w:sz w:val="24"/>
          <w:szCs w:val="24"/>
        </w:rPr>
        <w:t>投标文件的签署、盖章</w:t>
      </w:r>
    </w:p>
    <w:p>
      <w:pPr>
        <w:pageBreakBefore w:val="0"/>
        <w:kinsoku/>
        <w:wordWrap/>
        <w:overflowPunct/>
        <w:topLinePunct w:val="0"/>
        <w:bidi w:val="0"/>
        <w:adjustRightInd/>
        <w:snapToGrid w:val="0"/>
        <w:spacing w:line="460" w:lineRule="exact"/>
        <w:ind w:firstLine="482" w:firstLineChars="200"/>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lang w:val="en-US" w:eastAsia="zh-CN"/>
        </w:rPr>
        <w:t>5.1</w:t>
      </w:r>
      <w:r>
        <w:rPr>
          <w:rFonts w:hint="eastAsia" w:ascii="仿宋" w:hAnsi="仿宋" w:eastAsia="仿宋" w:cs="仿宋"/>
          <w:b/>
          <w:bCs/>
          <w:color w:val="auto"/>
          <w:sz w:val="24"/>
          <w:szCs w:val="24"/>
        </w:rPr>
        <w:t>投标文件按照采购文件第六部分格式要求进行签署、盖章。投标人的投标文件未按照采购文件要求签署、盖章的，其投标无效。</w:t>
      </w:r>
    </w:p>
    <w:p>
      <w:pPr>
        <w:pageBreakBefore w:val="0"/>
        <w:kinsoku/>
        <w:wordWrap/>
        <w:overflowPunct/>
        <w:topLinePunct w:val="0"/>
        <w:bidi w:val="0"/>
        <w:adjustRightInd/>
        <w:snapToGrid w:val="0"/>
        <w:spacing w:line="460" w:lineRule="exact"/>
        <w:ind w:firstLine="480" w:firstLineChars="200"/>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lang w:val="en-US" w:eastAsia="zh-CN"/>
        </w:rPr>
        <w:t>5.2</w:t>
      </w:r>
      <w:r>
        <w:rPr>
          <w:rFonts w:hint="eastAsia" w:ascii="仿宋" w:hAnsi="仿宋" w:eastAsia="仿宋" w:cs="仿宋"/>
          <w:b w:val="0"/>
          <w:bCs w:val="0"/>
          <w:color w:val="auto"/>
          <w:sz w:val="24"/>
          <w:szCs w:val="24"/>
        </w:rPr>
        <w:t>为确保网上操作合法、有效和安全，投标人应当在投标截止时间前完成在“</w:t>
      </w:r>
      <w:r>
        <w:rPr>
          <w:rFonts w:hint="eastAsia" w:ascii="仿宋" w:hAnsi="仿宋" w:eastAsia="仿宋" w:cs="仿宋"/>
          <w:b w:val="0"/>
          <w:bCs w:val="0"/>
          <w:color w:val="auto"/>
          <w:sz w:val="24"/>
          <w:szCs w:val="24"/>
          <w:lang w:eastAsia="zh-CN"/>
        </w:rPr>
        <w:t>采购云平台</w:t>
      </w:r>
      <w:r>
        <w:rPr>
          <w:rFonts w:hint="eastAsia" w:ascii="仿宋" w:hAnsi="仿宋" w:eastAsia="仿宋" w:cs="仿宋"/>
          <w:b w:val="0"/>
          <w:bCs w:val="0"/>
          <w:color w:val="auto"/>
          <w:sz w:val="24"/>
          <w:szCs w:val="24"/>
        </w:rPr>
        <w:t>”的身份认证，确保在电子投标过程中能够对相关数据电文进行加密和使用电子签名。</w:t>
      </w:r>
    </w:p>
    <w:p>
      <w:pPr>
        <w:pageBreakBefore w:val="0"/>
        <w:kinsoku/>
        <w:wordWrap/>
        <w:overflowPunct/>
        <w:topLinePunct w:val="0"/>
        <w:bidi w:val="0"/>
        <w:adjustRightInd/>
        <w:snapToGrid w:val="0"/>
        <w:spacing w:line="460" w:lineRule="exact"/>
        <w:ind w:firstLine="480" w:firstLineChars="200"/>
        <w:jc w:val="left"/>
        <w:textAlignment w:val="auto"/>
        <w:outlineLvl w:val="2"/>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lang w:val="en-US" w:eastAsia="zh-CN"/>
        </w:rPr>
        <w:t>5.3</w:t>
      </w:r>
      <w:r>
        <w:rPr>
          <w:rFonts w:hint="eastAsia" w:ascii="仿宋" w:hAnsi="仿宋" w:eastAsia="仿宋" w:cs="仿宋"/>
          <w:b w:val="0"/>
          <w:bCs w:val="0"/>
          <w:color w:val="auto"/>
          <w:sz w:val="24"/>
          <w:szCs w:val="24"/>
        </w:rPr>
        <w:t>采购文件对投标文件签署、盖章的要求适用于电子签名。</w:t>
      </w:r>
    </w:p>
    <w:p>
      <w:pPr>
        <w:pageBreakBefore w:val="0"/>
        <w:kinsoku/>
        <w:wordWrap/>
        <w:overflowPunct/>
        <w:topLinePunct w:val="0"/>
        <w:bidi w:val="0"/>
        <w:adjustRightInd/>
        <w:snapToGrid w:val="0"/>
        <w:spacing w:line="460" w:lineRule="exact"/>
        <w:jc w:val="left"/>
        <w:textAlignment w:val="auto"/>
        <w:outlineLvl w:val="2"/>
        <w:rPr>
          <w:rFonts w:hint="eastAsia" w:ascii="仿宋" w:hAnsi="仿宋" w:eastAsia="仿宋" w:cs="仿宋"/>
          <w:b/>
          <w:color w:val="auto"/>
          <w:sz w:val="24"/>
          <w:szCs w:val="24"/>
        </w:rPr>
      </w:pPr>
      <w:r>
        <w:rPr>
          <w:rFonts w:hint="eastAsia" w:ascii="仿宋" w:hAnsi="仿宋" w:eastAsia="仿宋" w:cs="仿宋"/>
          <w:b/>
          <w:bCs/>
          <w:color w:val="auto"/>
          <w:sz w:val="24"/>
          <w:szCs w:val="24"/>
          <w:lang w:val="en-US" w:eastAsia="zh-CN"/>
        </w:rPr>
        <w:t>6.</w:t>
      </w:r>
      <w:r>
        <w:rPr>
          <w:rFonts w:hint="eastAsia" w:ascii="仿宋" w:hAnsi="仿宋" w:eastAsia="仿宋" w:cs="仿宋"/>
          <w:b/>
          <w:bCs/>
          <w:color w:val="auto"/>
          <w:sz w:val="24"/>
          <w:szCs w:val="24"/>
        </w:rPr>
        <w:t>投</w:t>
      </w:r>
      <w:r>
        <w:rPr>
          <w:rFonts w:hint="eastAsia" w:ascii="仿宋" w:hAnsi="仿宋" w:eastAsia="仿宋" w:cs="仿宋"/>
          <w:b/>
          <w:color w:val="auto"/>
          <w:sz w:val="24"/>
          <w:szCs w:val="24"/>
        </w:rPr>
        <w:t>标文件的提交、补充、修改、撤回</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.1、投标文件的上传、递交</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.1.1电子加密投标文件的上传、递交：</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6.1.1.1</w:t>
      </w:r>
      <w:r>
        <w:rPr>
          <w:rFonts w:hint="eastAsia" w:ascii="仿宋" w:hAnsi="仿宋" w:eastAsia="仿宋" w:cs="仿宋"/>
          <w:color w:val="auto"/>
          <w:sz w:val="24"/>
          <w:szCs w:val="24"/>
        </w:rPr>
        <w:t>投标供应商应在投标截止时间前将“电子加密投标文件”成功上传递交至“</w:t>
      </w:r>
      <w:r>
        <w:rPr>
          <w:rFonts w:hint="eastAsia" w:ascii="仿宋" w:hAnsi="仿宋" w:eastAsia="仿宋" w:cs="仿宋"/>
          <w:color w:val="auto"/>
          <w:sz w:val="24"/>
          <w:szCs w:val="24"/>
          <w:lang w:eastAsia="zh-CN"/>
        </w:rPr>
        <w:t>采购云平台</w:t>
      </w:r>
      <w:r>
        <w:rPr>
          <w:rFonts w:hint="eastAsia" w:ascii="仿宋" w:hAnsi="仿宋" w:eastAsia="仿宋" w:cs="仿宋"/>
          <w:color w:val="auto"/>
          <w:sz w:val="24"/>
          <w:szCs w:val="24"/>
        </w:rPr>
        <w:t>”，否则投标无效。</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6.1.1.2</w:t>
      </w:r>
      <w:r>
        <w:rPr>
          <w:rFonts w:hint="eastAsia" w:ascii="仿宋" w:hAnsi="仿宋" w:eastAsia="仿宋" w:cs="仿宋"/>
          <w:color w:val="auto"/>
          <w:sz w:val="24"/>
          <w:szCs w:val="24"/>
        </w:rPr>
        <w:t>“电子加密投标文件”成功上传递交后，供应商可自行打印投标文件接收回执。</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.1.2备份投标文件的密封包装、递交：</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6.1.2.1</w:t>
      </w:r>
      <w:r>
        <w:rPr>
          <w:rFonts w:hint="eastAsia" w:ascii="仿宋" w:hAnsi="仿宋" w:eastAsia="仿宋" w:cs="仿宋"/>
          <w:color w:val="auto"/>
          <w:sz w:val="24"/>
          <w:szCs w:val="24"/>
        </w:rPr>
        <w:t>投标供应商在“</w:t>
      </w:r>
      <w:r>
        <w:rPr>
          <w:rFonts w:hint="eastAsia" w:ascii="仿宋" w:hAnsi="仿宋" w:eastAsia="仿宋" w:cs="仿宋"/>
          <w:color w:val="auto"/>
          <w:sz w:val="24"/>
          <w:szCs w:val="24"/>
          <w:lang w:eastAsia="zh-CN"/>
        </w:rPr>
        <w:t>采购云平台</w:t>
      </w:r>
      <w:r>
        <w:rPr>
          <w:rFonts w:hint="eastAsia" w:ascii="仿宋" w:hAnsi="仿宋" w:eastAsia="仿宋" w:cs="仿宋"/>
          <w:color w:val="auto"/>
          <w:sz w:val="24"/>
          <w:szCs w:val="24"/>
        </w:rPr>
        <w:t>”完成“电子加密投标文件”的上传递交后，还可以（邮寄形式）在投标截止时间前递交以介质（U盘）存储的“备份投标文件”（一份）；</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6.1.2.2</w:t>
      </w:r>
      <w:r>
        <w:rPr>
          <w:rFonts w:hint="eastAsia" w:ascii="仿宋" w:hAnsi="仿宋" w:eastAsia="仿宋" w:cs="仿宋"/>
          <w:color w:val="auto"/>
          <w:sz w:val="24"/>
          <w:szCs w:val="24"/>
        </w:rPr>
        <w:t>“备份投标文件”应当密封包装，并在包装上标注投标项目名称、</w:t>
      </w:r>
      <w:r>
        <w:rPr>
          <w:rFonts w:hint="eastAsia" w:ascii="仿宋" w:hAnsi="仿宋" w:eastAsia="仿宋" w:cs="仿宋"/>
          <w:color w:val="auto"/>
          <w:sz w:val="24"/>
          <w:szCs w:val="24"/>
          <w:lang w:eastAsia="zh-CN"/>
        </w:rPr>
        <w:t>投标人</w:t>
      </w:r>
      <w:r>
        <w:rPr>
          <w:rFonts w:hint="eastAsia" w:ascii="仿宋" w:hAnsi="仿宋" w:eastAsia="仿宋" w:cs="仿宋"/>
          <w:color w:val="auto"/>
          <w:sz w:val="24"/>
          <w:szCs w:val="24"/>
        </w:rPr>
        <w:t>名称并加盖公章。没有密封包装或者逾期邮寄送达至投标地点的“备份投标文件”将不予接收，（邮寄公司采用EMS或顺丰，以代理机构工作人员签收时间为准），采用邮寄的方式的请提前一天通知代理机构；</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6.1.2.3</w:t>
      </w:r>
      <w:r>
        <w:rPr>
          <w:rFonts w:hint="eastAsia" w:ascii="仿宋" w:hAnsi="仿宋" w:eastAsia="仿宋" w:cs="仿宋"/>
          <w:color w:val="auto"/>
          <w:sz w:val="24"/>
          <w:szCs w:val="24"/>
        </w:rPr>
        <w:t>通过“</w:t>
      </w:r>
      <w:r>
        <w:rPr>
          <w:rFonts w:hint="eastAsia" w:ascii="仿宋" w:hAnsi="仿宋" w:eastAsia="仿宋" w:cs="仿宋"/>
          <w:color w:val="auto"/>
          <w:sz w:val="24"/>
          <w:szCs w:val="24"/>
          <w:lang w:eastAsia="zh-CN"/>
        </w:rPr>
        <w:t>采购云平台</w:t>
      </w:r>
      <w:r>
        <w:rPr>
          <w:rFonts w:hint="eastAsia" w:ascii="仿宋" w:hAnsi="仿宋" w:eastAsia="仿宋" w:cs="仿宋"/>
          <w:color w:val="auto"/>
          <w:sz w:val="24"/>
          <w:szCs w:val="24"/>
        </w:rPr>
        <w:t>”成功上传递交的“电子加密投标文件”已按时解密的，“备份投标文件”自动失效。投标截止时间前，投标供应商仅递交了“备份投标文件”而未将“电子加密投标文件”成功上传至“</w:t>
      </w:r>
      <w:r>
        <w:rPr>
          <w:rFonts w:hint="eastAsia" w:ascii="仿宋" w:hAnsi="仿宋" w:eastAsia="仿宋" w:cs="仿宋"/>
          <w:color w:val="auto"/>
          <w:sz w:val="24"/>
          <w:szCs w:val="24"/>
          <w:lang w:eastAsia="zh-CN"/>
        </w:rPr>
        <w:t>采购云平台</w:t>
      </w:r>
      <w:r>
        <w:rPr>
          <w:rFonts w:hint="eastAsia" w:ascii="仿宋" w:hAnsi="仿宋" w:eastAsia="仿宋" w:cs="仿宋"/>
          <w:color w:val="auto"/>
          <w:sz w:val="24"/>
          <w:szCs w:val="24"/>
        </w:rPr>
        <w:t>”的，投标无效。</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.2、解密和异常情况处理</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.2.1开标后，采购组织机构将向各投标供应商发出“电子加密投标文件”的解密通知，各投标供应商代表应当在接到解密通知后30分钟内自行完成“电子加密投标文件”的在线解密。</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.2.2通过“</w:t>
      </w:r>
      <w:r>
        <w:rPr>
          <w:rFonts w:hint="eastAsia" w:ascii="仿宋" w:hAnsi="仿宋" w:eastAsia="仿宋" w:cs="仿宋"/>
          <w:color w:val="auto"/>
          <w:sz w:val="24"/>
          <w:szCs w:val="24"/>
          <w:lang w:eastAsia="zh-CN"/>
        </w:rPr>
        <w:t>采购云平台</w:t>
      </w:r>
      <w:r>
        <w:rPr>
          <w:rFonts w:hint="eastAsia" w:ascii="仿宋" w:hAnsi="仿宋" w:eastAsia="仿宋" w:cs="仿宋"/>
          <w:color w:val="auto"/>
          <w:sz w:val="24"/>
          <w:szCs w:val="24"/>
        </w:rPr>
        <w:t>”成功上传递交的“电子加密投标文件”无法按时解密，投标供应商如按规定递交了“备份投标文件”的，以“备份投标文件”为依据（由采购组织机构按“</w:t>
      </w:r>
      <w:r>
        <w:rPr>
          <w:rFonts w:hint="eastAsia" w:ascii="仿宋" w:hAnsi="仿宋" w:eastAsia="仿宋" w:cs="仿宋"/>
          <w:color w:val="auto"/>
          <w:sz w:val="24"/>
          <w:szCs w:val="24"/>
          <w:lang w:eastAsia="zh-CN"/>
        </w:rPr>
        <w:t>采购云平台</w:t>
      </w:r>
      <w:r>
        <w:rPr>
          <w:rFonts w:hint="eastAsia" w:ascii="仿宋" w:hAnsi="仿宋" w:eastAsia="仿宋" w:cs="仿宋"/>
          <w:color w:val="auto"/>
          <w:sz w:val="24"/>
          <w:szCs w:val="24"/>
        </w:rPr>
        <w:t>”操作规范将“备份投标文件”上传至“</w:t>
      </w:r>
      <w:r>
        <w:rPr>
          <w:rFonts w:hint="eastAsia" w:ascii="仿宋" w:hAnsi="仿宋" w:eastAsia="仿宋" w:cs="仿宋"/>
          <w:color w:val="auto"/>
          <w:sz w:val="24"/>
          <w:szCs w:val="24"/>
          <w:lang w:eastAsia="zh-CN"/>
        </w:rPr>
        <w:t>采购云平台</w:t>
      </w:r>
      <w:r>
        <w:rPr>
          <w:rFonts w:hint="eastAsia" w:ascii="仿宋" w:hAnsi="仿宋" w:eastAsia="仿宋" w:cs="仿宋"/>
          <w:color w:val="auto"/>
          <w:sz w:val="24"/>
          <w:szCs w:val="24"/>
        </w:rPr>
        <w:t>”，上传成功后，“电子加密投标文件”自动失效），否则视为投标文件撤回。</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.2.3投标截止时间前，投标供应商仅递交了“备份投标文件”而未将电子加密投标文件上传至“</w:t>
      </w:r>
      <w:r>
        <w:rPr>
          <w:rFonts w:hint="eastAsia" w:ascii="仿宋" w:hAnsi="仿宋" w:eastAsia="仿宋" w:cs="仿宋"/>
          <w:color w:val="auto"/>
          <w:sz w:val="24"/>
          <w:szCs w:val="24"/>
          <w:lang w:eastAsia="zh-CN"/>
        </w:rPr>
        <w:t>采购云平台</w:t>
      </w:r>
      <w:r>
        <w:rPr>
          <w:rFonts w:hint="eastAsia" w:ascii="仿宋" w:hAnsi="仿宋" w:eastAsia="仿宋" w:cs="仿宋"/>
          <w:color w:val="auto"/>
          <w:sz w:val="24"/>
          <w:szCs w:val="24"/>
        </w:rPr>
        <w:t>”的，投标无效。</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.3、投标文件的修改和撤回</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3.1投标人在投标截止时间前，可以对所递交的投标文件进行补充、修改或者撤回。补充或者修改投标文件的，应当先行撤回原文件，补充、修改后重新上传、递交。投标截止时间前未完成上传、递交的，视为撤回投标文件。投标截止时间后递交的投标文件，“</w:t>
      </w:r>
      <w:r>
        <w:rPr>
          <w:rFonts w:hint="eastAsia" w:ascii="仿宋" w:hAnsi="仿宋" w:eastAsia="仿宋" w:cs="仿宋"/>
          <w:color w:val="auto"/>
          <w:sz w:val="24"/>
          <w:szCs w:val="24"/>
          <w:lang w:eastAsia="zh-CN"/>
        </w:rPr>
        <w:t>采购云平台</w:t>
      </w:r>
      <w:r>
        <w:rPr>
          <w:rFonts w:hint="eastAsia" w:ascii="仿宋" w:hAnsi="仿宋" w:eastAsia="仿宋" w:cs="仿宋"/>
          <w:color w:val="auto"/>
          <w:sz w:val="24"/>
          <w:szCs w:val="24"/>
        </w:rPr>
        <w:t>”将予以拒收。</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.3.2投标截止时间后，投标供应商不得撤回、修改投标文件。</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.4、备选投标方案</w:t>
      </w:r>
    </w:p>
    <w:p>
      <w:pPr>
        <w:pageBreakBefore w:val="0"/>
        <w:kinsoku/>
        <w:wordWrap/>
        <w:overflowPunct/>
        <w:topLinePunct w:val="0"/>
        <w:bidi w:val="0"/>
        <w:adjustRightIn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投标人不得提交备选投标方案，否则，投标文件将被判定为无效标。（与“电子加密投标文件”同时生成的“备份投标文件”不是投标备选（替代）方案）</w:t>
      </w:r>
    </w:p>
    <w:p>
      <w:pPr>
        <w:pageBreakBefore w:val="0"/>
        <w:numPr>
          <w:ilvl w:val="0"/>
          <w:numId w:val="11"/>
        </w:numPr>
        <w:kinsoku/>
        <w:wordWrap/>
        <w:overflowPunct/>
        <w:topLinePunct w:val="0"/>
        <w:bidi w:val="0"/>
        <w:adjustRightInd/>
        <w:spacing w:line="460" w:lineRule="exact"/>
        <w:ind w:firstLine="482" w:firstLineChars="200"/>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备份投标文件</w:t>
      </w:r>
    </w:p>
    <w:p>
      <w:pPr>
        <w:pageBreakBefore w:val="0"/>
        <w:numPr>
          <w:ilvl w:val="0"/>
          <w:numId w:val="0"/>
        </w:numPr>
        <w:kinsoku/>
        <w:wordWrap/>
        <w:overflowPunct/>
        <w:topLinePunct w:val="0"/>
        <w:bidi w:val="0"/>
        <w:adjustRightInd/>
        <w:spacing w:line="460" w:lineRule="exact"/>
        <w:ind w:firstLine="480" w:firstLineChars="200"/>
        <w:textAlignment w:val="auto"/>
        <w:rPr>
          <w:rFonts w:hint="eastAsia" w:ascii="仿宋" w:hAnsi="仿宋" w:eastAsia="仿宋" w:cs="仿宋"/>
          <w:b w:val="0"/>
          <w:bCs w:val="0"/>
          <w:snapToGrid w:val="0"/>
          <w:color w:val="auto"/>
          <w:sz w:val="24"/>
          <w:szCs w:val="24"/>
        </w:rPr>
      </w:pPr>
      <w:r>
        <w:rPr>
          <w:rFonts w:hint="eastAsia" w:ascii="仿宋" w:hAnsi="仿宋" w:eastAsia="仿宋" w:cs="仿宋"/>
          <w:b w:val="0"/>
          <w:bCs w:val="0"/>
          <w:color w:val="auto"/>
          <w:sz w:val="24"/>
          <w:szCs w:val="24"/>
          <w:lang w:val="en-US" w:eastAsia="zh-CN"/>
        </w:rPr>
        <w:t>7.1</w:t>
      </w:r>
      <w:r>
        <w:rPr>
          <w:rFonts w:hint="eastAsia" w:ascii="仿宋" w:hAnsi="仿宋" w:eastAsia="仿宋" w:cs="仿宋"/>
          <w:snapToGrid w:val="0"/>
          <w:color w:val="auto"/>
          <w:sz w:val="24"/>
          <w:szCs w:val="24"/>
        </w:rPr>
        <w:t>投标人在电子交易平台传输递交投标文件后，还可以在投标截止时间前直接提交或者以邮政快递方式递交备份投标文件1份</w:t>
      </w:r>
      <w:r>
        <w:rPr>
          <w:rFonts w:hint="eastAsia" w:ascii="仿宋" w:hAnsi="仿宋" w:eastAsia="仿宋" w:cs="仿宋"/>
          <w:b/>
          <w:bCs/>
          <w:snapToGrid w:val="0"/>
          <w:color w:val="auto"/>
          <w:sz w:val="24"/>
          <w:szCs w:val="24"/>
        </w:rPr>
        <w:t>，</w:t>
      </w:r>
      <w:r>
        <w:rPr>
          <w:rFonts w:hint="eastAsia" w:ascii="仿宋" w:hAnsi="仿宋" w:eastAsia="仿宋" w:cs="仿宋"/>
          <w:b w:val="0"/>
          <w:bCs w:val="0"/>
          <w:snapToGrid w:val="0"/>
          <w:color w:val="auto"/>
          <w:sz w:val="24"/>
          <w:szCs w:val="24"/>
        </w:rPr>
        <w:t>但采购人、采购机构不强制或变相强制投标人提交备份投标文件。</w:t>
      </w:r>
    </w:p>
    <w:p>
      <w:pPr>
        <w:pageBreakBefore w:val="0"/>
        <w:kinsoku/>
        <w:wordWrap/>
        <w:overflowPunct/>
        <w:topLinePunct w:val="0"/>
        <w:bidi w:val="0"/>
        <w:adjustRightInd/>
        <w:spacing w:line="460" w:lineRule="exact"/>
        <w:ind w:firstLine="480" w:firstLineChars="200"/>
        <w:textAlignment w:val="auto"/>
        <w:rPr>
          <w:rFonts w:hint="eastAsia" w:ascii="仿宋" w:hAnsi="仿宋" w:eastAsia="仿宋" w:cs="仿宋"/>
          <w:b/>
          <w:snapToGrid w:val="0"/>
          <w:color w:val="auto"/>
          <w:sz w:val="24"/>
          <w:szCs w:val="24"/>
        </w:rPr>
      </w:pPr>
      <w:r>
        <w:rPr>
          <w:rFonts w:hint="eastAsia" w:ascii="仿宋" w:hAnsi="仿宋" w:eastAsia="仿宋" w:cs="仿宋"/>
          <w:snapToGrid w:val="0"/>
          <w:color w:val="auto"/>
          <w:sz w:val="24"/>
          <w:szCs w:val="24"/>
          <w:lang w:val="en-US" w:eastAsia="zh-CN"/>
        </w:rPr>
        <w:t>7</w:t>
      </w:r>
      <w:r>
        <w:rPr>
          <w:rFonts w:hint="eastAsia" w:ascii="仿宋" w:hAnsi="仿宋" w:eastAsia="仿宋" w:cs="仿宋"/>
          <w:snapToGrid w:val="0"/>
          <w:color w:val="auto"/>
          <w:sz w:val="24"/>
          <w:szCs w:val="24"/>
        </w:rPr>
        <w:t>.2备份投标文件须在“</w:t>
      </w:r>
      <w:r>
        <w:rPr>
          <w:rFonts w:hint="eastAsia" w:ascii="仿宋" w:hAnsi="仿宋" w:eastAsia="仿宋" w:cs="仿宋"/>
          <w:snapToGrid w:val="0"/>
          <w:color w:val="auto"/>
          <w:sz w:val="24"/>
          <w:szCs w:val="24"/>
          <w:lang w:eastAsia="zh-CN"/>
        </w:rPr>
        <w:t>乐采云</w:t>
      </w:r>
      <w:r>
        <w:rPr>
          <w:rFonts w:hint="eastAsia" w:ascii="仿宋" w:hAnsi="仿宋" w:eastAsia="仿宋" w:cs="仿宋"/>
          <w:snapToGrid w:val="0"/>
          <w:color w:val="auto"/>
          <w:sz w:val="24"/>
          <w:szCs w:val="24"/>
        </w:rPr>
        <w:t>投标客户端”制作生成，并储存在U盘中。</w:t>
      </w:r>
      <w:r>
        <w:rPr>
          <w:rFonts w:hint="eastAsia" w:ascii="仿宋" w:hAnsi="仿宋" w:eastAsia="仿宋" w:cs="仿宋"/>
          <w:b/>
          <w:bCs/>
          <w:snapToGrid w:val="0"/>
          <w:color w:val="auto"/>
          <w:sz w:val="24"/>
          <w:szCs w:val="24"/>
        </w:rPr>
        <w:t>备份投标文件应当密封包装并在包装上加盖公章并注明投标项目名称，投标人名称</w:t>
      </w:r>
      <w:r>
        <w:rPr>
          <w:rFonts w:hint="eastAsia" w:ascii="仿宋" w:hAnsi="仿宋" w:eastAsia="仿宋" w:cs="仿宋"/>
          <w:snapToGrid w:val="0"/>
          <w:color w:val="auto"/>
          <w:sz w:val="24"/>
          <w:szCs w:val="24"/>
        </w:rPr>
        <w:t>(联合体投标的，包装物封面需注明联合体投标，并注明联合体成员各方的名称和联合协议中约定的牵头人的名称)。</w:t>
      </w:r>
      <w:r>
        <w:rPr>
          <w:rFonts w:hint="eastAsia" w:ascii="仿宋" w:hAnsi="仿宋" w:eastAsia="仿宋" w:cs="仿宋"/>
          <w:b/>
          <w:snapToGrid w:val="0"/>
          <w:color w:val="auto"/>
          <w:sz w:val="24"/>
          <w:szCs w:val="24"/>
        </w:rPr>
        <w:t>不符合上述制作、存储、密封规定的备份投标文件将被视为无效或者被拒绝接收。</w:t>
      </w:r>
    </w:p>
    <w:p>
      <w:pPr>
        <w:pageBreakBefore w:val="0"/>
        <w:kinsoku/>
        <w:wordWrap/>
        <w:overflowPunct/>
        <w:topLinePunct w:val="0"/>
        <w:bidi w:val="0"/>
        <w:adjustRightInd/>
        <w:spacing w:line="460" w:lineRule="exact"/>
        <w:ind w:firstLine="480" w:firstLineChars="200"/>
        <w:textAlignment w:val="auto"/>
        <w:rPr>
          <w:rFonts w:hint="eastAsia" w:ascii="仿宋" w:hAnsi="仿宋" w:eastAsia="仿宋" w:cs="仿宋"/>
          <w:snapToGrid w:val="0"/>
          <w:color w:val="auto"/>
          <w:sz w:val="24"/>
          <w:szCs w:val="24"/>
        </w:rPr>
      </w:pPr>
      <w:r>
        <w:rPr>
          <w:rFonts w:hint="eastAsia" w:ascii="仿宋" w:hAnsi="仿宋" w:eastAsia="仿宋" w:cs="仿宋"/>
          <w:snapToGrid w:val="0"/>
          <w:color w:val="auto"/>
          <w:sz w:val="24"/>
          <w:szCs w:val="24"/>
          <w:lang w:val="en-US" w:eastAsia="zh-CN"/>
        </w:rPr>
        <w:t>7</w:t>
      </w:r>
      <w:r>
        <w:rPr>
          <w:rFonts w:hint="eastAsia" w:ascii="仿宋" w:hAnsi="仿宋" w:eastAsia="仿宋" w:cs="仿宋"/>
          <w:snapToGrid w:val="0"/>
          <w:color w:val="auto"/>
          <w:sz w:val="24"/>
          <w:szCs w:val="24"/>
        </w:rPr>
        <w:t>.3直接提交备份投标文件的，投标人应于投标截止时间前在采购公告中载明的开标地点将备份投标文件提交给采购机构，采购机构将拒绝接受逾期送达的备份投标文件。</w:t>
      </w:r>
    </w:p>
    <w:p>
      <w:pPr>
        <w:pageBreakBefore w:val="0"/>
        <w:kinsoku/>
        <w:wordWrap/>
        <w:overflowPunct/>
        <w:topLinePunct w:val="0"/>
        <w:bidi w:val="0"/>
        <w:adjustRightInd/>
        <w:spacing w:line="460" w:lineRule="exact"/>
        <w:ind w:firstLine="480" w:firstLineChars="200"/>
        <w:textAlignment w:val="auto"/>
        <w:rPr>
          <w:rFonts w:hint="eastAsia" w:ascii="仿宋" w:hAnsi="仿宋" w:eastAsia="仿宋" w:cs="仿宋"/>
          <w:snapToGrid w:val="0"/>
          <w:color w:val="auto"/>
          <w:sz w:val="24"/>
          <w:szCs w:val="24"/>
        </w:rPr>
      </w:pPr>
      <w:r>
        <w:rPr>
          <w:rFonts w:hint="eastAsia" w:ascii="仿宋" w:hAnsi="仿宋" w:eastAsia="仿宋" w:cs="仿宋"/>
          <w:snapToGrid w:val="0"/>
          <w:color w:val="auto"/>
          <w:sz w:val="24"/>
          <w:szCs w:val="24"/>
          <w:lang w:val="en-US" w:eastAsia="zh-CN"/>
        </w:rPr>
        <w:t>7</w:t>
      </w:r>
      <w:r>
        <w:rPr>
          <w:rFonts w:hint="eastAsia" w:ascii="仿宋" w:hAnsi="仿宋" w:eastAsia="仿宋" w:cs="仿宋"/>
          <w:snapToGrid w:val="0"/>
          <w:color w:val="auto"/>
          <w:sz w:val="24"/>
          <w:szCs w:val="24"/>
        </w:rPr>
        <w:t>.4以邮政快递方式递交备份投标文件的，投标人应先将备份投标文件按要求密封和标记，再进行邮政快递包装后邮寄。</w:t>
      </w:r>
    </w:p>
    <w:p>
      <w:pPr>
        <w:pageBreakBefore w:val="0"/>
        <w:kinsoku/>
        <w:wordWrap/>
        <w:overflowPunct/>
        <w:topLinePunct w:val="0"/>
        <w:bidi w:val="0"/>
        <w:adjustRightInd/>
        <w:spacing w:line="460" w:lineRule="exact"/>
        <w:ind w:firstLine="480" w:firstLineChars="200"/>
        <w:textAlignment w:val="auto"/>
        <w:rPr>
          <w:rFonts w:hint="eastAsia" w:ascii="仿宋" w:hAnsi="仿宋" w:eastAsia="仿宋" w:cs="仿宋"/>
          <w:snapToGrid w:val="0"/>
          <w:color w:val="auto"/>
          <w:sz w:val="24"/>
          <w:szCs w:val="24"/>
        </w:rPr>
      </w:pPr>
      <w:r>
        <w:rPr>
          <w:rFonts w:hint="eastAsia" w:ascii="仿宋" w:hAnsi="仿宋" w:eastAsia="仿宋" w:cs="仿宋"/>
          <w:snapToGrid w:val="0"/>
          <w:color w:val="auto"/>
          <w:sz w:val="24"/>
          <w:szCs w:val="24"/>
          <w:lang w:val="en-US" w:eastAsia="zh-CN"/>
        </w:rPr>
        <w:t>7</w:t>
      </w:r>
      <w:r>
        <w:rPr>
          <w:rFonts w:hint="eastAsia" w:ascii="仿宋" w:hAnsi="仿宋" w:eastAsia="仿宋" w:cs="仿宋"/>
          <w:snapToGrid w:val="0"/>
          <w:color w:val="auto"/>
          <w:sz w:val="24"/>
          <w:szCs w:val="24"/>
        </w:rPr>
        <w:t>.</w:t>
      </w:r>
      <w:r>
        <w:rPr>
          <w:rFonts w:hint="eastAsia" w:ascii="仿宋" w:hAnsi="仿宋" w:eastAsia="仿宋" w:cs="仿宋"/>
          <w:snapToGrid w:val="0"/>
          <w:color w:val="auto"/>
          <w:sz w:val="24"/>
          <w:szCs w:val="24"/>
          <w:lang w:val="en-US" w:eastAsia="zh-CN"/>
        </w:rPr>
        <w:t>5</w:t>
      </w:r>
      <w:r>
        <w:rPr>
          <w:rFonts w:hint="eastAsia" w:ascii="仿宋" w:hAnsi="仿宋" w:eastAsia="仿宋" w:cs="仿宋"/>
          <w:snapToGrid w:val="0"/>
          <w:color w:val="auto"/>
          <w:sz w:val="24"/>
          <w:szCs w:val="24"/>
        </w:rPr>
        <w:t>备份投标文件须在投标截止时间之前送达</w:t>
      </w:r>
      <w:r>
        <w:rPr>
          <w:rFonts w:hint="eastAsia" w:ascii="仿宋" w:hAnsi="仿宋" w:eastAsia="仿宋" w:cs="仿宋"/>
          <w:color w:val="auto"/>
          <w:sz w:val="24"/>
          <w:szCs w:val="24"/>
        </w:rPr>
        <w:t>采购文件第二部分投标人须知前附表规定的备份投标文件送达地点；</w:t>
      </w:r>
      <w:r>
        <w:rPr>
          <w:rFonts w:hint="eastAsia" w:ascii="仿宋" w:hAnsi="仿宋" w:eastAsia="仿宋" w:cs="仿宋"/>
          <w:snapToGrid w:val="0"/>
          <w:color w:val="auto"/>
          <w:sz w:val="24"/>
          <w:szCs w:val="24"/>
        </w:rPr>
        <w:t>送达时间以签收人签收时间为准。采购机构将拒绝接受逾期送达的备份投标文件。邮寄过程中，电子备份投标文件发生泄露、遗失、损坏或延期送达等情况的，由投标人自行负责。</w:t>
      </w:r>
    </w:p>
    <w:p>
      <w:pPr>
        <w:pageBreakBefore w:val="0"/>
        <w:kinsoku/>
        <w:wordWrap/>
        <w:overflowPunct/>
        <w:topLinePunct w:val="0"/>
        <w:bidi w:val="0"/>
        <w:adjustRightInd/>
        <w:spacing w:line="460" w:lineRule="exact"/>
        <w:ind w:firstLine="482" w:firstLineChars="200"/>
        <w:textAlignment w:val="auto"/>
        <w:rPr>
          <w:rFonts w:hint="eastAsia" w:ascii="仿宋" w:hAnsi="仿宋" w:eastAsia="仿宋" w:cs="仿宋"/>
          <w:b/>
          <w:snapToGrid w:val="0"/>
          <w:color w:val="auto"/>
          <w:sz w:val="24"/>
          <w:szCs w:val="24"/>
        </w:rPr>
      </w:pPr>
      <w:r>
        <w:rPr>
          <w:rFonts w:hint="eastAsia" w:ascii="仿宋" w:hAnsi="仿宋" w:eastAsia="仿宋" w:cs="仿宋"/>
          <w:b/>
          <w:snapToGrid w:val="0"/>
          <w:color w:val="auto"/>
          <w:sz w:val="24"/>
          <w:szCs w:val="24"/>
          <w:lang w:val="en-US" w:eastAsia="zh-CN"/>
        </w:rPr>
        <w:t>7</w:t>
      </w:r>
      <w:r>
        <w:rPr>
          <w:rFonts w:hint="eastAsia" w:ascii="仿宋" w:hAnsi="仿宋" w:eastAsia="仿宋" w:cs="仿宋"/>
          <w:b/>
          <w:snapToGrid w:val="0"/>
          <w:color w:val="auto"/>
          <w:sz w:val="24"/>
          <w:szCs w:val="24"/>
        </w:rPr>
        <w:t>.</w:t>
      </w:r>
      <w:r>
        <w:rPr>
          <w:rFonts w:hint="eastAsia" w:ascii="仿宋" w:hAnsi="仿宋" w:eastAsia="仿宋" w:cs="仿宋"/>
          <w:b/>
          <w:snapToGrid w:val="0"/>
          <w:color w:val="auto"/>
          <w:sz w:val="24"/>
          <w:szCs w:val="24"/>
          <w:lang w:val="en-US" w:eastAsia="zh-CN"/>
        </w:rPr>
        <w:t>6</w:t>
      </w:r>
      <w:r>
        <w:rPr>
          <w:rFonts w:hint="eastAsia" w:ascii="仿宋" w:hAnsi="仿宋" w:eastAsia="仿宋" w:cs="仿宋"/>
          <w:b/>
          <w:snapToGrid w:val="0"/>
          <w:color w:val="auto"/>
          <w:sz w:val="24"/>
          <w:szCs w:val="24"/>
        </w:rPr>
        <w:t>投标人仅提交备份投标文件，没有在电子交易平台传输递交投标文件的，投标无效。</w:t>
      </w:r>
    </w:p>
    <w:p>
      <w:pPr>
        <w:pageBreakBefore w:val="0"/>
        <w:kinsoku/>
        <w:wordWrap/>
        <w:overflowPunct/>
        <w:topLinePunct w:val="0"/>
        <w:bidi w:val="0"/>
        <w:adjustRightInd/>
        <w:snapToGrid w:val="0"/>
        <w:spacing w:line="460" w:lineRule="exact"/>
        <w:ind w:firstLine="482" w:firstLineChars="200"/>
        <w:jc w:val="left"/>
        <w:textAlignment w:val="auto"/>
        <w:outlineLvl w:val="2"/>
        <w:rPr>
          <w:rFonts w:hint="eastAsia" w:ascii="仿宋" w:hAnsi="仿宋" w:eastAsia="仿宋" w:cs="仿宋"/>
          <w:b/>
          <w:color w:val="auto"/>
          <w:sz w:val="24"/>
          <w:szCs w:val="24"/>
        </w:rPr>
      </w:pPr>
      <w:r>
        <w:rPr>
          <w:rFonts w:hint="eastAsia" w:ascii="仿宋" w:hAnsi="仿宋" w:eastAsia="仿宋" w:cs="仿宋"/>
          <w:b/>
          <w:snapToGrid w:val="0"/>
          <w:color w:val="auto"/>
          <w:sz w:val="24"/>
          <w:szCs w:val="24"/>
          <w:lang w:val="en-US" w:eastAsia="zh-CN"/>
        </w:rPr>
        <w:t>8.</w:t>
      </w:r>
      <w:r>
        <w:rPr>
          <w:rFonts w:hint="eastAsia" w:ascii="仿宋" w:hAnsi="仿宋" w:eastAsia="仿宋" w:cs="仿宋"/>
          <w:b/>
          <w:color w:val="auto"/>
          <w:sz w:val="24"/>
          <w:szCs w:val="24"/>
        </w:rPr>
        <w:t>投标有效期</w:t>
      </w:r>
    </w:p>
    <w:p>
      <w:pPr>
        <w:pageBreakBefore w:val="0"/>
        <w:kinsoku/>
        <w:wordWrap/>
        <w:overflowPunct/>
        <w:topLinePunct w:val="0"/>
        <w:bidi w:val="0"/>
        <w:adjustRightInd/>
        <w:spacing w:line="460" w:lineRule="exact"/>
        <w:ind w:firstLine="480" w:firstLineChars="200"/>
        <w:textAlignment w:val="auto"/>
        <w:rPr>
          <w:rFonts w:hint="eastAsia" w:ascii="仿宋" w:hAnsi="仿宋" w:eastAsia="仿宋" w:cs="仿宋"/>
          <w:b w:val="0"/>
          <w:bCs w:val="0"/>
          <w:color w:val="auto"/>
          <w:sz w:val="24"/>
          <w:szCs w:val="24"/>
        </w:rPr>
      </w:pPr>
      <w:r>
        <w:rPr>
          <w:rFonts w:hint="eastAsia" w:ascii="仿宋" w:hAnsi="仿宋" w:eastAsia="仿宋" w:cs="仿宋"/>
          <w:color w:val="auto"/>
          <w:sz w:val="24"/>
          <w:szCs w:val="24"/>
          <w:lang w:val="en-US" w:eastAsia="zh-CN"/>
        </w:rPr>
        <w:t>8</w:t>
      </w:r>
      <w:r>
        <w:rPr>
          <w:rFonts w:hint="eastAsia" w:ascii="仿宋" w:hAnsi="仿宋" w:eastAsia="仿宋" w:cs="仿宋"/>
          <w:color w:val="auto"/>
          <w:sz w:val="24"/>
          <w:szCs w:val="24"/>
        </w:rPr>
        <w:t>.1投标有效期为从提交投标文件的截止之日起90天。</w:t>
      </w:r>
      <w:r>
        <w:rPr>
          <w:rFonts w:hint="eastAsia" w:ascii="仿宋" w:hAnsi="仿宋" w:eastAsia="仿宋" w:cs="仿宋"/>
          <w:b w:val="0"/>
          <w:bCs w:val="0"/>
          <w:color w:val="auto"/>
          <w:sz w:val="24"/>
          <w:szCs w:val="24"/>
        </w:rPr>
        <w:t>★投标人的投标文件中承诺的投标有效期少于采购文件中载明的投标有效期的，投标无效。</w:t>
      </w:r>
    </w:p>
    <w:p>
      <w:pPr>
        <w:pageBreakBefore w:val="0"/>
        <w:kinsoku/>
        <w:wordWrap/>
        <w:overflowPunct/>
        <w:topLinePunct w:val="0"/>
        <w:bidi w:val="0"/>
        <w:adjustRightIn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8</w:t>
      </w:r>
      <w:r>
        <w:rPr>
          <w:rFonts w:hint="eastAsia" w:ascii="仿宋" w:hAnsi="仿宋" w:eastAsia="仿宋" w:cs="仿宋"/>
          <w:color w:val="auto"/>
          <w:sz w:val="24"/>
          <w:szCs w:val="24"/>
        </w:rPr>
        <w:t>.2投标文件合格投递后，自投标截止日期起，在投标有效期内有效。</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lang w:val="en-US" w:eastAsia="zh-CN"/>
        </w:rPr>
        <w:t>8</w:t>
      </w:r>
      <w:r>
        <w:rPr>
          <w:rFonts w:hint="eastAsia" w:ascii="仿宋" w:hAnsi="仿宋" w:eastAsia="仿宋" w:cs="仿宋"/>
          <w:color w:val="auto"/>
          <w:kern w:val="0"/>
          <w:sz w:val="24"/>
          <w:szCs w:val="24"/>
        </w:rPr>
        <w:t>.3在原定投标有效期满之前，如果出现特殊情况，采购机构可以以书面形式通知投标人延长投标有效期。投标人同意延长的，不得要求或被允许修改其投标文件，投标人拒绝延长的，其投标无效。</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rPr>
        <w:t xml:space="preserve"> 8.4</w:t>
      </w:r>
      <w:r>
        <w:rPr>
          <w:rFonts w:hint="eastAsia" w:ascii="仿宋" w:hAnsi="仿宋" w:eastAsia="仿宋" w:cs="仿宋"/>
          <w:snapToGrid w:val="0"/>
          <w:color w:val="auto"/>
          <w:kern w:val="0"/>
          <w:sz w:val="24"/>
          <w:szCs w:val="24"/>
          <w:lang w:eastAsia="zh-CN"/>
        </w:rPr>
        <w:t>中标人</w:t>
      </w:r>
      <w:r>
        <w:rPr>
          <w:rFonts w:hint="eastAsia" w:ascii="仿宋" w:hAnsi="仿宋" w:eastAsia="仿宋" w:cs="仿宋"/>
          <w:snapToGrid w:val="0"/>
          <w:color w:val="auto"/>
          <w:kern w:val="0"/>
          <w:sz w:val="24"/>
          <w:szCs w:val="24"/>
        </w:rPr>
        <w:t>的投标文件自开标之日起至合同履行完毕止均应保持有效。</w:t>
      </w:r>
    </w:p>
    <w:p>
      <w:pPr>
        <w:pageBreakBefore w:val="0"/>
        <w:kinsoku/>
        <w:wordWrap/>
        <w:overflowPunct/>
        <w:topLinePunct w:val="0"/>
        <w:bidi w:val="0"/>
        <w:adjustRightInd/>
        <w:spacing w:line="460" w:lineRule="exact"/>
        <w:ind w:firstLine="420"/>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lang w:val="en-US" w:eastAsia="zh-CN"/>
        </w:rPr>
        <w:t>9</w:t>
      </w:r>
      <w:r>
        <w:rPr>
          <w:rFonts w:hint="eastAsia" w:ascii="仿宋" w:hAnsi="仿宋" w:eastAsia="仿宋" w:cs="仿宋"/>
          <w:b/>
          <w:bCs/>
          <w:color w:val="auto"/>
          <w:sz w:val="24"/>
          <w:szCs w:val="24"/>
        </w:rPr>
        <w:t>、投标报价</w:t>
      </w:r>
    </w:p>
    <w:p>
      <w:pPr>
        <w:pageBreakBefore w:val="0"/>
        <w:kinsoku/>
        <w:wordWrap/>
        <w:overflowPunct/>
        <w:topLinePunct w:val="0"/>
        <w:bidi w:val="0"/>
        <w:adjustRightInd/>
        <w:spacing w:line="460" w:lineRule="exact"/>
        <w:ind w:firstLine="420"/>
        <w:textAlignment w:val="auto"/>
        <w:rPr>
          <w:rFonts w:hint="eastAsia" w:ascii="仿宋" w:hAnsi="仿宋" w:eastAsia="仿宋" w:cs="仿宋"/>
          <w:b/>
          <w:color w:val="auto"/>
          <w:sz w:val="24"/>
          <w:szCs w:val="24"/>
          <w:u w:val="thick"/>
        </w:rPr>
      </w:pPr>
      <w:r>
        <w:rPr>
          <w:rFonts w:hint="eastAsia" w:ascii="仿宋" w:hAnsi="仿宋" w:eastAsia="仿宋" w:cs="仿宋"/>
          <w:color w:val="auto"/>
          <w:sz w:val="24"/>
          <w:szCs w:val="24"/>
          <w:lang w:val="en-US" w:eastAsia="zh-CN"/>
        </w:rPr>
        <w:t>9</w:t>
      </w:r>
      <w:r>
        <w:rPr>
          <w:rFonts w:hint="eastAsia" w:ascii="仿宋" w:hAnsi="仿宋" w:eastAsia="仿宋" w:cs="仿宋"/>
          <w:color w:val="auto"/>
          <w:sz w:val="24"/>
          <w:szCs w:val="24"/>
        </w:rPr>
        <w:t>.1 ★</w:t>
      </w:r>
      <w:r>
        <w:rPr>
          <w:rFonts w:hint="eastAsia" w:ascii="仿宋" w:hAnsi="仿宋" w:eastAsia="仿宋" w:cs="仿宋"/>
          <w:b/>
          <w:color w:val="auto"/>
          <w:sz w:val="24"/>
          <w:szCs w:val="24"/>
          <w:u w:val="thick"/>
        </w:rPr>
        <w:t>本次投标报价为</w:t>
      </w:r>
      <w:r>
        <w:rPr>
          <w:rFonts w:hint="eastAsia" w:ascii="仿宋" w:hAnsi="仿宋" w:eastAsia="仿宋" w:cs="仿宋"/>
          <w:b/>
          <w:color w:val="auto"/>
          <w:sz w:val="24"/>
          <w:szCs w:val="24"/>
          <w:u w:val="thick"/>
          <w:lang w:eastAsia="zh-CN"/>
        </w:rPr>
        <w:t>人民币报价，超过预算价或最高限价的作无效标处理</w:t>
      </w:r>
      <w:r>
        <w:rPr>
          <w:rFonts w:hint="eastAsia" w:ascii="仿宋" w:hAnsi="仿宋" w:eastAsia="仿宋" w:cs="仿宋"/>
          <w:b/>
          <w:bCs/>
          <w:color w:val="auto"/>
          <w:sz w:val="24"/>
          <w:szCs w:val="24"/>
          <w:u w:val="none"/>
        </w:rPr>
        <w:t>。</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9</w:t>
      </w:r>
      <w:r>
        <w:rPr>
          <w:rFonts w:hint="eastAsia" w:ascii="仿宋" w:hAnsi="仿宋" w:eastAsia="仿宋" w:cs="仿宋"/>
          <w:color w:val="auto"/>
          <w:sz w:val="24"/>
          <w:szCs w:val="24"/>
        </w:rPr>
        <w:t>.2费用须包含产品价、运杂费、保险费、利润、关税（若有）、税金等。投标人根据采购文件的要求，将产品供货、包装、安装、调试、检验、检测、通过验收直至交付使用单位，达到使用要求及质量标准、质保期服务所需的全部费用及招标代理服务费均包含在总价之中。投标人的报价应按采购文件要求的格式、顺序编制。</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bCs/>
          <w:color w:val="auto"/>
          <w:sz w:val="24"/>
          <w:szCs w:val="24"/>
          <w:lang w:val="en-US" w:eastAsia="zh-CN"/>
        </w:rPr>
        <w:t>9</w:t>
      </w:r>
      <w:r>
        <w:rPr>
          <w:rFonts w:hint="eastAsia" w:ascii="仿宋" w:hAnsi="仿宋" w:eastAsia="仿宋" w:cs="仿宋"/>
          <w:bCs/>
          <w:color w:val="auto"/>
          <w:sz w:val="24"/>
          <w:szCs w:val="24"/>
        </w:rPr>
        <w:t xml:space="preserve">.3 </w:t>
      </w:r>
      <w:r>
        <w:rPr>
          <w:rFonts w:hint="eastAsia" w:ascii="仿宋" w:hAnsi="仿宋" w:eastAsia="仿宋" w:cs="仿宋"/>
          <w:color w:val="auto"/>
          <w:sz w:val="24"/>
          <w:szCs w:val="24"/>
        </w:rPr>
        <w:t>投标报价应按不同费用类别分开填写，具体详见“投标文件格式”。</w:t>
      </w:r>
    </w:p>
    <w:p>
      <w:pPr>
        <w:pageBreakBefore w:val="0"/>
        <w:kinsoku/>
        <w:wordWrap/>
        <w:overflowPunct/>
        <w:topLinePunct w:val="0"/>
        <w:bidi w:val="0"/>
        <w:adjustRightInd/>
        <w:spacing w:line="460" w:lineRule="exact"/>
        <w:ind w:firstLine="420"/>
        <w:textAlignment w:val="auto"/>
        <w:rPr>
          <w:rFonts w:hint="eastAsia" w:ascii="仿宋" w:hAnsi="仿宋" w:eastAsia="仿宋" w:cs="仿宋"/>
          <w:b/>
          <w:color w:val="auto"/>
          <w:sz w:val="24"/>
          <w:szCs w:val="24"/>
          <w:u w:val="thick"/>
        </w:rPr>
      </w:pPr>
      <w:r>
        <w:rPr>
          <w:rFonts w:hint="eastAsia" w:ascii="仿宋" w:hAnsi="仿宋" w:eastAsia="仿宋" w:cs="仿宋"/>
          <w:color w:val="auto"/>
          <w:sz w:val="24"/>
          <w:szCs w:val="24"/>
          <w:lang w:val="en-US" w:eastAsia="zh-CN"/>
        </w:rPr>
        <w:t>9</w:t>
      </w:r>
      <w:r>
        <w:rPr>
          <w:rFonts w:hint="eastAsia" w:ascii="仿宋" w:hAnsi="仿宋" w:eastAsia="仿宋" w:cs="仿宋"/>
          <w:color w:val="auto"/>
          <w:sz w:val="24"/>
          <w:szCs w:val="24"/>
        </w:rPr>
        <w:t>.4 ★</w:t>
      </w:r>
      <w:r>
        <w:rPr>
          <w:rFonts w:hint="eastAsia" w:ascii="仿宋" w:hAnsi="仿宋" w:eastAsia="仿宋" w:cs="仿宋"/>
          <w:b/>
          <w:color w:val="auto"/>
          <w:sz w:val="24"/>
          <w:szCs w:val="24"/>
          <w:u w:val="thick"/>
        </w:rPr>
        <w:t>所投标项只允许有一个报价，不接受有选择报价的投标文件。</w:t>
      </w:r>
    </w:p>
    <w:p>
      <w:pPr>
        <w:pageBreakBefore w:val="0"/>
        <w:kinsoku/>
        <w:wordWrap/>
        <w:overflowPunct/>
        <w:topLinePunct w:val="0"/>
        <w:bidi w:val="0"/>
        <w:adjustRightInd/>
        <w:spacing w:line="460" w:lineRule="exact"/>
        <w:ind w:firstLine="420"/>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lang w:val="en-US" w:eastAsia="zh-CN"/>
        </w:rPr>
        <w:t>10</w:t>
      </w:r>
      <w:r>
        <w:rPr>
          <w:rFonts w:hint="eastAsia" w:ascii="仿宋" w:hAnsi="仿宋" w:eastAsia="仿宋" w:cs="仿宋"/>
          <w:b/>
          <w:bCs/>
          <w:color w:val="auto"/>
          <w:sz w:val="24"/>
          <w:szCs w:val="24"/>
        </w:rPr>
        <w:t>、投标文件的式样</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10</w:t>
      </w:r>
      <w:r>
        <w:rPr>
          <w:rFonts w:hint="eastAsia" w:ascii="仿宋" w:hAnsi="仿宋" w:eastAsia="仿宋" w:cs="仿宋"/>
          <w:color w:val="auto"/>
          <w:sz w:val="24"/>
          <w:szCs w:val="24"/>
        </w:rPr>
        <w:t>.1 投标人通过“</w:t>
      </w:r>
      <w:r>
        <w:rPr>
          <w:rFonts w:hint="eastAsia" w:ascii="仿宋" w:hAnsi="仿宋" w:eastAsia="仿宋" w:cs="仿宋"/>
          <w:color w:val="auto"/>
          <w:sz w:val="24"/>
          <w:szCs w:val="24"/>
          <w:lang w:eastAsia="zh-CN"/>
        </w:rPr>
        <w:t>乐采云</w:t>
      </w:r>
      <w:r>
        <w:rPr>
          <w:rFonts w:hint="eastAsia" w:ascii="仿宋" w:hAnsi="仿宋" w:eastAsia="仿宋" w:cs="仿宋"/>
          <w:color w:val="auto"/>
          <w:sz w:val="24"/>
          <w:szCs w:val="24"/>
        </w:rPr>
        <w:t>”平台制作电子投标文件，投标文件制作详见“供应商-采购项目电子交易操作指南”。</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10</w:t>
      </w:r>
      <w:r>
        <w:rPr>
          <w:rFonts w:hint="eastAsia" w:ascii="仿宋" w:hAnsi="仿宋" w:eastAsia="仿宋" w:cs="仿宋"/>
          <w:color w:val="auto"/>
          <w:sz w:val="24"/>
          <w:szCs w:val="24"/>
        </w:rPr>
        <w:t>.2 投标文件是电子投标文件，包括“电子加密投标文件”和“备份投标文件”，在投标文件编制完成后同时生成。</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10.2.1</w:t>
      </w:r>
      <w:r>
        <w:rPr>
          <w:rFonts w:hint="eastAsia" w:ascii="仿宋" w:hAnsi="仿宋" w:eastAsia="仿宋" w:cs="仿宋"/>
          <w:color w:val="auto"/>
          <w:sz w:val="24"/>
          <w:szCs w:val="24"/>
        </w:rPr>
        <w:t>“电子加密投标文件”是指通过“</w:t>
      </w:r>
      <w:r>
        <w:rPr>
          <w:rFonts w:hint="eastAsia" w:ascii="仿宋" w:hAnsi="仿宋" w:eastAsia="仿宋" w:cs="仿宋"/>
          <w:color w:val="auto"/>
          <w:sz w:val="24"/>
          <w:szCs w:val="24"/>
          <w:lang w:eastAsia="zh-CN"/>
        </w:rPr>
        <w:t>乐采云</w:t>
      </w:r>
      <w:r>
        <w:rPr>
          <w:rFonts w:hint="eastAsia" w:ascii="仿宋" w:hAnsi="仿宋" w:eastAsia="仿宋" w:cs="仿宋"/>
          <w:color w:val="auto"/>
          <w:sz w:val="24"/>
          <w:szCs w:val="24"/>
        </w:rPr>
        <w:t>电子交易客户端”完成投标文件编制后生成并加密的数据电文形式的投标文件。</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10.2.2</w:t>
      </w:r>
      <w:r>
        <w:rPr>
          <w:rFonts w:hint="eastAsia" w:ascii="仿宋" w:hAnsi="仿宋" w:eastAsia="仿宋" w:cs="仿宋"/>
          <w:color w:val="auto"/>
          <w:sz w:val="24"/>
          <w:szCs w:val="24"/>
        </w:rPr>
        <w:t>“备份投标文件”是指与“电子加密投标文件”同时生成的数据电文形式的电子文件（备份标书，用于供应商标书解密异常时应急使用），其他方式编制的备份投标文件视为无效备份投标文件。</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10.2.3</w:t>
      </w:r>
      <w:r>
        <w:rPr>
          <w:rFonts w:hint="eastAsia" w:ascii="仿宋" w:hAnsi="仿宋" w:eastAsia="仿宋" w:cs="仿宋"/>
          <w:color w:val="auto"/>
          <w:sz w:val="24"/>
          <w:szCs w:val="24"/>
        </w:rPr>
        <w:t>一份电子加密标书（后缀格式为.jmbs），一份备份标书文件（后缀格式为.bfbs）</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10.2.4</w:t>
      </w:r>
      <w:r>
        <w:rPr>
          <w:rFonts w:hint="eastAsia" w:ascii="仿宋" w:hAnsi="仿宋" w:eastAsia="仿宋" w:cs="仿宋"/>
          <w:color w:val="auto"/>
          <w:sz w:val="24"/>
          <w:szCs w:val="24"/>
        </w:rPr>
        <w:t>每份电子投标文件应包括资格证明文件、资信技术文件、报价文件三部分内容。</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10</w:t>
      </w:r>
      <w:r>
        <w:rPr>
          <w:rFonts w:hint="eastAsia" w:ascii="仿宋" w:hAnsi="仿宋" w:eastAsia="仿宋" w:cs="仿宋"/>
          <w:color w:val="auto"/>
          <w:sz w:val="24"/>
          <w:szCs w:val="24"/>
        </w:rPr>
        <w:t>.3 投标文件中投标函、</w:t>
      </w:r>
      <w:r>
        <w:rPr>
          <w:rFonts w:hint="eastAsia" w:ascii="仿宋" w:hAnsi="仿宋" w:eastAsia="仿宋" w:cs="仿宋"/>
          <w:color w:val="auto"/>
          <w:sz w:val="24"/>
          <w:szCs w:val="24"/>
          <w:lang w:val="zh-CN"/>
        </w:rPr>
        <w:t>法定代表人授权委托书</w:t>
      </w:r>
      <w:r>
        <w:rPr>
          <w:rFonts w:hint="eastAsia" w:ascii="仿宋" w:hAnsi="仿宋" w:eastAsia="仿宋" w:cs="仿宋"/>
          <w:color w:val="auto"/>
          <w:sz w:val="24"/>
          <w:szCs w:val="24"/>
        </w:rPr>
        <w:t>的格式、签字、盖章及内容均应符合采购文件格式要求，否则投标文件无效。</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10</w:t>
      </w:r>
      <w:r>
        <w:rPr>
          <w:rFonts w:hint="eastAsia" w:ascii="仿宋" w:hAnsi="仿宋" w:eastAsia="仿宋" w:cs="仿宋"/>
          <w:color w:val="auto"/>
          <w:sz w:val="24"/>
          <w:szCs w:val="24"/>
        </w:rPr>
        <w:t>.4投标人应根据“</w:t>
      </w:r>
      <w:r>
        <w:rPr>
          <w:rFonts w:hint="eastAsia" w:ascii="仿宋" w:hAnsi="仿宋" w:eastAsia="仿宋" w:cs="仿宋"/>
          <w:color w:val="auto"/>
          <w:sz w:val="24"/>
          <w:szCs w:val="24"/>
          <w:lang w:eastAsia="zh-CN"/>
        </w:rPr>
        <w:t>乐采云</w:t>
      </w:r>
      <w:r>
        <w:rPr>
          <w:rFonts w:hint="eastAsia" w:ascii="仿宋" w:hAnsi="仿宋" w:eastAsia="仿宋" w:cs="仿宋"/>
          <w:color w:val="auto"/>
          <w:sz w:val="24"/>
          <w:szCs w:val="24"/>
        </w:rPr>
        <w:t>供应商项目采购-电子招投标操作指南”及本采购文件规定编制电子投标文件并进行关联定位，以便评标委员会在评标时，点击评分项，可直接定位到该评分项内容。</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如对采购文件的某项要求，投标人的投标响应文件未能提供相应的内容与其对应，则评标委员会在评审时会提示投标人未对此项招标要求提供相应内容。由此产生的评分影响由投标人自行承担。</w:t>
      </w:r>
    </w:p>
    <w:bookmarkEnd w:id="73"/>
    <w:bookmarkEnd w:id="74"/>
    <w:p>
      <w:pPr>
        <w:pStyle w:val="5"/>
        <w:pageBreakBefore w:val="0"/>
        <w:kinsoku/>
        <w:wordWrap/>
        <w:overflowPunct/>
        <w:topLinePunct w:val="0"/>
        <w:bidi w:val="0"/>
        <w:adjustRightInd/>
        <w:spacing w:line="460" w:lineRule="exact"/>
        <w:ind w:firstLine="420"/>
        <w:jc w:val="center"/>
        <w:textAlignment w:val="auto"/>
        <w:rPr>
          <w:rFonts w:hint="eastAsia" w:ascii="仿宋" w:hAnsi="仿宋" w:eastAsia="仿宋" w:cs="仿宋"/>
          <w:color w:val="auto"/>
          <w:sz w:val="32"/>
          <w:szCs w:val="32"/>
        </w:rPr>
      </w:pPr>
      <w:bookmarkStart w:id="75" w:name="_Toc54978894"/>
      <w:bookmarkStart w:id="76" w:name="_Toc450482500"/>
      <w:bookmarkStart w:id="77" w:name="_Toc82873326"/>
      <w:bookmarkStart w:id="78" w:name="_Toc35261575"/>
      <w:bookmarkStart w:id="79" w:name="_Toc82338243"/>
      <w:r>
        <w:rPr>
          <w:rFonts w:hint="eastAsia" w:ascii="仿宋" w:hAnsi="仿宋" w:eastAsia="仿宋" w:cs="仿宋"/>
          <w:color w:val="auto"/>
          <w:sz w:val="32"/>
          <w:szCs w:val="32"/>
          <w:lang w:eastAsia="zh-CN"/>
        </w:rPr>
        <w:t>五</w:t>
      </w:r>
      <w:r>
        <w:rPr>
          <w:rFonts w:hint="eastAsia" w:ascii="仿宋" w:hAnsi="仿宋" w:eastAsia="仿宋" w:cs="仿宋"/>
          <w:color w:val="auto"/>
          <w:sz w:val="32"/>
          <w:szCs w:val="32"/>
        </w:rPr>
        <w:t>、开标、</w:t>
      </w:r>
      <w:r>
        <w:rPr>
          <w:rFonts w:hint="eastAsia" w:ascii="仿宋" w:hAnsi="仿宋" w:eastAsia="仿宋" w:cs="仿宋"/>
          <w:color w:val="auto"/>
          <w:sz w:val="32"/>
          <w:szCs w:val="32"/>
          <w:lang w:eastAsia="zh-CN"/>
        </w:rPr>
        <w:t>资格审查与信用信息查询</w:t>
      </w:r>
      <w:bookmarkEnd w:id="75"/>
      <w:bookmarkEnd w:id="76"/>
      <w:bookmarkEnd w:id="77"/>
      <w:bookmarkEnd w:id="78"/>
      <w:bookmarkEnd w:id="79"/>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.1．开标</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kern w:val="0"/>
          <w:sz w:val="24"/>
          <w:szCs w:val="24"/>
        </w:rPr>
      </w:pP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 xml:space="preserve">.1.1 </w:t>
      </w:r>
      <w:r>
        <w:rPr>
          <w:rFonts w:hint="eastAsia" w:ascii="仿宋" w:hAnsi="仿宋" w:eastAsia="仿宋" w:cs="仿宋"/>
          <w:color w:val="auto"/>
          <w:kern w:val="0"/>
          <w:sz w:val="24"/>
          <w:szCs w:val="24"/>
        </w:rPr>
        <w:t>采购机构按照采购文件规定的时间通过电子交易平台组织开标，所有投标人均应当准时在线参加。投标人不足3家的，不得开标。</w:t>
      </w:r>
    </w:p>
    <w:p>
      <w:pPr>
        <w:pageBreakBefore w:val="0"/>
        <w:kinsoku/>
        <w:wordWrap/>
        <w:overflowPunct/>
        <w:topLinePunct w:val="0"/>
        <w:autoSpaceDE w:val="0"/>
        <w:autoSpaceDN w:val="0"/>
        <w:bidi w:val="0"/>
        <w:adjustRightInd/>
        <w:spacing w:line="460" w:lineRule="exact"/>
        <w:ind w:firstLine="480" w:firstLineChars="200"/>
        <w:contextualSpacing/>
        <w:textAlignment w:val="auto"/>
        <w:rPr>
          <w:rFonts w:hint="eastAsia" w:ascii="仿宋" w:hAnsi="仿宋" w:eastAsia="仿宋" w:cs="仿宋"/>
          <w:color w:val="auto"/>
          <w:kern w:val="0"/>
          <w:sz w:val="24"/>
          <w:szCs w:val="24"/>
        </w:rPr>
      </w:pP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.1.2</w:t>
      </w:r>
      <w:r>
        <w:rPr>
          <w:rFonts w:hint="eastAsia" w:ascii="仿宋" w:hAnsi="仿宋" w:eastAsia="仿宋" w:cs="仿宋"/>
          <w:color w:val="auto"/>
          <w:kern w:val="0"/>
          <w:sz w:val="24"/>
          <w:szCs w:val="24"/>
        </w:rPr>
        <w:t>开标时，电子交易平台按开标时间自动提取所有投标文件。采购机构依托电子交易平台发起开始解密指令，投标人按照平台提示和采购文件的规定在半小时内完成在线解密。</w:t>
      </w:r>
    </w:p>
    <w:p>
      <w:pPr>
        <w:pageBreakBefore w:val="0"/>
        <w:kinsoku/>
        <w:wordWrap/>
        <w:overflowPunct/>
        <w:topLinePunct w:val="0"/>
        <w:autoSpaceDE w:val="0"/>
        <w:autoSpaceDN w:val="0"/>
        <w:bidi w:val="0"/>
        <w:adjustRightInd/>
        <w:spacing w:line="460" w:lineRule="exact"/>
        <w:ind w:firstLine="482" w:firstLineChars="200"/>
        <w:contextualSpacing/>
        <w:textAlignment w:val="auto"/>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lang w:val="en-US" w:eastAsia="zh-CN"/>
        </w:rPr>
        <w:t>5.1.3</w:t>
      </w:r>
      <w:r>
        <w:rPr>
          <w:rFonts w:hint="eastAsia" w:ascii="仿宋" w:hAnsi="仿宋" w:eastAsia="仿宋" w:cs="仿宋"/>
          <w:b/>
          <w:bCs/>
          <w:color w:val="auto"/>
          <w:kern w:val="0"/>
          <w:sz w:val="24"/>
          <w:szCs w:val="24"/>
        </w:rPr>
        <w:t>投标文件未按时解密，投标人提供了备份投标文件的，以备份投标文件作为依据，否则视为投标文件撤回。投标文件已按时解密的，备份投标文件自动失效。</w:t>
      </w:r>
    </w:p>
    <w:p>
      <w:pPr>
        <w:pageBreakBefore w:val="0"/>
        <w:kinsoku/>
        <w:wordWrap/>
        <w:overflowPunct/>
        <w:topLinePunct w:val="0"/>
        <w:bidi w:val="0"/>
        <w:adjustRightInd/>
        <w:snapToGrid w:val="0"/>
        <w:spacing w:line="460" w:lineRule="exact"/>
        <w:ind w:firstLine="480" w:firstLineChars="200"/>
        <w:jc w:val="left"/>
        <w:textAlignment w:val="auto"/>
        <w:outlineLvl w:val="2"/>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5.1.4</w:t>
      </w:r>
      <w:r>
        <w:rPr>
          <w:rFonts w:hint="eastAsia" w:ascii="仿宋" w:hAnsi="仿宋" w:eastAsia="仿宋" w:cs="仿宋"/>
          <w:color w:val="auto"/>
          <w:sz w:val="24"/>
          <w:szCs w:val="24"/>
        </w:rPr>
        <w:t>开评标期间，投标人代表应在线操作，并关注</w:t>
      </w:r>
      <w:r>
        <w:rPr>
          <w:rFonts w:hint="eastAsia" w:ascii="仿宋" w:hAnsi="仿宋" w:eastAsia="仿宋" w:cs="仿宋"/>
          <w:color w:val="auto"/>
          <w:sz w:val="24"/>
          <w:szCs w:val="24"/>
          <w:lang w:eastAsia="zh-CN"/>
        </w:rPr>
        <w:t>乐采云</w:t>
      </w:r>
      <w:r>
        <w:rPr>
          <w:rFonts w:hint="eastAsia" w:ascii="仿宋" w:hAnsi="仿宋" w:eastAsia="仿宋" w:cs="仿宋"/>
          <w:color w:val="auto"/>
          <w:sz w:val="24"/>
          <w:szCs w:val="24"/>
        </w:rPr>
        <w:t>有关信息公布、澄清等情况。投标人代表不参加开标程序的，事后不得对采购相关人员、开标过程和开标结果提出异议。</w:t>
      </w:r>
    </w:p>
    <w:p>
      <w:pPr>
        <w:pageBreakBefore w:val="0"/>
        <w:kinsoku/>
        <w:wordWrap/>
        <w:overflowPunct/>
        <w:topLinePunct w:val="0"/>
        <w:bidi w:val="0"/>
        <w:adjustRightInd/>
        <w:snapToGrid w:val="0"/>
        <w:spacing w:line="460" w:lineRule="exact"/>
        <w:ind w:firstLine="241" w:firstLineChars="100"/>
        <w:jc w:val="left"/>
        <w:textAlignment w:val="auto"/>
        <w:outlineLvl w:val="2"/>
        <w:rPr>
          <w:rFonts w:hint="eastAsia" w:ascii="仿宋" w:hAnsi="仿宋" w:eastAsia="仿宋" w:cs="仿宋"/>
          <w:b/>
          <w:bCs/>
          <w:color w:val="auto"/>
          <w:sz w:val="24"/>
          <w:szCs w:val="24"/>
        </w:rPr>
      </w:pPr>
      <w:r>
        <w:rPr>
          <w:rFonts w:hint="eastAsia" w:ascii="仿宋" w:hAnsi="仿宋" w:eastAsia="仿宋" w:cs="仿宋"/>
          <w:b/>
          <w:bCs/>
          <w:color w:val="auto"/>
          <w:sz w:val="24"/>
          <w:szCs w:val="24"/>
          <w:lang w:val="en-US" w:eastAsia="zh-CN"/>
        </w:rPr>
        <w:t>5.2</w:t>
      </w:r>
      <w:r>
        <w:rPr>
          <w:rFonts w:hint="eastAsia" w:ascii="仿宋" w:hAnsi="仿宋" w:eastAsia="仿宋" w:cs="仿宋"/>
          <w:b/>
          <w:bCs/>
          <w:color w:val="auto"/>
          <w:sz w:val="24"/>
          <w:szCs w:val="24"/>
        </w:rPr>
        <w:t>资格审查</w:t>
      </w:r>
    </w:p>
    <w:p>
      <w:pPr>
        <w:pageBreakBefore w:val="0"/>
        <w:kinsoku/>
        <w:wordWrap/>
        <w:overflowPunct/>
        <w:topLinePunct w:val="0"/>
        <w:bidi w:val="0"/>
        <w:adjustRightInd/>
        <w:spacing w:line="460" w:lineRule="exact"/>
        <w:ind w:firstLine="480" w:firstLineChars="200"/>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lang w:val="en-US" w:eastAsia="zh-CN"/>
        </w:rPr>
        <w:t>5.2</w:t>
      </w:r>
      <w:r>
        <w:rPr>
          <w:rFonts w:hint="eastAsia" w:ascii="仿宋" w:hAnsi="仿宋" w:eastAsia="仿宋" w:cs="仿宋"/>
          <w:color w:val="auto"/>
          <w:kern w:val="0"/>
          <w:sz w:val="24"/>
          <w:szCs w:val="24"/>
        </w:rPr>
        <w:t>.1开标后，采购人或采购机构将依法对投标人的资格进行审查。</w:t>
      </w:r>
    </w:p>
    <w:p>
      <w:pPr>
        <w:pageBreakBefore w:val="0"/>
        <w:kinsoku/>
        <w:wordWrap/>
        <w:overflowPunct/>
        <w:topLinePunct w:val="0"/>
        <w:bidi w:val="0"/>
        <w:adjustRightInd/>
        <w:snapToGrid w:val="0"/>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rPr>
        <w:t>5</w:t>
      </w:r>
      <w:r>
        <w:rPr>
          <w:rFonts w:hint="eastAsia" w:ascii="仿宋" w:hAnsi="仿宋" w:eastAsia="仿宋" w:cs="仿宋"/>
          <w:color w:val="auto"/>
          <w:kern w:val="0"/>
          <w:sz w:val="24"/>
          <w:szCs w:val="24"/>
        </w:rPr>
        <w:t>.2</w:t>
      </w:r>
      <w:r>
        <w:rPr>
          <w:rFonts w:hint="eastAsia" w:ascii="仿宋" w:hAnsi="仿宋" w:eastAsia="仿宋" w:cs="仿宋"/>
          <w:color w:val="auto"/>
          <w:kern w:val="0"/>
          <w:sz w:val="24"/>
          <w:szCs w:val="24"/>
          <w:lang w:val="en-US" w:eastAsia="zh-CN"/>
        </w:rPr>
        <w:t>.2</w:t>
      </w:r>
      <w:r>
        <w:rPr>
          <w:rFonts w:hint="eastAsia" w:ascii="仿宋" w:hAnsi="仿宋" w:eastAsia="仿宋" w:cs="仿宋"/>
          <w:color w:val="auto"/>
          <w:sz w:val="24"/>
          <w:szCs w:val="24"/>
        </w:rPr>
        <w:t>采购人或采购机构依据法律法规和采购文件的规定，对投标人的资格进行审查。</w:t>
      </w:r>
    </w:p>
    <w:p>
      <w:pPr>
        <w:pStyle w:val="289"/>
        <w:pageBreakBefore w:val="0"/>
        <w:kinsoku/>
        <w:wordWrap/>
        <w:overflowPunct/>
        <w:topLinePunct w:val="0"/>
        <w:bidi w:val="0"/>
        <w:adjustRightInd/>
        <w:spacing w:before="0" w:line="460" w:lineRule="exact"/>
        <w:ind w:firstLine="480"/>
        <w:textAlignment w:val="auto"/>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rPr>
        <w:t>5.2</w:t>
      </w:r>
      <w:r>
        <w:rPr>
          <w:rFonts w:hint="eastAsia" w:ascii="仿宋" w:hAnsi="仿宋" w:eastAsia="仿宋" w:cs="仿宋"/>
          <w:color w:val="auto"/>
          <w:kern w:val="0"/>
          <w:sz w:val="24"/>
          <w:szCs w:val="24"/>
        </w:rPr>
        <w:t>.3投标人未按照采购文件要求提供与</w:t>
      </w:r>
      <w:r>
        <w:rPr>
          <w:rFonts w:hint="eastAsia" w:ascii="仿宋" w:hAnsi="仿宋" w:eastAsia="仿宋" w:cs="仿宋"/>
          <w:color w:val="auto"/>
          <w:sz w:val="24"/>
          <w:szCs w:val="24"/>
        </w:rPr>
        <w:t>资格条件相应的</w:t>
      </w:r>
      <w:r>
        <w:rPr>
          <w:rFonts w:hint="eastAsia" w:ascii="仿宋" w:hAnsi="仿宋" w:eastAsia="仿宋" w:cs="仿宋"/>
          <w:color w:val="auto"/>
          <w:kern w:val="0"/>
          <w:sz w:val="24"/>
          <w:szCs w:val="24"/>
        </w:rPr>
        <w:t>有效资格证明材料的，视为</w:t>
      </w:r>
      <w:r>
        <w:rPr>
          <w:rFonts w:hint="eastAsia" w:ascii="仿宋" w:hAnsi="仿宋" w:eastAsia="仿宋" w:cs="仿宋"/>
          <w:color w:val="auto"/>
          <w:sz w:val="24"/>
          <w:szCs w:val="24"/>
        </w:rPr>
        <w:t>投标人不具备采购文件中规定的资格要求，其投标无效。</w:t>
      </w:r>
    </w:p>
    <w:p>
      <w:pPr>
        <w:pageBreakBefore w:val="0"/>
        <w:kinsoku/>
        <w:wordWrap/>
        <w:overflowPunct/>
        <w:topLinePunct w:val="0"/>
        <w:bidi w:val="0"/>
        <w:adjustRightIn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rPr>
        <w:t>5.2</w:t>
      </w:r>
      <w:r>
        <w:rPr>
          <w:rFonts w:hint="eastAsia" w:ascii="仿宋" w:hAnsi="仿宋" w:eastAsia="仿宋" w:cs="仿宋"/>
          <w:color w:val="auto"/>
          <w:kern w:val="0"/>
          <w:sz w:val="24"/>
          <w:szCs w:val="24"/>
        </w:rPr>
        <w:t>.</w:t>
      </w:r>
      <w:r>
        <w:rPr>
          <w:rFonts w:hint="eastAsia" w:ascii="仿宋" w:hAnsi="仿宋" w:eastAsia="仿宋" w:cs="仿宋"/>
          <w:color w:val="auto"/>
          <w:sz w:val="24"/>
          <w:szCs w:val="24"/>
        </w:rPr>
        <w:t>4对未通过资格审查的投标人，采购人或采购机构告知其未通过的原因。</w:t>
      </w:r>
    </w:p>
    <w:p>
      <w:pPr>
        <w:pageBreakBefore w:val="0"/>
        <w:kinsoku/>
        <w:wordWrap/>
        <w:overflowPunct/>
        <w:topLinePunct w:val="0"/>
        <w:bidi w:val="0"/>
        <w:adjustRightIn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rPr>
        <w:t>5.2.</w:t>
      </w:r>
      <w:r>
        <w:rPr>
          <w:rFonts w:hint="eastAsia" w:ascii="仿宋" w:hAnsi="仿宋" w:eastAsia="仿宋" w:cs="仿宋"/>
          <w:color w:val="auto"/>
          <w:kern w:val="0"/>
          <w:sz w:val="24"/>
          <w:szCs w:val="24"/>
        </w:rPr>
        <w:t>.</w:t>
      </w:r>
      <w:r>
        <w:rPr>
          <w:rFonts w:hint="eastAsia" w:ascii="仿宋" w:hAnsi="仿宋" w:eastAsia="仿宋" w:cs="仿宋"/>
          <w:color w:val="auto"/>
          <w:sz w:val="24"/>
          <w:szCs w:val="24"/>
        </w:rPr>
        <w:t>5合格投标人不足3家的，不再评标。</w:t>
      </w:r>
    </w:p>
    <w:p>
      <w:pPr>
        <w:pStyle w:val="289"/>
        <w:pageBreakBefore w:val="0"/>
        <w:kinsoku/>
        <w:wordWrap/>
        <w:overflowPunct/>
        <w:topLinePunct w:val="0"/>
        <w:bidi w:val="0"/>
        <w:adjustRightInd/>
        <w:spacing w:before="0" w:line="460" w:lineRule="exact"/>
        <w:ind w:firstLine="480"/>
        <w:textAlignment w:val="auto"/>
        <w:rPr>
          <w:rFonts w:hint="eastAsia" w:ascii="仿宋" w:hAnsi="仿宋" w:eastAsia="仿宋" w:cs="仿宋"/>
          <w:b/>
          <w:bCs/>
          <w:color w:val="auto"/>
          <w:kern w:val="0"/>
          <w:sz w:val="24"/>
          <w:szCs w:val="24"/>
        </w:rPr>
      </w:pPr>
      <w:r>
        <w:rPr>
          <w:rFonts w:hint="eastAsia" w:ascii="仿宋" w:hAnsi="仿宋" w:eastAsia="仿宋" w:cs="仿宋"/>
          <w:b/>
          <w:bCs/>
          <w:color w:val="auto"/>
          <w:sz w:val="24"/>
          <w:szCs w:val="24"/>
          <w:lang w:val="en-US" w:eastAsia="zh-CN"/>
        </w:rPr>
        <w:t>5.3</w:t>
      </w:r>
      <w:r>
        <w:rPr>
          <w:rFonts w:hint="eastAsia" w:ascii="仿宋" w:hAnsi="仿宋" w:eastAsia="仿宋" w:cs="仿宋"/>
          <w:b/>
          <w:bCs/>
          <w:color w:val="auto"/>
          <w:kern w:val="0"/>
          <w:sz w:val="24"/>
          <w:szCs w:val="24"/>
        </w:rPr>
        <w:t>信用信息查询</w:t>
      </w:r>
    </w:p>
    <w:p>
      <w:pPr>
        <w:pStyle w:val="289"/>
        <w:pageBreakBefore w:val="0"/>
        <w:kinsoku/>
        <w:wordWrap/>
        <w:overflowPunct/>
        <w:topLinePunct w:val="0"/>
        <w:bidi w:val="0"/>
        <w:adjustRightInd/>
        <w:spacing w:before="0" w:line="460" w:lineRule="exact"/>
        <w:ind w:firstLine="480"/>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lang w:val="en-US" w:eastAsia="zh-CN"/>
        </w:rPr>
        <w:t>5.3.1</w:t>
      </w:r>
      <w:r>
        <w:rPr>
          <w:rFonts w:hint="eastAsia" w:ascii="仿宋" w:hAnsi="仿宋" w:eastAsia="仿宋" w:cs="仿宋"/>
          <w:color w:val="auto"/>
          <w:kern w:val="0"/>
          <w:sz w:val="24"/>
          <w:szCs w:val="24"/>
          <w:lang w:eastAsia="zh-CN"/>
        </w:rPr>
        <w:t>信用信息查询</w:t>
      </w:r>
      <w:r>
        <w:rPr>
          <w:rFonts w:hint="eastAsia" w:ascii="仿宋" w:hAnsi="仿宋" w:eastAsia="仿宋" w:cs="仿宋"/>
          <w:color w:val="auto"/>
          <w:kern w:val="0"/>
          <w:sz w:val="24"/>
          <w:szCs w:val="24"/>
        </w:rPr>
        <w:t>渠道及截止时间：采购机构将在资格审查时通过“信用中国”网站(www.creditchina.gov.cn)、中国政府采购网(www.ccgp.gov.cn)渠道查询投标人接受资格时的信用记录。</w:t>
      </w:r>
    </w:p>
    <w:p>
      <w:pPr>
        <w:pStyle w:val="289"/>
        <w:pageBreakBefore w:val="0"/>
        <w:kinsoku/>
        <w:wordWrap/>
        <w:overflowPunct/>
        <w:topLinePunct w:val="0"/>
        <w:bidi w:val="0"/>
        <w:adjustRightInd/>
        <w:spacing w:before="0" w:line="460" w:lineRule="exact"/>
        <w:ind w:firstLine="480"/>
        <w:textAlignment w:val="auto"/>
        <w:rPr>
          <w:rFonts w:hint="eastAsia" w:ascii="仿宋" w:hAnsi="仿宋" w:eastAsia="仿宋" w:cs="仿宋"/>
          <w:color w:val="auto"/>
          <w:kern w:val="0"/>
          <w:sz w:val="24"/>
          <w:szCs w:val="24"/>
        </w:rPr>
      </w:pPr>
      <w:bookmarkStart w:id="80" w:name="_Hlk125840869"/>
      <w:r>
        <w:rPr>
          <w:rFonts w:hint="eastAsia" w:ascii="仿宋" w:hAnsi="仿宋" w:eastAsia="仿宋" w:cs="仿宋"/>
          <w:color w:val="auto"/>
          <w:kern w:val="0"/>
          <w:sz w:val="24"/>
          <w:szCs w:val="24"/>
          <w:lang w:val="en-US" w:eastAsia="zh-CN"/>
        </w:rPr>
        <w:t>5.3.2</w:t>
      </w:r>
      <w:r>
        <w:rPr>
          <w:rFonts w:hint="eastAsia" w:ascii="仿宋" w:hAnsi="仿宋" w:eastAsia="仿宋" w:cs="仿宋"/>
          <w:color w:val="auto"/>
          <w:kern w:val="0"/>
          <w:sz w:val="24"/>
          <w:szCs w:val="24"/>
        </w:rPr>
        <w:t>信用信息查询记录和证据留存的具体方式：现场查询的投标人的信用记录、查询结果经确认后将与采购文件一起存档。</w:t>
      </w:r>
    </w:p>
    <w:p>
      <w:pPr>
        <w:pStyle w:val="289"/>
        <w:pageBreakBefore w:val="0"/>
        <w:kinsoku/>
        <w:wordWrap/>
        <w:overflowPunct/>
        <w:topLinePunct w:val="0"/>
        <w:bidi w:val="0"/>
        <w:adjustRightInd/>
        <w:spacing w:before="0" w:line="460" w:lineRule="exact"/>
        <w:ind w:firstLine="480"/>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lang w:val="en-US" w:eastAsia="zh-CN"/>
        </w:rPr>
        <w:t>5.3.3</w:t>
      </w:r>
      <w:r>
        <w:rPr>
          <w:rFonts w:hint="eastAsia" w:ascii="仿宋" w:hAnsi="仿宋" w:eastAsia="仿宋" w:cs="仿宋"/>
          <w:color w:val="auto"/>
          <w:kern w:val="0"/>
          <w:sz w:val="24"/>
          <w:szCs w:val="24"/>
        </w:rPr>
        <w:t>信用信息的使用规则：经查询列入失信被执行人名单、重大税收违法案件当事人名单、政府采购严重违法失信行为记录名单的投标人将被拒绝参与采购活动。</w:t>
      </w:r>
    </w:p>
    <w:p>
      <w:pPr>
        <w:pStyle w:val="289"/>
        <w:pageBreakBefore w:val="0"/>
        <w:kinsoku/>
        <w:wordWrap/>
        <w:overflowPunct/>
        <w:topLinePunct w:val="0"/>
        <w:bidi w:val="0"/>
        <w:adjustRightInd/>
        <w:spacing w:before="0" w:line="460" w:lineRule="exact"/>
        <w:ind w:firstLine="480"/>
        <w:textAlignment w:val="auto"/>
        <w:rPr>
          <w:rFonts w:hint="eastAsia" w:ascii="仿宋" w:hAnsi="仿宋" w:eastAsia="仿宋" w:cs="仿宋"/>
          <w:color w:val="auto"/>
          <w:sz w:val="24"/>
          <w:szCs w:val="24"/>
          <w:lang w:val="zh-CN"/>
        </w:rPr>
      </w:pPr>
      <w:r>
        <w:rPr>
          <w:rFonts w:hint="eastAsia" w:ascii="仿宋" w:hAnsi="仿宋" w:eastAsia="仿宋" w:cs="仿宋"/>
          <w:color w:val="auto"/>
          <w:kern w:val="0"/>
          <w:sz w:val="24"/>
          <w:szCs w:val="24"/>
          <w:lang w:val="en-US" w:eastAsia="zh-CN"/>
        </w:rPr>
        <w:t>5.3.4</w:t>
      </w:r>
      <w:r>
        <w:rPr>
          <w:rFonts w:hint="eastAsia" w:ascii="仿宋" w:hAnsi="仿宋" w:eastAsia="仿宋" w:cs="仿宋"/>
          <w:color w:val="auto"/>
          <w:kern w:val="0"/>
          <w:sz w:val="24"/>
          <w:szCs w:val="24"/>
        </w:rPr>
        <w:t>联合体信用信息查询：两个以上的自然人、法人或者其他组织组成一个联合体，以一个供应商的身份共同参加采购活动的，应当对所有联合体成员进行信用记录查询，联合体成员存在不良信用记录的，视同联合体存在不良信用记录</w:t>
      </w:r>
      <w:r>
        <w:rPr>
          <w:rFonts w:hint="eastAsia" w:ascii="仿宋" w:hAnsi="仿宋" w:eastAsia="仿宋" w:cs="仿宋"/>
          <w:color w:val="auto"/>
          <w:sz w:val="24"/>
          <w:szCs w:val="24"/>
        </w:rPr>
        <w:t>。</w:t>
      </w:r>
      <w:bookmarkEnd w:id="80"/>
    </w:p>
    <w:p>
      <w:pPr>
        <w:pageBreakBefore w:val="0"/>
        <w:kinsoku/>
        <w:wordWrap/>
        <w:overflowPunct/>
        <w:topLinePunct w:val="0"/>
        <w:bidi w:val="0"/>
        <w:adjustRightInd/>
        <w:spacing w:line="460" w:lineRule="exact"/>
        <w:ind w:firstLine="420"/>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lang w:val="en-US" w:eastAsia="zh-CN"/>
        </w:rPr>
        <w:t>6、</w:t>
      </w:r>
      <w:r>
        <w:rPr>
          <w:rFonts w:hint="eastAsia" w:ascii="仿宋" w:hAnsi="仿宋" w:eastAsia="仿宋" w:cs="仿宋"/>
          <w:b/>
          <w:bCs/>
          <w:color w:val="auto"/>
          <w:sz w:val="24"/>
          <w:szCs w:val="24"/>
        </w:rPr>
        <w:t>开标程序</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6.1</w:t>
      </w:r>
      <w:r>
        <w:rPr>
          <w:rFonts w:hint="eastAsia" w:ascii="仿宋" w:hAnsi="仿宋" w:eastAsia="仿宋" w:cs="仿宋"/>
          <w:color w:val="auto"/>
          <w:sz w:val="24"/>
          <w:szCs w:val="24"/>
        </w:rPr>
        <w:t>开标第一阶段</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6、1.1</w:t>
      </w:r>
      <w:r>
        <w:rPr>
          <w:rFonts w:hint="eastAsia" w:ascii="仿宋" w:hAnsi="仿宋" w:eastAsia="仿宋" w:cs="仿宋"/>
          <w:color w:val="auto"/>
          <w:sz w:val="24"/>
          <w:szCs w:val="24"/>
        </w:rPr>
        <w:t>向各投标人发出电子加密投标文件【开始解密】通知，由投标人按采购文件规定的时间内自行进行投标文件解密。投标人在规定的时间内无法完成已递交的“电子加密投标文件”解密的，如已按规定递交了备份投标文件的，将由采购组织机构按“</w:t>
      </w:r>
      <w:r>
        <w:rPr>
          <w:rFonts w:hint="eastAsia" w:ascii="仿宋" w:hAnsi="仿宋" w:eastAsia="仿宋" w:cs="仿宋"/>
          <w:color w:val="auto"/>
          <w:sz w:val="24"/>
          <w:szCs w:val="24"/>
          <w:lang w:eastAsia="zh-CN"/>
        </w:rPr>
        <w:t>采购云平台</w:t>
      </w:r>
      <w:r>
        <w:rPr>
          <w:rFonts w:hint="eastAsia" w:ascii="仿宋" w:hAnsi="仿宋" w:eastAsia="仿宋" w:cs="仿宋"/>
          <w:color w:val="auto"/>
          <w:sz w:val="24"/>
          <w:szCs w:val="24"/>
        </w:rPr>
        <w:t>”操作规范将备份投标文件上传至“</w:t>
      </w:r>
      <w:r>
        <w:rPr>
          <w:rFonts w:hint="eastAsia" w:ascii="仿宋" w:hAnsi="仿宋" w:eastAsia="仿宋" w:cs="仿宋"/>
          <w:color w:val="auto"/>
          <w:sz w:val="24"/>
          <w:szCs w:val="24"/>
          <w:lang w:eastAsia="zh-CN"/>
        </w:rPr>
        <w:t>采购云平台</w:t>
      </w:r>
      <w:r>
        <w:rPr>
          <w:rFonts w:hint="eastAsia" w:ascii="仿宋" w:hAnsi="仿宋" w:eastAsia="仿宋" w:cs="仿宋"/>
          <w:color w:val="auto"/>
          <w:sz w:val="24"/>
          <w:szCs w:val="24"/>
        </w:rPr>
        <w:t>”，上传成功后，“电子加密投标文件”自动失效；</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61.2</w:t>
      </w:r>
      <w:r>
        <w:rPr>
          <w:rFonts w:hint="eastAsia" w:ascii="仿宋" w:hAnsi="仿宋" w:eastAsia="仿宋" w:cs="仿宋"/>
          <w:color w:val="auto"/>
          <w:sz w:val="24"/>
          <w:szCs w:val="24"/>
        </w:rPr>
        <w:t>投标文件解密结束，通过邮件形式发送各投标人组织签署《采购活动现场确认声明书》；</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6.1.3</w:t>
      </w:r>
      <w:r>
        <w:rPr>
          <w:rFonts w:hint="eastAsia" w:ascii="仿宋" w:hAnsi="仿宋" w:eastAsia="仿宋" w:cs="仿宋"/>
          <w:color w:val="auto"/>
          <w:sz w:val="24"/>
          <w:szCs w:val="24"/>
        </w:rPr>
        <w:t>开启投标文件，进入资格审查；</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6.1.4</w:t>
      </w:r>
      <w:r>
        <w:rPr>
          <w:rFonts w:hint="eastAsia" w:ascii="仿宋" w:hAnsi="仿宋" w:eastAsia="仿宋" w:cs="仿宋"/>
          <w:color w:val="auto"/>
          <w:sz w:val="24"/>
          <w:szCs w:val="24"/>
        </w:rPr>
        <w:t>开启资格审查通过的投标供应商的商务技术文件进入符合性审查、商务技术评审；</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6.1.5</w:t>
      </w:r>
      <w:r>
        <w:rPr>
          <w:rFonts w:hint="eastAsia" w:ascii="仿宋" w:hAnsi="仿宋" w:eastAsia="仿宋" w:cs="仿宋"/>
          <w:color w:val="auto"/>
          <w:sz w:val="24"/>
          <w:szCs w:val="24"/>
        </w:rPr>
        <w:t>第一阶段开标结束。</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备注：开标程序的第一阶段结束后，采购人或采购代理机构将对依法对投标供应商的资格进行审查，资格审查结束后进入符合性审查和商务技术的评审工作。</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5.2</w:t>
      </w:r>
      <w:r>
        <w:rPr>
          <w:rFonts w:hint="eastAsia" w:ascii="仿宋" w:hAnsi="仿宋" w:eastAsia="仿宋" w:cs="仿宋"/>
          <w:color w:val="auto"/>
          <w:sz w:val="24"/>
          <w:szCs w:val="24"/>
        </w:rPr>
        <w:t>开标第二阶段</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6.2.1</w:t>
      </w:r>
      <w:r>
        <w:rPr>
          <w:rFonts w:hint="eastAsia" w:ascii="仿宋" w:hAnsi="仿宋" w:eastAsia="仿宋" w:cs="仿宋"/>
          <w:color w:val="auto"/>
          <w:sz w:val="24"/>
          <w:szCs w:val="24"/>
        </w:rPr>
        <w:t>符合性审查、商务技术评审结束后，举行开标程序第二阶段会议。首先通过发送邮件形式公布符合性审查、商务技术评审无效供应商名称及理由；公布经商务技术评审后有效投标人的名单，同时公布其商务技术部分得分情况。</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6.2.2</w:t>
      </w:r>
      <w:r>
        <w:rPr>
          <w:rFonts w:hint="eastAsia" w:ascii="仿宋" w:hAnsi="仿宋" w:eastAsia="仿宋" w:cs="仿宋"/>
          <w:color w:val="auto"/>
          <w:sz w:val="24"/>
          <w:szCs w:val="24"/>
        </w:rPr>
        <w:t>开启符合性审查、商务技术评审有效投标人的《报价文件》，通过发送邮件形式公布开标一览表有关内容，同时当场制作开标记录表，供应商通过发送邮件形式签字确认（不予确认的应说明理由，否则视为无异议）。报价文件开标结束后，由评标委员会对报价的合理性、准确性等进行审查核实。</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6.2.3</w:t>
      </w:r>
      <w:r>
        <w:rPr>
          <w:rFonts w:hint="eastAsia" w:ascii="仿宋" w:hAnsi="仿宋" w:eastAsia="仿宋" w:cs="仿宋"/>
          <w:color w:val="auto"/>
          <w:sz w:val="24"/>
          <w:szCs w:val="24"/>
        </w:rPr>
        <w:t>评审结束后，通过发送邮件形式公布中标（成交）候选供应商名单，及采购人最终确定中标或成交供应商名单的时间和公告方式等。</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.4如遇“</w:t>
      </w:r>
      <w:r>
        <w:rPr>
          <w:rFonts w:hint="eastAsia" w:ascii="仿宋" w:hAnsi="仿宋" w:eastAsia="仿宋" w:cs="仿宋"/>
          <w:color w:val="auto"/>
          <w:sz w:val="24"/>
          <w:szCs w:val="24"/>
          <w:lang w:eastAsia="zh-CN"/>
        </w:rPr>
        <w:t>采购云平台</w:t>
      </w:r>
      <w:r>
        <w:rPr>
          <w:rFonts w:hint="eastAsia" w:ascii="仿宋" w:hAnsi="仿宋" w:eastAsia="仿宋" w:cs="仿宋"/>
          <w:color w:val="auto"/>
          <w:sz w:val="24"/>
          <w:szCs w:val="24"/>
        </w:rPr>
        <w:t>”电子化开标或评审程序调整的，或者</w:t>
      </w:r>
      <w:r>
        <w:rPr>
          <w:rFonts w:hint="eastAsia" w:ascii="仿宋" w:hAnsi="仿宋" w:eastAsia="仿宋" w:cs="仿宋"/>
          <w:color w:val="auto"/>
          <w:sz w:val="24"/>
          <w:szCs w:val="24"/>
          <w:lang w:eastAsia="zh-CN"/>
        </w:rPr>
        <w:t>乐采云</w:t>
      </w:r>
      <w:r>
        <w:rPr>
          <w:rFonts w:hint="eastAsia" w:ascii="仿宋" w:hAnsi="仿宋" w:eastAsia="仿宋" w:cs="仿宋"/>
          <w:color w:val="auto"/>
          <w:sz w:val="24"/>
          <w:szCs w:val="24"/>
        </w:rPr>
        <w:t>系统提供数据电文交互功能的，按其规定执行。</w:t>
      </w:r>
    </w:p>
    <w:p>
      <w:pPr>
        <w:pageBreakBefore w:val="0"/>
        <w:kinsoku/>
        <w:wordWrap/>
        <w:overflowPunct/>
        <w:topLinePunct w:val="0"/>
        <w:bidi w:val="0"/>
        <w:adjustRightInd/>
        <w:spacing w:line="460" w:lineRule="exact"/>
        <w:jc w:val="center"/>
        <w:textAlignment w:val="auto"/>
        <w:rPr>
          <w:rFonts w:hint="eastAsia" w:ascii="仿宋" w:hAnsi="仿宋" w:eastAsia="仿宋" w:cs="仿宋"/>
          <w:b/>
          <w:bCs/>
          <w:color w:val="auto"/>
          <w:sz w:val="32"/>
          <w:szCs w:val="32"/>
        </w:rPr>
      </w:pPr>
      <w:r>
        <w:rPr>
          <w:rFonts w:hint="eastAsia" w:ascii="仿宋" w:hAnsi="仿宋" w:eastAsia="仿宋" w:cs="仿宋"/>
          <w:b/>
          <w:bCs/>
          <w:color w:val="auto"/>
          <w:sz w:val="32"/>
          <w:szCs w:val="32"/>
          <w:lang w:eastAsia="zh-CN"/>
        </w:rPr>
        <w:t>六、</w:t>
      </w:r>
      <w:r>
        <w:rPr>
          <w:rFonts w:hint="eastAsia" w:ascii="仿宋" w:hAnsi="仿宋" w:eastAsia="仿宋" w:cs="仿宋"/>
          <w:b/>
          <w:bCs/>
          <w:color w:val="auto"/>
          <w:sz w:val="32"/>
          <w:szCs w:val="32"/>
        </w:rPr>
        <w:t>评标</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6.1 评标组织</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评标工作由招标采购单位负责组织，具体评标事务由招标采购单位依法组建的评标委员会负责。评标委员会由采购人代表和有关技术、经济等方面的专家组成，成员人数应当为五人及以上单数。</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6.2评标纪律</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本次评标工作将在严格保密的情况下进行，评标委员会成员名单在定标前将保密。</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6.3评标办法</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采用综合评分法，详见采购文件第四章“评标办法”。</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6.4 评标程序</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6.4.1投标文件初审。初审分为资格性检查和符合性检查。</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6.4.1.1</w:t>
      </w:r>
      <w:r>
        <w:rPr>
          <w:rFonts w:hint="eastAsia" w:ascii="仿宋" w:hAnsi="仿宋" w:eastAsia="仿宋" w:cs="仿宋"/>
          <w:color w:val="auto"/>
          <w:sz w:val="24"/>
          <w:szCs w:val="24"/>
        </w:rPr>
        <w:t>资格性检查。</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开标后，采购人或采购代理机构将依据法律法规和供应商资格条件对投标人的基本资格条件、特定资格条件进行审查。</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投标人未按照采购文件中供应商资格条件要求提供相应的有效资格证明材料的，视为投标人不具备采购文件中规定的资格要求，其资格审查不通过。</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6.4.1.2</w:t>
      </w:r>
      <w:r>
        <w:rPr>
          <w:rFonts w:hint="eastAsia" w:ascii="仿宋" w:hAnsi="仿宋" w:eastAsia="仿宋" w:cs="仿宋"/>
          <w:color w:val="auto"/>
          <w:sz w:val="24"/>
          <w:szCs w:val="24"/>
        </w:rPr>
        <w:t>符合性检查。依据采购文件的规定，从投标文件的有效性、完整性和对采购文件的响应程度进行审查，以确定是否对采购文件的实质性要求作出响应。具体审查内容见投标须知6.3.1条“无效投标的认定”。</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评标委员会决定投标文件的响应性只根据投标文件本身的内容，而不寻求外部证据。</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如果投标文件没有实质上响应采购文件的要求，评标委员会将判定无效，投标人不得通过修改或撤销不合要求的偏离或保留而使其投标成为实质性响应的投标。</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w:t>
      </w:r>
      <w:r>
        <w:rPr>
          <w:rFonts w:hint="eastAsia" w:ascii="仿宋" w:hAnsi="仿宋" w:eastAsia="仿宋" w:cs="仿宋"/>
          <w:color w:val="auto"/>
          <w:sz w:val="24"/>
          <w:szCs w:val="24"/>
          <w:lang w:val="en-US" w:eastAsia="zh-CN"/>
        </w:rPr>
        <w:t>4.1.3</w:t>
      </w:r>
      <w:r>
        <w:rPr>
          <w:rFonts w:hint="eastAsia" w:ascii="仿宋" w:hAnsi="仿宋" w:eastAsia="仿宋" w:cs="仿宋"/>
          <w:color w:val="auto"/>
          <w:sz w:val="24"/>
          <w:szCs w:val="24"/>
        </w:rPr>
        <w:t>澄清有关问题。在评标期间，对投标文件中含义不明确、同类问题表述不一致或者有明显文字和计算错误的内容，评标委员会可以书面形式（或有效电子数据电文）要求投标人作出必要的澄清、说明或者纠正。投标人的澄清、说明或者补正不得超出投标文件的范围或者改变投标文件的实质性内容。</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投标供应商的澄清、说明或者补正应当由法定代表人或其授权的代表签字（或加盖公章）后扫描上传提交。</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授权代表对澄清、说明或者补正内容未签字确认的，将自行承担由此可能导致的对其不利的评审结果，评标委员会按少数服从多数原则对相关内容进行评判。</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除邮件交互外，如</w:t>
      </w:r>
      <w:r>
        <w:rPr>
          <w:rFonts w:hint="eastAsia" w:ascii="仿宋" w:hAnsi="仿宋" w:eastAsia="仿宋" w:cs="仿宋"/>
          <w:color w:val="auto"/>
          <w:sz w:val="24"/>
          <w:szCs w:val="24"/>
          <w:lang w:eastAsia="zh-CN"/>
        </w:rPr>
        <w:t>乐采云</w:t>
      </w:r>
      <w:r>
        <w:rPr>
          <w:rFonts w:hint="eastAsia" w:ascii="仿宋" w:hAnsi="仿宋" w:eastAsia="仿宋" w:cs="仿宋"/>
          <w:color w:val="auto"/>
          <w:sz w:val="24"/>
          <w:szCs w:val="24"/>
        </w:rPr>
        <w:t>平台提供信息发布、澄清说明、数据交换等操作方式的，或者</w:t>
      </w:r>
      <w:r>
        <w:rPr>
          <w:rFonts w:hint="eastAsia" w:ascii="仿宋" w:hAnsi="仿宋" w:eastAsia="仿宋" w:cs="仿宋"/>
          <w:color w:val="auto"/>
          <w:sz w:val="24"/>
          <w:szCs w:val="24"/>
          <w:lang w:eastAsia="zh-CN"/>
        </w:rPr>
        <w:t>乐采云</w:t>
      </w:r>
      <w:r>
        <w:rPr>
          <w:rFonts w:hint="eastAsia" w:ascii="仿宋" w:hAnsi="仿宋" w:eastAsia="仿宋" w:cs="仿宋"/>
          <w:color w:val="auto"/>
          <w:sz w:val="24"/>
          <w:szCs w:val="24"/>
        </w:rPr>
        <w:t>系统平台有新的操作流程的，按其规定。</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w:t>
      </w:r>
      <w:r>
        <w:rPr>
          <w:rFonts w:hint="eastAsia" w:ascii="仿宋" w:hAnsi="仿宋" w:eastAsia="仿宋" w:cs="仿宋"/>
          <w:color w:val="auto"/>
          <w:sz w:val="24"/>
          <w:szCs w:val="24"/>
          <w:lang w:val="en-US" w:eastAsia="zh-CN"/>
        </w:rPr>
        <w:t>4.1</w:t>
      </w:r>
      <w:r>
        <w:rPr>
          <w:rFonts w:hint="eastAsia" w:ascii="仿宋" w:hAnsi="仿宋" w:eastAsia="仿宋" w:cs="仿宋"/>
          <w:color w:val="auto"/>
          <w:sz w:val="24"/>
          <w:szCs w:val="24"/>
        </w:rPr>
        <w:t>.4修正原则</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投标文件报价出现前后不一致的，按照下列规定修正：</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w:t>
      </w:r>
      <w:r>
        <w:rPr>
          <w:rFonts w:hint="eastAsia" w:ascii="仿宋" w:hAnsi="仿宋" w:eastAsia="仿宋" w:cs="仿宋"/>
          <w:color w:val="auto"/>
          <w:sz w:val="24"/>
          <w:szCs w:val="24"/>
        </w:rPr>
        <w:tab/>
      </w:r>
      <w:r>
        <w:rPr>
          <w:rFonts w:hint="eastAsia" w:ascii="仿宋" w:hAnsi="仿宋" w:eastAsia="仿宋" w:cs="仿宋"/>
          <w:color w:val="auto"/>
          <w:sz w:val="24"/>
          <w:szCs w:val="24"/>
        </w:rPr>
        <w:t>投标文件中开标一览表(报价表)内容与投标文件中相应内容不一致的，以开标一览表(报价表)为准；</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w:t>
      </w:r>
      <w:r>
        <w:rPr>
          <w:rFonts w:hint="eastAsia" w:ascii="仿宋" w:hAnsi="仿宋" w:eastAsia="仿宋" w:cs="仿宋"/>
          <w:color w:val="auto"/>
          <w:sz w:val="24"/>
          <w:szCs w:val="24"/>
        </w:rPr>
        <w:tab/>
      </w:r>
      <w:r>
        <w:rPr>
          <w:rFonts w:hint="eastAsia" w:ascii="仿宋" w:hAnsi="仿宋" w:eastAsia="仿宋" w:cs="仿宋"/>
          <w:color w:val="auto"/>
          <w:sz w:val="24"/>
          <w:szCs w:val="24"/>
        </w:rPr>
        <w:t>大写金额和小写金额不一致的，以大写金额为准；</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w:t>
      </w:r>
      <w:r>
        <w:rPr>
          <w:rFonts w:hint="eastAsia" w:ascii="仿宋" w:hAnsi="仿宋" w:eastAsia="仿宋" w:cs="仿宋"/>
          <w:color w:val="auto"/>
          <w:sz w:val="24"/>
          <w:szCs w:val="24"/>
        </w:rPr>
        <w:tab/>
      </w:r>
      <w:r>
        <w:rPr>
          <w:rFonts w:hint="eastAsia" w:ascii="仿宋" w:hAnsi="仿宋" w:eastAsia="仿宋" w:cs="仿宋"/>
          <w:color w:val="auto"/>
          <w:sz w:val="24"/>
          <w:szCs w:val="24"/>
        </w:rPr>
        <w:t>单价金额小数点或者百分比有明显错位的，以开标一览表的总价为准，并修改单价；</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w:t>
      </w:r>
      <w:r>
        <w:rPr>
          <w:rFonts w:hint="eastAsia" w:ascii="仿宋" w:hAnsi="仿宋" w:eastAsia="仿宋" w:cs="仿宋"/>
          <w:color w:val="auto"/>
          <w:sz w:val="24"/>
          <w:szCs w:val="24"/>
        </w:rPr>
        <w:tab/>
      </w:r>
      <w:r>
        <w:rPr>
          <w:rFonts w:hint="eastAsia" w:ascii="仿宋" w:hAnsi="仿宋" w:eastAsia="仿宋" w:cs="仿宋"/>
          <w:color w:val="auto"/>
          <w:sz w:val="24"/>
          <w:szCs w:val="24"/>
        </w:rPr>
        <w:t>总价金额与按单价汇总金额不一致的，以单价金额计算结果为准。</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w:t>
      </w:r>
      <w:r>
        <w:rPr>
          <w:rFonts w:hint="eastAsia" w:ascii="仿宋" w:hAnsi="仿宋" w:eastAsia="仿宋" w:cs="仿宋"/>
          <w:color w:val="auto"/>
          <w:sz w:val="24"/>
          <w:szCs w:val="24"/>
          <w:lang w:val="en-US" w:eastAsia="zh-CN"/>
        </w:rPr>
        <w:t>4.1.5</w:t>
      </w:r>
      <w:r>
        <w:rPr>
          <w:rFonts w:hint="eastAsia" w:ascii="仿宋" w:hAnsi="仿宋" w:eastAsia="仿宋" w:cs="仿宋"/>
          <w:color w:val="auto"/>
          <w:sz w:val="24"/>
          <w:szCs w:val="24"/>
        </w:rPr>
        <w:t>比较与评价。</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按采购文件中规定的评标方法和标准，对资格性检查和符合性检查合格的投标文件进行商务和技术评估，综合比较与评价。</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w:t>
      </w:r>
      <w:r>
        <w:rPr>
          <w:rFonts w:hint="eastAsia" w:ascii="仿宋" w:hAnsi="仿宋" w:eastAsia="仿宋" w:cs="仿宋"/>
          <w:color w:val="auto"/>
          <w:sz w:val="24"/>
          <w:szCs w:val="24"/>
          <w:lang w:val="en-US" w:eastAsia="zh-CN"/>
        </w:rPr>
        <w:t>4.1.6</w:t>
      </w:r>
      <w:r>
        <w:rPr>
          <w:rFonts w:hint="eastAsia" w:ascii="仿宋" w:hAnsi="仿宋" w:eastAsia="仿宋" w:cs="仿宋"/>
          <w:color w:val="auto"/>
          <w:sz w:val="24"/>
          <w:szCs w:val="24"/>
        </w:rPr>
        <w:t>按采购文件中规定的评标方法和标准，对投标人进行排序，并推荐中标候选人。</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w:t>
      </w:r>
      <w:r>
        <w:rPr>
          <w:rFonts w:hint="eastAsia" w:ascii="仿宋" w:hAnsi="仿宋" w:eastAsia="仿宋" w:cs="仿宋"/>
          <w:color w:val="auto"/>
          <w:sz w:val="24"/>
          <w:szCs w:val="24"/>
          <w:lang w:val="en-US" w:eastAsia="zh-CN"/>
        </w:rPr>
        <w:t>4.1.7</w:t>
      </w:r>
      <w:r>
        <w:rPr>
          <w:rFonts w:hint="eastAsia" w:ascii="仿宋" w:hAnsi="仿宋" w:eastAsia="仿宋" w:cs="仿宋"/>
          <w:color w:val="auto"/>
          <w:sz w:val="24"/>
          <w:szCs w:val="24"/>
        </w:rPr>
        <w:t>编写评标报告。</w:t>
      </w:r>
    </w:p>
    <w:p>
      <w:pPr>
        <w:pageBreakBefore w:val="0"/>
        <w:kinsoku/>
        <w:wordWrap/>
        <w:overflowPunct/>
        <w:topLinePunct w:val="0"/>
        <w:bidi w:val="0"/>
        <w:adjustRightInd/>
        <w:spacing w:line="460" w:lineRule="exact"/>
        <w:ind w:firstLine="420"/>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6.</w:t>
      </w:r>
      <w:r>
        <w:rPr>
          <w:rFonts w:hint="eastAsia" w:ascii="仿宋" w:hAnsi="仿宋" w:eastAsia="仿宋" w:cs="仿宋"/>
          <w:b/>
          <w:bCs/>
          <w:color w:val="auto"/>
          <w:sz w:val="24"/>
          <w:szCs w:val="24"/>
          <w:lang w:val="en-US" w:eastAsia="zh-CN"/>
        </w:rPr>
        <w:t>5</w:t>
      </w:r>
      <w:r>
        <w:rPr>
          <w:rFonts w:hint="eastAsia" w:ascii="仿宋" w:hAnsi="仿宋" w:eastAsia="仿宋" w:cs="仿宋"/>
          <w:b/>
          <w:bCs/>
          <w:color w:val="auto"/>
          <w:sz w:val="24"/>
          <w:szCs w:val="24"/>
        </w:rPr>
        <w:t>无效投标的认定</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评审时，对投标人的商务技术文件、报价文件和其他评审要求等，评标委员会将逐项进行审查、比较，对于实质性偏离或符合无效条款的，应当询问投标人，并允许投标人进行陈述申辩，但不允许其对偏离条款进行补充、修正或撤回。但经评标委员会认定属于投标人疏忽、笔误所造成的差错，应当允许其在评标结束之前进行修改或者补正（可以是</w:t>
      </w:r>
      <w:r>
        <w:rPr>
          <w:rFonts w:hint="eastAsia" w:ascii="仿宋" w:hAnsi="仿宋" w:eastAsia="仿宋" w:cs="仿宋"/>
          <w:color w:val="auto"/>
          <w:sz w:val="24"/>
          <w:szCs w:val="24"/>
          <w:lang w:eastAsia="zh-CN"/>
        </w:rPr>
        <w:t>扫描件</w:t>
      </w:r>
      <w:r>
        <w:rPr>
          <w:rFonts w:hint="eastAsia" w:ascii="仿宋" w:hAnsi="仿宋" w:eastAsia="仿宋" w:cs="仿宋"/>
          <w:color w:val="auto"/>
          <w:sz w:val="24"/>
          <w:szCs w:val="24"/>
        </w:rPr>
        <w:t>、传真件等）。修改或者补正投标文件必须以书面形式进行，并应在中标结果公告之前查核原件。限期内不补正或经补正后仍不符合采购文件要求的，应认定其投标无效。投标人修改、补正投标文件后，不影响评标委员会对其投标文件所作的评价和评分结果。</w:t>
      </w:r>
    </w:p>
    <w:p>
      <w:pPr>
        <w:pageBreakBefore w:val="0"/>
        <w:kinsoku/>
        <w:wordWrap/>
        <w:overflowPunct/>
        <w:topLinePunct w:val="0"/>
        <w:bidi w:val="0"/>
        <w:adjustRightIn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w:t>
      </w: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.1如发现下列情形之一的，投标文件将被视为无效投标：</w:t>
      </w:r>
    </w:p>
    <w:p>
      <w:pPr>
        <w:pageBreakBefore w:val="0"/>
        <w:kinsoku/>
        <w:wordWrap/>
        <w:overflowPunct/>
        <w:topLinePunct w:val="0"/>
        <w:bidi w:val="0"/>
        <w:adjustRightInd/>
        <w:spacing w:line="460" w:lineRule="exact"/>
        <w:ind w:firstLine="480" w:firstLineChars="200"/>
        <w:textAlignment w:val="auto"/>
        <w:rPr>
          <w:rFonts w:hint="eastAsia" w:ascii="仿宋" w:hAnsi="仿宋" w:eastAsia="仿宋" w:cs="仿宋"/>
          <w:b w:val="0"/>
          <w:bCs w:val="0"/>
          <w:color w:val="auto"/>
          <w:sz w:val="24"/>
          <w:szCs w:val="24"/>
          <w:lang w:eastAsia="zh-CN"/>
        </w:rPr>
      </w:pPr>
      <w:r>
        <w:rPr>
          <w:rFonts w:hint="eastAsia" w:ascii="仿宋" w:hAnsi="仿宋" w:eastAsia="仿宋" w:cs="仿宋"/>
          <w:b w:val="0"/>
          <w:bCs w:val="0"/>
          <w:color w:val="auto"/>
          <w:kern w:val="0"/>
          <w:sz w:val="24"/>
          <w:szCs w:val="24"/>
          <w:lang w:val="en-US" w:eastAsia="zh-CN"/>
        </w:rPr>
        <w:t>1</w:t>
      </w:r>
      <w:r>
        <w:rPr>
          <w:rFonts w:hint="eastAsia" w:ascii="仿宋" w:hAnsi="仿宋" w:eastAsia="仿宋" w:cs="仿宋"/>
          <w:b w:val="0"/>
          <w:bCs w:val="0"/>
          <w:color w:val="auto"/>
          <w:kern w:val="0"/>
          <w:sz w:val="24"/>
          <w:szCs w:val="24"/>
          <w:lang w:eastAsia="zh-CN"/>
        </w:rPr>
        <w:t>）</w:t>
      </w:r>
      <w:r>
        <w:rPr>
          <w:rFonts w:hint="eastAsia" w:ascii="仿宋" w:hAnsi="仿宋" w:eastAsia="仿宋" w:cs="仿宋"/>
          <w:b w:val="0"/>
          <w:bCs w:val="0"/>
          <w:color w:val="auto"/>
          <w:kern w:val="0"/>
          <w:sz w:val="24"/>
          <w:szCs w:val="24"/>
        </w:rPr>
        <w:t>投标人不具备采购文件中规定的资格要求的（投标人未提供有效的资格文件的，视为投标人不具备采购文件中规定的资格要求）；</w:t>
      </w:r>
    </w:p>
    <w:p>
      <w:pPr>
        <w:pageBreakBefore w:val="0"/>
        <w:numPr>
          <w:ilvl w:val="0"/>
          <w:numId w:val="0"/>
        </w:numPr>
        <w:kinsoku/>
        <w:wordWrap/>
        <w:overflowPunct/>
        <w:topLinePunct w:val="0"/>
        <w:bidi w:val="0"/>
        <w:adjustRightIn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lang w:eastAsia="zh-CN"/>
        </w:rPr>
        <w:t>）未</w:t>
      </w:r>
      <w:r>
        <w:rPr>
          <w:rFonts w:hint="eastAsia" w:ascii="仿宋" w:hAnsi="仿宋" w:eastAsia="仿宋" w:cs="仿宋"/>
          <w:color w:val="auto"/>
          <w:sz w:val="24"/>
          <w:szCs w:val="24"/>
        </w:rPr>
        <w:t>按时上传或按时解密电子投标文件的</w:t>
      </w:r>
    </w:p>
    <w:p>
      <w:pPr>
        <w:pageBreakBefore w:val="0"/>
        <w:numPr>
          <w:ilvl w:val="0"/>
          <w:numId w:val="0"/>
        </w:numPr>
        <w:kinsoku/>
        <w:wordWrap/>
        <w:overflowPunct/>
        <w:topLinePunct w:val="0"/>
        <w:bidi w:val="0"/>
        <w:adjustRightIn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lang w:eastAsia="zh-CN"/>
        </w:rPr>
        <w:t>）电</w:t>
      </w:r>
      <w:r>
        <w:rPr>
          <w:rFonts w:hint="eastAsia" w:ascii="仿宋" w:hAnsi="仿宋" w:eastAsia="仿宋" w:cs="仿宋"/>
          <w:color w:val="auto"/>
          <w:sz w:val="24"/>
          <w:szCs w:val="24"/>
        </w:rPr>
        <w:t>子投标文件解密失败的，且未在规定时间内提交有效备份投标文件的；</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电子投标文件未按规定要求提供电子签章的；</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）投标文件没有投标人的法定代表人或法定代表人授权委托人签字、投标文件应盖公章而未盖公章或盖非公司公章、未有效授权、法定代表人授权书填写不完整或有涂改的；</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）不响应采购文件标注“★”条款要求的；</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rPr>
        <w:t>）投标文件载明的招标项目合同期或服务期少于采购文件规定期限的；</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8</w:t>
      </w:r>
      <w:r>
        <w:rPr>
          <w:rFonts w:hint="eastAsia" w:ascii="仿宋" w:hAnsi="仿宋" w:eastAsia="仿宋" w:cs="仿宋"/>
          <w:color w:val="auto"/>
          <w:sz w:val="24"/>
          <w:szCs w:val="24"/>
        </w:rPr>
        <w:t>）投标文件未响应采购文件规定的付款方式的；</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9</w:t>
      </w:r>
      <w:r>
        <w:rPr>
          <w:rFonts w:hint="eastAsia" w:ascii="仿宋" w:hAnsi="仿宋" w:eastAsia="仿宋" w:cs="仿宋"/>
          <w:color w:val="auto"/>
          <w:sz w:val="24"/>
          <w:szCs w:val="24"/>
        </w:rPr>
        <w:t>）投标报价超出预算或最高限价，采购人无法接受的；</w:t>
      </w:r>
    </w:p>
    <w:p>
      <w:pPr>
        <w:pageBreakBefore w:val="0"/>
        <w:kinsoku/>
        <w:wordWrap/>
        <w:overflowPunct/>
        <w:topLinePunct w:val="0"/>
        <w:bidi w:val="0"/>
        <w:adjustRightInd/>
        <w:spacing w:line="460" w:lineRule="exact"/>
        <w:ind w:firstLine="480" w:firstLineChars="200"/>
        <w:textAlignment w:val="auto"/>
        <w:rPr>
          <w:rFonts w:hint="eastAsia" w:ascii="仿宋" w:hAnsi="仿宋" w:eastAsia="仿宋" w:cs="仿宋"/>
          <w:color w:val="auto"/>
          <w:kern w:val="0"/>
          <w:sz w:val="24"/>
          <w:szCs w:val="24"/>
          <w:lang w:eastAsia="zh-CN"/>
        </w:rPr>
      </w:pPr>
      <w:r>
        <w:rPr>
          <w:rFonts w:hint="eastAsia" w:ascii="仿宋" w:hAnsi="仿宋" w:eastAsia="仿宋" w:cs="仿宋"/>
          <w:color w:val="auto"/>
          <w:sz w:val="24"/>
          <w:szCs w:val="24"/>
          <w:lang w:val="en-US" w:eastAsia="zh-CN"/>
        </w:rPr>
        <w:t>10</w:t>
      </w:r>
      <w:r>
        <w:rPr>
          <w:rFonts w:hint="eastAsia" w:ascii="仿宋" w:hAnsi="仿宋" w:eastAsia="仿宋" w:cs="仿宋"/>
          <w:color w:val="auto"/>
          <w:sz w:val="24"/>
          <w:szCs w:val="24"/>
          <w:lang w:eastAsia="zh-CN"/>
        </w:rPr>
        <w:t>）</w:t>
      </w:r>
      <w:r>
        <w:rPr>
          <w:rFonts w:hint="eastAsia" w:ascii="仿宋" w:hAnsi="仿宋" w:eastAsia="仿宋" w:cs="仿宋"/>
          <w:color w:val="auto"/>
          <w:kern w:val="0"/>
          <w:sz w:val="24"/>
          <w:szCs w:val="24"/>
        </w:rPr>
        <w:t>报价明显低于其他通过符合性审查投标人的报价，有可能影响产品质量或者不能诚信履约的，未能按要求提供书面说明或者提交相关证明材料，不能证明其报价合理性的</w:t>
      </w:r>
      <w:r>
        <w:rPr>
          <w:rFonts w:hint="eastAsia" w:ascii="仿宋" w:hAnsi="仿宋" w:eastAsia="仿宋" w:cs="仿宋"/>
          <w:color w:val="auto"/>
          <w:kern w:val="0"/>
          <w:sz w:val="24"/>
          <w:szCs w:val="24"/>
          <w:lang w:eastAsia="zh-CN"/>
        </w:rPr>
        <w:t>；</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11</w:t>
      </w:r>
      <w:r>
        <w:rPr>
          <w:rFonts w:hint="eastAsia" w:ascii="仿宋" w:hAnsi="仿宋" w:eastAsia="仿宋" w:cs="仿宋"/>
          <w:color w:val="auto"/>
          <w:sz w:val="24"/>
          <w:szCs w:val="24"/>
        </w:rPr>
        <w:t>）投标货物的技术规范、技术标准明显不符合国家强制性要求的；</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12</w:t>
      </w:r>
      <w:r>
        <w:rPr>
          <w:rFonts w:hint="eastAsia" w:ascii="仿宋" w:hAnsi="仿宋" w:eastAsia="仿宋" w:cs="仿宋"/>
          <w:color w:val="auto"/>
          <w:sz w:val="24"/>
          <w:szCs w:val="24"/>
        </w:rPr>
        <w:t>）投标人提交两份或多份内容不同的报价响应文件，或在一份报价响应文件中对同一内容报有两个或多个报价，且未声明哪一个为最终报价的；</w:t>
      </w:r>
    </w:p>
    <w:p>
      <w:pPr>
        <w:pageBreakBefore w:val="0"/>
        <w:kinsoku/>
        <w:wordWrap/>
        <w:overflowPunct/>
        <w:topLinePunct w:val="0"/>
        <w:bidi w:val="0"/>
        <w:adjustRightInd/>
        <w:spacing w:line="460" w:lineRule="exact"/>
        <w:ind w:firstLine="480" w:firstLineChars="200"/>
        <w:textAlignment w:val="auto"/>
        <w:rPr>
          <w:rFonts w:hint="eastAsia" w:ascii="仿宋" w:hAnsi="仿宋" w:eastAsia="仿宋" w:cs="仿宋"/>
          <w:color w:val="auto"/>
          <w:kern w:val="0"/>
          <w:sz w:val="24"/>
          <w:szCs w:val="24"/>
          <w:lang w:eastAsia="zh-CN"/>
        </w:rPr>
      </w:pPr>
      <w:r>
        <w:rPr>
          <w:rFonts w:hint="eastAsia" w:ascii="仿宋" w:hAnsi="仿宋" w:eastAsia="仿宋" w:cs="仿宋"/>
          <w:color w:val="auto"/>
          <w:sz w:val="24"/>
          <w:szCs w:val="24"/>
          <w:lang w:val="en-US" w:eastAsia="zh-CN"/>
        </w:rPr>
        <w:t>13</w:t>
      </w:r>
      <w:r>
        <w:rPr>
          <w:rFonts w:hint="eastAsia" w:ascii="仿宋" w:hAnsi="仿宋" w:eastAsia="仿宋" w:cs="仿宋"/>
          <w:color w:val="auto"/>
          <w:sz w:val="24"/>
          <w:szCs w:val="24"/>
        </w:rPr>
        <w:t>）</w:t>
      </w:r>
      <w:r>
        <w:rPr>
          <w:rFonts w:hint="eastAsia" w:ascii="仿宋" w:hAnsi="仿宋" w:eastAsia="仿宋" w:cs="仿宋"/>
          <w:color w:val="auto"/>
          <w:kern w:val="0"/>
          <w:sz w:val="24"/>
          <w:szCs w:val="24"/>
        </w:rPr>
        <w:t>投标报价超过采购文件中规定的预算金额或者最高限价的</w:t>
      </w:r>
      <w:r>
        <w:rPr>
          <w:rFonts w:hint="eastAsia" w:ascii="仿宋" w:hAnsi="仿宋" w:eastAsia="仿宋" w:cs="仿宋"/>
          <w:color w:val="auto"/>
          <w:kern w:val="0"/>
          <w:sz w:val="24"/>
          <w:szCs w:val="24"/>
          <w:lang w:eastAsia="zh-CN"/>
        </w:rPr>
        <w:t>；</w:t>
      </w:r>
    </w:p>
    <w:p>
      <w:pPr>
        <w:pageBreakBefore w:val="0"/>
        <w:kinsoku/>
        <w:wordWrap/>
        <w:overflowPunct/>
        <w:topLinePunct w:val="0"/>
        <w:bidi w:val="0"/>
        <w:adjustRightInd/>
        <w:spacing w:line="460" w:lineRule="exact"/>
        <w:ind w:firstLine="480" w:firstLineChars="200"/>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lang w:val="en-US" w:eastAsia="zh-CN"/>
        </w:rPr>
        <w:t>14）</w:t>
      </w:r>
      <w:r>
        <w:rPr>
          <w:rFonts w:hint="eastAsia" w:ascii="仿宋" w:hAnsi="仿宋" w:eastAsia="仿宋" w:cs="仿宋"/>
          <w:color w:val="auto"/>
          <w:kern w:val="0"/>
          <w:sz w:val="24"/>
          <w:szCs w:val="24"/>
        </w:rPr>
        <w:t>投标人对根据修正原则修正后的报价不确认的；</w:t>
      </w:r>
    </w:p>
    <w:p>
      <w:pPr>
        <w:pageBreakBefore w:val="0"/>
        <w:kinsoku/>
        <w:wordWrap/>
        <w:overflowPunct/>
        <w:topLinePunct w:val="0"/>
        <w:bidi w:val="0"/>
        <w:adjustRightInd/>
        <w:spacing w:line="460" w:lineRule="exact"/>
        <w:ind w:firstLine="480" w:firstLineChars="200"/>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15）</w:t>
      </w:r>
      <w:r>
        <w:rPr>
          <w:rFonts w:hint="eastAsia" w:ascii="仿宋" w:hAnsi="仿宋" w:eastAsia="仿宋" w:cs="仿宋"/>
          <w:color w:val="auto"/>
          <w:kern w:val="0"/>
          <w:sz w:val="24"/>
          <w:szCs w:val="24"/>
        </w:rPr>
        <w:t>投标人提供虚假材料投标的</w:t>
      </w:r>
      <w:r>
        <w:rPr>
          <w:rFonts w:hint="eastAsia" w:ascii="仿宋" w:hAnsi="仿宋" w:eastAsia="仿宋" w:cs="仿宋"/>
          <w:color w:val="auto"/>
          <w:kern w:val="0"/>
          <w:sz w:val="24"/>
          <w:szCs w:val="24"/>
          <w:lang w:val="en-US" w:eastAsia="zh-CN"/>
        </w:rPr>
        <w:t>；</w:t>
      </w:r>
    </w:p>
    <w:p>
      <w:pPr>
        <w:pageBreakBefore w:val="0"/>
        <w:kinsoku/>
        <w:wordWrap/>
        <w:overflowPunct/>
        <w:topLinePunct w:val="0"/>
        <w:bidi w:val="0"/>
        <w:adjustRightInd/>
        <w:spacing w:line="460" w:lineRule="exact"/>
        <w:ind w:firstLine="480" w:firstLineChars="200"/>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lang w:val="en-US" w:eastAsia="zh-CN"/>
        </w:rPr>
        <w:t>16）</w:t>
      </w:r>
      <w:r>
        <w:rPr>
          <w:rFonts w:hint="eastAsia" w:ascii="仿宋" w:hAnsi="仿宋" w:eastAsia="仿宋" w:cs="仿宋"/>
          <w:color w:val="auto"/>
          <w:kern w:val="0"/>
          <w:sz w:val="24"/>
          <w:szCs w:val="24"/>
        </w:rPr>
        <w:t>投标人有恶意串通、妨碍其他投标人的竞争行为、损害采购人或者其他投标人的合法权益情形的；</w:t>
      </w:r>
    </w:p>
    <w:p>
      <w:pPr>
        <w:pageBreakBefore w:val="0"/>
        <w:kinsoku/>
        <w:wordWrap/>
        <w:overflowPunct/>
        <w:topLinePunct w:val="0"/>
        <w:bidi w:val="0"/>
        <w:adjustRightInd/>
        <w:spacing w:line="460" w:lineRule="exact"/>
        <w:ind w:left="658" w:leftChars="174" w:hanging="240" w:hangingChars="100"/>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17）资信技术文件出现投标报价的；</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18</w:t>
      </w:r>
      <w:r>
        <w:rPr>
          <w:rFonts w:hint="eastAsia" w:ascii="仿宋" w:hAnsi="仿宋" w:eastAsia="仿宋" w:cs="仿宋"/>
          <w:color w:val="auto"/>
          <w:sz w:val="24"/>
          <w:szCs w:val="24"/>
        </w:rPr>
        <w:t>）投标文件附有采购人不能接受的条款；</w:t>
      </w:r>
    </w:p>
    <w:p>
      <w:pPr>
        <w:pageBreakBefore w:val="0"/>
        <w:kinsoku/>
        <w:wordWrap/>
        <w:overflowPunct/>
        <w:topLinePunct w:val="0"/>
        <w:bidi w:val="0"/>
        <w:adjustRightInd/>
        <w:spacing w:line="460" w:lineRule="exact"/>
        <w:ind w:firstLine="480" w:firstLineChars="200"/>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lang w:val="en-US" w:eastAsia="zh-CN"/>
        </w:rPr>
        <w:t>19</w:t>
      </w:r>
      <w:r>
        <w:rPr>
          <w:rFonts w:hint="eastAsia" w:ascii="仿宋" w:hAnsi="仿宋" w:eastAsia="仿宋" w:cs="仿宋"/>
          <w:color w:val="auto"/>
          <w:kern w:val="0"/>
          <w:sz w:val="24"/>
          <w:szCs w:val="24"/>
          <w:lang w:eastAsia="zh-CN"/>
        </w:rPr>
        <w:t>）</w:t>
      </w:r>
      <w:r>
        <w:rPr>
          <w:rFonts w:hint="eastAsia" w:ascii="仿宋" w:hAnsi="仿宋" w:eastAsia="仿宋" w:cs="仿宋"/>
          <w:color w:val="auto"/>
          <w:kern w:val="0"/>
          <w:sz w:val="24"/>
          <w:szCs w:val="24"/>
        </w:rPr>
        <w:t>投标人仅提交备份投标文件，没有在电子交易平台传输递交投标文件的，投标无效；</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20</w:t>
      </w:r>
      <w:r>
        <w:rPr>
          <w:rFonts w:hint="eastAsia" w:ascii="仿宋" w:hAnsi="仿宋" w:eastAsia="仿宋" w:cs="仿宋"/>
          <w:color w:val="auto"/>
          <w:sz w:val="24"/>
          <w:szCs w:val="24"/>
        </w:rPr>
        <w:t>）不满足采购文件规定的实质性要求的；</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21</w:t>
      </w:r>
      <w:r>
        <w:rPr>
          <w:rFonts w:hint="eastAsia" w:ascii="仿宋" w:hAnsi="仿宋" w:eastAsia="仿宋" w:cs="仿宋"/>
          <w:color w:val="auto"/>
          <w:sz w:val="24"/>
          <w:szCs w:val="24"/>
        </w:rPr>
        <w:t>）国家和省另有规定属无效投标文件的。</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6.3.2有下列情形之一的，视为投标人串通投标，其投标无效：</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1）不同投标人的投标文件由同一单位或者个人编制；</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2）不同投标人委托同一单位或者个人办理投标事宜；</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3）不同投标人的投标文件载明的项目管理成员或者联系人员为同一人；</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4）不同投标人的投标文件异常一致或者投标报价呈规律性差异；</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5）不同投标人的投标文件相互混装。</w:t>
      </w:r>
    </w:p>
    <w:p>
      <w:pPr>
        <w:pageBreakBefore w:val="0"/>
        <w:numPr>
          <w:ilvl w:val="0"/>
          <w:numId w:val="0"/>
        </w:numPr>
        <w:kinsoku/>
        <w:wordWrap/>
        <w:overflowPunct/>
        <w:topLinePunct w:val="0"/>
        <w:bidi w:val="0"/>
        <w:adjustRightInd/>
        <w:snapToGrid w:val="0"/>
        <w:spacing w:line="460" w:lineRule="exact"/>
        <w:jc w:val="left"/>
        <w:textAlignment w:val="auto"/>
        <w:outlineLvl w:val="2"/>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 xml:space="preserve">                          </w:t>
      </w:r>
    </w:p>
    <w:p>
      <w:pPr>
        <w:pageBreakBefore w:val="0"/>
        <w:numPr>
          <w:ilvl w:val="0"/>
          <w:numId w:val="0"/>
        </w:numPr>
        <w:kinsoku/>
        <w:wordWrap/>
        <w:overflowPunct/>
        <w:topLinePunct w:val="0"/>
        <w:bidi w:val="0"/>
        <w:adjustRightInd/>
        <w:snapToGrid w:val="0"/>
        <w:spacing w:line="460" w:lineRule="exact"/>
        <w:jc w:val="center"/>
        <w:textAlignment w:val="auto"/>
        <w:outlineLvl w:val="2"/>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 xml:space="preserve">七、  </w:t>
      </w:r>
      <w:r>
        <w:rPr>
          <w:rFonts w:hint="eastAsia" w:ascii="仿宋" w:hAnsi="仿宋" w:eastAsia="仿宋" w:cs="仿宋"/>
          <w:b/>
          <w:bCs/>
          <w:color w:val="auto"/>
          <w:sz w:val="32"/>
          <w:szCs w:val="32"/>
          <w:lang w:eastAsia="zh-CN"/>
        </w:rPr>
        <w:t>定标</w:t>
      </w:r>
    </w:p>
    <w:p>
      <w:pPr>
        <w:pStyle w:val="289"/>
        <w:pageBreakBefore w:val="0"/>
        <w:kinsoku/>
        <w:wordWrap/>
        <w:overflowPunct/>
        <w:topLinePunct w:val="0"/>
        <w:bidi w:val="0"/>
        <w:adjustRightInd/>
        <w:snapToGrid w:val="0"/>
        <w:spacing w:before="0" w:line="460" w:lineRule="exact"/>
        <w:ind w:firstLine="480"/>
        <w:textAlignment w:val="auto"/>
        <w:rPr>
          <w:rFonts w:hint="eastAsia" w:ascii="仿宋" w:hAnsi="仿宋" w:eastAsia="仿宋" w:cs="仿宋"/>
          <w:b/>
          <w:color w:val="auto"/>
          <w:sz w:val="24"/>
          <w:szCs w:val="24"/>
          <w:lang w:eastAsia="zh-CN"/>
        </w:rPr>
      </w:pPr>
      <w:r>
        <w:rPr>
          <w:rFonts w:hint="eastAsia" w:ascii="仿宋" w:hAnsi="仿宋" w:eastAsia="仿宋" w:cs="仿宋"/>
          <w:b/>
          <w:color w:val="auto"/>
          <w:sz w:val="24"/>
          <w:szCs w:val="24"/>
          <w:lang w:val="en-US" w:eastAsia="zh-CN"/>
        </w:rPr>
        <w:t>7.1</w:t>
      </w:r>
      <w:r>
        <w:rPr>
          <w:rFonts w:hint="eastAsia" w:ascii="仿宋" w:hAnsi="仿宋" w:eastAsia="仿宋" w:cs="仿宋"/>
          <w:b/>
          <w:color w:val="auto"/>
          <w:sz w:val="24"/>
          <w:szCs w:val="24"/>
        </w:rPr>
        <w:t>确定</w:t>
      </w:r>
      <w:r>
        <w:rPr>
          <w:rFonts w:hint="eastAsia" w:ascii="仿宋" w:hAnsi="仿宋" w:eastAsia="仿宋" w:cs="仿宋"/>
          <w:b/>
          <w:color w:val="auto"/>
          <w:sz w:val="24"/>
          <w:szCs w:val="24"/>
          <w:lang w:eastAsia="zh-CN"/>
        </w:rPr>
        <w:t>中标人</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7.1.1采购代理机构应当自评审结束之日起2个工作日内将评审报告送交采购人。</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采购人应当自收到评标报告之日起5个工作日内，在评标报告确定的中标候选人名单中按顺序确定</w:t>
      </w:r>
      <w:r>
        <w:rPr>
          <w:rFonts w:hint="eastAsia" w:ascii="仿宋" w:hAnsi="仿宋" w:eastAsia="仿宋" w:cs="仿宋"/>
          <w:color w:val="auto"/>
          <w:sz w:val="24"/>
          <w:szCs w:val="24"/>
          <w:lang w:eastAsia="zh-CN"/>
        </w:rPr>
        <w:t>中标人</w:t>
      </w:r>
      <w:r>
        <w:rPr>
          <w:rFonts w:hint="eastAsia" w:ascii="仿宋" w:hAnsi="仿宋" w:eastAsia="仿宋" w:cs="仿宋"/>
          <w:color w:val="auto"/>
          <w:sz w:val="24"/>
          <w:szCs w:val="24"/>
        </w:rPr>
        <w:t>。中标候选人并列的，由采购人或者采购人委托评标委员会按照采购文件规定的方式确定</w:t>
      </w:r>
      <w:r>
        <w:rPr>
          <w:rFonts w:hint="eastAsia" w:ascii="仿宋" w:hAnsi="仿宋" w:eastAsia="仿宋" w:cs="仿宋"/>
          <w:color w:val="auto"/>
          <w:sz w:val="24"/>
          <w:szCs w:val="24"/>
          <w:lang w:eastAsia="zh-CN"/>
        </w:rPr>
        <w:t>中标人</w:t>
      </w:r>
      <w:r>
        <w:rPr>
          <w:rFonts w:hint="eastAsia" w:ascii="仿宋" w:hAnsi="仿宋" w:eastAsia="仿宋" w:cs="仿宋"/>
          <w:color w:val="auto"/>
          <w:sz w:val="24"/>
          <w:szCs w:val="24"/>
        </w:rPr>
        <w:t>；采购文件未规定的，采取随机抽取的方式确定。</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采购人在收到评标报告5个工作日内未按评标报告推荐的中标候选人顺序确定</w:t>
      </w:r>
      <w:r>
        <w:rPr>
          <w:rFonts w:hint="eastAsia" w:ascii="仿宋" w:hAnsi="仿宋" w:eastAsia="仿宋" w:cs="仿宋"/>
          <w:color w:val="auto"/>
          <w:sz w:val="24"/>
          <w:szCs w:val="24"/>
          <w:lang w:eastAsia="zh-CN"/>
        </w:rPr>
        <w:t>中标人</w:t>
      </w:r>
      <w:r>
        <w:rPr>
          <w:rFonts w:hint="eastAsia" w:ascii="仿宋" w:hAnsi="仿宋" w:eastAsia="仿宋" w:cs="仿宋"/>
          <w:color w:val="auto"/>
          <w:sz w:val="24"/>
          <w:szCs w:val="24"/>
        </w:rPr>
        <w:t>，又不能说明合法理由的，视同按评标报告推荐的顺序确定排名第一的中标候选人为</w:t>
      </w:r>
      <w:r>
        <w:rPr>
          <w:rFonts w:hint="eastAsia" w:ascii="仿宋" w:hAnsi="仿宋" w:eastAsia="仿宋" w:cs="仿宋"/>
          <w:color w:val="auto"/>
          <w:sz w:val="24"/>
          <w:szCs w:val="24"/>
          <w:lang w:eastAsia="zh-CN"/>
        </w:rPr>
        <w:t>中标人</w:t>
      </w:r>
      <w:r>
        <w:rPr>
          <w:rFonts w:hint="eastAsia" w:ascii="仿宋" w:hAnsi="仿宋" w:eastAsia="仿宋" w:cs="仿宋"/>
          <w:color w:val="auto"/>
          <w:sz w:val="24"/>
          <w:szCs w:val="24"/>
        </w:rPr>
        <w:t>。</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采购人或者采购代理机构应当自</w:t>
      </w:r>
      <w:r>
        <w:rPr>
          <w:rFonts w:hint="eastAsia" w:ascii="仿宋" w:hAnsi="仿宋" w:eastAsia="仿宋" w:cs="仿宋"/>
          <w:color w:val="auto"/>
          <w:sz w:val="24"/>
          <w:szCs w:val="24"/>
          <w:lang w:eastAsia="zh-CN"/>
        </w:rPr>
        <w:t>中标人</w:t>
      </w:r>
      <w:r>
        <w:rPr>
          <w:rFonts w:hint="eastAsia" w:ascii="仿宋" w:hAnsi="仿宋" w:eastAsia="仿宋" w:cs="仿宋"/>
          <w:color w:val="auto"/>
          <w:sz w:val="24"/>
          <w:szCs w:val="24"/>
        </w:rPr>
        <w:t>确定之日起2个工作日内，在省级以上财政部门指定的媒体上公告中标结果。</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公告期限为1个工作日。</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7.2 除国务院财政部门规定的情形外，采购人、采购代理机构不得以任何理由组织重新评审。采购人、采购代理机构按照国务院财政部门的规定组织重新评审的，应当书面报告本级人民政府财政部门。</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7.3中标通知书发出后，采购人不得违法改变中标结果，</w:t>
      </w:r>
      <w:r>
        <w:rPr>
          <w:rFonts w:hint="eastAsia" w:ascii="仿宋" w:hAnsi="仿宋" w:eastAsia="仿宋" w:cs="仿宋"/>
          <w:color w:val="auto"/>
          <w:sz w:val="24"/>
          <w:szCs w:val="24"/>
          <w:lang w:eastAsia="zh-CN"/>
        </w:rPr>
        <w:t>中标人</w:t>
      </w:r>
      <w:r>
        <w:rPr>
          <w:rFonts w:hint="eastAsia" w:ascii="仿宋" w:hAnsi="仿宋" w:eastAsia="仿宋" w:cs="仿宋"/>
          <w:color w:val="auto"/>
          <w:sz w:val="24"/>
          <w:szCs w:val="24"/>
        </w:rPr>
        <w:t xml:space="preserve">无正当理由不得放弃中标。 </w:t>
      </w:r>
    </w:p>
    <w:p>
      <w:pPr>
        <w:pageBreakBefore w:val="0"/>
        <w:kinsoku/>
        <w:wordWrap/>
        <w:overflowPunct/>
        <w:topLinePunct w:val="0"/>
        <w:bidi w:val="0"/>
        <w:adjustRightInd/>
        <w:snapToGrid w:val="0"/>
        <w:spacing w:line="460" w:lineRule="exact"/>
        <w:ind w:firstLine="482" w:firstLineChars="200"/>
        <w:jc w:val="left"/>
        <w:textAlignment w:val="auto"/>
        <w:outlineLvl w:val="2"/>
        <w:rPr>
          <w:rFonts w:hint="eastAsia" w:ascii="仿宋" w:hAnsi="仿宋" w:eastAsia="仿宋" w:cs="仿宋"/>
          <w:b/>
          <w:color w:val="auto"/>
          <w:sz w:val="24"/>
          <w:szCs w:val="24"/>
        </w:rPr>
      </w:pPr>
      <w:r>
        <w:rPr>
          <w:rFonts w:hint="eastAsia" w:ascii="仿宋" w:hAnsi="仿宋" w:eastAsia="仿宋" w:cs="仿宋"/>
          <w:b/>
          <w:color w:val="auto"/>
          <w:sz w:val="24"/>
          <w:szCs w:val="24"/>
          <w:lang w:val="en-US" w:eastAsia="zh-CN"/>
        </w:rPr>
        <w:t>7.2</w:t>
      </w:r>
      <w:r>
        <w:rPr>
          <w:rFonts w:hint="eastAsia" w:ascii="仿宋" w:hAnsi="仿宋" w:eastAsia="仿宋" w:cs="仿宋"/>
          <w:b/>
          <w:color w:val="auto"/>
          <w:sz w:val="24"/>
          <w:szCs w:val="24"/>
        </w:rPr>
        <w:t>. 中标通知与中标结果公告</w:t>
      </w:r>
    </w:p>
    <w:p>
      <w:pPr>
        <w:pageBreakBefore w:val="0"/>
        <w:kinsoku/>
        <w:wordWrap/>
        <w:overflowPunct/>
        <w:topLinePunct w:val="0"/>
        <w:bidi w:val="0"/>
        <w:adjustRightInd/>
        <w:snapToGrid w:val="0"/>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7.2</w:t>
      </w:r>
      <w:r>
        <w:rPr>
          <w:rFonts w:hint="eastAsia" w:ascii="仿宋" w:hAnsi="仿宋" w:eastAsia="仿宋" w:cs="仿宋"/>
          <w:color w:val="auto"/>
          <w:sz w:val="24"/>
          <w:szCs w:val="24"/>
        </w:rPr>
        <w:t>.1自</w:t>
      </w:r>
      <w:r>
        <w:rPr>
          <w:rFonts w:hint="eastAsia" w:ascii="仿宋" w:hAnsi="仿宋" w:eastAsia="仿宋" w:cs="仿宋"/>
          <w:color w:val="auto"/>
          <w:sz w:val="24"/>
          <w:szCs w:val="24"/>
          <w:lang w:eastAsia="zh-CN"/>
        </w:rPr>
        <w:t>中标人</w:t>
      </w:r>
      <w:r>
        <w:rPr>
          <w:rFonts w:hint="eastAsia" w:ascii="仿宋" w:hAnsi="仿宋" w:eastAsia="仿宋" w:cs="仿宋"/>
          <w:color w:val="auto"/>
          <w:sz w:val="24"/>
          <w:szCs w:val="24"/>
        </w:rPr>
        <w:t>确定之日起2个工作日内，采购机构通过电子交易平台向</w:t>
      </w:r>
      <w:r>
        <w:rPr>
          <w:rFonts w:hint="eastAsia" w:ascii="仿宋" w:hAnsi="仿宋" w:eastAsia="仿宋" w:cs="仿宋"/>
          <w:color w:val="auto"/>
          <w:sz w:val="24"/>
          <w:szCs w:val="24"/>
          <w:lang w:eastAsia="zh-CN"/>
        </w:rPr>
        <w:t>中标人</w:t>
      </w:r>
      <w:r>
        <w:rPr>
          <w:rFonts w:hint="eastAsia" w:ascii="仿宋" w:hAnsi="仿宋" w:eastAsia="仿宋" w:cs="仿宋"/>
          <w:color w:val="auto"/>
          <w:sz w:val="24"/>
          <w:szCs w:val="24"/>
        </w:rPr>
        <w:t>发出中标通知书，同时编制发布采购结果公告。采购机构也可以以纸质形式进行中标通知。</w:t>
      </w:r>
    </w:p>
    <w:p>
      <w:pPr>
        <w:pageBreakBefore w:val="0"/>
        <w:widowControl/>
        <w:shd w:val="clear" w:color="auto" w:fill="FFFFFF"/>
        <w:kinsoku/>
        <w:wordWrap/>
        <w:overflowPunct/>
        <w:topLinePunct w:val="0"/>
        <w:bidi w:val="0"/>
        <w:adjustRightInd/>
        <w:spacing w:line="460" w:lineRule="exact"/>
        <w:ind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7.2</w:t>
      </w:r>
      <w:r>
        <w:rPr>
          <w:rFonts w:hint="eastAsia" w:ascii="仿宋" w:hAnsi="仿宋" w:eastAsia="仿宋" w:cs="仿宋"/>
          <w:color w:val="auto"/>
          <w:sz w:val="24"/>
          <w:szCs w:val="24"/>
        </w:rPr>
        <w:t>.2中标结果公告内容包括采购人及其委托的采购机构的名称、地址、联系方式，项目名称和项目编号，</w:t>
      </w:r>
      <w:r>
        <w:rPr>
          <w:rFonts w:hint="eastAsia" w:ascii="仿宋" w:hAnsi="仿宋" w:eastAsia="仿宋" w:cs="仿宋"/>
          <w:color w:val="auto"/>
          <w:sz w:val="24"/>
          <w:szCs w:val="24"/>
          <w:lang w:eastAsia="zh-CN"/>
        </w:rPr>
        <w:t>中标人</w:t>
      </w:r>
      <w:r>
        <w:rPr>
          <w:rFonts w:hint="eastAsia" w:ascii="仿宋" w:hAnsi="仿宋" w:eastAsia="仿宋" w:cs="仿宋"/>
          <w:color w:val="auto"/>
          <w:sz w:val="24"/>
          <w:szCs w:val="24"/>
        </w:rPr>
        <w:t>名称、地址和中标金额，主要中标标的的名称、规格型号、数量、单价、服务要求，开标记录、</w:t>
      </w:r>
      <w:bookmarkStart w:id="81" w:name="_Hlk101184471"/>
      <w:r>
        <w:rPr>
          <w:rFonts w:hint="eastAsia" w:ascii="仿宋" w:hAnsi="仿宋" w:eastAsia="仿宋" w:cs="仿宋"/>
          <w:color w:val="auto"/>
          <w:sz w:val="24"/>
          <w:szCs w:val="24"/>
        </w:rPr>
        <w:t>资格审查情况、评审专家抽取规则、符合性审查情况、</w:t>
      </w:r>
      <w:bookmarkEnd w:id="81"/>
      <w:r>
        <w:rPr>
          <w:rFonts w:hint="eastAsia" w:ascii="仿宋" w:hAnsi="仿宋" w:eastAsia="仿宋" w:cs="仿宋"/>
          <w:color w:val="auto"/>
          <w:sz w:val="24"/>
          <w:szCs w:val="24"/>
        </w:rPr>
        <w:t>未中标情况说明、中标公告期限以及评审专家名单、评分汇总及明细。</w:t>
      </w:r>
    </w:p>
    <w:p>
      <w:pPr>
        <w:pageBreakBefore w:val="0"/>
        <w:kinsoku/>
        <w:wordWrap/>
        <w:overflowPunct/>
        <w:topLinePunct w:val="0"/>
        <w:bidi w:val="0"/>
        <w:adjustRightInd/>
        <w:snapToGrid w:val="0"/>
        <w:spacing w:line="460" w:lineRule="exact"/>
        <w:ind w:firstLine="480" w:firstLineChars="200"/>
        <w:textAlignment w:val="auto"/>
        <w:rPr>
          <w:rFonts w:hint="eastAsia" w:ascii="仿宋" w:hAnsi="仿宋" w:eastAsia="仿宋" w:cs="仿宋"/>
          <w:b/>
          <w:color w:val="auto"/>
          <w:sz w:val="24"/>
          <w:szCs w:val="24"/>
        </w:rPr>
      </w:pPr>
      <w:r>
        <w:rPr>
          <w:rFonts w:hint="eastAsia" w:ascii="仿宋" w:hAnsi="仿宋" w:eastAsia="仿宋" w:cs="仿宋"/>
          <w:color w:val="auto"/>
          <w:sz w:val="24"/>
          <w:szCs w:val="24"/>
          <w:lang w:val="en-US" w:eastAsia="zh-CN"/>
        </w:rPr>
        <w:t>7.2</w:t>
      </w:r>
      <w:r>
        <w:rPr>
          <w:rFonts w:hint="eastAsia" w:ascii="仿宋" w:hAnsi="仿宋" w:eastAsia="仿宋" w:cs="仿宋"/>
          <w:color w:val="auto"/>
          <w:sz w:val="24"/>
          <w:szCs w:val="24"/>
        </w:rPr>
        <w:t>.3公告期限为1个工作日。</w:t>
      </w:r>
    </w:p>
    <w:p>
      <w:pPr>
        <w:pageBreakBefore w:val="0"/>
        <w:kinsoku/>
        <w:wordWrap/>
        <w:overflowPunct/>
        <w:topLinePunct w:val="0"/>
        <w:bidi w:val="0"/>
        <w:adjustRightInd/>
        <w:spacing w:line="460" w:lineRule="exact"/>
        <w:jc w:val="center"/>
        <w:textAlignment w:val="auto"/>
        <w:rPr>
          <w:rFonts w:hint="eastAsia" w:ascii="仿宋" w:hAnsi="仿宋" w:eastAsia="仿宋" w:cs="仿宋"/>
          <w:b/>
          <w:bCs/>
          <w:color w:val="auto"/>
          <w:sz w:val="32"/>
          <w:szCs w:val="32"/>
        </w:rPr>
      </w:pPr>
      <w:r>
        <w:rPr>
          <w:rFonts w:hint="eastAsia" w:ascii="仿宋" w:hAnsi="仿宋" w:eastAsia="仿宋" w:cs="仿宋"/>
          <w:b/>
          <w:bCs/>
          <w:color w:val="auto"/>
          <w:sz w:val="32"/>
          <w:szCs w:val="32"/>
          <w:lang w:eastAsia="zh-CN"/>
        </w:rPr>
        <w:t>八、</w:t>
      </w:r>
      <w:r>
        <w:rPr>
          <w:rFonts w:hint="eastAsia" w:ascii="仿宋" w:hAnsi="仿宋" w:eastAsia="仿宋" w:cs="仿宋"/>
          <w:b/>
          <w:bCs/>
          <w:color w:val="auto"/>
          <w:sz w:val="32"/>
          <w:szCs w:val="32"/>
        </w:rPr>
        <w:t>废标</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8</w:t>
      </w:r>
      <w:r>
        <w:rPr>
          <w:rFonts w:hint="eastAsia" w:ascii="仿宋" w:hAnsi="仿宋" w:eastAsia="仿宋" w:cs="仿宋"/>
          <w:color w:val="auto"/>
          <w:sz w:val="24"/>
          <w:szCs w:val="24"/>
        </w:rPr>
        <w:t>.1根据《中华人民共和国政府采购法》第三十六条，出现下列情形之一的，应予以废标：</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8.1.1</w:t>
      </w:r>
      <w:r>
        <w:rPr>
          <w:rFonts w:hint="eastAsia" w:ascii="仿宋" w:hAnsi="仿宋" w:eastAsia="仿宋" w:cs="仿宋"/>
          <w:color w:val="auto"/>
          <w:sz w:val="24"/>
          <w:szCs w:val="24"/>
        </w:rPr>
        <w:t>符合专业条件的供应商或者对采购文件作实质响应的供应商不足三家的；</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8.1.2</w:t>
      </w:r>
      <w:r>
        <w:rPr>
          <w:rFonts w:hint="eastAsia" w:ascii="仿宋" w:hAnsi="仿宋" w:eastAsia="仿宋" w:cs="仿宋"/>
          <w:color w:val="auto"/>
          <w:sz w:val="24"/>
          <w:szCs w:val="24"/>
        </w:rPr>
        <w:t>出现影响采购公正的违法、违规行为的；</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8.1.3</w:t>
      </w:r>
      <w:r>
        <w:rPr>
          <w:rFonts w:hint="eastAsia" w:ascii="仿宋" w:hAnsi="仿宋" w:eastAsia="仿宋" w:cs="仿宋"/>
          <w:color w:val="auto"/>
          <w:sz w:val="24"/>
          <w:szCs w:val="24"/>
        </w:rPr>
        <w:t>所有投标人的报价均超过了采购预算，采购人不能支付的；</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8.1.4</w:t>
      </w:r>
      <w:r>
        <w:rPr>
          <w:rFonts w:hint="eastAsia" w:ascii="仿宋" w:hAnsi="仿宋" w:eastAsia="仿宋" w:cs="仿宋"/>
          <w:color w:val="auto"/>
          <w:sz w:val="24"/>
          <w:szCs w:val="24"/>
        </w:rPr>
        <w:t>因重大变故，采购任务取消的。</w:t>
      </w:r>
    </w:p>
    <w:p>
      <w:pPr>
        <w:pageBreakBefore w:val="0"/>
        <w:kinsoku/>
        <w:wordWrap/>
        <w:overflowPunct/>
        <w:topLinePunct w:val="0"/>
        <w:bidi w:val="0"/>
        <w:adjustRightInd/>
        <w:spacing w:line="460" w:lineRule="exact"/>
        <w:ind w:left="718" w:leftChars="174" w:hanging="300" w:hangingChars="125"/>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8</w:t>
      </w:r>
      <w:r>
        <w:rPr>
          <w:rFonts w:hint="eastAsia" w:ascii="仿宋" w:hAnsi="仿宋" w:eastAsia="仿宋" w:cs="仿宋"/>
          <w:color w:val="auto"/>
          <w:sz w:val="24"/>
          <w:szCs w:val="24"/>
        </w:rPr>
        <w:t>.2采购过程中出现以下情形，导致电子交易平台无法正常运行，或者无法保证电子交易的公</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平、公正和安全时，采购组织机构可中止电子交易活动：</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8.2.1</w:t>
      </w:r>
      <w:r>
        <w:rPr>
          <w:rFonts w:hint="eastAsia" w:ascii="仿宋" w:hAnsi="仿宋" w:eastAsia="仿宋" w:cs="仿宋"/>
          <w:color w:val="auto"/>
          <w:sz w:val="24"/>
          <w:szCs w:val="24"/>
        </w:rPr>
        <w:t xml:space="preserve">电子交易平台发生故障而无法登录访问的； </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8.2.2</w:t>
      </w:r>
      <w:r>
        <w:rPr>
          <w:rFonts w:hint="eastAsia" w:ascii="仿宋" w:hAnsi="仿宋" w:eastAsia="仿宋" w:cs="仿宋"/>
          <w:color w:val="auto"/>
          <w:sz w:val="24"/>
          <w:szCs w:val="24"/>
        </w:rPr>
        <w:t>电子交易平台应用或数据库出现错误，不能进行正常操作的；</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8.2.3</w:t>
      </w:r>
      <w:r>
        <w:rPr>
          <w:rFonts w:hint="eastAsia" w:ascii="仿宋" w:hAnsi="仿宋" w:eastAsia="仿宋" w:cs="仿宋"/>
          <w:color w:val="auto"/>
          <w:sz w:val="24"/>
          <w:szCs w:val="24"/>
        </w:rPr>
        <w:t>电子交易平台发现严重安全漏洞，有潜在泄密危险的；</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8.2.4</w:t>
      </w:r>
      <w:r>
        <w:rPr>
          <w:rFonts w:hint="eastAsia" w:ascii="仿宋" w:hAnsi="仿宋" w:eastAsia="仿宋" w:cs="仿宋"/>
          <w:color w:val="auto"/>
          <w:sz w:val="24"/>
          <w:szCs w:val="24"/>
        </w:rPr>
        <w:t xml:space="preserve">病毒发作导致不能进行正常操作的； </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8.2.5</w:t>
      </w:r>
      <w:r>
        <w:rPr>
          <w:rFonts w:hint="eastAsia" w:ascii="仿宋" w:hAnsi="仿宋" w:eastAsia="仿宋" w:cs="仿宋"/>
          <w:color w:val="auto"/>
          <w:sz w:val="24"/>
          <w:szCs w:val="24"/>
        </w:rPr>
        <w:t>其他无法保证电子交易的公平、公正和安全的情况。</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出现前款规定情形，不影响采购公平、公正性的，采购组织机构可以待上述情形消除后继续组织电子交易活动，也可以决定某些环节以纸质形式进行；影响或可能影响采购公平、公正性的，应当重新采购。</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8.2.6</w:t>
      </w:r>
      <w:r>
        <w:rPr>
          <w:rFonts w:hint="eastAsia" w:ascii="仿宋" w:hAnsi="仿宋" w:eastAsia="仿宋" w:cs="仿宋"/>
          <w:color w:val="auto"/>
          <w:sz w:val="24"/>
          <w:szCs w:val="24"/>
        </w:rPr>
        <w:t xml:space="preserve"> 废标后，采购人应当将废标理由通知所有投标人并重新组织招标；或者经主管部门批准，采取其他方式组织采购。</w:t>
      </w:r>
    </w:p>
    <w:p>
      <w:pPr>
        <w:pStyle w:val="5"/>
        <w:pageBreakBefore w:val="0"/>
        <w:kinsoku/>
        <w:wordWrap/>
        <w:overflowPunct/>
        <w:topLinePunct w:val="0"/>
        <w:bidi w:val="0"/>
        <w:adjustRightInd/>
        <w:spacing w:line="460" w:lineRule="exact"/>
        <w:jc w:val="center"/>
        <w:textAlignment w:val="auto"/>
        <w:rPr>
          <w:rFonts w:hint="eastAsia" w:ascii="仿宋" w:hAnsi="仿宋" w:eastAsia="仿宋" w:cs="仿宋"/>
          <w:color w:val="auto"/>
          <w:sz w:val="32"/>
          <w:szCs w:val="32"/>
        </w:rPr>
      </w:pPr>
      <w:bookmarkStart w:id="82" w:name="_Toc450482502"/>
      <w:bookmarkStart w:id="83" w:name="_Toc54978896"/>
      <w:bookmarkStart w:id="84" w:name="_Toc35261577"/>
      <w:r>
        <w:rPr>
          <w:rFonts w:hint="eastAsia" w:ascii="仿宋" w:hAnsi="仿宋" w:eastAsia="仿宋" w:cs="仿宋"/>
          <w:color w:val="auto"/>
          <w:sz w:val="32"/>
          <w:szCs w:val="32"/>
          <w:lang w:eastAsia="zh-CN"/>
        </w:rPr>
        <w:t>九</w:t>
      </w:r>
      <w:r>
        <w:rPr>
          <w:rFonts w:hint="eastAsia" w:ascii="仿宋" w:hAnsi="仿宋" w:eastAsia="仿宋" w:cs="仿宋"/>
          <w:color w:val="auto"/>
          <w:sz w:val="32"/>
          <w:szCs w:val="32"/>
        </w:rPr>
        <w:t>、合同授予</w:t>
      </w:r>
      <w:bookmarkEnd w:id="82"/>
      <w:r>
        <w:rPr>
          <w:rFonts w:hint="eastAsia" w:ascii="仿宋" w:hAnsi="仿宋" w:eastAsia="仿宋" w:cs="仿宋"/>
          <w:color w:val="auto"/>
          <w:sz w:val="32"/>
          <w:szCs w:val="32"/>
        </w:rPr>
        <w:t>及签订</w:t>
      </w:r>
      <w:bookmarkEnd w:id="83"/>
      <w:bookmarkEnd w:id="84"/>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9</w:t>
      </w:r>
      <w:r>
        <w:rPr>
          <w:rFonts w:hint="eastAsia" w:ascii="仿宋" w:hAnsi="仿宋" w:eastAsia="仿宋" w:cs="仿宋"/>
          <w:color w:val="auto"/>
          <w:sz w:val="24"/>
          <w:szCs w:val="24"/>
        </w:rPr>
        <w:t>.1合同授予</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9</w:t>
      </w:r>
      <w:r>
        <w:rPr>
          <w:rFonts w:hint="eastAsia" w:ascii="仿宋" w:hAnsi="仿宋" w:eastAsia="仿宋" w:cs="仿宋"/>
          <w:color w:val="auto"/>
          <w:sz w:val="24"/>
          <w:szCs w:val="24"/>
        </w:rPr>
        <w:t>.1.1本项目的合同将授予按本须知第7.1.1款所确定的</w:t>
      </w:r>
      <w:r>
        <w:rPr>
          <w:rFonts w:hint="eastAsia" w:ascii="仿宋" w:hAnsi="仿宋" w:eastAsia="仿宋" w:cs="仿宋"/>
          <w:color w:val="auto"/>
          <w:sz w:val="24"/>
          <w:szCs w:val="24"/>
          <w:lang w:eastAsia="zh-CN"/>
        </w:rPr>
        <w:t>中标人</w:t>
      </w:r>
      <w:r>
        <w:rPr>
          <w:rFonts w:hint="eastAsia" w:ascii="仿宋" w:hAnsi="仿宋" w:eastAsia="仿宋" w:cs="仿宋"/>
          <w:color w:val="auto"/>
          <w:sz w:val="24"/>
          <w:szCs w:val="24"/>
        </w:rPr>
        <w:t>。</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9</w:t>
      </w:r>
      <w:r>
        <w:rPr>
          <w:rFonts w:hint="eastAsia" w:ascii="仿宋" w:hAnsi="仿宋" w:eastAsia="仿宋" w:cs="仿宋"/>
          <w:color w:val="auto"/>
          <w:sz w:val="24"/>
          <w:szCs w:val="24"/>
        </w:rPr>
        <w:t>.1.2 中标或者成交供应商拒绝与采购人签订合同的，采购人可以按照评审报告推荐的中标或者成交候选人名单排序，确定下一候选人为中标或者成交供应商，也可以重新开展采购活动。</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9</w:t>
      </w:r>
      <w:r>
        <w:rPr>
          <w:rFonts w:hint="eastAsia" w:ascii="仿宋" w:hAnsi="仿宋" w:eastAsia="仿宋" w:cs="仿宋"/>
          <w:color w:val="auto"/>
          <w:sz w:val="24"/>
          <w:szCs w:val="24"/>
        </w:rPr>
        <w:t>.2签订合同</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9</w:t>
      </w:r>
      <w:r>
        <w:rPr>
          <w:rFonts w:hint="eastAsia" w:ascii="仿宋" w:hAnsi="仿宋" w:eastAsia="仿宋" w:cs="仿宋"/>
          <w:color w:val="auto"/>
          <w:sz w:val="24"/>
          <w:szCs w:val="24"/>
        </w:rPr>
        <w:t xml:space="preserve">.2.1 </w:t>
      </w:r>
      <w:r>
        <w:rPr>
          <w:rFonts w:hint="eastAsia" w:ascii="仿宋" w:hAnsi="仿宋" w:eastAsia="仿宋" w:cs="仿宋"/>
          <w:color w:val="auto"/>
          <w:sz w:val="24"/>
          <w:szCs w:val="24"/>
          <w:lang w:eastAsia="zh-CN"/>
        </w:rPr>
        <w:t>中标人</w:t>
      </w:r>
      <w:r>
        <w:rPr>
          <w:rFonts w:hint="eastAsia" w:ascii="仿宋" w:hAnsi="仿宋" w:eastAsia="仿宋" w:cs="仿宋"/>
          <w:color w:val="auto"/>
          <w:sz w:val="24"/>
          <w:szCs w:val="24"/>
        </w:rPr>
        <w:t>应按中标通知书规定的时间与采购人签订合同。</w:t>
      </w:r>
      <w:r>
        <w:rPr>
          <w:rFonts w:hint="eastAsia" w:ascii="仿宋" w:hAnsi="仿宋" w:eastAsia="仿宋" w:cs="仿宋"/>
          <w:color w:val="auto"/>
          <w:sz w:val="24"/>
          <w:szCs w:val="24"/>
          <w:lang w:eastAsia="zh-CN"/>
        </w:rPr>
        <w:t>中标人</w:t>
      </w:r>
      <w:r>
        <w:rPr>
          <w:rFonts w:hint="eastAsia" w:ascii="仿宋" w:hAnsi="仿宋" w:eastAsia="仿宋" w:cs="仿宋"/>
          <w:color w:val="auto"/>
          <w:sz w:val="24"/>
          <w:szCs w:val="24"/>
        </w:rPr>
        <w:t>在领取中标通知书时须向采购人提供一份关于本项目在实施过程中的相关人员的通讯录作为合同附件。</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9</w:t>
      </w:r>
      <w:r>
        <w:rPr>
          <w:rFonts w:hint="eastAsia" w:ascii="仿宋" w:hAnsi="仿宋" w:eastAsia="仿宋" w:cs="仿宋"/>
          <w:color w:val="auto"/>
          <w:sz w:val="24"/>
          <w:szCs w:val="24"/>
        </w:rPr>
        <w:t xml:space="preserve">.2.2 </w:t>
      </w:r>
      <w:r>
        <w:rPr>
          <w:rFonts w:hint="eastAsia" w:ascii="仿宋" w:hAnsi="仿宋" w:eastAsia="仿宋" w:cs="仿宋"/>
          <w:color w:val="auto"/>
          <w:sz w:val="24"/>
          <w:szCs w:val="24"/>
          <w:lang w:eastAsia="zh-CN"/>
        </w:rPr>
        <w:t>中标人</w:t>
      </w:r>
      <w:r>
        <w:rPr>
          <w:rFonts w:hint="eastAsia" w:ascii="仿宋" w:hAnsi="仿宋" w:eastAsia="仿宋" w:cs="仿宋"/>
          <w:color w:val="auto"/>
          <w:sz w:val="24"/>
          <w:szCs w:val="24"/>
        </w:rPr>
        <w:t>如不遵守采购文件或投标文件各项条款的邀约与要约，或在接到中标通知书后借故拖延，拒签合同的，采购人将依据国家和采购文件有关规定要求</w:t>
      </w:r>
      <w:r>
        <w:rPr>
          <w:rFonts w:hint="eastAsia" w:ascii="仿宋" w:hAnsi="仿宋" w:eastAsia="仿宋" w:cs="仿宋"/>
          <w:color w:val="auto"/>
          <w:sz w:val="24"/>
          <w:szCs w:val="24"/>
          <w:lang w:eastAsia="zh-CN"/>
        </w:rPr>
        <w:t>中标人</w:t>
      </w:r>
      <w:r>
        <w:rPr>
          <w:rFonts w:hint="eastAsia" w:ascii="仿宋" w:hAnsi="仿宋" w:eastAsia="仿宋" w:cs="仿宋"/>
          <w:color w:val="auto"/>
          <w:sz w:val="24"/>
          <w:szCs w:val="24"/>
        </w:rPr>
        <w:t>予以赔偿，同时采购人可根据</w:t>
      </w:r>
      <w:r>
        <w:rPr>
          <w:rFonts w:hint="eastAsia" w:ascii="仿宋" w:hAnsi="仿宋" w:eastAsia="仿宋" w:cs="仿宋"/>
          <w:color w:val="auto"/>
          <w:sz w:val="24"/>
          <w:szCs w:val="24"/>
          <w:lang w:val="en-US" w:eastAsia="zh-CN"/>
        </w:rPr>
        <w:t>相关规定</w:t>
      </w:r>
      <w:r>
        <w:rPr>
          <w:rFonts w:hint="eastAsia" w:ascii="仿宋" w:hAnsi="仿宋" w:eastAsia="仿宋" w:cs="仿宋"/>
          <w:color w:val="auto"/>
          <w:sz w:val="24"/>
          <w:szCs w:val="24"/>
        </w:rPr>
        <w:t>另行选择</w:t>
      </w:r>
      <w:r>
        <w:rPr>
          <w:rFonts w:hint="eastAsia" w:ascii="仿宋" w:hAnsi="仿宋" w:eastAsia="仿宋" w:cs="仿宋"/>
          <w:color w:val="auto"/>
          <w:sz w:val="24"/>
          <w:szCs w:val="24"/>
          <w:lang w:eastAsia="zh-CN"/>
        </w:rPr>
        <w:t>中标人</w:t>
      </w:r>
      <w:r>
        <w:rPr>
          <w:rFonts w:hint="eastAsia" w:ascii="仿宋" w:hAnsi="仿宋" w:eastAsia="仿宋" w:cs="仿宋"/>
          <w:color w:val="auto"/>
          <w:sz w:val="24"/>
          <w:szCs w:val="24"/>
        </w:rPr>
        <w:t>；</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9</w:t>
      </w:r>
      <w:r>
        <w:rPr>
          <w:rFonts w:hint="eastAsia" w:ascii="仿宋" w:hAnsi="仿宋" w:eastAsia="仿宋" w:cs="仿宋"/>
          <w:color w:val="auto"/>
          <w:sz w:val="24"/>
          <w:szCs w:val="24"/>
        </w:rPr>
        <w:t>.2.3 采购文件、</w:t>
      </w:r>
      <w:r>
        <w:rPr>
          <w:rFonts w:hint="eastAsia" w:ascii="仿宋" w:hAnsi="仿宋" w:eastAsia="仿宋" w:cs="仿宋"/>
          <w:color w:val="auto"/>
          <w:sz w:val="24"/>
          <w:szCs w:val="24"/>
          <w:lang w:eastAsia="zh-CN"/>
        </w:rPr>
        <w:t>中标人</w:t>
      </w:r>
      <w:r>
        <w:rPr>
          <w:rFonts w:hint="eastAsia" w:ascii="仿宋" w:hAnsi="仿宋" w:eastAsia="仿宋" w:cs="仿宋"/>
          <w:color w:val="auto"/>
          <w:sz w:val="24"/>
          <w:szCs w:val="24"/>
        </w:rPr>
        <w:t>的投标文件及投标修改文件、评标过程中有关澄清文件及经投标人法定代表人或授权代表签字确认的询标回复和承诺及中标通知书均作为合同组成部分。</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9</w:t>
      </w:r>
      <w:r>
        <w:rPr>
          <w:rFonts w:hint="eastAsia" w:ascii="仿宋" w:hAnsi="仿宋" w:eastAsia="仿宋" w:cs="仿宋"/>
          <w:color w:val="auto"/>
          <w:sz w:val="24"/>
          <w:szCs w:val="24"/>
        </w:rPr>
        <w:t>.3履约保证金</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9</w:t>
      </w:r>
      <w:r>
        <w:rPr>
          <w:rFonts w:hint="eastAsia" w:ascii="仿宋" w:hAnsi="仿宋" w:eastAsia="仿宋" w:cs="仿宋"/>
          <w:color w:val="auto"/>
          <w:sz w:val="24"/>
          <w:szCs w:val="24"/>
        </w:rPr>
        <w:t>.3.1</w:t>
      </w:r>
      <w:r>
        <w:rPr>
          <w:rFonts w:hint="eastAsia" w:ascii="仿宋" w:hAnsi="仿宋" w:eastAsia="仿宋" w:cs="仿宋"/>
          <w:color w:val="auto"/>
          <w:sz w:val="24"/>
          <w:szCs w:val="24"/>
          <w:lang w:eastAsia="zh-CN"/>
        </w:rPr>
        <w:t>中标人</w:t>
      </w:r>
      <w:r>
        <w:rPr>
          <w:rFonts w:hint="eastAsia" w:ascii="仿宋" w:hAnsi="仿宋" w:eastAsia="仿宋" w:cs="仿宋"/>
          <w:color w:val="auto"/>
          <w:sz w:val="24"/>
          <w:szCs w:val="24"/>
        </w:rPr>
        <w:t>按“投标人须知前附表”规定的缴纳履约保证金。</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9</w:t>
      </w:r>
      <w:r>
        <w:rPr>
          <w:rFonts w:hint="eastAsia" w:ascii="仿宋" w:hAnsi="仿宋" w:eastAsia="仿宋" w:cs="仿宋"/>
          <w:color w:val="auto"/>
          <w:sz w:val="24"/>
          <w:szCs w:val="24"/>
        </w:rPr>
        <w:t>.3.2履约保证金有效期按“投标人须知前附表”规定。</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9</w:t>
      </w:r>
      <w:r>
        <w:rPr>
          <w:rFonts w:hint="eastAsia" w:ascii="仿宋" w:hAnsi="仿宋" w:eastAsia="仿宋" w:cs="仿宋"/>
          <w:color w:val="auto"/>
          <w:sz w:val="24"/>
          <w:szCs w:val="24"/>
        </w:rPr>
        <w:t>.3.3履约保证金有效期结束后，</w:t>
      </w:r>
      <w:r>
        <w:rPr>
          <w:rFonts w:hint="eastAsia" w:ascii="仿宋" w:hAnsi="仿宋" w:eastAsia="仿宋" w:cs="仿宋"/>
          <w:color w:val="auto"/>
          <w:sz w:val="24"/>
          <w:szCs w:val="24"/>
          <w:lang w:eastAsia="zh-CN"/>
        </w:rPr>
        <w:t>中标人</w:t>
      </w:r>
      <w:r>
        <w:rPr>
          <w:rFonts w:hint="eastAsia" w:ascii="仿宋" w:hAnsi="仿宋" w:eastAsia="仿宋" w:cs="仿宋"/>
          <w:color w:val="auto"/>
          <w:sz w:val="24"/>
          <w:szCs w:val="24"/>
        </w:rPr>
        <w:t>凭保证金收据无息退还。</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9</w:t>
      </w:r>
      <w:r>
        <w:rPr>
          <w:rFonts w:hint="eastAsia" w:ascii="仿宋" w:hAnsi="仿宋" w:eastAsia="仿宋" w:cs="仿宋"/>
          <w:color w:val="auto"/>
          <w:sz w:val="24"/>
          <w:szCs w:val="24"/>
        </w:rPr>
        <w:t>.3.4如投标人有下列情况，投标人将承担赔偿责任，赔偿金额为项目预算金额的2%，如实际损失超过前述金额的，投标人需赔偿超过前述金额部分的实际损失。</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9.3.4.1</w:t>
      </w:r>
      <w:r>
        <w:rPr>
          <w:rFonts w:hint="eastAsia" w:ascii="仿宋" w:hAnsi="仿宋" w:eastAsia="仿宋" w:cs="仿宋"/>
          <w:color w:val="auto"/>
          <w:sz w:val="24"/>
          <w:szCs w:val="24"/>
        </w:rPr>
        <w:t>投标人在投标截止时间后撤销投标文件的；</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9.3.4.2</w:t>
      </w:r>
      <w:r>
        <w:rPr>
          <w:rFonts w:hint="eastAsia" w:ascii="仿宋" w:hAnsi="仿宋" w:eastAsia="仿宋" w:cs="仿宋"/>
          <w:color w:val="auto"/>
          <w:sz w:val="24"/>
          <w:szCs w:val="24"/>
        </w:rPr>
        <w:t>投标人未按规定签订合同或转让中标的；</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9.3.4.3</w:t>
      </w:r>
      <w:r>
        <w:rPr>
          <w:rFonts w:hint="eastAsia" w:ascii="仿宋" w:hAnsi="仿宋" w:eastAsia="仿宋" w:cs="仿宋"/>
          <w:color w:val="auto"/>
          <w:sz w:val="24"/>
          <w:szCs w:val="24"/>
        </w:rPr>
        <w:t>其他投标人违反《中华人民共和国</w:t>
      </w:r>
      <w:r>
        <w:rPr>
          <w:rFonts w:hint="eastAsia" w:ascii="仿宋" w:hAnsi="仿宋" w:eastAsia="仿宋" w:cs="仿宋"/>
          <w:color w:val="auto"/>
          <w:sz w:val="24"/>
          <w:szCs w:val="24"/>
          <w:lang w:eastAsia="zh-CN"/>
        </w:rPr>
        <w:t>招标投标</w:t>
      </w:r>
      <w:r>
        <w:rPr>
          <w:rFonts w:hint="eastAsia" w:ascii="仿宋" w:hAnsi="仿宋" w:eastAsia="仿宋" w:cs="仿宋"/>
          <w:color w:val="auto"/>
          <w:sz w:val="24"/>
          <w:szCs w:val="24"/>
        </w:rPr>
        <w:t>法》等法律法规规定，给采购人造成损失的。</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9</w:t>
      </w:r>
      <w:r>
        <w:rPr>
          <w:rFonts w:hint="eastAsia" w:ascii="仿宋" w:hAnsi="仿宋" w:eastAsia="仿宋" w:cs="仿宋"/>
          <w:color w:val="auto"/>
          <w:sz w:val="24"/>
          <w:szCs w:val="24"/>
        </w:rPr>
        <w:t>.4采购代理服务费</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本次采购代理服务费按“投标人须知前附表”规定收取。</w:t>
      </w:r>
      <w:bookmarkStart w:id="85" w:name="_Toc248065069"/>
      <w:bookmarkStart w:id="86" w:name="_Toc180555950"/>
      <w:bookmarkStart w:id="87" w:name="_Toc226337791"/>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9</w:t>
      </w:r>
      <w:r>
        <w:rPr>
          <w:rFonts w:hint="eastAsia" w:ascii="仿宋" w:hAnsi="仿宋" w:eastAsia="仿宋" w:cs="仿宋"/>
          <w:color w:val="auto"/>
          <w:sz w:val="24"/>
          <w:szCs w:val="24"/>
        </w:rPr>
        <w:t>.5诚实信用</w:t>
      </w:r>
      <w:bookmarkEnd w:id="85"/>
      <w:bookmarkEnd w:id="86"/>
      <w:bookmarkEnd w:id="87"/>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bookmarkStart w:id="88" w:name="_Toc248065070"/>
      <w:bookmarkStart w:id="89" w:name="_Toc226337792"/>
      <w:bookmarkStart w:id="90" w:name="_Toc180555951"/>
      <w:r>
        <w:rPr>
          <w:rFonts w:hint="eastAsia" w:ascii="仿宋" w:hAnsi="仿宋" w:eastAsia="仿宋" w:cs="仿宋"/>
          <w:color w:val="auto"/>
          <w:sz w:val="24"/>
          <w:szCs w:val="24"/>
          <w:lang w:val="en-US" w:eastAsia="zh-CN"/>
        </w:rPr>
        <w:t>9</w:t>
      </w:r>
      <w:r>
        <w:rPr>
          <w:rFonts w:hint="eastAsia" w:ascii="仿宋" w:hAnsi="仿宋" w:eastAsia="仿宋" w:cs="仿宋"/>
          <w:color w:val="auto"/>
          <w:sz w:val="24"/>
          <w:szCs w:val="24"/>
        </w:rPr>
        <w:t>.5.1投标人在本招标项目的竞争中应自觉遵循诚实信用原则，不得存在腐败、欺诈或其他严重违背诚信原则的行为。“腐败行为”是指提供、给予任何有价值的东西来影响采购人员在采购过程或合同实施过程中的行为；“欺诈行为”是指为了影响采购过程或合同实施过程而谎报、隐瞒事实，损害采购人的利益，包括投标人之间串通投标（递交投标文件之前或之后），人为地使投标丧失竞争性，损害采购人从公开竞争中所能获得的权益。</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9</w:t>
      </w:r>
      <w:r>
        <w:rPr>
          <w:rFonts w:hint="eastAsia" w:ascii="仿宋" w:hAnsi="仿宋" w:eastAsia="仿宋" w:cs="仿宋"/>
          <w:color w:val="auto"/>
          <w:sz w:val="24"/>
          <w:szCs w:val="24"/>
        </w:rPr>
        <w:t>.5.2如果采购人有证据表明投标人在本招标项目的竞争中存在腐败、欺诈、失信记录或其他严重违背诚信原则的行为，则将拒绝其投标，或中标无效。</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9</w:t>
      </w:r>
      <w:r>
        <w:rPr>
          <w:rFonts w:hint="eastAsia" w:ascii="仿宋" w:hAnsi="仿宋" w:eastAsia="仿宋" w:cs="仿宋"/>
          <w:color w:val="auto"/>
          <w:sz w:val="24"/>
          <w:szCs w:val="24"/>
        </w:rPr>
        <w:t>.5.3如果</w:t>
      </w:r>
      <w:r>
        <w:rPr>
          <w:rFonts w:hint="eastAsia" w:ascii="仿宋" w:hAnsi="仿宋" w:eastAsia="仿宋" w:cs="仿宋"/>
          <w:color w:val="auto"/>
          <w:sz w:val="24"/>
          <w:szCs w:val="24"/>
          <w:lang w:eastAsia="zh-CN"/>
        </w:rPr>
        <w:t>中标人</w:t>
      </w:r>
      <w:r>
        <w:rPr>
          <w:rFonts w:hint="eastAsia" w:ascii="仿宋" w:hAnsi="仿宋" w:eastAsia="仿宋" w:cs="仿宋"/>
          <w:color w:val="auto"/>
          <w:sz w:val="24"/>
          <w:szCs w:val="24"/>
        </w:rPr>
        <w:t>没有按照采购文件和中标通知书的规定签订合同，报</w:t>
      </w:r>
      <w:r>
        <w:rPr>
          <w:rFonts w:hint="eastAsia" w:ascii="仿宋" w:hAnsi="仿宋" w:eastAsia="仿宋" w:cs="仿宋"/>
          <w:color w:val="auto"/>
          <w:sz w:val="24"/>
          <w:szCs w:val="24"/>
          <w:lang w:eastAsia="zh-CN"/>
        </w:rPr>
        <w:t>嵊州市</w:t>
      </w:r>
      <w:r>
        <w:rPr>
          <w:rFonts w:hint="eastAsia" w:ascii="仿宋" w:hAnsi="仿宋" w:eastAsia="仿宋" w:cs="仿宋"/>
          <w:color w:val="auto"/>
          <w:sz w:val="24"/>
          <w:szCs w:val="24"/>
        </w:rPr>
        <w:t>采购监督管理部门按照采购的有关规定进行处理。</w:t>
      </w:r>
      <w:bookmarkEnd w:id="88"/>
      <w:bookmarkEnd w:id="89"/>
      <w:bookmarkEnd w:id="90"/>
    </w:p>
    <w:p>
      <w:pPr>
        <w:pStyle w:val="5"/>
        <w:pageBreakBefore w:val="0"/>
        <w:kinsoku/>
        <w:wordWrap/>
        <w:overflowPunct/>
        <w:topLinePunct w:val="0"/>
        <w:bidi w:val="0"/>
        <w:adjustRightInd/>
        <w:spacing w:line="460" w:lineRule="exact"/>
        <w:jc w:val="center"/>
        <w:textAlignment w:val="auto"/>
        <w:rPr>
          <w:rFonts w:hint="eastAsia" w:ascii="仿宋" w:hAnsi="仿宋" w:eastAsia="仿宋" w:cs="仿宋"/>
          <w:color w:val="auto"/>
          <w:sz w:val="32"/>
          <w:szCs w:val="32"/>
        </w:rPr>
      </w:pPr>
      <w:bookmarkStart w:id="91" w:name="_Toc54978897"/>
      <w:bookmarkStart w:id="92" w:name="_Toc35261578"/>
      <w:r>
        <w:rPr>
          <w:rFonts w:hint="eastAsia" w:ascii="仿宋" w:hAnsi="仿宋" w:eastAsia="仿宋" w:cs="仿宋"/>
          <w:color w:val="auto"/>
          <w:sz w:val="32"/>
          <w:szCs w:val="32"/>
          <w:lang w:eastAsia="zh-CN"/>
        </w:rPr>
        <w:t>十</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询问、</w:t>
      </w:r>
      <w:r>
        <w:rPr>
          <w:rFonts w:hint="eastAsia" w:ascii="仿宋" w:hAnsi="仿宋" w:eastAsia="仿宋" w:cs="仿宋"/>
          <w:color w:val="auto"/>
          <w:sz w:val="32"/>
          <w:szCs w:val="32"/>
        </w:rPr>
        <w:t>投诉</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质疑</w:t>
      </w:r>
      <w:bookmarkEnd w:id="91"/>
      <w:bookmarkEnd w:id="92"/>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根据《中华人民共和国政府采购法》、《财政部关于加强政府采购供应商投诉受理审查工作的通知》(财库〔2007〕1号)和《政府采购质疑和投诉办法》（财政部令第94号）的规定，采购供应商（投标人，下同）可以依法提起质疑和投诉。</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质疑函范本、投诉书范本请到浙江政府采购网下载专区下载。</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10</w:t>
      </w:r>
      <w:r>
        <w:rPr>
          <w:rFonts w:hint="eastAsia" w:ascii="仿宋" w:hAnsi="仿宋" w:eastAsia="仿宋" w:cs="仿宋"/>
          <w:color w:val="auto"/>
          <w:sz w:val="24"/>
          <w:szCs w:val="24"/>
        </w:rPr>
        <w:t>.1供应商询问</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供应商对采购活动事项有疑问的，可以向采购机构提出询问，采购人或者采购代理机构应当在3个工作日内对供应商依法提出的询问作出答复，但答复的内容不得涉及商业秘密。</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10</w:t>
      </w:r>
      <w:r>
        <w:rPr>
          <w:rFonts w:hint="eastAsia" w:ascii="仿宋" w:hAnsi="仿宋" w:eastAsia="仿宋" w:cs="仿宋"/>
          <w:color w:val="auto"/>
          <w:sz w:val="24"/>
          <w:szCs w:val="24"/>
        </w:rPr>
        <w:t>.2供应商质疑</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10</w:t>
      </w:r>
      <w:r>
        <w:rPr>
          <w:rFonts w:hint="eastAsia" w:ascii="仿宋" w:hAnsi="仿宋" w:eastAsia="仿宋" w:cs="仿宋"/>
          <w:color w:val="auto"/>
          <w:sz w:val="24"/>
          <w:szCs w:val="24"/>
        </w:rPr>
        <w:t>.2.1投标人认为采购文件、采购过程、中标或者成交结果使自己的权益受到损害的，可以在知道或者应知其权益受到损害之日起7个工作日内，以书面形式向采购人、采购代理机构提出质疑。</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本项目要求投标人在法定质疑期内一次性提出针对同一采购程序环节的质疑。</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10</w:t>
      </w:r>
      <w:r>
        <w:rPr>
          <w:rFonts w:hint="eastAsia" w:ascii="仿宋" w:hAnsi="仿宋" w:eastAsia="仿宋" w:cs="仿宋"/>
          <w:color w:val="auto"/>
          <w:sz w:val="24"/>
          <w:szCs w:val="24"/>
        </w:rPr>
        <w:t>.2.2提出质疑的投标人（以下简称质疑人）应当是参与所质疑项目采购活动的投标人。</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潜在投标人已依法获取其可质疑的采购文件的，可以对该文件提出质疑。对采购文件提出质疑的，应当在获取采购文件或者采购文件公告期限届满之日起7个工作日内提出。</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10</w:t>
      </w:r>
      <w:r>
        <w:rPr>
          <w:rFonts w:hint="eastAsia" w:ascii="仿宋" w:hAnsi="仿宋" w:eastAsia="仿宋" w:cs="仿宋"/>
          <w:color w:val="auto"/>
          <w:sz w:val="24"/>
          <w:szCs w:val="24"/>
        </w:rPr>
        <w:t>.2.3投标人提出质疑应当提交质疑函和必要的证明材料。质疑函应当包括下列内容：</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（一）投标人的姓名或者名称、地址、邮编、联系人及联系电话；</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（二）质疑项目的名称、编号；</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（三）具体、明确的质疑事项和与质疑事项相关的请求；</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（四）事实依据；</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（五）必要的法律依据；</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（六）提出质疑的日期。</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投标人为自然人的，应当由本人签字；投标人为法人或者其他组织的，应当由法定代表人、主要负责人，或者其授权代表签字或者盖章，并加盖公章。</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10</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.4采购人、采购代理机构在收到法定质疑期内发出的质疑函后7个工作日内作出答复，并以书面形式通知质疑人和其他有关投标人。质疑答复的内容不得涉及商业秘密。</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10</w:t>
      </w:r>
      <w:r>
        <w:rPr>
          <w:rFonts w:hint="eastAsia" w:ascii="仿宋" w:hAnsi="仿宋" w:eastAsia="仿宋" w:cs="仿宋"/>
          <w:color w:val="auto"/>
          <w:sz w:val="24"/>
          <w:szCs w:val="24"/>
        </w:rPr>
        <w:t>.3供应商投诉</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质疑供应商对采购机构的答复不满意或者采购机构未在规定的时间内作出答复的，可以在答复期满后十五个工作日内向同级采购监督管理部门提出投诉。</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10</w:t>
      </w:r>
      <w:r>
        <w:rPr>
          <w:rFonts w:hint="eastAsia" w:ascii="仿宋" w:hAnsi="仿宋" w:eastAsia="仿宋" w:cs="仿宋"/>
          <w:color w:val="auto"/>
          <w:sz w:val="24"/>
          <w:szCs w:val="24"/>
        </w:rPr>
        <w:t>.4采购结束</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10</w:t>
      </w:r>
      <w:r>
        <w:rPr>
          <w:rFonts w:hint="eastAsia" w:ascii="仿宋" w:hAnsi="仿宋" w:eastAsia="仿宋" w:cs="仿宋"/>
          <w:color w:val="auto"/>
          <w:sz w:val="24"/>
          <w:szCs w:val="24"/>
        </w:rPr>
        <w:t>.4.1</w:t>
      </w:r>
      <w:r>
        <w:rPr>
          <w:rFonts w:hint="eastAsia" w:ascii="仿宋" w:hAnsi="仿宋" w:eastAsia="仿宋" w:cs="仿宋"/>
          <w:color w:val="auto"/>
          <w:sz w:val="24"/>
          <w:szCs w:val="24"/>
          <w:lang w:eastAsia="zh-CN"/>
        </w:rPr>
        <w:t>中标人</w:t>
      </w:r>
      <w:r>
        <w:rPr>
          <w:rFonts w:hint="eastAsia" w:ascii="仿宋" w:hAnsi="仿宋" w:eastAsia="仿宋" w:cs="仿宋"/>
          <w:color w:val="auto"/>
          <w:sz w:val="24"/>
          <w:szCs w:val="24"/>
        </w:rPr>
        <w:t>与采购人签订合同生效后即为采购结束。</w:t>
      </w:r>
    </w:p>
    <w:p>
      <w:pPr>
        <w:pageBreakBefore w:val="0"/>
        <w:kinsoku/>
        <w:wordWrap/>
        <w:overflowPunct/>
        <w:topLinePunct w:val="0"/>
        <w:bidi w:val="0"/>
        <w:adjustRightInd/>
        <w:spacing w:line="460" w:lineRule="exact"/>
        <w:ind w:firstLine="42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10</w:t>
      </w:r>
      <w:r>
        <w:rPr>
          <w:rFonts w:hint="eastAsia" w:ascii="仿宋" w:hAnsi="仿宋" w:eastAsia="仿宋" w:cs="仿宋"/>
          <w:color w:val="auto"/>
          <w:sz w:val="24"/>
          <w:szCs w:val="24"/>
        </w:rPr>
        <w:t>.4.2本项目的投标文件不予退回。</w:t>
      </w:r>
    </w:p>
    <w:p>
      <w:pPr>
        <w:pageBreakBefore w:val="0"/>
        <w:kinsoku/>
        <w:wordWrap/>
        <w:overflowPunct/>
        <w:topLinePunct w:val="0"/>
        <w:bidi w:val="0"/>
        <w:adjustRightInd/>
        <w:snapToGrid w:val="0"/>
        <w:spacing w:line="460" w:lineRule="exact"/>
        <w:jc w:val="both"/>
        <w:textAlignment w:val="auto"/>
        <w:outlineLvl w:val="1"/>
        <w:rPr>
          <w:rFonts w:hint="eastAsia" w:ascii="仿宋" w:hAnsi="仿宋" w:eastAsia="仿宋" w:cs="仿宋"/>
          <w:b/>
          <w:color w:val="auto"/>
          <w:sz w:val="24"/>
          <w:szCs w:val="24"/>
          <w:lang w:eastAsia="zh-CN"/>
        </w:rPr>
      </w:pPr>
      <w:bookmarkStart w:id="93" w:name="_Toc54978898"/>
    </w:p>
    <w:p>
      <w:pPr>
        <w:pageBreakBefore w:val="0"/>
        <w:kinsoku/>
        <w:wordWrap/>
        <w:overflowPunct/>
        <w:topLinePunct w:val="0"/>
        <w:bidi w:val="0"/>
        <w:adjustRightInd/>
        <w:snapToGrid w:val="0"/>
        <w:spacing w:line="460" w:lineRule="exact"/>
        <w:jc w:val="center"/>
        <w:textAlignment w:val="auto"/>
        <w:outlineLvl w:val="1"/>
        <w:rPr>
          <w:rFonts w:hint="eastAsia" w:ascii="仿宋" w:hAnsi="仿宋" w:eastAsia="仿宋" w:cs="仿宋"/>
          <w:b/>
          <w:color w:val="auto"/>
          <w:sz w:val="32"/>
          <w:szCs w:val="32"/>
        </w:rPr>
      </w:pPr>
      <w:r>
        <w:rPr>
          <w:rFonts w:hint="eastAsia" w:ascii="仿宋" w:hAnsi="仿宋" w:eastAsia="仿宋" w:cs="仿宋"/>
          <w:b/>
          <w:color w:val="auto"/>
          <w:sz w:val="32"/>
          <w:szCs w:val="32"/>
          <w:lang w:eastAsia="zh-CN"/>
        </w:rPr>
        <w:t>十一、</w:t>
      </w:r>
      <w:r>
        <w:rPr>
          <w:rFonts w:hint="eastAsia" w:ascii="仿宋" w:hAnsi="仿宋" w:eastAsia="仿宋" w:cs="仿宋"/>
          <w:b/>
          <w:color w:val="auto"/>
          <w:sz w:val="32"/>
          <w:szCs w:val="32"/>
        </w:rPr>
        <w:t>电子交易活动的中止</w:t>
      </w:r>
    </w:p>
    <w:p>
      <w:pPr>
        <w:pageBreakBefore w:val="0"/>
        <w:kinsoku/>
        <w:wordWrap/>
        <w:overflowPunct/>
        <w:topLinePunct w:val="0"/>
        <w:bidi w:val="0"/>
        <w:adjustRightInd/>
        <w:snapToGrid w:val="0"/>
        <w:spacing w:line="460" w:lineRule="exact"/>
        <w:jc w:val="left"/>
        <w:textAlignment w:val="auto"/>
        <w:outlineLvl w:val="2"/>
        <w:rPr>
          <w:rFonts w:hint="eastAsia" w:ascii="仿宋" w:hAnsi="仿宋" w:eastAsia="仿宋" w:cs="仿宋"/>
          <w:b/>
          <w:color w:val="auto"/>
          <w:sz w:val="24"/>
          <w:szCs w:val="24"/>
        </w:rPr>
      </w:pPr>
      <w:r>
        <w:rPr>
          <w:rFonts w:hint="eastAsia" w:ascii="仿宋" w:hAnsi="仿宋" w:eastAsia="仿宋" w:cs="仿宋"/>
          <w:b/>
          <w:color w:val="auto"/>
          <w:sz w:val="24"/>
          <w:szCs w:val="24"/>
        </w:rPr>
        <w:t xml:space="preserve"> </w:t>
      </w:r>
      <w:r>
        <w:rPr>
          <w:rFonts w:hint="eastAsia" w:ascii="仿宋" w:hAnsi="仿宋" w:eastAsia="仿宋" w:cs="仿宋"/>
          <w:b/>
          <w:color w:val="auto"/>
          <w:sz w:val="24"/>
          <w:szCs w:val="24"/>
          <w:lang w:val="en-US" w:eastAsia="zh-CN"/>
        </w:rPr>
        <w:t xml:space="preserve">  11.1</w:t>
      </w:r>
      <w:r>
        <w:rPr>
          <w:rFonts w:hint="eastAsia" w:ascii="仿宋" w:hAnsi="仿宋" w:eastAsia="仿宋" w:cs="仿宋"/>
          <w:b/>
          <w:color w:val="auto"/>
          <w:sz w:val="24"/>
          <w:szCs w:val="24"/>
        </w:rPr>
        <w:t>电子交易活动的中止。</w:t>
      </w:r>
    </w:p>
    <w:p>
      <w:pPr>
        <w:pageBreakBefore w:val="0"/>
        <w:kinsoku/>
        <w:wordWrap/>
        <w:overflowPunct/>
        <w:topLinePunct w:val="0"/>
        <w:bidi w:val="0"/>
        <w:adjustRightInd/>
        <w:snapToGrid w:val="0"/>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采购过程中出现以下情形，导致电子交易平台无法正常运行，或者无法保证电子交易的公平、公正和安全时，采购机构可中止电子交易活动：</w:t>
      </w:r>
    </w:p>
    <w:p>
      <w:pPr>
        <w:pageBreakBefore w:val="0"/>
        <w:kinsoku/>
        <w:wordWrap/>
        <w:overflowPunct/>
        <w:topLinePunct w:val="0"/>
        <w:bidi w:val="0"/>
        <w:adjustRightInd/>
        <w:snapToGrid w:val="0"/>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11</w:t>
      </w:r>
      <w:r>
        <w:rPr>
          <w:rFonts w:hint="eastAsia" w:ascii="仿宋" w:hAnsi="仿宋" w:eastAsia="仿宋" w:cs="仿宋"/>
          <w:color w:val="auto"/>
          <w:sz w:val="24"/>
          <w:szCs w:val="24"/>
        </w:rPr>
        <w:t>.1</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 xml:space="preserve">电子交易平台发生故障而无法登录访问的； </w:t>
      </w:r>
    </w:p>
    <w:p>
      <w:pPr>
        <w:pageBreakBefore w:val="0"/>
        <w:kinsoku/>
        <w:wordWrap/>
        <w:overflowPunct/>
        <w:topLinePunct w:val="0"/>
        <w:bidi w:val="0"/>
        <w:adjustRightInd/>
        <w:snapToGrid w:val="0"/>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11.1.2</w:t>
      </w:r>
      <w:r>
        <w:rPr>
          <w:rFonts w:hint="eastAsia" w:ascii="仿宋" w:hAnsi="仿宋" w:eastAsia="仿宋" w:cs="仿宋"/>
          <w:color w:val="auto"/>
          <w:sz w:val="24"/>
          <w:szCs w:val="24"/>
        </w:rPr>
        <w:t>电子交易平台应用或数据库出现错误，不能进行正常操作的；</w:t>
      </w:r>
    </w:p>
    <w:p>
      <w:pPr>
        <w:pageBreakBefore w:val="0"/>
        <w:kinsoku/>
        <w:wordWrap/>
        <w:overflowPunct/>
        <w:topLinePunct w:val="0"/>
        <w:bidi w:val="0"/>
        <w:adjustRightInd/>
        <w:snapToGrid w:val="0"/>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11.1.3</w:t>
      </w:r>
      <w:r>
        <w:rPr>
          <w:rFonts w:hint="eastAsia" w:ascii="仿宋" w:hAnsi="仿宋" w:eastAsia="仿宋" w:cs="仿宋"/>
          <w:color w:val="auto"/>
          <w:sz w:val="24"/>
          <w:szCs w:val="24"/>
        </w:rPr>
        <w:t>电子交易平台发现严重安全漏洞，有潜在泄密危险的；</w:t>
      </w:r>
    </w:p>
    <w:p>
      <w:pPr>
        <w:pageBreakBefore w:val="0"/>
        <w:kinsoku/>
        <w:wordWrap/>
        <w:overflowPunct/>
        <w:topLinePunct w:val="0"/>
        <w:bidi w:val="0"/>
        <w:adjustRightInd/>
        <w:snapToGrid w:val="0"/>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11.1.4</w:t>
      </w:r>
      <w:r>
        <w:rPr>
          <w:rFonts w:hint="eastAsia" w:ascii="仿宋" w:hAnsi="仿宋" w:eastAsia="仿宋" w:cs="仿宋"/>
          <w:color w:val="auto"/>
          <w:sz w:val="24"/>
          <w:szCs w:val="24"/>
        </w:rPr>
        <w:t>病毒发作导致不能进行正常操作的；</w:t>
      </w:r>
    </w:p>
    <w:p>
      <w:pPr>
        <w:pageBreakBefore w:val="0"/>
        <w:kinsoku/>
        <w:wordWrap/>
        <w:overflowPunct/>
        <w:topLinePunct w:val="0"/>
        <w:bidi w:val="0"/>
        <w:adjustRightInd/>
        <w:snapToGrid w:val="0"/>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11.1.5</w:t>
      </w:r>
      <w:r>
        <w:rPr>
          <w:rFonts w:hint="eastAsia" w:ascii="仿宋" w:hAnsi="仿宋" w:eastAsia="仿宋" w:cs="仿宋"/>
          <w:color w:val="auto"/>
          <w:sz w:val="24"/>
          <w:szCs w:val="24"/>
        </w:rPr>
        <w:t>其他无法保证电子交易的公平、公正和安全的情况。</w:t>
      </w:r>
    </w:p>
    <w:p>
      <w:pPr>
        <w:pageBreakBefore w:val="0"/>
        <w:widowControl/>
        <w:kinsoku/>
        <w:wordWrap/>
        <w:overflowPunct/>
        <w:topLinePunct w:val="0"/>
        <w:bidi w:val="0"/>
        <w:adjustRightInd/>
        <w:snapToGrid w:val="0"/>
        <w:spacing w:line="460" w:lineRule="exact"/>
        <w:jc w:val="left"/>
        <w:textAlignment w:val="auto"/>
        <w:rPr>
          <w:rFonts w:hint="eastAsia" w:ascii="仿宋" w:hAnsi="仿宋" w:eastAsia="仿宋" w:cs="仿宋"/>
          <w:color w:val="auto"/>
          <w:sz w:val="24"/>
          <w:szCs w:val="24"/>
          <w:lang w:val="zh-CN"/>
        </w:rPr>
      </w:pPr>
      <w:r>
        <w:rPr>
          <w:rFonts w:hint="eastAsia" w:ascii="仿宋" w:hAnsi="仿宋" w:eastAsia="仿宋" w:cs="仿宋"/>
          <w:color w:val="auto"/>
          <w:sz w:val="24"/>
          <w:szCs w:val="24"/>
        </w:rPr>
        <w:t>出现以上情形，不影响采购公平、公正性的，采购组织机构可以待上述情形消除后继续组织电子交易活动，也可以决定某些环节以纸质形式进行；影响或可能影响采购公平、公正性的，应当重新采购。</w:t>
      </w:r>
    </w:p>
    <w:p>
      <w:pPr>
        <w:pageBreakBefore w:val="0"/>
        <w:kinsoku/>
        <w:wordWrap/>
        <w:overflowPunct/>
        <w:topLinePunct w:val="0"/>
        <w:bidi w:val="0"/>
        <w:adjustRightInd/>
        <w:snapToGrid w:val="0"/>
        <w:spacing w:line="460" w:lineRule="exact"/>
        <w:jc w:val="center"/>
        <w:textAlignment w:val="auto"/>
        <w:outlineLvl w:val="1"/>
        <w:rPr>
          <w:rFonts w:hint="eastAsia" w:ascii="仿宋" w:hAnsi="仿宋" w:eastAsia="仿宋" w:cs="仿宋"/>
          <w:b/>
          <w:bCs/>
          <w:color w:val="auto"/>
          <w:sz w:val="24"/>
          <w:szCs w:val="24"/>
          <w:lang w:eastAsia="zh-CN"/>
        </w:rPr>
      </w:pPr>
    </w:p>
    <w:p>
      <w:pPr>
        <w:pageBreakBefore w:val="0"/>
        <w:kinsoku/>
        <w:wordWrap/>
        <w:overflowPunct/>
        <w:topLinePunct w:val="0"/>
        <w:bidi w:val="0"/>
        <w:adjustRightInd/>
        <w:snapToGrid w:val="0"/>
        <w:spacing w:line="460" w:lineRule="exact"/>
        <w:jc w:val="center"/>
        <w:textAlignment w:val="auto"/>
        <w:outlineLvl w:val="1"/>
        <w:rPr>
          <w:rFonts w:hint="eastAsia" w:ascii="仿宋" w:hAnsi="仿宋" w:eastAsia="仿宋" w:cs="仿宋"/>
          <w:b/>
          <w:bCs/>
          <w:color w:val="auto"/>
          <w:sz w:val="32"/>
          <w:szCs w:val="32"/>
        </w:rPr>
      </w:pPr>
      <w:r>
        <w:rPr>
          <w:rFonts w:hint="eastAsia" w:ascii="仿宋" w:hAnsi="仿宋" w:eastAsia="仿宋" w:cs="仿宋"/>
          <w:b/>
          <w:bCs/>
          <w:color w:val="auto"/>
          <w:sz w:val="32"/>
          <w:szCs w:val="32"/>
          <w:lang w:eastAsia="zh-CN"/>
        </w:rPr>
        <w:t>十二、</w:t>
      </w:r>
      <w:r>
        <w:rPr>
          <w:rFonts w:hint="eastAsia" w:ascii="仿宋" w:hAnsi="仿宋" w:eastAsia="仿宋" w:cs="仿宋"/>
          <w:b/>
          <w:bCs/>
          <w:color w:val="auto"/>
          <w:sz w:val="32"/>
          <w:szCs w:val="32"/>
        </w:rPr>
        <w:t>验收</w:t>
      </w:r>
    </w:p>
    <w:p>
      <w:pPr>
        <w:pageBreakBefore w:val="0"/>
        <w:kinsoku/>
        <w:wordWrap/>
        <w:overflowPunct/>
        <w:topLinePunct w:val="0"/>
        <w:bidi w:val="0"/>
        <w:adjustRightInd/>
        <w:snapToGrid w:val="0"/>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12</w:t>
      </w:r>
      <w:r>
        <w:rPr>
          <w:rFonts w:hint="eastAsia" w:ascii="仿宋" w:hAnsi="仿宋" w:eastAsia="仿宋" w:cs="仿宋"/>
          <w:color w:val="auto"/>
          <w:sz w:val="24"/>
          <w:szCs w:val="24"/>
        </w:rPr>
        <w:t>.1采购人组织对供应商履约的验收。大型或者复杂的采购项目，应当邀请国家认可的质量检测机构参加验收工作。验收方成员应当在验收书上签字，并承担相应的法律责任。如果发现与合同中要求不符，供应商须承担由此发生的一切损失和费用，并接受相应的处理。</w:t>
      </w:r>
    </w:p>
    <w:p>
      <w:pPr>
        <w:pageBreakBefore w:val="0"/>
        <w:kinsoku/>
        <w:wordWrap/>
        <w:overflowPunct/>
        <w:topLinePunct w:val="0"/>
        <w:bidi w:val="0"/>
        <w:adjustRightInd/>
        <w:snapToGrid w:val="0"/>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12</w:t>
      </w:r>
      <w:r>
        <w:rPr>
          <w:rFonts w:hint="eastAsia" w:ascii="仿宋" w:hAnsi="仿宋" w:eastAsia="仿宋" w:cs="仿宋"/>
          <w:color w:val="auto"/>
          <w:sz w:val="24"/>
          <w:szCs w:val="24"/>
        </w:rPr>
        <w:t>.2采购人可以邀请参加本项目的其他投标人或者第三方机构参与验收。参与验收的投标人或者第三方机构的意见作为验收书的参考资料一并存档。</w:t>
      </w:r>
    </w:p>
    <w:p>
      <w:pPr>
        <w:pageBreakBefore w:val="0"/>
        <w:kinsoku/>
        <w:wordWrap/>
        <w:overflowPunct/>
        <w:topLinePunct w:val="0"/>
        <w:bidi w:val="0"/>
        <w:adjustRightInd/>
        <w:snapToGrid w:val="0"/>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12</w:t>
      </w:r>
      <w:r>
        <w:rPr>
          <w:rFonts w:hint="eastAsia" w:ascii="仿宋" w:hAnsi="仿宋" w:eastAsia="仿宋" w:cs="仿宋"/>
          <w:color w:val="auto"/>
          <w:sz w:val="24"/>
          <w:szCs w:val="24"/>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pageBreakBefore w:val="0"/>
        <w:kinsoku/>
        <w:wordWrap/>
        <w:overflowPunct/>
        <w:topLinePunct w:val="0"/>
        <w:bidi w:val="0"/>
        <w:adjustRightInd/>
        <w:snapToGrid w:val="0"/>
        <w:spacing w:line="460" w:lineRule="exact"/>
        <w:ind w:firstLine="480" w:firstLineChars="200"/>
        <w:textAlignment w:val="auto"/>
        <w:rPr>
          <w:rFonts w:hint="eastAsia" w:ascii="仿宋" w:hAnsi="仿宋" w:eastAsia="仿宋" w:cs="仿宋"/>
          <w:color w:val="auto"/>
          <w:sz w:val="24"/>
          <w:szCs w:val="24"/>
          <w:lang w:eastAsia="zh-CN"/>
        </w:rPr>
        <w:sectPr>
          <w:headerReference r:id="rId4" w:type="first"/>
          <w:footerReference r:id="rId6" w:type="first"/>
          <w:headerReference r:id="rId3" w:type="default"/>
          <w:footerReference r:id="rId5" w:type="default"/>
          <w:pgSz w:w="11906" w:h="16838"/>
          <w:pgMar w:top="1338" w:right="1502" w:bottom="1293" w:left="1576" w:header="737" w:footer="992" w:gutter="0"/>
          <w:pgBorders>
            <w:top w:val="none" w:sz="0" w:space="0"/>
            <w:left w:val="none" w:sz="0" w:space="0"/>
            <w:bottom w:val="none" w:sz="0" w:space="0"/>
            <w:right w:val="none" w:sz="0" w:space="0"/>
          </w:pgBorders>
          <w:pgNumType w:fmt="decimal"/>
          <w:cols w:space="720" w:num="1"/>
          <w:titlePg/>
          <w:docGrid w:linePitch="312" w:charSpace="0"/>
        </w:sectPr>
      </w:pPr>
      <w:r>
        <w:rPr>
          <w:rFonts w:hint="eastAsia" w:ascii="仿宋" w:hAnsi="仿宋" w:eastAsia="仿宋" w:cs="仿宋"/>
          <w:color w:val="auto"/>
          <w:sz w:val="24"/>
          <w:szCs w:val="24"/>
          <w:lang w:val="en-US" w:eastAsia="zh-CN"/>
        </w:rPr>
        <w:t>12</w:t>
      </w:r>
      <w:r>
        <w:rPr>
          <w:rFonts w:hint="eastAsia" w:ascii="仿宋" w:hAnsi="仿宋" w:eastAsia="仿宋" w:cs="仿宋"/>
          <w:color w:val="auto"/>
          <w:sz w:val="24"/>
          <w:szCs w:val="24"/>
        </w:rPr>
        <w:t>.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采购法律法规规定的违法违规情形的，采购人应当及时报告本级</w:t>
      </w:r>
      <w:bookmarkStart w:id="94" w:name="_Hlt75236290"/>
      <w:bookmarkEnd w:id="94"/>
      <w:bookmarkStart w:id="95" w:name="_Hlt68072990"/>
      <w:bookmarkEnd w:id="95"/>
      <w:bookmarkStart w:id="96" w:name="_Hlt68057669"/>
      <w:bookmarkEnd w:id="96"/>
      <w:bookmarkStart w:id="97" w:name="_Hlt74729768"/>
      <w:bookmarkEnd w:id="97"/>
      <w:bookmarkStart w:id="98" w:name="_Hlt74730295"/>
      <w:bookmarkEnd w:id="98"/>
      <w:bookmarkStart w:id="99" w:name="_Hlt74707468"/>
      <w:bookmarkEnd w:id="99"/>
      <w:bookmarkStart w:id="100" w:name="_Hlt75236101"/>
      <w:bookmarkEnd w:id="100"/>
      <w:bookmarkStart w:id="101" w:name="_Hlt68073093"/>
      <w:bookmarkEnd w:id="101"/>
      <w:bookmarkStart w:id="102" w:name="_Hlt68403820"/>
      <w:bookmarkEnd w:id="102"/>
      <w:bookmarkStart w:id="103" w:name="_Hlt74714665"/>
      <w:bookmarkEnd w:id="103"/>
      <w:bookmarkStart w:id="104" w:name="_Hlt75236011"/>
      <w:bookmarkEnd w:id="104"/>
      <w:bookmarkStart w:id="105" w:name="_Hlt68072998"/>
      <w:bookmarkEnd w:id="105"/>
      <w:r>
        <w:rPr>
          <w:rFonts w:hint="eastAsia" w:ascii="仿宋" w:hAnsi="仿宋" w:eastAsia="仿宋" w:cs="仿宋"/>
          <w:color w:val="auto"/>
          <w:sz w:val="24"/>
          <w:szCs w:val="24"/>
          <w:lang w:val="en-US" w:eastAsia="zh-CN"/>
        </w:rPr>
        <w:t>相关主管部门</w:t>
      </w:r>
      <w:r>
        <w:rPr>
          <w:rFonts w:hint="eastAsia" w:ascii="仿宋" w:hAnsi="仿宋" w:eastAsia="仿宋" w:cs="仿宋"/>
          <w:color w:val="auto"/>
          <w:sz w:val="24"/>
          <w:szCs w:val="24"/>
          <w:lang w:eastAsia="zh-CN"/>
        </w:rPr>
        <w:t>。</w:t>
      </w:r>
    </w:p>
    <w:p>
      <w:pPr>
        <w:pStyle w:val="350"/>
        <w:numPr>
          <w:ilvl w:val="0"/>
          <w:numId w:val="0"/>
        </w:numPr>
        <w:bidi w:val="0"/>
        <w:jc w:val="center"/>
        <w:rPr>
          <w:rFonts w:hint="eastAsia" w:ascii="仿宋" w:hAnsi="仿宋" w:eastAsia="仿宋" w:cs="仿宋"/>
          <w:b/>
          <w:bCs/>
          <w:color w:val="auto"/>
          <w:kern w:val="0"/>
          <w:sz w:val="32"/>
          <w:szCs w:val="32"/>
          <w:lang w:val="en-US" w:eastAsia="zh-CN" w:bidi="ar-SA"/>
        </w:rPr>
      </w:pPr>
      <w:r>
        <w:rPr>
          <w:rFonts w:hint="eastAsia" w:ascii="仿宋" w:hAnsi="仿宋" w:eastAsia="仿宋" w:cs="仿宋"/>
          <w:b/>
          <w:bCs/>
          <w:color w:val="auto"/>
          <w:kern w:val="0"/>
          <w:sz w:val="32"/>
          <w:szCs w:val="32"/>
          <w:lang w:val="en-US" w:eastAsia="zh-CN" w:bidi="ar-SA"/>
        </w:rPr>
        <w:t>第三部分  项目招标范围及服务要求</w:t>
      </w:r>
    </w:p>
    <w:p>
      <w:pPr>
        <w:pStyle w:val="350"/>
        <w:numPr>
          <w:ilvl w:val="0"/>
          <w:numId w:val="0"/>
        </w:numPr>
        <w:bidi w:val="0"/>
        <w:jc w:val="both"/>
        <w:rPr>
          <w:rFonts w:hint="eastAsia" w:ascii="仿宋" w:hAnsi="仿宋" w:eastAsia="仿宋" w:cs="仿宋"/>
          <w:b/>
          <w:bCs/>
          <w:color w:val="auto"/>
          <w:kern w:val="0"/>
          <w:sz w:val="24"/>
          <w:szCs w:val="24"/>
          <w:lang w:val="en-US" w:eastAsia="zh-CN" w:bidi="ar-SA"/>
        </w:rPr>
      </w:pPr>
      <w:r>
        <w:rPr>
          <w:rFonts w:hint="eastAsia" w:ascii="仿宋" w:hAnsi="仿宋" w:eastAsia="仿宋" w:cs="仿宋"/>
          <w:b/>
          <w:bCs/>
          <w:color w:val="auto"/>
          <w:kern w:val="0"/>
          <w:sz w:val="24"/>
          <w:szCs w:val="24"/>
          <w:lang w:val="en-US" w:eastAsia="zh-CN" w:bidi="ar-SA"/>
        </w:rPr>
        <w:t>一、采购清单及要求</w:t>
      </w:r>
    </w:p>
    <w:tbl>
      <w:tblPr>
        <w:tblStyle w:val="83"/>
        <w:tblW w:w="14350" w:type="dxa"/>
        <w:tblInd w:w="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8"/>
        <w:gridCol w:w="1700"/>
        <w:gridCol w:w="2175"/>
        <w:gridCol w:w="5750"/>
        <w:gridCol w:w="2250"/>
        <w:gridCol w:w="775"/>
        <w:gridCol w:w="1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2" w:hRule="atLeast"/>
          <w:tblHeader/>
        </w:trPr>
        <w:tc>
          <w:tcPr>
            <w:tcW w:w="63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b/>
                <w:bCs/>
                <w:sz w:val="24"/>
                <w:szCs w:val="24"/>
                <w:vertAlign w:val="baseline"/>
                <w:lang w:eastAsia="zh-CN"/>
              </w:rPr>
            </w:pPr>
            <w:r>
              <w:rPr>
                <w:rFonts w:hint="eastAsia" w:ascii="仿宋" w:hAnsi="仿宋" w:eastAsia="仿宋" w:cs="仿宋"/>
                <w:b/>
                <w:bCs/>
                <w:sz w:val="24"/>
                <w:szCs w:val="24"/>
                <w:vertAlign w:val="baseline"/>
                <w:lang w:eastAsia="zh-CN"/>
              </w:rPr>
              <w:t>序号</w:t>
            </w:r>
          </w:p>
        </w:tc>
        <w:tc>
          <w:tcPr>
            <w:tcW w:w="17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仿宋" w:hAnsi="仿宋" w:eastAsia="仿宋" w:cs="仿宋"/>
                <w:b/>
                <w:bCs/>
                <w:sz w:val="24"/>
                <w:szCs w:val="24"/>
                <w:vertAlign w:val="baseline"/>
                <w:lang w:eastAsia="zh-CN"/>
              </w:rPr>
            </w:pPr>
            <w:r>
              <w:rPr>
                <w:rFonts w:hint="eastAsia" w:ascii="仿宋" w:hAnsi="仿宋" w:eastAsia="仿宋" w:cs="仿宋"/>
                <w:b/>
                <w:bCs/>
                <w:sz w:val="24"/>
                <w:szCs w:val="24"/>
                <w:vertAlign w:val="baseline"/>
                <w:lang w:eastAsia="zh-CN"/>
              </w:rPr>
              <w:t>项目内容</w:t>
            </w:r>
          </w:p>
        </w:tc>
        <w:tc>
          <w:tcPr>
            <w:tcW w:w="21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仿宋" w:hAnsi="仿宋" w:eastAsia="仿宋" w:cs="仿宋"/>
                <w:b/>
                <w:bCs/>
                <w:sz w:val="24"/>
                <w:szCs w:val="24"/>
                <w:vertAlign w:val="baseline"/>
                <w:lang w:eastAsia="zh-CN"/>
              </w:rPr>
            </w:pPr>
            <w:r>
              <w:rPr>
                <w:rFonts w:hint="eastAsia" w:ascii="仿宋" w:hAnsi="仿宋" w:eastAsia="仿宋" w:cs="仿宋"/>
                <w:b/>
                <w:bCs/>
                <w:sz w:val="24"/>
                <w:szCs w:val="24"/>
                <w:vertAlign w:val="baseline"/>
                <w:lang w:eastAsia="zh-CN"/>
              </w:rPr>
              <w:t>参考图片</w:t>
            </w:r>
          </w:p>
        </w:tc>
        <w:tc>
          <w:tcPr>
            <w:tcW w:w="57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仿宋" w:hAnsi="仿宋" w:eastAsia="仿宋" w:cs="仿宋"/>
                <w:b/>
                <w:bCs/>
                <w:sz w:val="24"/>
                <w:szCs w:val="24"/>
                <w:vertAlign w:val="baseline"/>
                <w:lang w:eastAsia="zh-CN"/>
              </w:rPr>
            </w:pPr>
            <w:r>
              <w:rPr>
                <w:rFonts w:hint="eastAsia" w:ascii="仿宋" w:hAnsi="仿宋" w:eastAsia="仿宋" w:cs="仿宋"/>
                <w:b/>
                <w:bCs/>
                <w:sz w:val="24"/>
                <w:szCs w:val="24"/>
                <w:vertAlign w:val="baseline"/>
                <w:lang w:eastAsia="zh-CN"/>
              </w:rPr>
              <w:t>材质、技术要求</w:t>
            </w:r>
          </w:p>
        </w:tc>
        <w:tc>
          <w:tcPr>
            <w:tcW w:w="22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仿宋" w:hAnsi="仿宋" w:eastAsia="仿宋" w:cs="仿宋"/>
                <w:b/>
                <w:bCs/>
                <w:sz w:val="24"/>
                <w:szCs w:val="24"/>
                <w:vertAlign w:val="baseline"/>
                <w:lang w:eastAsia="zh-CN"/>
              </w:rPr>
            </w:pPr>
            <w:r>
              <w:rPr>
                <w:rFonts w:hint="eastAsia" w:ascii="仿宋" w:hAnsi="仿宋" w:eastAsia="仿宋" w:cs="仿宋"/>
                <w:b/>
                <w:bCs/>
                <w:sz w:val="24"/>
                <w:szCs w:val="24"/>
                <w:vertAlign w:val="baseline"/>
                <w:lang w:eastAsia="zh-CN"/>
              </w:rPr>
              <w:t>规格型号</w:t>
            </w:r>
          </w:p>
        </w:tc>
        <w:tc>
          <w:tcPr>
            <w:tcW w:w="7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仿宋" w:hAnsi="仿宋" w:eastAsia="仿宋" w:cs="仿宋"/>
                <w:b/>
                <w:bCs/>
                <w:sz w:val="24"/>
                <w:szCs w:val="24"/>
                <w:vertAlign w:val="baseline"/>
                <w:lang w:eastAsia="zh-CN"/>
              </w:rPr>
            </w:pPr>
            <w:r>
              <w:rPr>
                <w:rFonts w:hint="eastAsia" w:ascii="仿宋" w:hAnsi="仿宋" w:eastAsia="仿宋" w:cs="仿宋"/>
                <w:b/>
                <w:bCs/>
                <w:sz w:val="24"/>
                <w:szCs w:val="24"/>
                <w:vertAlign w:val="baseline"/>
                <w:lang w:eastAsia="zh-CN"/>
              </w:rPr>
              <w:t>单位</w:t>
            </w:r>
          </w:p>
        </w:tc>
        <w:tc>
          <w:tcPr>
            <w:tcW w:w="106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仿宋" w:hAnsi="仿宋" w:eastAsia="仿宋" w:cs="仿宋"/>
                <w:b/>
                <w:bCs/>
                <w:sz w:val="24"/>
                <w:szCs w:val="24"/>
                <w:vertAlign w:val="baseline"/>
                <w:lang w:eastAsia="zh-CN"/>
              </w:rPr>
            </w:pPr>
            <w:r>
              <w:rPr>
                <w:rFonts w:hint="eastAsia" w:ascii="仿宋" w:hAnsi="仿宋" w:eastAsia="仿宋" w:cs="仿宋"/>
                <w:b/>
                <w:bCs/>
                <w:sz w:val="24"/>
                <w:szCs w:val="24"/>
                <w:vertAlign w:val="baseline"/>
                <w:lang w:eastAsia="zh-C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4350" w:type="dxa"/>
            <w:gridSpan w:val="7"/>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both"/>
              <w:rPr>
                <w:rFonts w:hint="eastAsia" w:ascii="仿宋" w:hAnsi="仿宋" w:eastAsia="仿宋" w:cs="仿宋"/>
                <w:sz w:val="24"/>
                <w:szCs w:val="24"/>
                <w:vertAlign w:val="baseline"/>
              </w:rPr>
            </w:pPr>
            <w:r>
              <w:rPr>
                <w:rFonts w:hint="eastAsia" w:ascii="仿宋" w:hAnsi="仿宋" w:eastAsia="仿宋" w:cs="仿宋"/>
                <w:sz w:val="24"/>
                <w:szCs w:val="24"/>
                <w:vertAlign w:val="baseline"/>
              </w:rPr>
              <w:t>1F-中央大厅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w:t>
            </w:r>
          </w:p>
        </w:tc>
        <w:tc>
          <w:tcPr>
            <w:tcW w:w="170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仿宋" w:hAnsi="仿宋" w:eastAsia="仿宋" w:cs="仿宋"/>
                <w:sz w:val="24"/>
                <w:szCs w:val="24"/>
                <w:vertAlign w:val="baseline"/>
              </w:rPr>
            </w:pPr>
            <w:r>
              <w:rPr>
                <w:rFonts w:hint="eastAsia" w:ascii="仿宋" w:hAnsi="仿宋" w:eastAsia="仿宋" w:cs="仿宋"/>
                <w:i w:val="0"/>
                <w:color w:val="000000"/>
                <w:kern w:val="0"/>
                <w:sz w:val="24"/>
                <w:szCs w:val="24"/>
                <w:u w:val="none"/>
                <w:lang w:val="en-US" w:eastAsia="zh-CN" w:bidi="ar"/>
              </w:rPr>
              <w:t>桌椅类-圆桌</w:t>
            </w:r>
          </w:p>
        </w:tc>
        <w:tc>
          <w:tcPr>
            <w:tcW w:w="2175" w:type="dxa"/>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kern w:val="2"/>
                <w:sz w:val="18"/>
                <w:szCs w:val="18"/>
                <w:u w:val="none"/>
                <w:lang w:val="en-US" w:eastAsia="zh-CN" w:bidi="ar-SA"/>
              </w:rPr>
            </w:pPr>
            <w:r>
              <w:rPr>
                <w:rFonts w:hint="eastAsia" w:ascii="微软雅黑" w:hAnsi="微软雅黑" w:eastAsia="微软雅黑" w:cs="微软雅黑"/>
                <w:i w:val="0"/>
                <w:iCs w:val="0"/>
                <w:color w:val="000000"/>
                <w:kern w:val="0"/>
                <w:sz w:val="18"/>
                <w:szCs w:val="18"/>
                <w:u w:val="none"/>
                <w:lang w:val="en-US" w:eastAsia="zh-CN" w:bidi="ar"/>
              </w:rPr>
              <w:drawing>
                <wp:inline distT="0" distB="0" distL="114300" distR="114300">
                  <wp:extent cx="962025" cy="609600"/>
                  <wp:effectExtent l="0" t="0" r="0" b="0"/>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12"/>
                          <a:stretch>
                            <a:fillRect/>
                          </a:stretch>
                        </pic:blipFill>
                        <pic:spPr>
                          <a:xfrm>
                            <a:off x="0" y="0"/>
                            <a:ext cx="962025" cy="609600"/>
                          </a:xfrm>
                          <a:prstGeom prst="rect">
                            <a:avLst/>
                          </a:prstGeom>
                          <a:noFill/>
                          <a:ln w="9525">
                            <a:noFill/>
                          </a:ln>
                        </pic:spPr>
                      </pic:pic>
                    </a:graphicData>
                  </a:graphic>
                </wp:inline>
              </w:drawing>
            </w:r>
          </w:p>
        </w:tc>
        <w:tc>
          <w:tcPr>
            <w:tcW w:w="575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center"/>
              <w:rPr>
                <w:rFonts w:hint="eastAsia" w:ascii="仿宋" w:hAnsi="仿宋" w:eastAsia="仿宋" w:cs="仿宋"/>
                <w:sz w:val="24"/>
                <w:szCs w:val="24"/>
                <w:vertAlign w:val="baseline"/>
              </w:rPr>
            </w:pPr>
            <w:r>
              <w:rPr>
                <w:rFonts w:hint="eastAsia" w:ascii="仿宋" w:hAnsi="仿宋" w:eastAsia="仿宋" w:cs="仿宋"/>
                <w:i w:val="0"/>
                <w:color w:val="000000"/>
                <w:kern w:val="0"/>
                <w:sz w:val="24"/>
                <w:szCs w:val="24"/>
                <w:u w:val="none"/>
                <w:lang w:val="en-US" w:eastAsia="zh-CN" w:bidi="ar"/>
              </w:rPr>
              <w:t>面板：采用多层实木夹板贴白蜡木饰</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面板</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架子：优质电镀钢架</w:t>
            </w:r>
          </w:p>
        </w:tc>
        <w:tc>
          <w:tcPr>
            <w:tcW w:w="225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仿宋" w:hAnsi="仿宋" w:eastAsia="仿宋" w:cs="仿宋"/>
                <w:sz w:val="24"/>
                <w:szCs w:val="24"/>
                <w:vertAlign w:val="baseline"/>
              </w:rPr>
            </w:pPr>
            <w:r>
              <w:rPr>
                <w:rFonts w:hint="eastAsia" w:ascii="仿宋" w:hAnsi="仿宋" w:eastAsia="仿宋" w:cs="仿宋"/>
                <w:i w:val="0"/>
                <w:color w:val="000000"/>
                <w:kern w:val="0"/>
                <w:sz w:val="24"/>
                <w:szCs w:val="24"/>
                <w:u w:val="none"/>
                <w:lang w:val="en-US" w:eastAsia="zh-CN" w:bidi="ar"/>
              </w:rPr>
              <w:t>（直径600mm，高度750mm）</w:t>
            </w:r>
          </w:p>
        </w:tc>
        <w:tc>
          <w:tcPr>
            <w:tcW w:w="77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仿宋" w:hAnsi="仿宋" w:eastAsia="仿宋" w:cs="仿宋"/>
                <w:sz w:val="24"/>
                <w:szCs w:val="24"/>
                <w:vertAlign w:val="baseline"/>
              </w:rPr>
            </w:pPr>
            <w:r>
              <w:rPr>
                <w:rFonts w:hint="eastAsia" w:ascii="仿宋" w:hAnsi="仿宋" w:eastAsia="仿宋" w:cs="仿宋"/>
                <w:i w:val="0"/>
                <w:color w:val="000000"/>
                <w:kern w:val="0"/>
                <w:sz w:val="24"/>
                <w:szCs w:val="24"/>
                <w:u w:val="none"/>
                <w:lang w:val="en-US" w:eastAsia="zh-CN" w:bidi="ar"/>
              </w:rPr>
              <w:t>张</w:t>
            </w:r>
          </w:p>
        </w:tc>
        <w:tc>
          <w:tcPr>
            <w:tcW w:w="106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仿宋" w:hAnsi="仿宋" w:eastAsia="仿宋" w:cs="仿宋"/>
                <w:sz w:val="24"/>
                <w:szCs w:val="24"/>
                <w:vertAlign w:val="baseline"/>
              </w:rPr>
            </w:pPr>
            <w:r>
              <w:rPr>
                <w:rFonts w:hint="eastAsia" w:ascii="仿宋" w:hAnsi="仿宋" w:eastAsia="仿宋" w:cs="仿宋"/>
                <w:i w:val="0"/>
                <w:color w:val="000000"/>
                <w:kern w:val="0"/>
                <w:sz w:val="24"/>
                <w:szCs w:val="24"/>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4350" w:type="dxa"/>
            <w:gridSpan w:val="7"/>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both"/>
              <w:rPr>
                <w:rFonts w:hint="eastAsia" w:ascii="仿宋" w:hAnsi="仿宋" w:eastAsia="仿宋" w:cs="仿宋"/>
                <w:sz w:val="24"/>
                <w:szCs w:val="24"/>
                <w:vertAlign w:val="baseline"/>
              </w:rPr>
            </w:pPr>
            <w:r>
              <w:rPr>
                <w:rFonts w:hint="eastAsia" w:ascii="仿宋" w:hAnsi="仿宋" w:eastAsia="仿宋" w:cs="仿宋"/>
                <w:sz w:val="24"/>
                <w:szCs w:val="24"/>
                <w:vertAlign w:val="baseline"/>
              </w:rPr>
              <w:t>1F-社区（办公区）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38"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仿宋" w:hAnsi="仿宋" w:eastAsia="仿宋" w:cs="仿宋"/>
                <w:sz w:val="24"/>
                <w:szCs w:val="24"/>
                <w:vertAlign w:val="baseline"/>
              </w:rPr>
            </w:pPr>
            <w:r>
              <w:rPr>
                <w:rFonts w:hint="eastAsia" w:ascii="仿宋" w:hAnsi="仿宋" w:eastAsia="仿宋" w:cs="仿宋"/>
                <w:i w:val="0"/>
                <w:color w:val="000000"/>
                <w:kern w:val="0"/>
                <w:sz w:val="24"/>
                <w:szCs w:val="24"/>
                <w:u w:val="none"/>
                <w:lang w:val="en-US" w:eastAsia="zh-CN" w:bidi="ar"/>
              </w:rPr>
              <w:t>2</w:t>
            </w:r>
          </w:p>
        </w:tc>
        <w:tc>
          <w:tcPr>
            <w:tcW w:w="170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仿宋" w:hAnsi="仿宋" w:eastAsia="仿宋" w:cs="仿宋"/>
                <w:sz w:val="24"/>
                <w:szCs w:val="24"/>
                <w:vertAlign w:val="baseline"/>
              </w:rPr>
            </w:pPr>
            <w:r>
              <w:rPr>
                <w:rFonts w:hint="eastAsia" w:ascii="仿宋" w:hAnsi="仿宋" w:eastAsia="仿宋" w:cs="仿宋"/>
                <w:i w:val="0"/>
                <w:color w:val="000000"/>
                <w:kern w:val="0"/>
                <w:sz w:val="24"/>
                <w:szCs w:val="24"/>
                <w:u w:val="none"/>
                <w:lang w:val="en-US" w:eastAsia="zh-CN" w:bidi="ar"/>
              </w:rPr>
              <w:t>办公柜-L形</w:t>
            </w:r>
          </w:p>
        </w:tc>
        <w:tc>
          <w:tcPr>
            <w:tcW w:w="2175" w:type="dxa"/>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kern w:val="2"/>
                <w:sz w:val="18"/>
                <w:szCs w:val="18"/>
                <w:u w:val="none"/>
                <w:lang w:val="en-US" w:eastAsia="zh-CN" w:bidi="ar-SA"/>
              </w:rPr>
            </w:pPr>
            <w:r>
              <w:rPr>
                <w:rFonts w:hint="eastAsia" w:ascii="微软雅黑" w:hAnsi="微软雅黑" w:eastAsia="微软雅黑" w:cs="微软雅黑"/>
                <w:i w:val="0"/>
                <w:iCs w:val="0"/>
                <w:color w:val="000000"/>
                <w:kern w:val="0"/>
                <w:sz w:val="18"/>
                <w:szCs w:val="18"/>
                <w:u w:val="none"/>
                <w:lang w:val="en-US" w:eastAsia="zh-CN" w:bidi="ar"/>
              </w:rPr>
              <w:drawing>
                <wp:inline distT="0" distB="0" distL="114300" distR="114300">
                  <wp:extent cx="1210945" cy="348615"/>
                  <wp:effectExtent l="0" t="0" r="8255" b="13335"/>
                  <wp:docPr id="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6"/>
                          <pic:cNvPicPr>
                            <a:picLocks noChangeAspect="1"/>
                          </pic:cNvPicPr>
                        </pic:nvPicPr>
                        <pic:blipFill>
                          <a:blip r:embed="rId13"/>
                          <a:stretch>
                            <a:fillRect/>
                          </a:stretch>
                        </pic:blipFill>
                        <pic:spPr>
                          <a:xfrm>
                            <a:off x="0" y="0"/>
                            <a:ext cx="1210945" cy="348615"/>
                          </a:xfrm>
                          <a:prstGeom prst="rect">
                            <a:avLst/>
                          </a:prstGeom>
                          <a:noFill/>
                          <a:ln w="9525">
                            <a:noFill/>
                          </a:ln>
                        </pic:spPr>
                      </pic:pic>
                    </a:graphicData>
                  </a:graphic>
                </wp:inline>
              </w:drawing>
            </w:r>
          </w:p>
        </w:tc>
        <w:tc>
          <w:tcPr>
            <w:tcW w:w="575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center"/>
              <w:rPr>
                <w:rFonts w:hint="eastAsia" w:ascii="仿宋" w:hAnsi="仿宋" w:eastAsia="仿宋" w:cs="仿宋"/>
                <w:sz w:val="24"/>
                <w:szCs w:val="24"/>
                <w:vertAlign w:val="baseline"/>
              </w:rPr>
            </w:pPr>
            <w:r>
              <w:rPr>
                <w:rFonts w:hint="eastAsia" w:ascii="仿宋" w:hAnsi="仿宋" w:eastAsia="仿宋" w:cs="仿宋"/>
                <w:i w:val="0"/>
                <w:color w:val="000000"/>
                <w:kern w:val="0"/>
                <w:sz w:val="24"/>
                <w:szCs w:val="24"/>
                <w:u w:val="none"/>
                <w:lang w:val="en-US" w:eastAsia="zh-CN" w:bidi="ar"/>
              </w:rPr>
              <w:t xml:space="preserve">1.板材：采用环保实木多层板。多层板符合GB 6675.4-2014《玩具安全 第4部分 特定元素的迁移》及HJ 2547-2016《环境标志产品技术要求 家具》标准。未检出表示检测结果小于检出限。可迁移元素均符合国家标准。甲醛释放量≤0.08/³，总挥发性有机化合物（TVOC)释放率未检出；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2.五金配件：采用优质五金件，铰链符合QB/T 2189-2013《家具五金 杯状暗铰链》标准、垂直静载荷、水平静载荷、操作力、耐久性、下沉量、耐腐蚀。需采用优质五金配件 。导轨符合QB/T2454-2013《家具五金 抽屉导轨》标准、垂直向下静载荷、水平侧向静载荷、猛开或猛关、操作力、耐久性、下沉量、拉出安全性、耐腐蚀。三合一连接件符合GB/T 3325-2017《金属家具通用技术条件》抗盐雾达到合格；</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3.封边带：需采用优质同色PVC封边条，厚度≥2.0mm，封边条符合QB/T4463-2013 《家具用封边条技术要求》GB/T17657-2013 《人造板及饰面人造板理化性能试验方法》有害物质限量、甲醛释放量符合国家标准；                                                                                               4.各项技术指标符合GB/T 3324-2017《木家具通用技术条件》规定的要求                                                             </w:t>
            </w:r>
          </w:p>
        </w:tc>
        <w:tc>
          <w:tcPr>
            <w:tcW w:w="225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仿宋" w:hAnsi="仿宋" w:eastAsia="仿宋" w:cs="仿宋"/>
                <w:sz w:val="24"/>
                <w:szCs w:val="24"/>
                <w:vertAlign w:val="baseline"/>
              </w:rPr>
            </w:pPr>
            <w:r>
              <w:rPr>
                <w:rFonts w:hint="eastAsia" w:ascii="仿宋" w:hAnsi="仿宋" w:eastAsia="仿宋" w:cs="仿宋"/>
                <w:i w:val="0"/>
                <w:color w:val="000000"/>
                <w:kern w:val="0"/>
                <w:sz w:val="24"/>
                <w:szCs w:val="24"/>
                <w:u w:val="none"/>
                <w:lang w:val="en-US" w:eastAsia="zh-CN" w:bidi="ar"/>
              </w:rPr>
              <w:t>（5600*2350*700mm，台面宽600）</w:t>
            </w:r>
          </w:p>
        </w:tc>
        <w:tc>
          <w:tcPr>
            <w:tcW w:w="77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仿宋" w:hAnsi="仿宋" w:eastAsia="仿宋" w:cs="仿宋"/>
                <w:sz w:val="24"/>
                <w:szCs w:val="24"/>
                <w:vertAlign w:val="baseline"/>
              </w:rPr>
            </w:pPr>
            <w:r>
              <w:rPr>
                <w:rFonts w:hint="eastAsia" w:ascii="仿宋" w:hAnsi="仿宋" w:eastAsia="仿宋" w:cs="仿宋"/>
                <w:i w:val="0"/>
                <w:color w:val="000000"/>
                <w:kern w:val="0"/>
                <w:sz w:val="24"/>
                <w:szCs w:val="24"/>
                <w:u w:val="none"/>
                <w:lang w:val="en-US" w:eastAsia="zh-CN" w:bidi="ar"/>
              </w:rPr>
              <w:t>组</w:t>
            </w:r>
          </w:p>
        </w:tc>
        <w:tc>
          <w:tcPr>
            <w:tcW w:w="106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仿宋" w:hAnsi="仿宋" w:eastAsia="仿宋" w:cs="仿宋"/>
                <w:sz w:val="24"/>
                <w:szCs w:val="24"/>
                <w:vertAlign w:val="baseline"/>
              </w:rPr>
            </w:pPr>
            <w:r>
              <w:rPr>
                <w:rFonts w:hint="eastAsia" w:ascii="仿宋" w:hAnsi="仿宋" w:eastAsia="仿宋" w:cs="仿宋"/>
                <w:i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38"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仿宋" w:hAnsi="仿宋" w:eastAsia="仿宋" w:cs="仿宋"/>
                <w:sz w:val="24"/>
                <w:szCs w:val="24"/>
                <w:vertAlign w:val="baseline"/>
              </w:rPr>
            </w:pPr>
            <w:r>
              <w:rPr>
                <w:rFonts w:hint="eastAsia" w:ascii="仿宋" w:hAnsi="仿宋" w:eastAsia="仿宋" w:cs="仿宋"/>
                <w:i w:val="0"/>
                <w:color w:val="000000"/>
                <w:kern w:val="0"/>
                <w:sz w:val="24"/>
                <w:szCs w:val="24"/>
                <w:u w:val="none"/>
                <w:lang w:val="en-US" w:eastAsia="zh-CN" w:bidi="ar"/>
              </w:rPr>
              <w:t>3</w:t>
            </w:r>
          </w:p>
        </w:tc>
        <w:tc>
          <w:tcPr>
            <w:tcW w:w="170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仿宋" w:hAnsi="仿宋" w:eastAsia="仿宋" w:cs="仿宋"/>
                <w:sz w:val="24"/>
                <w:szCs w:val="24"/>
                <w:vertAlign w:val="baseline"/>
              </w:rPr>
            </w:pPr>
            <w:r>
              <w:rPr>
                <w:rFonts w:hint="eastAsia" w:ascii="仿宋" w:hAnsi="仿宋" w:eastAsia="仿宋" w:cs="仿宋"/>
                <w:i w:val="0"/>
                <w:color w:val="000000"/>
                <w:kern w:val="0"/>
                <w:sz w:val="24"/>
                <w:szCs w:val="24"/>
                <w:u w:val="none"/>
                <w:lang w:val="en-US" w:eastAsia="zh-CN" w:bidi="ar"/>
              </w:rPr>
              <w:t>墙柜</w:t>
            </w:r>
          </w:p>
        </w:tc>
        <w:tc>
          <w:tcPr>
            <w:tcW w:w="2175" w:type="dxa"/>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kern w:val="2"/>
                <w:sz w:val="18"/>
                <w:szCs w:val="18"/>
                <w:u w:val="none"/>
                <w:lang w:val="en-US" w:eastAsia="zh-CN" w:bidi="ar-SA"/>
              </w:rPr>
            </w:pPr>
            <w:r>
              <w:rPr>
                <w:rFonts w:hint="eastAsia" w:ascii="微软雅黑" w:hAnsi="微软雅黑" w:eastAsia="微软雅黑" w:cs="微软雅黑"/>
                <w:i w:val="0"/>
                <w:iCs w:val="0"/>
                <w:color w:val="000000"/>
                <w:kern w:val="0"/>
                <w:sz w:val="18"/>
                <w:szCs w:val="18"/>
                <w:u w:val="none"/>
                <w:lang w:val="en-US" w:eastAsia="zh-CN" w:bidi="ar"/>
              </w:rPr>
              <w:drawing>
                <wp:inline distT="0" distB="0" distL="114300" distR="114300">
                  <wp:extent cx="1118870" cy="416560"/>
                  <wp:effectExtent l="0" t="0" r="5080" b="2540"/>
                  <wp:docPr id="1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IMG_256"/>
                          <pic:cNvPicPr>
                            <a:picLocks noChangeAspect="1"/>
                          </pic:cNvPicPr>
                        </pic:nvPicPr>
                        <pic:blipFill>
                          <a:blip r:embed="rId14"/>
                          <a:stretch>
                            <a:fillRect/>
                          </a:stretch>
                        </pic:blipFill>
                        <pic:spPr>
                          <a:xfrm>
                            <a:off x="0" y="0"/>
                            <a:ext cx="1118870" cy="416560"/>
                          </a:xfrm>
                          <a:prstGeom prst="rect">
                            <a:avLst/>
                          </a:prstGeom>
                          <a:noFill/>
                          <a:ln w="9525">
                            <a:noFill/>
                          </a:ln>
                        </pic:spPr>
                      </pic:pic>
                    </a:graphicData>
                  </a:graphic>
                </wp:inline>
              </w:drawing>
            </w:r>
          </w:p>
        </w:tc>
        <w:tc>
          <w:tcPr>
            <w:tcW w:w="575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center"/>
              <w:rPr>
                <w:rFonts w:hint="eastAsia" w:ascii="仿宋" w:hAnsi="仿宋" w:eastAsia="仿宋" w:cs="仿宋"/>
                <w:sz w:val="24"/>
                <w:szCs w:val="24"/>
                <w:vertAlign w:val="baseline"/>
              </w:rPr>
            </w:pPr>
            <w:r>
              <w:rPr>
                <w:rFonts w:hint="eastAsia" w:ascii="仿宋" w:hAnsi="仿宋" w:eastAsia="仿宋" w:cs="仿宋"/>
                <w:i w:val="0"/>
                <w:color w:val="000000"/>
                <w:kern w:val="0"/>
                <w:sz w:val="24"/>
                <w:szCs w:val="24"/>
                <w:u w:val="none"/>
                <w:lang w:val="en-US" w:eastAsia="zh-CN" w:bidi="ar"/>
              </w:rPr>
              <w:t xml:space="preserve">1.板材：采用环保实木多层板。多层板符合GB 6675.4-2014《玩具安全 第4部分 特定元素的迁移》及HJ 2547-2016《环境标志产品技术要求 家具》标准。未检出表示检测结果小于检出限。可迁移元素均符合国家标准。甲醛释放量≤0.08/³，总挥发性有机化合物（TVOC)释放率未检出；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2.五金配件：采用优质五金件，铰链符合QB/T 2189-2013《家具五金 杯状暗铰链》标准、垂直静载荷、水平静载荷、操作力、耐久性、下沉量、耐腐蚀。需采用优质五金配件 。导轨符合QB/T2454-2013《家具五金 抽屉导轨》标准、垂直向下静载荷、水平侧向静载荷、猛开或猛关、操作力、耐久性、下沉量、拉出安全性、耐腐蚀。三合一连接件符合GB/T 3325-2017《金属家具通用技术条件》抗盐雾达到合格；</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3.封边带：需采用优质同色PVC封边条，厚度≥2.0mm，封边条符合QB/T4463-2013 《家具用封边条技术要求》GB/T17657-2013 《人造板及饰面人造板理化性能试验方法》有害物质限量、甲醛释放量符合国家标准；                                                                                               4.各项技术指标符合GB/T 3324-2017《木家具通用技术条件》规定的要求。                                                           </w:t>
            </w:r>
          </w:p>
        </w:tc>
        <w:tc>
          <w:tcPr>
            <w:tcW w:w="225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仿宋" w:hAnsi="仿宋" w:eastAsia="仿宋" w:cs="仿宋"/>
                <w:sz w:val="24"/>
                <w:szCs w:val="24"/>
                <w:vertAlign w:val="baseline"/>
              </w:rPr>
            </w:pPr>
            <w:r>
              <w:rPr>
                <w:rFonts w:hint="eastAsia" w:ascii="仿宋" w:hAnsi="仿宋" w:eastAsia="仿宋" w:cs="仿宋"/>
                <w:i w:val="0"/>
                <w:color w:val="000000"/>
                <w:kern w:val="0"/>
                <w:sz w:val="24"/>
                <w:szCs w:val="24"/>
                <w:u w:val="none"/>
                <w:lang w:val="en-US" w:eastAsia="zh-CN" w:bidi="ar"/>
              </w:rPr>
              <w:t>5600*700*350mm</w:t>
            </w:r>
          </w:p>
        </w:tc>
        <w:tc>
          <w:tcPr>
            <w:tcW w:w="77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仿宋" w:hAnsi="仿宋" w:eastAsia="仿宋" w:cs="仿宋"/>
                <w:sz w:val="24"/>
                <w:szCs w:val="24"/>
                <w:vertAlign w:val="baseline"/>
              </w:rPr>
            </w:pPr>
            <w:r>
              <w:rPr>
                <w:rFonts w:hint="eastAsia" w:ascii="仿宋" w:hAnsi="仿宋" w:eastAsia="仿宋" w:cs="仿宋"/>
                <w:i w:val="0"/>
                <w:color w:val="000000"/>
                <w:kern w:val="0"/>
                <w:sz w:val="24"/>
                <w:szCs w:val="24"/>
                <w:u w:val="none"/>
                <w:lang w:val="en-US" w:eastAsia="zh-CN" w:bidi="ar"/>
              </w:rPr>
              <w:t>组</w:t>
            </w:r>
          </w:p>
        </w:tc>
        <w:tc>
          <w:tcPr>
            <w:tcW w:w="106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仿宋" w:hAnsi="仿宋" w:eastAsia="仿宋" w:cs="仿宋"/>
                <w:sz w:val="24"/>
                <w:szCs w:val="24"/>
                <w:vertAlign w:val="baseline"/>
              </w:rPr>
            </w:pPr>
            <w:r>
              <w:rPr>
                <w:rFonts w:hint="eastAsia" w:ascii="仿宋" w:hAnsi="仿宋" w:eastAsia="仿宋" w:cs="仿宋"/>
                <w:i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38"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仿宋" w:hAnsi="仿宋" w:eastAsia="仿宋" w:cs="仿宋"/>
                <w:sz w:val="24"/>
                <w:szCs w:val="24"/>
                <w:vertAlign w:val="baseline"/>
              </w:rPr>
            </w:pPr>
            <w:r>
              <w:rPr>
                <w:rFonts w:hint="eastAsia" w:ascii="仿宋" w:hAnsi="仿宋" w:eastAsia="仿宋" w:cs="仿宋"/>
                <w:i w:val="0"/>
                <w:color w:val="000000"/>
                <w:kern w:val="0"/>
                <w:sz w:val="24"/>
                <w:szCs w:val="24"/>
                <w:u w:val="none"/>
                <w:lang w:val="en-US" w:eastAsia="zh-CN" w:bidi="ar"/>
              </w:rPr>
              <w:t>4</w:t>
            </w:r>
          </w:p>
        </w:tc>
        <w:tc>
          <w:tcPr>
            <w:tcW w:w="170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办公桌</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仿宋" w:hAnsi="仿宋" w:eastAsia="仿宋" w:cs="仿宋"/>
                <w:sz w:val="24"/>
                <w:szCs w:val="24"/>
                <w:vertAlign w:val="baseline"/>
              </w:rPr>
            </w:pPr>
            <w:r>
              <w:rPr>
                <w:rFonts w:hint="eastAsia" w:ascii="仿宋" w:hAnsi="仿宋" w:eastAsia="仿宋" w:cs="仿宋"/>
                <w:i w:val="0"/>
                <w:color w:val="000000"/>
                <w:kern w:val="0"/>
                <w:sz w:val="24"/>
                <w:szCs w:val="24"/>
                <w:u w:val="none"/>
                <w:lang w:val="en-US" w:eastAsia="zh-CN" w:bidi="ar"/>
              </w:rPr>
              <w:t>（含抽屉柜）</w:t>
            </w:r>
          </w:p>
        </w:tc>
        <w:tc>
          <w:tcPr>
            <w:tcW w:w="2175" w:type="dxa"/>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kern w:val="2"/>
                <w:sz w:val="18"/>
                <w:szCs w:val="18"/>
                <w:u w:val="none"/>
                <w:lang w:val="en-US" w:eastAsia="zh-CN" w:bidi="ar-SA"/>
              </w:rPr>
            </w:pPr>
            <w:r>
              <w:rPr>
                <w:rFonts w:hint="eastAsia" w:ascii="微软雅黑" w:hAnsi="微软雅黑" w:eastAsia="微软雅黑" w:cs="微软雅黑"/>
                <w:i w:val="0"/>
                <w:iCs w:val="0"/>
                <w:color w:val="000000"/>
                <w:kern w:val="0"/>
                <w:sz w:val="18"/>
                <w:szCs w:val="18"/>
                <w:u w:val="none"/>
                <w:lang w:val="en-US" w:eastAsia="zh-CN" w:bidi="ar"/>
              </w:rPr>
              <w:drawing>
                <wp:inline distT="0" distB="0" distL="114300" distR="114300">
                  <wp:extent cx="1323975" cy="638175"/>
                  <wp:effectExtent l="0" t="0" r="9525" b="9525"/>
                  <wp:docPr id="16"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descr="IMG_256"/>
                          <pic:cNvPicPr>
                            <a:picLocks noChangeAspect="1"/>
                          </pic:cNvPicPr>
                        </pic:nvPicPr>
                        <pic:blipFill>
                          <a:blip r:embed="rId15"/>
                          <a:stretch>
                            <a:fillRect/>
                          </a:stretch>
                        </pic:blipFill>
                        <pic:spPr>
                          <a:xfrm>
                            <a:off x="0" y="0"/>
                            <a:ext cx="1323975" cy="638175"/>
                          </a:xfrm>
                          <a:prstGeom prst="rect">
                            <a:avLst/>
                          </a:prstGeom>
                          <a:noFill/>
                          <a:ln w="9525">
                            <a:noFill/>
                          </a:ln>
                        </pic:spPr>
                      </pic:pic>
                    </a:graphicData>
                  </a:graphic>
                </wp:inline>
              </w:drawing>
            </w:r>
          </w:p>
        </w:tc>
        <w:tc>
          <w:tcPr>
            <w:tcW w:w="575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center"/>
              <w:rPr>
                <w:rFonts w:hint="eastAsia" w:ascii="仿宋" w:hAnsi="仿宋" w:eastAsia="仿宋" w:cs="仿宋"/>
                <w:sz w:val="24"/>
                <w:szCs w:val="24"/>
                <w:vertAlign w:val="baseline"/>
              </w:rPr>
            </w:pPr>
            <w:r>
              <w:rPr>
                <w:rFonts w:hint="eastAsia" w:ascii="仿宋" w:hAnsi="仿宋" w:eastAsia="仿宋" w:cs="仿宋"/>
                <w:i w:val="0"/>
                <w:color w:val="000000"/>
                <w:kern w:val="0"/>
                <w:sz w:val="24"/>
                <w:szCs w:val="24"/>
                <w:u w:val="none"/>
                <w:lang w:val="en-US" w:eastAsia="zh-CN" w:bidi="ar"/>
              </w:rPr>
              <w:t xml:space="preserve">1.板材：采用环保实木多层板。多层板符合GB 6675.4-2014《玩具安全 第4部分 特定元素的迁移》及HJ 2547-2016《环境标志产品技术要求 家具》标准。未检出表示检测结果小于检出限。可迁移元素均符合国家标准。甲醛释放量≤0.08/³，总挥发性有机化合物（TVOC)释放率未检出；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2.五金配件：采用优质五金件，铰链符合QB/T 2189-2013《家具五金 杯状暗铰链》标准、垂直静载荷、水平静载荷、操作力、耐久性、下沉量、耐腐蚀。需采用优质五金配件 。导轨符合QB/T2454-2013《家具五金 抽屉导轨》标准、垂直向下静载荷、水平侧向静载荷、猛开或猛关、操作力、耐久性、下沉量、拉出安全性、耐腐蚀。三合一连接件符合GB/T 3325-2017《金属家具通用技术条件》抗盐雾达到合格；</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3.封边带：需采用优质同色PVC封边条，厚度≥2.0mm，封边条符合QB/T4463-2013《家具用封边条技术要求》GB/T17657-2013 《人造板及饰面人造板理化性能试验方法》有害物质限量、甲醛释放量符合国家标准。                                                                                               4.各项技术指标符合GB/T 3324-2017《木家具通用技术条件》规定的要求。                                                          </w:t>
            </w:r>
          </w:p>
        </w:tc>
        <w:tc>
          <w:tcPr>
            <w:tcW w:w="225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仿宋" w:hAnsi="仿宋" w:eastAsia="仿宋" w:cs="仿宋"/>
                <w:sz w:val="24"/>
                <w:szCs w:val="24"/>
                <w:vertAlign w:val="baseline"/>
              </w:rPr>
            </w:pPr>
            <w:r>
              <w:rPr>
                <w:rFonts w:hint="eastAsia" w:ascii="仿宋" w:hAnsi="仿宋" w:eastAsia="仿宋" w:cs="仿宋"/>
                <w:i w:val="0"/>
                <w:color w:val="000000"/>
                <w:kern w:val="0"/>
                <w:sz w:val="24"/>
                <w:szCs w:val="24"/>
                <w:u w:val="none"/>
                <w:lang w:val="en-US" w:eastAsia="zh-CN" w:bidi="ar"/>
              </w:rPr>
              <w:t>（7700*4300*750mm，台面宽850mm）</w:t>
            </w:r>
          </w:p>
        </w:tc>
        <w:tc>
          <w:tcPr>
            <w:tcW w:w="77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仿宋" w:hAnsi="仿宋" w:eastAsia="仿宋" w:cs="仿宋"/>
                <w:sz w:val="24"/>
                <w:szCs w:val="24"/>
                <w:vertAlign w:val="baseline"/>
              </w:rPr>
            </w:pPr>
            <w:r>
              <w:rPr>
                <w:rFonts w:hint="eastAsia" w:ascii="仿宋" w:hAnsi="仿宋" w:eastAsia="仿宋" w:cs="仿宋"/>
                <w:i w:val="0"/>
                <w:color w:val="000000"/>
                <w:kern w:val="0"/>
                <w:sz w:val="24"/>
                <w:szCs w:val="24"/>
                <w:u w:val="none"/>
                <w:lang w:val="en-US" w:eastAsia="zh-CN" w:bidi="ar"/>
              </w:rPr>
              <w:t>组</w:t>
            </w:r>
          </w:p>
        </w:tc>
        <w:tc>
          <w:tcPr>
            <w:tcW w:w="106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仿宋" w:hAnsi="仿宋" w:eastAsia="仿宋" w:cs="仿宋"/>
                <w:sz w:val="24"/>
                <w:szCs w:val="24"/>
                <w:vertAlign w:val="baseline"/>
              </w:rPr>
            </w:pPr>
            <w:r>
              <w:rPr>
                <w:rFonts w:hint="eastAsia" w:ascii="仿宋" w:hAnsi="仿宋" w:eastAsia="仿宋" w:cs="仿宋"/>
                <w:i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38"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仿宋" w:hAnsi="仿宋" w:eastAsia="仿宋" w:cs="仿宋"/>
                <w:sz w:val="24"/>
                <w:szCs w:val="24"/>
                <w:vertAlign w:val="baseline"/>
              </w:rPr>
            </w:pPr>
            <w:r>
              <w:rPr>
                <w:rFonts w:hint="eastAsia" w:ascii="仿宋" w:hAnsi="仿宋" w:eastAsia="仿宋" w:cs="仿宋"/>
                <w:i w:val="0"/>
                <w:color w:val="000000"/>
                <w:kern w:val="0"/>
                <w:sz w:val="24"/>
                <w:szCs w:val="24"/>
                <w:u w:val="none"/>
                <w:lang w:val="en-US" w:eastAsia="zh-CN" w:bidi="ar"/>
              </w:rPr>
              <w:t>5</w:t>
            </w:r>
          </w:p>
        </w:tc>
        <w:tc>
          <w:tcPr>
            <w:tcW w:w="170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仿宋" w:hAnsi="仿宋" w:eastAsia="仿宋" w:cs="仿宋"/>
                <w:sz w:val="24"/>
                <w:szCs w:val="24"/>
                <w:vertAlign w:val="baseline"/>
              </w:rPr>
            </w:pPr>
            <w:r>
              <w:rPr>
                <w:rFonts w:hint="eastAsia" w:ascii="仿宋" w:hAnsi="仿宋" w:eastAsia="仿宋" w:cs="仿宋"/>
                <w:i w:val="0"/>
                <w:color w:val="000000"/>
                <w:kern w:val="0"/>
                <w:sz w:val="24"/>
                <w:szCs w:val="24"/>
                <w:u w:val="none"/>
                <w:lang w:val="en-US" w:eastAsia="zh-CN" w:bidi="ar"/>
              </w:rPr>
              <w:t>桌椅类-办公椅</w:t>
            </w:r>
          </w:p>
        </w:tc>
        <w:tc>
          <w:tcPr>
            <w:tcW w:w="2175" w:type="dxa"/>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kern w:val="2"/>
                <w:sz w:val="18"/>
                <w:szCs w:val="18"/>
                <w:u w:val="none"/>
                <w:lang w:val="en-US" w:eastAsia="zh-CN" w:bidi="ar-SA"/>
              </w:rPr>
            </w:pPr>
            <w:r>
              <w:rPr>
                <w:rFonts w:hint="eastAsia" w:ascii="微软雅黑" w:hAnsi="微软雅黑" w:eastAsia="微软雅黑" w:cs="微软雅黑"/>
                <w:i w:val="0"/>
                <w:iCs w:val="0"/>
                <w:color w:val="000000"/>
                <w:kern w:val="0"/>
                <w:sz w:val="18"/>
                <w:szCs w:val="18"/>
                <w:u w:val="none"/>
                <w:lang w:val="en-US" w:eastAsia="zh-CN" w:bidi="ar"/>
              </w:rPr>
              <w:drawing>
                <wp:anchor distT="0" distB="0" distL="114300" distR="114300" simplePos="0" relativeHeight="251691008" behindDoc="0" locked="0" layoutInCell="1" allowOverlap="1">
                  <wp:simplePos x="0" y="0"/>
                  <wp:positionH relativeFrom="column">
                    <wp:posOffset>230505</wp:posOffset>
                  </wp:positionH>
                  <wp:positionV relativeFrom="paragraph">
                    <wp:posOffset>908050</wp:posOffset>
                  </wp:positionV>
                  <wp:extent cx="680085" cy="1035050"/>
                  <wp:effectExtent l="0" t="0" r="5715" b="12700"/>
                  <wp:wrapSquare wrapText="bothSides"/>
                  <wp:docPr id="3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descr="IMG_256"/>
                          <pic:cNvPicPr>
                            <a:picLocks noChangeAspect="1"/>
                          </pic:cNvPicPr>
                        </pic:nvPicPr>
                        <pic:blipFill>
                          <a:blip r:embed="rId16"/>
                          <a:stretch>
                            <a:fillRect/>
                          </a:stretch>
                        </pic:blipFill>
                        <pic:spPr>
                          <a:xfrm>
                            <a:off x="0" y="0"/>
                            <a:ext cx="680085" cy="1035050"/>
                          </a:xfrm>
                          <a:prstGeom prst="rect">
                            <a:avLst/>
                          </a:prstGeom>
                          <a:noFill/>
                          <a:ln w="9525">
                            <a:noFill/>
                          </a:ln>
                        </pic:spPr>
                      </pic:pic>
                    </a:graphicData>
                  </a:graphic>
                </wp:anchor>
              </w:drawing>
            </w:r>
          </w:p>
        </w:tc>
        <w:tc>
          <w:tcPr>
            <w:tcW w:w="575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1.尼龙玻纤椅身，固定型扶手，高回弹纯棉坐垫 、 高密度透气网布，持久支撑，清爽不闷热，符合：QB/T  2280-2016 办公家具标准；</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2.软、硬包件外观：构件及缝纫应无破损，无污迹、无脱线、无开缝或脱胶；金属件外观：不应有裂缝、脱层，无叠缝、错位、结疤。</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3.弯管处弧形圆滑一致，波纹高低不大于0.4mm。</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4.焊接处应无脱焊、虚焊、焊穿，焊接件应无夹渣、气孔、焊瘤、咬边、飞溅。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5.涂层和镀层:金属件镀层应无烧焦起泡、针孔、裂纹、毛刺、花斑、和划痕。</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▲6.软质聚氨酯泡沫塑料:密度座面：≥25kg/m³,其他部位：≥18kg/m³；回弹性≥35%；75%压缩永久≤10%变形。</w:t>
            </w:r>
            <w:r>
              <w:rPr>
                <w:rFonts w:hint="eastAsia" w:ascii="仿宋" w:hAnsi="仿宋" w:eastAsia="仿宋" w:cs="宋体"/>
                <w:b/>
                <w:bCs/>
                <w:kern w:val="0"/>
                <w:sz w:val="22"/>
                <w:szCs w:val="22"/>
              </w:rPr>
              <w:t>（提供具有CNAS或CMA标识的第三方检测报告扫描件并加盖CA签章）</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7.纺织面料：干摩擦色牢度≥3级。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▲8.电镀层：耐盐雾18h,直径1.5mm以下锈点不多于20点/dm²,其中直径≥1.0mm锈点不超过5点(距离边缘棱角2mm以内的不计)</w:t>
            </w:r>
            <w:r>
              <w:rPr>
                <w:rFonts w:hint="eastAsia" w:ascii="仿宋" w:hAnsi="仿宋" w:eastAsia="仿宋" w:cs="宋体"/>
                <w:b/>
                <w:bCs/>
                <w:kern w:val="0"/>
                <w:sz w:val="22"/>
                <w:szCs w:val="22"/>
              </w:rPr>
              <w:t>（提供具有CNAS或CMA标识的第三方检测报告扫描件并加盖CA签章）</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▲9.阻燃性：公共场所用办公椅的阻燃性应满足GB17927.2的要求。</w:t>
            </w:r>
            <w:r>
              <w:rPr>
                <w:rFonts w:hint="eastAsia" w:ascii="仿宋" w:hAnsi="仿宋" w:eastAsia="仿宋" w:cs="宋体"/>
                <w:b/>
                <w:bCs/>
                <w:kern w:val="0"/>
                <w:sz w:val="22"/>
                <w:szCs w:val="22"/>
              </w:rPr>
              <w:t>（提供具有CNAS或CMA标识的第三方检测报告扫描件并加盖CA签章）</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center"/>
              <w:rPr>
                <w:rFonts w:hint="eastAsia" w:ascii="仿宋" w:hAnsi="仿宋" w:eastAsia="仿宋" w:cs="仿宋"/>
                <w:sz w:val="24"/>
                <w:szCs w:val="24"/>
                <w:vertAlign w:val="baseline"/>
              </w:rPr>
            </w:pPr>
            <w:r>
              <w:rPr>
                <w:rFonts w:hint="eastAsia" w:ascii="仿宋" w:hAnsi="仿宋" w:eastAsia="仿宋" w:cs="仿宋"/>
                <w:i w:val="0"/>
                <w:color w:val="000000"/>
                <w:kern w:val="0"/>
                <w:sz w:val="24"/>
                <w:szCs w:val="24"/>
                <w:u w:val="none"/>
                <w:lang w:val="en-US" w:eastAsia="zh-CN" w:bidi="ar"/>
              </w:rPr>
              <w:t>10.符合</w:t>
            </w:r>
            <w:r>
              <w:rPr>
                <w:rFonts w:hint="default" w:ascii="仿宋" w:hAnsi="仿宋" w:eastAsia="仿宋" w:cs="仿宋"/>
                <w:i w:val="0"/>
                <w:color w:val="000000"/>
                <w:kern w:val="0"/>
                <w:sz w:val="24"/>
                <w:szCs w:val="24"/>
                <w:u w:val="none"/>
                <w:lang w:val="en-US" w:eastAsia="zh-CN" w:bidi="ar"/>
              </w:rPr>
              <w:t>QB/T 2280-2016《办公家具办公椅》;GB 17927.2-2011《软体家具床垫和沙发抗引燃特性的评定第2部分：模拟火柴火焰》:GB/T 39223.3-2020《健康家居的人类工效学要求第3部分：办公桌椅》</w:t>
            </w:r>
          </w:p>
        </w:tc>
        <w:tc>
          <w:tcPr>
            <w:tcW w:w="225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仿宋" w:hAnsi="仿宋" w:eastAsia="仿宋" w:cs="仿宋"/>
                <w:sz w:val="24"/>
                <w:szCs w:val="24"/>
                <w:vertAlign w:val="baseline"/>
                <w:lang w:val="en-US"/>
              </w:rPr>
            </w:pPr>
            <w:r>
              <w:rPr>
                <w:rFonts w:hint="eastAsia" w:ascii="仿宋" w:hAnsi="仿宋" w:eastAsia="仿宋" w:cs="仿宋"/>
                <w:i w:val="0"/>
                <w:color w:val="000000"/>
                <w:kern w:val="0"/>
                <w:sz w:val="24"/>
                <w:szCs w:val="24"/>
                <w:u w:val="none"/>
                <w:lang w:val="en-US" w:eastAsia="zh-CN" w:bidi="ar"/>
              </w:rPr>
              <w:t>宽：680，椅深：590，高：1010，坐深：450mm</w:t>
            </w:r>
          </w:p>
        </w:tc>
        <w:tc>
          <w:tcPr>
            <w:tcW w:w="77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仿宋" w:hAnsi="仿宋" w:eastAsia="仿宋" w:cs="仿宋"/>
                <w:sz w:val="24"/>
                <w:szCs w:val="24"/>
                <w:vertAlign w:val="baseline"/>
              </w:rPr>
            </w:pPr>
            <w:r>
              <w:rPr>
                <w:rFonts w:hint="eastAsia" w:ascii="仿宋" w:hAnsi="仿宋" w:eastAsia="仿宋" w:cs="仿宋"/>
                <w:i w:val="0"/>
                <w:color w:val="000000"/>
                <w:kern w:val="0"/>
                <w:sz w:val="24"/>
                <w:szCs w:val="24"/>
                <w:u w:val="none"/>
                <w:lang w:val="en-US" w:eastAsia="zh-CN" w:bidi="ar"/>
              </w:rPr>
              <w:t>把</w:t>
            </w:r>
          </w:p>
        </w:tc>
        <w:tc>
          <w:tcPr>
            <w:tcW w:w="106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仿宋" w:hAnsi="仿宋" w:eastAsia="仿宋" w:cs="仿宋"/>
                <w:sz w:val="24"/>
                <w:szCs w:val="24"/>
                <w:vertAlign w:val="baseline"/>
              </w:rPr>
            </w:pPr>
            <w:r>
              <w:rPr>
                <w:rFonts w:hint="eastAsia" w:ascii="仿宋" w:hAnsi="仿宋" w:eastAsia="仿宋" w:cs="仿宋"/>
                <w:i w:val="0"/>
                <w:color w:val="000000"/>
                <w:kern w:val="0"/>
                <w:sz w:val="24"/>
                <w:szCs w:val="24"/>
                <w:u w:val="none"/>
                <w:lang w:val="en-US" w:eastAsia="zh-CN" w:bidi="ar"/>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38"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仿宋" w:hAnsi="仿宋" w:eastAsia="仿宋" w:cs="仿宋"/>
                <w:sz w:val="24"/>
                <w:szCs w:val="24"/>
                <w:vertAlign w:val="baseline"/>
              </w:rPr>
            </w:pPr>
            <w:r>
              <w:rPr>
                <w:rFonts w:hint="eastAsia" w:ascii="仿宋" w:hAnsi="仿宋" w:eastAsia="仿宋" w:cs="仿宋"/>
                <w:i w:val="0"/>
                <w:color w:val="000000"/>
                <w:kern w:val="0"/>
                <w:sz w:val="24"/>
                <w:szCs w:val="24"/>
                <w:u w:val="none"/>
                <w:lang w:val="en-US" w:eastAsia="zh-CN" w:bidi="ar"/>
              </w:rPr>
              <w:t>6</w:t>
            </w:r>
          </w:p>
        </w:tc>
        <w:tc>
          <w:tcPr>
            <w:tcW w:w="170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仿宋" w:hAnsi="仿宋" w:eastAsia="仿宋" w:cs="仿宋"/>
                <w:sz w:val="24"/>
                <w:szCs w:val="24"/>
                <w:vertAlign w:val="baseline"/>
              </w:rPr>
            </w:pPr>
            <w:r>
              <w:rPr>
                <w:rFonts w:hint="eastAsia" w:ascii="仿宋" w:hAnsi="仿宋" w:eastAsia="仿宋" w:cs="仿宋"/>
                <w:i w:val="0"/>
                <w:color w:val="000000"/>
                <w:kern w:val="0"/>
                <w:sz w:val="24"/>
                <w:szCs w:val="24"/>
                <w:u w:val="none"/>
                <w:lang w:val="en-US" w:eastAsia="zh-CN" w:bidi="ar"/>
              </w:rPr>
              <w:t>桌椅类-接待椅</w:t>
            </w:r>
          </w:p>
        </w:tc>
        <w:tc>
          <w:tcPr>
            <w:tcW w:w="2175" w:type="dxa"/>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kern w:val="2"/>
                <w:sz w:val="18"/>
                <w:szCs w:val="18"/>
                <w:u w:val="none"/>
                <w:lang w:val="en-US" w:eastAsia="zh-CN" w:bidi="ar-SA"/>
              </w:rPr>
            </w:pPr>
            <w:r>
              <w:rPr>
                <w:rFonts w:hint="eastAsia" w:ascii="微软雅黑" w:hAnsi="微软雅黑" w:eastAsia="微软雅黑" w:cs="微软雅黑"/>
                <w:i w:val="0"/>
                <w:iCs w:val="0"/>
                <w:color w:val="000000"/>
                <w:kern w:val="0"/>
                <w:sz w:val="18"/>
                <w:szCs w:val="18"/>
                <w:u w:val="none"/>
                <w:lang w:val="en-US" w:eastAsia="zh-CN" w:bidi="ar"/>
              </w:rPr>
              <w:drawing>
                <wp:inline distT="0" distB="0" distL="114300" distR="114300">
                  <wp:extent cx="1009650" cy="1323975"/>
                  <wp:effectExtent l="0" t="0" r="0" b="9525"/>
                  <wp:docPr id="5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6" descr="IMG_256"/>
                          <pic:cNvPicPr>
                            <a:picLocks noChangeAspect="1"/>
                          </pic:cNvPicPr>
                        </pic:nvPicPr>
                        <pic:blipFill>
                          <a:blip r:embed="rId17"/>
                          <a:stretch>
                            <a:fillRect/>
                          </a:stretch>
                        </pic:blipFill>
                        <pic:spPr>
                          <a:xfrm>
                            <a:off x="0" y="0"/>
                            <a:ext cx="1009650" cy="1323975"/>
                          </a:xfrm>
                          <a:prstGeom prst="rect">
                            <a:avLst/>
                          </a:prstGeom>
                          <a:noFill/>
                          <a:ln w="9525">
                            <a:noFill/>
                          </a:ln>
                        </pic:spPr>
                      </pic:pic>
                    </a:graphicData>
                  </a:graphic>
                </wp:inline>
              </w:drawing>
            </w:r>
          </w:p>
        </w:tc>
        <w:tc>
          <w:tcPr>
            <w:tcW w:w="575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center"/>
              <w:rPr>
                <w:rFonts w:hint="eastAsia" w:ascii="仿宋" w:hAnsi="仿宋" w:eastAsia="仿宋" w:cs="仿宋"/>
                <w:sz w:val="24"/>
                <w:szCs w:val="24"/>
                <w:vertAlign w:val="baseline"/>
              </w:rPr>
            </w:pPr>
            <w:r>
              <w:rPr>
                <w:rFonts w:hint="eastAsia" w:ascii="仿宋" w:hAnsi="仿宋" w:eastAsia="仿宋" w:cs="仿宋"/>
                <w:i w:val="0"/>
                <w:color w:val="000000"/>
                <w:kern w:val="0"/>
                <w:sz w:val="24"/>
                <w:szCs w:val="24"/>
                <w:u w:val="none"/>
                <w:lang w:val="en-US" w:eastAsia="zh-CN" w:bidi="ar"/>
              </w:rPr>
              <w:t>1.椅身：胶背与座板采用全新PP加纤,一体注塑成型，厚度为7mm, 无水印污渍.座背防水，易清洁，长久耐用，颜色搭配时尚；胶背重：2.6KG/个。胶背40KG12万次循环推背测试。磨砂椅面,单次拉力108KG，保压一分钟。带有软包，高密度回弹棉，表面常规用西皮或麻布，坐感舒适。</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2.椅脚：脚架采用加粗榉木腿，带防滑脚垫，配防滑螺丝，稳定性高久座不累。脚架重:1.8kg。</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3.整椅坐感舒适，符合人体工学设计。</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4.整椅尺寸；座高380mm.座深430mm.座宽460mm.总高830mm。</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5.胶背颜色： 黑、白、红、蓝、灰、黄、橙、绿8色可选。</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6.塑料板用料检验须依据 GBT 32487-2016。</w:t>
            </w:r>
          </w:p>
        </w:tc>
        <w:tc>
          <w:tcPr>
            <w:tcW w:w="225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仿宋" w:hAnsi="仿宋" w:eastAsia="仿宋" w:cs="仿宋"/>
                <w:sz w:val="24"/>
                <w:szCs w:val="24"/>
                <w:vertAlign w:val="baseline"/>
              </w:rPr>
            </w:pPr>
            <w:r>
              <w:rPr>
                <w:rFonts w:hint="eastAsia" w:ascii="仿宋" w:hAnsi="仿宋" w:eastAsia="仿宋" w:cs="仿宋"/>
                <w:i w:val="0"/>
                <w:color w:val="000000"/>
                <w:kern w:val="0"/>
                <w:sz w:val="24"/>
                <w:szCs w:val="24"/>
                <w:u w:val="none"/>
                <w:lang w:val="en-US" w:eastAsia="zh-CN" w:bidi="ar"/>
              </w:rPr>
              <w:t>座高380mm，座深430mm，座宽460mm，总高830mm。</w:t>
            </w:r>
          </w:p>
        </w:tc>
        <w:tc>
          <w:tcPr>
            <w:tcW w:w="77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仿宋" w:hAnsi="仿宋" w:eastAsia="仿宋" w:cs="仿宋"/>
                <w:sz w:val="24"/>
                <w:szCs w:val="24"/>
                <w:vertAlign w:val="baseline"/>
              </w:rPr>
            </w:pPr>
            <w:r>
              <w:rPr>
                <w:rFonts w:hint="eastAsia" w:ascii="仿宋" w:hAnsi="仿宋" w:eastAsia="仿宋" w:cs="仿宋"/>
                <w:i w:val="0"/>
                <w:color w:val="000000"/>
                <w:kern w:val="0"/>
                <w:sz w:val="24"/>
                <w:szCs w:val="24"/>
                <w:u w:val="none"/>
                <w:lang w:val="en-US" w:eastAsia="zh-CN" w:bidi="ar"/>
              </w:rPr>
              <w:t>把</w:t>
            </w:r>
          </w:p>
        </w:tc>
        <w:tc>
          <w:tcPr>
            <w:tcW w:w="106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仿宋" w:hAnsi="仿宋" w:eastAsia="仿宋" w:cs="仿宋"/>
                <w:sz w:val="24"/>
                <w:szCs w:val="24"/>
                <w:vertAlign w:val="baseline"/>
              </w:rPr>
            </w:pPr>
            <w:r>
              <w:rPr>
                <w:rFonts w:hint="eastAsia" w:ascii="仿宋" w:hAnsi="仿宋" w:eastAsia="仿宋" w:cs="仿宋"/>
                <w:i w:val="0"/>
                <w:color w:val="000000"/>
                <w:kern w:val="0"/>
                <w:sz w:val="24"/>
                <w:szCs w:val="24"/>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3" w:hRule="atLeast"/>
        </w:trPr>
        <w:tc>
          <w:tcPr>
            <w:tcW w:w="14350" w:type="dxa"/>
            <w:gridSpan w:val="7"/>
            <w:vAlign w:val="center"/>
          </w:tcPr>
          <w:p>
            <w:pPr>
              <w:keepNext w:val="0"/>
              <w:keepLines w:val="0"/>
              <w:pageBreakBefore w:val="0"/>
              <w:widowControl w:val="0"/>
              <w:suppressLineNumbers w:val="0"/>
              <w:tabs>
                <w:tab w:val="left" w:pos="2405"/>
              </w:tabs>
              <w:kinsoku/>
              <w:wordWrap/>
              <w:overflowPunct/>
              <w:topLinePunct w:val="0"/>
              <w:autoSpaceDE/>
              <w:autoSpaceDN/>
              <w:bidi w:val="0"/>
              <w:adjustRightInd/>
              <w:snapToGrid/>
              <w:spacing w:before="0" w:beforeAutospacing="0" w:after="0" w:afterAutospacing="0" w:line="400" w:lineRule="exact"/>
              <w:ind w:left="0" w:right="0"/>
              <w:jc w:val="both"/>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eastAsia="zh-CN"/>
              </w:rPr>
              <w:t>1F-社区（档案室）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3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7</w:t>
            </w:r>
          </w:p>
        </w:tc>
        <w:tc>
          <w:tcPr>
            <w:tcW w:w="1700"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sz w:val="24"/>
                <w:szCs w:val="24"/>
                <w:vertAlign w:val="baseline"/>
              </w:rPr>
            </w:pPr>
            <w:r>
              <w:rPr>
                <w:rFonts w:hint="eastAsia" w:ascii="仿宋" w:hAnsi="仿宋" w:eastAsia="仿宋" w:cs="仿宋"/>
                <w:i w:val="0"/>
                <w:color w:val="000000"/>
                <w:kern w:val="0"/>
                <w:sz w:val="24"/>
                <w:szCs w:val="24"/>
                <w:u w:val="none"/>
                <w:lang w:val="en-US" w:eastAsia="zh-CN" w:bidi="ar"/>
              </w:rPr>
              <w:t>柜类-档案柜</w:t>
            </w:r>
          </w:p>
        </w:tc>
        <w:tc>
          <w:tcPr>
            <w:tcW w:w="2175" w:type="dxa"/>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kern w:val="2"/>
                <w:sz w:val="18"/>
                <w:szCs w:val="18"/>
                <w:u w:val="none"/>
                <w:lang w:val="en-US" w:eastAsia="zh-CN" w:bidi="ar-SA"/>
              </w:rPr>
            </w:pPr>
            <w:r>
              <w:rPr>
                <w:rFonts w:hint="eastAsia" w:ascii="微软雅黑" w:hAnsi="微软雅黑" w:eastAsia="微软雅黑" w:cs="微软雅黑"/>
                <w:i w:val="0"/>
                <w:iCs w:val="0"/>
                <w:color w:val="000000"/>
                <w:kern w:val="0"/>
                <w:sz w:val="18"/>
                <w:szCs w:val="18"/>
                <w:u w:val="none"/>
                <w:lang w:val="en-US" w:eastAsia="zh-CN" w:bidi="ar"/>
              </w:rPr>
              <w:drawing>
                <wp:anchor distT="0" distB="0" distL="114300" distR="114300" simplePos="0" relativeHeight="251697152" behindDoc="0" locked="0" layoutInCell="1" allowOverlap="1">
                  <wp:simplePos x="0" y="0"/>
                  <wp:positionH relativeFrom="column">
                    <wp:posOffset>150495</wp:posOffset>
                  </wp:positionH>
                  <wp:positionV relativeFrom="paragraph">
                    <wp:posOffset>988695</wp:posOffset>
                  </wp:positionV>
                  <wp:extent cx="744855" cy="1065530"/>
                  <wp:effectExtent l="0" t="0" r="17145" b="1270"/>
                  <wp:wrapSquare wrapText="bothSides"/>
                  <wp:docPr id="55" name="图片 8" descr="IMG_256"/>
                  <wp:cNvGraphicFramePr/>
                  <a:graphic xmlns:a="http://schemas.openxmlformats.org/drawingml/2006/main">
                    <a:graphicData uri="http://schemas.openxmlformats.org/drawingml/2006/picture">
                      <pic:pic xmlns:pic="http://schemas.openxmlformats.org/drawingml/2006/picture">
                        <pic:nvPicPr>
                          <pic:cNvPr id="55" name="图片 8" descr="IMG_256"/>
                          <pic:cNvPicPr preferRelativeResize="0"/>
                        </pic:nvPicPr>
                        <pic:blipFill>
                          <a:blip r:embed="rId18"/>
                          <a:stretch>
                            <a:fillRect/>
                          </a:stretch>
                        </pic:blipFill>
                        <pic:spPr>
                          <a:xfrm>
                            <a:off x="0" y="0"/>
                            <a:ext cx="744855" cy="1065530"/>
                          </a:xfrm>
                          <a:prstGeom prst="rect">
                            <a:avLst/>
                          </a:prstGeom>
                          <a:noFill/>
                          <a:ln w="9525">
                            <a:noFill/>
                          </a:ln>
                        </pic:spPr>
                      </pic:pic>
                    </a:graphicData>
                  </a:graphic>
                </wp:anchor>
              </w:drawing>
            </w:r>
          </w:p>
        </w:tc>
        <w:tc>
          <w:tcPr>
            <w:tcW w:w="5750" w:type="dxa"/>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sz w:val="24"/>
                <w:szCs w:val="24"/>
                <w:vertAlign w:val="baseline"/>
              </w:rPr>
            </w:pPr>
            <w:r>
              <w:rPr>
                <w:rFonts w:hint="eastAsia" w:ascii="仿宋" w:hAnsi="仿宋" w:eastAsia="仿宋" w:cs="仿宋"/>
                <w:i w:val="0"/>
                <w:color w:val="000000"/>
                <w:kern w:val="0"/>
                <w:sz w:val="24"/>
                <w:szCs w:val="24"/>
                <w:u w:val="none"/>
                <w:lang w:val="en-US" w:eastAsia="zh-CN" w:bidi="ar"/>
              </w:rPr>
              <w:t xml:space="preserve">1.板材：采用环保实木多层板。多层板符合GB 6675.4-2014《玩具安全 第4部分 特定元素的迁移》及HJ 2547-2016《环境标志产品技术要求 家具》标准。未检出表示检测结果小于检出限。可迁移元素均符合国家标准。甲醛释放量≤0.08/³，总挥发性有机化合物（TVOC)释放率未检出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2.五金配件：采用优质五金件，铰链符合QB/T 2189-2013《家具五金 杯状暗铰链》标准、垂直静载荷、水平静载荷、操作力、耐久性、下沉量、耐腐蚀。需采用优质五金配件 。导轨符合QB/T2454-2013《家具五金 抽屉导轨》标准、垂直向下静载荷、水平侧向静载荷、猛开或猛关、操作力、耐久性、下沉量、拉出安全性、耐腐蚀。三合一连接件符合GB/T 3325-2017《金属家具通用技术条件》抗盐雾达到合格</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3.封边带：需采用优质同色PVC封边条，厚度≥2.0mm，封边条符合QB/T4463-2013 《家具用封边条技术要求》GB/T17657-2013 《人造板及饰面人造板理化性能试验方法》有害物质限量、甲醛释放量符合国家标准。                                                                                               4.各项技术指标符合GB/T 3324-2017《木家具通用技术条件》规定的要求 </w:t>
            </w:r>
          </w:p>
        </w:tc>
        <w:tc>
          <w:tcPr>
            <w:tcW w:w="2250"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sz w:val="24"/>
                <w:szCs w:val="24"/>
                <w:vertAlign w:val="baseline"/>
              </w:rPr>
            </w:pPr>
            <w:r>
              <w:rPr>
                <w:rFonts w:hint="eastAsia" w:ascii="仿宋" w:hAnsi="仿宋" w:eastAsia="仿宋" w:cs="仿宋"/>
                <w:i w:val="0"/>
                <w:color w:val="000000"/>
                <w:kern w:val="0"/>
                <w:sz w:val="24"/>
                <w:szCs w:val="24"/>
                <w:u w:val="none"/>
                <w:lang w:val="en-US" w:eastAsia="zh-CN" w:bidi="ar"/>
              </w:rPr>
              <w:t>3600*1800*400mm</w:t>
            </w:r>
          </w:p>
        </w:tc>
        <w:tc>
          <w:tcPr>
            <w:tcW w:w="775"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sz w:val="24"/>
                <w:szCs w:val="24"/>
                <w:vertAlign w:val="baseline"/>
              </w:rPr>
            </w:pPr>
            <w:r>
              <w:rPr>
                <w:rFonts w:hint="eastAsia" w:ascii="仿宋" w:hAnsi="仿宋" w:eastAsia="仿宋" w:cs="仿宋"/>
                <w:i w:val="0"/>
                <w:color w:val="000000"/>
                <w:kern w:val="0"/>
                <w:sz w:val="24"/>
                <w:szCs w:val="24"/>
                <w:u w:val="none"/>
                <w:lang w:val="en-US" w:eastAsia="zh-CN" w:bidi="ar"/>
              </w:rPr>
              <w:t>组</w:t>
            </w:r>
          </w:p>
        </w:tc>
        <w:tc>
          <w:tcPr>
            <w:tcW w:w="1062"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sz w:val="24"/>
                <w:szCs w:val="24"/>
                <w:vertAlign w:val="baseline"/>
              </w:rPr>
            </w:pPr>
            <w:r>
              <w:rPr>
                <w:rFonts w:hint="eastAsia" w:ascii="仿宋" w:hAnsi="仿宋" w:eastAsia="仿宋" w:cs="仿宋"/>
                <w:i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2" w:hRule="atLeast"/>
        </w:trPr>
        <w:tc>
          <w:tcPr>
            <w:tcW w:w="14350" w:type="dxa"/>
            <w:gridSpan w:val="7"/>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both"/>
              <w:rPr>
                <w:rFonts w:hint="eastAsia" w:ascii="仿宋" w:hAnsi="仿宋" w:eastAsia="仿宋" w:cs="仿宋"/>
                <w:sz w:val="24"/>
                <w:szCs w:val="24"/>
                <w:vertAlign w:val="baseline"/>
              </w:rPr>
            </w:pPr>
            <w:r>
              <w:rPr>
                <w:rFonts w:hint="eastAsia" w:ascii="仿宋" w:hAnsi="仿宋" w:eastAsia="仿宋" w:cs="仿宋"/>
                <w:sz w:val="24"/>
                <w:szCs w:val="24"/>
                <w:vertAlign w:val="baseline"/>
              </w:rPr>
              <w:t>1F-社区（谈心谈话室）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34" w:hRule="atLeast"/>
        </w:trPr>
        <w:tc>
          <w:tcPr>
            <w:tcW w:w="63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8</w:t>
            </w:r>
          </w:p>
        </w:tc>
        <w:tc>
          <w:tcPr>
            <w:tcW w:w="1700"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sz w:val="24"/>
                <w:szCs w:val="24"/>
                <w:highlight w:val="none"/>
                <w:vertAlign w:val="baseline"/>
              </w:rPr>
            </w:pPr>
            <w:r>
              <w:rPr>
                <w:rFonts w:hint="eastAsia" w:ascii="仿宋" w:hAnsi="仿宋" w:eastAsia="仿宋" w:cs="仿宋"/>
                <w:i w:val="0"/>
                <w:color w:val="000000"/>
                <w:kern w:val="0"/>
                <w:sz w:val="24"/>
                <w:szCs w:val="24"/>
                <w:highlight w:val="none"/>
                <w:u w:val="none"/>
                <w:lang w:val="en-US" w:eastAsia="zh-CN" w:bidi="ar"/>
              </w:rPr>
              <w:t>桌椅类-休闲桌</w:t>
            </w:r>
          </w:p>
        </w:tc>
        <w:tc>
          <w:tcPr>
            <w:tcW w:w="2175" w:type="dxa"/>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sz w:val="24"/>
                <w:szCs w:val="24"/>
                <w:highlight w:val="yellow"/>
                <w:vertAlign w:val="baseline"/>
              </w:rPr>
            </w:pPr>
            <w:r>
              <w:rPr>
                <w:rFonts w:hint="default"/>
                <w:szCs w:val="20"/>
              </w:rPr>
              <w:drawing>
                <wp:anchor distT="0" distB="0" distL="114300" distR="114300" simplePos="0" relativeHeight="251682816" behindDoc="1" locked="0" layoutInCell="1" allowOverlap="1">
                  <wp:simplePos x="0" y="0"/>
                  <wp:positionH relativeFrom="column">
                    <wp:posOffset>211455</wp:posOffset>
                  </wp:positionH>
                  <wp:positionV relativeFrom="page">
                    <wp:posOffset>116840</wp:posOffset>
                  </wp:positionV>
                  <wp:extent cx="747395" cy="747395"/>
                  <wp:effectExtent l="0" t="0" r="14605" b="14605"/>
                  <wp:wrapThrough wrapText="bothSides">
                    <wp:wrapPolygon>
                      <wp:start x="0" y="0"/>
                      <wp:lineTo x="0" y="20921"/>
                      <wp:lineTo x="20921" y="20921"/>
                      <wp:lineTo x="20921" y="0"/>
                      <wp:lineTo x="0" y="0"/>
                    </wp:wrapPolygon>
                  </wp:wrapThrough>
                  <wp:docPr id="6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9"/>
                          <pic:cNvPicPr>
                            <a:picLocks noChangeAspect="1"/>
                          </pic:cNvPicPr>
                        </pic:nvPicPr>
                        <pic:blipFill>
                          <a:blip r:embed="rId19"/>
                          <a:stretch>
                            <a:fillRect/>
                          </a:stretch>
                        </pic:blipFill>
                        <pic:spPr>
                          <a:xfrm>
                            <a:off x="0" y="0"/>
                            <a:ext cx="747395" cy="747395"/>
                          </a:xfrm>
                          <a:prstGeom prst="rect">
                            <a:avLst/>
                          </a:prstGeom>
                          <a:noFill/>
                          <a:ln>
                            <a:noFill/>
                          </a:ln>
                        </pic:spPr>
                      </pic:pic>
                    </a:graphicData>
                  </a:graphic>
                </wp:anchor>
              </w:drawing>
            </w:r>
          </w:p>
        </w:tc>
        <w:tc>
          <w:tcPr>
            <w:tcW w:w="5750" w:type="dxa"/>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sz w:val="24"/>
                <w:szCs w:val="24"/>
                <w:vertAlign w:val="baseline"/>
              </w:rPr>
            </w:pPr>
            <w:r>
              <w:rPr>
                <w:rFonts w:hint="eastAsia" w:ascii="仿宋" w:hAnsi="仿宋" w:eastAsia="仿宋" w:cs="仿宋"/>
                <w:i w:val="0"/>
                <w:color w:val="000000"/>
                <w:kern w:val="0"/>
                <w:sz w:val="24"/>
                <w:szCs w:val="24"/>
                <w:u w:val="none"/>
                <w:lang w:val="en-US" w:eastAsia="zh-CN" w:bidi="ar"/>
              </w:rPr>
              <w:t>白色光亮桌面、榉木脚/钢制框架、带脚垫</w:t>
            </w:r>
          </w:p>
        </w:tc>
        <w:tc>
          <w:tcPr>
            <w:tcW w:w="2250" w:type="dxa"/>
            <w:vAlign w:val="center"/>
          </w:tcPr>
          <w:p>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sz w:val="24"/>
                <w:szCs w:val="24"/>
                <w:vertAlign w:val="baseline"/>
                <w:lang w:val="en-US"/>
              </w:rPr>
            </w:pPr>
            <w:r>
              <w:rPr>
                <w:rFonts w:hint="eastAsia" w:ascii="仿宋" w:hAnsi="仿宋" w:eastAsia="仿宋" w:cs="仿宋"/>
                <w:i w:val="0"/>
                <w:color w:val="000000"/>
                <w:kern w:val="0"/>
                <w:sz w:val="24"/>
                <w:szCs w:val="24"/>
                <w:u w:val="none"/>
                <w:lang w:val="en-US" w:eastAsia="zh-CN" w:bidi="ar"/>
              </w:rPr>
              <w:t>800*800*750mm</w:t>
            </w:r>
          </w:p>
        </w:tc>
        <w:tc>
          <w:tcPr>
            <w:tcW w:w="775"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sz w:val="24"/>
                <w:szCs w:val="24"/>
                <w:vertAlign w:val="baseline"/>
              </w:rPr>
            </w:pPr>
            <w:r>
              <w:rPr>
                <w:rFonts w:hint="eastAsia" w:ascii="仿宋" w:hAnsi="仿宋" w:eastAsia="仿宋" w:cs="仿宋"/>
                <w:i w:val="0"/>
                <w:color w:val="000000"/>
                <w:kern w:val="0"/>
                <w:sz w:val="24"/>
                <w:szCs w:val="24"/>
                <w:u w:val="none"/>
                <w:lang w:val="en-US" w:eastAsia="zh-CN" w:bidi="ar"/>
              </w:rPr>
              <w:t>张</w:t>
            </w:r>
          </w:p>
        </w:tc>
        <w:tc>
          <w:tcPr>
            <w:tcW w:w="1062"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sz w:val="24"/>
                <w:szCs w:val="24"/>
                <w:vertAlign w:val="baseline"/>
              </w:rPr>
            </w:pPr>
            <w:r>
              <w:rPr>
                <w:rFonts w:hint="eastAsia" w:ascii="仿宋" w:hAnsi="仿宋" w:eastAsia="仿宋" w:cs="仿宋"/>
                <w:i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3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9</w:t>
            </w:r>
          </w:p>
        </w:tc>
        <w:tc>
          <w:tcPr>
            <w:tcW w:w="1700"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sz w:val="24"/>
                <w:szCs w:val="24"/>
                <w:vertAlign w:val="baseline"/>
              </w:rPr>
            </w:pPr>
            <w:r>
              <w:rPr>
                <w:rFonts w:hint="eastAsia" w:ascii="仿宋" w:hAnsi="仿宋" w:eastAsia="仿宋" w:cs="仿宋"/>
                <w:i w:val="0"/>
                <w:color w:val="000000"/>
                <w:kern w:val="0"/>
                <w:sz w:val="24"/>
                <w:szCs w:val="24"/>
                <w:u w:val="none"/>
                <w:lang w:val="en-US" w:eastAsia="zh-CN" w:bidi="ar"/>
              </w:rPr>
              <w:t>桌椅类-休闲椅</w:t>
            </w:r>
          </w:p>
        </w:tc>
        <w:tc>
          <w:tcPr>
            <w:tcW w:w="2175" w:type="dxa"/>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sz w:val="24"/>
                <w:szCs w:val="24"/>
                <w:vertAlign w:val="baseline"/>
              </w:rPr>
            </w:pPr>
            <w:r>
              <w:rPr>
                <w:rFonts w:hint="default"/>
                <w:szCs w:val="20"/>
              </w:rPr>
              <w:drawing>
                <wp:anchor distT="0" distB="0" distL="114300" distR="114300" simplePos="0" relativeHeight="251683840" behindDoc="0" locked="0" layoutInCell="1" allowOverlap="1">
                  <wp:simplePos x="0" y="0"/>
                  <wp:positionH relativeFrom="column">
                    <wp:posOffset>299085</wp:posOffset>
                  </wp:positionH>
                  <wp:positionV relativeFrom="paragraph">
                    <wp:posOffset>675640</wp:posOffset>
                  </wp:positionV>
                  <wp:extent cx="796925" cy="1071245"/>
                  <wp:effectExtent l="0" t="0" r="3175" b="14605"/>
                  <wp:wrapNone/>
                  <wp:docPr id="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
                          <pic:cNvPicPr>
                            <a:picLocks noChangeAspect="1"/>
                          </pic:cNvPicPr>
                        </pic:nvPicPr>
                        <pic:blipFill>
                          <a:blip r:embed="rId20"/>
                          <a:stretch>
                            <a:fillRect/>
                          </a:stretch>
                        </pic:blipFill>
                        <pic:spPr>
                          <a:xfrm>
                            <a:off x="0" y="0"/>
                            <a:ext cx="796925" cy="1071245"/>
                          </a:xfrm>
                          <a:prstGeom prst="rect">
                            <a:avLst/>
                          </a:prstGeom>
                          <a:noFill/>
                          <a:ln>
                            <a:noFill/>
                          </a:ln>
                        </pic:spPr>
                      </pic:pic>
                    </a:graphicData>
                  </a:graphic>
                </wp:anchor>
              </w:drawing>
            </w:r>
            <w:r>
              <w:rPr>
                <w:rFonts w:hint="eastAsia" w:ascii="仿宋" w:hAnsi="仿宋" w:eastAsia="仿宋" w:cs="仿宋"/>
                <w:i w:val="0"/>
                <w:color w:val="000000"/>
                <w:kern w:val="0"/>
                <w:sz w:val="24"/>
                <w:szCs w:val="24"/>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198755</wp:posOffset>
                  </wp:positionH>
                  <wp:positionV relativeFrom="paragraph">
                    <wp:posOffset>668655</wp:posOffset>
                  </wp:positionV>
                  <wp:extent cx="923925" cy="1126490"/>
                  <wp:effectExtent l="0" t="0" r="9525" b="16510"/>
                  <wp:wrapSquare wrapText="bothSides"/>
                  <wp:docPr id="25" name="图片_70"/>
                  <wp:cNvGraphicFramePr/>
                  <a:graphic xmlns:a="http://schemas.openxmlformats.org/drawingml/2006/main">
                    <a:graphicData uri="http://schemas.openxmlformats.org/drawingml/2006/picture">
                      <pic:pic xmlns:pic="http://schemas.openxmlformats.org/drawingml/2006/picture">
                        <pic:nvPicPr>
                          <pic:cNvPr id="25" name="图片_70"/>
                          <pic:cNvPicPr/>
                        </pic:nvPicPr>
                        <pic:blipFill>
                          <a:blip/>
                          <a:stretch>
                            <a:fillRect/>
                          </a:stretch>
                        </pic:blipFill>
                        <pic:spPr>
                          <a:xfrm>
                            <a:off x="0" y="0"/>
                            <a:ext cx="923925" cy="1126490"/>
                          </a:xfrm>
                          <a:prstGeom prst="rect">
                            <a:avLst/>
                          </a:prstGeom>
                          <a:noFill/>
                          <a:ln>
                            <a:noFill/>
                          </a:ln>
                        </pic:spPr>
                      </pic:pic>
                    </a:graphicData>
                  </a:graphic>
                </wp:anchor>
              </w:drawing>
            </w:r>
          </w:p>
        </w:tc>
        <w:tc>
          <w:tcPr>
            <w:tcW w:w="5750" w:type="dxa"/>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sz w:val="24"/>
                <w:szCs w:val="24"/>
                <w:vertAlign w:val="baseline"/>
              </w:rPr>
            </w:pPr>
            <w:r>
              <w:rPr>
                <w:rFonts w:hint="eastAsia" w:ascii="仿宋" w:hAnsi="仿宋" w:eastAsia="仿宋" w:cs="仿宋"/>
                <w:i w:val="0"/>
                <w:color w:val="000000"/>
                <w:kern w:val="0"/>
                <w:sz w:val="24"/>
                <w:szCs w:val="24"/>
                <w:u w:val="none"/>
                <w:lang w:val="en-US" w:eastAsia="zh-CN" w:bidi="ar"/>
              </w:rPr>
              <w:t>1.椅身：胶背与座板采用全新PP加纤,一体注塑成型，厚度为7mm, 无水印污渍.座背防水，易清洁，长久耐用，颜色搭配时尚；胶背重：2.6KG/个。胶背40KG12万次循环推背测试。磨砂椅面,单次拉力108KG，保压一分钟。带有软包，高密度回弹棉，表面常规用西皮或麻布，坐感舒适。</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2.椅脚：脚架采用加粗榉木腿，带防滑脚垫，配防滑螺丝，稳定性高久座不累。脚架重:1.8kg</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3.整椅坐感舒适，符合人体工学设计。</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4.整椅尺寸；座高380mm.座深430mm.座宽460mm.总高830mm。</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5.胶背颜色： 黑、白、红、蓝、灰、黄、橙、绿8色可选。</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6.塑料板用料检验须依据 GBT 32487-2016。</w:t>
            </w:r>
          </w:p>
        </w:tc>
        <w:tc>
          <w:tcPr>
            <w:tcW w:w="2250"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sz w:val="24"/>
                <w:szCs w:val="24"/>
                <w:vertAlign w:val="baseline"/>
              </w:rPr>
            </w:pPr>
            <w:r>
              <w:rPr>
                <w:rFonts w:hint="eastAsia" w:ascii="仿宋" w:hAnsi="仿宋" w:eastAsia="仿宋" w:cs="仿宋"/>
                <w:i w:val="0"/>
                <w:color w:val="000000"/>
                <w:kern w:val="0"/>
                <w:sz w:val="24"/>
                <w:szCs w:val="24"/>
                <w:u w:val="none"/>
                <w:lang w:val="en-US" w:eastAsia="zh-CN" w:bidi="ar"/>
              </w:rPr>
              <w:t>座高380mm.座深430mm.座宽460mm.总高830mm.</w:t>
            </w:r>
          </w:p>
        </w:tc>
        <w:tc>
          <w:tcPr>
            <w:tcW w:w="775"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sz w:val="24"/>
                <w:szCs w:val="24"/>
                <w:vertAlign w:val="baseline"/>
              </w:rPr>
            </w:pPr>
            <w:r>
              <w:rPr>
                <w:rFonts w:hint="eastAsia" w:ascii="仿宋" w:hAnsi="仿宋" w:eastAsia="仿宋" w:cs="仿宋"/>
                <w:i w:val="0"/>
                <w:color w:val="000000"/>
                <w:kern w:val="0"/>
                <w:sz w:val="24"/>
                <w:szCs w:val="24"/>
                <w:u w:val="none"/>
                <w:lang w:val="en-US" w:eastAsia="zh-CN" w:bidi="ar"/>
              </w:rPr>
              <w:t>把</w:t>
            </w:r>
          </w:p>
        </w:tc>
        <w:tc>
          <w:tcPr>
            <w:tcW w:w="1062"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sz w:val="24"/>
                <w:szCs w:val="24"/>
                <w:vertAlign w:val="baseline"/>
              </w:rPr>
            </w:pPr>
            <w:r>
              <w:rPr>
                <w:rFonts w:hint="eastAsia" w:ascii="仿宋" w:hAnsi="仿宋" w:eastAsia="仿宋" w:cs="仿宋"/>
                <w:i w:val="0"/>
                <w:color w:val="000000"/>
                <w:kern w:val="0"/>
                <w:sz w:val="24"/>
                <w:szCs w:val="24"/>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trPr>
        <w:tc>
          <w:tcPr>
            <w:tcW w:w="14350" w:type="dxa"/>
            <w:gridSpan w:val="7"/>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both"/>
              <w:rPr>
                <w:rFonts w:hint="eastAsia" w:ascii="仿宋" w:hAnsi="仿宋" w:eastAsia="仿宋" w:cs="仿宋"/>
                <w:sz w:val="24"/>
                <w:szCs w:val="24"/>
                <w:vertAlign w:val="baseline"/>
              </w:rPr>
            </w:pPr>
            <w:r>
              <w:rPr>
                <w:rFonts w:hint="eastAsia" w:ascii="仿宋" w:hAnsi="仿宋" w:eastAsia="仿宋" w:cs="仿宋"/>
                <w:sz w:val="24"/>
                <w:szCs w:val="24"/>
                <w:vertAlign w:val="baseline"/>
              </w:rPr>
              <w:t>1F-社区（休息区）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3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10</w:t>
            </w:r>
          </w:p>
        </w:tc>
        <w:tc>
          <w:tcPr>
            <w:tcW w:w="1700"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sz w:val="24"/>
                <w:szCs w:val="24"/>
                <w:vertAlign w:val="baseline"/>
              </w:rPr>
            </w:pPr>
            <w:r>
              <w:rPr>
                <w:rFonts w:hint="eastAsia" w:ascii="仿宋" w:hAnsi="仿宋" w:eastAsia="仿宋" w:cs="仿宋"/>
                <w:i w:val="0"/>
                <w:color w:val="000000"/>
                <w:kern w:val="0"/>
                <w:sz w:val="24"/>
                <w:szCs w:val="24"/>
                <w:u w:val="none"/>
                <w:lang w:val="en-US" w:eastAsia="zh-CN" w:bidi="ar"/>
              </w:rPr>
              <w:t>吧台桌</w:t>
            </w:r>
          </w:p>
        </w:tc>
        <w:tc>
          <w:tcPr>
            <w:tcW w:w="2175" w:type="dxa"/>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sz w:val="24"/>
                <w:szCs w:val="24"/>
                <w:vertAlign w:val="baseline"/>
              </w:rPr>
            </w:pPr>
            <w:r>
              <w:rPr>
                <w:rFonts w:hint="default"/>
                <w:szCs w:val="20"/>
              </w:rPr>
              <w:drawing>
                <wp:anchor distT="0" distB="0" distL="114300" distR="114300" simplePos="0" relativeHeight="251692032" behindDoc="0" locked="0" layoutInCell="1" allowOverlap="1">
                  <wp:simplePos x="0" y="0"/>
                  <wp:positionH relativeFrom="column">
                    <wp:posOffset>24130</wp:posOffset>
                  </wp:positionH>
                  <wp:positionV relativeFrom="paragraph">
                    <wp:posOffset>2071370</wp:posOffset>
                  </wp:positionV>
                  <wp:extent cx="1243330" cy="542290"/>
                  <wp:effectExtent l="0" t="0" r="13970" b="10160"/>
                  <wp:wrapSquare wrapText="bothSides"/>
                  <wp:docPr id="6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1"/>
                          <pic:cNvPicPr>
                            <a:picLocks noChangeAspect="1"/>
                          </pic:cNvPicPr>
                        </pic:nvPicPr>
                        <pic:blipFill>
                          <a:blip r:embed="rId21"/>
                          <a:stretch>
                            <a:fillRect/>
                          </a:stretch>
                        </pic:blipFill>
                        <pic:spPr>
                          <a:xfrm>
                            <a:off x="0" y="0"/>
                            <a:ext cx="1243330" cy="542290"/>
                          </a:xfrm>
                          <a:prstGeom prst="rect">
                            <a:avLst/>
                          </a:prstGeom>
                          <a:noFill/>
                          <a:ln>
                            <a:noFill/>
                          </a:ln>
                        </pic:spPr>
                      </pic:pic>
                    </a:graphicData>
                  </a:graphic>
                </wp:anchor>
              </w:drawing>
            </w:r>
            <w:r>
              <w:rPr>
                <w:rFonts w:hint="eastAsia" w:ascii="微软雅黑" w:hAnsi="微软雅黑" w:eastAsia="微软雅黑" w:cs="微软雅黑"/>
                <w:i w:val="0"/>
                <w:color w:val="000000"/>
                <w:kern w:val="0"/>
                <w:sz w:val="18"/>
                <w:szCs w:val="18"/>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-12700</wp:posOffset>
                  </wp:positionH>
                  <wp:positionV relativeFrom="paragraph">
                    <wp:posOffset>723265</wp:posOffset>
                  </wp:positionV>
                  <wp:extent cx="1264285" cy="542925"/>
                  <wp:effectExtent l="0" t="0" r="12065" b="9525"/>
                  <wp:wrapSquare wrapText="bothSides"/>
                  <wp:docPr id="30" name="图片_16"/>
                  <wp:cNvGraphicFramePr/>
                  <a:graphic xmlns:a="http://schemas.openxmlformats.org/drawingml/2006/main">
                    <a:graphicData uri="http://schemas.openxmlformats.org/drawingml/2006/picture">
                      <pic:pic xmlns:pic="http://schemas.openxmlformats.org/drawingml/2006/picture">
                        <pic:nvPicPr>
                          <pic:cNvPr id="30" name="图片_16"/>
                          <pic:cNvPicPr/>
                        </pic:nvPicPr>
                        <pic:blipFill>
                          <a:blip/>
                          <a:stretch>
                            <a:fillRect/>
                          </a:stretch>
                        </pic:blipFill>
                        <pic:spPr>
                          <a:xfrm>
                            <a:off x="0" y="0"/>
                            <a:ext cx="1264285" cy="542925"/>
                          </a:xfrm>
                          <a:prstGeom prst="rect">
                            <a:avLst/>
                          </a:prstGeom>
                          <a:noFill/>
                          <a:ln>
                            <a:noFill/>
                          </a:ln>
                        </pic:spPr>
                      </pic:pic>
                    </a:graphicData>
                  </a:graphic>
                </wp:anchor>
              </w:drawing>
            </w:r>
          </w:p>
        </w:tc>
        <w:tc>
          <w:tcPr>
            <w:tcW w:w="5750" w:type="dxa"/>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 xml:space="preserve">1.板材：采用环保实木多层板。多层板符合GB 6675.4-2014《玩具安全 第4部分 特定元素的迁移》及HJ 2547-2016《环境标志产品技术要求 家具》标准。未检出表示检测结果小于检出限。可迁移元素均符合国家标准。甲醛释放量≤0.08/³，总挥发性有机化合物（TVOC)释放率未检出。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2.五金配件：采用优质五金件，铰链符合QB/T 2189-2013《家具五金 杯状暗铰链》标准、垂直静载荷、水平静载荷、操作力、耐久性、下沉量、耐腐蚀。需采用优质五金配件。导轨符合QB/T2454-2013《家具五金 抽屉导轨》标准、垂直向下静载荷、水平侧向静载荷、猛开或猛关、操作力、耐久性、下沉量、拉出安全性、耐腐蚀。三合一连接件符合GB/T 3325-2017《金属家具通用技术条件》抗盐雾达到合格。</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3.封边带：需采用优质同色PVC封边条，厚度≥2.0mm，封边条符合QB/T4463-2013 《家具用封边条技术要求》GB/T17657-2013 《人造板及饰面人造板理化性能试验方法》有害物质限量、甲醛释放量符合国家标准。                                                                                               4.各项技术指标符合GB/T 3324-2017《木家具通用技术条件》规定的要求。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5.封边带：需采用优质同色PVC封边条，厚度≥2.0mm，封边条符合QB/T4463-2013 《家具用封边条技术要求》GB/T17657-2013 《人造板及饰面人造板理化性能试验方法》有害物质限量、甲醛释放量符合国家标准。                                                               </w:t>
            </w:r>
          </w:p>
        </w:tc>
        <w:tc>
          <w:tcPr>
            <w:tcW w:w="2250"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（3000*400mm）</w:t>
            </w:r>
          </w:p>
        </w:tc>
        <w:tc>
          <w:tcPr>
            <w:tcW w:w="775"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组</w:t>
            </w:r>
          </w:p>
        </w:tc>
        <w:tc>
          <w:tcPr>
            <w:tcW w:w="1062"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9" w:hRule="atLeast"/>
        </w:trPr>
        <w:tc>
          <w:tcPr>
            <w:tcW w:w="63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11</w:t>
            </w:r>
          </w:p>
        </w:tc>
        <w:tc>
          <w:tcPr>
            <w:tcW w:w="1700"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sz w:val="24"/>
                <w:szCs w:val="24"/>
                <w:vertAlign w:val="baseline"/>
              </w:rPr>
            </w:pPr>
            <w:r>
              <w:rPr>
                <w:rFonts w:hint="eastAsia" w:ascii="仿宋" w:hAnsi="仿宋" w:eastAsia="仿宋" w:cs="仿宋"/>
                <w:i w:val="0"/>
                <w:color w:val="000000"/>
                <w:kern w:val="0"/>
                <w:sz w:val="24"/>
                <w:szCs w:val="24"/>
                <w:u w:val="none"/>
                <w:lang w:val="en-US" w:eastAsia="zh-CN" w:bidi="ar"/>
              </w:rPr>
              <w:t>环形桌</w:t>
            </w:r>
          </w:p>
        </w:tc>
        <w:tc>
          <w:tcPr>
            <w:tcW w:w="2175" w:type="dxa"/>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sz w:val="24"/>
                <w:szCs w:val="24"/>
                <w:vertAlign w:val="baseline"/>
              </w:rPr>
            </w:pPr>
            <w:r>
              <w:rPr>
                <w:rFonts w:hint="default"/>
                <w:szCs w:val="20"/>
              </w:rPr>
              <w:drawing>
                <wp:inline distT="0" distB="0" distL="114300" distR="114300">
                  <wp:extent cx="1243330" cy="1330325"/>
                  <wp:effectExtent l="0" t="0" r="13970" b="3175"/>
                  <wp:docPr id="6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2"/>
                          <pic:cNvPicPr>
                            <a:picLocks noChangeAspect="1"/>
                          </pic:cNvPicPr>
                        </pic:nvPicPr>
                        <pic:blipFill>
                          <a:blip r:embed="rId22"/>
                          <a:stretch>
                            <a:fillRect/>
                          </a:stretch>
                        </pic:blipFill>
                        <pic:spPr>
                          <a:xfrm>
                            <a:off x="0" y="0"/>
                            <a:ext cx="1243330" cy="1330325"/>
                          </a:xfrm>
                          <a:prstGeom prst="rect">
                            <a:avLst/>
                          </a:prstGeom>
                          <a:noFill/>
                          <a:ln>
                            <a:noFill/>
                          </a:ln>
                        </pic:spPr>
                      </pic:pic>
                    </a:graphicData>
                  </a:graphic>
                </wp:inline>
              </w:drawing>
            </w:r>
          </w:p>
        </w:tc>
        <w:tc>
          <w:tcPr>
            <w:tcW w:w="5750" w:type="dxa"/>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 xml:space="preserve">1.板材：采用环保实木多层板。多层板符合GB 6675.4-2014《玩具安全 第4部分 特定元素的迁移》及HJ 2547-2016《环境标志产品技术要求 家具》标准。未检出表示检测结果小于检出限。可迁移元素均符合国家标准。甲醛释放量≤0.08/³，总挥发性有机化合物（TVOC)释放率未检出。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2.五金配件：采用优质五金件，铰链符合QB/T 2189-2013《家具五金 杯状暗铰链》标准、垂直静载荷、水平静载荷、操作力、耐久性、下沉量、耐腐蚀。需采用优质五金配件 。导轨符合QB/T2454-2013《家具五金 抽屉导轨》标准、垂直向下静载荷、水平侧向静载荷、猛开或猛关、操作力、耐久性、下沉量、拉出安全性、耐腐蚀。三合一连接件符合GB/T 3325-2017《金属家具通用技术条件》抗盐雾达到合格。</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3.封边带：需采用优质同色PVC封边条，厚度≥2.0mm，封边条符合QB/T4463-2013 《家具用封边条技术要求》GB/T17657-2013 《人造板及饰面人造板理化性能试验方法》有害物质限量、甲醛释放量符合国家标准。                                                                                               4.各项技术指标符合GB/T 3324-2017《木家具通用技术条件》规定的要求。 </w:t>
            </w:r>
          </w:p>
        </w:tc>
        <w:tc>
          <w:tcPr>
            <w:tcW w:w="2250"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（外直径1600mm，内直径800mm）</w:t>
            </w:r>
          </w:p>
        </w:tc>
        <w:tc>
          <w:tcPr>
            <w:tcW w:w="775"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组</w:t>
            </w:r>
          </w:p>
        </w:tc>
        <w:tc>
          <w:tcPr>
            <w:tcW w:w="1062"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12" w:hRule="atLeast"/>
        </w:trPr>
        <w:tc>
          <w:tcPr>
            <w:tcW w:w="63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12</w:t>
            </w:r>
          </w:p>
        </w:tc>
        <w:tc>
          <w:tcPr>
            <w:tcW w:w="1700"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sz w:val="24"/>
                <w:szCs w:val="24"/>
                <w:vertAlign w:val="baseline"/>
              </w:rPr>
            </w:pPr>
            <w:r>
              <w:rPr>
                <w:rFonts w:hint="eastAsia" w:ascii="仿宋" w:hAnsi="仿宋" w:eastAsia="仿宋" w:cs="仿宋"/>
                <w:i w:val="0"/>
                <w:color w:val="000000"/>
                <w:kern w:val="0"/>
                <w:sz w:val="24"/>
                <w:szCs w:val="24"/>
                <w:u w:val="none"/>
                <w:lang w:val="en-US" w:eastAsia="zh-CN" w:bidi="ar"/>
              </w:rPr>
              <w:t>桌椅类-吧台凳</w:t>
            </w:r>
          </w:p>
        </w:tc>
        <w:tc>
          <w:tcPr>
            <w:tcW w:w="2175" w:type="dxa"/>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sz w:val="24"/>
                <w:szCs w:val="24"/>
                <w:vertAlign w:val="baseline"/>
              </w:rPr>
            </w:pPr>
            <w:r>
              <w:rPr>
                <w:rFonts w:hint="default"/>
                <w:szCs w:val="20"/>
              </w:rPr>
              <w:drawing>
                <wp:anchor distT="0" distB="0" distL="114300" distR="114300" simplePos="0" relativeHeight="251693056" behindDoc="0" locked="0" layoutInCell="1" allowOverlap="1">
                  <wp:simplePos x="0" y="0"/>
                  <wp:positionH relativeFrom="column">
                    <wp:posOffset>213995</wp:posOffset>
                  </wp:positionH>
                  <wp:positionV relativeFrom="paragraph">
                    <wp:posOffset>146685</wp:posOffset>
                  </wp:positionV>
                  <wp:extent cx="585470" cy="850900"/>
                  <wp:effectExtent l="0" t="0" r="5080" b="6350"/>
                  <wp:wrapSquare wrapText="bothSides"/>
                  <wp:docPr id="6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3"/>
                          <pic:cNvPicPr>
                            <a:picLocks noChangeAspect="1"/>
                          </pic:cNvPicPr>
                        </pic:nvPicPr>
                        <pic:blipFill>
                          <a:blip r:embed="rId23"/>
                          <a:stretch>
                            <a:fillRect/>
                          </a:stretch>
                        </pic:blipFill>
                        <pic:spPr>
                          <a:xfrm>
                            <a:off x="0" y="0"/>
                            <a:ext cx="585470" cy="850900"/>
                          </a:xfrm>
                          <a:prstGeom prst="rect">
                            <a:avLst/>
                          </a:prstGeom>
                          <a:noFill/>
                          <a:ln>
                            <a:noFill/>
                          </a:ln>
                        </pic:spPr>
                      </pic:pic>
                    </a:graphicData>
                  </a:graphic>
                </wp:anchor>
              </w:drawing>
            </w:r>
          </w:p>
        </w:tc>
        <w:tc>
          <w:tcPr>
            <w:tcW w:w="5750" w:type="dxa"/>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color w:val="000000" w:themeColor="text1"/>
                <w:kern w:val="0"/>
                <w:sz w:val="24"/>
                <w:szCs w:val="24"/>
                <w:u w:val="none"/>
                <w:lang w:val="en-US" w:eastAsia="zh-CN" w:bidi="ar"/>
                <w14:textFill>
                  <w14:solidFill>
                    <w14:schemeClr w14:val="tx1"/>
                  </w14:solidFill>
                </w14:textFill>
              </w:rPr>
              <w:t>坐垫ABS壳   实木脚</w:t>
            </w:r>
          </w:p>
        </w:tc>
        <w:tc>
          <w:tcPr>
            <w:tcW w:w="2250" w:type="dxa"/>
            <w:vAlign w:val="center"/>
          </w:tcPr>
          <w:p>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color w:val="000000" w:themeColor="text1"/>
                <w:kern w:val="0"/>
                <w:sz w:val="24"/>
                <w:szCs w:val="24"/>
                <w:u w:val="none"/>
                <w:lang w:val="en-US" w:eastAsia="zh-CN" w:bidi="ar"/>
                <w14:textFill>
                  <w14:solidFill>
                    <w14:schemeClr w14:val="tx1"/>
                  </w14:solidFill>
                </w14:textFill>
              </w:rPr>
              <w:t>长460*宽450*坐高790*总高860mm</w:t>
            </w:r>
          </w:p>
        </w:tc>
        <w:tc>
          <w:tcPr>
            <w:tcW w:w="775"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把</w:t>
            </w:r>
          </w:p>
        </w:tc>
        <w:tc>
          <w:tcPr>
            <w:tcW w:w="1062"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52" w:hRule="atLeast"/>
        </w:trPr>
        <w:tc>
          <w:tcPr>
            <w:tcW w:w="63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13</w:t>
            </w:r>
          </w:p>
        </w:tc>
        <w:tc>
          <w:tcPr>
            <w:tcW w:w="1700"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sz w:val="24"/>
                <w:szCs w:val="24"/>
                <w:vertAlign w:val="baseline"/>
              </w:rPr>
            </w:pPr>
            <w:r>
              <w:rPr>
                <w:rFonts w:hint="eastAsia" w:ascii="仿宋" w:hAnsi="仿宋" w:eastAsia="仿宋" w:cs="仿宋"/>
                <w:i w:val="0"/>
                <w:color w:val="000000"/>
                <w:kern w:val="0"/>
                <w:sz w:val="24"/>
                <w:szCs w:val="24"/>
                <w:u w:val="none"/>
                <w:lang w:val="en-US" w:eastAsia="zh-CN" w:bidi="ar"/>
              </w:rPr>
              <w:t>墙面隔板</w:t>
            </w:r>
          </w:p>
        </w:tc>
        <w:tc>
          <w:tcPr>
            <w:tcW w:w="2175" w:type="dxa"/>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sz w:val="24"/>
                <w:szCs w:val="24"/>
                <w:vertAlign w:val="baseline"/>
              </w:rPr>
            </w:pPr>
            <w:r>
              <w:rPr>
                <w:rFonts w:hint="default"/>
                <w:szCs w:val="20"/>
              </w:rPr>
              <w:drawing>
                <wp:anchor distT="0" distB="0" distL="114300" distR="114300" simplePos="0" relativeHeight="251694080" behindDoc="0" locked="0" layoutInCell="1" allowOverlap="1">
                  <wp:simplePos x="0" y="0"/>
                  <wp:positionH relativeFrom="column">
                    <wp:posOffset>31115</wp:posOffset>
                  </wp:positionH>
                  <wp:positionV relativeFrom="paragraph">
                    <wp:posOffset>1825625</wp:posOffset>
                  </wp:positionV>
                  <wp:extent cx="1242695" cy="415290"/>
                  <wp:effectExtent l="0" t="0" r="14605" b="3810"/>
                  <wp:wrapSquare wrapText="bothSides"/>
                  <wp:docPr id="6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4"/>
                          <pic:cNvPicPr>
                            <a:picLocks noChangeAspect="1"/>
                          </pic:cNvPicPr>
                        </pic:nvPicPr>
                        <pic:blipFill>
                          <a:blip r:embed="rId24"/>
                          <a:stretch>
                            <a:fillRect/>
                          </a:stretch>
                        </pic:blipFill>
                        <pic:spPr>
                          <a:xfrm>
                            <a:off x="0" y="0"/>
                            <a:ext cx="1242695" cy="415290"/>
                          </a:xfrm>
                          <a:prstGeom prst="rect">
                            <a:avLst/>
                          </a:prstGeom>
                          <a:noFill/>
                          <a:ln>
                            <a:noFill/>
                          </a:ln>
                        </pic:spPr>
                      </pic:pic>
                    </a:graphicData>
                  </a:graphic>
                </wp:anchor>
              </w:drawing>
            </w:r>
            <w:r>
              <w:rPr>
                <w:rFonts w:hint="eastAsia" w:ascii="微软雅黑" w:hAnsi="微软雅黑" w:eastAsia="微软雅黑" w:cs="微软雅黑"/>
                <w:i w:val="0"/>
                <w:color w:val="000000"/>
                <w:kern w:val="0"/>
                <w:sz w:val="18"/>
                <w:szCs w:val="18"/>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47625</wp:posOffset>
                  </wp:positionH>
                  <wp:positionV relativeFrom="paragraph">
                    <wp:posOffset>642620</wp:posOffset>
                  </wp:positionV>
                  <wp:extent cx="1216025" cy="687705"/>
                  <wp:effectExtent l="0" t="0" r="3175" b="17145"/>
                  <wp:wrapNone/>
                  <wp:docPr id="33" name="图片_23"/>
                  <wp:cNvGraphicFramePr/>
                  <a:graphic xmlns:a="http://schemas.openxmlformats.org/drawingml/2006/main">
                    <a:graphicData uri="http://schemas.openxmlformats.org/drawingml/2006/picture">
                      <pic:pic xmlns:pic="http://schemas.openxmlformats.org/drawingml/2006/picture">
                        <pic:nvPicPr>
                          <pic:cNvPr id="33" name="图片_23"/>
                          <pic:cNvPicPr/>
                        </pic:nvPicPr>
                        <pic:blipFill>
                          <a:blip/>
                          <a:stretch>
                            <a:fillRect/>
                          </a:stretch>
                        </pic:blipFill>
                        <pic:spPr>
                          <a:xfrm>
                            <a:off x="0" y="0"/>
                            <a:ext cx="1216025" cy="687705"/>
                          </a:xfrm>
                          <a:prstGeom prst="rect">
                            <a:avLst/>
                          </a:prstGeom>
                          <a:noFill/>
                          <a:ln>
                            <a:noFill/>
                          </a:ln>
                        </pic:spPr>
                      </pic:pic>
                    </a:graphicData>
                  </a:graphic>
                </wp:anchor>
              </w:drawing>
            </w:r>
          </w:p>
        </w:tc>
        <w:tc>
          <w:tcPr>
            <w:tcW w:w="5750" w:type="dxa"/>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 xml:space="preserve">1.板材：采用环保实木多层板。多层板符合GB 6675.4-2014《玩具安全 第4部分 特定元素的迁移》及HJ 2547-2016《环境标志产品技术要求 家具》标准。未检出表示检测结果小于检出限。可迁移元素均符合国家标准。甲醛释放量≤0.08/³，总挥发性有机化合物（TVOC)释放率未检出。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2.五金配件：采用优质五金件，铰链符合QB/T 2189-2013《家具五金 杯状暗铰链》标准、垂直静载荷、水平静载荷、操作力、耐久性、下沉量、耐腐蚀。需采用优质五金配件 。导轨符合QB/T2454-2013《家具五金 抽屉导轨》标准、垂直向下静载荷、水平侧向静载荷、猛开或猛关、操作力、耐久性、下沉量、拉出安全性、耐腐蚀。三合一连接件符合GB/T 3325-2017《金属家具通用技术条件》抗盐雾达到合格。</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3.封边带：需采用优质同色PVC封边条，厚度≥2.0mm，封边条符合QB/T4463-2013 《家具用封边条技术要求》GB/T17657-2013 《人造板及饰面人造板理化性能试验方法》有害物质限量、甲醛释放量符合国家标准。                                                                                               4.各项技术指标符合GB/T 3324-2017《木家具通用技术条件》规定的要求。 </w:t>
            </w:r>
          </w:p>
        </w:tc>
        <w:tc>
          <w:tcPr>
            <w:tcW w:w="2250"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3000*250mm</w:t>
            </w:r>
          </w:p>
        </w:tc>
        <w:tc>
          <w:tcPr>
            <w:tcW w:w="775"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组</w:t>
            </w:r>
          </w:p>
        </w:tc>
        <w:tc>
          <w:tcPr>
            <w:tcW w:w="1062"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trPr>
        <w:tc>
          <w:tcPr>
            <w:tcW w:w="14350" w:type="dxa"/>
            <w:gridSpan w:val="7"/>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left"/>
              <w:rPr>
                <w:rFonts w:hint="eastAsia" w:ascii="仿宋" w:hAnsi="仿宋" w:eastAsia="仿宋" w:cs="仿宋"/>
                <w:sz w:val="24"/>
                <w:szCs w:val="24"/>
                <w:vertAlign w:val="baseline"/>
              </w:rPr>
            </w:pPr>
            <w:r>
              <w:rPr>
                <w:rFonts w:hint="eastAsia" w:ascii="仿宋" w:hAnsi="仿宋" w:eastAsia="仿宋" w:cs="仿宋"/>
                <w:sz w:val="24"/>
                <w:szCs w:val="24"/>
                <w:vertAlign w:val="baseline"/>
              </w:rPr>
              <w:t>1F-小会议室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27" w:hRule="atLeast"/>
        </w:trPr>
        <w:tc>
          <w:tcPr>
            <w:tcW w:w="63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14</w:t>
            </w:r>
          </w:p>
        </w:tc>
        <w:tc>
          <w:tcPr>
            <w:tcW w:w="1700"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sz w:val="24"/>
                <w:szCs w:val="24"/>
                <w:vertAlign w:val="baseline"/>
              </w:rPr>
            </w:pPr>
            <w:r>
              <w:rPr>
                <w:rFonts w:hint="eastAsia" w:ascii="仿宋" w:hAnsi="仿宋" w:eastAsia="仿宋" w:cs="仿宋"/>
                <w:i w:val="0"/>
                <w:color w:val="000000"/>
                <w:kern w:val="0"/>
                <w:sz w:val="24"/>
                <w:szCs w:val="24"/>
                <w:u w:val="none"/>
                <w:lang w:val="en-US" w:eastAsia="zh-CN" w:bidi="ar"/>
              </w:rPr>
              <w:t>会议桌</w:t>
            </w:r>
          </w:p>
        </w:tc>
        <w:tc>
          <w:tcPr>
            <w:tcW w:w="2175"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sz w:val="24"/>
                <w:szCs w:val="24"/>
                <w:vertAlign w:val="baseline"/>
              </w:rPr>
            </w:pPr>
            <w:r>
              <w:rPr>
                <w:rFonts w:hint="default"/>
                <w:szCs w:val="20"/>
              </w:rPr>
              <w:drawing>
                <wp:inline distT="0" distB="0" distL="114300" distR="114300">
                  <wp:extent cx="1231900" cy="923925"/>
                  <wp:effectExtent l="0" t="0" r="6350" b="9525"/>
                  <wp:docPr id="6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5"/>
                          <pic:cNvPicPr>
                            <a:picLocks noChangeAspect="1"/>
                          </pic:cNvPicPr>
                        </pic:nvPicPr>
                        <pic:blipFill>
                          <a:blip r:embed="rId25"/>
                          <a:stretch>
                            <a:fillRect/>
                          </a:stretch>
                        </pic:blipFill>
                        <pic:spPr>
                          <a:xfrm>
                            <a:off x="0" y="0"/>
                            <a:ext cx="1231900" cy="923925"/>
                          </a:xfrm>
                          <a:prstGeom prst="rect">
                            <a:avLst/>
                          </a:prstGeom>
                          <a:noFill/>
                          <a:ln>
                            <a:noFill/>
                          </a:ln>
                        </pic:spPr>
                      </pic:pic>
                    </a:graphicData>
                  </a:graphic>
                </wp:inline>
              </w:drawing>
            </w:r>
          </w:p>
        </w:tc>
        <w:tc>
          <w:tcPr>
            <w:tcW w:w="5750" w:type="dxa"/>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sz w:val="24"/>
                <w:szCs w:val="24"/>
                <w:vertAlign w:val="baseline"/>
              </w:rPr>
            </w:pPr>
            <w:r>
              <w:rPr>
                <w:rFonts w:hint="eastAsia" w:ascii="仿宋" w:hAnsi="仿宋" w:eastAsia="仿宋" w:cs="仿宋"/>
                <w:i w:val="0"/>
                <w:color w:val="000000"/>
                <w:kern w:val="0"/>
                <w:sz w:val="24"/>
                <w:szCs w:val="24"/>
                <w:u w:val="none"/>
                <w:lang w:val="en-US" w:eastAsia="zh-CN" w:bidi="ar"/>
              </w:rPr>
              <w:t xml:space="preserve">1、板材：采用环保实木多层板。多层板符合GB 6675.4-2014《玩具安全 第4部分 特定元素的迁移》及HJ 2547-2016《环境标志产品技术要求 家具》标准。未检出表示检测结果小于检出限。可迁移元素均符合国家标准。甲醛释放量≤0.08/³，总挥发性有机化合物（TVOC)释放率未检出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2.五金配件：采用优质五金件，铰链符合QB/T 2189-2013《家具五金 杯状暗铰链》标准、垂直静载荷、水平静载荷、操作力、耐久性、下沉量、耐腐蚀。需采用优质五金配件 。导轨符合QB/T2454-2013《家具五金 抽屉导轨》标准、垂直向下静载荷、水平侧向静载荷、猛开或猛关、操作力、耐久性、下沉量、拉出安全性、耐腐蚀。三合一连接件符合GB/T 3325-2017《金属家具通用技术条件》抗盐雾达到合格</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3.封边带：需采用优质同色PVC封边条，厚度≥2.0mm，封边条符合QB/T4463-2013 《家具用封边条技术要求》GB/T17657-2013 《人造板及饰面人造板理化性能试验方法》有害物质限量、甲醛释放量符合国家标准。                                                                                               4.各项技术指标符合GB/T 3324-2017《木家具通用技术条件》规定的要求</w:t>
            </w:r>
          </w:p>
        </w:tc>
        <w:tc>
          <w:tcPr>
            <w:tcW w:w="2250"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sz w:val="24"/>
                <w:szCs w:val="24"/>
                <w:vertAlign w:val="baseline"/>
              </w:rPr>
            </w:pPr>
            <w:r>
              <w:rPr>
                <w:rFonts w:hint="eastAsia" w:ascii="仿宋" w:hAnsi="仿宋" w:eastAsia="仿宋" w:cs="仿宋"/>
                <w:i w:val="0"/>
                <w:color w:val="000000"/>
                <w:kern w:val="0"/>
                <w:sz w:val="24"/>
                <w:szCs w:val="24"/>
                <w:u w:val="none"/>
                <w:lang w:val="en-US" w:eastAsia="zh-CN" w:bidi="ar"/>
              </w:rPr>
              <w:t>3500*1400*750mm</w:t>
            </w:r>
          </w:p>
        </w:tc>
        <w:tc>
          <w:tcPr>
            <w:tcW w:w="775"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sz w:val="24"/>
                <w:szCs w:val="24"/>
                <w:vertAlign w:val="baseline"/>
              </w:rPr>
            </w:pPr>
            <w:r>
              <w:rPr>
                <w:rFonts w:hint="eastAsia" w:ascii="仿宋" w:hAnsi="仿宋" w:eastAsia="仿宋" w:cs="仿宋"/>
                <w:i w:val="0"/>
                <w:color w:val="000000"/>
                <w:kern w:val="0"/>
                <w:sz w:val="24"/>
                <w:szCs w:val="24"/>
                <w:u w:val="none"/>
                <w:lang w:val="en-US" w:eastAsia="zh-CN" w:bidi="ar"/>
              </w:rPr>
              <w:t>组</w:t>
            </w:r>
          </w:p>
        </w:tc>
        <w:tc>
          <w:tcPr>
            <w:tcW w:w="1062"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sz w:val="24"/>
                <w:szCs w:val="24"/>
                <w:vertAlign w:val="baseline"/>
              </w:rPr>
            </w:pPr>
            <w:r>
              <w:rPr>
                <w:rFonts w:hint="eastAsia" w:ascii="仿宋" w:hAnsi="仿宋" w:eastAsia="仿宋" w:cs="仿宋"/>
                <w:i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3" w:hRule="atLeast"/>
        </w:trPr>
        <w:tc>
          <w:tcPr>
            <w:tcW w:w="63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15</w:t>
            </w:r>
          </w:p>
        </w:tc>
        <w:tc>
          <w:tcPr>
            <w:tcW w:w="1700"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sz w:val="24"/>
                <w:szCs w:val="24"/>
                <w:vertAlign w:val="baseline"/>
              </w:rPr>
            </w:pPr>
            <w:r>
              <w:rPr>
                <w:rFonts w:hint="eastAsia" w:ascii="仿宋" w:hAnsi="仿宋" w:eastAsia="仿宋" w:cs="仿宋"/>
                <w:i w:val="0"/>
                <w:color w:val="000000"/>
                <w:kern w:val="0"/>
                <w:sz w:val="24"/>
                <w:szCs w:val="24"/>
                <w:u w:val="none"/>
                <w:lang w:val="en-US" w:eastAsia="zh-CN" w:bidi="ar"/>
              </w:rPr>
              <w:t>会议椅</w:t>
            </w:r>
          </w:p>
        </w:tc>
        <w:tc>
          <w:tcPr>
            <w:tcW w:w="2175"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sz w:val="24"/>
                <w:szCs w:val="24"/>
                <w:vertAlign w:val="baseline"/>
              </w:rPr>
            </w:pPr>
            <w:r>
              <w:rPr>
                <w:rFonts w:hint="default"/>
                <w:szCs w:val="20"/>
              </w:rPr>
              <w:drawing>
                <wp:inline distT="0" distB="0" distL="114300" distR="114300">
                  <wp:extent cx="1241425" cy="1578610"/>
                  <wp:effectExtent l="0" t="0" r="15875" b="2540"/>
                  <wp:docPr id="7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6"/>
                          <pic:cNvPicPr>
                            <a:picLocks noChangeAspect="1"/>
                          </pic:cNvPicPr>
                        </pic:nvPicPr>
                        <pic:blipFill>
                          <a:blip r:embed="rId26"/>
                          <a:stretch>
                            <a:fillRect/>
                          </a:stretch>
                        </pic:blipFill>
                        <pic:spPr>
                          <a:xfrm>
                            <a:off x="0" y="0"/>
                            <a:ext cx="1241425" cy="1578610"/>
                          </a:xfrm>
                          <a:prstGeom prst="rect">
                            <a:avLst/>
                          </a:prstGeom>
                          <a:noFill/>
                          <a:ln>
                            <a:noFill/>
                          </a:ln>
                        </pic:spPr>
                      </pic:pic>
                    </a:graphicData>
                  </a:graphic>
                </wp:inline>
              </w:drawing>
            </w:r>
            <w:r>
              <w:rPr>
                <w:rFonts w:hint="eastAsia" w:ascii="仿宋" w:hAnsi="仿宋" w:eastAsia="仿宋" w:cs="仿宋"/>
                <w:i w:val="0"/>
                <w:color w:val="000000"/>
                <w:kern w:val="0"/>
                <w:sz w:val="24"/>
                <w:szCs w:val="24"/>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306705</wp:posOffset>
                  </wp:positionH>
                  <wp:positionV relativeFrom="paragraph">
                    <wp:posOffset>351155</wp:posOffset>
                  </wp:positionV>
                  <wp:extent cx="701675" cy="896620"/>
                  <wp:effectExtent l="0" t="0" r="0" b="0"/>
                  <wp:wrapNone/>
                  <wp:docPr id="41" name="图片_77"/>
                  <wp:cNvGraphicFramePr/>
                  <a:graphic xmlns:a="http://schemas.openxmlformats.org/drawingml/2006/main">
                    <a:graphicData uri="http://schemas.openxmlformats.org/drawingml/2006/picture">
                      <pic:pic xmlns:pic="http://schemas.openxmlformats.org/drawingml/2006/picture">
                        <pic:nvPicPr>
                          <pic:cNvPr id="41" name="图片_77"/>
                          <pic:cNvPicPr/>
                        </pic:nvPicPr>
                        <pic:blipFill>
                          <a:blip/>
                          <a:stretch>
                            <a:fillRect/>
                          </a:stretch>
                        </pic:blipFill>
                        <pic:spPr>
                          <a:xfrm>
                            <a:off x="0" y="0"/>
                            <a:ext cx="701675" cy="896620"/>
                          </a:xfrm>
                          <a:prstGeom prst="rect">
                            <a:avLst/>
                          </a:prstGeom>
                          <a:noFill/>
                          <a:ln>
                            <a:noFill/>
                          </a:ln>
                        </pic:spPr>
                      </pic:pic>
                    </a:graphicData>
                  </a:graphic>
                </wp:anchor>
              </w:drawing>
            </w:r>
          </w:p>
        </w:tc>
        <w:tc>
          <w:tcPr>
            <w:tcW w:w="5750" w:type="dxa"/>
            <w:vAlign w:val="center"/>
          </w:tcPr>
          <w:p>
            <w:pPr>
              <w:keepNext w:val="0"/>
              <w:keepLines w:val="0"/>
              <w:widowControl/>
              <w:numPr>
                <w:ilvl w:val="0"/>
                <w:numId w:val="0"/>
              </w:numPr>
              <w:suppressLineNumbers w:val="0"/>
              <w:spacing w:before="0" w:beforeAutospacing="0" w:after="0" w:afterAutospacing="0"/>
              <w:ind w:left="0" w:right="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 xml:space="preserve">1.面料：采用优质透气网布面料，防磨防污性好；多种颜色可选。                             </w:t>
            </w:r>
          </w:p>
          <w:p>
            <w:pPr>
              <w:keepNext w:val="0"/>
              <w:keepLines w:val="0"/>
              <w:widowControl/>
              <w:numPr>
                <w:ilvl w:val="0"/>
                <w:numId w:val="0"/>
              </w:numPr>
              <w:suppressLineNumbers w:val="0"/>
              <w:spacing w:before="0" w:beforeAutospacing="0" w:after="0" w:afterAutospacing="0"/>
              <w:ind w:left="0" w:right="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 xml:space="preserve">2.塑料：采用PP+纤维塑料，抗拉性高， 一次性成型；拉力118KG。 </w:t>
            </w:r>
          </w:p>
          <w:p>
            <w:pPr>
              <w:keepNext w:val="0"/>
              <w:keepLines w:val="0"/>
              <w:widowControl/>
              <w:numPr>
                <w:ilvl w:val="0"/>
                <w:numId w:val="0"/>
              </w:numPr>
              <w:suppressLineNumbers w:val="0"/>
              <w:spacing w:before="0" w:beforeAutospacing="0" w:after="0" w:afterAutospacing="0"/>
              <w:ind w:left="0" w:right="0"/>
              <w:jc w:val="left"/>
              <w:textAlignment w:val="center"/>
              <w:rPr>
                <w:rFonts w:hint="eastAsia" w:ascii="仿宋" w:hAnsi="仿宋" w:eastAsia="仿宋" w:cs="仿宋"/>
                <w:sz w:val="24"/>
                <w:szCs w:val="24"/>
                <w:vertAlign w:val="baseline"/>
              </w:rPr>
            </w:pPr>
            <w:r>
              <w:rPr>
                <w:rFonts w:hint="eastAsia" w:ascii="仿宋" w:hAnsi="仿宋" w:eastAsia="仿宋" w:cs="仿宋"/>
                <w:i w:val="0"/>
                <w:color w:val="000000"/>
                <w:kern w:val="0"/>
                <w:sz w:val="24"/>
                <w:szCs w:val="24"/>
                <w:u w:val="none"/>
                <w:lang w:val="en-US" w:eastAsia="zh-CN" w:bidi="ar"/>
              </w:rPr>
              <w:t>3.座棉：采用高回弹定型海绵，8cm厚度，超软，回弹力以及软硬度达到70度，密度达到45密以上，久坐也不变形，坐感舒适。                                                                         4.铁架：采用2.0厚度铁管弯制而成，承重力强，表面防锈处理后喷黑细沙。</w:t>
            </w:r>
          </w:p>
        </w:tc>
        <w:tc>
          <w:tcPr>
            <w:tcW w:w="2250" w:type="dxa"/>
            <w:vAlign w:val="center"/>
          </w:tcPr>
          <w:p>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sz w:val="24"/>
                <w:szCs w:val="24"/>
                <w:vertAlign w:val="baseline"/>
                <w:lang w:val="en-US"/>
              </w:rPr>
            </w:pPr>
            <w:r>
              <w:rPr>
                <w:rFonts w:hint="eastAsia" w:ascii="仿宋" w:hAnsi="仿宋" w:eastAsia="仿宋" w:cs="仿宋"/>
                <w:i w:val="0"/>
                <w:color w:val="000000"/>
                <w:kern w:val="0"/>
                <w:sz w:val="24"/>
                <w:szCs w:val="24"/>
                <w:u w:val="none"/>
                <w:lang w:val="en-US" w:eastAsia="zh-CN" w:bidi="ar"/>
              </w:rPr>
              <w:t>590*490*960mm</w:t>
            </w:r>
          </w:p>
        </w:tc>
        <w:tc>
          <w:tcPr>
            <w:tcW w:w="775"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sz w:val="24"/>
                <w:szCs w:val="24"/>
                <w:vertAlign w:val="baseline"/>
              </w:rPr>
            </w:pPr>
            <w:r>
              <w:rPr>
                <w:rFonts w:hint="eastAsia" w:ascii="仿宋" w:hAnsi="仿宋" w:eastAsia="仿宋" w:cs="仿宋"/>
                <w:i w:val="0"/>
                <w:color w:val="000000"/>
                <w:kern w:val="0"/>
                <w:sz w:val="24"/>
                <w:szCs w:val="24"/>
                <w:u w:val="none"/>
                <w:lang w:val="en-US" w:eastAsia="zh-CN" w:bidi="ar"/>
              </w:rPr>
              <w:t>把</w:t>
            </w:r>
          </w:p>
        </w:tc>
        <w:tc>
          <w:tcPr>
            <w:tcW w:w="1062"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sz w:val="24"/>
                <w:szCs w:val="24"/>
                <w:vertAlign w:val="baseline"/>
              </w:rPr>
            </w:pPr>
            <w:r>
              <w:rPr>
                <w:rFonts w:hint="eastAsia" w:ascii="仿宋" w:hAnsi="仿宋" w:eastAsia="仿宋" w:cs="仿宋"/>
                <w:i w:val="0"/>
                <w:color w:val="000000"/>
                <w:kern w:val="0"/>
                <w:sz w:val="24"/>
                <w:szCs w:val="24"/>
                <w:u w:val="none"/>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3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16</w:t>
            </w:r>
          </w:p>
        </w:tc>
        <w:tc>
          <w:tcPr>
            <w:tcW w:w="1700"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sz w:val="24"/>
                <w:szCs w:val="24"/>
                <w:vertAlign w:val="baseline"/>
              </w:rPr>
            </w:pPr>
            <w:r>
              <w:rPr>
                <w:rFonts w:hint="eastAsia" w:ascii="仿宋" w:hAnsi="仿宋" w:eastAsia="仿宋" w:cs="仿宋"/>
                <w:i w:val="0"/>
                <w:color w:val="000000"/>
                <w:kern w:val="0"/>
                <w:sz w:val="24"/>
                <w:szCs w:val="24"/>
                <w:u w:val="none"/>
                <w:lang w:val="en-US" w:eastAsia="zh-CN" w:bidi="ar"/>
              </w:rPr>
              <w:t>茶几</w:t>
            </w:r>
          </w:p>
        </w:tc>
        <w:tc>
          <w:tcPr>
            <w:tcW w:w="2175"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sz w:val="24"/>
                <w:szCs w:val="24"/>
                <w:vertAlign w:val="baseline"/>
              </w:rPr>
            </w:pPr>
            <w:r>
              <w:rPr>
                <w:rFonts w:hint="default"/>
                <w:szCs w:val="20"/>
              </w:rPr>
              <w:drawing>
                <wp:anchor distT="0" distB="0" distL="114300" distR="114300" simplePos="0" relativeHeight="251695104" behindDoc="0" locked="0" layoutInCell="1" allowOverlap="1">
                  <wp:simplePos x="0" y="0"/>
                  <wp:positionH relativeFrom="column">
                    <wp:posOffset>47625</wp:posOffset>
                  </wp:positionH>
                  <wp:positionV relativeFrom="paragraph">
                    <wp:posOffset>1222375</wp:posOffset>
                  </wp:positionV>
                  <wp:extent cx="1239520" cy="594995"/>
                  <wp:effectExtent l="0" t="0" r="17780" b="14605"/>
                  <wp:wrapSquare wrapText="bothSides"/>
                  <wp:docPr id="7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7"/>
                          <pic:cNvPicPr>
                            <a:picLocks noChangeAspect="1"/>
                          </pic:cNvPicPr>
                        </pic:nvPicPr>
                        <pic:blipFill>
                          <a:blip r:embed="rId27"/>
                          <a:stretch>
                            <a:fillRect/>
                          </a:stretch>
                        </pic:blipFill>
                        <pic:spPr>
                          <a:xfrm>
                            <a:off x="0" y="0"/>
                            <a:ext cx="1239520" cy="594995"/>
                          </a:xfrm>
                          <a:prstGeom prst="rect">
                            <a:avLst/>
                          </a:prstGeom>
                          <a:noFill/>
                          <a:ln>
                            <a:noFill/>
                          </a:ln>
                        </pic:spPr>
                      </pic:pic>
                    </a:graphicData>
                  </a:graphic>
                </wp:anchor>
              </w:drawing>
            </w:r>
            <w:r>
              <w:rPr>
                <w:rFonts w:hint="eastAsia" w:ascii="仿宋" w:hAnsi="仿宋" w:eastAsia="仿宋" w:cs="仿宋"/>
                <w:i w:val="0"/>
                <w:color w:val="000000"/>
                <w:kern w:val="0"/>
                <w:sz w:val="24"/>
                <w:szCs w:val="24"/>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34925</wp:posOffset>
                  </wp:positionH>
                  <wp:positionV relativeFrom="paragraph">
                    <wp:posOffset>513715</wp:posOffset>
                  </wp:positionV>
                  <wp:extent cx="1267460" cy="687070"/>
                  <wp:effectExtent l="0" t="0" r="8890" b="17780"/>
                  <wp:wrapNone/>
                  <wp:docPr id="42" name="图片_30"/>
                  <wp:cNvGraphicFramePr/>
                  <a:graphic xmlns:a="http://schemas.openxmlformats.org/drawingml/2006/main">
                    <a:graphicData uri="http://schemas.openxmlformats.org/drawingml/2006/picture">
                      <pic:pic xmlns:pic="http://schemas.openxmlformats.org/drawingml/2006/picture">
                        <pic:nvPicPr>
                          <pic:cNvPr id="42" name="图片_30"/>
                          <pic:cNvPicPr/>
                        </pic:nvPicPr>
                        <pic:blipFill>
                          <a:blip/>
                          <a:stretch>
                            <a:fillRect/>
                          </a:stretch>
                        </pic:blipFill>
                        <pic:spPr>
                          <a:xfrm>
                            <a:off x="0" y="0"/>
                            <a:ext cx="1267460" cy="687070"/>
                          </a:xfrm>
                          <a:prstGeom prst="rect">
                            <a:avLst/>
                          </a:prstGeom>
                          <a:noFill/>
                          <a:ln>
                            <a:noFill/>
                          </a:ln>
                        </pic:spPr>
                      </pic:pic>
                    </a:graphicData>
                  </a:graphic>
                </wp:anchor>
              </w:drawing>
            </w:r>
          </w:p>
        </w:tc>
        <w:tc>
          <w:tcPr>
            <w:tcW w:w="5750" w:type="dxa"/>
            <w:vAlign w:val="center"/>
          </w:tcPr>
          <w:p>
            <w:pPr>
              <w:keepNext w:val="0"/>
              <w:keepLines w:val="0"/>
              <w:widowControl/>
              <w:numPr>
                <w:ilvl w:val="0"/>
                <w:numId w:val="12"/>
              </w:numPr>
              <w:suppressLineNumbers w:val="0"/>
              <w:spacing w:before="0" w:beforeAutospacing="0" w:after="0" w:afterAutospacing="0"/>
              <w:ind w:left="0" w:right="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板材：采用环保实木多层板。多层板符合GB 6675.4-2014《玩具安全 第4部分 特定元素的迁移》及HJ 2547-2016《环境标志产品技术要求 家具》标准。未检出表示检测结果小于检出限。可迁移元素均符合国家标准。甲醛释放量≤0.08/³，总挥发性有机化合物（TVOC)释放率未检出</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2.采用优质PVC封边条、符合QB/T4463-2013《家具用封边条技术要求》厚度＞2.5mm；</w:t>
            </w:r>
          </w:p>
          <w:p>
            <w:pPr>
              <w:keepNext w:val="0"/>
              <w:keepLines w:val="0"/>
              <w:widowControl/>
              <w:numPr>
                <w:ilvl w:val="0"/>
                <w:numId w:val="0"/>
              </w:numPr>
              <w:suppressLineNumbers w:val="0"/>
              <w:spacing w:before="0" w:beforeAutospacing="0" w:after="0" w:afterAutospacing="0"/>
              <w:ind w:left="0" w:leftChars="0" w:right="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3.采用优质热熔胶：环保符合GB18583-2008《室内装饰装修材料胶黏剂中有害物质限量》</w:t>
            </w:r>
          </w:p>
          <w:p>
            <w:pPr>
              <w:keepNext w:val="0"/>
              <w:keepLines w:val="0"/>
              <w:widowControl/>
              <w:numPr>
                <w:ilvl w:val="0"/>
                <w:numId w:val="0"/>
              </w:numPr>
              <w:suppressLineNumbers w:val="0"/>
              <w:spacing w:before="0" w:beforeAutospacing="0" w:after="0" w:afterAutospacing="0"/>
              <w:ind w:left="0" w:leftChars="0" w:right="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 xml:space="preserve">4.底脚采用优质铝合金型材经模具压铸一体成型，脚跨度560MM，表面采用防锈静电喷涂处理，整体牢固耐用，美现大方，抗变型。   </w:t>
            </w:r>
          </w:p>
          <w:p>
            <w:pPr>
              <w:keepNext w:val="0"/>
              <w:keepLines w:val="0"/>
              <w:widowControl/>
              <w:numPr>
                <w:ilvl w:val="0"/>
                <w:numId w:val="0"/>
              </w:numPr>
              <w:suppressLineNumbers w:val="0"/>
              <w:spacing w:before="0" w:beforeAutospacing="0" w:after="0" w:afterAutospacing="0"/>
              <w:ind w:left="0" w:right="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 xml:space="preserve">5.立柱脚管来用优质铝型材45*90（壁厚1.5M）表面采用防锈静电喷涂处理，可配置源线功能。  </w:t>
            </w:r>
          </w:p>
          <w:p>
            <w:pPr>
              <w:keepNext w:val="0"/>
              <w:keepLines w:val="0"/>
              <w:widowControl/>
              <w:numPr>
                <w:ilvl w:val="0"/>
                <w:numId w:val="0"/>
              </w:numPr>
              <w:suppressLineNumbers w:val="0"/>
              <w:spacing w:before="0" w:beforeAutospacing="0" w:after="0" w:afterAutospacing="0"/>
              <w:ind w:left="0" w:right="0"/>
              <w:jc w:val="left"/>
              <w:textAlignment w:val="center"/>
              <w:rPr>
                <w:rFonts w:hint="eastAsia" w:ascii="仿宋" w:hAnsi="仿宋" w:eastAsia="仿宋" w:cs="仿宋"/>
                <w:sz w:val="24"/>
                <w:szCs w:val="24"/>
                <w:vertAlign w:val="baseline"/>
              </w:rPr>
            </w:pPr>
            <w:r>
              <w:rPr>
                <w:rFonts w:hint="eastAsia" w:ascii="仿宋" w:hAnsi="仿宋" w:eastAsia="仿宋" w:cs="仿宋"/>
                <w:i w:val="0"/>
                <w:color w:val="000000"/>
                <w:kern w:val="0"/>
                <w:sz w:val="24"/>
                <w:szCs w:val="24"/>
                <w:u w:val="none"/>
                <w:lang w:val="en-US" w:eastAsia="zh-CN" w:bidi="ar"/>
              </w:rPr>
              <w:t>6.横梁采用优质30*60矩形管，厚度1.2MM表面再经防锈静电喷涂处理，实用牢固，承受力大。</w:t>
            </w:r>
          </w:p>
        </w:tc>
        <w:tc>
          <w:tcPr>
            <w:tcW w:w="2250"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sz w:val="24"/>
                <w:szCs w:val="24"/>
                <w:vertAlign w:val="baseline"/>
              </w:rPr>
            </w:pPr>
            <w:r>
              <w:rPr>
                <w:rFonts w:hint="eastAsia" w:ascii="仿宋" w:hAnsi="仿宋" w:eastAsia="仿宋" w:cs="仿宋"/>
                <w:i w:val="0"/>
                <w:color w:val="000000"/>
                <w:kern w:val="0"/>
                <w:sz w:val="24"/>
                <w:szCs w:val="24"/>
                <w:u w:val="none"/>
                <w:lang w:val="en-US" w:eastAsia="zh-CN" w:bidi="ar"/>
              </w:rPr>
              <w:t>(1200*600*420mm)</w:t>
            </w:r>
          </w:p>
        </w:tc>
        <w:tc>
          <w:tcPr>
            <w:tcW w:w="775"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sz w:val="24"/>
                <w:szCs w:val="24"/>
                <w:vertAlign w:val="baseline"/>
              </w:rPr>
            </w:pPr>
            <w:r>
              <w:rPr>
                <w:rFonts w:hint="eastAsia" w:ascii="仿宋" w:hAnsi="仿宋" w:eastAsia="仿宋" w:cs="仿宋"/>
                <w:i w:val="0"/>
                <w:color w:val="000000"/>
                <w:kern w:val="0"/>
                <w:sz w:val="24"/>
                <w:szCs w:val="24"/>
                <w:u w:val="none"/>
                <w:lang w:val="en-US" w:eastAsia="zh-CN" w:bidi="ar"/>
              </w:rPr>
              <w:t>张</w:t>
            </w:r>
          </w:p>
        </w:tc>
        <w:tc>
          <w:tcPr>
            <w:tcW w:w="1062"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sz w:val="24"/>
                <w:szCs w:val="24"/>
                <w:vertAlign w:val="baseline"/>
              </w:rPr>
            </w:pPr>
            <w:r>
              <w:rPr>
                <w:rFonts w:hint="eastAsia" w:ascii="仿宋" w:hAnsi="仿宋" w:eastAsia="仿宋" w:cs="仿宋"/>
                <w:i w:val="0"/>
                <w:color w:val="000000"/>
                <w:kern w:val="0"/>
                <w:sz w:val="24"/>
                <w:szCs w:val="24"/>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17</w:t>
            </w:r>
          </w:p>
        </w:tc>
        <w:tc>
          <w:tcPr>
            <w:tcW w:w="1700"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sz w:val="24"/>
                <w:szCs w:val="24"/>
                <w:vertAlign w:val="baseline"/>
              </w:rPr>
            </w:pPr>
            <w:r>
              <w:rPr>
                <w:rFonts w:hint="eastAsia" w:ascii="仿宋" w:hAnsi="仿宋" w:eastAsia="仿宋" w:cs="仿宋"/>
                <w:i w:val="0"/>
                <w:color w:val="000000"/>
                <w:kern w:val="0"/>
                <w:sz w:val="24"/>
                <w:szCs w:val="24"/>
                <w:u w:val="none"/>
                <w:lang w:val="en-US" w:eastAsia="zh-CN" w:bidi="ar"/>
              </w:rPr>
              <w:t>沙发椅</w:t>
            </w:r>
          </w:p>
        </w:tc>
        <w:tc>
          <w:tcPr>
            <w:tcW w:w="2175"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sz w:val="24"/>
                <w:szCs w:val="24"/>
                <w:vertAlign w:val="baseline"/>
              </w:rPr>
            </w:pPr>
            <w:r>
              <w:rPr>
                <w:rFonts w:hint="default"/>
                <w:szCs w:val="20"/>
              </w:rPr>
              <w:drawing>
                <wp:anchor distT="0" distB="0" distL="114300" distR="114300" simplePos="0" relativeHeight="251696128" behindDoc="0" locked="0" layoutInCell="1" allowOverlap="1">
                  <wp:simplePos x="0" y="0"/>
                  <wp:positionH relativeFrom="column">
                    <wp:posOffset>-16510</wp:posOffset>
                  </wp:positionH>
                  <wp:positionV relativeFrom="paragraph">
                    <wp:posOffset>2016125</wp:posOffset>
                  </wp:positionV>
                  <wp:extent cx="1238885" cy="468630"/>
                  <wp:effectExtent l="0" t="0" r="18415" b="7620"/>
                  <wp:wrapSquare wrapText="bothSides"/>
                  <wp:docPr id="7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8"/>
                          <pic:cNvPicPr>
                            <a:picLocks noChangeAspect="1"/>
                          </pic:cNvPicPr>
                        </pic:nvPicPr>
                        <pic:blipFill>
                          <a:blip r:embed="rId28"/>
                          <a:stretch>
                            <a:fillRect/>
                          </a:stretch>
                        </pic:blipFill>
                        <pic:spPr>
                          <a:xfrm>
                            <a:off x="0" y="0"/>
                            <a:ext cx="1238885" cy="468630"/>
                          </a:xfrm>
                          <a:prstGeom prst="rect">
                            <a:avLst/>
                          </a:prstGeom>
                          <a:noFill/>
                          <a:ln>
                            <a:noFill/>
                          </a:ln>
                        </pic:spPr>
                      </pic:pic>
                    </a:graphicData>
                  </a:graphic>
                </wp:anchor>
              </w:drawing>
            </w:r>
            <w:r>
              <w:rPr>
                <w:rFonts w:hint="eastAsia" w:ascii="仿宋" w:hAnsi="仿宋" w:eastAsia="仿宋" w:cs="仿宋"/>
                <w:i w:val="0"/>
                <w:color w:val="000000"/>
                <w:kern w:val="0"/>
                <w:sz w:val="24"/>
                <w:szCs w:val="24"/>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-19050</wp:posOffset>
                  </wp:positionH>
                  <wp:positionV relativeFrom="paragraph">
                    <wp:posOffset>1199515</wp:posOffset>
                  </wp:positionV>
                  <wp:extent cx="1278890" cy="635635"/>
                  <wp:effectExtent l="0" t="0" r="16510" b="12065"/>
                  <wp:wrapNone/>
                  <wp:docPr id="43" name="图片_31"/>
                  <wp:cNvGraphicFramePr/>
                  <a:graphic xmlns:a="http://schemas.openxmlformats.org/drawingml/2006/main">
                    <a:graphicData uri="http://schemas.openxmlformats.org/drawingml/2006/picture">
                      <pic:pic xmlns:pic="http://schemas.openxmlformats.org/drawingml/2006/picture">
                        <pic:nvPicPr>
                          <pic:cNvPr id="43" name="图片_31"/>
                          <pic:cNvPicPr/>
                        </pic:nvPicPr>
                        <pic:blipFill>
                          <a:blip/>
                          <a:stretch>
                            <a:fillRect/>
                          </a:stretch>
                        </pic:blipFill>
                        <pic:spPr>
                          <a:xfrm>
                            <a:off x="0" y="0"/>
                            <a:ext cx="1278890" cy="635635"/>
                          </a:xfrm>
                          <a:prstGeom prst="rect">
                            <a:avLst/>
                          </a:prstGeom>
                          <a:noFill/>
                          <a:ln>
                            <a:noFill/>
                          </a:ln>
                        </pic:spPr>
                      </pic:pic>
                    </a:graphicData>
                  </a:graphic>
                </wp:anchor>
              </w:drawing>
            </w:r>
          </w:p>
        </w:tc>
        <w:tc>
          <w:tcPr>
            <w:tcW w:w="5750" w:type="dxa"/>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sz w:val="24"/>
                <w:szCs w:val="24"/>
                <w:vertAlign w:val="baseline"/>
              </w:rPr>
            </w:pPr>
            <w:r>
              <w:rPr>
                <w:rFonts w:hint="eastAsia" w:ascii="仿宋" w:hAnsi="仿宋" w:eastAsia="仿宋" w:cs="仿宋"/>
                <w:i w:val="0"/>
                <w:color w:val="000000"/>
                <w:kern w:val="0"/>
                <w:sz w:val="24"/>
                <w:szCs w:val="24"/>
                <w:u w:val="none"/>
                <w:lang w:val="en-US" w:eastAsia="zh-CN" w:bidi="ar"/>
              </w:rPr>
              <w:t>面料：采用优质西皮或者布绒 触感舒服 耐摩擦</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海绵：采用发泡高密度高回弹优质海绵，软硬适中，回弹性能好，不易变形。</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1.板材：采用环保实木多层板。多层板符合GB 6675.4-2014《玩具安全 第4部分 特定元素的迁移》及HJ 2547-2016《环境标志产品技术要求 家具》标准。未检出表示检测结果小于检出限。可迁移元素均符合国家标准。甲醛释放量≤0.08/³，总挥发性有机化合物（TVOC)释放率未检出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2.五金配件：采用优质五金件，铰链符合QB/T 2189-2013《家具五金 杯状暗铰链》标准、垂直静载荷、水平静载荷、操作力、耐久性、下沉量、耐腐蚀。需采用优质五金配件 。导轨符合QB/T2454-2013《家具五金 抽屉导轨》标准、垂直向下静载荷、水平侧向静载荷、猛开或猛关、操作力、耐久性、下沉量、拉出安全性、耐腐蚀。三合一连接件符合GB/T 3325-2017《金属家具通用技术条件》抗盐雾达到合格</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3.封边带：需采用优质同色PVC封边条，厚度≥2.0mm，封边条符合QB/T4463-2013 《家具用封边条技术要求》GB/T17657-2013 《人造板及饰面人造板理化性能试验方法》有害物质限量、甲醛释放量符合国家标准。                                                                                               4.各项技术指标符合GB/T 3324-2017《木家具通用技术条件》规定的要求</w:t>
            </w:r>
          </w:p>
        </w:tc>
        <w:tc>
          <w:tcPr>
            <w:tcW w:w="2250"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sz w:val="24"/>
                <w:szCs w:val="24"/>
                <w:vertAlign w:val="baseline"/>
              </w:rPr>
            </w:pPr>
            <w:r>
              <w:rPr>
                <w:rFonts w:hint="eastAsia" w:ascii="仿宋" w:hAnsi="仿宋" w:eastAsia="仿宋" w:cs="仿宋"/>
                <w:i w:val="0"/>
                <w:color w:val="000000"/>
                <w:kern w:val="0"/>
                <w:sz w:val="24"/>
                <w:szCs w:val="24"/>
                <w:u w:val="none"/>
                <w:lang w:val="en-US" w:eastAsia="zh-CN" w:bidi="ar"/>
              </w:rPr>
              <w:t>(尺寸：六人沙发：3900*500*400，单人沙发：650*500*400)</w:t>
            </w:r>
          </w:p>
        </w:tc>
        <w:tc>
          <w:tcPr>
            <w:tcW w:w="775"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sz w:val="24"/>
                <w:szCs w:val="24"/>
                <w:vertAlign w:val="baseline"/>
              </w:rPr>
            </w:pPr>
            <w:r>
              <w:rPr>
                <w:rFonts w:hint="eastAsia" w:ascii="仿宋" w:hAnsi="仿宋" w:eastAsia="仿宋" w:cs="仿宋"/>
                <w:i w:val="0"/>
                <w:color w:val="000000"/>
                <w:kern w:val="0"/>
                <w:sz w:val="24"/>
                <w:szCs w:val="24"/>
                <w:u w:val="none"/>
                <w:lang w:val="en-US" w:eastAsia="zh-CN" w:bidi="ar"/>
              </w:rPr>
              <w:t>组</w:t>
            </w:r>
          </w:p>
        </w:tc>
        <w:tc>
          <w:tcPr>
            <w:tcW w:w="1062"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sz w:val="24"/>
                <w:szCs w:val="24"/>
                <w:vertAlign w:val="baseline"/>
              </w:rPr>
            </w:pPr>
            <w:r>
              <w:rPr>
                <w:rFonts w:hint="eastAsia" w:ascii="仿宋" w:hAnsi="仿宋" w:eastAsia="仿宋" w:cs="仿宋"/>
                <w:i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3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18</w:t>
            </w:r>
          </w:p>
        </w:tc>
        <w:tc>
          <w:tcPr>
            <w:tcW w:w="1700"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sz w:val="24"/>
                <w:szCs w:val="24"/>
                <w:vertAlign w:val="baseline"/>
              </w:rPr>
            </w:pPr>
            <w:r>
              <w:rPr>
                <w:rFonts w:hint="eastAsia" w:ascii="仿宋" w:hAnsi="仿宋" w:eastAsia="仿宋" w:cs="仿宋"/>
                <w:i w:val="0"/>
                <w:color w:val="000000"/>
                <w:kern w:val="0"/>
                <w:sz w:val="24"/>
                <w:szCs w:val="24"/>
                <w:u w:val="none"/>
                <w:lang w:val="en-US" w:eastAsia="zh-CN" w:bidi="ar"/>
              </w:rPr>
              <w:t>办公柜</w:t>
            </w:r>
          </w:p>
        </w:tc>
        <w:tc>
          <w:tcPr>
            <w:tcW w:w="2175"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sz w:val="24"/>
                <w:szCs w:val="24"/>
                <w:vertAlign w:val="baseline"/>
              </w:rPr>
            </w:pPr>
            <w:r>
              <w:rPr>
                <w:rFonts w:hint="default"/>
                <w:szCs w:val="20"/>
              </w:rPr>
              <w:drawing>
                <wp:inline distT="0" distB="0" distL="114300" distR="114300">
                  <wp:extent cx="1238250" cy="569595"/>
                  <wp:effectExtent l="0" t="0" r="0" b="1905"/>
                  <wp:docPr id="7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9"/>
                          <pic:cNvPicPr>
                            <a:picLocks noChangeAspect="1"/>
                          </pic:cNvPicPr>
                        </pic:nvPicPr>
                        <pic:blipFill>
                          <a:blip r:embed="rId29"/>
                          <a:stretch>
                            <a:fillRect/>
                          </a:stretch>
                        </pic:blipFill>
                        <pic:spPr>
                          <a:xfrm>
                            <a:off x="0" y="0"/>
                            <a:ext cx="1238250" cy="569595"/>
                          </a:xfrm>
                          <a:prstGeom prst="rect">
                            <a:avLst/>
                          </a:prstGeom>
                          <a:noFill/>
                          <a:ln>
                            <a:noFill/>
                          </a:ln>
                        </pic:spPr>
                      </pic:pic>
                    </a:graphicData>
                  </a:graphic>
                </wp:inline>
              </w:drawing>
            </w:r>
            <w:r>
              <w:rPr>
                <w:rFonts w:hint="eastAsia" w:ascii="仿宋" w:hAnsi="仿宋" w:eastAsia="仿宋" w:cs="仿宋"/>
                <w:i w:val="0"/>
                <w:color w:val="000000"/>
                <w:kern w:val="0"/>
                <w:sz w:val="24"/>
                <w:szCs w:val="24"/>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15875</wp:posOffset>
                  </wp:positionH>
                  <wp:positionV relativeFrom="paragraph">
                    <wp:posOffset>1227455</wp:posOffset>
                  </wp:positionV>
                  <wp:extent cx="1236980" cy="978535"/>
                  <wp:effectExtent l="0" t="0" r="1270" b="12065"/>
                  <wp:wrapNone/>
                  <wp:docPr id="44" name="图片_32"/>
                  <wp:cNvGraphicFramePr/>
                  <a:graphic xmlns:a="http://schemas.openxmlformats.org/drawingml/2006/main">
                    <a:graphicData uri="http://schemas.openxmlformats.org/drawingml/2006/picture">
                      <pic:pic xmlns:pic="http://schemas.openxmlformats.org/drawingml/2006/picture">
                        <pic:nvPicPr>
                          <pic:cNvPr id="44" name="图片_32"/>
                          <pic:cNvPicPr/>
                        </pic:nvPicPr>
                        <pic:blipFill>
                          <a:blip/>
                          <a:stretch>
                            <a:fillRect/>
                          </a:stretch>
                        </pic:blipFill>
                        <pic:spPr>
                          <a:xfrm>
                            <a:off x="0" y="0"/>
                            <a:ext cx="1236980" cy="978535"/>
                          </a:xfrm>
                          <a:prstGeom prst="rect">
                            <a:avLst/>
                          </a:prstGeom>
                          <a:noFill/>
                          <a:ln>
                            <a:noFill/>
                          </a:ln>
                        </pic:spPr>
                      </pic:pic>
                    </a:graphicData>
                  </a:graphic>
                </wp:anchor>
              </w:drawing>
            </w:r>
          </w:p>
        </w:tc>
        <w:tc>
          <w:tcPr>
            <w:tcW w:w="5750" w:type="dxa"/>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sz w:val="24"/>
                <w:szCs w:val="24"/>
                <w:vertAlign w:val="baseline"/>
              </w:rPr>
            </w:pPr>
            <w:r>
              <w:rPr>
                <w:rFonts w:hint="eastAsia" w:ascii="仿宋" w:hAnsi="仿宋" w:eastAsia="仿宋" w:cs="仿宋"/>
                <w:i w:val="0"/>
                <w:color w:val="000000"/>
                <w:kern w:val="0"/>
                <w:sz w:val="24"/>
                <w:szCs w:val="24"/>
                <w:u w:val="none"/>
                <w:lang w:val="en-US" w:eastAsia="zh-CN" w:bidi="ar"/>
              </w:rPr>
              <w:t xml:space="preserve">1.板材：采用环保实木多层板。多层板符合GB 6675.4-2014《玩具安全 第4部分 特定元素的迁移》及HJ 2547-2016《环境标志产品技术要求 家具》标准。未检出表示检测结果小于检出限。可迁移元素均符合国家标准。甲醛释放量≤0.08/³，总挥发性有机化合物（TVOC)释放率未检出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2.五金配件：采用优质五金件，铰链符合QB/T 2189-2013《家具五金 杯状暗铰链》标准、垂直静载荷、水平静载荷、操作力、耐久性、下沉量、耐腐蚀。需采用优质五金配件 。导轨符合QB/T2454-2013《家具五金 抽屉导轨》标准、垂直向下静载荷、水平侧向静载荷、猛开或猛关、操作力、耐久性、下沉量、拉出安全性、耐腐蚀。三合一连接件符合GB/T 3325-2017《金属家具通用技术条件》抗盐雾达到合格</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3.封边带：需采用优质同色PVC封边条，厚度≥2.0mm，封边条符合QB/T4463-2013 《家具用封边条技术要求》GB/T17657-2013 《人造板及饰面人造板理化性能试验方法》有害物质限量、甲醛释放量符合国家标准。                                                                                               4.各项技术指标符合GB/T 3324-2017《木家具通用技术条件》规定的要求</w:t>
            </w:r>
          </w:p>
        </w:tc>
        <w:tc>
          <w:tcPr>
            <w:tcW w:w="2250"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sz w:val="24"/>
                <w:szCs w:val="24"/>
                <w:vertAlign w:val="baseline"/>
              </w:rPr>
            </w:pPr>
            <w:r>
              <w:rPr>
                <w:rFonts w:hint="eastAsia" w:ascii="仿宋" w:hAnsi="仿宋" w:eastAsia="仿宋" w:cs="仿宋"/>
                <w:i w:val="0"/>
                <w:color w:val="000000"/>
                <w:kern w:val="0"/>
                <w:sz w:val="24"/>
                <w:szCs w:val="24"/>
                <w:u w:val="none"/>
                <w:lang w:val="en-US" w:eastAsia="zh-CN" w:bidi="ar"/>
              </w:rPr>
              <w:t>（3900*600*750mm）</w:t>
            </w:r>
          </w:p>
        </w:tc>
        <w:tc>
          <w:tcPr>
            <w:tcW w:w="775"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sz w:val="24"/>
                <w:szCs w:val="24"/>
                <w:vertAlign w:val="baseline"/>
              </w:rPr>
            </w:pPr>
            <w:r>
              <w:rPr>
                <w:rFonts w:hint="eastAsia" w:ascii="仿宋" w:hAnsi="仿宋" w:eastAsia="仿宋" w:cs="仿宋"/>
                <w:i w:val="0"/>
                <w:color w:val="000000"/>
                <w:kern w:val="0"/>
                <w:sz w:val="24"/>
                <w:szCs w:val="24"/>
                <w:u w:val="none"/>
                <w:lang w:val="en-US" w:eastAsia="zh-CN" w:bidi="ar"/>
              </w:rPr>
              <w:t>组</w:t>
            </w:r>
          </w:p>
        </w:tc>
        <w:tc>
          <w:tcPr>
            <w:tcW w:w="1062"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sz w:val="24"/>
                <w:szCs w:val="24"/>
                <w:vertAlign w:val="baseline"/>
              </w:rPr>
            </w:pPr>
            <w:r>
              <w:rPr>
                <w:rFonts w:hint="eastAsia" w:ascii="仿宋" w:hAnsi="仿宋" w:eastAsia="仿宋" w:cs="仿宋"/>
                <w:i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90" w:hRule="atLeast"/>
        </w:trPr>
        <w:tc>
          <w:tcPr>
            <w:tcW w:w="638" w:type="dxa"/>
            <w:vAlign w:val="center"/>
          </w:tcPr>
          <w:p>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19</w:t>
            </w:r>
          </w:p>
        </w:tc>
        <w:tc>
          <w:tcPr>
            <w:tcW w:w="1700"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墙柜</w:t>
            </w:r>
          </w:p>
        </w:tc>
        <w:tc>
          <w:tcPr>
            <w:tcW w:w="2175" w:type="dxa"/>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sz w:val="24"/>
                <w:szCs w:val="24"/>
                <w:vertAlign w:val="baseline"/>
              </w:rPr>
            </w:pPr>
            <w:r>
              <w:rPr>
                <w:rFonts w:hint="default"/>
                <w:szCs w:val="20"/>
              </w:rPr>
              <w:drawing>
                <wp:anchor distT="0" distB="0" distL="114300" distR="114300" simplePos="0" relativeHeight="251685888" behindDoc="0" locked="0" layoutInCell="1" allowOverlap="1">
                  <wp:simplePos x="0" y="0"/>
                  <wp:positionH relativeFrom="column">
                    <wp:posOffset>-39370</wp:posOffset>
                  </wp:positionH>
                  <wp:positionV relativeFrom="paragraph">
                    <wp:posOffset>1785620</wp:posOffset>
                  </wp:positionV>
                  <wp:extent cx="1240155" cy="469900"/>
                  <wp:effectExtent l="0" t="0" r="17145" b="6350"/>
                  <wp:wrapSquare wrapText="bothSides"/>
                  <wp:docPr id="7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0"/>
                          <pic:cNvPicPr>
                            <a:picLocks noChangeAspect="1"/>
                          </pic:cNvPicPr>
                        </pic:nvPicPr>
                        <pic:blipFill>
                          <a:blip r:embed="rId30"/>
                          <a:stretch>
                            <a:fillRect/>
                          </a:stretch>
                        </pic:blipFill>
                        <pic:spPr>
                          <a:xfrm>
                            <a:off x="0" y="0"/>
                            <a:ext cx="1240155" cy="469900"/>
                          </a:xfrm>
                          <a:prstGeom prst="rect">
                            <a:avLst/>
                          </a:prstGeom>
                          <a:noFill/>
                          <a:ln>
                            <a:noFill/>
                          </a:ln>
                        </pic:spPr>
                      </pic:pic>
                    </a:graphicData>
                  </a:graphic>
                </wp:anchor>
              </w:drawing>
            </w:r>
            <w:r>
              <w:rPr>
                <w:rFonts w:hint="eastAsia" w:ascii="微软雅黑" w:hAnsi="微软雅黑" w:eastAsia="微软雅黑" w:cs="微软雅黑"/>
                <w:i w:val="0"/>
                <w:color w:val="000000"/>
                <w:kern w:val="0"/>
                <w:sz w:val="18"/>
                <w:szCs w:val="18"/>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44450</wp:posOffset>
                  </wp:positionH>
                  <wp:positionV relativeFrom="paragraph">
                    <wp:posOffset>1619885</wp:posOffset>
                  </wp:positionV>
                  <wp:extent cx="1180465" cy="739775"/>
                  <wp:effectExtent l="0" t="0" r="635" b="3175"/>
                  <wp:wrapNone/>
                  <wp:docPr id="45" name="图片_33"/>
                  <wp:cNvGraphicFramePr/>
                  <a:graphic xmlns:a="http://schemas.openxmlformats.org/drawingml/2006/main">
                    <a:graphicData uri="http://schemas.openxmlformats.org/drawingml/2006/picture">
                      <pic:pic xmlns:pic="http://schemas.openxmlformats.org/drawingml/2006/picture">
                        <pic:nvPicPr>
                          <pic:cNvPr id="45" name="图片_33"/>
                          <pic:cNvPicPr/>
                        </pic:nvPicPr>
                        <pic:blipFill>
                          <a:blip/>
                          <a:stretch>
                            <a:fillRect/>
                          </a:stretch>
                        </pic:blipFill>
                        <pic:spPr>
                          <a:xfrm>
                            <a:off x="0" y="0"/>
                            <a:ext cx="1180465" cy="739775"/>
                          </a:xfrm>
                          <a:prstGeom prst="rect">
                            <a:avLst/>
                          </a:prstGeom>
                          <a:noFill/>
                          <a:ln>
                            <a:noFill/>
                          </a:ln>
                        </pic:spPr>
                      </pic:pic>
                    </a:graphicData>
                  </a:graphic>
                </wp:anchor>
              </w:drawing>
            </w:r>
          </w:p>
        </w:tc>
        <w:tc>
          <w:tcPr>
            <w:tcW w:w="5750" w:type="dxa"/>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sz w:val="24"/>
                <w:szCs w:val="24"/>
                <w:vertAlign w:val="baseline"/>
              </w:rPr>
            </w:pPr>
            <w:r>
              <w:rPr>
                <w:rFonts w:hint="eastAsia" w:ascii="仿宋" w:hAnsi="仿宋" w:eastAsia="仿宋" w:cs="仿宋"/>
                <w:i w:val="0"/>
                <w:color w:val="000000"/>
                <w:kern w:val="0"/>
                <w:sz w:val="24"/>
                <w:szCs w:val="24"/>
                <w:u w:val="none"/>
                <w:lang w:val="en-US" w:eastAsia="zh-CN" w:bidi="ar"/>
              </w:rPr>
              <w:t xml:space="preserve">1.板材：采用环保实木多层板。多层板符合GB 6675.4-2014《玩具安全 第4部分 特定元素的迁移》及HJ 2547-2016《环境标志产品技术要求 家具》标准。未检出表示检测结果小于检出限。可迁移元素均符合国家标准。甲醛释放量≤0.08/³，总挥发性有机化合物（TVOC)释放率未检出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2.五金配件：采用优质五金件，铰链符合QB/T 2189-2013《家具五金 杯状暗铰链》标准、垂直静载荷、水平静载荷、操作力、耐久性、下沉量、耐腐蚀。需采用优质五金配件 。导轨符合QB/T2454-2013《家具五金 抽屉导轨》标准、垂直向下静载荷、水平侧向静载荷、猛开或猛关、操作力、耐久性、下沉量、拉出安全性、耐腐蚀。三合一连接件符合GB/T 3325-2017《金属家具通用技术条件》抗盐雾达到合格</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3.封边带：需采用优质同色PVC封边条，厚度≥2.0mm，封边条符合QB/T4463-2013 《家具用封边条技术要求》GB/T17657-2013 《人造板及饰面人造板理化性能试验方法》有害物质限量、甲醛释放量符合国家标准。                                                                                               4.各项技术指标符合GB/T 3324-2017《木家具通用技术条件》规定的要求                                                               </w:t>
            </w:r>
          </w:p>
        </w:tc>
        <w:tc>
          <w:tcPr>
            <w:tcW w:w="2250"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（3900*700*350mm）</w:t>
            </w:r>
          </w:p>
        </w:tc>
        <w:tc>
          <w:tcPr>
            <w:tcW w:w="775"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组</w:t>
            </w:r>
          </w:p>
        </w:tc>
        <w:tc>
          <w:tcPr>
            <w:tcW w:w="1062"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4350" w:type="dxa"/>
            <w:gridSpan w:val="7"/>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both"/>
              <w:rPr>
                <w:rFonts w:hint="eastAsia" w:ascii="仿宋" w:hAnsi="仿宋" w:eastAsia="仿宋" w:cs="仿宋"/>
                <w:sz w:val="24"/>
                <w:szCs w:val="24"/>
                <w:vertAlign w:val="baseline"/>
              </w:rPr>
            </w:pPr>
            <w:r>
              <w:rPr>
                <w:rFonts w:hint="eastAsia" w:ascii="仿宋" w:hAnsi="仿宋" w:eastAsia="仿宋" w:cs="仿宋"/>
                <w:sz w:val="24"/>
                <w:szCs w:val="24"/>
                <w:vertAlign w:val="baseline"/>
              </w:rPr>
              <w:t>1F-应急物资储备间/微型消防站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5" w:hRule="atLeast"/>
        </w:trPr>
        <w:tc>
          <w:tcPr>
            <w:tcW w:w="63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20</w:t>
            </w:r>
          </w:p>
        </w:tc>
        <w:tc>
          <w:tcPr>
            <w:tcW w:w="1700"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货架</w:t>
            </w:r>
          </w:p>
        </w:tc>
        <w:tc>
          <w:tcPr>
            <w:tcW w:w="2175" w:type="dxa"/>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kern w:val="0"/>
                <w:sz w:val="24"/>
                <w:szCs w:val="24"/>
                <w:u w:val="none"/>
                <w:lang w:val="en-US" w:eastAsia="zh-CN" w:bidi="ar"/>
              </w:rPr>
            </w:pPr>
            <w:r>
              <w:rPr>
                <w:rFonts w:hint="default"/>
                <w:szCs w:val="20"/>
              </w:rPr>
              <w:drawing>
                <wp:inline distT="0" distB="0" distL="114300" distR="114300">
                  <wp:extent cx="1239520" cy="1483995"/>
                  <wp:effectExtent l="0" t="0" r="17780" b="1905"/>
                  <wp:docPr id="7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1"/>
                          <pic:cNvPicPr>
                            <a:picLocks noChangeAspect="1"/>
                          </pic:cNvPicPr>
                        </pic:nvPicPr>
                        <pic:blipFill>
                          <a:blip r:embed="rId31"/>
                          <a:stretch>
                            <a:fillRect/>
                          </a:stretch>
                        </pic:blipFill>
                        <pic:spPr>
                          <a:xfrm>
                            <a:off x="0" y="0"/>
                            <a:ext cx="1239520" cy="1483995"/>
                          </a:xfrm>
                          <a:prstGeom prst="rect">
                            <a:avLst/>
                          </a:prstGeom>
                          <a:noFill/>
                          <a:ln>
                            <a:noFill/>
                          </a:ln>
                        </pic:spPr>
                      </pic:pic>
                    </a:graphicData>
                  </a:graphic>
                </wp:inline>
              </w:drawing>
            </w:r>
          </w:p>
        </w:tc>
        <w:tc>
          <w:tcPr>
            <w:tcW w:w="5750" w:type="dxa"/>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主材: 立柱40*80*0.9mm，横梁40*40*0.9mm，柱撑0.8，层板0.4mm优质冷轧钢板，经酸洗、磷化、水洗等九工位前处理。涂4层无漏喷，锈蚀和脱色、掉色现象，光滑均匀，色泽一致，无流挂、疙瘩、皱皮、飞漆等缺陷: 中性盐雾连 续喷雾224h，耐腐蚀等级210级。</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五金件:钢质螺帽、螺丝，表面镀镍。工艺:所有工件经数控激光切割、模具冲压、数 控折弯、焊接、机器打磨而成，再经表洗、彩磷、清洗、烘干抗菌粉末喷涂、高温固化、安装而 成整体家具: 焊点打磨平整光滑，无噪点，外观平整，结构稳固   </w:t>
            </w:r>
          </w:p>
        </w:tc>
        <w:tc>
          <w:tcPr>
            <w:tcW w:w="2250" w:type="dxa"/>
            <w:vAlign w:val="center"/>
          </w:tcPr>
          <w:p>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2000*500*2000mm</w:t>
            </w:r>
          </w:p>
        </w:tc>
        <w:tc>
          <w:tcPr>
            <w:tcW w:w="775"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组</w:t>
            </w:r>
          </w:p>
        </w:tc>
        <w:tc>
          <w:tcPr>
            <w:tcW w:w="1062"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5" w:hRule="atLeast"/>
        </w:trPr>
        <w:tc>
          <w:tcPr>
            <w:tcW w:w="63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21</w:t>
            </w:r>
          </w:p>
        </w:tc>
        <w:tc>
          <w:tcPr>
            <w:tcW w:w="1700"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货架</w:t>
            </w:r>
          </w:p>
        </w:tc>
        <w:tc>
          <w:tcPr>
            <w:tcW w:w="2175" w:type="dxa"/>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kern w:val="0"/>
                <w:sz w:val="24"/>
                <w:szCs w:val="24"/>
                <w:u w:val="none"/>
                <w:lang w:val="en-US" w:eastAsia="zh-CN" w:bidi="ar"/>
              </w:rPr>
            </w:pPr>
            <w:r>
              <w:rPr>
                <w:rFonts w:hint="default"/>
                <w:szCs w:val="20"/>
              </w:rPr>
              <w:drawing>
                <wp:anchor distT="0" distB="0" distL="114300" distR="114300" simplePos="0" relativeHeight="251684864" behindDoc="0" locked="0" layoutInCell="1" allowOverlap="1">
                  <wp:simplePos x="0" y="0"/>
                  <wp:positionH relativeFrom="column">
                    <wp:posOffset>-20955</wp:posOffset>
                  </wp:positionH>
                  <wp:positionV relativeFrom="paragraph">
                    <wp:posOffset>120650</wp:posOffset>
                  </wp:positionV>
                  <wp:extent cx="1239520" cy="1483995"/>
                  <wp:effectExtent l="0" t="0" r="17780" b="1905"/>
                  <wp:wrapSquare wrapText="bothSides"/>
                  <wp:docPr id="7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2"/>
                          <pic:cNvPicPr>
                            <a:picLocks noChangeAspect="1"/>
                          </pic:cNvPicPr>
                        </pic:nvPicPr>
                        <pic:blipFill>
                          <a:blip r:embed="rId31"/>
                          <a:stretch>
                            <a:fillRect/>
                          </a:stretch>
                        </pic:blipFill>
                        <pic:spPr>
                          <a:xfrm>
                            <a:off x="0" y="0"/>
                            <a:ext cx="1239520" cy="1483995"/>
                          </a:xfrm>
                          <a:prstGeom prst="rect">
                            <a:avLst/>
                          </a:prstGeom>
                          <a:noFill/>
                          <a:ln>
                            <a:noFill/>
                          </a:ln>
                        </pic:spPr>
                      </pic:pic>
                    </a:graphicData>
                  </a:graphic>
                </wp:anchor>
              </w:drawing>
            </w:r>
            <w:r>
              <w:rPr>
                <w:rFonts w:hint="eastAsia" w:ascii="仿宋" w:hAnsi="仿宋" w:eastAsia="仿宋" w:cs="仿宋"/>
                <w:i w:val="0"/>
                <w:color w:val="000000"/>
                <w:kern w:val="0"/>
                <w:sz w:val="24"/>
                <w:szCs w:val="24"/>
                <w:u w:val="none"/>
                <w:lang w:val="en-US" w:eastAsia="zh-CN" w:bidi="ar"/>
              </w:rPr>
              <w:drawing>
                <wp:anchor distT="0" distB="0" distL="114300" distR="114300" simplePos="0" relativeHeight="251671552" behindDoc="0" locked="0" layoutInCell="1" allowOverlap="1">
                  <wp:simplePos x="0" y="0"/>
                  <wp:positionH relativeFrom="column">
                    <wp:posOffset>153670</wp:posOffset>
                  </wp:positionH>
                  <wp:positionV relativeFrom="paragraph">
                    <wp:posOffset>780415</wp:posOffset>
                  </wp:positionV>
                  <wp:extent cx="938530" cy="1127760"/>
                  <wp:effectExtent l="0" t="0" r="13970" b="15240"/>
                  <wp:wrapSquare wrapText="bothSides"/>
                  <wp:docPr id="49" name="图片_62"/>
                  <wp:cNvGraphicFramePr/>
                  <a:graphic xmlns:a="http://schemas.openxmlformats.org/drawingml/2006/main">
                    <a:graphicData uri="http://schemas.openxmlformats.org/drawingml/2006/picture">
                      <pic:pic xmlns:pic="http://schemas.openxmlformats.org/drawingml/2006/picture">
                        <pic:nvPicPr>
                          <pic:cNvPr id="49" name="图片_62"/>
                          <pic:cNvPicPr/>
                        </pic:nvPicPr>
                        <pic:blipFill>
                          <a:blip/>
                          <a:stretch>
                            <a:fillRect/>
                          </a:stretch>
                        </pic:blipFill>
                        <pic:spPr>
                          <a:xfrm>
                            <a:off x="0" y="0"/>
                            <a:ext cx="938530" cy="1127760"/>
                          </a:xfrm>
                          <a:prstGeom prst="rect">
                            <a:avLst/>
                          </a:prstGeom>
                          <a:noFill/>
                          <a:ln>
                            <a:noFill/>
                          </a:ln>
                        </pic:spPr>
                      </pic:pic>
                    </a:graphicData>
                  </a:graphic>
                </wp:anchor>
              </w:drawing>
            </w:r>
          </w:p>
        </w:tc>
        <w:tc>
          <w:tcPr>
            <w:tcW w:w="5750" w:type="dxa"/>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主材: 立柱40*80*0.9mm，横梁40*40*0.9mm，柱撑0.8，层板0.4mm优质冷轧钢板，经酸洗、磷化、水洗等九工位前处理。涂4层无漏喷，锈蚀和脱色、掉色现象，光滑均匀，色泽一致，无流挂、疙瘩、皱皮、飞漆等缺陷: 中性盐雾连 续喷雾224h，耐腐蚀等级210级。</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五金件:钢质螺帽、螺丝，表面镀镍。工艺:所有工件经数控激光切割、模具冲压、数 控折弯、焊接、机器打磨而成，再经表洗、彩磷、清洗、烘干抗菌粉末喷涂、高温固化、安装而 成整体家具: 焊点打磨平整光滑，无噪点，外观平整，结构稳固   </w:t>
            </w:r>
          </w:p>
        </w:tc>
        <w:tc>
          <w:tcPr>
            <w:tcW w:w="2250" w:type="dxa"/>
            <w:vAlign w:val="center"/>
          </w:tcPr>
          <w:p>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1500*500*2000mm</w:t>
            </w:r>
          </w:p>
        </w:tc>
        <w:tc>
          <w:tcPr>
            <w:tcW w:w="775"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组</w:t>
            </w:r>
          </w:p>
        </w:tc>
        <w:tc>
          <w:tcPr>
            <w:tcW w:w="1062"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8" w:hRule="atLeast"/>
        </w:trPr>
        <w:tc>
          <w:tcPr>
            <w:tcW w:w="14350" w:type="dxa"/>
            <w:gridSpan w:val="7"/>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both"/>
              <w:rPr>
                <w:rFonts w:hint="eastAsia" w:ascii="仿宋" w:hAnsi="仿宋" w:eastAsia="仿宋" w:cs="仿宋"/>
                <w:sz w:val="24"/>
                <w:szCs w:val="24"/>
                <w:vertAlign w:val="baseline"/>
              </w:rPr>
            </w:pPr>
            <w:r>
              <w:rPr>
                <w:rFonts w:hint="eastAsia" w:ascii="仿宋" w:hAnsi="仿宋" w:eastAsia="仿宋" w:cs="仿宋"/>
                <w:sz w:val="24"/>
                <w:szCs w:val="24"/>
                <w:vertAlign w:val="baseline"/>
              </w:rPr>
              <w:t>3F-板凳议事厅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8" w:type="dxa"/>
            <w:vAlign w:val="center"/>
          </w:tcPr>
          <w:p>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22</w:t>
            </w:r>
          </w:p>
        </w:tc>
        <w:tc>
          <w:tcPr>
            <w:tcW w:w="1700"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主席台-报告桌</w:t>
            </w:r>
          </w:p>
        </w:tc>
        <w:tc>
          <w:tcPr>
            <w:tcW w:w="2175" w:type="dxa"/>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kern w:val="0"/>
                <w:sz w:val="24"/>
                <w:szCs w:val="24"/>
                <w:u w:val="none"/>
                <w:lang w:val="en-US" w:eastAsia="zh-CN" w:bidi="ar"/>
              </w:rPr>
            </w:pPr>
            <w:r>
              <w:rPr>
                <w:rFonts w:hint="default"/>
                <w:szCs w:val="20"/>
              </w:rPr>
              <w:drawing>
                <wp:inline distT="0" distB="0" distL="114300" distR="114300">
                  <wp:extent cx="1238885" cy="962025"/>
                  <wp:effectExtent l="0" t="0" r="18415" b="9525"/>
                  <wp:docPr id="7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3"/>
                          <pic:cNvPicPr>
                            <a:picLocks noChangeAspect="1"/>
                          </pic:cNvPicPr>
                        </pic:nvPicPr>
                        <pic:blipFill>
                          <a:blip r:embed="rId32"/>
                          <a:stretch>
                            <a:fillRect/>
                          </a:stretch>
                        </pic:blipFill>
                        <pic:spPr>
                          <a:xfrm>
                            <a:off x="0" y="0"/>
                            <a:ext cx="1238885" cy="962025"/>
                          </a:xfrm>
                          <a:prstGeom prst="rect">
                            <a:avLst/>
                          </a:prstGeom>
                          <a:noFill/>
                          <a:ln>
                            <a:noFill/>
                          </a:ln>
                        </pic:spPr>
                      </pic:pic>
                    </a:graphicData>
                  </a:graphic>
                </wp:inline>
              </w:drawing>
            </w:r>
          </w:p>
        </w:tc>
        <w:tc>
          <w:tcPr>
            <w:tcW w:w="5750" w:type="dxa"/>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 xml:space="preserve">1.板材：采用环保实木多层板。多层板符合GB 6675.4-2014《玩具安全 第4部分 特定元素的迁移》及HJ 2547-2016《环境标志产品技术要求 家具》标准。未检出表示检测结果小于检出限。可迁移元素均符合国家标准。甲醛释放量≤0.08/³，总挥发性有机化合物（TVOC)释放率未检出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2.五金配件：采用优质五金件，铰链符合QB/T 2189-2013《家具五金 杯状暗铰链》标准、垂直静载荷、水平静载荷、操作力、耐久性、下沉量、耐腐蚀。需采用优质五金配件 。导轨符合QB/T2454-2013《家具五金 抽屉导轨》标准、垂直向下静载荷、水平侧向静载荷、猛开或猛关、操作力、耐久性、下沉量、拉出安全性、耐腐蚀。三合一连接件符合GB/T 3325-2017《金属家具通用技术条件》抗盐雾达到合格</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3.封边带：需采用优质同色PVC封边条，厚度≥2.0mm，封边条符合QB/T4463-2013 《家具用封边条技术要求》GB/T17657-2013 《人造板及饰面人造板理化性能试验方法》有害物质限量、甲醛释放量符合国家标准。                                                                                               4.各项技术指标符合GB/T 3324-2017《木家具通用技术条件》规定的要求      </w:t>
            </w:r>
          </w:p>
        </w:tc>
        <w:tc>
          <w:tcPr>
            <w:tcW w:w="2250"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（1600*600mm）</w:t>
            </w:r>
          </w:p>
        </w:tc>
        <w:tc>
          <w:tcPr>
            <w:tcW w:w="775"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张</w:t>
            </w:r>
          </w:p>
        </w:tc>
        <w:tc>
          <w:tcPr>
            <w:tcW w:w="1062"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35" w:hRule="atLeast"/>
        </w:trPr>
        <w:tc>
          <w:tcPr>
            <w:tcW w:w="638" w:type="dxa"/>
            <w:vAlign w:val="center"/>
          </w:tcPr>
          <w:p>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23</w:t>
            </w:r>
          </w:p>
        </w:tc>
        <w:tc>
          <w:tcPr>
            <w:tcW w:w="1700"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主席椅</w:t>
            </w:r>
          </w:p>
        </w:tc>
        <w:tc>
          <w:tcPr>
            <w:tcW w:w="2175" w:type="dxa"/>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kern w:val="0"/>
                <w:sz w:val="24"/>
                <w:szCs w:val="24"/>
                <w:u w:val="none"/>
                <w:lang w:val="en-US" w:eastAsia="zh-CN" w:bidi="ar"/>
              </w:rPr>
            </w:pPr>
            <w:r>
              <w:rPr>
                <w:rFonts w:hint="default"/>
                <w:szCs w:val="20"/>
              </w:rPr>
              <w:drawing>
                <wp:inline distT="0" distB="0" distL="114300" distR="114300">
                  <wp:extent cx="1240790" cy="1228725"/>
                  <wp:effectExtent l="0" t="0" r="16510" b="9525"/>
                  <wp:docPr id="8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4"/>
                          <pic:cNvPicPr>
                            <a:picLocks noChangeAspect="1"/>
                          </pic:cNvPicPr>
                        </pic:nvPicPr>
                        <pic:blipFill>
                          <a:blip r:embed="rId33"/>
                          <a:stretch>
                            <a:fillRect/>
                          </a:stretch>
                        </pic:blipFill>
                        <pic:spPr>
                          <a:xfrm>
                            <a:off x="0" y="0"/>
                            <a:ext cx="1240790" cy="1228725"/>
                          </a:xfrm>
                          <a:prstGeom prst="rect">
                            <a:avLst/>
                          </a:prstGeom>
                          <a:noFill/>
                          <a:ln>
                            <a:noFill/>
                          </a:ln>
                        </pic:spPr>
                      </pic:pic>
                    </a:graphicData>
                  </a:graphic>
                </wp:inline>
              </w:drawing>
            </w:r>
          </w:p>
        </w:tc>
        <w:tc>
          <w:tcPr>
            <w:tcW w:w="5750" w:type="dxa"/>
            <w:vAlign w:val="center"/>
          </w:tcPr>
          <w:p>
            <w:pPr>
              <w:keepNext w:val="0"/>
              <w:keepLines w:val="0"/>
              <w:widowControl/>
              <w:numPr>
                <w:ilvl w:val="0"/>
                <w:numId w:val="0"/>
              </w:numPr>
              <w:suppressLineNumbers w:val="0"/>
              <w:spacing w:before="0" w:beforeAutospacing="0" w:after="0" w:afterAutospacing="0"/>
              <w:ind w:left="0" w:right="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1.优质西皮饰面，柔软而富于韧性，厚度适中，手感舒适，透气性强.不易变形，坐感舒适；</w:t>
            </w:r>
          </w:p>
          <w:p>
            <w:pPr>
              <w:keepNext w:val="0"/>
              <w:keepLines w:val="0"/>
              <w:widowControl/>
              <w:numPr>
                <w:ilvl w:val="0"/>
                <w:numId w:val="0"/>
              </w:numPr>
              <w:suppressLineNumbers w:val="0"/>
              <w:spacing w:before="0" w:beforeAutospacing="0" w:after="0" w:afterAutospacing="0"/>
              <w:ind w:left="0" w:right="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2.内部采用高密度海绵，回弹力强；</w:t>
            </w:r>
          </w:p>
          <w:p>
            <w:pPr>
              <w:keepNext w:val="0"/>
              <w:keepLines w:val="0"/>
              <w:widowControl/>
              <w:numPr>
                <w:ilvl w:val="0"/>
                <w:numId w:val="0"/>
              </w:numPr>
              <w:suppressLineNumbers w:val="0"/>
              <w:spacing w:before="0" w:beforeAutospacing="0" w:after="0" w:afterAutospacing="0"/>
              <w:ind w:left="0" w:right="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3.架子椅面采用PU扶手面，手感舒适美观，</w:t>
            </w:r>
          </w:p>
          <w:p>
            <w:pPr>
              <w:keepNext w:val="0"/>
              <w:keepLines w:val="0"/>
              <w:widowControl/>
              <w:numPr>
                <w:ilvl w:val="0"/>
                <w:numId w:val="0"/>
              </w:numPr>
              <w:suppressLineNumbers w:val="0"/>
              <w:spacing w:before="0" w:beforeAutospacing="0" w:after="0" w:afterAutospacing="0"/>
              <w:ind w:left="0" w:right="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4.选用1.5管壁钢材经四次抛光三次打磨后弯制而成，表面经过防锈后镀铬而成，色泽光亮平滑。</w:t>
            </w:r>
          </w:p>
        </w:tc>
        <w:tc>
          <w:tcPr>
            <w:tcW w:w="2250" w:type="dxa"/>
            <w:vAlign w:val="center"/>
          </w:tcPr>
          <w:p>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520*570*1040mm</w:t>
            </w:r>
          </w:p>
        </w:tc>
        <w:tc>
          <w:tcPr>
            <w:tcW w:w="775"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把</w:t>
            </w:r>
          </w:p>
        </w:tc>
        <w:tc>
          <w:tcPr>
            <w:tcW w:w="1062"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38" w:type="dxa"/>
            <w:vAlign w:val="center"/>
          </w:tcPr>
          <w:p>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24</w:t>
            </w:r>
          </w:p>
        </w:tc>
        <w:tc>
          <w:tcPr>
            <w:tcW w:w="1700"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组合式会议桌</w:t>
            </w:r>
          </w:p>
        </w:tc>
        <w:tc>
          <w:tcPr>
            <w:tcW w:w="2175" w:type="dxa"/>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kern w:val="0"/>
                <w:sz w:val="24"/>
                <w:szCs w:val="24"/>
                <w:u w:val="none"/>
                <w:lang w:val="en-US" w:eastAsia="zh-CN" w:bidi="ar"/>
              </w:rPr>
            </w:pPr>
            <w:r>
              <w:rPr>
                <w:rFonts w:hint="default"/>
                <w:szCs w:val="20"/>
              </w:rPr>
              <w:drawing>
                <wp:anchor distT="0" distB="0" distL="114300" distR="114300" simplePos="0" relativeHeight="251698176" behindDoc="0" locked="0" layoutInCell="1" allowOverlap="1">
                  <wp:simplePos x="0" y="0"/>
                  <wp:positionH relativeFrom="column">
                    <wp:posOffset>55880</wp:posOffset>
                  </wp:positionH>
                  <wp:positionV relativeFrom="paragraph">
                    <wp:posOffset>920750</wp:posOffset>
                  </wp:positionV>
                  <wp:extent cx="1132840" cy="1481455"/>
                  <wp:effectExtent l="0" t="0" r="10160" b="4445"/>
                  <wp:wrapSquare wrapText="bothSides"/>
                  <wp:docPr id="8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5"/>
                          <pic:cNvPicPr>
                            <a:picLocks noChangeAspect="1"/>
                          </pic:cNvPicPr>
                        </pic:nvPicPr>
                        <pic:blipFill>
                          <a:blip r:embed="rId34"/>
                          <a:stretch>
                            <a:fillRect/>
                          </a:stretch>
                        </pic:blipFill>
                        <pic:spPr>
                          <a:xfrm>
                            <a:off x="0" y="0"/>
                            <a:ext cx="1132840" cy="1481455"/>
                          </a:xfrm>
                          <a:prstGeom prst="rect">
                            <a:avLst/>
                          </a:prstGeom>
                          <a:noFill/>
                          <a:ln>
                            <a:noFill/>
                          </a:ln>
                        </pic:spPr>
                      </pic:pic>
                    </a:graphicData>
                  </a:graphic>
                </wp:anchor>
              </w:drawing>
            </w:r>
            <w:r>
              <w:rPr>
                <w:rFonts w:hint="eastAsia" w:ascii="仿宋" w:hAnsi="仿宋" w:eastAsia="仿宋" w:cs="仿宋"/>
                <w:i w:val="0"/>
                <w:color w:val="000000"/>
                <w:kern w:val="0"/>
                <w:sz w:val="24"/>
                <w:szCs w:val="24"/>
                <w:u w:val="none"/>
                <w:lang w:val="en-US" w:eastAsia="zh-CN" w:bidi="ar"/>
              </w:rPr>
              <w:drawing>
                <wp:anchor distT="0" distB="0" distL="114300" distR="114300" simplePos="0" relativeHeight="251672576" behindDoc="0" locked="0" layoutInCell="1" allowOverlap="1">
                  <wp:simplePos x="0" y="0"/>
                  <wp:positionH relativeFrom="column">
                    <wp:posOffset>83820</wp:posOffset>
                  </wp:positionH>
                  <wp:positionV relativeFrom="paragraph">
                    <wp:posOffset>947420</wp:posOffset>
                  </wp:positionV>
                  <wp:extent cx="1042670" cy="1410970"/>
                  <wp:effectExtent l="0" t="0" r="5080" b="17780"/>
                  <wp:wrapNone/>
                  <wp:docPr id="58" name="图片_19"/>
                  <wp:cNvGraphicFramePr/>
                  <a:graphic xmlns:a="http://schemas.openxmlformats.org/drawingml/2006/main">
                    <a:graphicData uri="http://schemas.openxmlformats.org/drawingml/2006/picture">
                      <pic:pic xmlns:pic="http://schemas.openxmlformats.org/drawingml/2006/picture">
                        <pic:nvPicPr>
                          <pic:cNvPr id="58" name="图片_19"/>
                          <pic:cNvPicPr/>
                        </pic:nvPicPr>
                        <pic:blipFill>
                          <a:blip/>
                          <a:stretch>
                            <a:fillRect/>
                          </a:stretch>
                        </pic:blipFill>
                        <pic:spPr>
                          <a:xfrm>
                            <a:off x="0" y="0"/>
                            <a:ext cx="1042670" cy="1410970"/>
                          </a:xfrm>
                          <a:prstGeom prst="rect">
                            <a:avLst/>
                          </a:prstGeom>
                          <a:noFill/>
                          <a:ln>
                            <a:noFill/>
                          </a:ln>
                        </pic:spPr>
                      </pic:pic>
                    </a:graphicData>
                  </a:graphic>
                </wp:anchor>
              </w:drawing>
            </w:r>
          </w:p>
        </w:tc>
        <w:tc>
          <w:tcPr>
            <w:tcW w:w="5750" w:type="dxa"/>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1、板材：采用环保实木多层板。多层板符合GB 6675.4-2014《玩具安全 第4部分 特定元素的迁移》及HJ 2547-2016《环境标志产品技术要求 家具》标准。未检出表示检测结果小于检出限。可迁移元素均符合国家标准。甲醛释放量≤0.08/³，总挥发性有机化合物（TVOC)释放率未检出</w:t>
            </w:r>
          </w:p>
          <w:p>
            <w:pPr>
              <w:keepNext w:val="0"/>
              <w:keepLines w:val="0"/>
              <w:widowControl/>
              <w:numPr>
                <w:ilvl w:val="0"/>
                <w:numId w:val="0"/>
              </w:numPr>
              <w:suppressLineNumbers w:val="0"/>
              <w:spacing w:before="0" w:beforeAutospacing="0" w:after="0" w:afterAutospacing="0"/>
              <w:ind w:left="0" w:right="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 xml:space="preserve">2、采用优质PVC封边条、封边条符合QB/T4463-2013 《家具用封边条技术要求》 GB/T17657-2013 《人造板及饰面人造板理化性能试验方法》 GB6675-2003《国家玩具技术安全规范》有害物质限量、甲醛释放量符合标准规定要求；3、采用优质热熔胶：环保符合GB18583-2008《室内装饰装修材料胶黏剂中有害物质限量》4、底脚采用优质铝合金型材经模具压铸一体成型，脚跨度560MM，表面采用防锈静电喷涂处理，整体牢固耐用，美现大方，抗变型。   5.立柱脚管来用优质铝型材45*90（壁厚1.5M）表面采用防锈静电喷涂处理，可配置源线功能。  6.横梁采用优质30*60矩形管，厚度1.2MM表面再经防锈静电喷涂处理，实用牢固，承受力大。 </w:t>
            </w:r>
            <w:r>
              <w:rPr>
                <w:rFonts w:hint="eastAsia" w:ascii="仿宋" w:hAnsi="仿宋" w:eastAsia="仿宋" w:cs="仿宋"/>
                <w:i w:val="0"/>
                <w:color w:val="000000"/>
                <w:kern w:val="0"/>
                <w:sz w:val="24"/>
                <w:szCs w:val="24"/>
                <w:u w:val="none"/>
                <w:lang w:val="en-US" w:eastAsia="zh-CN" w:bidi="ar"/>
              </w:rPr>
              <w:t xml:space="preserve">                              </w:t>
            </w:r>
          </w:p>
        </w:tc>
        <w:tc>
          <w:tcPr>
            <w:tcW w:w="2250"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（1400*500*750mm）</w:t>
            </w:r>
          </w:p>
        </w:tc>
        <w:tc>
          <w:tcPr>
            <w:tcW w:w="775"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张</w:t>
            </w:r>
          </w:p>
        </w:tc>
        <w:tc>
          <w:tcPr>
            <w:tcW w:w="1062"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38" w:type="dxa"/>
            <w:vAlign w:val="center"/>
          </w:tcPr>
          <w:p>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25</w:t>
            </w:r>
          </w:p>
        </w:tc>
        <w:tc>
          <w:tcPr>
            <w:tcW w:w="1700"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报告椅</w:t>
            </w:r>
          </w:p>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（带翻板）</w:t>
            </w:r>
          </w:p>
        </w:tc>
        <w:tc>
          <w:tcPr>
            <w:tcW w:w="2175" w:type="dxa"/>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kern w:val="0"/>
                <w:sz w:val="24"/>
                <w:szCs w:val="24"/>
                <w:u w:val="none"/>
                <w:lang w:val="en-US" w:eastAsia="zh-CN" w:bidi="ar"/>
              </w:rPr>
            </w:pPr>
            <w:r>
              <w:rPr>
                <w:rFonts w:hint="default"/>
                <w:szCs w:val="20"/>
              </w:rPr>
              <w:drawing>
                <wp:inline distT="0" distB="0" distL="114300" distR="114300">
                  <wp:extent cx="1242060" cy="1329690"/>
                  <wp:effectExtent l="0" t="0" r="15240" b="3810"/>
                  <wp:docPr id="8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6"/>
                          <pic:cNvPicPr>
                            <a:picLocks noChangeAspect="1"/>
                          </pic:cNvPicPr>
                        </pic:nvPicPr>
                        <pic:blipFill>
                          <a:blip r:embed="rId35"/>
                          <a:stretch>
                            <a:fillRect/>
                          </a:stretch>
                        </pic:blipFill>
                        <pic:spPr>
                          <a:xfrm>
                            <a:off x="0" y="0"/>
                            <a:ext cx="1242060" cy="1329690"/>
                          </a:xfrm>
                          <a:prstGeom prst="rect">
                            <a:avLst/>
                          </a:prstGeom>
                          <a:noFill/>
                          <a:ln>
                            <a:noFill/>
                          </a:ln>
                        </pic:spPr>
                      </pic:pic>
                    </a:graphicData>
                  </a:graphic>
                </wp:inline>
              </w:drawing>
            </w:r>
          </w:p>
        </w:tc>
        <w:tc>
          <w:tcPr>
            <w:tcW w:w="5750" w:type="dxa"/>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 xml:space="preserve">1.饰面：椅背采用加厚条纹网，椅座采用优质棉绒弹力面料。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2.海绵：优质高回弹密度海绵。</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3.成型胶合板：四年桉木夹板，高硬度强粘合力，1.2-1.5CM厚度。</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4.椅架：采用19*32异型扁管，壁厚≥1.2mm，椅子全折叠。</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5.塑料：采用全新PP+纤维，环保可回收使用无污染，结构受力稳定。</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6.写字板：铝合金旋转机构，一体成型面板，带笔槽与水杯槽</w:t>
            </w:r>
          </w:p>
        </w:tc>
        <w:tc>
          <w:tcPr>
            <w:tcW w:w="2250" w:type="dxa"/>
            <w:vAlign w:val="center"/>
          </w:tcPr>
          <w:p>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490*630*835mm</w:t>
            </w:r>
          </w:p>
        </w:tc>
        <w:tc>
          <w:tcPr>
            <w:tcW w:w="775"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把</w:t>
            </w:r>
          </w:p>
        </w:tc>
        <w:tc>
          <w:tcPr>
            <w:tcW w:w="1062"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24" w:hRule="atLeast"/>
        </w:trPr>
        <w:tc>
          <w:tcPr>
            <w:tcW w:w="638" w:type="dxa"/>
            <w:vAlign w:val="center"/>
          </w:tcPr>
          <w:p>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26</w:t>
            </w:r>
          </w:p>
        </w:tc>
        <w:tc>
          <w:tcPr>
            <w:tcW w:w="1700"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报告椅</w:t>
            </w:r>
          </w:p>
        </w:tc>
        <w:tc>
          <w:tcPr>
            <w:tcW w:w="2175" w:type="dxa"/>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kern w:val="0"/>
                <w:sz w:val="24"/>
                <w:szCs w:val="24"/>
                <w:u w:val="none"/>
                <w:lang w:val="en-US" w:eastAsia="zh-CN" w:bidi="ar"/>
              </w:rPr>
            </w:pPr>
            <w:r>
              <w:rPr>
                <w:rFonts w:hint="default"/>
                <w:szCs w:val="20"/>
              </w:rPr>
              <w:drawing>
                <wp:inline distT="0" distB="0" distL="114300" distR="114300">
                  <wp:extent cx="1234440" cy="1543050"/>
                  <wp:effectExtent l="0" t="0" r="3810" b="0"/>
                  <wp:docPr id="8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7"/>
                          <pic:cNvPicPr>
                            <a:picLocks noChangeAspect="1"/>
                          </pic:cNvPicPr>
                        </pic:nvPicPr>
                        <pic:blipFill>
                          <a:blip r:embed="rId36"/>
                          <a:stretch>
                            <a:fillRect/>
                          </a:stretch>
                        </pic:blipFill>
                        <pic:spPr>
                          <a:xfrm>
                            <a:off x="0" y="0"/>
                            <a:ext cx="1234440" cy="1543050"/>
                          </a:xfrm>
                          <a:prstGeom prst="rect">
                            <a:avLst/>
                          </a:prstGeom>
                          <a:noFill/>
                          <a:ln>
                            <a:noFill/>
                          </a:ln>
                        </pic:spPr>
                      </pic:pic>
                    </a:graphicData>
                  </a:graphic>
                </wp:inline>
              </w:drawing>
            </w:r>
          </w:p>
        </w:tc>
        <w:tc>
          <w:tcPr>
            <w:tcW w:w="5750" w:type="dxa"/>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 xml:space="preserve">1.饰面：椅背采用加厚条纹网，椅座采用优质棉绒弹力面料。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2.海绵：优质高回弹密度海绵。</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3.成型胶合板：四年桉木夹板，高硬度强粘合力，1.2-1.5CM厚度。</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4.椅架：采用19*32异型扁管，壁厚≥1.2mm，椅子全折叠。</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5.塑料：采用全新PP+纤维，环保可回收使用无污染，结构受力稳定。</w:t>
            </w:r>
          </w:p>
        </w:tc>
        <w:tc>
          <w:tcPr>
            <w:tcW w:w="2250" w:type="dxa"/>
            <w:vAlign w:val="center"/>
          </w:tcPr>
          <w:p>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490*630*835mm</w:t>
            </w:r>
          </w:p>
        </w:tc>
        <w:tc>
          <w:tcPr>
            <w:tcW w:w="775"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把</w:t>
            </w:r>
          </w:p>
        </w:tc>
        <w:tc>
          <w:tcPr>
            <w:tcW w:w="1062"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15" w:hRule="atLeast"/>
        </w:trPr>
        <w:tc>
          <w:tcPr>
            <w:tcW w:w="638" w:type="dxa"/>
            <w:vAlign w:val="center"/>
          </w:tcPr>
          <w:p>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27</w:t>
            </w:r>
          </w:p>
        </w:tc>
        <w:tc>
          <w:tcPr>
            <w:tcW w:w="1700"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演讲台</w:t>
            </w:r>
          </w:p>
        </w:tc>
        <w:tc>
          <w:tcPr>
            <w:tcW w:w="2175" w:type="dxa"/>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kern w:val="0"/>
                <w:sz w:val="24"/>
                <w:szCs w:val="24"/>
                <w:u w:val="none"/>
                <w:lang w:val="en-US" w:eastAsia="zh-CN" w:bidi="ar"/>
              </w:rPr>
            </w:pPr>
            <w:r>
              <w:rPr>
                <w:rFonts w:hint="default"/>
                <w:szCs w:val="20"/>
              </w:rPr>
              <w:drawing>
                <wp:anchor distT="0" distB="0" distL="114300" distR="114300" simplePos="0" relativeHeight="251699200" behindDoc="0" locked="0" layoutInCell="1" allowOverlap="1">
                  <wp:simplePos x="0" y="0"/>
                  <wp:positionH relativeFrom="column">
                    <wp:posOffset>58420</wp:posOffset>
                  </wp:positionH>
                  <wp:positionV relativeFrom="paragraph">
                    <wp:posOffset>1383030</wp:posOffset>
                  </wp:positionV>
                  <wp:extent cx="1107440" cy="1357630"/>
                  <wp:effectExtent l="0" t="0" r="16510" b="13970"/>
                  <wp:wrapSquare wrapText="bothSides"/>
                  <wp:docPr id="8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8"/>
                          <pic:cNvPicPr>
                            <a:picLocks noChangeAspect="1"/>
                          </pic:cNvPicPr>
                        </pic:nvPicPr>
                        <pic:blipFill>
                          <a:blip r:embed="rId37"/>
                          <a:stretch>
                            <a:fillRect/>
                          </a:stretch>
                        </pic:blipFill>
                        <pic:spPr>
                          <a:xfrm>
                            <a:off x="0" y="0"/>
                            <a:ext cx="1107440" cy="1357630"/>
                          </a:xfrm>
                          <a:prstGeom prst="rect">
                            <a:avLst/>
                          </a:prstGeom>
                          <a:noFill/>
                          <a:ln>
                            <a:noFill/>
                          </a:ln>
                        </pic:spPr>
                      </pic:pic>
                    </a:graphicData>
                  </a:graphic>
                </wp:anchor>
              </w:drawing>
            </w:r>
            <w:r>
              <w:rPr>
                <w:rFonts w:hint="eastAsia" w:ascii="仿宋" w:hAnsi="仿宋" w:eastAsia="仿宋" w:cs="仿宋"/>
                <w:i w:val="0"/>
                <w:color w:val="000000"/>
                <w:kern w:val="0"/>
                <w:sz w:val="24"/>
                <w:szCs w:val="24"/>
                <w:u w:val="none"/>
                <w:lang w:val="en-US" w:eastAsia="zh-CN" w:bidi="ar"/>
              </w:rPr>
              <w:drawing>
                <wp:anchor distT="0" distB="0" distL="114300" distR="114300" simplePos="0" relativeHeight="251673600" behindDoc="0" locked="0" layoutInCell="1" allowOverlap="1">
                  <wp:simplePos x="0" y="0"/>
                  <wp:positionH relativeFrom="column">
                    <wp:posOffset>102235</wp:posOffset>
                  </wp:positionH>
                  <wp:positionV relativeFrom="paragraph">
                    <wp:posOffset>1207135</wp:posOffset>
                  </wp:positionV>
                  <wp:extent cx="962025" cy="1571625"/>
                  <wp:effectExtent l="0" t="0" r="9525" b="9525"/>
                  <wp:wrapNone/>
                  <wp:docPr id="67" name="图片_39"/>
                  <wp:cNvGraphicFramePr/>
                  <a:graphic xmlns:a="http://schemas.openxmlformats.org/drawingml/2006/main">
                    <a:graphicData uri="http://schemas.openxmlformats.org/drawingml/2006/picture">
                      <pic:pic xmlns:pic="http://schemas.openxmlformats.org/drawingml/2006/picture">
                        <pic:nvPicPr>
                          <pic:cNvPr id="67" name="图片_39"/>
                          <pic:cNvPicPr/>
                        </pic:nvPicPr>
                        <pic:blipFill>
                          <a:blip/>
                          <a:stretch>
                            <a:fillRect/>
                          </a:stretch>
                        </pic:blipFill>
                        <pic:spPr>
                          <a:xfrm>
                            <a:off x="0" y="0"/>
                            <a:ext cx="962025" cy="1571625"/>
                          </a:xfrm>
                          <a:prstGeom prst="rect">
                            <a:avLst/>
                          </a:prstGeom>
                          <a:noFill/>
                          <a:ln>
                            <a:noFill/>
                          </a:ln>
                        </pic:spPr>
                      </pic:pic>
                    </a:graphicData>
                  </a:graphic>
                </wp:anchor>
              </w:drawing>
            </w:r>
          </w:p>
        </w:tc>
        <w:tc>
          <w:tcPr>
            <w:tcW w:w="5750" w:type="dxa"/>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 xml:space="preserve">1.板材：采用环保实木多层板。多层板符合GB 6675.4-2014《玩具安全 第4部分 特定元素的迁移》及HJ 2547-2016《环境标志产品技术要求 家具》标准。未检出表示检测结果小于检出限。可迁移元素均符合国家标准。甲醛释放量≤0.08/³，总挥发性有机化合物（TVOC)释放率未检出。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2.五金配件：采用优质五金件，铰链符合QB/T 2189-2013《家具五金 杯状暗铰链》标准、垂直静载荷、水平静载荷、操作力、耐久性、下沉量、耐腐蚀。需采用优质五金配件。导轨符合QB/T2454-2013《家具五金 抽屉导轨》标准、垂直向下静载荷、水平侧向静载荷、猛开或猛关、操作力、耐久性、下沉量、拉出安全性、耐腐蚀。三合一连接件符合GB/T 3325-2017《金属家具通用技术条件》抗盐雾达到合格。</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3.封边带：需采用优质同色PVC封边条，厚度≥2.0mm，封边条符合QB/T4463-2013 《家具用封边条技术要求》GB/T17657-2013 《人造板及饰面人造板理化性能试验方法》有害物质限量、甲醛释放量符合国家标准。                                                                                               4.各项技术指标符合GB/T 3324-2017《木家具通用技术条件》规定的要求。      </w:t>
            </w:r>
          </w:p>
        </w:tc>
        <w:tc>
          <w:tcPr>
            <w:tcW w:w="2250" w:type="dxa"/>
            <w:vAlign w:val="center"/>
          </w:tcPr>
          <w:p>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600*550*1100mm</w:t>
            </w:r>
          </w:p>
        </w:tc>
        <w:tc>
          <w:tcPr>
            <w:tcW w:w="775"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个</w:t>
            </w:r>
          </w:p>
        </w:tc>
        <w:tc>
          <w:tcPr>
            <w:tcW w:w="1062"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4" w:hRule="atLeast"/>
        </w:trPr>
        <w:tc>
          <w:tcPr>
            <w:tcW w:w="14350" w:type="dxa"/>
            <w:gridSpan w:val="7"/>
            <w:vAlign w:val="center"/>
          </w:tcPr>
          <w:p>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3F-共享讲堂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15" w:hRule="atLeast"/>
        </w:trPr>
        <w:tc>
          <w:tcPr>
            <w:tcW w:w="638" w:type="dxa"/>
            <w:vAlign w:val="center"/>
          </w:tcPr>
          <w:p>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28</w:t>
            </w:r>
          </w:p>
        </w:tc>
        <w:tc>
          <w:tcPr>
            <w:tcW w:w="1700"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组合式会议桌</w:t>
            </w:r>
          </w:p>
        </w:tc>
        <w:tc>
          <w:tcPr>
            <w:tcW w:w="2175" w:type="dxa"/>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kern w:val="0"/>
                <w:sz w:val="24"/>
                <w:szCs w:val="24"/>
                <w:u w:val="none"/>
                <w:lang w:val="en-US" w:eastAsia="zh-CN" w:bidi="ar"/>
              </w:rPr>
            </w:pPr>
            <w:r>
              <w:rPr>
                <w:rFonts w:hint="default"/>
                <w:szCs w:val="20"/>
              </w:rPr>
              <w:drawing>
                <wp:inline distT="0" distB="0" distL="114300" distR="114300">
                  <wp:extent cx="1243330" cy="1626235"/>
                  <wp:effectExtent l="0" t="0" r="13970" b="12065"/>
                  <wp:docPr id="8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9"/>
                          <pic:cNvPicPr>
                            <a:picLocks noChangeAspect="1"/>
                          </pic:cNvPicPr>
                        </pic:nvPicPr>
                        <pic:blipFill>
                          <a:blip r:embed="rId34"/>
                          <a:stretch>
                            <a:fillRect/>
                          </a:stretch>
                        </pic:blipFill>
                        <pic:spPr>
                          <a:xfrm>
                            <a:off x="0" y="0"/>
                            <a:ext cx="1243330" cy="1626235"/>
                          </a:xfrm>
                          <a:prstGeom prst="rect">
                            <a:avLst/>
                          </a:prstGeom>
                          <a:noFill/>
                          <a:ln>
                            <a:noFill/>
                          </a:ln>
                        </pic:spPr>
                      </pic:pic>
                    </a:graphicData>
                  </a:graphic>
                </wp:inline>
              </w:drawing>
            </w:r>
          </w:p>
        </w:tc>
        <w:tc>
          <w:tcPr>
            <w:tcW w:w="5750" w:type="dxa"/>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1.板材：采用环保实木多层板。多层板符合GB 6675.4-2014《玩具安全 第4部分 特定元素的迁移》及HJ 2547-2016《环境标志产品技术要求 家具》标准。未检出表示检测结果小于检出限。可迁移元素均符合国家标准。甲醛释放量≤0.08/³，总挥发性有机化合物（TVOC)释放率未检出</w:t>
            </w:r>
          </w:p>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2.采用优质PVC封边条、封边条符合QB/T4463-2013 《家具用封边条技术要求》 GB/T17657-2013 《人造板及饰面人造板理化性能试验方法》 GB6675-2003《国家玩具技术安全规范》有害物质限量、甲醛释放量符合标准规定要求；</w:t>
            </w:r>
          </w:p>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3.采用优质热熔胶：环保符合GB18583-2008《室内装饰装修材料胶黏剂中有害物质限量》</w:t>
            </w:r>
          </w:p>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 xml:space="preserve">4.底脚采用优质铝合金型材经模具压铸一体成型，脚跨度560MM，表面采用防锈静电喷涂处理，整体牢固耐用，美现大方，抗变型。   </w:t>
            </w:r>
          </w:p>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 xml:space="preserve">5.立柱脚管来用优质铝型材45*90（壁厚1.5M）表面采用防锈静电喷涂处理，可配置源线功能。  </w:t>
            </w:r>
          </w:p>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 xml:space="preserve">6.横梁采用优质30*60矩形管，厚度1.2MM表面再经防锈静电喷涂处理，实用牢固，承受力大。  </w:t>
            </w:r>
          </w:p>
        </w:tc>
        <w:tc>
          <w:tcPr>
            <w:tcW w:w="2250" w:type="dxa"/>
            <w:vAlign w:val="center"/>
          </w:tcPr>
          <w:p>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1600*600*750mm</w:t>
            </w:r>
          </w:p>
        </w:tc>
        <w:tc>
          <w:tcPr>
            <w:tcW w:w="775"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张</w:t>
            </w:r>
          </w:p>
        </w:tc>
        <w:tc>
          <w:tcPr>
            <w:tcW w:w="1062"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52" w:hRule="atLeast"/>
        </w:trPr>
        <w:tc>
          <w:tcPr>
            <w:tcW w:w="638" w:type="dxa"/>
            <w:vAlign w:val="center"/>
          </w:tcPr>
          <w:p>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29</w:t>
            </w:r>
          </w:p>
        </w:tc>
        <w:tc>
          <w:tcPr>
            <w:tcW w:w="1700"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组合式会议桌</w:t>
            </w:r>
          </w:p>
        </w:tc>
        <w:tc>
          <w:tcPr>
            <w:tcW w:w="2175" w:type="dxa"/>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kern w:val="0"/>
                <w:sz w:val="24"/>
                <w:szCs w:val="24"/>
                <w:u w:val="none"/>
                <w:lang w:val="en-US" w:eastAsia="zh-CN" w:bidi="ar"/>
              </w:rPr>
            </w:pPr>
            <w:r>
              <w:rPr>
                <w:rFonts w:hint="default"/>
                <w:szCs w:val="20"/>
              </w:rPr>
              <w:drawing>
                <wp:inline distT="0" distB="0" distL="114300" distR="114300">
                  <wp:extent cx="1211580" cy="1584960"/>
                  <wp:effectExtent l="0" t="0" r="7620" b="15240"/>
                  <wp:docPr id="8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0"/>
                          <pic:cNvPicPr>
                            <a:picLocks noChangeAspect="1"/>
                          </pic:cNvPicPr>
                        </pic:nvPicPr>
                        <pic:blipFill>
                          <a:blip r:embed="rId34"/>
                          <a:stretch>
                            <a:fillRect/>
                          </a:stretch>
                        </pic:blipFill>
                        <pic:spPr>
                          <a:xfrm>
                            <a:off x="0" y="0"/>
                            <a:ext cx="1211580" cy="1584960"/>
                          </a:xfrm>
                          <a:prstGeom prst="rect">
                            <a:avLst/>
                          </a:prstGeom>
                          <a:noFill/>
                          <a:ln>
                            <a:noFill/>
                          </a:ln>
                        </pic:spPr>
                      </pic:pic>
                    </a:graphicData>
                  </a:graphic>
                </wp:inline>
              </w:drawing>
            </w:r>
          </w:p>
        </w:tc>
        <w:tc>
          <w:tcPr>
            <w:tcW w:w="5750" w:type="dxa"/>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1.板材：采用环保实木多层板。多层板符合GB 6675.4-2014《玩具安全 第4部分 特定元素的迁移》及HJ 2547-2016《环境标志产品技术要求 家具》标准。未检出表示检测结果小于检出限。可迁移元素均符合国家标准。甲醛释放量≤0.08/³，总挥发性有机化合物（TVOC)释放率未检出</w:t>
            </w:r>
          </w:p>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2.采用优质PVC封边条、封边条符合QB/T4463-2013 《家具用封边条技术要求》 GB/T17657-2013 《人造板及饰面人造板理化性能试验方法》 GB6675-2003《国家玩具技术安全规范》有害物质限量、甲醛释放量符合标准规定要求；</w:t>
            </w:r>
          </w:p>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3.采用优质热熔胶：环保符合GB18583-2008《室内装饰装修材料胶黏剂中有害物质限量》</w:t>
            </w:r>
          </w:p>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▲4.底脚采用优质铝合金型材经模具压铸一体成型，脚跨度560MM，表面采用防锈静电喷涂处理，整体牢固耐用，美现大方，抗变型。</w:t>
            </w:r>
            <w:r>
              <w:rPr>
                <w:rFonts w:hint="eastAsia" w:ascii="仿宋" w:hAnsi="仿宋" w:eastAsia="仿宋" w:cs="宋体"/>
                <w:b/>
                <w:bCs/>
                <w:kern w:val="0"/>
                <w:sz w:val="22"/>
                <w:szCs w:val="22"/>
              </w:rPr>
              <w:t>（提供具有CNAS或CMA标识的第三方检测报告扫描件并加盖CA签章）</w:t>
            </w:r>
            <w:r>
              <w:rPr>
                <w:rFonts w:hint="eastAsia" w:ascii="仿宋" w:hAnsi="仿宋" w:eastAsia="仿宋" w:cs="仿宋"/>
                <w:i w:val="0"/>
                <w:color w:val="000000"/>
                <w:kern w:val="0"/>
                <w:sz w:val="24"/>
                <w:szCs w:val="24"/>
                <w:u w:val="none"/>
                <w:lang w:val="en-US" w:eastAsia="zh-CN" w:bidi="ar"/>
              </w:rPr>
              <w:t xml:space="preserve">   </w:t>
            </w:r>
          </w:p>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▲5.立柱脚管来用优质铝型材45*90（壁厚1.5M）表面采用防锈静电喷涂处理，可配置源线功能。</w:t>
            </w:r>
            <w:r>
              <w:rPr>
                <w:rFonts w:hint="eastAsia" w:ascii="仿宋" w:hAnsi="仿宋" w:eastAsia="仿宋" w:cs="宋体"/>
                <w:b/>
                <w:bCs/>
                <w:kern w:val="0"/>
                <w:sz w:val="22"/>
                <w:szCs w:val="22"/>
              </w:rPr>
              <w:t>（提供具有CNAS或CMA标识的第三方检测报告扫描件并加盖CA签章）</w:t>
            </w:r>
            <w:r>
              <w:rPr>
                <w:rFonts w:hint="eastAsia" w:ascii="仿宋" w:hAnsi="仿宋" w:eastAsia="仿宋" w:cs="仿宋"/>
                <w:i w:val="0"/>
                <w:color w:val="000000"/>
                <w:kern w:val="0"/>
                <w:sz w:val="24"/>
                <w:szCs w:val="24"/>
                <w:u w:val="none"/>
                <w:lang w:val="en-US" w:eastAsia="zh-CN" w:bidi="ar"/>
              </w:rPr>
              <w:t xml:space="preserve">  </w:t>
            </w:r>
          </w:p>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 xml:space="preserve">6、横梁采用优质30*60矩形管，厚度1.2MM表面再经防锈静电喷涂处理，实用牢固，承受力大。 </w:t>
            </w:r>
            <w:r>
              <w:rPr>
                <w:rFonts w:hint="eastAsia" w:ascii="仿宋" w:hAnsi="仿宋" w:eastAsia="仿宋" w:cs="仿宋"/>
                <w:i w:val="0"/>
                <w:iCs w:val="0"/>
                <w:color w:val="FF0000"/>
                <w:kern w:val="0"/>
                <w:sz w:val="24"/>
                <w:szCs w:val="24"/>
                <w:highlight w:val="none"/>
                <w:u w:val="none"/>
                <w:lang w:val="en-US" w:eastAsia="zh-CN" w:bidi="ar"/>
              </w:rPr>
              <w:t xml:space="preserve"> </w:t>
            </w:r>
          </w:p>
        </w:tc>
        <w:tc>
          <w:tcPr>
            <w:tcW w:w="2250" w:type="dxa"/>
            <w:vAlign w:val="center"/>
          </w:tcPr>
          <w:p>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1400*600*750mm</w:t>
            </w:r>
          </w:p>
        </w:tc>
        <w:tc>
          <w:tcPr>
            <w:tcW w:w="775"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张</w:t>
            </w:r>
          </w:p>
        </w:tc>
        <w:tc>
          <w:tcPr>
            <w:tcW w:w="1062"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96" w:hRule="atLeast"/>
        </w:trPr>
        <w:tc>
          <w:tcPr>
            <w:tcW w:w="638" w:type="dxa"/>
            <w:vAlign w:val="center"/>
          </w:tcPr>
          <w:p>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30</w:t>
            </w:r>
          </w:p>
        </w:tc>
        <w:tc>
          <w:tcPr>
            <w:tcW w:w="1700"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会议椅</w:t>
            </w:r>
          </w:p>
        </w:tc>
        <w:tc>
          <w:tcPr>
            <w:tcW w:w="2175" w:type="dxa"/>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kern w:val="0"/>
                <w:sz w:val="24"/>
                <w:szCs w:val="24"/>
                <w:u w:val="none"/>
                <w:lang w:val="en-US" w:eastAsia="zh-CN" w:bidi="ar"/>
              </w:rPr>
            </w:pPr>
            <w:r>
              <w:rPr>
                <w:rFonts w:hint="default"/>
                <w:szCs w:val="20"/>
              </w:rPr>
              <w:drawing>
                <wp:inline distT="0" distB="0" distL="114300" distR="114300">
                  <wp:extent cx="1239520" cy="967105"/>
                  <wp:effectExtent l="0" t="0" r="17780" b="4445"/>
                  <wp:docPr id="8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1"/>
                          <pic:cNvPicPr>
                            <a:picLocks noChangeAspect="1"/>
                          </pic:cNvPicPr>
                        </pic:nvPicPr>
                        <pic:blipFill>
                          <a:blip r:embed="rId38"/>
                          <a:stretch>
                            <a:fillRect/>
                          </a:stretch>
                        </pic:blipFill>
                        <pic:spPr>
                          <a:xfrm>
                            <a:off x="0" y="0"/>
                            <a:ext cx="1239520" cy="967105"/>
                          </a:xfrm>
                          <a:prstGeom prst="rect">
                            <a:avLst/>
                          </a:prstGeom>
                          <a:noFill/>
                          <a:ln>
                            <a:noFill/>
                          </a:ln>
                        </pic:spPr>
                      </pic:pic>
                    </a:graphicData>
                  </a:graphic>
                </wp:inline>
              </w:drawing>
            </w:r>
          </w:p>
        </w:tc>
        <w:tc>
          <w:tcPr>
            <w:tcW w:w="5750" w:type="dxa"/>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边条，扶手，背条采用加厚料1.5mm管壁厚度铁管,表面经过除锈处理后做高档电镀工艺，网布采用优质鱼丝材质网布，舒适透气，韧性强，底架部分采用实心四方钢板做电泳工艺，结实耐用.配中班飞机底盘+320#牙签脚，PV脚轮，65#气杆</w:t>
            </w:r>
          </w:p>
        </w:tc>
        <w:tc>
          <w:tcPr>
            <w:tcW w:w="2250" w:type="dxa"/>
            <w:vAlign w:val="center"/>
          </w:tcPr>
          <w:p>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480*640*1130mm</w:t>
            </w:r>
          </w:p>
        </w:tc>
        <w:tc>
          <w:tcPr>
            <w:tcW w:w="775"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把</w:t>
            </w:r>
          </w:p>
        </w:tc>
        <w:tc>
          <w:tcPr>
            <w:tcW w:w="1062"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3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31</w:t>
            </w:r>
          </w:p>
        </w:tc>
        <w:tc>
          <w:tcPr>
            <w:tcW w:w="1700"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休闲办公桌椅（一桌一椅）</w:t>
            </w:r>
          </w:p>
        </w:tc>
        <w:tc>
          <w:tcPr>
            <w:tcW w:w="2175" w:type="dxa"/>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kern w:val="0"/>
                <w:sz w:val="24"/>
                <w:szCs w:val="24"/>
                <w:u w:val="none"/>
                <w:lang w:val="en-US" w:eastAsia="zh-CN" w:bidi="ar"/>
              </w:rPr>
            </w:pPr>
            <w:r>
              <w:rPr>
                <w:rFonts w:hint="default"/>
                <w:szCs w:val="20"/>
              </w:rPr>
              <w:drawing>
                <wp:anchor distT="0" distB="0" distL="114300" distR="114300" simplePos="0" relativeHeight="251700224" behindDoc="0" locked="0" layoutInCell="1" allowOverlap="1">
                  <wp:simplePos x="0" y="0"/>
                  <wp:positionH relativeFrom="column">
                    <wp:posOffset>63500</wp:posOffset>
                  </wp:positionH>
                  <wp:positionV relativeFrom="paragraph">
                    <wp:posOffset>1380490</wp:posOffset>
                  </wp:positionV>
                  <wp:extent cx="1162685" cy="941705"/>
                  <wp:effectExtent l="0" t="0" r="18415" b="10795"/>
                  <wp:wrapSquare wrapText="bothSides"/>
                  <wp:docPr id="8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2"/>
                          <pic:cNvPicPr>
                            <a:picLocks noChangeAspect="1"/>
                          </pic:cNvPicPr>
                        </pic:nvPicPr>
                        <pic:blipFill>
                          <a:blip r:embed="rId39"/>
                          <a:stretch>
                            <a:fillRect/>
                          </a:stretch>
                        </pic:blipFill>
                        <pic:spPr>
                          <a:xfrm>
                            <a:off x="0" y="0"/>
                            <a:ext cx="1162685" cy="941705"/>
                          </a:xfrm>
                          <a:prstGeom prst="rect">
                            <a:avLst/>
                          </a:prstGeom>
                          <a:noFill/>
                          <a:ln>
                            <a:noFill/>
                          </a:ln>
                        </pic:spPr>
                      </pic:pic>
                    </a:graphicData>
                  </a:graphic>
                </wp:anchor>
              </w:drawing>
            </w:r>
            <w:r>
              <w:rPr>
                <w:rFonts w:hint="eastAsia" w:ascii="仿宋" w:hAnsi="仿宋" w:eastAsia="仿宋" w:cs="仿宋"/>
                <w:i w:val="0"/>
                <w:color w:val="000000"/>
                <w:kern w:val="0"/>
                <w:sz w:val="24"/>
                <w:szCs w:val="24"/>
                <w:u w:val="none"/>
                <w:lang w:val="en-US" w:eastAsia="zh-CN" w:bidi="ar"/>
              </w:rPr>
              <w:drawing>
                <wp:anchor distT="0" distB="0" distL="114300" distR="114300" simplePos="0" relativeHeight="251674624" behindDoc="0" locked="0" layoutInCell="1" allowOverlap="1">
                  <wp:simplePos x="0" y="0"/>
                  <wp:positionH relativeFrom="column">
                    <wp:posOffset>164465</wp:posOffset>
                  </wp:positionH>
                  <wp:positionV relativeFrom="paragraph">
                    <wp:posOffset>1489710</wp:posOffset>
                  </wp:positionV>
                  <wp:extent cx="1013460" cy="1155065"/>
                  <wp:effectExtent l="0" t="0" r="15240" b="6985"/>
                  <wp:wrapSquare wrapText="bothSides"/>
                  <wp:docPr id="75" name="图片_42"/>
                  <wp:cNvGraphicFramePr/>
                  <a:graphic xmlns:a="http://schemas.openxmlformats.org/drawingml/2006/main">
                    <a:graphicData uri="http://schemas.openxmlformats.org/drawingml/2006/picture">
                      <pic:pic xmlns:pic="http://schemas.openxmlformats.org/drawingml/2006/picture">
                        <pic:nvPicPr>
                          <pic:cNvPr id="75" name="图片_42"/>
                          <pic:cNvPicPr/>
                        </pic:nvPicPr>
                        <pic:blipFill>
                          <a:blip/>
                          <a:stretch>
                            <a:fillRect/>
                          </a:stretch>
                        </pic:blipFill>
                        <pic:spPr>
                          <a:xfrm>
                            <a:off x="0" y="0"/>
                            <a:ext cx="1013460" cy="1155065"/>
                          </a:xfrm>
                          <a:prstGeom prst="rect">
                            <a:avLst/>
                          </a:prstGeom>
                          <a:noFill/>
                          <a:ln>
                            <a:noFill/>
                          </a:ln>
                        </pic:spPr>
                      </pic:pic>
                    </a:graphicData>
                  </a:graphic>
                </wp:anchor>
              </w:drawing>
            </w:r>
          </w:p>
        </w:tc>
        <w:tc>
          <w:tcPr>
            <w:tcW w:w="5750" w:type="dxa"/>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 xml:space="preserve">1.板材：采用环保实木多层板。多层板符合GB 6675.4-2014《玩具安全 第4部分 特定元素的迁移》及HJ 2547-2016《环境标志产品技术要求 家具》标准。未检出表示检测结果小于检出限。可迁移元素均符合国家标准。甲醛释放量≤0.08/³，总挥发性有机化合物（TVOC)释放率未检出                                                2.封边：需采用优质同色PVC封边条，厚度≥2.0mm，封边条符合QB/T4463-2013 《家具用封边条技术要求》GB/T17657-2013 《人造板及饰面人造板理化性能试验方法》有害物质限量、甲醛释放量符合国家标准。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3.五金：采用优质五金件，钢制部分均选用冷轧钢，采用压模成型和高频焊接的工艺，在经表面热处理后用静电喷涂，使钢件具有优良的流平性和光泽，耐烘烤泛黄性，能有效防止生锈和褪色，符合HJ2547-2016《环境标志产品技术要求 家具 》GB6675.4-2014《玩具安全第4部分》 。                                                                                            4.各项技术指标符合GB/T 3324-2017《木家具通用技术条件》规定的要求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5.钢架：采用加厚方钢，经酸洗，喷涂，干燥等工艺处理，防腐防锈，经久耐用。</w:t>
            </w:r>
          </w:p>
        </w:tc>
        <w:tc>
          <w:tcPr>
            <w:tcW w:w="2250" w:type="dxa"/>
            <w:vAlign w:val="center"/>
          </w:tcPr>
          <w:p>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color w:val="0000FF"/>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800*800*750mm</w:t>
            </w:r>
          </w:p>
        </w:tc>
        <w:tc>
          <w:tcPr>
            <w:tcW w:w="775"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套</w:t>
            </w:r>
          </w:p>
        </w:tc>
        <w:tc>
          <w:tcPr>
            <w:tcW w:w="1062"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5" w:hRule="atLeast"/>
        </w:trPr>
        <w:tc>
          <w:tcPr>
            <w:tcW w:w="14350" w:type="dxa"/>
            <w:gridSpan w:val="7"/>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both"/>
              <w:rPr>
                <w:rFonts w:hint="eastAsia" w:ascii="仿宋" w:hAnsi="仿宋" w:eastAsia="仿宋" w:cs="仿宋"/>
                <w:sz w:val="24"/>
                <w:szCs w:val="24"/>
                <w:vertAlign w:val="baseline"/>
              </w:rPr>
            </w:pPr>
            <w:r>
              <w:rPr>
                <w:rFonts w:hint="eastAsia" w:ascii="仿宋" w:hAnsi="仿宋" w:eastAsia="仿宋" w:cs="仿宋"/>
                <w:sz w:val="24"/>
                <w:szCs w:val="24"/>
                <w:vertAlign w:val="baseline"/>
              </w:rPr>
              <w:t>3F-创想立方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9" w:hRule="atLeast"/>
        </w:trPr>
        <w:tc>
          <w:tcPr>
            <w:tcW w:w="638" w:type="dxa"/>
            <w:vAlign w:val="center"/>
          </w:tcPr>
          <w:p>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32</w:t>
            </w:r>
          </w:p>
        </w:tc>
        <w:tc>
          <w:tcPr>
            <w:tcW w:w="1700"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休闲办公椅</w:t>
            </w:r>
          </w:p>
        </w:tc>
        <w:tc>
          <w:tcPr>
            <w:tcW w:w="2175" w:type="dxa"/>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kern w:val="0"/>
                <w:sz w:val="24"/>
                <w:szCs w:val="24"/>
                <w:u w:val="none"/>
                <w:lang w:val="en-US" w:eastAsia="zh-CN" w:bidi="ar"/>
              </w:rPr>
            </w:pPr>
            <w:r>
              <w:rPr>
                <w:rFonts w:hint="default"/>
                <w:szCs w:val="20"/>
              </w:rPr>
              <w:drawing>
                <wp:inline distT="0" distB="0" distL="114300" distR="114300">
                  <wp:extent cx="1240790" cy="1506220"/>
                  <wp:effectExtent l="0" t="0" r="16510" b="17780"/>
                  <wp:docPr id="8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3"/>
                          <pic:cNvPicPr>
                            <a:picLocks noChangeAspect="1"/>
                          </pic:cNvPicPr>
                        </pic:nvPicPr>
                        <pic:blipFill>
                          <a:blip r:embed="rId40"/>
                          <a:stretch>
                            <a:fillRect/>
                          </a:stretch>
                        </pic:blipFill>
                        <pic:spPr>
                          <a:xfrm>
                            <a:off x="0" y="0"/>
                            <a:ext cx="1240790" cy="1506220"/>
                          </a:xfrm>
                          <a:prstGeom prst="rect">
                            <a:avLst/>
                          </a:prstGeom>
                          <a:noFill/>
                          <a:ln>
                            <a:noFill/>
                          </a:ln>
                        </pic:spPr>
                      </pic:pic>
                    </a:graphicData>
                  </a:graphic>
                </wp:inline>
              </w:drawing>
            </w:r>
          </w:p>
        </w:tc>
        <w:tc>
          <w:tcPr>
            <w:tcW w:w="5750" w:type="dxa"/>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1.椅身：胶背与座板采用全新PP加纤,一体注塑成型，厚度为7mm, 无水印污渍.座背防水，易清洁，长久耐</w:t>
            </w:r>
            <w:r>
              <w:rPr>
                <w:rFonts w:hint="eastAsia" w:ascii="仿宋" w:hAnsi="仿宋" w:eastAsia="仿宋" w:cs="仿宋"/>
                <w:i w:val="0"/>
                <w:color w:val="000000"/>
                <w:kern w:val="0"/>
                <w:sz w:val="24"/>
                <w:szCs w:val="24"/>
                <w:u w:val="none"/>
                <w:lang w:val="en-US" w:eastAsia="zh-CN" w:bidi="ar"/>
              </w:rPr>
              <w:drawing>
                <wp:anchor distT="0" distB="0" distL="114300" distR="114300" simplePos="0" relativeHeight="251675648" behindDoc="0" locked="0" layoutInCell="1" allowOverlap="1">
                  <wp:simplePos x="0" y="0"/>
                  <wp:positionH relativeFrom="column">
                    <wp:posOffset>-1190625</wp:posOffset>
                  </wp:positionH>
                  <wp:positionV relativeFrom="paragraph">
                    <wp:posOffset>508635</wp:posOffset>
                  </wp:positionV>
                  <wp:extent cx="956310" cy="1261745"/>
                  <wp:effectExtent l="0" t="0" r="15240" b="14605"/>
                  <wp:wrapNone/>
                  <wp:docPr id="2" name="图片_79"/>
                  <wp:cNvGraphicFramePr/>
                  <a:graphic xmlns:a="http://schemas.openxmlformats.org/drawingml/2006/main">
                    <a:graphicData uri="http://schemas.openxmlformats.org/drawingml/2006/picture">
                      <pic:pic xmlns:pic="http://schemas.openxmlformats.org/drawingml/2006/picture">
                        <pic:nvPicPr>
                          <pic:cNvPr id="2" name="图片_79"/>
                          <pic:cNvPicPr/>
                        </pic:nvPicPr>
                        <pic:blipFill>
                          <a:blip/>
                          <a:stretch>
                            <a:fillRect/>
                          </a:stretch>
                        </pic:blipFill>
                        <pic:spPr>
                          <a:xfrm>
                            <a:off x="0" y="0"/>
                            <a:ext cx="956310" cy="1261745"/>
                          </a:xfrm>
                          <a:prstGeom prst="rect">
                            <a:avLst/>
                          </a:prstGeom>
                          <a:noFill/>
                          <a:ln>
                            <a:noFill/>
                          </a:ln>
                        </pic:spPr>
                      </pic:pic>
                    </a:graphicData>
                  </a:graphic>
                </wp:anchor>
              </w:drawing>
            </w:r>
            <w:r>
              <w:rPr>
                <w:rFonts w:hint="eastAsia" w:ascii="仿宋" w:hAnsi="仿宋" w:eastAsia="仿宋" w:cs="仿宋"/>
                <w:i w:val="0"/>
                <w:color w:val="000000"/>
                <w:kern w:val="0"/>
                <w:sz w:val="24"/>
                <w:szCs w:val="24"/>
                <w:u w:val="none"/>
                <w:lang w:val="en-US" w:eastAsia="zh-CN" w:bidi="ar"/>
              </w:rPr>
              <w:t>用，颜色搭配时尚；胶背重：2.6KG/个。胶背40KG12万次循环推背测试。磨砂椅面,单次拉力108KG，保压一分钟。带有软包，高密度回弹棉，表面常规用西皮或麻布，坐感舒适。</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2.椅脚：脚架采用加粗榉木腿，带防滑脚垫，配防滑螺丝，稳定性高久座不累。脚架重:1.8kg</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3.整椅坐感舒适，符合人体工学设计。</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4.整椅尺寸：座高380mm.座深430mm.座宽460mm.总高830mm。</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5.胶背颜色： 黑、白、红、蓝、灰、黄、橙、绿8色可选。</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6.塑料板用料检验须依据 GBT 32487-2016。</w:t>
            </w:r>
          </w:p>
        </w:tc>
        <w:tc>
          <w:tcPr>
            <w:tcW w:w="2250"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座高380mm.座深430mm.座宽460mm.总高830mm.</w:t>
            </w:r>
          </w:p>
        </w:tc>
        <w:tc>
          <w:tcPr>
            <w:tcW w:w="775"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把</w:t>
            </w:r>
          </w:p>
        </w:tc>
        <w:tc>
          <w:tcPr>
            <w:tcW w:w="1062"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8" w:hRule="atLeast"/>
        </w:trPr>
        <w:tc>
          <w:tcPr>
            <w:tcW w:w="14350" w:type="dxa"/>
            <w:gridSpan w:val="7"/>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both"/>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3F-办公室①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38" w:type="dxa"/>
            <w:vAlign w:val="center"/>
          </w:tcPr>
          <w:p>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33</w:t>
            </w:r>
          </w:p>
        </w:tc>
        <w:tc>
          <w:tcPr>
            <w:tcW w:w="1700"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桌椅类-办公桌</w:t>
            </w:r>
          </w:p>
        </w:tc>
        <w:tc>
          <w:tcPr>
            <w:tcW w:w="2175" w:type="dxa"/>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kern w:val="0"/>
                <w:sz w:val="24"/>
                <w:szCs w:val="24"/>
                <w:u w:val="none"/>
                <w:lang w:val="en-US" w:eastAsia="zh-CN" w:bidi="ar"/>
              </w:rPr>
            </w:pPr>
            <w:r>
              <w:rPr>
                <w:rFonts w:hint="default"/>
                <w:szCs w:val="20"/>
              </w:rPr>
              <w:drawing>
                <wp:inline distT="0" distB="0" distL="114300" distR="114300">
                  <wp:extent cx="1238885" cy="651510"/>
                  <wp:effectExtent l="0" t="0" r="18415" b="15240"/>
                  <wp:docPr id="9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4"/>
                          <pic:cNvPicPr>
                            <a:picLocks noChangeAspect="1"/>
                          </pic:cNvPicPr>
                        </pic:nvPicPr>
                        <pic:blipFill>
                          <a:blip r:embed="rId41"/>
                          <a:stretch>
                            <a:fillRect/>
                          </a:stretch>
                        </pic:blipFill>
                        <pic:spPr>
                          <a:xfrm>
                            <a:off x="0" y="0"/>
                            <a:ext cx="1238885" cy="651510"/>
                          </a:xfrm>
                          <a:prstGeom prst="rect">
                            <a:avLst/>
                          </a:prstGeom>
                          <a:noFill/>
                          <a:ln>
                            <a:noFill/>
                          </a:ln>
                        </pic:spPr>
                      </pic:pic>
                    </a:graphicData>
                  </a:graphic>
                </wp:inline>
              </w:drawing>
            </w:r>
          </w:p>
        </w:tc>
        <w:tc>
          <w:tcPr>
            <w:tcW w:w="5750" w:type="dxa"/>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 xml:space="preserve">1.板材：采用E0级环保实木多层板。多层板检验符合GB 18580-2017《室内装饰装修材料人造板及其制品中甲醛释放限量》; GB/T 9846-2015《普通胶合板》标准，甲醛释放量(1m³气候箱法)检出限：0.001mg/m³；符合GB 6675.4-2014《玩具安全 第4部分 特定元素的迁移》及HJ 2547-2016《环境标志产品技术要求 家具》标准。未检出表示检测结果小于检出限。可迁移元素均符合国家标准。甲醛释放量≤0.08/³，总挥发性有机化合物（TVOC)释放率未检出。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2.五金配件：采用优质五金件，铰链符合QB/T 2189-2013《家具五金 杯状暗铰链》标准、垂直静载荷、水平静载荷、操作力、耐久性、下沉量、耐腐蚀。需采用优质五金配件 。导轨符合QB/T2454-2013《家具五金 抽屉导轨》标准、垂直向下静载荷、水平侧向静载荷、猛开或猛关、操作力、耐久性、下沉量、拉出安全性、耐腐蚀。三合一连接件符合GB/T 3325-2017《金属家具通用技术条件》抗盐雾达到合格</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3.封边带：需采用优质同色PVC封边条，厚度≥2.0mm，封边条符合QB/T4463-2013 《家具用封边条技术要求》GB/T17657-2013 《人造板及饰面人造板理化性能试验方法》有害物质限量、甲醛释放量符合国家标准。                                                                                               4.各项技术指标符合GB/T 3324-2017《木家具通用技术条件》规定的要求 5.优质五金脚架，钢管耐腐蚀符合要求；冲击高度400mm，应无剥落、裂纹。</w:t>
            </w:r>
          </w:p>
        </w:tc>
        <w:tc>
          <w:tcPr>
            <w:tcW w:w="2250"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1800*600*750mm</w:t>
            </w:r>
          </w:p>
        </w:tc>
        <w:tc>
          <w:tcPr>
            <w:tcW w:w="775"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组</w:t>
            </w:r>
          </w:p>
        </w:tc>
        <w:tc>
          <w:tcPr>
            <w:tcW w:w="1062"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38" w:type="dxa"/>
            <w:vAlign w:val="center"/>
          </w:tcPr>
          <w:p>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34</w:t>
            </w:r>
          </w:p>
        </w:tc>
        <w:tc>
          <w:tcPr>
            <w:tcW w:w="1700"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班椅</w:t>
            </w:r>
          </w:p>
        </w:tc>
        <w:tc>
          <w:tcPr>
            <w:tcW w:w="2175" w:type="dxa"/>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kern w:val="0"/>
                <w:sz w:val="24"/>
                <w:szCs w:val="24"/>
                <w:u w:val="none"/>
                <w:lang w:val="en-US" w:eastAsia="zh-CN" w:bidi="ar"/>
              </w:rPr>
            </w:pPr>
            <w:r>
              <w:rPr>
                <w:rFonts w:hint="default"/>
                <w:szCs w:val="20"/>
              </w:rPr>
              <w:drawing>
                <wp:inline distT="0" distB="0" distL="114300" distR="114300">
                  <wp:extent cx="1242695" cy="1598295"/>
                  <wp:effectExtent l="0" t="0" r="14605" b="1905"/>
                  <wp:docPr id="9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35"/>
                          <pic:cNvPicPr>
                            <a:picLocks noChangeAspect="1"/>
                          </pic:cNvPicPr>
                        </pic:nvPicPr>
                        <pic:blipFill>
                          <a:blip r:embed="rId42"/>
                          <a:stretch>
                            <a:fillRect/>
                          </a:stretch>
                        </pic:blipFill>
                        <pic:spPr>
                          <a:xfrm>
                            <a:off x="0" y="0"/>
                            <a:ext cx="1242695" cy="1598295"/>
                          </a:xfrm>
                          <a:prstGeom prst="rect">
                            <a:avLst/>
                          </a:prstGeom>
                          <a:noFill/>
                          <a:ln>
                            <a:noFill/>
                          </a:ln>
                        </pic:spPr>
                      </pic:pic>
                    </a:graphicData>
                  </a:graphic>
                </wp:inline>
              </w:drawing>
            </w:r>
          </w:p>
        </w:tc>
        <w:tc>
          <w:tcPr>
            <w:tcW w:w="5750" w:type="dxa"/>
            <w:vAlign w:val="center"/>
          </w:tcPr>
          <w:p>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 xml:space="preserve">1.面料：采用优质透气网布面料，防磨防污性好；多种颜色可选 </w:t>
            </w:r>
          </w:p>
          <w:p>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 xml:space="preserve">2.塑料：采用PP+纤维塑料，抗拉性高，一次性成型；拉力118KG. </w:t>
            </w:r>
          </w:p>
          <w:p>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 xml:space="preserve">3.座棉：采用高回弹定型海绵，8cm厚度，超软，回弹力以及软硬度达到70度，密度达到45密以上，久坐也不变形，坐感舒适。                                                                         4.底盘功能：可逍遥、锁定、高低升降，厚度2.5mm。                                                 5.五星脚：全新PP+纤原料，可过880KG静压测试，承重力强。                          </w:t>
            </w:r>
          </w:p>
          <w:p>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6.静音轮。</w:t>
            </w:r>
          </w:p>
        </w:tc>
        <w:tc>
          <w:tcPr>
            <w:tcW w:w="2250" w:type="dxa"/>
            <w:vAlign w:val="center"/>
          </w:tcPr>
          <w:p>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color w:val="0000FF"/>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590*490*1040mm</w:t>
            </w:r>
          </w:p>
        </w:tc>
        <w:tc>
          <w:tcPr>
            <w:tcW w:w="775"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把</w:t>
            </w:r>
          </w:p>
        </w:tc>
        <w:tc>
          <w:tcPr>
            <w:tcW w:w="1062"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66" w:hRule="atLeast"/>
        </w:trPr>
        <w:tc>
          <w:tcPr>
            <w:tcW w:w="638" w:type="dxa"/>
            <w:vAlign w:val="center"/>
          </w:tcPr>
          <w:p>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35</w:t>
            </w:r>
          </w:p>
        </w:tc>
        <w:tc>
          <w:tcPr>
            <w:tcW w:w="1700" w:type="dxa"/>
            <w:vAlign w:val="center"/>
          </w:tcPr>
          <w:p>
            <w:pPr>
              <w:keepNext w:val="0"/>
              <w:keepLines w:val="0"/>
              <w:widowControl/>
              <w:numPr>
                <w:ilvl w:val="0"/>
                <w:numId w:val="0"/>
              </w:numPr>
              <w:suppressLineNumbers w:val="0"/>
              <w:spacing w:before="0" w:beforeAutospacing="0" w:after="0" w:afterAutospacing="0"/>
              <w:ind w:left="0" w:right="0" w:rightChars="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班前椅</w:t>
            </w:r>
          </w:p>
        </w:tc>
        <w:tc>
          <w:tcPr>
            <w:tcW w:w="2175" w:type="dxa"/>
            <w:vAlign w:val="center"/>
          </w:tcPr>
          <w:p>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i w:val="0"/>
                <w:color w:val="000000"/>
                <w:kern w:val="0"/>
                <w:sz w:val="24"/>
                <w:szCs w:val="24"/>
                <w:u w:val="none"/>
                <w:lang w:val="en-US" w:eastAsia="zh-CN" w:bidi="ar"/>
              </w:rPr>
            </w:pPr>
            <w:r>
              <w:rPr>
                <w:rFonts w:hint="default"/>
                <w:szCs w:val="20"/>
              </w:rPr>
              <w:drawing>
                <wp:inline distT="0" distB="0" distL="114300" distR="114300">
                  <wp:extent cx="1241425" cy="1578610"/>
                  <wp:effectExtent l="0" t="0" r="15875" b="2540"/>
                  <wp:docPr id="9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36"/>
                          <pic:cNvPicPr>
                            <a:picLocks noChangeAspect="1"/>
                          </pic:cNvPicPr>
                        </pic:nvPicPr>
                        <pic:blipFill>
                          <a:blip r:embed="rId26"/>
                          <a:stretch>
                            <a:fillRect/>
                          </a:stretch>
                        </pic:blipFill>
                        <pic:spPr>
                          <a:xfrm>
                            <a:off x="0" y="0"/>
                            <a:ext cx="1241425" cy="1578610"/>
                          </a:xfrm>
                          <a:prstGeom prst="rect">
                            <a:avLst/>
                          </a:prstGeom>
                          <a:noFill/>
                          <a:ln>
                            <a:noFill/>
                          </a:ln>
                        </pic:spPr>
                      </pic:pic>
                    </a:graphicData>
                  </a:graphic>
                </wp:inline>
              </w:drawing>
            </w:r>
          </w:p>
        </w:tc>
        <w:tc>
          <w:tcPr>
            <w:tcW w:w="5750" w:type="dxa"/>
            <w:vAlign w:val="center"/>
          </w:tcPr>
          <w:p>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 xml:space="preserve">1.面料：采用优质透气网布面料，防磨防污性好；多种颜色可选                             </w:t>
            </w:r>
          </w:p>
          <w:p>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 xml:space="preserve">2.塑料：采用PP+纤维塑料，抗拉性高， 一次性成型；拉力118KG.                      </w:t>
            </w:r>
          </w:p>
          <w:p>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3.座棉：采用高回弹定型海绵，8cm厚度，超软，回弹力以及软硬度达到70度，密度达到45密以上，久坐也不变形，坐感舒适.                                                                         4.铁架：采用2.0厚度铁管弯制而成，承重力强，表面防锈处理后喷黑细沙。</w:t>
            </w:r>
          </w:p>
        </w:tc>
        <w:tc>
          <w:tcPr>
            <w:tcW w:w="2250" w:type="dxa"/>
            <w:vAlign w:val="center"/>
          </w:tcPr>
          <w:p>
            <w:pPr>
              <w:keepNext w:val="0"/>
              <w:keepLines w:val="0"/>
              <w:widowControl/>
              <w:numPr>
                <w:ilvl w:val="0"/>
                <w:numId w:val="0"/>
              </w:numPr>
              <w:suppressLineNumbers w:val="0"/>
              <w:spacing w:before="0" w:beforeAutospacing="0" w:after="0" w:afterAutospacing="0"/>
              <w:ind w:left="0" w:right="0" w:rightChars="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590*490*960mm</w:t>
            </w:r>
          </w:p>
        </w:tc>
        <w:tc>
          <w:tcPr>
            <w:tcW w:w="775" w:type="dxa"/>
            <w:vAlign w:val="center"/>
          </w:tcPr>
          <w:p>
            <w:pPr>
              <w:keepNext w:val="0"/>
              <w:keepLines w:val="0"/>
              <w:widowControl/>
              <w:numPr>
                <w:ilvl w:val="0"/>
                <w:numId w:val="0"/>
              </w:numPr>
              <w:suppressLineNumbers w:val="0"/>
              <w:spacing w:before="0" w:beforeAutospacing="0" w:after="0" w:afterAutospacing="0"/>
              <w:ind w:left="0" w:right="0" w:rightChars="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把</w:t>
            </w:r>
          </w:p>
        </w:tc>
        <w:tc>
          <w:tcPr>
            <w:tcW w:w="1062" w:type="dxa"/>
            <w:vAlign w:val="center"/>
          </w:tcPr>
          <w:p>
            <w:pPr>
              <w:keepNext w:val="0"/>
              <w:keepLines w:val="0"/>
              <w:widowControl/>
              <w:numPr>
                <w:ilvl w:val="0"/>
                <w:numId w:val="0"/>
              </w:numPr>
              <w:suppressLineNumbers w:val="0"/>
              <w:spacing w:before="0" w:beforeAutospacing="0" w:after="0" w:afterAutospacing="0"/>
              <w:ind w:left="0" w:right="0" w:rightChars="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16" w:hRule="atLeast"/>
        </w:trPr>
        <w:tc>
          <w:tcPr>
            <w:tcW w:w="638" w:type="dxa"/>
            <w:vAlign w:val="center"/>
          </w:tcPr>
          <w:p>
            <w:pPr>
              <w:keepNext w:val="0"/>
              <w:keepLines w:val="0"/>
              <w:widowControl/>
              <w:numPr>
                <w:ilvl w:val="0"/>
                <w:numId w:val="0"/>
              </w:numPr>
              <w:suppressLineNumbers w:val="0"/>
              <w:spacing w:before="0" w:beforeAutospacing="0" w:after="0" w:afterAutospacing="0"/>
              <w:ind w:left="0" w:right="0" w:rightChars="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36</w:t>
            </w:r>
          </w:p>
        </w:tc>
        <w:tc>
          <w:tcPr>
            <w:tcW w:w="1700" w:type="dxa"/>
            <w:vAlign w:val="center"/>
          </w:tcPr>
          <w:p>
            <w:pPr>
              <w:keepNext w:val="0"/>
              <w:keepLines w:val="0"/>
              <w:widowControl/>
              <w:numPr>
                <w:ilvl w:val="0"/>
                <w:numId w:val="0"/>
              </w:numPr>
              <w:suppressLineNumbers w:val="0"/>
              <w:spacing w:before="0" w:beforeAutospacing="0" w:after="0" w:afterAutospacing="0"/>
              <w:ind w:left="0" w:right="0" w:rightChars="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沙发</w:t>
            </w:r>
          </w:p>
        </w:tc>
        <w:tc>
          <w:tcPr>
            <w:tcW w:w="2175" w:type="dxa"/>
            <w:vAlign w:val="center"/>
          </w:tcPr>
          <w:p>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i w:val="0"/>
                <w:color w:val="000000"/>
                <w:kern w:val="0"/>
                <w:sz w:val="24"/>
                <w:szCs w:val="24"/>
                <w:u w:val="none"/>
                <w:lang w:val="en-US" w:eastAsia="zh-CN" w:bidi="ar"/>
              </w:rPr>
            </w:pPr>
            <w:r>
              <w:rPr>
                <w:rFonts w:hint="default"/>
                <w:szCs w:val="20"/>
              </w:rPr>
              <w:drawing>
                <wp:inline distT="0" distB="0" distL="114300" distR="114300">
                  <wp:extent cx="1240790" cy="610235"/>
                  <wp:effectExtent l="0" t="0" r="16510" b="18415"/>
                  <wp:docPr id="94"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38"/>
                          <pic:cNvPicPr>
                            <a:picLocks noChangeAspect="1"/>
                          </pic:cNvPicPr>
                        </pic:nvPicPr>
                        <pic:blipFill>
                          <a:blip r:embed="rId43"/>
                          <a:stretch>
                            <a:fillRect/>
                          </a:stretch>
                        </pic:blipFill>
                        <pic:spPr>
                          <a:xfrm>
                            <a:off x="0" y="0"/>
                            <a:ext cx="1240790" cy="610235"/>
                          </a:xfrm>
                          <a:prstGeom prst="rect">
                            <a:avLst/>
                          </a:prstGeom>
                          <a:noFill/>
                          <a:ln>
                            <a:noFill/>
                          </a:ln>
                        </pic:spPr>
                      </pic:pic>
                    </a:graphicData>
                  </a:graphic>
                </wp:inline>
              </w:drawing>
            </w:r>
          </w:p>
        </w:tc>
        <w:tc>
          <w:tcPr>
            <w:tcW w:w="5750" w:type="dxa"/>
            <w:vAlign w:val="center"/>
          </w:tcPr>
          <w:p>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面料：采用优质西皮或者布绒 触感舒服 耐摩擦</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海绵：采用发泡高密度高回弹优质海绵，软硬适中，回弹性能好，不易变形。</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板材：采用环保实木多层板。多层板符合GB 6675.4-2014《玩具安全 第4部分 特定元素的迁移》及HJ 2547-2016《环境标志产品技术要求 家具》标准。未检出表示检测结果小于检出限。可迁移元素均符合国家标准。甲醛释放量≤0.08/³，总挥发性有机化合物（TVOC)释放率未检出 </w:t>
            </w:r>
          </w:p>
        </w:tc>
        <w:tc>
          <w:tcPr>
            <w:tcW w:w="2250" w:type="dxa"/>
            <w:vAlign w:val="center"/>
          </w:tcPr>
          <w:p>
            <w:pPr>
              <w:keepNext w:val="0"/>
              <w:keepLines w:val="0"/>
              <w:widowControl/>
              <w:numPr>
                <w:ilvl w:val="0"/>
                <w:numId w:val="0"/>
              </w:numPr>
              <w:suppressLineNumbers w:val="0"/>
              <w:spacing w:before="0" w:beforeAutospacing="0" w:after="0" w:afterAutospacing="0"/>
              <w:ind w:left="0" w:right="0" w:rightChars="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三人位2100*900*850 mm单人位1000*900*850mm</w:t>
            </w:r>
          </w:p>
        </w:tc>
        <w:tc>
          <w:tcPr>
            <w:tcW w:w="775" w:type="dxa"/>
            <w:vAlign w:val="center"/>
          </w:tcPr>
          <w:p>
            <w:pPr>
              <w:keepNext w:val="0"/>
              <w:keepLines w:val="0"/>
              <w:widowControl/>
              <w:numPr>
                <w:ilvl w:val="0"/>
                <w:numId w:val="0"/>
              </w:numPr>
              <w:suppressLineNumbers w:val="0"/>
              <w:spacing w:before="0" w:beforeAutospacing="0" w:after="0" w:afterAutospacing="0"/>
              <w:ind w:left="0" w:right="0" w:rightChars="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组</w:t>
            </w:r>
          </w:p>
        </w:tc>
        <w:tc>
          <w:tcPr>
            <w:tcW w:w="1062" w:type="dxa"/>
            <w:vAlign w:val="center"/>
          </w:tcPr>
          <w:p>
            <w:pPr>
              <w:keepNext w:val="0"/>
              <w:keepLines w:val="0"/>
              <w:widowControl/>
              <w:numPr>
                <w:ilvl w:val="0"/>
                <w:numId w:val="0"/>
              </w:numPr>
              <w:suppressLineNumbers w:val="0"/>
              <w:spacing w:before="0" w:beforeAutospacing="0" w:after="0" w:afterAutospacing="0"/>
              <w:ind w:left="0" w:right="0" w:rightChars="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2" w:hRule="atLeast"/>
        </w:trPr>
        <w:tc>
          <w:tcPr>
            <w:tcW w:w="638" w:type="dxa"/>
            <w:vAlign w:val="center"/>
          </w:tcPr>
          <w:p>
            <w:pPr>
              <w:keepNext w:val="0"/>
              <w:keepLines w:val="0"/>
              <w:widowControl/>
              <w:numPr>
                <w:ilvl w:val="0"/>
                <w:numId w:val="0"/>
              </w:numPr>
              <w:suppressLineNumbers w:val="0"/>
              <w:spacing w:before="0" w:beforeAutospacing="0" w:after="0" w:afterAutospacing="0"/>
              <w:ind w:left="0" w:right="0" w:rightChars="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37</w:t>
            </w:r>
          </w:p>
        </w:tc>
        <w:tc>
          <w:tcPr>
            <w:tcW w:w="1700" w:type="dxa"/>
            <w:vAlign w:val="center"/>
          </w:tcPr>
          <w:p>
            <w:pPr>
              <w:keepNext w:val="0"/>
              <w:keepLines w:val="0"/>
              <w:widowControl/>
              <w:numPr>
                <w:ilvl w:val="0"/>
                <w:numId w:val="0"/>
              </w:numPr>
              <w:suppressLineNumbers w:val="0"/>
              <w:spacing w:before="0" w:beforeAutospacing="0" w:after="0" w:afterAutospacing="0"/>
              <w:ind w:left="0" w:right="0" w:rightChars="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茶几</w:t>
            </w:r>
          </w:p>
        </w:tc>
        <w:tc>
          <w:tcPr>
            <w:tcW w:w="2175" w:type="dxa"/>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kern w:val="0"/>
                <w:sz w:val="24"/>
                <w:szCs w:val="24"/>
                <w:u w:val="none"/>
                <w:lang w:val="en-US" w:eastAsia="zh-CN" w:bidi="ar"/>
              </w:rPr>
            </w:pPr>
            <w:r>
              <w:rPr>
                <w:rFonts w:hint="default"/>
                <w:szCs w:val="20"/>
              </w:rPr>
              <w:drawing>
                <wp:inline distT="0" distB="0" distL="114300" distR="114300">
                  <wp:extent cx="1243330" cy="782320"/>
                  <wp:effectExtent l="0" t="0" r="13970" b="17780"/>
                  <wp:docPr id="95"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39"/>
                          <pic:cNvPicPr>
                            <a:picLocks noChangeAspect="1"/>
                          </pic:cNvPicPr>
                        </pic:nvPicPr>
                        <pic:blipFill>
                          <a:blip r:embed="rId44"/>
                          <a:stretch>
                            <a:fillRect/>
                          </a:stretch>
                        </pic:blipFill>
                        <pic:spPr>
                          <a:xfrm>
                            <a:off x="0" y="0"/>
                            <a:ext cx="1243330" cy="782320"/>
                          </a:xfrm>
                          <a:prstGeom prst="rect">
                            <a:avLst/>
                          </a:prstGeom>
                          <a:noFill/>
                          <a:ln>
                            <a:noFill/>
                          </a:ln>
                        </pic:spPr>
                      </pic:pic>
                    </a:graphicData>
                  </a:graphic>
                </wp:inline>
              </w:drawing>
            </w:r>
          </w:p>
        </w:tc>
        <w:tc>
          <w:tcPr>
            <w:tcW w:w="5750" w:type="dxa"/>
            <w:vAlign w:val="center"/>
          </w:tcPr>
          <w:p>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碳素钢+岩板</w:t>
            </w:r>
          </w:p>
        </w:tc>
        <w:tc>
          <w:tcPr>
            <w:tcW w:w="2250" w:type="dxa"/>
            <w:vAlign w:val="center"/>
          </w:tcPr>
          <w:p>
            <w:pPr>
              <w:keepNext w:val="0"/>
              <w:keepLines w:val="0"/>
              <w:widowControl/>
              <w:numPr>
                <w:ilvl w:val="0"/>
                <w:numId w:val="0"/>
              </w:numPr>
              <w:suppressLineNumbers w:val="0"/>
              <w:spacing w:before="0" w:beforeAutospacing="0" w:after="0" w:afterAutospacing="0"/>
              <w:ind w:left="0" w:right="0" w:rightChars="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1200*600*450mm</w:t>
            </w:r>
          </w:p>
        </w:tc>
        <w:tc>
          <w:tcPr>
            <w:tcW w:w="775" w:type="dxa"/>
            <w:vAlign w:val="center"/>
          </w:tcPr>
          <w:p>
            <w:pPr>
              <w:keepNext w:val="0"/>
              <w:keepLines w:val="0"/>
              <w:widowControl/>
              <w:numPr>
                <w:ilvl w:val="0"/>
                <w:numId w:val="0"/>
              </w:numPr>
              <w:suppressLineNumbers w:val="0"/>
              <w:spacing w:before="0" w:beforeAutospacing="0" w:after="0" w:afterAutospacing="0"/>
              <w:ind w:left="0" w:right="0" w:rightChars="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张</w:t>
            </w:r>
          </w:p>
        </w:tc>
        <w:tc>
          <w:tcPr>
            <w:tcW w:w="1062" w:type="dxa"/>
            <w:vAlign w:val="center"/>
          </w:tcPr>
          <w:p>
            <w:pPr>
              <w:keepNext w:val="0"/>
              <w:keepLines w:val="0"/>
              <w:widowControl/>
              <w:numPr>
                <w:ilvl w:val="0"/>
                <w:numId w:val="0"/>
              </w:numPr>
              <w:suppressLineNumbers w:val="0"/>
              <w:spacing w:before="0" w:beforeAutospacing="0" w:after="0" w:afterAutospacing="0"/>
              <w:ind w:left="0" w:right="0" w:rightChars="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4" w:hRule="atLeast"/>
        </w:trPr>
        <w:tc>
          <w:tcPr>
            <w:tcW w:w="638" w:type="dxa"/>
            <w:vAlign w:val="center"/>
          </w:tcPr>
          <w:p>
            <w:pPr>
              <w:keepNext w:val="0"/>
              <w:keepLines w:val="0"/>
              <w:widowControl/>
              <w:numPr>
                <w:ilvl w:val="0"/>
                <w:numId w:val="0"/>
              </w:numPr>
              <w:suppressLineNumbers w:val="0"/>
              <w:spacing w:before="0" w:beforeAutospacing="0" w:after="0" w:afterAutospacing="0"/>
              <w:ind w:left="0" w:right="0" w:rightChars="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38</w:t>
            </w:r>
          </w:p>
        </w:tc>
        <w:tc>
          <w:tcPr>
            <w:tcW w:w="1700" w:type="dxa"/>
            <w:vAlign w:val="center"/>
          </w:tcPr>
          <w:p>
            <w:pPr>
              <w:keepNext w:val="0"/>
              <w:keepLines w:val="0"/>
              <w:widowControl/>
              <w:numPr>
                <w:ilvl w:val="0"/>
                <w:numId w:val="0"/>
              </w:numPr>
              <w:suppressLineNumbers w:val="0"/>
              <w:spacing w:before="0" w:beforeAutospacing="0" w:after="0" w:afterAutospacing="0"/>
              <w:ind w:left="0" w:right="0" w:rightChars="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柜类-办公柜</w:t>
            </w:r>
          </w:p>
        </w:tc>
        <w:tc>
          <w:tcPr>
            <w:tcW w:w="2175" w:type="dxa"/>
            <w:vAlign w:val="center"/>
          </w:tcPr>
          <w:p>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i w:val="0"/>
                <w:color w:val="000000"/>
                <w:kern w:val="0"/>
                <w:sz w:val="24"/>
                <w:szCs w:val="24"/>
                <w:u w:val="none"/>
                <w:lang w:val="en-US" w:eastAsia="zh-CN" w:bidi="ar"/>
              </w:rPr>
            </w:pPr>
            <w:r>
              <w:rPr>
                <w:rFonts w:hint="default"/>
                <w:szCs w:val="20"/>
              </w:rPr>
              <w:drawing>
                <wp:anchor distT="0" distB="0" distL="114300" distR="114300" simplePos="0" relativeHeight="251686912" behindDoc="0" locked="0" layoutInCell="1" allowOverlap="1">
                  <wp:simplePos x="0" y="0"/>
                  <wp:positionH relativeFrom="column">
                    <wp:posOffset>-15875</wp:posOffset>
                  </wp:positionH>
                  <wp:positionV relativeFrom="paragraph">
                    <wp:posOffset>984250</wp:posOffset>
                  </wp:positionV>
                  <wp:extent cx="1238885" cy="578485"/>
                  <wp:effectExtent l="0" t="0" r="18415" b="12065"/>
                  <wp:wrapSquare wrapText="bothSides"/>
                  <wp:docPr id="9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0"/>
                          <pic:cNvPicPr>
                            <a:picLocks noChangeAspect="1"/>
                          </pic:cNvPicPr>
                        </pic:nvPicPr>
                        <pic:blipFill>
                          <a:blip r:embed="rId45"/>
                          <a:stretch>
                            <a:fillRect/>
                          </a:stretch>
                        </pic:blipFill>
                        <pic:spPr>
                          <a:xfrm>
                            <a:off x="0" y="0"/>
                            <a:ext cx="1238885" cy="578485"/>
                          </a:xfrm>
                          <a:prstGeom prst="rect">
                            <a:avLst/>
                          </a:prstGeom>
                          <a:noFill/>
                          <a:ln>
                            <a:noFill/>
                          </a:ln>
                        </pic:spPr>
                      </pic:pic>
                    </a:graphicData>
                  </a:graphic>
                </wp:anchor>
              </w:drawing>
            </w:r>
            <w:r>
              <w:rPr>
                <w:rFonts w:hint="eastAsia" w:ascii="仿宋" w:hAnsi="仿宋" w:eastAsia="仿宋" w:cs="仿宋"/>
                <w:i w:val="0"/>
                <w:color w:val="000000"/>
                <w:kern w:val="0"/>
                <w:sz w:val="24"/>
                <w:szCs w:val="24"/>
                <w:u w:val="none"/>
                <w:lang w:val="en-US" w:eastAsia="zh-CN" w:bidi="ar"/>
              </w:rPr>
              <w:drawing>
                <wp:anchor distT="0" distB="0" distL="114300" distR="114300" simplePos="0" relativeHeight="251679744" behindDoc="0" locked="0" layoutInCell="1" allowOverlap="1">
                  <wp:simplePos x="0" y="0"/>
                  <wp:positionH relativeFrom="column">
                    <wp:posOffset>60325</wp:posOffset>
                  </wp:positionH>
                  <wp:positionV relativeFrom="paragraph">
                    <wp:posOffset>629285</wp:posOffset>
                  </wp:positionV>
                  <wp:extent cx="1149350" cy="535305"/>
                  <wp:effectExtent l="0" t="0" r="12700" b="17145"/>
                  <wp:wrapSquare wrapText="bothSides"/>
                  <wp:docPr id="36" name="图片_48"/>
                  <wp:cNvGraphicFramePr/>
                  <a:graphic xmlns:a="http://schemas.openxmlformats.org/drawingml/2006/main">
                    <a:graphicData uri="http://schemas.openxmlformats.org/drawingml/2006/picture">
                      <pic:pic xmlns:pic="http://schemas.openxmlformats.org/drawingml/2006/picture">
                        <pic:nvPicPr>
                          <pic:cNvPr id="36" name="图片_48"/>
                          <pic:cNvPicPr/>
                        </pic:nvPicPr>
                        <pic:blipFill>
                          <a:blip/>
                          <a:stretch>
                            <a:fillRect/>
                          </a:stretch>
                        </pic:blipFill>
                        <pic:spPr>
                          <a:xfrm>
                            <a:off x="0" y="0"/>
                            <a:ext cx="1149350" cy="535305"/>
                          </a:xfrm>
                          <a:prstGeom prst="rect">
                            <a:avLst/>
                          </a:prstGeom>
                          <a:noFill/>
                          <a:ln>
                            <a:noFill/>
                          </a:ln>
                        </pic:spPr>
                      </pic:pic>
                    </a:graphicData>
                  </a:graphic>
                </wp:anchor>
              </w:drawing>
            </w:r>
          </w:p>
        </w:tc>
        <w:tc>
          <w:tcPr>
            <w:tcW w:w="5750" w:type="dxa"/>
            <w:vAlign w:val="center"/>
          </w:tcPr>
          <w:p>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 xml:space="preserve">1.板材：采用环保实木多层板。多层板符合GB 6675.4-2014《玩具安全 第4部分 特定元素的迁移》及HJ 2547-2016《环境标志产品技术要求 家具》标准。未检出表示检测结果小于检出限。可迁移元素均符合国家标准。甲醛释放量≤0.08/³，总挥发性有机化合物（TVOC)释放率未检出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2.五金配件：采用优质五金件，铰链符合QB/T 2189-2013《家具五金 杯状暗铰链》标准、垂直静载荷、水平静载荷、操作力、耐久性、下沉量、耐腐蚀。需采用优质五金配件 。导轨符合QB/T2454-2013《家具五金 抽屉导轨》标准、垂直向下静载荷、水平侧向静载荷、猛开或猛关、操作力、耐久性、下沉量、拉出安全性、耐腐蚀。三合一连接件符合GB/T 3325-2017《金属家具通用技术条件》抗盐雾达到合格</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3.封边带：需采用优质同色PVC封边条，厚度≥2.0mm，封边条符合QB/T4463-2013 《家具用封边条技术要求》GB/T17657-2013 《人造板及饰面人造板理化性能试验方法》有害物质限量、甲醛释放量符合国家标准。                                                                                               4.各项技术指标符合GB/T 3324-2017《木家具通用技术条件》规定的要求      </w:t>
            </w:r>
          </w:p>
        </w:tc>
        <w:tc>
          <w:tcPr>
            <w:tcW w:w="2250" w:type="dxa"/>
            <w:vAlign w:val="center"/>
          </w:tcPr>
          <w:p>
            <w:pPr>
              <w:keepNext w:val="0"/>
              <w:keepLines w:val="0"/>
              <w:widowControl/>
              <w:numPr>
                <w:ilvl w:val="0"/>
                <w:numId w:val="0"/>
              </w:numPr>
              <w:suppressLineNumbers w:val="0"/>
              <w:spacing w:before="0" w:beforeAutospacing="0" w:after="0" w:afterAutospacing="0"/>
              <w:ind w:left="0" w:right="0" w:rightChars="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（尺寸：2900*450*750mm）</w:t>
            </w:r>
          </w:p>
        </w:tc>
        <w:tc>
          <w:tcPr>
            <w:tcW w:w="775" w:type="dxa"/>
            <w:vAlign w:val="center"/>
          </w:tcPr>
          <w:p>
            <w:pPr>
              <w:keepNext w:val="0"/>
              <w:keepLines w:val="0"/>
              <w:widowControl/>
              <w:numPr>
                <w:ilvl w:val="0"/>
                <w:numId w:val="0"/>
              </w:numPr>
              <w:suppressLineNumbers w:val="0"/>
              <w:spacing w:before="0" w:beforeAutospacing="0" w:after="0" w:afterAutospacing="0"/>
              <w:ind w:left="0" w:right="0" w:rightChars="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组</w:t>
            </w:r>
          </w:p>
        </w:tc>
        <w:tc>
          <w:tcPr>
            <w:tcW w:w="1062" w:type="dxa"/>
            <w:vAlign w:val="center"/>
          </w:tcPr>
          <w:p>
            <w:pPr>
              <w:keepNext w:val="0"/>
              <w:keepLines w:val="0"/>
              <w:widowControl/>
              <w:numPr>
                <w:ilvl w:val="0"/>
                <w:numId w:val="0"/>
              </w:numPr>
              <w:suppressLineNumbers w:val="0"/>
              <w:spacing w:before="0" w:beforeAutospacing="0" w:after="0" w:afterAutospacing="0"/>
              <w:ind w:left="0" w:right="0" w:rightChars="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4" w:hRule="atLeast"/>
        </w:trPr>
        <w:tc>
          <w:tcPr>
            <w:tcW w:w="638" w:type="dxa"/>
            <w:vAlign w:val="center"/>
          </w:tcPr>
          <w:p>
            <w:pPr>
              <w:keepNext w:val="0"/>
              <w:keepLines w:val="0"/>
              <w:widowControl/>
              <w:numPr>
                <w:ilvl w:val="0"/>
                <w:numId w:val="0"/>
              </w:numPr>
              <w:suppressLineNumbers w:val="0"/>
              <w:spacing w:before="0" w:beforeAutospacing="0" w:after="0" w:afterAutospacing="0"/>
              <w:ind w:left="0" w:right="0" w:rightChars="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39</w:t>
            </w:r>
          </w:p>
        </w:tc>
        <w:tc>
          <w:tcPr>
            <w:tcW w:w="1700" w:type="dxa"/>
            <w:vAlign w:val="center"/>
          </w:tcPr>
          <w:p>
            <w:pPr>
              <w:keepNext w:val="0"/>
              <w:keepLines w:val="0"/>
              <w:widowControl/>
              <w:numPr>
                <w:ilvl w:val="0"/>
                <w:numId w:val="0"/>
              </w:numPr>
              <w:suppressLineNumbers w:val="0"/>
              <w:spacing w:before="0" w:beforeAutospacing="0" w:after="0" w:afterAutospacing="0"/>
              <w:ind w:left="0" w:right="0" w:rightChars="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柜类-墙柜</w:t>
            </w:r>
          </w:p>
        </w:tc>
        <w:tc>
          <w:tcPr>
            <w:tcW w:w="2175" w:type="dxa"/>
            <w:vAlign w:val="center"/>
          </w:tcPr>
          <w:p>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i w:val="0"/>
                <w:color w:val="000000"/>
                <w:kern w:val="0"/>
                <w:sz w:val="24"/>
                <w:szCs w:val="24"/>
                <w:u w:val="none"/>
                <w:lang w:val="en-US" w:eastAsia="zh-CN" w:bidi="ar"/>
              </w:rPr>
            </w:pPr>
            <w:r>
              <w:rPr>
                <w:rFonts w:hint="default"/>
                <w:szCs w:val="20"/>
              </w:rPr>
              <w:drawing>
                <wp:anchor distT="0" distB="0" distL="114300" distR="114300" simplePos="0" relativeHeight="251687936" behindDoc="0" locked="0" layoutInCell="1" allowOverlap="1">
                  <wp:simplePos x="0" y="0"/>
                  <wp:positionH relativeFrom="column">
                    <wp:posOffset>23495</wp:posOffset>
                  </wp:positionH>
                  <wp:positionV relativeFrom="paragraph">
                    <wp:posOffset>1611630</wp:posOffset>
                  </wp:positionV>
                  <wp:extent cx="1239520" cy="562610"/>
                  <wp:effectExtent l="0" t="0" r="17780" b="8890"/>
                  <wp:wrapSquare wrapText="bothSides"/>
                  <wp:docPr id="97"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1"/>
                          <pic:cNvPicPr>
                            <a:picLocks noChangeAspect="1"/>
                          </pic:cNvPicPr>
                        </pic:nvPicPr>
                        <pic:blipFill>
                          <a:blip r:embed="rId46"/>
                          <a:stretch>
                            <a:fillRect/>
                          </a:stretch>
                        </pic:blipFill>
                        <pic:spPr>
                          <a:xfrm>
                            <a:off x="0" y="0"/>
                            <a:ext cx="1239520" cy="562610"/>
                          </a:xfrm>
                          <a:prstGeom prst="rect">
                            <a:avLst/>
                          </a:prstGeom>
                          <a:noFill/>
                          <a:ln>
                            <a:noFill/>
                          </a:ln>
                        </pic:spPr>
                      </pic:pic>
                    </a:graphicData>
                  </a:graphic>
                </wp:anchor>
              </w:drawing>
            </w:r>
            <w:r>
              <w:rPr>
                <w:rFonts w:hint="eastAsia" w:ascii="仿宋" w:hAnsi="仿宋" w:eastAsia="仿宋" w:cs="仿宋"/>
                <w:i w:val="0"/>
                <w:color w:val="000000"/>
                <w:kern w:val="0"/>
                <w:sz w:val="24"/>
                <w:szCs w:val="24"/>
                <w:u w:val="none"/>
                <w:lang w:val="en-US" w:eastAsia="zh-CN" w:bidi="ar"/>
              </w:rPr>
              <w:drawing>
                <wp:anchor distT="0" distB="0" distL="114300" distR="114300" simplePos="0" relativeHeight="251680768" behindDoc="0" locked="0" layoutInCell="1" allowOverlap="1">
                  <wp:simplePos x="0" y="0"/>
                  <wp:positionH relativeFrom="column">
                    <wp:posOffset>108585</wp:posOffset>
                  </wp:positionH>
                  <wp:positionV relativeFrom="paragraph">
                    <wp:posOffset>1084580</wp:posOffset>
                  </wp:positionV>
                  <wp:extent cx="1094740" cy="659130"/>
                  <wp:effectExtent l="0" t="0" r="10160" b="7620"/>
                  <wp:wrapNone/>
                  <wp:docPr id="37" name="图片_49"/>
                  <wp:cNvGraphicFramePr/>
                  <a:graphic xmlns:a="http://schemas.openxmlformats.org/drawingml/2006/main">
                    <a:graphicData uri="http://schemas.openxmlformats.org/drawingml/2006/picture">
                      <pic:pic xmlns:pic="http://schemas.openxmlformats.org/drawingml/2006/picture">
                        <pic:nvPicPr>
                          <pic:cNvPr id="37" name="图片_49"/>
                          <pic:cNvPicPr/>
                        </pic:nvPicPr>
                        <pic:blipFill>
                          <a:blip/>
                          <a:stretch>
                            <a:fillRect/>
                          </a:stretch>
                        </pic:blipFill>
                        <pic:spPr>
                          <a:xfrm>
                            <a:off x="0" y="0"/>
                            <a:ext cx="1094740" cy="659130"/>
                          </a:xfrm>
                          <a:prstGeom prst="rect">
                            <a:avLst/>
                          </a:prstGeom>
                          <a:noFill/>
                          <a:ln>
                            <a:noFill/>
                          </a:ln>
                        </pic:spPr>
                      </pic:pic>
                    </a:graphicData>
                  </a:graphic>
                </wp:anchor>
              </w:drawing>
            </w:r>
          </w:p>
        </w:tc>
        <w:tc>
          <w:tcPr>
            <w:tcW w:w="5750" w:type="dxa"/>
            <w:vAlign w:val="center"/>
          </w:tcPr>
          <w:p>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 xml:space="preserve">1.板材：采用环保实木多层板。多层板符合GB 6675.4-2014《玩具安全 第4部分 特定元素的迁移》及HJ 2547-2016《环境标志产品技术要求 家具》标准。未检出表示检测结果小于检出限。可迁移元素均符合国家标准。甲醛释放量≤0.08/³，总挥发性有机化合物（TVOC)释放率未检出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2.五金配件：采用优质五金件，铰链符合QB/T 2189-2013《家具五金 杯状暗铰链》标准、垂直静载荷、水平静载荷、操作力、耐久性、下沉量、耐腐蚀。需采用优质五金配件 。导轨符合QB/T2454-2013《家具五金 抽屉导轨》标准、垂直向下静载荷、水平侧向静载荷、猛开或猛关、操作力、耐久性、下沉量、拉出安全性、耐腐蚀。三合一连接件符合GB/T 3325-2017《金属家具通用技术条件》抗盐雾达到合格</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3.封边带：需采用优质同色PVC封边条，厚度≥2.0mm，封边条符合QB/T4463-2013 《家具用封边条技术要求》GB/T17657-2013 《人造板及饰面人造板理化性能试验方法》有害物质限量、甲醛释放量符合国家标准。                                                                                               4.各项技术指标符合GB/T 3324-2017《木家具通用技术条件》规定的要求      </w:t>
            </w:r>
          </w:p>
        </w:tc>
        <w:tc>
          <w:tcPr>
            <w:tcW w:w="2250" w:type="dxa"/>
            <w:vAlign w:val="center"/>
          </w:tcPr>
          <w:p>
            <w:pPr>
              <w:keepNext w:val="0"/>
              <w:keepLines w:val="0"/>
              <w:widowControl/>
              <w:numPr>
                <w:ilvl w:val="0"/>
                <w:numId w:val="0"/>
              </w:numPr>
              <w:suppressLineNumbers w:val="0"/>
              <w:spacing w:before="0" w:beforeAutospacing="0" w:after="0" w:afterAutospacing="0"/>
              <w:ind w:left="0" w:right="0" w:rightChars="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（尺寸：2900*360*350mm）</w:t>
            </w:r>
          </w:p>
        </w:tc>
        <w:tc>
          <w:tcPr>
            <w:tcW w:w="775" w:type="dxa"/>
            <w:vAlign w:val="center"/>
          </w:tcPr>
          <w:p>
            <w:pPr>
              <w:keepNext w:val="0"/>
              <w:keepLines w:val="0"/>
              <w:widowControl/>
              <w:numPr>
                <w:ilvl w:val="0"/>
                <w:numId w:val="0"/>
              </w:numPr>
              <w:suppressLineNumbers w:val="0"/>
              <w:spacing w:before="0" w:beforeAutospacing="0" w:after="0" w:afterAutospacing="0"/>
              <w:ind w:left="0" w:right="0" w:rightChars="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组</w:t>
            </w:r>
          </w:p>
        </w:tc>
        <w:tc>
          <w:tcPr>
            <w:tcW w:w="1062" w:type="dxa"/>
            <w:vAlign w:val="center"/>
          </w:tcPr>
          <w:p>
            <w:pPr>
              <w:keepNext w:val="0"/>
              <w:keepLines w:val="0"/>
              <w:widowControl/>
              <w:numPr>
                <w:ilvl w:val="0"/>
                <w:numId w:val="0"/>
              </w:numPr>
              <w:suppressLineNumbers w:val="0"/>
              <w:spacing w:before="0" w:beforeAutospacing="0" w:after="0" w:afterAutospacing="0"/>
              <w:ind w:left="0" w:right="0" w:rightChars="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9" w:hRule="atLeast"/>
        </w:trPr>
        <w:tc>
          <w:tcPr>
            <w:tcW w:w="14350" w:type="dxa"/>
            <w:gridSpan w:val="7"/>
            <w:vAlign w:val="center"/>
          </w:tcPr>
          <w:p>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3F-办公室②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4" w:hRule="atLeast"/>
        </w:trPr>
        <w:tc>
          <w:tcPr>
            <w:tcW w:w="638" w:type="dxa"/>
            <w:vAlign w:val="center"/>
          </w:tcPr>
          <w:p>
            <w:pPr>
              <w:keepNext w:val="0"/>
              <w:keepLines w:val="0"/>
              <w:widowControl/>
              <w:numPr>
                <w:ilvl w:val="0"/>
                <w:numId w:val="0"/>
              </w:numPr>
              <w:suppressLineNumbers w:val="0"/>
              <w:spacing w:before="0" w:beforeAutospacing="0" w:after="0" w:afterAutospacing="0"/>
              <w:ind w:left="0" w:right="0" w:rightChars="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40</w:t>
            </w:r>
          </w:p>
        </w:tc>
        <w:tc>
          <w:tcPr>
            <w:tcW w:w="1700" w:type="dxa"/>
            <w:vAlign w:val="center"/>
          </w:tcPr>
          <w:p>
            <w:pPr>
              <w:keepNext w:val="0"/>
              <w:keepLines w:val="0"/>
              <w:widowControl/>
              <w:numPr>
                <w:ilvl w:val="0"/>
                <w:numId w:val="0"/>
              </w:numPr>
              <w:suppressLineNumbers w:val="0"/>
              <w:spacing w:before="0" w:beforeAutospacing="0" w:after="0" w:afterAutospacing="0"/>
              <w:ind w:left="0" w:right="0" w:rightChars="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桌椅类-办公桌</w:t>
            </w:r>
          </w:p>
        </w:tc>
        <w:tc>
          <w:tcPr>
            <w:tcW w:w="2175" w:type="dxa"/>
            <w:vAlign w:val="center"/>
          </w:tcPr>
          <w:p>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i w:val="0"/>
                <w:color w:val="000000"/>
                <w:kern w:val="0"/>
                <w:sz w:val="24"/>
                <w:szCs w:val="24"/>
                <w:u w:val="none"/>
                <w:lang w:val="en-US" w:eastAsia="zh-CN" w:bidi="ar"/>
              </w:rPr>
            </w:pPr>
            <w:r>
              <w:rPr>
                <w:rFonts w:hint="default"/>
                <w:szCs w:val="20"/>
              </w:rPr>
              <w:drawing>
                <wp:anchor distT="0" distB="0" distL="114300" distR="114300" simplePos="0" relativeHeight="251688960" behindDoc="0" locked="0" layoutInCell="1" allowOverlap="1">
                  <wp:simplePos x="0" y="0"/>
                  <wp:positionH relativeFrom="column">
                    <wp:posOffset>15875</wp:posOffset>
                  </wp:positionH>
                  <wp:positionV relativeFrom="paragraph">
                    <wp:posOffset>1682750</wp:posOffset>
                  </wp:positionV>
                  <wp:extent cx="1238885" cy="651510"/>
                  <wp:effectExtent l="0" t="0" r="18415" b="15240"/>
                  <wp:wrapSquare wrapText="bothSides"/>
                  <wp:docPr id="98"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2"/>
                          <pic:cNvPicPr>
                            <a:picLocks noChangeAspect="1"/>
                          </pic:cNvPicPr>
                        </pic:nvPicPr>
                        <pic:blipFill>
                          <a:blip r:embed="rId41"/>
                          <a:stretch>
                            <a:fillRect/>
                          </a:stretch>
                        </pic:blipFill>
                        <pic:spPr>
                          <a:xfrm>
                            <a:off x="0" y="0"/>
                            <a:ext cx="1238885" cy="651510"/>
                          </a:xfrm>
                          <a:prstGeom prst="rect">
                            <a:avLst/>
                          </a:prstGeom>
                          <a:noFill/>
                          <a:ln>
                            <a:noFill/>
                          </a:ln>
                        </pic:spPr>
                      </pic:pic>
                    </a:graphicData>
                  </a:graphic>
                </wp:anchor>
              </w:drawing>
            </w:r>
            <w:r>
              <w:rPr>
                <w:rFonts w:hint="eastAsia" w:ascii="仿宋" w:hAnsi="仿宋" w:eastAsia="仿宋" w:cs="仿宋"/>
                <w:i w:val="0"/>
                <w:color w:val="000000"/>
                <w:kern w:val="0"/>
                <w:sz w:val="24"/>
                <w:szCs w:val="24"/>
                <w:u w:val="none"/>
                <w:lang w:val="en-US" w:eastAsia="zh-CN" w:bidi="ar"/>
              </w:rPr>
              <w:drawing>
                <wp:anchor distT="0" distB="0" distL="114300" distR="114300" simplePos="0" relativeHeight="251681792" behindDoc="0" locked="0" layoutInCell="1" allowOverlap="1">
                  <wp:simplePos x="0" y="0"/>
                  <wp:positionH relativeFrom="column">
                    <wp:posOffset>109220</wp:posOffset>
                  </wp:positionH>
                  <wp:positionV relativeFrom="paragraph">
                    <wp:posOffset>1377950</wp:posOffset>
                  </wp:positionV>
                  <wp:extent cx="1044575" cy="691515"/>
                  <wp:effectExtent l="0" t="0" r="3175" b="13335"/>
                  <wp:wrapSquare wrapText="bothSides"/>
                  <wp:docPr id="51" name="图片_14"/>
                  <wp:cNvGraphicFramePr/>
                  <a:graphic xmlns:a="http://schemas.openxmlformats.org/drawingml/2006/main">
                    <a:graphicData uri="http://schemas.openxmlformats.org/drawingml/2006/picture">
                      <pic:pic xmlns:pic="http://schemas.openxmlformats.org/drawingml/2006/picture">
                        <pic:nvPicPr>
                          <pic:cNvPr id="51" name="图片_14"/>
                          <pic:cNvPicPr/>
                        </pic:nvPicPr>
                        <pic:blipFill>
                          <a:blip/>
                          <a:stretch>
                            <a:fillRect/>
                          </a:stretch>
                        </pic:blipFill>
                        <pic:spPr>
                          <a:xfrm>
                            <a:off x="0" y="0"/>
                            <a:ext cx="1044575" cy="691515"/>
                          </a:xfrm>
                          <a:prstGeom prst="rect">
                            <a:avLst/>
                          </a:prstGeom>
                          <a:noFill/>
                          <a:ln>
                            <a:noFill/>
                          </a:ln>
                        </pic:spPr>
                      </pic:pic>
                    </a:graphicData>
                  </a:graphic>
                </wp:anchor>
              </w:drawing>
            </w:r>
          </w:p>
        </w:tc>
        <w:tc>
          <w:tcPr>
            <w:tcW w:w="5750" w:type="dxa"/>
            <w:vAlign w:val="center"/>
          </w:tcPr>
          <w:p>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 xml:space="preserve">1.板材：采用E0级环保实木多层板。多层板检验符合GB 18580-2017《室内装饰装修材料人造板及其制品中甲醛释放限量》; GB/T 9846-2015《普通胶合板》标准，甲醛释放量(1m³气候箱法)检出限：0.001mg/m³；符合GB 6675.4-2014《玩具安全 第4部分 特定元素的迁移》及HJ 2547-2016《环境标志产品技术要求 家具》标准。未检出表示检测结果小于检出限。可迁移元素均符合国家标准。甲醛释放量≤0.08/³，总挥发性有机化合物（TVOC)释放率未检出。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2.五金配件：采用优质五金件，铰链符合QB/T 2189-2013《家具五金 杯状暗铰链》标准、垂直静载荷、水平静载荷、操作力、耐久性、下沉量、耐腐蚀。需采用优质五金配件 。导轨符合QB/T2454-2013《家具五金 抽屉导轨》标准、垂直向下静载荷、水平侧向静载荷、猛开或猛关、操作力、耐久性、下沉量、拉出安全性、耐腐蚀。三合一连接件符合GB/T 3325-2017《金属家具通用技术条件》抗盐雾达到合格</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3.封边带：需采用优质同色PVC封边条，厚度≥2.0mm，封边条符合QB/T4463-2013 《家具用封边条技术要求》GB/T17657-2013 《人造板及饰面人造板理化性能试验方法》有害物质限量、甲醛释放量符合国家标准。                                                                                               4.各项技术指标符合GB/T 3324-2017《木家具通用技术条件》规定的要求 5.优质五金脚架，钢管耐腐蚀符合要求；冲击高度400mm，应无剥落、裂纹。</w:t>
            </w:r>
          </w:p>
        </w:tc>
        <w:tc>
          <w:tcPr>
            <w:tcW w:w="2250" w:type="dxa"/>
            <w:vAlign w:val="center"/>
          </w:tcPr>
          <w:p>
            <w:pPr>
              <w:keepNext w:val="0"/>
              <w:keepLines w:val="0"/>
              <w:widowControl/>
              <w:numPr>
                <w:ilvl w:val="0"/>
                <w:numId w:val="0"/>
              </w:numPr>
              <w:suppressLineNumbers w:val="0"/>
              <w:spacing w:before="0" w:beforeAutospacing="0" w:after="0" w:afterAutospacing="0"/>
              <w:ind w:left="0" w:right="0" w:rightChars="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1600*600*750mm</w:t>
            </w:r>
          </w:p>
        </w:tc>
        <w:tc>
          <w:tcPr>
            <w:tcW w:w="775" w:type="dxa"/>
            <w:vAlign w:val="center"/>
          </w:tcPr>
          <w:p>
            <w:pPr>
              <w:keepNext w:val="0"/>
              <w:keepLines w:val="0"/>
              <w:widowControl/>
              <w:numPr>
                <w:ilvl w:val="0"/>
                <w:numId w:val="0"/>
              </w:numPr>
              <w:suppressLineNumbers w:val="0"/>
              <w:spacing w:before="0" w:beforeAutospacing="0" w:after="0" w:afterAutospacing="0"/>
              <w:ind w:left="0" w:right="0" w:rightChars="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组</w:t>
            </w:r>
          </w:p>
        </w:tc>
        <w:tc>
          <w:tcPr>
            <w:tcW w:w="1062" w:type="dxa"/>
            <w:vAlign w:val="center"/>
          </w:tcPr>
          <w:p>
            <w:pPr>
              <w:keepNext w:val="0"/>
              <w:keepLines w:val="0"/>
              <w:widowControl/>
              <w:numPr>
                <w:ilvl w:val="0"/>
                <w:numId w:val="0"/>
              </w:numPr>
              <w:suppressLineNumbers w:val="0"/>
              <w:spacing w:before="0" w:beforeAutospacing="0" w:after="0" w:afterAutospacing="0"/>
              <w:ind w:left="0" w:right="0" w:rightChars="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4" w:hRule="atLeast"/>
        </w:trPr>
        <w:tc>
          <w:tcPr>
            <w:tcW w:w="638" w:type="dxa"/>
            <w:vAlign w:val="center"/>
          </w:tcPr>
          <w:p>
            <w:pPr>
              <w:keepNext w:val="0"/>
              <w:keepLines w:val="0"/>
              <w:widowControl/>
              <w:numPr>
                <w:ilvl w:val="0"/>
                <w:numId w:val="0"/>
              </w:numPr>
              <w:suppressLineNumbers w:val="0"/>
              <w:spacing w:before="0" w:beforeAutospacing="0" w:after="0" w:afterAutospacing="0"/>
              <w:ind w:left="0" w:right="0" w:rightChars="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41</w:t>
            </w:r>
          </w:p>
        </w:tc>
        <w:tc>
          <w:tcPr>
            <w:tcW w:w="1700" w:type="dxa"/>
            <w:vAlign w:val="center"/>
          </w:tcPr>
          <w:p>
            <w:pPr>
              <w:keepNext w:val="0"/>
              <w:keepLines w:val="0"/>
              <w:widowControl/>
              <w:numPr>
                <w:ilvl w:val="0"/>
                <w:numId w:val="0"/>
              </w:numPr>
              <w:suppressLineNumbers w:val="0"/>
              <w:spacing w:before="0" w:beforeAutospacing="0" w:after="0" w:afterAutospacing="0"/>
              <w:ind w:left="0" w:right="0" w:rightChars="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班椅</w:t>
            </w:r>
          </w:p>
        </w:tc>
        <w:tc>
          <w:tcPr>
            <w:tcW w:w="2175" w:type="dxa"/>
            <w:vAlign w:val="center"/>
          </w:tcPr>
          <w:p>
            <w:pPr>
              <w:keepNext w:val="0"/>
              <w:keepLines w:val="0"/>
              <w:widowControl/>
              <w:numPr>
                <w:ilvl w:val="0"/>
                <w:numId w:val="0"/>
              </w:numPr>
              <w:suppressLineNumbers w:val="0"/>
              <w:spacing w:before="0" w:beforeAutospacing="0" w:after="0" w:afterAutospacing="0"/>
              <w:ind w:left="0" w:right="0" w:rightChars="0"/>
              <w:jc w:val="center"/>
              <w:textAlignment w:val="center"/>
              <w:rPr>
                <w:rFonts w:hint="eastAsia" w:ascii="仿宋" w:hAnsi="仿宋" w:eastAsia="仿宋" w:cs="仿宋"/>
                <w:i w:val="0"/>
                <w:color w:val="000000"/>
                <w:kern w:val="0"/>
                <w:sz w:val="24"/>
                <w:szCs w:val="24"/>
                <w:u w:val="none"/>
                <w:lang w:val="en-US" w:eastAsia="zh-CN" w:bidi="ar"/>
              </w:rPr>
            </w:pPr>
            <w:r>
              <w:rPr>
                <w:rFonts w:hint="default"/>
                <w:szCs w:val="20"/>
              </w:rPr>
              <w:drawing>
                <wp:inline distT="0" distB="0" distL="114300" distR="114300">
                  <wp:extent cx="1242695" cy="1598295"/>
                  <wp:effectExtent l="0" t="0" r="14605" b="1905"/>
                  <wp:docPr id="9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43"/>
                          <pic:cNvPicPr>
                            <a:picLocks noChangeAspect="1"/>
                          </pic:cNvPicPr>
                        </pic:nvPicPr>
                        <pic:blipFill>
                          <a:blip r:embed="rId42"/>
                          <a:stretch>
                            <a:fillRect/>
                          </a:stretch>
                        </pic:blipFill>
                        <pic:spPr>
                          <a:xfrm>
                            <a:off x="0" y="0"/>
                            <a:ext cx="1242695" cy="1598295"/>
                          </a:xfrm>
                          <a:prstGeom prst="rect">
                            <a:avLst/>
                          </a:prstGeom>
                          <a:noFill/>
                          <a:ln>
                            <a:noFill/>
                          </a:ln>
                        </pic:spPr>
                      </pic:pic>
                    </a:graphicData>
                  </a:graphic>
                </wp:inline>
              </w:drawing>
            </w:r>
          </w:p>
        </w:tc>
        <w:tc>
          <w:tcPr>
            <w:tcW w:w="5750" w:type="dxa"/>
            <w:vAlign w:val="center"/>
          </w:tcPr>
          <w:p>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 xml:space="preserve">1.面料：采用优质透气网布面料，防磨防污性好；多种颜色可选 </w:t>
            </w:r>
          </w:p>
          <w:p>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 xml:space="preserve">2.塑料：采用PP+纤维塑料，抗拉性高， 一次性成型；拉力118KG.                     </w:t>
            </w:r>
          </w:p>
          <w:p>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 xml:space="preserve">3.座棉：采用高回弹定型海绵，8cm厚度，超软，回弹力以及软硬度达到70度，密度达到45密以上，久坐也不变形，坐感舒适。                                                                         4.底盘功能：可逍遥、锁定、高低升降，厚度2.5mm。                                                 5.五星脚：全新PP+纤原料，可过880KG静压测试，承重力强。                           </w:t>
            </w:r>
          </w:p>
          <w:p>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6.静音轮。</w:t>
            </w:r>
          </w:p>
        </w:tc>
        <w:tc>
          <w:tcPr>
            <w:tcW w:w="2250" w:type="dxa"/>
            <w:vAlign w:val="center"/>
          </w:tcPr>
          <w:p>
            <w:pPr>
              <w:keepNext w:val="0"/>
              <w:keepLines w:val="0"/>
              <w:widowControl/>
              <w:numPr>
                <w:ilvl w:val="0"/>
                <w:numId w:val="0"/>
              </w:numPr>
              <w:suppressLineNumbers w:val="0"/>
              <w:spacing w:before="0" w:beforeAutospacing="0" w:after="0" w:afterAutospacing="0"/>
              <w:ind w:left="0" w:right="0" w:rightChars="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590*490*1040mm</w:t>
            </w:r>
          </w:p>
        </w:tc>
        <w:tc>
          <w:tcPr>
            <w:tcW w:w="775" w:type="dxa"/>
            <w:vAlign w:val="center"/>
          </w:tcPr>
          <w:p>
            <w:pPr>
              <w:keepNext w:val="0"/>
              <w:keepLines w:val="0"/>
              <w:widowControl/>
              <w:numPr>
                <w:ilvl w:val="0"/>
                <w:numId w:val="0"/>
              </w:numPr>
              <w:suppressLineNumbers w:val="0"/>
              <w:spacing w:before="0" w:beforeAutospacing="0" w:after="0" w:afterAutospacing="0"/>
              <w:ind w:left="0" w:right="0" w:rightChars="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把</w:t>
            </w:r>
          </w:p>
        </w:tc>
        <w:tc>
          <w:tcPr>
            <w:tcW w:w="1062" w:type="dxa"/>
            <w:vAlign w:val="center"/>
          </w:tcPr>
          <w:p>
            <w:pPr>
              <w:keepNext w:val="0"/>
              <w:keepLines w:val="0"/>
              <w:widowControl/>
              <w:numPr>
                <w:ilvl w:val="0"/>
                <w:numId w:val="0"/>
              </w:numPr>
              <w:suppressLineNumbers w:val="0"/>
              <w:spacing w:before="0" w:beforeAutospacing="0" w:after="0" w:afterAutospacing="0"/>
              <w:ind w:left="0" w:right="0" w:rightChars="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66" w:hRule="atLeast"/>
        </w:trPr>
        <w:tc>
          <w:tcPr>
            <w:tcW w:w="638" w:type="dxa"/>
            <w:vAlign w:val="center"/>
          </w:tcPr>
          <w:p>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42</w:t>
            </w:r>
          </w:p>
        </w:tc>
        <w:tc>
          <w:tcPr>
            <w:tcW w:w="1700"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班前椅</w:t>
            </w:r>
          </w:p>
        </w:tc>
        <w:tc>
          <w:tcPr>
            <w:tcW w:w="2175" w:type="dxa"/>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kern w:val="0"/>
                <w:sz w:val="24"/>
                <w:szCs w:val="24"/>
                <w:u w:val="none"/>
                <w:lang w:val="en-US" w:eastAsia="zh-CN" w:bidi="ar"/>
              </w:rPr>
            </w:pPr>
            <w:r>
              <w:rPr>
                <w:rFonts w:hint="default"/>
                <w:szCs w:val="20"/>
              </w:rPr>
              <w:drawing>
                <wp:inline distT="0" distB="0" distL="114300" distR="114300">
                  <wp:extent cx="1241425" cy="1578610"/>
                  <wp:effectExtent l="0" t="0" r="15875" b="2540"/>
                  <wp:docPr id="100"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44"/>
                          <pic:cNvPicPr>
                            <a:picLocks noChangeAspect="1"/>
                          </pic:cNvPicPr>
                        </pic:nvPicPr>
                        <pic:blipFill>
                          <a:blip r:embed="rId26"/>
                          <a:stretch>
                            <a:fillRect/>
                          </a:stretch>
                        </pic:blipFill>
                        <pic:spPr>
                          <a:xfrm>
                            <a:off x="0" y="0"/>
                            <a:ext cx="1241425" cy="1578610"/>
                          </a:xfrm>
                          <a:prstGeom prst="rect">
                            <a:avLst/>
                          </a:prstGeom>
                          <a:noFill/>
                          <a:ln>
                            <a:noFill/>
                          </a:ln>
                        </pic:spPr>
                      </pic:pic>
                    </a:graphicData>
                  </a:graphic>
                </wp:inline>
              </w:drawing>
            </w:r>
          </w:p>
        </w:tc>
        <w:tc>
          <w:tcPr>
            <w:tcW w:w="5750" w:type="dxa"/>
            <w:vAlign w:val="center"/>
          </w:tcPr>
          <w:p>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 xml:space="preserve">1.面料：采用优质透气网布面料，防磨防污性好；多种颜色可选 </w:t>
            </w:r>
          </w:p>
          <w:p>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 xml:space="preserve">2.塑料：采用PP+纤维塑料，抗拉性高， 一次性成型；拉力118KG.                      </w:t>
            </w:r>
          </w:p>
          <w:p>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3.座棉：采用高回弹定型海绵，8cm厚度，超软，回弹力以及软硬度达到70度，密度达到45密以上，久坐也不变形，坐感舒适。                                                                         4.铁架：采用2.0厚度铁管弯制而成，承重力强，表面防锈处理后喷黑细沙。</w:t>
            </w:r>
          </w:p>
        </w:tc>
        <w:tc>
          <w:tcPr>
            <w:tcW w:w="2250" w:type="dxa"/>
            <w:vAlign w:val="center"/>
          </w:tcPr>
          <w:p>
            <w:pPr>
              <w:keepNext w:val="0"/>
              <w:keepLines w:val="0"/>
              <w:widowControl/>
              <w:numPr>
                <w:ilvl w:val="0"/>
                <w:numId w:val="0"/>
              </w:numPr>
              <w:suppressLineNumbers w:val="0"/>
              <w:spacing w:before="0" w:beforeAutospacing="0" w:after="0" w:afterAutospacing="0"/>
              <w:ind w:left="0" w:right="0" w:rightChars="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590*490*960mm</w:t>
            </w:r>
          </w:p>
        </w:tc>
        <w:tc>
          <w:tcPr>
            <w:tcW w:w="775"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把</w:t>
            </w:r>
          </w:p>
        </w:tc>
        <w:tc>
          <w:tcPr>
            <w:tcW w:w="1062"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38" w:type="dxa"/>
            <w:vAlign w:val="center"/>
          </w:tcPr>
          <w:p>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43</w:t>
            </w:r>
          </w:p>
        </w:tc>
        <w:tc>
          <w:tcPr>
            <w:tcW w:w="1700"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柜类-档案柜</w:t>
            </w:r>
          </w:p>
        </w:tc>
        <w:tc>
          <w:tcPr>
            <w:tcW w:w="2175" w:type="dxa"/>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kern w:val="0"/>
                <w:sz w:val="24"/>
                <w:szCs w:val="24"/>
                <w:u w:val="none"/>
                <w:lang w:val="en-US" w:eastAsia="zh-CN" w:bidi="ar"/>
              </w:rPr>
            </w:pPr>
            <w:r>
              <w:rPr>
                <w:rFonts w:hint="default"/>
                <w:szCs w:val="20"/>
              </w:rPr>
              <w:drawing>
                <wp:inline distT="0" distB="0" distL="114300" distR="114300">
                  <wp:extent cx="1239520" cy="589915"/>
                  <wp:effectExtent l="0" t="0" r="17780" b="635"/>
                  <wp:docPr id="101"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45"/>
                          <pic:cNvPicPr>
                            <a:picLocks noChangeAspect="1"/>
                          </pic:cNvPicPr>
                        </pic:nvPicPr>
                        <pic:blipFill>
                          <a:blip r:embed="rId47"/>
                          <a:stretch>
                            <a:fillRect/>
                          </a:stretch>
                        </pic:blipFill>
                        <pic:spPr>
                          <a:xfrm>
                            <a:off x="0" y="0"/>
                            <a:ext cx="1239520" cy="589915"/>
                          </a:xfrm>
                          <a:prstGeom prst="rect">
                            <a:avLst/>
                          </a:prstGeom>
                          <a:noFill/>
                          <a:ln>
                            <a:noFill/>
                          </a:ln>
                        </pic:spPr>
                      </pic:pic>
                    </a:graphicData>
                  </a:graphic>
                </wp:inline>
              </w:drawing>
            </w:r>
          </w:p>
        </w:tc>
        <w:tc>
          <w:tcPr>
            <w:tcW w:w="5750" w:type="dxa"/>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 xml:space="preserve">1.板材：采用环保实木多层板。多层板符合GB 6675.4-2014《玩具安全 第4部分 特定元素的迁移》及HJ 2547-2016《环境标志产品技术要求 家具》标准。未检出表示检测结果小于检出限。可迁移元素均符合国家标准。甲醛释放量≤0.08/³，总挥发性有机化合物（TVOC)释放率未检出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2.五金配件：采用优质五金件，铰链符合QB/T 2189-2013《家具五金 杯状暗铰链》标准、垂直静载荷、水平静载荷、操作力、耐久性、下沉量、耐腐蚀。需采用优质五金配件。导轨符合QB/T2454-2013《家具五金抽屉导轨》标准、垂直向下静载荷、水平侧向静载荷、猛开或猛关、操作力、耐久性、下沉量、拉出安全性、耐腐蚀。三合一连接件符合GB/T 3325-2017《金属家具通用技术条件》抗盐雾达到合格</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3.封边带：需采用优质同色PVC封边条，厚度≥2.0mm，封边条符合QB/T4463-2013 《家具用封边条技术要求》GB/T17657-2013 《人造板及饰面人造板理化性能试验方法》有害物质限量、甲醛释放量符合国家标准。                                                                                               4.各项技术指标符合GB/T 3324-2017《木家具通用技术条件》规定的要求      </w:t>
            </w:r>
          </w:p>
        </w:tc>
        <w:tc>
          <w:tcPr>
            <w:tcW w:w="2250"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（尺寸：4400*2000*400mm）</w:t>
            </w:r>
          </w:p>
        </w:tc>
        <w:tc>
          <w:tcPr>
            <w:tcW w:w="775"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组</w:t>
            </w:r>
          </w:p>
        </w:tc>
        <w:tc>
          <w:tcPr>
            <w:tcW w:w="1062"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4350" w:type="dxa"/>
            <w:gridSpan w:val="7"/>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both"/>
              <w:rPr>
                <w:rFonts w:hint="eastAsia" w:ascii="仿宋" w:hAnsi="仿宋" w:eastAsia="仿宋" w:cs="仿宋"/>
                <w:sz w:val="24"/>
                <w:szCs w:val="24"/>
                <w:vertAlign w:val="baseline"/>
              </w:rPr>
            </w:pPr>
            <w:r>
              <w:rPr>
                <w:rFonts w:hint="eastAsia" w:ascii="仿宋" w:hAnsi="仿宋" w:eastAsia="仿宋" w:cs="仿宋"/>
                <w:i w:val="0"/>
                <w:color w:val="000000"/>
                <w:kern w:val="0"/>
                <w:sz w:val="24"/>
                <w:szCs w:val="24"/>
                <w:u w:val="none"/>
                <w:lang w:val="en-US" w:eastAsia="zh-CN" w:bidi="ar"/>
              </w:rPr>
              <w:t>4F-活动室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38" w:type="dxa"/>
            <w:vAlign w:val="center"/>
          </w:tcPr>
          <w:p>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44</w:t>
            </w:r>
          </w:p>
        </w:tc>
        <w:tc>
          <w:tcPr>
            <w:tcW w:w="1700" w:type="dxa"/>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柜类-储物柜</w:t>
            </w:r>
          </w:p>
        </w:tc>
        <w:tc>
          <w:tcPr>
            <w:tcW w:w="2175" w:type="dxa"/>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kern w:val="0"/>
                <w:sz w:val="24"/>
                <w:szCs w:val="24"/>
                <w:u w:val="none"/>
                <w:lang w:val="en-US" w:eastAsia="zh-CN" w:bidi="ar"/>
              </w:rPr>
            </w:pPr>
            <w:r>
              <w:rPr>
                <w:rFonts w:hint="default"/>
                <w:szCs w:val="20"/>
              </w:rPr>
              <w:drawing>
                <wp:inline distT="0" distB="0" distL="114300" distR="114300">
                  <wp:extent cx="1243330" cy="995045"/>
                  <wp:effectExtent l="0" t="0" r="13970" b="14605"/>
                  <wp:docPr id="102"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46"/>
                          <pic:cNvPicPr>
                            <a:picLocks noChangeAspect="1"/>
                          </pic:cNvPicPr>
                        </pic:nvPicPr>
                        <pic:blipFill>
                          <a:blip r:embed="rId48"/>
                          <a:stretch>
                            <a:fillRect/>
                          </a:stretch>
                        </pic:blipFill>
                        <pic:spPr>
                          <a:xfrm>
                            <a:off x="0" y="0"/>
                            <a:ext cx="1243330" cy="995045"/>
                          </a:xfrm>
                          <a:prstGeom prst="rect">
                            <a:avLst/>
                          </a:prstGeom>
                          <a:noFill/>
                          <a:ln>
                            <a:noFill/>
                          </a:ln>
                        </pic:spPr>
                      </pic:pic>
                    </a:graphicData>
                  </a:graphic>
                </wp:inline>
              </w:drawing>
            </w:r>
          </w:p>
        </w:tc>
        <w:tc>
          <w:tcPr>
            <w:tcW w:w="5750" w:type="dxa"/>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 xml:space="preserve">1.板材：采用环保实木多层板。多层板符合GB 6675.4-2014《玩具安全 第4部分 特定元素的迁移》及HJ 2547-2016《环境标志产品技术要求 家具》标准。未检出表示检测结果小于检出限。可迁移元素均符合国家标准。甲醛释放量≤0.08/³，总挥发性有机化合物（TVOC)释放率未检出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2.五金配件：采用优质五金件，铰链符合QB/T 2189-2013《家具五金 杯状暗铰链》标准、垂直静载荷、水平静载荷、操作力、耐久性、下沉量、耐腐蚀。需采用优质五金配件 。导轨符合QB/T2454-2013《家具五金 抽屉导轨》标准、垂直向下静载荷、水平侧向静载荷、猛开或猛关、操作力、耐久性、下沉量、拉出安全性、耐腐蚀。三合一连接件符合GB/T 3325-2017《金属家具通用技术条件》抗盐雾达到合格</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3.封边带：需采用优质同色PVC封边条，厚度≥2.0mm，封边条符合QB/T4463-2013 《家具用封边条技术要求》GB/T17657-2013 《人造板及饰面人造板理化性能试验方法》有害物质限量、甲醛释放量符合国家标准。                                                                                               4.各项技术指标符合GB/T 3324-2017《木家具通用技术条件》规定的要求      </w:t>
            </w:r>
          </w:p>
        </w:tc>
        <w:tc>
          <w:tcPr>
            <w:tcW w:w="2250"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（尺寸：1200*860*240mm）</w:t>
            </w:r>
          </w:p>
        </w:tc>
        <w:tc>
          <w:tcPr>
            <w:tcW w:w="775"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项</w:t>
            </w:r>
          </w:p>
        </w:tc>
        <w:tc>
          <w:tcPr>
            <w:tcW w:w="1062"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8" w:hRule="atLeast"/>
        </w:trPr>
        <w:tc>
          <w:tcPr>
            <w:tcW w:w="14350" w:type="dxa"/>
            <w:gridSpan w:val="7"/>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both"/>
              <w:rPr>
                <w:rFonts w:hint="eastAsia" w:ascii="仿宋" w:hAnsi="仿宋" w:eastAsia="仿宋" w:cs="仿宋"/>
                <w:sz w:val="24"/>
                <w:szCs w:val="24"/>
                <w:vertAlign w:val="baseline"/>
              </w:rPr>
            </w:pPr>
            <w:r>
              <w:rPr>
                <w:rFonts w:hint="eastAsia" w:ascii="仿宋" w:hAnsi="仿宋" w:eastAsia="仿宋" w:cs="仿宋"/>
                <w:sz w:val="24"/>
                <w:szCs w:val="24"/>
                <w:vertAlign w:val="baseline"/>
              </w:rPr>
              <w:t>4F-健身房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3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45</w:t>
            </w:r>
          </w:p>
        </w:tc>
        <w:tc>
          <w:tcPr>
            <w:tcW w:w="1700" w:type="dxa"/>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柜类-储物柜</w:t>
            </w:r>
          </w:p>
        </w:tc>
        <w:tc>
          <w:tcPr>
            <w:tcW w:w="2175" w:type="dxa"/>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kern w:val="0"/>
                <w:sz w:val="24"/>
                <w:szCs w:val="24"/>
                <w:u w:val="none"/>
                <w:lang w:val="en-US" w:eastAsia="zh-CN" w:bidi="ar"/>
              </w:rPr>
            </w:pPr>
            <w:r>
              <w:rPr>
                <w:rFonts w:hint="default"/>
                <w:szCs w:val="20"/>
              </w:rPr>
              <w:drawing>
                <wp:inline distT="0" distB="0" distL="114300" distR="114300">
                  <wp:extent cx="1240155" cy="850900"/>
                  <wp:effectExtent l="0" t="0" r="17145" b="6350"/>
                  <wp:docPr id="103"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47"/>
                          <pic:cNvPicPr>
                            <a:picLocks noChangeAspect="1"/>
                          </pic:cNvPicPr>
                        </pic:nvPicPr>
                        <pic:blipFill>
                          <a:blip r:embed="rId49"/>
                          <a:stretch>
                            <a:fillRect/>
                          </a:stretch>
                        </pic:blipFill>
                        <pic:spPr>
                          <a:xfrm>
                            <a:off x="0" y="0"/>
                            <a:ext cx="1240155" cy="850900"/>
                          </a:xfrm>
                          <a:prstGeom prst="rect">
                            <a:avLst/>
                          </a:prstGeom>
                          <a:noFill/>
                          <a:ln>
                            <a:noFill/>
                          </a:ln>
                        </pic:spPr>
                      </pic:pic>
                    </a:graphicData>
                  </a:graphic>
                </wp:inline>
              </w:drawing>
            </w:r>
          </w:p>
        </w:tc>
        <w:tc>
          <w:tcPr>
            <w:tcW w:w="5750" w:type="dxa"/>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1.板材：采用环保实木多层板。多层板符合GB 6675.4-2014《玩具安全 第4部分 特定元素的迁移》及HJ 2547-2016《环境标志产品技术要求 家具》标准。未检出表示检测结果小于检出限。可迁移元素均</w:t>
            </w:r>
            <w:r>
              <w:rPr>
                <w:rFonts w:hint="eastAsia" w:ascii="仿宋" w:hAnsi="仿宋" w:eastAsia="仿宋" w:cs="仿宋"/>
                <w:i w:val="0"/>
                <w:color w:val="000000"/>
                <w:kern w:val="0"/>
                <w:sz w:val="24"/>
                <w:szCs w:val="24"/>
                <w:u w:val="none"/>
                <w:lang w:val="en-US" w:eastAsia="zh-CN" w:bidi="ar"/>
              </w:rPr>
              <w:drawing>
                <wp:anchor distT="0" distB="0" distL="114300" distR="114300" simplePos="0" relativeHeight="251676672" behindDoc="0" locked="0" layoutInCell="1" allowOverlap="1">
                  <wp:simplePos x="0" y="0"/>
                  <wp:positionH relativeFrom="column">
                    <wp:posOffset>-1290955</wp:posOffset>
                  </wp:positionH>
                  <wp:positionV relativeFrom="paragraph">
                    <wp:posOffset>947420</wp:posOffset>
                  </wp:positionV>
                  <wp:extent cx="1210310" cy="868680"/>
                  <wp:effectExtent l="0" t="0" r="8890" b="7620"/>
                  <wp:wrapNone/>
                  <wp:docPr id="27" name="图片_53"/>
                  <wp:cNvGraphicFramePr/>
                  <a:graphic xmlns:a="http://schemas.openxmlformats.org/drawingml/2006/main">
                    <a:graphicData uri="http://schemas.openxmlformats.org/drawingml/2006/picture">
                      <pic:pic xmlns:pic="http://schemas.openxmlformats.org/drawingml/2006/picture">
                        <pic:nvPicPr>
                          <pic:cNvPr id="27" name="图片_53"/>
                          <pic:cNvPicPr/>
                        </pic:nvPicPr>
                        <pic:blipFill>
                          <a:blip/>
                          <a:stretch>
                            <a:fillRect/>
                          </a:stretch>
                        </pic:blipFill>
                        <pic:spPr>
                          <a:xfrm>
                            <a:off x="0" y="0"/>
                            <a:ext cx="1210310" cy="868680"/>
                          </a:xfrm>
                          <a:prstGeom prst="rect">
                            <a:avLst/>
                          </a:prstGeom>
                          <a:noFill/>
                          <a:ln>
                            <a:noFill/>
                          </a:ln>
                        </pic:spPr>
                      </pic:pic>
                    </a:graphicData>
                  </a:graphic>
                </wp:anchor>
              </w:drawing>
            </w:r>
            <w:r>
              <w:rPr>
                <w:rFonts w:hint="eastAsia" w:ascii="仿宋" w:hAnsi="仿宋" w:eastAsia="仿宋" w:cs="仿宋"/>
                <w:i w:val="0"/>
                <w:color w:val="000000"/>
                <w:kern w:val="0"/>
                <w:sz w:val="24"/>
                <w:szCs w:val="24"/>
                <w:u w:val="none"/>
                <w:lang w:val="en-US" w:eastAsia="zh-CN" w:bidi="ar"/>
              </w:rPr>
              <w:t xml:space="preserve">符合国家标准。甲醛释放量≤0.08/³，总挥发性有机化合物（TVOC)释放率未检出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2.五金配件：采用优质五金件，铰链符合QB/T 189-2013《家具五金 杯状暗铰链》标准、垂直静载荷、水平静载荷、操作力、耐久性、下沉量、耐腐蚀。需采用优质五金配件。导轨符合QB/T2454-2013《家具五金 抽屉导轨》标准、垂直向下静载荷、水平侧向静载荷、猛开或猛关、操作力、耐久性、下沉量、拉出安全性、耐腐蚀。三合一连接件符合GB/T 3325-2017《金属家具通用技术条件》抗盐雾达到合格</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3.封边带：需采用优质同色PVC封边条，厚度≥2.0mm，封边条符合QB/T4463-2013 《家具用封边条技术要求》GB/T17657-2013 《人造板及饰面人造板理化性能试验方法》有害物质限量、甲醛释放量符合国家标准。                                                                                               4.各项技术指标符合GB/T 3324-2017《木家具通用技术条件》规定的要求      </w:t>
            </w:r>
          </w:p>
        </w:tc>
        <w:tc>
          <w:tcPr>
            <w:tcW w:w="2250"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（尺寸：3000*2000*400mm）</w:t>
            </w:r>
          </w:p>
        </w:tc>
        <w:tc>
          <w:tcPr>
            <w:tcW w:w="775"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组</w:t>
            </w:r>
          </w:p>
        </w:tc>
        <w:tc>
          <w:tcPr>
            <w:tcW w:w="1062"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28" w:hRule="atLeast"/>
        </w:trPr>
        <w:tc>
          <w:tcPr>
            <w:tcW w:w="63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46</w:t>
            </w:r>
          </w:p>
        </w:tc>
        <w:tc>
          <w:tcPr>
            <w:tcW w:w="1700"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更衣柜</w:t>
            </w:r>
          </w:p>
        </w:tc>
        <w:tc>
          <w:tcPr>
            <w:tcW w:w="2175" w:type="dxa"/>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kern w:val="0"/>
                <w:sz w:val="24"/>
                <w:szCs w:val="24"/>
                <w:u w:val="none"/>
                <w:lang w:val="en-US" w:eastAsia="zh-CN" w:bidi="ar"/>
              </w:rPr>
            </w:pPr>
            <w:r>
              <w:rPr>
                <w:rFonts w:hint="default"/>
                <w:szCs w:val="20"/>
              </w:rPr>
              <w:drawing>
                <wp:anchor distT="0" distB="0" distL="114300" distR="114300" simplePos="0" relativeHeight="251701248" behindDoc="0" locked="0" layoutInCell="1" allowOverlap="1">
                  <wp:simplePos x="0" y="0"/>
                  <wp:positionH relativeFrom="column">
                    <wp:posOffset>24130</wp:posOffset>
                  </wp:positionH>
                  <wp:positionV relativeFrom="paragraph">
                    <wp:posOffset>1642745</wp:posOffset>
                  </wp:positionV>
                  <wp:extent cx="1243330" cy="662305"/>
                  <wp:effectExtent l="0" t="0" r="13970" b="4445"/>
                  <wp:wrapSquare wrapText="bothSides"/>
                  <wp:docPr id="104"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48"/>
                          <pic:cNvPicPr>
                            <a:picLocks noChangeAspect="1"/>
                          </pic:cNvPicPr>
                        </pic:nvPicPr>
                        <pic:blipFill>
                          <a:blip r:embed="rId50"/>
                          <a:stretch>
                            <a:fillRect/>
                          </a:stretch>
                        </pic:blipFill>
                        <pic:spPr>
                          <a:xfrm>
                            <a:off x="0" y="0"/>
                            <a:ext cx="1243330" cy="662305"/>
                          </a:xfrm>
                          <a:prstGeom prst="rect">
                            <a:avLst/>
                          </a:prstGeom>
                          <a:noFill/>
                          <a:ln>
                            <a:noFill/>
                          </a:ln>
                        </pic:spPr>
                      </pic:pic>
                    </a:graphicData>
                  </a:graphic>
                </wp:anchor>
              </w:drawing>
            </w:r>
            <w:r>
              <w:rPr>
                <w:rFonts w:hint="eastAsia" w:ascii="仿宋" w:hAnsi="仿宋" w:eastAsia="仿宋" w:cs="仿宋"/>
                <w:i w:val="0"/>
                <w:color w:val="000000"/>
                <w:kern w:val="0"/>
                <w:sz w:val="24"/>
                <w:szCs w:val="24"/>
                <w:u w:val="none"/>
                <w:lang w:val="en-US" w:eastAsia="zh-CN" w:bidi="ar"/>
              </w:rPr>
              <w:drawing>
                <wp:anchor distT="0" distB="0" distL="114300" distR="114300" simplePos="0" relativeHeight="251677696" behindDoc="0" locked="0" layoutInCell="1" allowOverlap="1">
                  <wp:simplePos x="0" y="0"/>
                  <wp:positionH relativeFrom="column">
                    <wp:posOffset>5080</wp:posOffset>
                  </wp:positionH>
                  <wp:positionV relativeFrom="paragraph">
                    <wp:posOffset>1621790</wp:posOffset>
                  </wp:positionV>
                  <wp:extent cx="1223645" cy="680720"/>
                  <wp:effectExtent l="0" t="0" r="14605" b="5080"/>
                  <wp:wrapNone/>
                  <wp:docPr id="28" name="图片_54"/>
                  <wp:cNvGraphicFramePr/>
                  <a:graphic xmlns:a="http://schemas.openxmlformats.org/drawingml/2006/main">
                    <a:graphicData uri="http://schemas.openxmlformats.org/drawingml/2006/picture">
                      <pic:pic xmlns:pic="http://schemas.openxmlformats.org/drawingml/2006/picture">
                        <pic:nvPicPr>
                          <pic:cNvPr id="28" name="图片_54"/>
                          <pic:cNvPicPr/>
                        </pic:nvPicPr>
                        <pic:blipFill>
                          <a:blip/>
                          <a:stretch>
                            <a:fillRect/>
                          </a:stretch>
                        </pic:blipFill>
                        <pic:spPr>
                          <a:xfrm>
                            <a:off x="0" y="0"/>
                            <a:ext cx="1223645" cy="680720"/>
                          </a:xfrm>
                          <a:prstGeom prst="rect">
                            <a:avLst/>
                          </a:prstGeom>
                          <a:noFill/>
                          <a:ln>
                            <a:noFill/>
                          </a:ln>
                        </pic:spPr>
                      </pic:pic>
                    </a:graphicData>
                  </a:graphic>
                </wp:anchor>
              </w:drawing>
            </w:r>
          </w:p>
        </w:tc>
        <w:tc>
          <w:tcPr>
            <w:tcW w:w="5750" w:type="dxa"/>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 xml:space="preserve">1.板材：采用环保实木多层板。多层板符合GB 6675.4-2014《玩具安全 第4部分 特定元素的迁移》及HJ 2547-2016《环境标志产品技术要求 家具》标准。未检出表示检测结果小于检出限。可迁移元素均符合国家标准。甲醛释放量≤0.08/³，总挥发性有机化合物（TVOC)释放率未检出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2.五金配件：采用优质五金件，铰链符合QB/T 2189-2013《家具五金 杯状暗铰链》标准、垂直静载荷、水平静载荷、操作力、耐久性、下沉量、耐腐蚀。需采用优质五金配件 。导轨符合QB/T2454-2013《家具五金 抽屉导轨》标准、垂直向下静载荷、水平侧向静载荷、猛开或猛关、操作力、耐久性、下沉量、拉出安全性、耐腐蚀。三合一连接件符合GB/T 3325-2017《金属家具通用技术条件》抗盐雾达到合格</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3.封边带：需采用优质同色PVC封边条，厚度≥2.0mm，封边条符合QB/T4463-2013 《家具用封边条技术要求》GB/T17657-2013 《人造板及饰面人造板理化性能试验方法》有害物质限量、甲醛释放量符合国家标准。                                                                                               4.各项技术指标符合GB/T 3324-2017《木家具通用技术条件》规定的要求      </w:t>
            </w:r>
          </w:p>
        </w:tc>
        <w:tc>
          <w:tcPr>
            <w:tcW w:w="2250"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（尺寸：8000*1900*400mm）</w:t>
            </w:r>
          </w:p>
        </w:tc>
        <w:tc>
          <w:tcPr>
            <w:tcW w:w="775"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组</w:t>
            </w:r>
          </w:p>
        </w:tc>
        <w:tc>
          <w:tcPr>
            <w:tcW w:w="1062"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8" w:hRule="atLeast"/>
        </w:trPr>
        <w:tc>
          <w:tcPr>
            <w:tcW w:w="63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47</w:t>
            </w:r>
          </w:p>
        </w:tc>
        <w:tc>
          <w:tcPr>
            <w:tcW w:w="1700"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更衣凳</w:t>
            </w:r>
          </w:p>
        </w:tc>
        <w:tc>
          <w:tcPr>
            <w:tcW w:w="2175" w:type="dxa"/>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kern w:val="0"/>
                <w:sz w:val="24"/>
                <w:szCs w:val="24"/>
                <w:u w:val="none"/>
                <w:lang w:val="en-US" w:eastAsia="zh-CN" w:bidi="ar"/>
              </w:rPr>
            </w:pPr>
            <w:r>
              <w:rPr>
                <w:rFonts w:hint="default"/>
                <w:szCs w:val="20"/>
              </w:rPr>
              <w:drawing>
                <wp:inline distT="0" distB="0" distL="114300" distR="114300">
                  <wp:extent cx="1240155" cy="662305"/>
                  <wp:effectExtent l="0" t="0" r="17145" b="4445"/>
                  <wp:docPr id="105"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49"/>
                          <pic:cNvPicPr>
                            <a:picLocks noChangeAspect="1"/>
                          </pic:cNvPicPr>
                        </pic:nvPicPr>
                        <pic:blipFill>
                          <a:blip r:embed="rId51"/>
                          <a:stretch>
                            <a:fillRect/>
                          </a:stretch>
                        </pic:blipFill>
                        <pic:spPr>
                          <a:xfrm>
                            <a:off x="0" y="0"/>
                            <a:ext cx="1240155" cy="662305"/>
                          </a:xfrm>
                          <a:prstGeom prst="rect">
                            <a:avLst/>
                          </a:prstGeom>
                          <a:noFill/>
                          <a:ln>
                            <a:noFill/>
                          </a:ln>
                        </pic:spPr>
                      </pic:pic>
                    </a:graphicData>
                  </a:graphic>
                </wp:inline>
              </w:drawing>
            </w:r>
          </w:p>
        </w:tc>
        <w:tc>
          <w:tcPr>
            <w:tcW w:w="5750" w:type="dxa"/>
            <w:vAlign w:val="center"/>
          </w:tcPr>
          <w:p>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1.采用加粗加厚钢架，质地坚硬不易变形，不易生锈防腐蚀，承重力强；</w:t>
            </w:r>
          </w:p>
          <w:p>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2凳面采用优质西皮触感舒服 耐摩擦</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3.海绵：采用发泡高密度高回弹优质海绵，软硬适中，回弹性能好</w:t>
            </w:r>
          </w:p>
        </w:tc>
        <w:tc>
          <w:tcPr>
            <w:tcW w:w="2250"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（尺寸1500*350*450mm）</w:t>
            </w:r>
          </w:p>
        </w:tc>
        <w:tc>
          <w:tcPr>
            <w:tcW w:w="775"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组</w:t>
            </w:r>
          </w:p>
        </w:tc>
        <w:tc>
          <w:tcPr>
            <w:tcW w:w="1062"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05" w:hRule="atLeast"/>
        </w:trPr>
        <w:tc>
          <w:tcPr>
            <w:tcW w:w="63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48</w:t>
            </w:r>
          </w:p>
        </w:tc>
        <w:tc>
          <w:tcPr>
            <w:tcW w:w="1700"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靠窗长条形座位</w:t>
            </w:r>
          </w:p>
        </w:tc>
        <w:tc>
          <w:tcPr>
            <w:tcW w:w="2175" w:type="dxa"/>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kern w:val="0"/>
                <w:sz w:val="24"/>
                <w:szCs w:val="24"/>
                <w:u w:val="none"/>
                <w:lang w:val="en-US" w:eastAsia="zh-CN" w:bidi="ar"/>
              </w:rPr>
            </w:pPr>
            <w:r>
              <w:rPr>
                <w:rFonts w:hint="default"/>
                <w:szCs w:val="20"/>
              </w:rPr>
              <w:drawing>
                <wp:anchor distT="0" distB="0" distL="114300" distR="114300" simplePos="0" relativeHeight="251689984" behindDoc="0" locked="0" layoutInCell="1" allowOverlap="1">
                  <wp:simplePos x="0" y="0"/>
                  <wp:positionH relativeFrom="column">
                    <wp:posOffset>0</wp:posOffset>
                  </wp:positionH>
                  <wp:positionV relativeFrom="paragraph">
                    <wp:posOffset>1635125</wp:posOffset>
                  </wp:positionV>
                  <wp:extent cx="1240155" cy="834390"/>
                  <wp:effectExtent l="0" t="0" r="17145" b="3810"/>
                  <wp:wrapSquare wrapText="bothSides"/>
                  <wp:docPr id="106"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50"/>
                          <pic:cNvPicPr>
                            <a:picLocks noChangeAspect="1"/>
                          </pic:cNvPicPr>
                        </pic:nvPicPr>
                        <pic:blipFill>
                          <a:blip r:embed="rId52"/>
                          <a:stretch>
                            <a:fillRect/>
                          </a:stretch>
                        </pic:blipFill>
                        <pic:spPr>
                          <a:xfrm>
                            <a:off x="0" y="0"/>
                            <a:ext cx="1240155" cy="834390"/>
                          </a:xfrm>
                          <a:prstGeom prst="rect">
                            <a:avLst/>
                          </a:prstGeom>
                          <a:noFill/>
                          <a:ln>
                            <a:noFill/>
                          </a:ln>
                        </pic:spPr>
                      </pic:pic>
                    </a:graphicData>
                  </a:graphic>
                </wp:anchor>
              </w:drawing>
            </w:r>
            <w:r>
              <w:rPr>
                <w:rFonts w:hint="eastAsia" w:ascii="仿宋" w:hAnsi="仿宋" w:eastAsia="仿宋" w:cs="仿宋"/>
                <w:i w:val="0"/>
                <w:color w:val="000000"/>
                <w:kern w:val="0"/>
                <w:sz w:val="24"/>
                <w:szCs w:val="24"/>
                <w:u w:val="none"/>
                <w:lang w:val="en-US" w:eastAsia="zh-CN" w:bidi="ar"/>
              </w:rPr>
              <w:drawing>
                <wp:anchor distT="0" distB="0" distL="114300" distR="114300" simplePos="0" relativeHeight="251678720" behindDoc="0" locked="0" layoutInCell="1" allowOverlap="1">
                  <wp:simplePos x="0" y="0"/>
                  <wp:positionH relativeFrom="column">
                    <wp:posOffset>29210</wp:posOffset>
                  </wp:positionH>
                  <wp:positionV relativeFrom="paragraph">
                    <wp:posOffset>1577975</wp:posOffset>
                  </wp:positionV>
                  <wp:extent cx="1212215" cy="704850"/>
                  <wp:effectExtent l="0" t="0" r="6985" b="0"/>
                  <wp:wrapNone/>
                  <wp:docPr id="34" name="图片_56"/>
                  <wp:cNvGraphicFramePr/>
                  <a:graphic xmlns:a="http://schemas.openxmlformats.org/drawingml/2006/main">
                    <a:graphicData uri="http://schemas.openxmlformats.org/drawingml/2006/picture">
                      <pic:pic xmlns:pic="http://schemas.openxmlformats.org/drawingml/2006/picture">
                        <pic:nvPicPr>
                          <pic:cNvPr id="34" name="图片_56"/>
                          <pic:cNvPicPr/>
                        </pic:nvPicPr>
                        <pic:blipFill>
                          <a:blip/>
                          <a:stretch>
                            <a:fillRect/>
                          </a:stretch>
                        </pic:blipFill>
                        <pic:spPr>
                          <a:xfrm>
                            <a:off x="0" y="0"/>
                            <a:ext cx="1212215" cy="704850"/>
                          </a:xfrm>
                          <a:prstGeom prst="rect">
                            <a:avLst/>
                          </a:prstGeom>
                          <a:noFill/>
                          <a:ln>
                            <a:noFill/>
                          </a:ln>
                        </pic:spPr>
                      </pic:pic>
                    </a:graphicData>
                  </a:graphic>
                </wp:anchor>
              </w:drawing>
            </w:r>
          </w:p>
        </w:tc>
        <w:tc>
          <w:tcPr>
            <w:tcW w:w="5750" w:type="dxa"/>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 xml:space="preserve">1.板材：采用环保实木多层板。多层板符合GB 6675.4-2014《玩具安全 第4部分 特定元素的迁移》及HJ 2547-2016《环境标志产品技术要求 家具》标准。未检出表示检测结果小于检出限。可迁移元素均符合国家标准。甲醛释放量≤0.08/³，总挥发性有机化合物（TVOC)释放率未检出                                                                    </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2.五金配件：采用优质五金件，铰链符合QB/T 2189-2013《家具五金 杯状暗铰链》标准、垂直静载荷、水平静载荷、操作力、耐久性、下沉量、耐腐蚀。需采用优质五金配件。导轨符合QB/T2454-2013《家具五金 抽屉导轨》标准、垂直向下静载荷、水平侧向静载荷、猛开或猛关、操作力、耐久性、下沉量、拉出安全性、耐腐蚀。三合一连接件符合GB/T 3325-2017《金属家具通用技术条件》抗盐雾达到合格</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3.封边带：需采用优质同色PVC封边条，厚度≥2.0mm，封边条符合QB/T4463-2013 《家具用封边条技术要求》GB/T17657-2013 《人造板及饰面人造板理化性能试验方法》有害物质限量、甲醛释放量符合国家标准。                                                                                               4.各项技术指标符合GB/T 3324-2017《木家具通用技术条件》规定的要求      </w:t>
            </w:r>
          </w:p>
        </w:tc>
        <w:tc>
          <w:tcPr>
            <w:tcW w:w="2250"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（总长7400*500*400mm）</w:t>
            </w:r>
          </w:p>
        </w:tc>
        <w:tc>
          <w:tcPr>
            <w:tcW w:w="775"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项</w:t>
            </w:r>
          </w:p>
        </w:tc>
        <w:tc>
          <w:tcPr>
            <w:tcW w:w="1062"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8" w:hRule="atLeast"/>
        </w:trPr>
        <w:tc>
          <w:tcPr>
            <w:tcW w:w="14350" w:type="dxa"/>
            <w:gridSpan w:val="7"/>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both"/>
              <w:rPr>
                <w:rFonts w:hint="eastAsia" w:ascii="仿宋" w:hAnsi="仿宋" w:eastAsia="仿宋" w:cs="仿宋"/>
                <w:sz w:val="24"/>
                <w:szCs w:val="24"/>
                <w:vertAlign w:val="baseline"/>
              </w:rPr>
            </w:pPr>
            <w:r>
              <w:rPr>
                <w:rFonts w:hint="eastAsia" w:ascii="仿宋" w:hAnsi="仿宋" w:eastAsia="仿宋" w:cs="仿宋"/>
                <w:sz w:val="24"/>
                <w:szCs w:val="24"/>
                <w:vertAlign w:val="baseline"/>
              </w:rPr>
              <w:t>4F-书画室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7" w:hRule="atLeast"/>
        </w:trPr>
        <w:tc>
          <w:tcPr>
            <w:tcW w:w="63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49</w:t>
            </w:r>
          </w:p>
        </w:tc>
        <w:tc>
          <w:tcPr>
            <w:tcW w:w="1700"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书画桌椅</w:t>
            </w:r>
          </w:p>
        </w:tc>
        <w:tc>
          <w:tcPr>
            <w:tcW w:w="2175" w:type="dxa"/>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kern w:val="0"/>
                <w:sz w:val="24"/>
                <w:szCs w:val="24"/>
                <w:u w:val="none"/>
                <w:lang w:val="en-US" w:eastAsia="zh-CN" w:bidi="ar"/>
              </w:rPr>
            </w:pPr>
            <w:r>
              <w:rPr>
                <w:rFonts w:hint="default"/>
                <w:szCs w:val="20"/>
              </w:rPr>
              <w:drawing>
                <wp:inline distT="0" distB="0" distL="114300" distR="114300">
                  <wp:extent cx="1242695" cy="913765"/>
                  <wp:effectExtent l="0" t="0" r="14605" b="635"/>
                  <wp:docPr id="107"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51"/>
                          <pic:cNvPicPr>
                            <a:picLocks noChangeAspect="1"/>
                          </pic:cNvPicPr>
                        </pic:nvPicPr>
                        <pic:blipFill>
                          <a:blip r:embed="rId53"/>
                          <a:stretch>
                            <a:fillRect/>
                          </a:stretch>
                        </pic:blipFill>
                        <pic:spPr>
                          <a:xfrm>
                            <a:off x="0" y="0"/>
                            <a:ext cx="1242695" cy="913765"/>
                          </a:xfrm>
                          <a:prstGeom prst="rect">
                            <a:avLst/>
                          </a:prstGeom>
                          <a:noFill/>
                          <a:ln>
                            <a:noFill/>
                          </a:ln>
                        </pic:spPr>
                      </pic:pic>
                    </a:graphicData>
                  </a:graphic>
                </wp:inline>
              </w:drawing>
            </w:r>
          </w:p>
        </w:tc>
        <w:tc>
          <w:tcPr>
            <w:tcW w:w="5750" w:type="dxa"/>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基材：天然实木。                                       油漆：采用优质水性油漆，检测标准GB18581-2020《木器涂料中有害物质限量》引用先进UV生产线，采用“五底三面”油漆工艺制作。 面漆达到色泽美观、不变色、光滑耐磨、手感好。                                                                                                   五金：五金配件采用：品牌五金。</w:t>
            </w:r>
          </w:p>
        </w:tc>
        <w:tc>
          <w:tcPr>
            <w:tcW w:w="2250"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（尺寸：1400*650*700mm）</w:t>
            </w:r>
          </w:p>
        </w:tc>
        <w:tc>
          <w:tcPr>
            <w:tcW w:w="775"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组</w:t>
            </w:r>
          </w:p>
        </w:tc>
        <w:tc>
          <w:tcPr>
            <w:tcW w:w="1062"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82" w:hRule="atLeast"/>
        </w:trPr>
        <w:tc>
          <w:tcPr>
            <w:tcW w:w="63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50</w:t>
            </w:r>
          </w:p>
        </w:tc>
        <w:tc>
          <w:tcPr>
            <w:tcW w:w="1700"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博古架</w:t>
            </w:r>
          </w:p>
        </w:tc>
        <w:tc>
          <w:tcPr>
            <w:tcW w:w="2175" w:type="dxa"/>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kern w:val="0"/>
                <w:sz w:val="24"/>
                <w:szCs w:val="24"/>
                <w:u w:val="none"/>
                <w:lang w:val="en-US" w:eastAsia="zh-CN" w:bidi="ar"/>
              </w:rPr>
            </w:pPr>
            <w:r>
              <w:rPr>
                <w:rFonts w:hint="default"/>
                <w:szCs w:val="20"/>
              </w:rPr>
              <w:drawing>
                <wp:inline distT="0" distB="0" distL="114300" distR="114300">
                  <wp:extent cx="1239520" cy="704215"/>
                  <wp:effectExtent l="0" t="0" r="17780" b="635"/>
                  <wp:docPr id="108"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52"/>
                          <pic:cNvPicPr>
                            <a:picLocks noChangeAspect="1"/>
                          </pic:cNvPicPr>
                        </pic:nvPicPr>
                        <pic:blipFill>
                          <a:blip r:embed="rId54"/>
                          <a:stretch>
                            <a:fillRect/>
                          </a:stretch>
                        </pic:blipFill>
                        <pic:spPr>
                          <a:xfrm>
                            <a:off x="0" y="0"/>
                            <a:ext cx="1239520" cy="704215"/>
                          </a:xfrm>
                          <a:prstGeom prst="rect">
                            <a:avLst/>
                          </a:prstGeom>
                          <a:noFill/>
                          <a:ln>
                            <a:noFill/>
                          </a:ln>
                        </pic:spPr>
                      </pic:pic>
                    </a:graphicData>
                  </a:graphic>
                </wp:inline>
              </w:drawing>
            </w:r>
          </w:p>
        </w:tc>
        <w:tc>
          <w:tcPr>
            <w:tcW w:w="5750" w:type="dxa"/>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 xml:space="preserve">油漆：采用优质水性油漆，VOC含量检出限: 2g/L；甲醛含量检出限: 5mg/ kg；重金属检出限(mg/ kg) : 镉(0.014) , 铬(0.087) , 汞(0.004)。检测标准GB18581-2020《木器涂料中有害物质限量》引用先进UV生产线，甲醛含量≤100mg/Kg,挥发性有机化合物及可溶性重金属含量符合国家标准。采用“五底三面”油漆工艺制作。     </w:t>
            </w:r>
          </w:p>
        </w:tc>
        <w:tc>
          <w:tcPr>
            <w:tcW w:w="2250"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（尺寸：1800*1200*300mm）</w:t>
            </w:r>
          </w:p>
        </w:tc>
        <w:tc>
          <w:tcPr>
            <w:tcW w:w="775"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组</w:t>
            </w:r>
          </w:p>
        </w:tc>
        <w:tc>
          <w:tcPr>
            <w:tcW w:w="1062"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7" w:hRule="atLeast"/>
        </w:trPr>
        <w:tc>
          <w:tcPr>
            <w:tcW w:w="63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51</w:t>
            </w:r>
          </w:p>
        </w:tc>
        <w:tc>
          <w:tcPr>
            <w:tcW w:w="1700"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条案</w:t>
            </w:r>
          </w:p>
        </w:tc>
        <w:tc>
          <w:tcPr>
            <w:tcW w:w="2175" w:type="dxa"/>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kern w:val="0"/>
                <w:sz w:val="24"/>
                <w:szCs w:val="24"/>
                <w:u w:val="none"/>
                <w:lang w:val="en-US" w:eastAsia="zh-CN" w:bidi="ar"/>
              </w:rPr>
            </w:pPr>
            <w:r>
              <w:rPr>
                <w:rFonts w:hint="default"/>
                <w:szCs w:val="20"/>
              </w:rPr>
              <w:drawing>
                <wp:inline distT="0" distB="0" distL="114300" distR="114300">
                  <wp:extent cx="1242695" cy="1109980"/>
                  <wp:effectExtent l="0" t="0" r="14605" b="13970"/>
                  <wp:docPr id="109"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53"/>
                          <pic:cNvPicPr>
                            <a:picLocks noChangeAspect="1"/>
                          </pic:cNvPicPr>
                        </pic:nvPicPr>
                        <pic:blipFill>
                          <a:blip r:embed="rId55"/>
                          <a:stretch>
                            <a:fillRect/>
                          </a:stretch>
                        </pic:blipFill>
                        <pic:spPr>
                          <a:xfrm>
                            <a:off x="0" y="0"/>
                            <a:ext cx="1242695" cy="1109980"/>
                          </a:xfrm>
                          <a:prstGeom prst="rect">
                            <a:avLst/>
                          </a:prstGeom>
                          <a:noFill/>
                          <a:ln>
                            <a:noFill/>
                          </a:ln>
                        </pic:spPr>
                      </pic:pic>
                    </a:graphicData>
                  </a:graphic>
                </wp:inline>
              </w:drawing>
            </w:r>
          </w:p>
        </w:tc>
        <w:tc>
          <w:tcPr>
            <w:tcW w:w="5750" w:type="dxa"/>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基材：天然实木。                                       油漆：</w:t>
            </w:r>
            <w:r>
              <w:rPr>
                <w:rFonts w:hint="eastAsia" w:ascii="仿宋" w:hAnsi="仿宋" w:eastAsia="仿宋" w:cs="仿宋"/>
                <w:i w:val="0"/>
                <w:color w:val="000000" w:themeColor="text1"/>
                <w:kern w:val="0"/>
                <w:sz w:val="24"/>
                <w:szCs w:val="24"/>
                <w:u w:val="none"/>
                <w:lang w:val="en-US" w:eastAsia="zh-CN" w:bidi="ar"/>
                <w14:textFill>
                  <w14:solidFill>
                    <w14:schemeClr w14:val="tx1"/>
                  </w14:solidFill>
                </w14:textFill>
              </w:rPr>
              <w:t>采用优质水性油漆，VOC含量检出限: 2g/L；甲醛含量检出限: 5mg/ kg；重金属检出限(mg/ kg) : 镉(0.014) , 铬(0.087) , 汞(0.004)。检测标准GB18581-2020《木器涂料中有害物质限量》引用先进UV生产线，</w:t>
            </w:r>
            <w:r>
              <w:rPr>
                <w:rFonts w:hint="eastAsia" w:ascii="仿宋" w:hAnsi="仿宋" w:eastAsia="仿宋" w:cs="仿宋"/>
                <w:color w:val="000000" w:themeColor="text1"/>
                <w:sz w:val="24"/>
                <w:szCs w:val="24"/>
                <w:highlight w:val="none"/>
                <w:lang w:val="en-US" w:eastAsia="zh-CN"/>
                <w14:textFill>
                  <w14:solidFill>
                    <w14:schemeClr w14:val="tx1"/>
                  </w14:solidFill>
                </w14:textFill>
              </w:rPr>
              <w:t>甲醛含量≤100mg/Kg,挥发性有机化合物及可溶性重金属含量符合国家标准。</w:t>
            </w:r>
            <w:r>
              <w:rPr>
                <w:rFonts w:hint="eastAsia" w:ascii="仿宋" w:hAnsi="仿宋" w:eastAsia="仿宋" w:cs="仿宋"/>
                <w:i w:val="0"/>
                <w:color w:val="000000" w:themeColor="text1"/>
                <w:kern w:val="0"/>
                <w:sz w:val="24"/>
                <w:szCs w:val="24"/>
                <w:u w:val="none"/>
                <w:lang w:val="en-US" w:eastAsia="zh-CN" w:bidi="ar"/>
                <w14:textFill>
                  <w14:solidFill>
                    <w14:schemeClr w14:val="tx1"/>
                  </w14:solidFill>
                </w14:textFill>
              </w:rPr>
              <w:t>采用“五底三面”油漆工艺制作。面漆</w:t>
            </w:r>
            <w:r>
              <w:rPr>
                <w:rFonts w:hint="eastAsia" w:ascii="仿宋" w:hAnsi="仿宋" w:eastAsia="仿宋" w:cs="仿宋"/>
                <w:i w:val="0"/>
                <w:color w:val="000000"/>
                <w:kern w:val="0"/>
                <w:sz w:val="24"/>
                <w:szCs w:val="24"/>
                <w:u w:val="none"/>
                <w:lang w:val="en-US" w:eastAsia="zh-CN" w:bidi="ar"/>
              </w:rPr>
              <w:t xml:space="preserve">达到色泽美观、不变色、光滑耐磨、手感好。                                                                                                   </w:t>
            </w:r>
          </w:p>
        </w:tc>
        <w:tc>
          <w:tcPr>
            <w:tcW w:w="2250"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（尺寸：800*250*800mm ）</w:t>
            </w:r>
          </w:p>
        </w:tc>
        <w:tc>
          <w:tcPr>
            <w:tcW w:w="775"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组</w:t>
            </w:r>
          </w:p>
        </w:tc>
        <w:tc>
          <w:tcPr>
            <w:tcW w:w="1062"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注：1.“参考图片”仅供参考，投标人应根据本项目实际情况提供更优的产品。</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2.</w:t>
      </w:r>
      <w:r>
        <w:rPr>
          <w:rFonts w:hint="eastAsia" w:ascii="仿宋" w:hAnsi="仿宋" w:eastAsia="仿宋"/>
          <w:b/>
          <w:bCs/>
          <w:szCs w:val="21"/>
        </w:rPr>
        <w:t>清单所列的要求是对本项目的最基本要求，并未对一切细节做出全部详细规定，也未充分引述有关标准和规范的条文，投标人所有与本项目有关的技术标准均应不低于已颁布的国家和行业标准，或相应的国际标准的有关条文。投标人所提供的产品不仅数量上且在材料与工艺等方面应等同于或高于上述要求</w:t>
      </w:r>
      <w:r>
        <w:rPr>
          <w:rFonts w:hint="eastAsia" w:ascii="仿宋" w:hAnsi="仿宋" w:eastAsia="仿宋" w:cs="仿宋"/>
          <w:b/>
          <w:bCs/>
          <w:color w:val="auto"/>
          <w:sz w:val="24"/>
          <w:szCs w:val="24"/>
          <w:highlight w:val="none"/>
          <w:lang w:val="en-US" w:eastAsia="zh-CN"/>
        </w:rPr>
        <w:t>。</w:t>
      </w:r>
    </w:p>
    <w:p>
      <w:pPr>
        <w:pStyle w:val="6"/>
        <w:keepNext/>
        <w:keepLines/>
        <w:pageBreakBefore w:val="0"/>
        <w:widowControl w:val="0"/>
        <w:numPr>
          <w:ilvl w:val="0"/>
          <w:numId w:val="0"/>
        </w:numPr>
        <w:kinsoku/>
        <w:wordWrap/>
        <w:overflowPunct/>
        <w:topLinePunct w:val="0"/>
        <w:autoSpaceDE/>
        <w:autoSpaceDN/>
        <w:bidi w:val="0"/>
        <w:adjustRightInd/>
        <w:snapToGrid/>
        <w:spacing w:before="157" w:beforeLines="50" w:after="0" w:afterLines="0" w:line="360" w:lineRule="auto"/>
        <w:ind w:leftChars="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二、样品</w:t>
      </w:r>
    </w:p>
    <w:p>
      <w:pPr>
        <w:pStyle w:val="6"/>
        <w:keepNext/>
        <w:keepLines/>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leftChars="0" w:firstLine="482" w:firstLineChars="200"/>
        <w:textAlignment w:val="auto"/>
        <w:rPr>
          <w:rFonts w:hint="default" w:ascii="仿宋" w:hAnsi="仿宋" w:eastAsia="仿宋" w:cs="仿宋"/>
          <w:b/>
          <w:kern w:val="2"/>
          <w:sz w:val="24"/>
          <w:szCs w:val="24"/>
          <w:lang w:val="en-US" w:eastAsia="zh-CN" w:bidi="ar-SA"/>
        </w:rPr>
      </w:pPr>
      <w:r>
        <w:rPr>
          <w:rFonts w:hint="eastAsia" w:ascii="仿宋" w:hAnsi="仿宋" w:eastAsia="仿宋" w:cs="仿宋"/>
          <w:b/>
          <w:kern w:val="2"/>
          <w:sz w:val="24"/>
          <w:szCs w:val="24"/>
          <w:lang w:val="en-US" w:eastAsia="zh-CN" w:bidi="ar-SA"/>
        </w:rPr>
        <w:t>1.投标人须提供样品：序号5桌椅类-办公椅1把；序号29组合式会议桌1张。(样品未提供或提供不全的样品分为0分）。</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szCs w:val="24"/>
        </w:rPr>
      </w:pPr>
      <w:r>
        <w:rPr>
          <w:rFonts w:hint="eastAsia" w:ascii="仿宋" w:hAnsi="仿宋" w:eastAsia="仿宋" w:cs="仿宋"/>
          <w:b/>
          <w:bCs/>
          <w:color w:val="auto"/>
          <w:kern w:val="2"/>
          <w:sz w:val="24"/>
          <w:szCs w:val="24"/>
          <w:highlight w:val="none"/>
          <w:lang w:val="en-US" w:eastAsia="zh-CN" w:bidi="ar-SA"/>
        </w:rPr>
        <w:t>2.</w:t>
      </w:r>
      <w:r>
        <w:rPr>
          <w:rFonts w:hint="eastAsia" w:ascii="仿宋" w:hAnsi="仿宋" w:eastAsia="仿宋" w:cs="仿宋"/>
          <w:b/>
          <w:szCs w:val="24"/>
        </w:rPr>
        <w:t>样品上不得出现任何与投标单位有关的信息，否则作无效标处理，中标候选人的样品不予退回，由</w:t>
      </w:r>
      <w:r>
        <w:rPr>
          <w:rFonts w:hint="eastAsia" w:ascii="仿宋" w:hAnsi="仿宋" w:eastAsia="仿宋" w:cs="仿宋"/>
          <w:b/>
          <w:szCs w:val="24"/>
          <w:lang w:eastAsia="zh-CN"/>
        </w:rPr>
        <w:t>实施</w:t>
      </w:r>
      <w:r>
        <w:rPr>
          <w:rFonts w:hint="eastAsia" w:ascii="仿宋" w:hAnsi="仿宋" w:eastAsia="仿宋" w:cs="仿宋"/>
          <w:b/>
          <w:szCs w:val="24"/>
        </w:rPr>
        <w:t>单位封存作为验收标准，其余单位的样品开标结束后自行取回。</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sz w:val="24"/>
          <w:szCs w:val="24"/>
          <w:lang w:val="en-US" w:eastAsia="zh-CN"/>
        </w:rPr>
        <w:sectPr>
          <w:headerReference r:id="rId7" w:type="default"/>
          <w:footerReference r:id="rId8" w:type="default"/>
          <w:pgSz w:w="16838" w:h="11906" w:orient="landscape"/>
          <w:pgMar w:top="1570" w:right="1474" w:bottom="1287" w:left="1304"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eastAsia" w:ascii="仿宋" w:hAnsi="仿宋" w:eastAsia="仿宋" w:cs="仿宋"/>
          <w:b/>
          <w:szCs w:val="24"/>
        </w:rPr>
        <w:t>3.样品于2025年</w:t>
      </w:r>
      <w:r>
        <w:rPr>
          <w:rFonts w:hint="eastAsia" w:ascii="仿宋" w:hAnsi="仿宋" w:eastAsia="仿宋" w:cs="仿宋"/>
          <w:b/>
          <w:szCs w:val="24"/>
          <w:lang w:val="en-US" w:eastAsia="zh-CN"/>
        </w:rPr>
        <w:t>7</w:t>
      </w:r>
      <w:r>
        <w:rPr>
          <w:rFonts w:hint="eastAsia" w:ascii="仿宋" w:hAnsi="仿宋" w:eastAsia="仿宋" w:cs="仿宋"/>
          <w:b/>
          <w:szCs w:val="24"/>
        </w:rPr>
        <w:t>月</w:t>
      </w:r>
      <w:r>
        <w:rPr>
          <w:rFonts w:hint="eastAsia" w:ascii="仿宋" w:hAnsi="仿宋" w:eastAsia="仿宋" w:cs="仿宋"/>
          <w:b/>
          <w:szCs w:val="24"/>
          <w:lang w:val="en-US" w:eastAsia="zh-CN"/>
        </w:rPr>
        <w:t>22</w:t>
      </w:r>
      <w:r>
        <w:rPr>
          <w:rFonts w:hint="eastAsia" w:ascii="仿宋" w:hAnsi="仿宋" w:eastAsia="仿宋" w:cs="仿宋"/>
          <w:b/>
          <w:szCs w:val="24"/>
        </w:rPr>
        <w:t>日</w:t>
      </w:r>
      <w:r>
        <w:rPr>
          <w:rFonts w:hint="eastAsia" w:ascii="仿宋" w:hAnsi="仿宋" w:eastAsia="仿宋" w:cs="仿宋"/>
          <w:b/>
          <w:szCs w:val="24"/>
          <w:lang w:val="en-US" w:eastAsia="zh-CN"/>
        </w:rPr>
        <w:t>09：0</w:t>
      </w:r>
      <w:r>
        <w:rPr>
          <w:rFonts w:hint="eastAsia" w:ascii="仿宋" w:hAnsi="仿宋" w:eastAsia="仿宋" w:cs="仿宋"/>
          <w:b/>
          <w:szCs w:val="24"/>
        </w:rPr>
        <w:t>0分前送至嵊州市三江街道官河南路339号量子芯座11楼110</w:t>
      </w:r>
      <w:r>
        <w:rPr>
          <w:rFonts w:hint="eastAsia" w:ascii="仿宋" w:hAnsi="仿宋" w:eastAsia="仿宋" w:cs="仿宋"/>
          <w:b/>
          <w:szCs w:val="24"/>
          <w:lang w:val="en-US" w:eastAsia="zh-CN"/>
        </w:rPr>
        <w:t>6</w:t>
      </w:r>
      <w:r>
        <w:rPr>
          <w:rFonts w:hint="eastAsia" w:ascii="仿宋" w:hAnsi="仿宋" w:eastAsia="仿宋" w:cs="仿宋"/>
          <w:b/>
          <w:szCs w:val="24"/>
        </w:rPr>
        <w:t>室</w:t>
      </w:r>
      <w:r>
        <w:rPr>
          <w:rFonts w:hint="eastAsia" w:ascii="仿宋" w:hAnsi="仿宋" w:eastAsia="仿宋" w:cs="仿宋"/>
          <w:b/>
          <w:bCs/>
          <w:color w:val="auto"/>
          <w:kern w:val="2"/>
          <w:sz w:val="24"/>
          <w:szCs w:val="24"/>
          <w:highlight w:val="none"/>
          <w:lang w:val="en-US" w:eastAsia="zh-CN" w:bidi="ar-SA"/>
        </w:rPr>
        <w:t>。</w:t>
      </w:r>
    </w:p>
    <w:p>
      <w:pPr>
        <w:pStyle w:val="5"/>
        <w:keepNext/>
        <w:keepLines/>
        <w:pageBreakBefore w:val="0"/>
        <w:widowControl w:val="0"/>
        <w:kinsoku/>
        <w:wordWrap/>
        <w:overflowPunct/>
        <w:topLinePunct w:val="0"/>
        <w:autoSpaceDE/>
        <w:autoSpaceDN/>
        <w:bidi w:val="0"/>
        <w:adjustRightInd/>
        <w:snapToGrid/>
        <w:spacing w:before="157" w:beforeLines="50"/>
        <w:ind w:left="0" w:firstLine="0"/>
        <w:jc w:val="both"/>
        <w:textAlignment w:val="auto"/>
        <w:rPr>
          <w:rFonts w:hint="eastAsia" w:ascii="仿宋" w:hAnsi="仿宋" w:eastAsia="仿宋" w:cs="仿宋"/>
          <w:b/>
          <w:color w:val="auto"/>
          <w:sz w:val="24"/>
          <w:szCs w:val="24"/>
          <w:lang w:val="en-US" w:eastAsia="zh-CN"/>
        </w:rPr>
      </w:pPr>
      <w:r>
        <w:rPr>
          <w:rFonts w:hint="eastAsia" w:ascii="仿宋" w:hAnsi="仿宋" w:eastAsia="仿宋" w:cs="仿宋"/>
          <w:color w:val="auto"/>
          <w:sz w:val="24"/>
          <w:szCs w:val="24"/>
        </w:rPr>
        <w:t>★</w:t>
      </w:r>
      <w:r>
        <w:rPr>
          <w:rFonts w:hint="eastAsia" w:ascii="仿宋" w:hAnsi="仿宋" w:eastAsia="仿宋" w:cs="仿宋"/>
          <w:b/>
          <w:color w:val="auto"/>
          <w:sz w:val="24"/>
          <w:szCs w:val="24"/>
          <w:lang w:val="en-US" w:eastAsia="zh-CN"/>
        </w:rPr>
        <w:t>三、商务资信表</w:t>
      </w:r>
    </w:p>
    <w:tbl>
      <w:tblPr>
        <w:tblStyle w:val="83"/>
        <w:tblW w:w="9465" w:type="dxa"/>
        <w:tblInd w:w="-1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2"/>
        <w:gridCol w:w="77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0" w:hRule="atLeast"/>
        </w:trPr>
        <w:tc>
          <w:tcPr>
            <w:tcW w:w="168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jc w:val="center"/>
              <w:textAlignment w:val="auto"/>
              <w:rPr>
                <w:rFonts w:hint="eastAsia" w:ascii="仿宋" w:hAnsi="仿宋" w:eastAsia="仿宋" w:cs="仿宋"/>
                <w:b w:val="0"/>
                <w:bCs w:val="0"/>
                <w:color w:val="auto"/>
                <w:kern w:val="0"/>
                <w:sz w:val="24"/>
                <w:szCs w:val="24"/>
                <w:lang w:val="en-US" w:eastAsia="zh-CN" w:bidi="ar-SA"/>
              </w:rPr>
            </w:pPr>
            <w:r>
              <w:rPr>
                <w:rFonts w:hint="eastAsia" w:ascii="仿宋" w:hAnsi="仿宋" w:eastAsia="仿宋" w:cs="仿宋"/>
                <w:bCs/>
                <w:color w:val="auto"/>
                <w:sz w:val="24"/>
                <w:szCs w:val="24"/>
                <w:highlight w:val="none"/>
                <w:lang w:val="zh-CN" w:eastAsia="zh-CN"/>
              </w:rPr>
              <w:t>交货期限</w:t>
            </w:r>
          </w:p>
        </w:tc>
        <w:tc>
          <w:tcPr>
            <w:tcW w:w="778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jc w:val="both"/>
              <w:textAlignment w:val="auto"/>
              <w:rPr>
                <w:rFonts w:hint="eastAsia" w:ascii="仿宋" w:hAnsi="仿宋" w:eastAsia="仿宋" w:cs="仿宋"/>
                <w:b w:val="0"/>
                <w:bCs w:val="0"/>
                <w:color w:val="auto"/>
                <w:kern w:val="0"/>
                <w:sz w:val="24"/>
                <w:szCs w:val="24"/>
                <w:lang w:val="en-US" w:eastAsia="zh-CN" w:bidi="ar-SA"/>
              </w:rPr>
            </w:pPr>
            <w:r>
              <w:rPr>
                <w:rFonts w:hint="eastAsia" w:ascii="仿宋" w:hAnsi="仿宋" w:eastAsia="仿宋" w:cs="仿宋"/>
                <w:bCs/>
                <w:color w:val="auto"/>
                <w:sz w:val="24"/>
                <w:szCs w:val="24"/>
                <w:highlight w:val="none"/>
                <w:lang w:val="en-US" w:eastAsia="zh-CN"/>
              </w:rPr>
              <w:t>合同签订之日起30天内完成供货或根据实施单位要求另行约定。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9" w:hRule="atLeast"/>
        </w:trPr>
        <w:tc>
          <w:tcPr>
            <w:tcW w:w="168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jc w:val="center"/>
              <w:textAlignment w:val="auto"/>
              <w:rPr>
                <w:rFonts w:hint="eastAsia" w:ascii="仿宋" w:hAnsi="仿宋" w:eastAsia="仿宋" w:cs="仿宋"/>
                <w:b w:val="0"/>
                <w:bCs w:val="0"/>
                <w:color w:val="auto"/>
                <w:kern w:val="0"/>
                <w:sz w:val="24"/>
                <w:szCs w:val="24"/>
                <w:lang w:val="en-US" w:eastAsia="zh-CN" w:bidi="ar-SA"/>
              </w:rPr>
            </w:pPr>
            <w:r>
              <w:rPr>
                <w:rFonts w:hint="eastAsia" w:ascii="仿宋" w:hAnsi="仿宋" w:eastAsia="仿宋" w:cs="仿宋"/>
                <w:bCs/>
                <w:color w:val="auto"/>
                <w:sz w:val="24"/>
                <w:szCs w:val="24"/>
                <w:highlight w:val="none"/>
                <w:lang w:val="en-US" w:eastAsia="zh-CN"/>
              </w:rPr>
              <w:t>供货地点</w:t>
            </w:r>
          </w:p>
        </w:tc>
        <w:tc>
          <w:tcPr>
            <w:tcW w:w="778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jc w:val="both"/>
              <w:textAlignment w:val="auto"/>
              <w:rPr>
                <w:rFonts w:hint="eastAsia" w:ascii="仿宋" w:hAnsi="仿宋" w:eastAsia="仿宋" w:cs="仿宋"/>
                <w:b w:val="0"/>
                <w:bCs w:val="0"/>
                <w:color w:val="auto"/>
                <w:kern w:val="0"/>
                <w:sz w:val="24"/>
                <w:szCs w:val="24"/>
                <w:lang w:val="en-US" w:eastAsia="zh-CN" w:bidi="ar-SA"/>
              </w:rPr>
            </w:pPr>
            <w:r>
              <w:rPr>
                <w:rFonts w:hint="eastAsia" w:ascii="仿宋" w:hAnsi="仿宋" w:eastAsia="仿宋" w:cs="仿宋"/>
                <w:bCs/>
                <w:color w:val="auto"/>
                <w:sz w:val="24"/>
                <w:szCs w:val="24"/>
                <w:highlight w:val="none"/>
                <w:lang w:val="en-US" w:eastAsia="zh-CN"/>
              </w:rPr>
              <w:t>实施单位指定地点。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3" w:hRule="atLeast"/>
        </w:trPr>
        <w:tc>
          <w:tcPr>
            <w:tcW w:w="1682" w:type="dxa"/>
            <w:noWrap w:val="0"/>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400" w:lineRule="exact"/>
              <w:ind w:left="0" w:leftChars="0" w:right="0" w:rightChars="0"/>
              <w:jc w:val="center"/>
              <w:textAlignment w:val="auto"/>
              <w:rPr>
                <w:rFonts w:hint="eastAsia" w:ascii="仿宋" w:hAnsi="仿宋" w:eastAsia="仿宋" w:cs="仿宋"/>
                <w:b w:val="0"/>
                <w:bCs w:val="0"/>
                <w:color w:val="auto"/>
                <w:kern w:val="0"/>
                <w:sz w:val="24"/>
                <w:szCs w:val="24"/>
                <w:lang w:val="en-US" w:eastAsia="zh-CN" w:bidi="ar-SA"/>
              </w:rPr>
            </w:pPr>
            <w:r>
              <w:rPr>
                <w:rFonts w:hint="eastAsia" w:ascii="仿宋" w:hAnsi="仿宋" w:eastAsia="仿宋" w:cs="仿宋"/>
                <w:b w:val="0"/>
                <w:bCs w:val="0"/>
                <w:color w:val="auto"/>
                <w:sz w:val="24"/>
                <w:szCs w:val="24"/>
                <w:highlight w:val="none"/>
                <w:vertAlign w:val="baseline"/>
                <w:lang w:val="en-US" w:eastAsia="zh-CN"/>
              </w:rPr>
              <w:t>验收</w:t>
            </w:r>
          </w:p>
        </w:tc>
        <w:tc>
          <w:tcPr>
            <w:tcW w:w="7783"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both"/>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1.本项目验收工作由实施单位组织，验收工作在中标</w:t>
            </w:r>
            <w:r>
              <w:rPr>
                <w:rFonts w:hint="eastAsia" w:ascii="仿宋" w:hAnsi="仿宋" w:eastAsia="仿宋" w:cs="仿宋"/>
                <w:bCs/>
                <w:color w:val="auto"/>
                <w:sz w:val="24"/>
                <w:szCs w:val="24"/>
                <w:highlight w:val="none"/>
                <w:lang w:eastAsia="zh-CN"/>
              </w:rPr>
              <w:t>供应商</w:t>
            </w:r>
            <w:r>
              <w:rPr>
                <w:rFonts w:hint="eastAsia" w:ascii="仿宋" w:hAnsi="仿宋" w:eastAsia="仿宋" w:cs="仿宋"/>
                <w:bCs/>
                <w:color w:val="auto"/>
                <w:sz w:val="24"/>
                <w:szCs w:val="24"/>
                <w:highlight w:val="none"/>
                <w:lang w:val="en-US" w:eastAsia="zh-CN"/>
              </w:rPr>
              <w:t>项目实施完毕，经自验合格，提交验收申请后5个工作日内启动。</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both"/>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2.验收符合质量要求，验收合格。</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both"/>
              <w:textAlignment w:val="auto"/>
              <w:rPr>
                <w:rFonts w:hint="eastAsia" w:ascii="仿宋" w:hAnsi="仿宋" w:eastAsia="仿宋" w:cs="仿宋"/>
                <w:b w:val="0"/>
                <w:bCs w:val="0"/>
                <w:color w:val="auto"/>
                <w:kern w:val="0"/>
                <w:sz w:val="24"/>
                <w:szCs w:val="24"/>
                <w:lang w:val="en-US" w:eastAsia="zh-CN" w:bidi="ar-SA"/>
              </w:rPr>
            </w:pPr>
            <w:r>
              <w:rPr>
                <w:rFonts w:hint="eastAsia" w:ascii="仿宋" w:hAnsi="仿宋" w:eastAsia="仿宋" w:cs="仿宋"/>
                <w:bCs/>
                <w:color w:val="auto"/>
                <w:sz w:val="24"/>
                <w:szCs w:val="24"/>
                <w:highlight w:val="none"/>
                <w:lang w:val="en-US" w:eastAsia="zh-CN"/>
              </w:rPr>
              <w:t>3.验收费用由中标</w:t>
            </w:r>
            <w:r>
              <w:rPr>
                <w:rFonts w:hint="eastAsia" w:ascii="仿宋" w:hAnsi="仿宋" w:eastAsia="仿宋" w:cs="仿宋"/>
                <w:bCs/>
                <w:color w:val="auto"/>
                <w:sz w:val="24"/>
                <w:szCs w:val="24"/>
                <w:highlight w:val="none"/>
                <w:lang w:eastAsia="zh-CN"/>
              </w:rPr>
              <w:t>供应商</w:t>
            </w:r>
            <w:r>
              <w:rPr>
                <w:rFonts w:hint="eastAsia" w:ascii="仿宋" w:hAnsi="仿宋" w:eastAsia="仿宋" w:cs="仿宋"/>
                <w:bCs/>
                <w:color w:val="auto"/>
                <w:sz w:val="24"/>
                <w:szCs w:val="24"/>
                <w:highlight w:val="none"/>
                <w:lang w:val="en-US" w:eastAsia="zh-CN"/>
              </w:rPr>
              <w:t>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31" w:hRule="atLeast"/>
        </w:trPr>
        <w:tc>
          <w:tcPr>
            <w:tcW w:w="1682" w:type="dxa"/>
            <w:noWrap w:val="0"/>
            <w:vAlign w:val="center"/>
          </w:tcPr>
          <w:p>
            <w:pPr>
              <w:keepNext w:val="0"/>
              <w:keepLines w:val="0"/>
              <w:pageBreakBefore w:val="0"/>
              <w:suppressLineNumbers w:val="0"/>
              <w:kinsoku/>
              <w:overflowPunct/>
              <w:topLinePunct w:val="0"/>
              <w:autoSpaceDE/>
              <w:autoSpaceDN/>
              <w:bidi w:val="0"/>
              <w:snapToGrid/>
              <w:spacing w:before="0" w:beforeAutospacing="0" w:after="0" w:afterAutospacing="0" w:line="400" w:lineRule="exact"/>
              <w:ind w:left="0" w:leftChars="0" w:right="0" w:rightChars="0"/>
              <w:jc w:val="center"/>
              <w:rPr>
                <w:rFonts w:hint="eastAsia" w:ascii="仿宋" w:hAnsi="仿宋" w:eastAsia="仿宋" w:cs="仿宋"/>
                <w:b w:val="0"/>
                <w:bCs w:val="0"/>
                <w:color w:val="auto"/>
                <w:kern w:val="0"/>
                <w:sz w:val="24"/>
                <w:szCs w:val="24"/>
                <w:lang w:val="en-US" w:eastAsia="zh-CN" w:bidi="ar-SA"/>
              </w:rPr>
            </w:pPr>
            <w:r>
              <w:rPr>
                <w:rFonts w:hint="eastAsia" w:ascii="仿宋" w:hAnsi="仿宋" w:eastAsia="仿宋" w:cs="仿宋"/>
                <w:bCs/>
                <w:color w:val="auto"/>
                <w:sz w:val="24"/>
                <w:szCs w:val="24"/>
                <w:highlight w:val="none"/>
                <w:lang w:val="en-US" w:eastAsia="zh-CN"/>
              </w:rPr>
              <w:t>付款方式</w:t>
            </w:r>
          </w:p>
        </w:tc>
        <w:tc>
          <w:tcPr>
            <w:tcW w:w="7783"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both"/>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1.合同签订并具备实施条件后支付合同价的30%，设备安装调试完毕经实施单位验收合格后付至合同价的70%，经第三方审计后付至审定价的98.5%，余款1.5%在质保期满后10日内付清。</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both"/>
              <w:textAlignment w:val="auto"/>
              <w:rPr>
                <w:rFonts w:hint="eastAsia" w:ascii="仿宋" w:hAnsi="仿宋" w:eastAsia="仿宋" w:cs="仿宋"/>
                <w:b w:val="0"/>
                <w:bCs w:val="0"/>
                <w:color w:val="auto"/>
                <w:kern w:val="0"/>
                <w:sz w:val="24"/>
                <w:szCs w:val="24"/>
                <w:lang w:val="en-US" w:eastAsia="zh-CN" w:bidi="ar-SA"/>
              </w:rPr>
            </w:pPr>
            <w:r>
              <w:rPr>
                <w:rFonts w:hint="eastAsia" w:ascii="仿宋" w:hAnsi="仿宋" w:eastAsia="仿宋" w:cs="仿宋"/>
                <w:bCs/>
                <w:color w:val="auto"/>
                <w:sz w:val="24"/>
                <w:szCs w:val="24"/>
                <w:highlight w:val="none"/>
                <w:lang w:val="en-US" w:eastAsia="zh-CN"/>
              </w:rPr>
              <w:t>2.</w:t>
            </w:r>
            <w:r>
              <w:rPr>
                <w:rFonts w:hint="eastAsia" w:ascii="仿宋" w:hAnsi="仿宋" w:eastAsia="仿宋" w:cs="仿宋"/>
                <w:bCs/>
                <w:color w:val="auto"/>
                <w:sz w:val="24"/>
                <w:szCs w:val="24"/>
                <w:highlight w:val="none"/>
              </w:rPr>
              <w:t>每次结算前</w:t>
            </w:r>
            <w:r>
              <w:rPr>
                <w:rFonts w:hint="eastAsia" w:ascii="仿宋" w:hAnsi="仿宋" w:eastAsia="仿宋" w:cs="仿宋"/>
                <w:bCs/>
                <w:color w:val="auto"/>
                <w:sz w:val="24"/>
                <w:szCs w:val="24"/>
                <w:highlight w:val="none"/>
                <w:lang w:eastAsia="zh-CN"/>
              </w:rPr>
              <w:t>中标供应商</w:t>
            </w:r>
            <w:r>
              <w:rPr>
                <w:rFonts w:hint="eastAsia" w:ascii="仿宋" w:hAnsi="仿宋" w:eastAsia="仿宋" w:cs="仿宋"/>
                <w:bCs/>
                <w:color w:val="auto"/>
                <w:sz w:val="24"/>
                <w:szCs w:val="24"/>
                <w:highlight w:val="none"/>
              </w:rPr>
              <w:t>均须提供</w:t>
            </w:r>
            <w:r>
              <w:rPr>
                <w:rFonts w:hint="eastAsia" w:ascii="仿宋" w:hAnsi="仿宋" w:eastAsia="仿宋" w:cs="仿宋"/>
                <w:bCs/>
                <w:color w:val="auto"/>
                <w:sz w:val="24"/>
                <w:szCs w:val="24"/>
                <w:highlight w:val="none"/>
                <w:lang w:eastAsia="zh-CN"/>
              </w:rPr>
              <w:t>采购人认可的</w:t>
            </w:r>
            <w:r>
              <w:rPr>
                <w:rFonts w:hint="eastAsia" w:ascii="仿宋" w:hAnsi="仿宋" w:eastAsia="仿宋" w:cs="仿宋"/>
                <w:bCs/>
                <w:color w:val="auto"/>
                <w:sz w:val="24"/>
                <w:szCs w:val="24"/>
                <w:highlight w:val="none"/>
              </w:rPr>
              <w:t>正</w:t>
            </w:r>
            <w:r>
              <w:rPr>
                <w:rFonts w:hint="eastAsia" w:ascii="仿宋" w:hAnsi="仿宋" w:eastAsia="仿宋" w:cs="仿宋"/>
                <w:bCs/>
                <w:color w:val="auto"/>
                <w:sz w:val="24"/>
                <w:szCs w:val="24"/>
                <w:highlight w:val="none"/>
                <w:lang w:eastAsia="zh-CN"/>
              </w:rPr>
              <w:t>规</w:t>
            </w:r>
            <w:r>
              <w:rPr>
                <w:rFonts w:hint="eastAsia" w:ascii="仿宋" w:hAnsi="仿宋" w:eastAsia="仿宋" w:cs="仿宋"/>
                <w:bCs/>
                <w:color w:val="auto"/>
                <w:sz w:val="24"/>
                <w:szCs w:val="24"/>
                <w:highlight w:val="none"/>
              </w:rPr>
              <w:t>发票。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1" w:hRule="atLeast"/>
        </w:trPr>
        <w:tc>
          <w:tcPr>
            <w:tcW w:w="1682" w:type="dxa"/>
            <w:noWrap w:val="0"/>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400" w:lineRule="exact"/>
              <w:ind w:left="0" w:leftChars="0" w:right="0" w:rightChars="0"/>
              <w:jc w:val="center"/>
              <w:textAlignment w:val="auto"/>
              <w:rPr>
                <w:rFonts w:hint="eastAsia" w:ascii="仿宋" w:hAnsi="仿宋" w:eastAsia="仿宋" w:cs="仿宋"/>
                <w:b w:val="0"/>
                <w:bCs w:val="0"/>
                <w:color w:val="auto"/>
                <w:kern w:val="0"/>
                <w:sz w:val="24"/>
                <w:szCs w:val="24"/>
                <w:lang w:val="en-US" w:eastAsia="zh-CN" w:bidi="ar-SA"/>
              </w:rPr>
            </w:pPr>
            <w:r>
              <w:rPr>
                <w:rFonts w:hint="eastAsia" w:ascii="仿宋" w:hAnsi="仿宋" w:eastAsia="仿宋" w:cs="仿宋"/>
                <w:b w:val="0"/>
                <w:bCs w:val="0"/>
                <w:color w:val="auto"/>
                <w:sz w:val="24"/>
                <w:szCs w:val="24"/>
                <w:highlight w:val="none"/>
                <w:lang w:val="en-US" w:eastAsia="zh-CN"/>
              </w:rPr>
              <w:t>履约保证金</w:t>
            </w:r>
          </w:p>
        </w:tc>
        <w:tc>
          <w:tcPr>
            <w:tcW w:w="778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both"/>
              <w:textAlignment w:val="auto"/>
              <w:rPr>
                <w:rFonts w:hint="eastAsia" w:ascii="仿宋" w:hAnsi="仿宋" w:eastAsia="仿宋" w:cs="仿宋"/>
                <w:b w:val="0"/>
                <w:bCs w:val="0"/>
                <w:color w:val="auto"/>
                <w:kern w:val="0"/>
                <w:sz w:val="24"/>
                <w:szCs w:val="24"/>
                <w:lang w:val="en-US" w:eastAsia="zh-CN" w:bidi="ar-SA"/>
              </w:rPr>
            </w:pPr>
            <w:r>
              <w:rPr>
                <w:rFonts w:hint="eastAsia" w:ascii="仿宋" w:hAnsi="仿宋" w:eastAsia="仿宋" w:cs="仿宋"/>
                <w:b w:val="0"/>
                <w:bCs w:val="0"/>
                <w:color w:val="auto"/>
                <w:sz w:val="24"/>
                <w:szCs w:val="24"/>
                <w:highlight w:val="none"/>
                <w:lang w:val="en-US" w:eastAsia="zh-CN"/>
              </w:rPr>
              <w:t>中标供应商向采购人缴纳合同价的1%作为履约保证金，验收合格后无质量问题15个工作日内无息退还。</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lang w:val="zh-CN" w:eastAsia="zh-CN"/>
              </w:rPr>
              <w:t>履约保证金的交付方式：网银、支票、汇票、本票或金融机构出具的保函等非现金方式）。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5" w:hRule="atLeast"/>
        </w:trPr>
        <w:tc>
          <w:tcPr>
            <w:tcW w:w="1682" w:type="dxa"/>
            <w:noWrap w:val="0"/>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400" w:lineRule="exact"/>
              <w:ind w:left="0" w:leftChars="0" w:right="0" w:rightChars="0"/>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b w:val="0"/>
                <w:bCs w:val="0"/>
                <w:color w:val="auto"/>
                <w:sz w:val="24"/>
                <w:szCs w:val="24"/>
                <w:highlight w:val="none"/>
                <w:lang w:val="en-US" w:eastAsia="zh-CN"/>
              </w:rPr>
              <w:t>质保期</w:t>
            </w:r>
          </w:p>
        </w:tc>
        <w:tc>
          <w:tcPr>
            <w:tcW w:w="778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both"/>
              <w:textAlignment w:val="auto"/>
              <w:rPr>
                <w:rFonts w:hint="eastAsia" w:ascii="仿宋" w:hAnsi="仿宋" w:eastAsia="仿宋" w:cs="仿宋"/>
                <w:bCs/>
                <w:color w:val="auto"/>
                <w:sz w:val="24"/>
                <w:szCs w:val="24"/>
                <w:lang w:val="en-US" w:eastAsia="zh-CN"/>
              </w:rPr>
            </w:pPr>
            <w:r>
              <w:rPr>
                <w:rFonts w:hint="eastAsia" w:ascii="仿宋" w:hAnsi="仿宋" w:eastAsia="仿宋" w:cs="仿宋"/>
                <w:color w:val="auto"/>
                <w:sz w:val="24"/>
                <w:szCs w:val="24"/>
                <w:highlight w:val="none"/>
                <w:lang w:eastAsia="zh-CN"/>
              </w:rPr>
              <w:t>自</w:t>
            </w:r>
            <w:r>
              <w:rPr>
                <w:rFonts w:hint="eastAsia" w:ascii="仿宋" w:hAnsi="仿宋" w:eastAsia="仿宋" w:cs="仿宋"/>
                <w:color w:val="auto"/>
                <w:sz w:val="24"/>
                <w:szCs w:val="24"/>
                <w:highlight w:val="none"/>
              </w:rPr>
              <w:t>验收合格之日起提供不少于</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年的</w:t>
            </w:r>
            <w:r>
              <w:rPr>
                <w:rFonts w:hint="eastAsia" w:ascii="仿宋" w:hAnsi="仿宋" w:eastAsia="仿宋" w:cs="仿宋"/>
                <w:color w:val="auto"/>
                <w:sz w:val="24"/>
                <w:szCs w:val="24"/>
                <w:highlight w:val="none"/>
                <w:lang w:eastAsia="zh-CN"/>
              </w:rPr>
              <w:t>免费</w:t>
            </w:r>
            <w:r>
              <w:rPr>
                <w:rFonts w:hint="eastAsia" w:ascii="仿宋" w:hAnsi="仿宋" w:eastAsia="仿宋" w:cs="仿宋"/>
                <w:color w:val="auto"/>
                <w:sz w:val="24"/>
                <w:szCs w:val="24"/>
                <w:highlight w:val="none"/>
              </w:rPr>
              <w:t>质保</w:t>
            </w:r>
            <w:r>
              <w:rPr>
                <w:rFonts w:hint="eastAsia" w:ascii="仿宋" w:hAnsi="仿宋" w:eastAsia="仿宋" w:cs="仿宋"/>
                <w:color w:val="auto"/>
                <w:sz w:val="24"/>
                <w:szCs w:val="24"/>
                <w:highlight w:val="none"/>
                <w:lang w:eastAsia="zh-CN"/>
              </w:rPr>
              <w:t>期</w:t>
            </w:r>
            <w:r>
              <w:rPr>
                <w:rFonts w:hint="eastAsia" w:ascii="仿宋" w:hAnsi="仿宋" w:eastAsia="仿宋" w:cs="仿宋"/>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15" w:hRule="atLeast"/>
        </w:trPr>
        <w:tc>
          <w:tcPr>
            <w:tcW w:w="1682" w:type="dxa"/>
            <w:noWrap w:val="0"/>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400" w:lineRule="exact"/>
              <w:ind w:left="0" w:right="0"/>
              <w:jc w:val="center"/>
              <w:textAlignment w:val="auto"/>
              <w:rPr>
                <w:rFonts w:hint="eastAsia" w:ascii="仿宋" w:hAnsi="仿宋" w:eastAsia="仿宋" w:cs="仿宋"/>
                <w:b w:val="0"/>
                <w:bCs w:val="0"/>
                <w:color w:val="auto"/>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400" w:lineRule="exact"/>
              <w:ind w:left="0" w:leftChars="0" w:right="0" w:rightChars="0"/>
              <w:jc w:val="center"/>
              <w:textAlignment w:val="auto"/>
              <w:rPr>
                <w:rFonts w:hint="eastAsia" w:ascii="仿宋" w:hAnsi="仿宋" w:eastAsia="仿宋" w:cs="仿宋"/>
                <w:b w:val="0"/>
                <w:bCs w:val="0"/>
                <w:color w:val="auto"/>
                <w:kern w:val="0"/>
                <w:sz w:val="24"/>
                <w:szCs w:val="24"/>
                <w:lang w:val="en-US" w:eastAsia="zh-CN" w:bidi="ar-SA"/>
              </w:rPr>
            </w:pPr>
            <w:r>
              <w:rPr>
                <w:rFonts w:hint="eastAsia" w:ascii="仿宋" w:hAnsi="仿宋" w:eastAsia="仿宋" w:cs="仿宋"/>
                <w:b w:val="0"/>
                <w:bCs w:val="0"/>
                <w:color w:val="auto"/>
                <w:sz w:val="24"/>
                <w:szCs w:val="24"/>
                <w:highlight w:val="none"/>
                <w:lang w:val="en-US" w:eastAsia="zh-CN"/>
              </w:rPr>
              <w:t>售后服务</w:t>
            </w:r>
          </w:p>
        </w:tc>
        <w:tc>
          <w:tcPr>
            <w:tcW w:w="778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1.采用7×24小时售后服务模式，并提供充足的备品备件，满足日常维修需求。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both"/>
              <w:textAlignment w:val="auto"/>
              <w:rPr>
                <w:rFonts w:hint="eastAsia" w:ascii="仿宋" w:hAnsi="仿宋" w:eastAsia="仿宋" w:cs="仿宋"/>
                <w:b w:val="0"/>
                <w:bCs w:val="0"/>
                <w:color w:val="auto"/>
                <w:kern w:val="0"/>
                <w:sz w:val="24"/>
                <w:szCs w:val="24"/>
                <w:lang w:val="en-US" w:eastAsia="zh-CN" w:bidi="ar-SA"/>
              </w:rPr>
            </w:pPr>
            <w:r>
              <w:rPr>
                <w:rFonts w:hint="eastAsia" w:ascii="仿宋" w:hAnsi="仿宋" w:eastAsia="仿宋" w:cs="仿宋"/>
                <w:color w:val="auto"/>
                <w:sz w:val="24"/>
                <w:szCs w:val="24"/>
                <w:highlight w:val="none"/>
                <w:lang w:val="en-US" w:eastAsia="zh-CN"/>
              </w:rPr>
              <w:t>2.质保期内因产品本身缺陷造成各种故障应由中标供应商免费维修，并在《投标文件》中说明在保质期内提供的服务计划。在产品整个使用期内，中标供应商应确保货物的正常使用。在接到实施单位维修要求后30分钟内作出响应，2小时到达现场处置，24小时内修复。若不能修复，则需要免费提供备品或替代产品，以保证实施单位正常的使用</w:t>
            </w:r>
            <w:r>
              <w:rPr>
                <w:rFonts w:hint="eastAsia" w:ascii="仿宋" w:hAnsi="仿宋" w:eastAsia="仿宋" w:cs="仿宋"/>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5" w:hRule="atLeast"/>
        </w:trPr>
        <w:tc>
          <w:tcPr>
            <w:tcW w:w="1682" w:type="dxa"/>
            <w:noWrap w:val="0"/>
            <w:vAlign w:val="center"/>
          </w:tcPr>
          <w:p>
            <w:pPr>
              <w:keepNext w:val="0"/>
              <w:keepLines w:val="0"/>
              <w:pageBreakBefore w:val="0"/>
              <w:widowControl/>
              <w:suppressLineNumbers w:val="0"/>
              <w:kinsoku/>
              <w:overflowPunct/>
              <w:topLinePunct w:val="0"/>
              <w:autoSpaceDE/>
              <w:autoSpaceDN/>
              <w:bidi w:val="0"/>
              <w:snapToGrid/>
              <w:spacing w:before="0" w:beforeAutospacing="0" w:after="0" w:afterAutospacing="0" w:line="400" w:lineRule="exact"/>
              <w:ind w:left="0" w:leftChars="0" w:right="0" w:rightChars="0"/>
              <w:jc w:val="center"/>
              <w:textAlignment w:val="center"/>
              <w:rPr>
                <w:rFonts w:hint="eastAsia" w:ascii="仿宋" w:hAnsi="仿宋" w:eastAsia="仿宋" w:cs="仿宋"/>
                <w:b w:val="0"/>
                <w:bCs w:val="0"/>
                <w:color w:val="auto"/>
                <w:kern w:val="0"/>
                <w:sz w:val="24"/>
                <w:szCs w:val="24"/>
                <w:lang w:val="en-US" w:eastAsia="zh-CN" w:bidi="ar-SA"/>
              </w:rPr>
            </w:pPr>
            <w:r>
              <w:rPr>
                <w:rFonts w:hint="eastAsia" w:ascii="仿宋" w:hAnsi="仿宋" w:eastAsia="仿宋" w:cs="仿宋"/>
                <w:i w:val="0"/>
                <w:iCs w:val="0"/>
                <w:color w:val="auto"/>
                <w:kern w:val="0"/>
                <w:sz w:val="24"/>
                <w:szCs w:val="24"/>
                <w:u w:val="none"/>
                <w:lang w:val="zh-CN" w:eastAsia="zh-CN" w:bidi="ar"/>
              </w:rPr>
              <w:t>安全责任</w:t>
            </w:r>
          </w:p>
        </w:tc>
        <w:tc>
          <w:tcPr>
            <w:tcW w:w="778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both"/>
              <w:textAlignment w:val="center"/>
              <w:rPr>
                <w:rFonts w:hint="eastAsia" w:ascii="仿宋" w:hAnsi="仿宋" w:eastAsia="仿宋" w:cs="仿宋"/>
                <w:b w:val="0"/>
                <w:bCs w:val="0"/>
                <w:color w:val="auto"/>
                <w:kern w:val="0"/>
                <w:sz w:val="24"/>
                <w:szCs w:val="24"/>
                <w:lang w:val="en-US" w:eastAsia="zh-CN" w:bidi="ar-SA"/>
              </w:rPr>
            </w:pPr>
            <w:r>
              <w:rPr>
                <w:rFonts w:hint="eastAsia" w:ascii="仿宋" w:hAnsi="仿宋" w:eastAsia="仿宋" w:cs="仿宋"/>
                <w:i w:val="0"/>
                <w:iCs w:val="0"/>
                <w:color w:val="auto"/>
                <w:kern w:val="0"/>
                <w:sz w:val="24"/>
                <w:szCs w:val="24"/>
                <w:u w:val="none"/>
                <w:lang w:val="en-US" w:eastAsia="zh-CN" w:bidi="ar"/>
              </w:rPr>
              <w:t>在项目实施过程中的各种意外，其责任由中标供应商承担，采购人和实施单位不承担任何责任。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37" w:hRule="atLeast"/>
        </w:trPr>
        <w:tc>
          <w:tcPr>
            <w:tcW w:w="168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b w:val="0"/>
                <w:bCs w:val="0"/>
                <w:color w:val="auto"/>
                <w:kern w:val="0"/>
                <w:sz w:val="24"/>
                <w:szCs w:val="24"/>
                <w:lang w:val="en-US" w:eastAsia="zh-CN" w:bidi="ar-SA"/>
              </w:rPr>
            </w:pPr>
            <w:r>
              <w:rPr>
                <w:rFonts w:hint="eastAsia" w:ascii="仿宋" w:hAnsi="仿宋" w:eastAsia="仿宋" w:cs="仿宋"/>
                <w:color w:val="auto"/>
                <w:sz w:val="24"/>
                <w:szCs w:val="24"/>
                <w:lang w:eastAsia="zh-CN"/>
              </w:rPr>
              <w:t>其他</w:t>
            </w:r>
          </w:p>
        </w:tc>
        <w:tc>
          <w:tcPr>
            <w:tcW w:w="778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jc w:val="both"/>
              <w:textAlignment w:val="center"/>
              <w:rPr>
                <w:rFonts w:hint="eastAsia" w:ascii="仿宋" w:hAnsi="仿宋" w:eastAsia="仿宋" w:cs="仿宋"/>
                <w:b w:val="0"/>
                <w:bCs w:val="0"/>
                <w:color w:val="auto"/>
                <w:kern w:val="0"/>
                <w:sz w:val="24"/>
                <w:szCs w:val="24"/>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中标</w:t>
            </w:r>
            <w:r>
              <w:rPr>
                <w:rFonts w:hint="eastAsia" w:ascii="仿宋" w:hAnsi="仿宋" w:eastAsia="仿宋" w:cs="仿宋"/>
                <w:i w:val="0"/>
                <w:iCs w:val="0"/>
                <w:color w:val="auto"/>
                <w:kern w:val="0"/>
                <w:sz w:val="24"/>
                <w:szCs w:val="24"/>
                <w:u w:val="none"/>
                <w:lang w:val="en-US" w:eastAsia="zh-CN" w:bidi="ar"/>
              </w:rPr>
              <w:t>供应商</w:t>
            </w:r>
            <w:r>
              <w:rPr>
                <w:rFonts w:hint="eastAsia" w:ascii="仿宋" w:hAnsi="仿宋" w:eastAsia="仿宋" w:cs="仿宋"/>
                <w:i w:val="0"/>
                <w:iCs w:val="0"/>
                <w:color w:val="auto"/>
                <w:kern w:val="0"/>
                <w:sz w:val="24"/>
                <w:szCs w:val="24"/>
                <w:highlight w:val="none"/>
                <w:u w:val="none"/>
                <w:lang w:val="en-US" w:eastAsia="zh-CN" w:bidi="ar"/>
              </w:rPr>
              <w:t>必须负责将产品运输至实施单位指定的地点，运输费及保险费等一切费用由中标</w:t>
            </w:r>
            <w:r>
              <w:rPr>
                <w:rFonts w:hint="eastAsia" w:ascii="仿宋" w:hAnsi="仿宋" w:eastAsia="仿宋" w:cs="仿宋"/>
                <w:i w:val="0"/>
                <w:iCs w:val="0"/>
                <w:color w:val="auto"/>
                <w:kern w:val="0"/>
                <w:sz w:val="24"/>
                <w:szCs w:val="24"/>
                <w:u w:val="none"/>
                <w:lang w:val="en-US" w:eastAsia="zh-CN" w:bidi="ar"/>
              </w:rPr>
              <w:t>供应商</w:t>
            </w:r>
            <w:r>
              <w:rPr>
                <w:rFonts w:hint="eastAsia" w:ascii="仿宋" w:hAnsi="仿宋" w:eastAsia="仿宋" w:cs="仿宋"/>
                <w:i w:val="0"/>
                <w:iCs w:val="0"/>
                <w:color w:val="auto"/>
                <w:kern w:val="0"/>
                <w:sz w:val="24"/>
                <w:szCs w:val="24"/>
                <w:highlight w:val="none"/>
                <w:u w:val="none"/>
                <w:lang w:val="en-US" w:eastAsia="zh-CN" w:bidi="ar"/>
              </w:rPr>
              <w:t>承担。产品在验收合格之前所有风险由中标</w:t>
            </w:r>
            <w:r>
              <w:rPr>
                <w:rFonts w:hint="eastAsia" w:ascii="仿宋" w:hAnsi="仿宋" w:eastAsia="仿宋" w:cs="仿宋"/>
                <w:i w:val="0"/>
                <w:iCs w:val="0"/>
                <w:color w:val="auto"/>
                <w:kern w:val="0"/>
                <w:sz w:val="24"/>
                <w:szCs w:val="24"/>
                <w:u w:val="none"/>
                <w:lang w:val="en-US" w:eastAsia="zh-CN" w:bidi="ar"/>
              </w:rPr>
              <w:t>供应商</w:t>
            </w:r>
            <w:r>
              <w:rPr>
                <w:rFonts w:hint="eastAsia" w:ascii="仿宋" w:hAnsi="仿宋" w:eastAsia="仿宋" w:cs="仿宋"/>
                <w:i w:val="0"/>
                <w:iCs w:val="0"/>
                <w:color w:val="auto"/>
                <w:kern w:val="0"/>
                <w:sz w:val="24"/>
                <w:szCs w:val="24"/>
                <w:highlight w:val="none"/>
                <w:u w:val="none"/>
                <w:lang w:val="en-US" w:eastAsia="zh-CN" w:bidi="ar"/>
              </w:rPr>
              <w:t>承担。如在运输、搬运、安装过程中造成货物损坏，实施单位有权不签收并由中标人承担相应经济损失，因搬运或安装过程中造成实施单位范围内物品损坏，采购人有权从中标</w:t>
            </w:r>
            <w:r>
              <w:rPr>
                <w:rFonts w:hint="eastAsia" w:ascii="仿宋" w:hAnsi="仿宋" w:eastAsia="仿宋" w:cs="仿宋"/>
                <w:i w:val="0"/>
                <w:iCs w:val="0"/>
                <w:color w:val="auto"/>
                <w:kern w:val="0"/>
                <w:sz w:val="24"/>
                <w:szCs w:val="24"/>
                <w:u w:val="none"/>
                <w:lang w:val="en-US" w:eastAsia="zh-CN" w:bidi="ar"/>
              </w:rPr>
              <w:t>供应商</w:t>
            </w:r>
            <w:r>
              <w:rPr>
                <w:rFonts w:hint="eastAsia" w:ascii="仿宋" w:hAnsi="仿宋" w:eastAsia="仿宋" w:cs="仿宋"/>
                <w:i w:val="0"/>
                <w:iCs w:val="0"/>
                <w:color w:val="auto"/>
                <w:kern w:val="0"/>
                <w:sz w:val="24"/>
                <w:szCs w:val="24"/>
                <w:highlight w:val="none"/>
                <w:u w:val="none"/>
                <w:lang w:val="en-US" w:eastAsia="zh-CN" w:bidi="ar"/>
              </w:rPr>
              <w:t>履约保证金中扣除相应赔偿金额</w:t>
            </w:r>
            <w:r>
              <w:rPr>
                <w:rFonts w:hint="default" w:ascii="仿宋" w:hAnsi="仿宋" w:eastAsia="仿宋" w:cs="仿宋"/>
                <w:color w:val="auto"/>
                <w:sz w:val="24"/>
                <w:szCs w:val="24"/>
              </w:rPr>
              <w:t>。</w:t>
            </w:r>
          </w:p>
        </w:tc>
      </w:tr>
    </w:tbl>
    <w:p>
      <w:pP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br w:type="page"/>
      </w:r>
    </w:p>
    <w:bookmarkEnd w:id="93"/>
    <w:p>
      <w:pPr>
        <w:pStyle w:val="4"/>
        <w:spacing w:line="700" w:lineRule="exact"/>
        <w:ind w:left="0" w:firstLine="0"/>
        <w:jc w:val="center"/>
        <w:rPr>
          <w:rFonts w:hint="eastAsia" w:ascii="仿宋" w:hAnsi="仿宋" w:eastAsia="仿宋" w:cs="仿宋"/>
          <w:b/>
          <w:bCs/>
          <w:color w:val="auto"/>
          <w:sz w:val="36"/>
          <w:szCs w:val="36"/>
        </w:rPr>
      </w:pPr>
      <w:bookmarkStart w:id="106" w:name="_Toc22296"/>
      <w:bookmarkStart w:id="107" w:name="_Toc17741"/>
      <w:bookmarkStart w:id="108" w:name="_Toc339302155"/>
      <w:bookmarkStart w:id="109" w:name="_Toc54978899"/>
      <w:bookmarkStart w:id="110" w:name="_Toc340321940"/>
      <w:bookmarkStart w:id="111" w:name="_Toc297662418"/>
      <w:bookmarkStart w:id="112" w:name="_Toc340322195"/>
      <w:bookmarkStart w:id="113" w:name="_Toc340322183"/>
      <w:bookmarkStart w:id="114" w:name="_Toc226337793"/>
      <w:bookmarkStart w:id="115" w:name="_Toc4171"/>
      <w:bookmarkStart w:id="116" w:name="_Toc248065071"/>
      <w:bookmarkStart w:id="117" w:name="_Toc340321928"/>
      <w:bookmarkStart w:id="118" w:name="_Toc339302144"/>
      <w:r>
        <w:rPr>
          <w:rFonts w:hint="eastAsia" w:ascii="仿宋" w:hAnsi="仿宋" w:eastAsia="仿宋" w:cs="仿宋"/>
          <w:b/>
          <w:bCs/>
          <w:color w:val="auto"/>
          <w:sz w:val="36"/>
          <w:szCs w:val="36"/>
          <w:lang w:val="en-US" w:eastAsia="zh-CN"/>
        </w:rPr>
        <w:t>第</w:t>
      </w:r>
      <w:r>
        <w:rPr>
          <w:rFonts w:hint="eastAsia" w:ascii="仿宋" w:hAnsi="仿宋" w:eastAsia="仿宋" w:cs="仿宋"/>
          <w:b/>
          <w:bCs/>
          <w:color w:val="auto"/>
          <w:sz w:val="36"/>
          <w:szCs w:val="36"/>
        </w:rPr>
        <w:t>四部分  评标办法</w:t>
      </w:r>
      <w:bookmarkEnd w:id="106"/>
      <w:bookmarkEnd w:id="107"/>
      <w:bookmarkEnd w:id="108"/>
      <w:bookmarkEnd w:id="109"/>
      <w:bookmarkEnd w:id="110"/>
      <w:bookmarkEnd w:id="111"/>
      <w:bookmarkEnd w:id="112"/>
    </w:p>
    <w:p>
      <w:pPr>
        <w:spacing w:line="44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lang w:eastAsia="zh-CN"/>
        </w:rPr>
        <w:t>根据</w:t>
      </w:r>
      <w:r>
        <w:rPr>
          <w:rFonts w:hint="eastAsia" w:ascii="仿宋" w:hAnsi="仿宋" w:eastAsia="仿宋" w:cs="仿宋"/>
          <w:color w:val="auto"/>
          <w:sz w:val="24"/>
          <w:szCs w:val="24"/>
        </w:rPr>
        <w:t>《中华人民共和国政府采购法》、财政部第87号令的有关规定及此项目的实际情况，遵循公平、公正、科学择优的原则，特制定本办法。</w:t>
      </w:r>
    </w:p>
    <w:p>
      <w:pPr>
        <w:pStyle w:val="6"/>
        <w:spacing w:before="120" w:beforeLines="0" w:after="120" w:afterLines="0" w:line="440" w:lineRule="exact"/>
        <w:ind w:firstLine="103"/>
        <w:rPr>
          <w:rFonts w:hint="eastAsia" w:ascii="仿宋" w:hAnsi="仿宋" w:eastAsia="仿宋" w:cs="仿宋"/>
          <w:color w:val="auto"/>
          <w:sz w:val="24"/>
          <w:szCs w:val="24"/>
        </w:rPr>
      </w:pPr>
      <w:bookmarkStart w:id="119" w:name="_Toc297662419"/>
      <w:bookmarkStart w:id="120" w:name="_Toc22707"/>
      <w:r>
        <w:rPr>
          <w:rFonts w:hint="eastAsia" w:ascii="仿宋" w:hAnsi="仿宋" w:eastAsia="仿宋" w:cs="仿宋"/>
          <w:color w:val="auto"/>
          <w:sz w:val="24"/>
          <w:szCs w:val="24"/>
        </w:rPr>
        <w:t>一、评标组织</w:t>
      </w:r>
      <w:bookmarkEnd w:id="119"/>
      <w:bookmarkEnd w:id="120"/>
    </w:p>
    <w:p>
      <w:pPr>
        <w:spacing w:line="44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评标工作由评标委员会负责。评标委员会按有关规定产生。评标委员会由采购人代表和有关技术、经济等方面的专家组成，成员人数为五人及以上单数。其中，技术、经济等方面的专家不得少于成员总数的三分之二。整个开、评标过程接受有关部门的监督指导。</w:t>
      </w:r>
    </w:p>
    <w:p>
      <w:pPr>
        <w:pStyle w:val="6"/>
        <w:spacing w:before="120" w:beforeLines="0" w:after="120" w:afterLines="0" w:line="440" w:lineRule="exact"/>
        <w:ind w:firstLine="103"/>
        <w:rPr>
          <w:rFonts w:hint="eastAsia" w:ascii="仿宋" w:hAnsi="仿宋" w:eastAsia="仿宋" w:cs="仿宋"/>
          <w:color w:val="auto"/>
          <w:sz w:val="24"/>
          <w:szCs w:val="24"/>
        </w:rPr>
      </w:pPr>
      <w:bookmarkStart w:id="121" w:name="_Toc11215"/>
      <w:bookmarkStart w:id="122" w:name="_Toc297662420"/>
      <w:r>
        <w:rPr>
          <w:rFonts w:hint="eastAsia" w:ascii="仿宋" w:hAnsi="仿宋" w:eastAsia="仿宋" w:cs="仿宋"/>
          <w:color w:val="auto"/>
          <w:sz w:val="24"/>
          <w:szCs w:val="24"/>
        </w:rPr>
        <w:t>二、评标方法</w:t>
      </w:r>
      <w:bookmarkEnd w:id="121"/>
      <w:bookmarkEnd w:id="122"/>
    </w:p>
    <w:p>
      <w:pPr>
        <w:spacing w:line="440" w:lineRule="exact"/>
        <w:ind w:firstLine="551" w:firstLineChars="218"/>
        <w:rPr>
          <w:rFonts w:hint="eastAsia" w:ascii="仿宋" w:hAnsi="仿宋" w:eastAsia="仿宋" w:cs="仿宋"/>
          <w:color w:val="auto"/>
          <w:sz w:val="24"/>
          <w:szCs w:val="24"/>
        </w:rPr>
      </w:pPr>
      <w:r>
        <w:rPr>
          <w:rFonts w:hint="eastAsia" w:ascii="仿宋" w:hAnsi="仿宋" w:eastAsia="仿宋" w:cs="仿宋"/>
          <w:b/>
          <w:bCs/>
          <w:color w:val="auto"/>
          <w:spacing w:val="6"/>
          <w:sz w:val="24"/>
          <w:szCs w:val="24"/>
        </w:rPr>
        <w:t>本项目采用综合评分法。</w:t>
      </w:r>
      <w:r>
        <w:rPr>
          <w:rFonts w:hint="eastAsia" w:ascii="仿宋" w:hAnsi="仿宋" w:eastAsia="仿宋" w:cs="仿宋"/>
          <w:color w:val="auto"/>
          <w:sz w:val="24"/>
          <w:szCs w:val="24"/>
        </w:rPr>
        <w:t>开标后，评标委员会首先对投标人进行资格性审查和投标文件符合性审查，凡投标人不符合投标资格或投标文件完整性、合法性存在欠缺的，或投标文件实质性内容和关键格式严重不符合有关规定和不响应采购文件要求的，作为无效标予以废除，不进入评议打分范围。</w:t>
      </w:r>
    </w:p>
    <w:p>
      <w:pPr>
        <w:pStyle w:val="22"/>
        <w:spacing w:line="44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评标委员会以审标、询标为基础依据，对投标文件及投标人分别进行分析评议，按《评标细则》由评委独立评议计分，取汇总后的算术平均值。</w:t>
      </w:r>
    </w:p>
    <w:p>
      <w:pPr>
        <w:spacing w:line="44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投标人的综合得分为技术资信部分、价格部分评分的总计（指定专人进行计算和复核，四舍五入法，保留两位小数），中标候选资格按评标得分由高到低顺序排列，得分相同的，按投标报价由低到高顺序排列；得分且投标报价相同的，按技术商务得分由高到低排列。综合得分排名第一的投标人为预中标候选人，若预中标候选人放弃中标资格或因质疑、投诉被取消预中标资格或不能履行合同的，则可将该标授予下一个中标候选人或者重新招标。</w:t>
      </w:r>
    </w:p>
    <w:p>
      <w:pPr>
        <w:pStyle w:val="6"/>
        <w:spacing w:before="120" w:beforeLines="0" w:after="120" w:afterLines="0" w:line="440" w:lineRule="exact"/>
        <w:ind w:firstLine="103"/>
        <w:rPr>
          <w:rFonts w:hint="eastAsia" w:ascii="仿宋" w:hAnsi="仿宋" w:eastAsia="仿宋" w:cs="仿宋"/>
          <w:color w:val="auto"/>
          <w:sz w:val="24"/>
          <w:szCs w:val="24"/>
        </w:rPr>
      </w:pPr>
      <w:bookmarkStart w:id="123" w:name="_Toc297662421"/>
      <w:bookmarkStart w:id="124" w:name="_Toc4514"/>
      <w:r>
        <w:rPr>
          <w:rFonts w:hint="eastAsia" w:ascii="仿宋" w:hAnsi="仿宋" w:eastAsia="仿宋" w:cs="仿宋"/>
          <w:color w:val="auto"/>
          <w:sz w:val="24"/>
          <w:szCs w:val="24"/>
        </w:rPr>
        <w:t>三、定标办法</w:t>
      </w:r>
      <w:bookmarkEnd w:id="123"/>
      <w:bookmarkEnd w:id="124"/>
    </w:p>
    <w:p>
      <w:pPr>
        <w:pStyle w:val="22"/>
        <w:spacing w:line="44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评标结束后，采购人根据评标委员会提交的评标报告和推荐意见，对进入候选的投标人进行最终审查。终审后根据推荐的候选</w:t>
      </w:r>
      <w:r>
        <w:rPr>
          <w:rFonts w:hint="eastAsia" w:ascii="仿宋" w:hAnsi="仿宋" w:eastAsia="仿宋" w:cs="仿宋"/>
          <w:color w:val="auto"/>
          <w:sz w:val="24"/>
          <w:szCs w:val="24"/>
          <w:lang w:eastAsia="zh-CN"/>
        </w:rPr>
        <w:t>中标人</w:t>
      </w:r>
      <w:r>
        <w:rPr>
          <w:rFonts w:hint="eastAsia" w:ascii="仿宋" w:hAnsi="仿宋" w:eastAsia="仿宋" w:cs="仿宋"/>
          <w:color w:val="auto"/>
          <w:sz w:val="24"/>
          <w:szCs w:val="24"/>
        </w:rPr>
        <w:t>情况确定</w:t>
      </w:r>
      <w:r>
        <w:rPr>
          <w:rFonts w:hint="eastAsia" w:ascii="仿宋" w:hAnsi="仿宋" w:eastAsia="仿宋" w:cs="仿宋"/>
          <w:color w:val="auto"/>
          <w:sz w:val="24"/>
          <w:szCs w:val="24"/>
          <w:lang w:eastAsia="zh-CN"/>
        </w:rPr>
        <w:t>中标人</w:t>
      </w:r>
      <w:r>
        <w:rPr>
          <w:rFonts w:hint="eastAsia" w:ascii="仿宋" w:hAnsi="仿宋" w:eastAsia="仿宋" w:cs="仿宋"/>
          <w:color w:val="auto"/>
          <w:sz w:val="24"/>
          <w:szCs w:val="24"/>
        </w:rPr>
        <w:t>。</w:t>
      </w:r>
      <w:r>
        <w:rPr>
          <w:rFonts w:hint="eastAsia" w:ascii="仿宋" w:hAnsi="仿宋" w:eastAsia="仿宋" w:cs="仿宋"/>
          <w:b/>
          <w:bCs/>
          <w:color w:val="auto"/>
          <w:spacing w:val="6"/>
          <w:sz w:val="24"/>
          <w:szCs w:val="24"/>
        </w:rPr>
        <w:t>最低报价不是中标的唯一保证。</w:t>
      </w:r>
    </w:p>
    <w:p>
      <w:pPr>
        <w:spacing w:line="44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整个评标过程应严格保密，评标委员会成员及工作人员应严格遵守纪律，不得泄漏任何评标信息。</w:t>
      </w:r>
    </w:p>
    <w:p>
      <w:pPr>
        <w:pStyle w:val="6"/>
        <w:spacing w:before="120" w:beforeLines="0" w:after="120" w:afterLines="0" w:line="440" w:lineRule="exact"/>
        <w:ind w:firstLine="103"/>
        <w:rPr>
          <w:rFonts w:hint="eastAsia" w:ascii="仿宋" w:hAnsi="仿宋" w:eastAsia="仿宋" w:cs="仿宋"/>
          <w:color w:val="auto"/>
          <w:sz w:val="28"/>
          <w:szCs w:val="28"/>
        </w:rPr>
      </w:pPr>
      <w:bookmarkStart w:id="125" w:name="_Toc19935"/>
      <w:r>
        <w:rPr>
          <w:rFonts w:hint="eastAsia" w:ascii="仿宋" w:hAnsi="仿宋" w:eastAsia="仿宋" w:cs="仿宋"/>
          <w:color w:val="auto"/>
          <w:sz w:val="28"/>
          <w:szCs w:val="28"/>
        </w:rPr>
        <w:t>四、评标细则</w:t>
      </w:r>
      <w:bookmarkEnd w:id="125"/>
    </w:p>
    <w:p>
      <w:pPr>
        <w:spacing w:line="440" w:lineRule="exact"/>
        <w:rPr>
          <w:rFonts w:hint="eastAsia" w:ascii="仿宋" w:hAnsi="仿宋" w:eastAsia="仿宋" w:cs="仿宋"/>
          <w:color w:val="auto"/>
          <w:sz w:val="24"/>
          <w:szCs w:val="24"/>
        </w:rPr>
      </w:pPr>
      <w:r>
        <w:rPr>
          <w:rFonts w:hint="eastAsia" w:ascii="仿宋" w:hAnsi="仿宋" w:eastAsia="仿宋" w:cs="仿宋"/>
          <w:color w:val="auto"/>
          <w:kern w:val="0"/>
          <w:sz w:val="24"/>
          <w:szCs w:val="24"/>
        </w:rPr>
        <w:t>一、</w:t>
      </w:r>
      <w:r>
        <w:rPr>
          <w:rFonts w:hint="eastAsia" w:ascii="仿宋" w:hAnsi="仿宋" w:eastAsia="仿宋" w:cs="仿宋"/>
          <w:color w:val="auto"/>
          <w:sz w:val="24"/>
          <w:szCs w:val="24"/>
        </w:rPr>
        <w:t>技术资信部分</w:t>
      </w:r>
      <w:r>
        <w:rPr>
          <w:rFonts w:hint="eastAsia" w:ascii="仿宋" w:hAnsi="仿宋" w:eastAsia="仿宋" w:cs="仿宋"/>
          <w:color w:val="auto"/>
          <w:sz w:val="24"/>
          <w:szCs w:val="24"/>
          <w:lang w:val="en-US" w:eastAsia="zh-CN"/>
        </w:rPr>
        <w:t>60</w:t>
      </w:r>
      <w:r>
        <w:rPr>
          <w:rFonts w:hint="eastAsia" w:ascii="仿宋" w:hAnsi="仿宋" w:eastAsia="仿宋" w:cs="仿宋"/>
          <w:color w:val="auto"/>
          <w:sz w:val="24"/>
          <w:szCs w:val="24"/>
        </w:rPr>
        <w:t>分。</w:t>
      </w:r>
    </w:p>
    <w:p>
      <w:pPr>
        <w:spacing w:line="440" w:lineRule="exact"/>
        <w:rPr>
          <w:rFonts w:hint="eastAsia" w:ascii="仿宋" w:hAnsi="仿宋" w:eastAsia="仿宋" w:cs="仿宋"/>
          <w:color w:val="auto"/>
          <w:sz w:val="24"/>
          <w:szCs w:val="24"/>
        </w:rPr>
      </w:pPr>
      <w:r>
        <w:rPr>
          <w:rFonts w:hint="eastAsia" w:ascii="仿宋" w:hAnsi="仿宋" w:eastAsia="仿宋" w:cs="仿宋"/>
          <w:color w:val="auto"/>
          <w:sz w:val="24"/>
          <w:szCs w:val="24"/>
        </w:rPr>
        <w:t>（一）各评委成员按评标细则进行评审，计算精确到小数点后二位（各家单位的分值为所有评标成员给出的值的算术平均值）。</w:t>
      </w:r>
    </w:p>
    <w:p>
      <w:pPr>
        <w:spacing w:line="440" w:lineRule="exact"/>
        <w:rPr>
          <w:rFonts w:hint="eastAsia" w:ascii="仿宋" w:hAnsi="仿宋" w:eastAsia="仿宋" w:cs="仿宋"/>
          <w:b/>
          <w:color w:val="auto"/>
          <w:sz w:val="24"/>
          <w:szCs w:val="24"/>
        </w:rPr>
      </w:pPr>
      <w:r>
        <w:rPr>
          <w:rFonts w:hint="eastAsia" w:ascii="仿宋" w:hAnsi="仿宋" w:eastAsia="仿宋" w:cs="仿宋"/>
          <w:color w:val="auto"/>
          <w:sz w:val="24"/>
          <w:szCs w:val="24"/>
        </w:rPr>
        <w:t>（二）技术资信分值（</w:t>
      </w:r>
      <w:r>
        <w:rPr>
          <w:rFonts w:hint="eastAsia" w:ascii="仿宋" w:hAnsi="仿宋" w:eastAsia="仿宋" w:cs="仿宋"/>
          <w:color w:val="auto"/>
          <w:sz w:val="24"/>
          <w:szCs w:val="24"/>
          <w:lang w:val="en-US" w:eastAsia="zh-CN"/>
        </w:rPr>
        <w:t>60</w:t>
      </w:r>
      <w:r>
        <w:rPr>
          <w:rFonts w:hint="eastAsia" w:ascii="仿宋" w:hAnsi="仿宋" w:eastAsia="仿宋" w:cs="仿宋"/>
          <w:color w:val="auto"/>
          <w:sz w:val="24"/>
          <w:szCs w:val="24"/>
        </w:rPr>
        <w:t>分）</w:t>
      </w:r>
    </w:p>
    <w:tbl>
      <w:tblPr>
        <w:tblStyle w:val="82"/>
        <w:tblW w:w="9598"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9"/>
        <w:gridCol w:w="1567"/>
        <w:gridCol w:w="6337"/>
        <w:gridCol w:w="9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0" w:hRule="atLeast"/>
        </w:trPr>
        <w:tc>
          <w:tcPr>
            <w:tcW w:w="769"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spacing w:before="0" w:beforeAutospacing="0" w:after="0" w:afterAutospacing="0" w:line="400" w:lineRule="exact"/>
              <w:ind w:left="0" w:right="0"/>
              <w:jc w:val="center"/>
              <w:rPr>
                <w:rFonts w:hint="eastAsia" w:ascii="仿宋_GB2312" w:hAnsi="仿宋" w:eastAsia="仿宋_GB2312" w:cs="仿宋"/>
                <w:b/>
                <w:color w:val="auto"/>
                <w:sz w:val="24"/>
                <w:szCs w:val="22"/>
              </w:rPr>
            </w:pPr>
            <w:r>
              <w:rPr>
                <w:rFonts w:hint="eastAsia" w:ascii="仿宋_GB2312" w:hAnsi="仿宋" w:eastAsia="仿宋_GB2312" w:cs="仿宋"/>
                <w:b/>
                <w:color w:val="auto"/>
                <w:sz w:val="24"/>
                <w:szCs w:val="22"/>
              </w:rPr>
              <w:t>序号</w:t>
            </w:r>
          </w:p>
        </w:tc>
        <w:tc>
          <w:tcPr>
            <w:tcW w:w="1567"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spacing w:before="0" w:beforeAutospacing="0" w:after="0" w:afterAutospacing="0" w:line="400" w:lineRule="exact"/>
              <w:ind w:left="0" w:right="0"/>
              <w:jc w:val="center"/>
              <w:rPr>
                <w:rFonts w:hint="default" w:ascii="仿宋_GB2312" w:hAnsi="仿宋" w:eastAsia="仿宋_GB2312" w:cs="仿宋"/>
                <w:b/>
                <w:color w:val="auto"/>
                <w:sz w:val="24"/>
                <w:szCs w:val="22"/>
                <w:lang w:val="en-US" w:eastAsia="zh-CN"/>
              </w:rPr>
            </w:pPr>
            <w:r>
              <w:rPr>
                <w:rFonts w:hint="eastAsia" w:ascii="仿宋_GB2312" w:hAnsi="仿宋" w:eastAsia="仿宋_GB2312" w:cs="仿宋"/>
                <w:b/>
                <w:color w:val="auto"/>
                <w:sz w:val="24"/>
                <w:szCs w:val="22"/>
                <w:lang w:val="en-US" w:eastAsia="zh-CN"/>
              </w:rPr>
              <w:t>评审内容</w:t>
            </w:r>
          </w:p>
        </w:tc>
        <w:tc>
          <w:tcPr>
            <w:tcW w:w="6337"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spacing w:before="0" w:beforeAutospacing="0" w:after="0" w:afterAutospacing="0" w:line="400" w:lineRule="exact"/>
              <w:ind w:left="0" w:right="0"/>
              <w:jc w:val="center"/>
              <w:rPr>
                <w:rFonts w:hint="eastAsia" w:ascii="仿宋_GB2312" w:hAnsi="仿宋" w:eastAsia="仿宋_GB2312" w:cs="仿宋"/>
                <w:b/>
                <w:color w:val="auto"/>
                <w:sz w:val="24"/>
                <w:szCs w:val="22"/>
              </w:rPr>
            </w:pPr>
            <w:r>
              <w:rPr>
                <w:rFonts w:hint="eastAsia" w:ascii="仿宋_GB2312" w:hAnsi="仿宋" w:eastAsia="仿宋_GB2312" w:cs="仿宋"/>
                <w:b/>
                <w:color w:val="auto"/>
                <w:sz w:val="24"/>
                <w:szCs w:val="22"/>
              </w:rPr>
              <w:t>评分细则</w:t>
            </w:r>
          </w:p>
        </w:tc>
        <w:tc>
          <w:tcPr>
            <w:tcW w:w="92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spacing w:before="0" w:beforeAutospacing="0" w:after="0" w:afterAutospacing="0" w:line="400" w:lineRule="exact"/>
              <w:ind w:left="0" w:right="0"/>
              <w:jc w:val="center"/>
              <w:rPr>
                <w:rFonts w:hint="eastAsia" w:ascii="仿宋_GB2312" w:hAnsi="仿宋" w:eastAsia="仿宋_GB2312" w:cs="仿宋"/>
                <w:b/>
                <w:color w:val="auto"/>
                <w:sz w:val="24"/>
                <w:szCs w:val="22"/>
              </w:rPr>
            </w:pPr>
            <w:r>
              <w:rPr>
                <w:rFonts w:hint="eastAsia" w:ascii="仿宋_GB2312" w:hAnsi="仿宋" w:eastAsia="仿宋_GB2312" w:cs="仿宋"/>
                <w:b/>
                <w:color w:val="auto"/>
                <w:sz w:val="24"/>
                <w:szCs w:val="22"/>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72" w:hRule="atLeast"/>
        </w:trPr>
        <w:tc>
          <w:tcPr>
            <w:tcW w:w="769" w:type="dxa"/>
            <w:tcBorders>
              <w:left w:val="single" w:color="auto" w:sz="4" w:space="0"/>
              <w:bottom w:val="single" w:color="auto" w:sz="4" w:space="0"/>
              <w:right w:val="single" w:color="auto" w:sz="4" w:space="0"/>
            </w:tcBorders>
            <w:noWrap/>
            <w:vAlign w:val="center"/>
          </w:tcPr>
          <w:p>
            <w:pPr>
              <w:keepNext w:val="0"/>
              <w:keepLines w:val="0"/>
              <w:suppressLineNumbers w:val="0"/>
              <w:spacing w:before="156" w:beforeAutospacing="0" w:after="0" w:afterAutospacing="0" w:line="400" w:lineRule="exact"/>
              <w:ind w:left="0" w:right="0"/>
              <w:jc w:val="center"/>
              <w:rPr>
                <w:rFonts w:hint="eastAsia" w:ascii="仿宋_GB2312" w:hAnsi="仿宋" w:eastAsia="仿宋_GB2312" w:cs="仿宋"/>
                <w:bCs/>
                <w:color w:val="auto"/>
                <w:sz w:val="24"/>
                <w:szCs w:val="22"/>
                <w:lang w:val="en-US" w:eastAsia="zh-CN"/>
              </w:rPr>
            </w:pPr>
            <w:r>
              <w:rPr>
                <w:rFonts w:hint="eastAsia" w:ascii="仿宋_GB2312" w:hAnsi="仿宋" w:eastAsia="仿宋_GB2312" w:cs="仿宋"/>
                <w:bCs/>
                <w:color w:val="auto"/>
                <w:sz w:val="24"/>
                <w:szCs w:val="22"/>
                <w:lang w:val="en-US" w:eastAsia="zh-CN"/>
              </w:rPr>
              <w:t>1</w:t>
            </w:r>
          </w:p>
        </w:tc>
        <w:tc>
          <w:tcPr>
            <w:tcW w:w="1567" w:type="dxa"/>
            <w:tcBorders>
              <w:left w:val="single" w:color="auto" w:sz="4" w:space="0"/>
              <w:bottom w:val="single" w:color="auto" w:sz="4" w:space="0"/>
              <w:right w:val="single" w:color="auto" w:sz="4" w:space="0"/>
            </w:tcBorders>
            <w:noWrap/>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eastAsia" w:ascii="仿宋" w:hAnsi="仿宋" w:eastAsia="仿宋" w:cs="仿宋"/>
                <w:bCs/>
                <w:color w:val="auto"/>
                <w:sz w:val="24"/>
                <w:szCs w:val="22"/>
                <w:lang w:eastAsia="zh-CN"/>
              </w:rPr>
            </w:pPr>
            <w:r>
              <w:rPr>
                <w:rFonts w:hint="eastAsia" w:ascii="仿宋" w:hAnsi="仿宋" w:eastAsia="仿宋" w:cs="仿宋"/>
                <w:color w:val="auto"/>
                <w:sz w:val="24"/>
                <w:szCs w:val="24"/>
                <w:highlight w:val="none"/>
                <w:lang w:val="en-US" w:eastAsia="zh-CN"/>
              </w:rPr>
              <w:t>综合实力</w:t>
            </w:r>
          </w:p>
        </w:tc>
        <w:tc>
          <w:tcPr>
            <w:tcW w:w="633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400" w:lineRule="exact"/>
              <w:ind w:left="0" w:right="0" w:right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（1）投标人具有质量管理体系认证证书的得1分；</w:t>
            </w:r>
            <w:r>
              <w:rPr>
                <w:rFonts w:hint="eastAsia" w:ascii="仿宋" w:hAnsi="仿宋" w:eastAsia="仿宋" w:cs="仿宋"/>
                <w:color w:val="auto"/>
                <w:sz w:val="24"/>
                <w:szCs w:val="24"/>
                <w:highlight w:val="none"/>
                <w:lang w:val="en-US" w:eastAsia="zh-CN"/>
              </w:rPr>
              <w:br w:type="textWrapping"/>
            </w:r>
            <w:r>
              <w:rPr>
                <w:rFonts w:hint="eastAsia" w:ascii="仿宋" w:hAnsi="仿宋" w:eastAsia="仿宋" w:cs="仿宋"/>
                <w:color w:val="auto"/>
                <w:sz w:val="24"/>
                <w:szCs w:val="24"/>
                <w:highlight w:val="none"/>
                <w:lang w:val="en-US" w:eastAsia="zh-CN"/>
              </w:rPr>
              <w:t>（2）投标人具有环境管理体系认证证书的得1分；</w:t>
            </w:r>
            <w:r>
              <w:rPr>
                <w:rFonts w:hint="eastAsia" w:ascii="仿宋" w:hAnsi="仿宋" w:eastAsia="仿宋" w:cs="仿宋"/>
                <w:color w:val="auto"/>
                <w:sz w:val="24"/>
                <w:szCs w:val="24"/>
                <w:highlight w:val="none"/>
                <w:lang w:val="en-US" w:eastAsia="zh-CN"/>
              </w:rPr>
              <w:br w:type="textWrapping"/>
            </w:r>
            <w:r>
              <w:rPr>
                <w:rFonts w:hint="eastAsia" w:ascii="仿宋" w:hAnsi="仿宋" w:eastAsia="仿宋" w:cs="仿宋"/>
                <w:color w:val="auto"/>
                <w:sz w:val="24"/>
                <w:szCs w:val="24"/>
                <w:highlight w:val="none"/>
                <w:lang w:val="en-US" w:eastAsia="zh-CN"/>
              </w:rPr>
              <w:t>（3）投标人具有职业健康安全管理体系认证的得1分；</w:t>
            </w:r>
          </w:p>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400" w:lineRule="exact"/>
              <w:ind w:left="0" w:right="0" w:right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（4）投标人具有家具产品环保卫士认证证书的得1分；</w:t>
            </w:r>
          </w:p>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textAlignment w:val="auto"/>
              <w:rPr>
                <w:rFonts w:hint="eastAsia" w:ascii="仿宋" w:hAnsi="仿宋" w:eastAsia="仿宋" w:cs="仿宋"/>
                <w:color w:val="auto"/>
                <w:sz w:val="24"/>
                <w:szCs w:val="22"/>
              </w:rPr>
            </w:pPr>
            <w:r>
              <w:rPr>
                <w:rFonts w:hint="eastAsia" w:ascii="仿宋" w:hAnsi="仿宋" w:eastAsia="仿宋" w:cs="仿宋"/>
                <w:color w:val="auto"/>
                <w:sz w:val="24"/>
                <w:szCs w:val="24"/>
                <w:highlight w:val="none"/>
                <w:lang w:val="en-US" w:eastAsia="zh-CN"/>
              </w:rPr>
              <w:t>（提供有效期内的相关证书扫描件并加盖CA签章）。</w:t>
            </w:r>
          </w:p>
        </w:tc>
        <w:tc>
          <w:tcPr>
            <w:tcW w:w="925"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eastAsia" w:ascii="仿宋" w:hAnsi="仿宋" w:eastAsia="仿宋" w:cs="仿宋"/>
                <w:bCs/>
                <w:color w:val="auto"/>
                <w:sz w:val="24"/>
                <w:szCs w:val="22"/>
                <w:lang w:val="en-US" w:eastAsia="zh-CN"/>
              </w:rPr>
            </w:pPr>
            <w:r>
              <w:rPr>
                <w:rFonts w:hint="eastAsia" w:ascii="仿宋" w:hAnsi="仿宋" w:eastAsia="仿宋" w:cs="仿宋"/>
                <w:color w:val="auto"/>
                <w:sz w:val="24"/>
                <w:szCs w:val="24"/>
                <w:highlight w:val="none"/>
                <w:lang w:val="en-US" w:eastAsia="zh-CN"/>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0" w:hRule="atLeast"/>
        </w:trPr>
        <w:tc>
          <w:tcPr>
            <w:tcW w:w="769" w:type="dxa"/>
            <w:tcBorders>
              <w:left w:val="single" w:color="auto" w:sz="4" w:space="0"/>
              <w:bottom w:val="single" w:color="auto" w:sz="4" w:space="0"/>
              <w:right w:val="single" w:color="auto" w:sz="4" w:space="0"/>
            </w:tcBorders>
            <w:noWrap/>
            <w:vAlign w:val="center"/>
          </w:tcPr>
          <w:p>
            <w:pPr>
              <w:keepNext w:val="0"/>
              <w:keepLines w:val="0"/>
              <w:suppressLineNumbers w:val="0"/>
              <w:spacing w:before="156" w:beforeAutospacing="0" w:after="0" w:afterAutospacing="0" w:line="400" w:lineRule="exact"/>
              <w:ind w:left="0" w:right="0"/>
              <w:jc w:val="center"/>
              <w:rPr>
                <w:rFonts w:hint="eastAsia" w:ascii="仿宋_GB2312" w:hAnsi="仿宋" w:eastAsia="仿宋_GB2312" w:cs="仿宋"/>
                <w:bCs/>
                <w:color w:val="auto"/>
                <w:sz w:val="24"/>
                <w:szCs w:val="22"/>
                <w:lang w:eastAsia="zh-CN"/>
              </w:rPr>
            </w:pPr>
            <w:r>
              <w:rPr>
                <w:rFonts w:hint="eastAsia" w:ascii="仿宋_GB2312" w:hAnsi="仿宋" w:eastAsia="仿宋_GB2312" w:cs="仿宋"/>
                <w:bCs/>
                <w:color w:val="auto"/>
                <w:sz w:val="24"/>
                <w:szCs w:val="22"/>
                <w:lang w:val="en-US" w:eastAsia="zh-CN"/>
              </w:rPr>
              <w:t>2</w:t>
            </w:r>
          </w:p>
        </w:tc>
        <w:tc>
          <w:tcPr>
            <w:tcW w:w="1567" w:type="dxa"/>
            <w:tcBorders>
              <w:left w:val="single" w:color="auto" w:sz="4" w:space="0"/>
              <w:bottom w:val="single" w:color="auto" w:sz="4" w:space="0"/>
              <w:right w:val="single" w:color="auto" w:sz="4" w:space="0"/>
            </w:tcBorders>
            <w:noWrap/>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eastAsia" w:ascii="仿宋" w:hAnsi="仿宋" w:eastAsia="仿宋" w:cs="仿宋"/>
                <w:bCs/>
                <w:color w:val="auto"/>
                <w:sz w:val="24"/>
                <w:szCs w:val="22"/>
              </w:rPr>
            </w:pPr>
            <w:r>
              <w:rPr>
                <w:rFonts w:hint="eastAsia" w:ascii="仿宋" w:hAnsi="仿宋" w:eastAsia="仿宋" w:cs="仿宋"/>
                <w:color w:val="auto"/>
                <w:sz w:val="24"/>
                <w:szCs w:val="24"/>
                <w:highlight w:val="none"/>
                <w:lang w:val="en-US" w:eastAsia="zh-CN"/>
              </w:rPr>
              <w:t>项目业绩</w:t>
            </w:r>
          </w:p>
        </w:tc>
        <w:tc>
          <w:tcPr>
            <w:tcW w:w="633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投标人提供自2024年1月1日以来（以合同签订时间为准）承接过同类项目业绩的每个得1分，最高得3分。</w:t>
            </w:r>
          </w:p>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textAlignment w:val="auto"/>
              <w:rPr>
                <w:rFonts w:hint="eastAsia" w:ascii="仿宋" w:hAnsi="仿宋" w:eastAsia="仿宋" w:cs="仿宋"/>
                <w:color w:val="auto"/>
                <w:sz w:val="24"/>
                <w:szCs w:val="22"/>
              </w:rPr>
            </w:pPr>
            <w:r>
              <w:rPr>
                <w:rFonts w:hint="eastAsia" w:ascii="仿宋" w:hAnsi="仿宋" w:eastAsia="仿宋" w:cs="仿宋"/>
                <w:color w:val="auto"/>
                <w:sz w:val="24"/>
                <w:szCs w:val="24"/>
                <w:highlight w:val="none"/>
                <w:lang w:val="en-US" w:eastAsia="zh-CN"/>
              </w:rPr>
              <w:t>（提供中标通知书、合同扫描件并加盖CA签章）</w:t>
            </w:r>
          </w:p>
        </w:tc>
        <w:tc>
          <w:tcPr>
            <w:tcW w:w="925"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eastAsia" w:ascii="仿宋" w:hAnsi="仿宋" w:eastAsia="仿宋" w:cs="仿宋"/>
                <w:bCs/>
                <w:color w:val="auto"/>
                <w:sz w:val="24"/>
                <w:szCs w:val="22"/>
              </w:rPr>
            </w:pPr>
            <w:r>
              <w:rPr>
                <w:rFonts w:hint="eastAsia" w:ascii="仿宋" w:hAnsi="仿宋" w:eastAsia="仿宋" w:cs="仿宋"/>
                <w:color w:val="auto"/>
                <w:sz w:val="24"/>
                <w:szCs w:val="24"/>
                <w:highlight w:val="none"/>
                <w:lang w:val="en-US" w:eastAsia="zh-CN"/>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82" w:hRule="atLeast"/>
        </w:trPr>
        <w:tc>
          <w:tcPr>
            <w:tcW w:w="769" w:type="dxa"/>
            <w:tcBorders>
              <w:left w:val="single" w:color="auto" w:sz="4" w:space="0"/>
              <w:bottom w:val="single" w:color="auto" w:sz="4" w:space="0"/>
              <w:right w:val="single" w:color="auto" w:sz="4" w:space="0"/>
            </w:tcBorders>
            <w:noWrap/>
            <w:vAlign w:val="center"/>
          </w:tcPr>
          <w:p>
            <w:pPr>
              <w:keepNext w:val="0"/>
              <w:keepLines w:val="0"/>
              <w:suppressLineNumbers w:val="0"/>
              <w:spacing w:before="156" w:beforeAutospacing="0" w:after="0" w:afterAutospacing="0" w:line="400" w:lineRule="exact"/>
              <w:ind w:left="0" w:right="0"/>
              <w:jc w:val="center"/>
              <w:rPr>
                <w:rFonts w:hint="eastAsia" w:ascii="仿宋_GB2312" w:hAnsi="仿宋" w:eastAsia="仿宋_GB2312" w:cs="仿宋"/>
                <w:bCs/>
                <w:color w:val="auto"/>
                <w:sz w:val="24"/>
                <w:szCs w:val="22"/>
                <w:lang w:val="en-US" w:eastAsia="zh-CN"/>
              </w:rPr>
            </w:pPr>
            <w:r>
              <w:rPr>
                <w:rFonts w:hint="eastAsia" w:ascii="仿宋_GB2312" w:hAnsi="仿宋" w:eastAsia="仿宋_GB2312" w:cs="仿宋"/>
                <w:bCs/>
                <w:color w:val="auto"/>
                <w:sz w:val="24"/>
                <w:szCs w:val="22"/>
                <w:lang w:val="en-US" w:eastAsia="zh-CN"/>
              </w:rPr>
              <w:t>3</w:t>
            </w:r>
          </w:p>
        </w:tc>
        <w:tc>
          <w:tcPr>
            <w:tcW w:w="1567" w:type="dxa"/>
            <w:tcBorders>
              <w:left w:val="single" w:color="auto" w:sz="4" w:space="0"/>
              <w:bottom w:val="single" w:color="auto" w:sz="4" w:space="0"/>
              <w:right w:val="single" w:color="auto" w:sz="4" w:space="0"/>
            </w:tcBorders>
            <w:noWrap/>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eastAsia" w:ascii="仿宋" w:hAnsi="仿宋" w:eastAsia="仿宋" w:cs="仿宋"/>
                <w:bCs/>
                <w:color w:val="auto"/>
                <w:sz w:val="24"/>
                <w:szCs w:val="22"/>
              </w:rPr>
            </w:pPr>
            <w:r>
              <w:rPr>
                <w:rFonts w:hint="eastAsia" w:ascii="仿宋" w:hAnsi="仿宋" w:eastAsia="仿宋" w:cs="仿宋"/>
                <w:color w:val="auto"/>
                <w:sz w:val="24"/>
                <w:szCs w:val="24"/>
                <w:highlight w:val="none"/>
                <w:lang w:val="en-US" w:eastAsia="zh-CN"/>
              </w:rPr>
              <w:t>技术参数响应情况</w:t>
            </w:r>
          </w:p>
        </w:tc>
        <w:tc>
          <w:tcPr>
            <w:tcW w:w="633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left"/>
              <w:rPr>
                <w:rFonts w:hint="eastAsia" w:ascii="仿宋" w:hAnsi="仿宋" w:eastAsia="仿宋"/>
                <w:szCs w:val="21"/>
              </w:rPr>
            </w:pPr>
            <w:r>
              <w:rPr>
                <w:rFonts w:hint="eastAsia" w:ascii="仿宋" w:hAnsi="仿宋" w:eastAsia="仿宋" w:cs="仿宋"/>
                <w:color w:val="auto"/>
                <w:sz w:val="24"/>
                <w:szCs w:val="24"/>
                <w:highlight w:val="none"/>
                <w:lang w:val="en-US" w:eastAsia="zh-CN"/>
              </w:rPr>
              <w:t>投标产品完全响应技术参数要求得10分。</w:t>
            </w:r>
            <w:r>
              <w:rPr>
                <w:rFonts w:hint="eastAsia" w:ascii="仿宋" w:hAnsi="仿宋" w:eastAsia="仿宋"/>
                <w:szCs w:val="21"/>
              </w:rPr>
              <w:t>打“</w:t>
            </w:r>
            <w:bookmarkStart w:id="126" w:name="_Hlk180261783"/>
            <w:r>
              <w:rPr>
                <w:rFonts w:hint="eastAsia" w:ascii="仿宋" w:hAnsi="仿宋" w:eastAsia="仿宋"/>
                <w:szCs w:val="21"/>
              </w:rPr>
              <w:t>▲</w:t>
            </w:r>
            <w:bookmarkEnd w:id="126"/>
            <w:r>
              <w:rPr>
                <w:rFonts w:hint="eastAsia" w:ascii="仿宋" w:hAnsi="仿宋" w:eastAsia="仿宋"/>
                <w:szCs w:val="21"/>
              </w:rPr>
              <w:t>”技术指标为重要技术指标，</w:t>
            </w:r>
            <w:r>
              <w:rPr>
                <w:rFonts w:hint="eastAsia" w:ascii="仿宋" w:hAnsi="仿宋" w:eastAsia="仿宋" w:cs="仿宋"/>
                <w:color w:val="000000"/>
                <w:szCs w:val="24"/>
              </w:rPr>
              <w:t>每有一项负偏离扣</w:t>
            </w:r>
            <w:r>
              <w:rPr>
                <w:rFonts w:hint="eastAsia" w:ascii="仿宋" w:hAnsi="仿宋" w:eastAsia="仿宋" w:cs="仿宋"/>
                <w:color w:val="000000"/>
                <w:szCs w:val="24"/>
                <w:lang w:val="en-US" w:eastAsia="zh-CN"/>
              </w:rPr>
              <w:t>1</w:t>
            </w:r>
            <w:r>
              <w:rPr>
                <w:rFonts w:hint="eastAsia" w:ascii="仿宋" w:hAnsi="仿宋" w:eastAsia="仿宋" w:cs="仿宋"/>
                <w:color w:val="000000"/>
                <w:szCs w:val="24"/>
              </w:rPr>
              <w:t>分</w:t>
            </w:r>
            <w:r>
              <w:rPr>
                <w:rFonts w:hint="eastAsia" w:ascii="仿宋" w:hAnsi="仿宋" w:eastAsia="仿宋"/>
                <w:szCs w:val="21"/>
              </w:rPr>
              <w:t>；其他一般指标每有一项负偏离的扣0.</w:t>
            </w:r>
            <w:r>
              <w:rPr>
                <w:rFonts w:hint="eastAsia" w:ascii="仿宋" w:hAnsi="仿宋" w:eastAsia="仿宋"/>
                <w:szCs w:val="21"/>
                <w:lang w:val="en-US" w:eastAsia="zh-CN"/>
              </w:rPr>
              <w:t>2</w:t>
            </w:r>
            <w:r>
              <w:rPr>
                <w:rFonts w:hint="eastAsia" w:ascii="仿宋" w:hAnsi="仿宋" w:eastAsia="仿宋"/>
                <w:szCs w:val="21"/>
              </w:rPr>
              <w:t>分，扣完为止。</w:t>
            </w:r>
          </w:p>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textAlignment w:val="auto"/>
              <w:rPr>
                <w:rFonts w:hint="eastAsia" w:ascii="仿宋" w:hAnsi="仿宋" w:eastAsia="仿宋" w:cs="仿宋"/>
                <w:color w:val="auto"/>
                <w:kern w:val="2"/>
                <w:szCs w:val="24"/>
              </w:rPr>
            </w:pPr>
            <w:r>
              <w:rPr>
                <w:rFonts w:hint="eastAsia" w:ascii="仿宋" w:hAnsi="仿宋" w:eastAsia="仿宋" w:cs="仿宋"/>
                <w:b/>
                <w:bCs/>
                <w:kern w:val="0"/>
                <w:szCs w:val="24"/>
                <w:lang w:bidi="ar"/>
              </w:rPr>
              <w:t>（投标时须根据招标文件要求提供相关证明材料，不提供作负偏离处理，</w:t>
            </w:r>
            <w:r>
              <w:rPr>
                <w:rFonts w:hint="eastAsia" w:ascii="仿宋" w:hAnsi="仿宋" w:eastAsia="仿宋" w:cs="仿宋"/>
                <w:b/>
                <w:bCs/>
                <w:szCs w:val="22"/>
              </w:rPr>
              <w:t>所投产品不得缺项、漏项，如有缺项、漏项的本项得0分。</w:t>
            </w:r>
            <w:r>
              <w:rPr>
                <w:rFonts w:hint="eastAsia" w:ascii="仿宋" w:hAnsi="仿宋" w:eastAsia="仿宋"/>
                <w:b/>
                <w:bCs/>
                <w:szCs w:val="21"/>
              </w:rPr>
              <w:t>）</w:t>
            </w:r>
          </w:p>
        </w:tc>
        <w:tc>
          <w:tcPr>
            <w:tcW w:w="925"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eastAsia" w:ascii="仿宋" w:hAnsi="仿宋" w:eastAsia="仿宋" w:cs="仿宋"/>
                <w:bCs/>
                <w:color w:val="auto"/>
                <w:sz w:val="24"/>
                <w:szCs w:val="22"/>
              </w:rPr>
            </w:pPr>
            <w:r>
              <w:rPr>
                <w:rFonts w:hint="eastAsia" w:ascii="仿宋" w:hAnsi="仿宋" w:eastAsia="仿宋" w:cs="仿宋"/>
                <w:color w:val="auto"/>
                <w:sz w:val="24"/>
                <w:szCs w:val="24"/>
                <w:highlight w:val="none"/>
                <w:lang w:val="en-US" w:eastAsia="zh-CN"/>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02" w:hRule="atLeast"/>
        </w:trPr>
        <w:tc>
          <w:tcPr>
            <w:tcW w:w="769" w:type="dxa"/>
            <w:tcBorders>
              <w:left w:val="single" w:color="auto" w:sz="4" w:space="0"/>
              <w:right w:val="single" w:color="auto" w:sz="4" w:space="0"/>
            </w:tcBorders>
            <w:noWrap/>
            <w:vAlign w:val="center"/>
          </w:tcPr>
          <w:p>
            <w:pPr>
              <w:keepNext w:val="0"/>
              <w:keepLines w:val="0"/>
              <w:suppressLineNumbers w:val="0"/>
              <w:spacing w:before="156" w:beforeAutospacing="0" w:after="0" w:afterAutospacing="0" w:line="400" w:lineRule="exact"/>
              <w:ind w:left="0" w:leftChars="0" w:right="0" w:rightChars="0"/>
              <w:jc w:val="center"/>
              <w:rPr>
                <w:rFonts w:hint="eastAsia" w:ascii="仿宋_GB2312" w:hAnsi="仿宋" w:eastAsia="仿宋_GB2312" w:cs="仿宋"/>
                <w:bCs/>
                <w:color w:val="auto"/>
                <w:sz w:val="24"/>
                <w:szCs w:val="22"/>
                <w:lang w:val="en-US" w:eastAsia="zh-CN"/>
              </w:rPr>
            </w:pPr>
            <w:r>
              <w:rPr>
                <w:rFonts w:hint="eastAsia" w:ascii="仿宋_GB2312" w:hAnsi="仿宋" w:eastAsia="仿宋_GB2312" w:cs="仿宋"/>
                <w:bCs/>
                <w:color w:val="auto"/>
                <w:sz w:val="24"/>
                <w:szCs w:val="22"/>
                <w:lang w:val="en-US" w:eastAsia="zh-CN"/>
              </w:rPr>
              <w:t>4</w:t>
            </w:r>
          </w:p>
        </w:tc>
        <w:tc>
          <w:tcPr>
            <w:tcW w:w="1567" w:type="dxa"/>
            <w:tcBorders>
              <w:left w:val="single" w:color="auto" w:sz="4" w:space="0"/>
              <w:bottom w:val="single" w:color="auto" w:sz="4" w:space="0"/>
              <w:right w:val="single" w:color="auto" w:sz="4" w:space="0"/>
            </w:tcBorders>
            <w:noWrap/>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检测、生产、环保设备</w:t>
            </w:r>
          </w:p>
        </w:tc>
        <w:tc>
          <w:tcPr>
            <w:tcW w:w="633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投标人具有：        </w:t>
            </w:r>
          </w:p>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400" w:lineRule="exact"/>
              <w:ind w:left="0" w:right="0" w:right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（1）检测设备：一立方米环境测试箱、恒温恒湿试验箱；</w:t>
            </w:r>
          </w:p>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400" w:lineRule="exact"/>
              <w:ind w:left="0" w:right="0" w:right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（2）生产设备：木工板材电子开料锯、水性油漆生产流水线、UV底漆线、UV激光辊涂面漆线；     </w:t>
            </w:r>
          </w:p>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default"/>
                <w:szCs w:val="22"/>
                <w:lang w:val="en-US" w:eastAsia="zh-CN"/>
              </w:rPr>
            </w:pPr>
            <w:r>
              <w:rPr>
                <w:rFonts w:hint="eastAsia" w:ascii="仿宋" w:hAnsi="仿宋" w:eastAsia="仿宋" w:cs="仿宋"/>
                <w:color w:val="auto"/>
                <w:sz w:val="24"/>
                <w:szCs w:val="24"/>
                <w:highlight w:val="none"/>
                <w:lang w:val="en-US" w:eastAsia="zh-CN"/>
              </w:rPr>
              <w:t>（3）环保设备：木工木屑中央吸尘设备、油漆粉尘中央吸尘设备、油漆废气净化设备、油漆打磨自动吸尘设备。</w:t>
            </w:r>
          </w:p>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以上设备全部具备最高得10分，每缺少一种设备扣1分，扣完为止。</w:t>
            </w:r>
          </w:p>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（提供投标人设备采购发票扫描件及实物照片并加盖CA签章，不提供不得分。）</w:t>
            </w:r>
          </w:p>
        </w:tc>
        <w:tc>
          <w:tcPr>
            <w:tcW w:w="925"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3" w:hRule="atLeast"/>
        </w:trPr>
        <w:tc>
          <w:tcPr>
            <w:tcW w:w="769" w:type="dxa"/>
            <w:tcBorders>
              <w:left w:val="single" w:color="auto" w:sz="4" w:space="0"/>
              <w:right w:val="single" w:color="auto" w:sz="4" w:space="0"/>
            </w:tcBorders>
            <w:noWrap/>
            <w:vAlign w:val="center"/>
          </w:tcPr>
          <w:p>
            <w:pPr>
              <w:keepNext w:val="0"/>
              <w:keepLines w:val="0"/>
              <w:suppressLineNumbers w:val="0"/>
              <w:spacing w:before="156" w:beforeAutospacing="0" w:after="0" w:afterAutospacing="0" w:line="400" w:lineRule="exact"/>
              <w:ind w:left="0" w:right="0"/>
              <w:jc w:val="center"/>
              <w:rPr>
                <w:rFonts w:hint="default" w:ascii="仿宋_GB2312" w:hAnsi="仿宋" w:eastAsia="仿宋_GB2312" w:cs="仿宋"/>
                <w:bCs/>
                <w:color w:val="auto"/>
                <w:sz w:val="24"/>
                <w:szCs w:val="22"/>
                <w:lang w:val="en-US" w:eastAsia="zh-CN"/>
              </w:rPr>
            </w:pPr>
            <w:r>
              <w:rPr>
                <w:rFonts w:hint="eastAsia" w:ascii="仿宋_GB2312" w:hAnsi="仿宋" w:eastAsia="仿宋_GB2312" w:cs="仿宋"/>
                <w:bCs/>
                <w:color w:val="auto"/>
                <w:sz w:val="24"/>
                <w:szCs w:val="22"/>
                <w:lang w:val="en-US" w:eastAsia="zh-CN"/>
              </w:rPr>
              <w:t>5</w:t>
            </w:r>
          </w:p>
        </w:tc>
        <w:tc>
          <w:tcPr>
            <w:tcW w:w="1567" w:type="dxa"/>
            <w:tcBorders>
              <w:left w:val="single" w:color="auto" w:sz="4" w:space="0"/>
              <w:right w:val="single" w:color="auto" w:sz="4" w:space="0"/>
            </w:tcBorders>
            <w:noWrap/>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color w:val="auto"/>
                <w:sz w:val="24"/>
                <w:szCs w:val="24"/>
                <w:highlight w:val="none"/>
                <w:lang w:val="en-US" w:eastAsia="zh-CN"/>
              </w:rPr>
              <w:t>成品及原材料检测报告</w:t>
            </w:r>
          </w:p>
        </w:tc>
        <w:tc>
          <w:tcPr>
            <w:tcW w:w="633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投标人提供自2022年6月份以来符合家具成品检测能力并具有CMA或CNAS资质的第三方检测机构出具的检测报告，报告含有二维码：</w:t>
            </w:r>
          </w:p>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（1）符合HJ 2547-2016 《环境标志产品技术要求 家具》 的带喷塑涂层的钢部件。可迁移元素符合标准规定要求。</w:t>
            </w:r>
          </w:p>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（2）封边条符合QB/T4463-2013 《家具用封边条技术要求》 GB/T17657-2013 《人造板及饰面人造板理化性能试验方法》 GB6675-2003《国家玩具技术安全规范》有害物质限量、甲醛释放量符合标准规定要求。</w:t>
            </w:r>
          </w:p>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（3）检验依据为HJ 2547-2016 《环境标志产品技术要求 家具》 GB 6675.4-2014《玩具安全 第4部分 特定元素的迁移》的饰面刨花板。可迁移元素符合标准规定要求。</w:t>
            </w:r>
          </w:p>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（4）铰链符合QB/T 2189-2013《家具五金 杯状暗铰链》全项检测标准。垂直静载荷、水平静载荷、操作力、耐久性、下沉量、耐腐蚀等符合标准规定要求。</w:t>
            </w:r>
          </w:p>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（5）导轨符合QB/T2454-2013《家具五金 抽屉导轨》全项检测标准。垂直向下静载荷、水平侧向静载荷、猛开或猛关、操作力、耐久性、下沉量、耐腐蚀等符合标准规定要求。</w:t>
            </w:r>
          </w:p>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（6）三合一连接件符合GB/T 3325-2017《金属家具通用技术条件》 抗盐雾符合标准规定要求。</w:t>
            </w:r>
          </w:p>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（7）检验依据为GB/T 3324-2017《木家具通用技术条件》 GB/T18584-2001《室内装饰装修材料 木家具中有限物质限量》 GB/T10357.5-2011《家具力学性能试验 第5部分：柜类强度和耐久性》的床头柜，要求安全性耐久性、力学性能、甲醛释放、有害物质限量符合标准规定要求。</w:t>
            </w:r>
          </w:p>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仿宋" w:hAnsi="仿宋" w:eastAsia="仿宋" w:cs="仿宋"/>
                <w:color w:val="FF0000"/>
                <w:sz w:val="24"/>
                <w:szCs w:val="24"/>
                <w:highlight w:val="none"/>
                <w:lang w:val="en-US" w:eastAsia="zh-CN"/>
              </w:rPr>
            </w:pPr>
            <w:r>
              <w:rPr>
                <w:rFonts w:hint="eastAsia" w:ascii="仿宋" w:hAnsi="仿宋" w:eastAsia="仿宋" w:cs="仿宋"/>
                <w:color w:val="auto"/>
                <w:sz w:val="24"/>
                <w:szCs w:val="24"/>
                <w:highlight w:val="none"/>
                <w:lang w:val="en-US" w:eastAsia="zh-CN"/>
              </w:rPr>
              <w:t>（8）检测依据为水性环保漆满足GB 18581-2020要求,甲醛含量≤100mg/Kg,挥发性有机化合物及可溶性重金属含量符合国家标准。</w:t>
            </w:r>
          </w:p>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textAlignment w:val="auto"/>
              <w:rPr>
                <w:rFonts w:hint="eastAsia" w:ascii="仿宋" w:hAnsi="仿宋" w:eastAsia="仿宋" w:cs="仿宋"/>
                <w:i w:val="0"/>
                <w:iCs w:val="0"/>
                <w:color w:val="000000"/>
                <w:sz w:val="24"/>
                <w:szCs w:val="24"/>
                <w:u w:val="none"/>
                <w:lang w:val="en-US" w:eastAsia="zh-CN"/>
              </w:rPr>
            </w:pPr>
            <w:r>
              <w:rPr>
                <w:rFonts w:hint="eastAsia" w:ascii="仿宋" w:hAnsi="仿宋" w:eastAsia="仿宋" w:cs="仿宋"/>
                <w:b/>
                <w:bCs/>
                <w:color w:val="auto"/>
                <w:sz w:val="24"/>
                <w:szCs w:val="24"/>
                <w:highlight w:val="none"/>
                <w:lang w:val="en-US" w:eastAsia="zh-CN"/>
              </w:rPr>
              <w:t>本项最高得8分，以上成品及原材料检测报告每缺少一份扣1分，扣完为止。</w:t>
            </w:r>
          </w:p>
        </w:tc>
        <w:tc>
          <w:tcPr>
            <w:tcW w:w="925"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color w:val="auto"/>
                <w:sz w:val="24"/>
                <w:szCs w:val="24"/>
                <w:highlight w:val="none"/>
                <w:lang w:val="en-US" w:eastAsia="zh-CN"/>
              </w:rPr>
              <w:t>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90" w:hRule="atLeast"/>
        </w:trPr>
        <w:tc>
          <w:tcPr>
            <w:tcW w:w="769" w:type="dxa"/>
            <w:tcBorders>
              <w:left w:val="single" w:color="auto" w:sz="4" w:space="0"/>
              <w:right w:val="single" w:color="auto" w:sz="4" w:space="0"/>
            </w:tcBorders>
            <w:noWrap/>
            <w:vAlign w:val="center"/>
          </w:tcPr>
          <w:p>
            <w:pPr>
              <w:keepNext w:val="0"/>
              <w:keepLines w:val="0"/>
              <w:suppressLineNumbers w:val="0"/>
              <w:spacing w:before="156" w:beforeAutospacing="0" w:after="0" w:afterAutospacing="0" w:line="400" w:lineRule="exact"/>
              <w:ind w:left="0" w:right="0"/>
              <w:jc w:val="center"/>
              <w:rPr>
                <w:rFonts w:hint="default" w:ascii="仿宋_GB2312" w:hAnsi="仿宋" w:eastAsia="仿宋_GB2312" w:cs="仿宋"/>
                <w:bCs/>
                <w:color w:val="auto"/>
                <w:sz w:val="24"/>
                <w:szCs w:val="22"/>
                <w:lang w:val="en-US" w:eastAsia="zh-CN"/>
              </w:rPr>
            </w:pPr>
            <w:r>
              <w:rPr>
                <w:rFonts w:hint="eastAsia" w:ascii="仿宋_GB2312" w:hAnsi="仿宋" w:eastAsia="仿宋_GB2312" w:cs="仿宋"/>
                <w:bCs/>
                <w:color w:val="auto"/>
                <w:sz w:val="24"/>
                <w:szCs w:val="22"/>
                <w:lang w:val="en-US" w:eastAsia="zh-CN"/>
              </w:rPr>
              <w:t>6</w:t>
            </w:r>
          </w:p>
        </w:tc>
        <w:tc>
          <w:tcPr>
            <w:tcW w:w="1567" w:type="dxa"/>
            <w:tcBorders>
              <w:left w:val="single" w:color="auto" w:sz="4" w:space="0"/>
              <w:right w:val="single" w:color="auto" w:sz="4" w:space="0"/>
            </w:tcBorders>
            <w:noWrap/>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项目实施方案</w:t>
            </w:r>
          </w:p>
        </w:tc>
        <w:tc>
          <w:tcPr>
            <w:tcW w:w="633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textAlignment w:val="auto"/>
              <w:rPr>
                <w:rFonts w:hint="eastAsia" w:ascii="仿宋" w:hAnsi="仿宋" w:eastAsia="仿宋" w:cs="仿宋"/>
                <w:i w:val="0"/>
                <w:iCs w:val="0"/>
                <w:color w:val="000000"/>
                <w:sz w:val="24"/>
                <w:szCs w:val="24"/>
                <w:u w:val="none"/>
                <w:lang w:val="en-US" w:eastAsia="zh-CN"/>
              </w:rPr>
            </w:pPr>
            <w:r>
              <w:rPr>
                <w:rFonts w:hint="eastAsia" w:ascii="仿宋" w:hAnsi="仿宋" w:eastAsia="仿宋" w:cs="仿宋"/>
                <w:color w:val="auto"/>
                <w:sz w:val="24"/>
                <w:szCs w:val="24"/>
                <w:highlight w:val="none"/>
                <w:lang w:val="en-US" w:eastAsia="zh-CN"/>
              </w:rPr>
              <w:t>根据投标人提供的项目实施方案（包括供货计划、人员配置、安装进度及保证措施、验收）方案的科学性、全面性、可操作性等进行打分。（</w:t>
            </w:r>
            <w:r>
              <w:rPr>
                <w:rFonts w:hint="eastAsia" w:ascii="仿宋" w:hAnsi="仿宋" w:eastAsia="仿宋" w:cs="仿宋"/>
                <w:i w:val="0"/>
                <w:iCs w:val="0"/>
                <w:color w:val="000000"/>
                <w:sz w:val="24"/>
                <w:szCs w:val="24"/>
                <w:u w:val="none"/>
                <w:lang w:val="en-US" w:eastAsia="zh-CN"/>
              </w:rPr>
              <w:t>满分6分，</w:t>
            </w:r>
            <w:r>
              <w:rPr>
                <w:rFonts w:hint="eastAsia" w:ascii="仿宋" w:hAnsi="仿宋" w:eastAsia="仿宋" w:cs="仿宋"/>
                <w:color w:val="auto"/>
                <w:sz w:val="24"/>
                <w:szCs w:val="22"/>
                <w:lang w:val="en-US" w:eastAsia="zh-CN"/>
              </w:rPr>
              <w:t>评分范围6，5.5，5，4.5，4，3.5，3，2.5，2，1.5，1，0.5，0</w:t>
            </w:r>
            <w:r>
              <w:rPr>
                <w:rFonts w:hint="eastAsia" w:ascii="仿宋" w:hAnsi="仿宋" w:eastAsia="仿宋" w:cs="仿宋"/>
                <w:color w:val="auto"/>
                <w:sz w:val="24"/>
                <w:szCs w:val="24"/>
                <w:highlight w:val="none"/>
                <w:lang w:val="en-US" w:eastAsia="zh-CN"/>
              </w:rPr>
              <w:t>）</w:t>
            </w:r>
          </w:p>
        </w:tc>
        <w:tc>
          <w:tcPr>
            <w:tcW w:w="925"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64" w:hRule="atLeast"/>
        </w:trPr>
        <w:tc>
          <w:tcPr>
            <w:tcW w:w="769" w:type="dxa"/>
            <w:tcBorders>
              <w:left w:val="single" w:color="auto" w:sz="4" w:space="0"/>
              <w:right w:val="single" w:color="auto" w:sz="4" w:space="0"/>
            </w:tcBorders>
            <w:noWrap/>
            <w:vAlign w:val="center"/>
          </w:tcPr>
          <w:p>
            <w:pPr>
              <w:keepNext w:val="0"/>
              <w:keepLines w:val="0"/>
              <w:suppressLineNumbers w:val="0"/>
              <w:spacing w:before="156" w:beforeAutospacing="0" w:after="0" w:afterAutospacing="0" w:line="400" w:lineRule="exact"/>
              <w:ind w:left="0" w:right="0"/>
              <w:jc w:val="center"/>
              <w:rPr>
                <w:rFonts w:hint="default" w:ascii="仿宋_GB2312" w:hAnsi="仿宋" w:eastAsia="仿宋_GB2312" w:cs="仿宋"/>
                <w:bCs/>
                <w:color w:val="auto"/>
                <w:sz w:val="24"/>
                <w:szCs w:val="22"/>
                <w:lang w:val="en-US" w:eastAsia="zh-CN"/>
              </w:rPr>
            </w:pPr>
            <w:r>
              <w:rPr>
                <w:rFonts w:hint="eastAsia" w:ascii="仿宋_GB2312" w:hAnsi="仿宋" w:eastAsia="仿宋_GB2312" w:cs="仿宋"/>
                <w:bCs/>
                <w:color w:val="auto"/>
                <w:sz w:val="24"/>
                <w:szCs w:val="22"/>
                <w:lang w:val="en-US" w:eastAsia="zh-CN"/>
              </w:rPr>
              <w:t>7</w:t>
            </w:r>
          </w:p>
        </w:tc>
        <w:tc>
          <w:tcPr>
            <w:tcW w:w="1567" w:type="dxa"/>
            <w:tcBorders>
              <w:left w:val="single" w:color="auto" w:sz="4" w:space="0"/>
              <w:right w:val="single" w:color="auto" w:sz="4" w:space="0"/>
            </w:tcBorders>
            <w:noWrap/>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color w:val="auto"/>
                <w:sz w:val="24"/>
                <w:szCs w:val="24"/>
                <w:highlight w:val="none"/>
                <w:lang w:val="en-US" w:eastAsia="zh-CN"/>
              </w:rPr>
              <w:t>质保期</w:t>
            </w:r>
          </w:p>
        </w:tc>
        <w:tc>
          <w:tcPr>
            <w:tcW w:w="633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textAlignment w:val="auto"/>
              <w:rPr>
                <w:rFonts w:hint="eastAsia" w:ascii="仿宋" w:hAnsi="仿宋" w:eastAsia="仿宋" w:cs="仿宋"/>
                <w:i w:val="0"/>
                <w:iCs w:val="0"/>
                <w:color w:val="000000"/>
                <w:sz w:val="24"/>
                <w:szCs w:val="24"/>
                <w:u w:val="none"/>
                <w:lang w:val="en-US" w:eastAsia="zh-CN"/>
              </w:rPr>
            </w:pPr>
            <w:r>
              <w:rPr>
                <w:rFonts w:hint="eastAsia" w:ascii="仿宋" w:hAnsi="仿宋" w:eastAsia="仿宋" w:cs="仿宋"/>
                <w:color w:val="auto"/>
                <w:sz w:val="24"/>
                <w:szCs w:val="24"/>
                <w:highlight w:val="none"/>
                <w:lang w:val="en-US" w:eastAsia="zh-CN"/>
              </w:rPr>
              <w:t xml:space="preserve">质保期在招标文件（3年）的基础上，每增加1年得2分，最高得4分。 </w:t>
            </w:r>
          </w:p>
        </w:tc>
        <w:tc>
          <w:tcPr>
            <w:tcW w:w="925"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5" w:hRule="atLeast"/>
        </w:trPr>
        <w:tc>
          <w:tcPr>
            <w:tcW w:w="769" w:type="dxa"/>
            <w:tcBorders>
              <w:left w:val="single" w:color="auto" w:sz="4" w:space="0"/>
              <w:right w:val="single" w:color="auto" w:sz="4" w:space="0"/>
            </w:tcBorders>
            <w:noWrap/>
            <w:vAlign w:val="center"/>
          </w:tcPr>
          <w:p>
            <w:pPr>
              <w:keepNext w:val="0"/>
              <w:keepLines w:val="0"/>
              <w:suppressLineNumbers w:val="0"/>
              <w:spacing w:before="156" w:beforeAutospacing="0" w:after="0" w:afterAutospacing="0" w:line="400" w:lineRule="exact"/>
              <w:ind w:left="0" w:right="0"/>
              <w:jc w:val="center"/>
              <w:rPr>
                <w:rFonts w:hint="default" w:ascii="仿宋_GB2312" w:hAnsi="仿宋" w:eastAsia="仿宋_GB2312" w:cs="仿宋"/>
                <w:bCs/>
                <w:color w:val="auto"/>
                <w:sz w:val="24"/>
                <w:szCs w:val="22"/>
                <w:lang w:val="en-US" w:eastAsia="zh-CN"/>
              </w:rPr>
            </w:pPr>
            <w:r>
              <w:rPr>
                <w:rFonts w:hint="eastAsia" w:ascii="仿宋_GB2312" w:hAnsi="仿宋" w:eastAsia="仿宋_GB2312" w:cs="仿宋"/>
                <w:bCs/>
                <w:color w:val="auto"/>
                <w:sz w:val="24"/>
                <w:szCs w:val="22"/>
                <w:lang w:val="en-US" w:eastAsia="zh-CN"/>
              </w:rPr>
              <w:t>8</w:t>
            </w:r>
          </w:p>
        </w:tc>
        <w:tc>
          <w:tcPr>
            <w:tcW w:w="1567" w:type="dxa"/>
            <w:tcBorders>
              <w:left w:val="single" w:color="auto" w:sz="4" w:space="0"/>
              <w:right w:val="single" w:color="auto" w:sz="4" w:space="0"/>
            </w:tcBorders>
            <w:noWrap/>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color w:val="auto"/>
                <w:sz w:val="24"/>
                <w:szCs w:val="24"/>
                <w:highlight w:val="none"/>
                <w:lang w:val="en-US" w:eastAsia="zh-CN"/>
              </w:rPr>
              <w:t>售后服务</w:t>
            </w:r>
          </w:p>
        </w:tc>
        <w:tc>
          <w:tcPr>
            <w:tcW w:w="633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textAlignment w:val="auto"/>
              <w:rPr>
                <w:rFonts w:hint="eastAsia" w:ascii="仿宋" w:hAnsi="仿宋" w:eastAsia="仿宋" w:cs="仿宋"/>
                <w:i w:val="0"/>
                <w:iCs w:val="0"/>
                <w:color w:val="000000"/>
                <w:sz w:val="24"/>
                <w:szCs w:val="24"/>
                <w:u w:val="none"/>
                <w:lang w:val="en-US" w:eastAsia="zh-CN"/>
              </w:rPr>
            </w:pPr>
            <w:r>
              <w:rPr>
                <w:rFonts w:hint="eastAsia" w:ascii="仿宋" w:hAnsi="仿宋" w:eastAsia="仿宋" w:cs="仿宋"/>
                <w:color w:val="auto"/>
                <w:sz w:val="24"/>
                <w:szCs w:val="24"/>
                <w:highlight w:val="none"/>
                <w:lang w:val="en-US" w:eastAsia="zh-CN"/>
              </w:rPr>
              <w:t>根据投标人提供的售后服务方案（包括故障处理时间、服务承诺、售后服务人员配备、日常维护、回访制度等）进行打分。（</w:t>
            </w:r>
            <w:r>
              <w:rPr>
                <w:rFonts w:hint="eastAsia" w:ascii="仿宋" w:hAnsi="仿宋" w:eastAsia="仿宋" w:cs="仿宋"/>
                <w:i w:val="0"/>
                <w:iCs w:val="0"/>
                <w:color w:val="000000"/>
                <w:sz w:val="24"/>
                <w:szCs w:val="24"/>
                <w:u w:val="none"/>
                <w:lang w:val="en-US" w:eastAsia="zh-CN"/>
              </w:rPr>
              <w:t>满分3分，</w:t>
            </w:r>
            <w:r>
              <w:rPr>
                <w:rFonts w:hint="eastAsia" w:ascii="仿宋" w:hAnsi="仿宋" w:eastAsia="仿宋" w:cs="仿宋"/>
                <w:color w:val="auto"/>
                <w:sz w:val="24"/>
                <w:szCs w:val="22"/>
                <w:lang w:val="en-US" w:eastAsia="zh-CN"/>
              </w:rPr>
              <w:t>评分范围3，2.5，2，1.5，1，0.5，0</w:t>
            </w:r>
            <w:r>
              <w:rPr>
                <w:rFonts w:hint="eastAsia" w:ascii="仿宋" w:hAnsi="仿宋" w:eastAsia="仿宋" w:cs="仿宋"/>
                <w:color w:val="auto"/>
                <w:sz w:val="24"/>
                <w:szCs w:val="24"/>
                <w:highlight w:val="none"/>
                <w:lang w:val="en-US" w:eastAsia="zh-CN"/>
              </w:rPr>
              <w:t>）</w:t>
            </w:r>
          </w:p>
        </w:tc>
        <w:tc>
          <w:tcPr>
            <w:tcW w:w="925"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30" w:hRule="atLeast"/>
        </w:trPr>
        <w:tc>
          <w:tcPr>
            <w:tcW w:w="769" w:type="dxa"/>
            <w:tcBorders>
              <w:left w:val="single" w:color="auto" w:sz="4" w:space="0"/>
              <w:right w:val="single" w:color="auto" w:sz="4" w:space="0"/>
            </w:tcBorders>
            <w:noWrap/>
            <w:vAlign w:val="center"/>
          </w:tcPr>
          <w:p>
            <w:pPr>
              <w:keepNext w:val="0"/>
              <w:keepLines w:val="0"/>
              <w:suppressLineNumbers w:val="0"/>
              <w:spacing w:before="156" w:beforeAutospacing="0" w:after="0" w:afterAutospacing="0" w:line="400" w:lineRule="exact"/>
              <w:ind w:left="0" w:right="0"/>
              <w:jc w:val="center"/>
              <w:rPr>
                <w:rFonts w:hint="default" w:ascii="仿宋_GB2312" w:hAnsi="仿宋" w:eastAsia="仿宋_GB2312" w:cs="仿宋"/>
                <w:bCs/>
                <w:color w:val="auto"/>
                <w:sz w:val="24"/>
                <w:szCs w:val="22"/>
                <w:lang w:val="en-US" w:eastAsia="zh-CN"/>
              </w:rPr>
            </w:pPr>
            <w:r>
              <w:rPr>
                <w:rFonts w:hint="eastAsia" w:ascii="仿宋_GB2312" w:hAnsi="仿宋" w:eastAsia="仿宋_GB2312" w:cs="仿宋"/>
                <w:bCs/>
                <w:color w:val="auto"/>
                <w:sz w:val="24"/>
                <w:szCs w:val="22"/>
                <w:lang w:val="en-US" w:eastAsia="zh-CN"/>
              </w:rPr>
              <w:t>9</w:t>
            </w:r>
          </w:p>
        </w:tc>
        <w:tc>
          <w:tcPr>
            <w:tcW w:w="1567" w:type="dxa"/>
            <w:vMerge w:val="restart"/>
            <w:tcBorders>
              <w:left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样品</w:t>
            </w:r>
          </w:p>
        </w:tc>
        <w:tc>
          <w:tcPr>
            <w:tcW w:w="6337" w:type="dxa"/>
            <w:tcBorders>
              <w:top w:val="single" w:color="auto" w:sz="4" w:space="0"/>
              <w:left w:val="single" w:color="auto" w:sz="4" w:space="0"/>
              <w:bottom w:val="single" w:color="auto" w:sz="4" w:space="0"/>
              <w:right w:val="single" w:color="auto" w:sz="4" w:space="0"/>
            </w:tcBorders>
            <w:noWrap/>
            <w:vAlign w:val="center"/>
          </w:tcPr>
          <w:p>
            <w:pPr>
              <w:pStyle w:val="6"/>
              <w:keepNext w:val="0"/>
              <w:keepLines w:val="0"/>
              <w:pageBreakBefore w:val="0"/>
              <w:suppressLineNumbers w:val="0"/>
              <w:kinsoku/>
              <w:wordWrap/>
              <w:overflowPunct/>
              <w:topLinePunct w:val="0"/>
              <w:autoSpaceDE/>
              <w:autoSpaceDN/>
              <w:bidi w:val="0"/>
              <w:adjustRightInd/>
              <w:snapToGrid/>
              <w:spacing w:before="0" w:beforeLines="0" w:after="0" w:afterLines="0" w:line="380" w:lineRule="exact"/>
              <w:ind w:left="0" w:leftChars="0" w:right="0" w:firstLine="0" w:firstLineChars="0"/>
              <w:textAlignment w:val="auto"/>
              <w:rPr>
                <w:rFonts w:hint="eastAsia" w:ascii="仿宋" w:hAnsi="仿宋" w:eastAsia="仿宋" w:cs="仿宋"/>
                <w:b w:val="0"/>
                <w:sz w:val="24"/>
                <w:szCs w:val="22"/>
              </w:rPr>
            </w:pPr>
            <w:r>
              <w:rPr>
                <w:rFonts w:hint="eastAsia" w:ascii="仿宋" w:hAnsi="仿宋" w:eastAsia="仿宋" w:cs="仿宋"/>
                <w:b w:val="0"/>
                <w:sz w:val="24"/>
                <w:szCs w:val="22"/>
              </w:rPr>
              <w:t>根据投标人提供的样品（序</w:t>
            </w:r>
            <w:r>
              <w:rPr>
                <w:rFonts w:hint="eastAsia" w:ascii="仿宋" w:hAnsi="仿宋" w:eastAsia="仿宋" w:cs="仿宋"/>
                <w:b w:val="0"/>
                <w:sz w:val="24"/>
                <w:szCs w:val="22"/>
                <w:lang w:val="en-US" w:eastAsia="zh-CN"/>
              </w:rPr>
              <w:t>号5桌椅类-办公椅</w:t>
            </w:r>
            <w:r>
              <w:rPr>
                <w:rFonts w:hint="eastAsia" w:ascii="仿宋" w:hAnsi="仿宋" w:eastAsia="仿宋" w:cs="仿宋"/>
                <w:b w:val="0"/>
                <w:sz w:val="24"/>
                <w:szCs w:val="24"/>
              </w:rPr>
              <w:t>）</w:t>
            </w:r>
            <w:r>
              <w:rPr>
                <w:rFonts w:hint="eastAsia" w:ascii="仿宋" w:hAnsi="仿宋" w:eastAsia="仿宋" w:cs="仿宋"/>
                <w:b w:val="0"/>
                <w:sz w:val="24"/>
                <w:szCs w:val="22"/>
              </w:rPr>
              <w:t>质量及整体效果等进行打分：</w:t>
            </w:r>
          </w:p>
          <w:p>
            <w:pPr>
              <w:pStyle w:val="561"/>
              <w:keepNext w:val="0"/>
              <w:keepLines w:val="0"/>
              <w:pageBreakBefore w:val="0"/>
              <w:suppressLineNumbers w:val="0"/>
              <w:kinsoku/>
              <w:wordWrap/>
              <w:overflowPunct/>
              <w:topLinePunct w:val="0"/>
              <w:autoSpaceDE/>
              <w:autoSpaceDN/>
              <w:bidi w:val="0"/>
              <w:adjustRightInd/>
              <w:snapToGrid/>
              <w:spacing w:before="0" w:beforeAutospacing="0" w:after="0" w:afterAutospacing="0" w:line="380" w:lineRule="exact"/>
              <w:ind w:left="0" w:leftChars="0" w:right="0" w:firstLine="0"/>
              <w:textAlignment w:val="auto"/>
              <w:rPr>
                <w:rFonts w:hint="eastAsia" w:ascii="仿宋" w:hAnsi="仿宋" w:eastAsia="仿宋" w:cs="仿宋"/>
                <w:szCs w:val="24"/>
              </w:rPr>
            </w:pPr>
            <w:r>
              <w:rPr>
                <w:rFonts w:hint="eastAsia" w:ascii="仿宋" w:hAnsi="仿宋" w:eastAsia="仿宋" w:cs="仿宋"/>
                <w:szCs w:val="24"/>
              </w:rPr>
              <w:t>一、产品主要尺寸、形状及位置公差（1分）：</w:t>
            </w:r>
          </w:p>
          <w:p>
            <w:pPr>
              <w:pStyle w:val="561"/>
              <w:keepNext w:val="0"/>
              <w:keepLines w:val="0"/>
              <w:pageBreakBefore w:val="0"/>
              <w:suppressLineNumbers w:val="0"/>
              <w:kinsoku/>
              <w:wordWrap/>
              <w:overflowPunct/>
              <w:topLinePunct w:val="0"/>
              <w:autoSpaceDE/>
              <w:autoSpaceDN/>
              <w:bidi w:val="0"/>
              <w:adjustRightInd/>
              <w:snapToGrid/>
              <w:spacing w:before="0" w:beforeAutospacing="0" w:after="0" w:afterAutospacing="0" w:line="380" w:lineRule="exact"/>
              <w:ind w:left="0" w:leftChars="0" w:right="0" w:firstLine="0"/>
              <w:textAlignment w:val="auto"/>
              <w:rPr>
                <w:rFonts w:hint="eastAsia" w:ascii="仿宋" w:hAnsi="仿宋" w:eastAsia="仿宋" w:cs="仿宋"/>
                <w:szCs w:val="24"/>
              </w:rPr>
            </w:pPr>
            <w:r>
              <w:rPr>
                <w:rFonts w:hint="eastAsia" w:ascii="仿宋" w:hAnsi="仿宋" w:eastAsia="仿宋" w:cs="仿宋"/>
                <w:szCs w:val="24"/>
              </w:rPr>
              <w:t>样品尺寸形状应满足技术参数要求，如每偏离一个参数指标扣0.5分，扣完为止。要求且明示的产品尺寸偏差控制在</w:t>
            </w:r>
            <w:r>
              <w:rPr>
                <w:rFonts w:hint="eastAsia" w:ascii="仿宋" w:hAnsi="仿宋" w:eastAsia="仿宋" w:cs="仿宋"/>
                <w:color w:val="000000"/>
                <w:szCs w:val="21"/>
                <w:lang w:bidi="ar"/>
              </w:rPr>
              <w:t>±1%。</w:t>
            </w:r>
          </w:p>
          <w:p>
            <w:pPr>
              <w:pStyle w:val="561"/>
              <w:keepNext w:val="0"/>
              <w:keepLines w:val="0"/>
              <w:pageBreakBefore w:val="0"/>
              <w:suppressLineNumbers w:val="0"/>
              <w:kinsoku/>
              <w:wordWrap/>
              <w:overflowPunct/>
              <w:topLinePunct w:val="0"/>
              <w:autoSpaceDE/>
              <w:autoSpaceDN/>
              <w:bidi w:val="0"/>
              <w:adjustRightInd/>
              <w:snapToGrid/>
              <w:spacing w:before="0" w:beforeAutospacing="0" w:after="0" w:afterAutospacing="0" w:line="380" w:lineRule="exact"/>
              <w:ind w:left="0" w:leftChars="0" w:right="0" w:firstLine="0"/>
              <w:textAlignment w:val="auto"/>
              <w:rPr>
                <w:rFonts w:hint="eastAsia" w:ascii="仿宋" w:hAnsi="仿宋" w:eastAsia="仿宋" w:cs="仿宋"/>
                <w:szCs w:val="24"/>
              </w:rPr>
            </w:pPr>
            <w:r>
              <w:rPr>
                <w:rFonts w:hint="eastAsia" w:ascii="仿宋" w:hAnsi="仿宋" w:eastAsia="仿宋" w:cs="仿宋"/>
                <w:szCs w:val="24"/>
              </w:rPr>
              <w:t xml:space="preserve">二、材料要求（2分）： </w:t>
            </w:r>
          </w:p>
          <w:p>
            <w:pPr>
              <w:pStyle w:val="561"/>
              <w:keepNext w:val="0"/>
              <w:keepLines w:val="0"/>
              <w:pageBreakBefore w:val="0"/>
              <w:suppressLineNumbers w:val="0"/>
              <w:kinsoku/>
              <w:wordWrap/>
              <w:overflowPunct/>
              <w:topLinePunct w:val="0"/>
              <w:autoSpaceDE/>
              <w:autoSpaceDN/>
              <w:bidi w:val="0"/>
              <w:adjustRightInd/>
              <w:snapToGrid/>
              <w:spacing w:before="0" w:beforeAutospacing="0" w:after="0" w:afterAutospacing="0" w:line="380" w:lineRule="exact"/>
              <w:ind w:left="0" w:leftChars="0" w:right="0" w:firstLine="0"/>
              <w:textAlignment w:val="auto"/>
              <w:rPr>
                <w:rFonts w:hint="eastAsia" w:ascii="仿宋" w:hAnsi="仿宋" w:eastAsia="仿宋" w:cs="仿宋"/>
                <w:szCs w:val="24"/>
              </w:rPr>
            </w:pPr>
            <w:r>
              <w:rPr>
                <w:rFonts w:hint="eastAsia" w:ascii="仿宋" w:hAnsi="仿宋" w:eastAsia="仿宋" w:cs="仿宋"/>
                <w:szCs w:val="24"/>
              </w:rPr>
              <w:t>样品所选用背筐、椅座、扶手、底盘、气杆、椅脚、椅轮等与</w:t>
            </w:r>
            <w:r>
              <w:rPr>
                <w:rFonts w:hint="eastAsia" w:ascii="仿宋" w:hAnsi="仿宋" w:eastAsia="仿宋" w:cs="仿宋"/>
                <w:color w:val="000000" w:themeColor="text1"/>
                <w:szCs w:val="24"/>
                <w14:textFill>
                  <w14:solidFill>
                    <w14:schemeClr w14:val="tx1"/>
                  </w14:solidFill>
                </w14:textFill>
              </w:rPr>
              <w:t>采购需求一致，每个不合格项扣0.5分，扣完为止。</w:t>
            </w:r>
          </w:p>
          <w:p>
            <w:pPr>
              <w:pStyle w:val="561"/>
              <w:keepNext w:val="0"/>
              <w:keepLines w:val="0"/>
              <w:pageBreakBefore w:val="0"/>
              <w:suppressLineNumbers w:val="0"/>
              <w:kinsoku/>
              <w:wordWrap/>
              <w:overflowPunct/>
              <w:topLinePunct w:val="0"/>
              <w:autoSpaceDE/>
              <w:autoSpaceDN/>
              <w:bidi w:val="0"/>
              <w:adjustRightInd/>
              <w:snapToGrid/>
              <w:spacing w:before="0" w:beforeAutospacing="0" w:after="0" w:afterAutospacing="0" w:line="380" w:lineRule="exact"/>
              <w:ind w:left="0" w:leftChars="0" w:right="0" w:firstLine="0"/>
              <w:textAlignment w:val="auto"/>
              <w:rPr>
                <w:rFonts w:hint="eastAsia" w:ascii="仿宋" w:hAnsi="仿宋" w:eastAsia="仿宋" w:cs="仿宋"/>
                <w:szCs w:val="24"/>
              </w:rPr>
            </w:pPr>
            <w:r>
              <w:rPr>
                <w:rFonts w:hint="eastAsia" w:ascii="仿宋" w:hAnsi="仿宋" w:eastAsia="仿宋" w:cs="仿宋"/>
                <w:szCs w:val="24"/>
              </w:rPr>
              <w:t>三、外观（</w:t>
            </w:r>
            <w:r>
              <w:rPr>
                <w:rFonts w:hint="eastAsia" w:ascii="仿宋" w:hAnsi="仿宋" w:eastAsia="仿宋" w:cs="仿宋"/>
                <w:szCs w:val="24"/>
                <w:lang w:val="en-US" w:eastAsia="zh-CN"/>
              </w:rPr>
              <w:t>3</w:t>
            </w:r>
            <w:r>
              <w:rPr>
                <w:rFonts w:hint="eastAsia" w:ascii="仿宋" w:hAnsi="仿宋" w:eastAsia="仿宋" w:cs="仿宋"/>
                <w:szCs w:val="24"/>
              </w:rPr>
              <w:t>分）：每个不合格项扣0.5分，扣完为止。</w:t>
            </w:r>
          </w:p>
          <w:p>
            <w:pPr>
              <w:pStyle w:val="561"/>
              <w:keepNext w:val="0"/>
              <w:keepLines w:val="0"/>
              <w:pageBreakBefore w:val="0"/>
              <w:suppressLineNumbers w:val="0"/>
              <w:kinsoku/>
              <w:wordWrap/>
              <w:overflowPunct/>
              <w:topLinePunct w:val="0"/>
              <w:autoSpaceDE/>
              <w:autoSpaceDN/>
              <w:bidi w:val="0"/>
              <w:adjustRightInd/>
              <w:snapToGrid/>
              <w:spacing w:before="0" w:beforeAutospacing="0" w:after="0" w:afterAutospacing="0" w:line="380" w:lineRule="exact"/>
              <w:ind w:left="0" w:leftChars="0" w:right="0" w:firstLine="0"/>
              <w:textAlignment w:val="auto"/>
              <w:rPr>
                <w:rFonts w:hint="eastAsia" w:ascii="仿宋" w:hAnsi="仿宋" w:eastAsia="仿宋" w:cs="仿宋"/>
                <w:spacing w:val="5"/>
                <w:szCs w:val="24"/>
              </w:rPr>
            </w:pPr>
            <w:r>
              <w:rPr>
                <w:rFonts w:hint="eastAsia" w:ascii="仿宋" w:hAnsi="仿宋" w:eastAsia="仿宋" w:cs="仿宋"/>
                <w:spacing w:val="5"/>
                <w:szCs w:val="24"/>
              </w:rPr>
              <w:t>1.金属件：</w:t>
            </w:r>
          </w:p>
          <w:p>
            <w:pPr>
              <w:pStyle w:val="561"/>
              <w:keepNext w:val="0"/>
              <w:keepLines w:val="0"/>
              <w:pageBreakBefore w:val="0"/>
              <w:suppressLineNumbers w:val="0"/>
              <w:kinsoku/>
              <w:wordWrap/>
              <w:overflowPunct/>
              <w:topLinePunct w:val="0"/>
              <w:autoSpaceDE/>
              <w:autoSpaceDN/>
              <w:bidi w:val="0"/>
              <w:adjustRightInd/>
              <w:snapToGrid/>
              <w:spacing w:before="0" w:beforeAutospacing="0" w:after="0" w:afterAutospacing="0" w:line="380" w:lineRule="exact"/>
              <w:ind w:left="0" w:leftChars="0" w:right="0" w:firstLine="0"/>
              <w:textAlignment w:val="auto"/>
              <w:rPr>
                <w:rFonts w:hint="eastAsia" w:ascii="仿宋" w:hAnsi="仿宋" w:eastAsia="仿宋" w:cs="仿宋"/>
                <w:spacing w:val="5"/>
                <w:szCs w:val="24"/>
              </w:rPr>
            </w:pPr>
            <w:r>
              <w:rPr>
                <w:rFonts w:hint="eastAsia" w:ascii="仿宋" w:hAnsi="仿宋" w:eastAsia="仿宋" w:cs="仿宋"/>
                <w:spacing w:val="5"/>
                <w:szCs w:val="24"/>
              </w:rPr>
              <w:t>(1)管材：管材应无裂缝、叠缝，外露管口端面应封闭；</w:t>
            </w:r>
          </w:p>
          <w:p>
            <w:pPr>
              <w:pStyle w:val="561"/>
              <w:keepNext w:val="0"/>
              <w:keepLines w:val="0"/>
              <w:pageBreakBefore w:val="0"/>
              <w:suppressLineNumbers w:val="0"/>
              <w:kinsoku/>
              <w:wordWrap/>
              <w:overflowPunct/>
              <w:topLinePunct w:val="0"/>
              <w:autoSpaceDE/>
              <w:autoSpaceDN/>
              <w:bidi w:val="0"/>
              <w:adjustRightInd/>
              <w:snapToGrid/>
              <w:spacing w:before="0" w:beforeAutospacing="0" w:after="0" w:afterAutospacing="0" w:line="380" w:lineRule="exact"/>
              <w:ind w:left="0" w:leftChars="0" w:right="0" w:firstLine="0"/>
              <w:textAlignment w:val="auto"/>
              <w:rPr>
                <w:rFonts w:hint="eastAsia" w:ascii="仿宋" w:hAnsi="仿宋" w:eastAsia="仿宋" w:cs="仿宋"/>
                <w:spacing w:val="5"/>
                <w:szCs w:val="24"/>
              </w:rPr>
            </w:pPr>
            <w:r>
              <w:rPr>
                <w:rFonts w:hint="eastAsia" w:ascii="仿宋" w:hAnsi="仿宋" w:eastAsia="仿宋" w:cs="仿宋"/>
                <w:spacing w:val="5"/>
                <w:szCs w:val="24"/>
              </w:rPr>
              <w:t>(2)焊接件：焊接处应无脱焊、虚焊、焊穿、错位，焊接处应无夹渣、气孔、焊瘤、焊丝头、咬边、飞溅，焊接处表 面波纹应均匀；</w:t>
            </w:r>
          </w:p>
          <w:p>
            <w:pPr>
              <w:pStyle w:val="561"/>
              <w:keepNext w:val="0"/>
              <w:keepLines w:val="0"/>
              <w:pageBreakBefore w:val="0"/>
              <w:suppressLineNumbers w:val="0"/>
              <w:kinsoku/>
              <w:wordWrap/>
              <w:overflowPunct/>
              <w:topLinePunct w:val="0"/>
              <w:autoSpaceDE/>
              <w:autoSpaceDN/>
              <w:bidi w:val="0"/>
              <w:adjustRightInd/>
              <w:snapToGrid/>
              <w:spacing w:before="0" w:beforeAutospacing="0" w:after="0" w:afterAutospacing="0" w:line="380" w:lineRule="exact"/>
              <w:ind w:left="0" w:leftChars="0" w:right="0" w:firstLine="0"/>
              <w:textAlignment w:val="auto"/>
              <w:rPr>
                <w:rFonts w:hint="eastAsia" w:ascii="仿宋" w:hAnsi="仿宋" w:eastAsia="仿宋" w:cs="仿宋"/>
                <w:spacing w:val="5"/>
                <w:szCs w:val="24"/>
              </w:rPr>
            </w:pPr>
            <w:r>
              <w:rPr>
                <w:rFonts w:hint="eastAsia" w:ascii="仿宋" w:hAnsi="仿宋" w:eastAsia="仿宋" w:cs="仿宋"/>
                <w:spacing w:val="5"/>
                <w:szCs w:val="24"/>
              </w:rPr>
              <w:t>(3)冲压件：冲压件应无脱层、裂缝；</w:t>
            </w:r>
          </w:p>
          <w:p>
            <w:pPr>
              <w:pStyle w:val="561"/>
              <w:keepNext w:val="0"/>
              <w:keepLines w:val="0"/>
              <w:pageBreakBefore w:val="0"/>
              <w:suppressLineNumbers w:val="0"/>
              <w:kinsoku/>
              <w:wordWrap/>
              <w:overflowPunct/>
              <w:topLinePunct w:val="0"/>
              <w:autoSpaceDE/>
              <w:autoSpaceDN/>
              <w:bidi w:val="0"/>
              <w:adjustRightInd/>
              <w:snapToGrid/>
              <w:spacing w:before="0" w:beforeAutospacing="0" w:after="0" w:afterAutospacing="0" w:line="380" w:lineRule="exact"/>
              <w:ind w:left="0" w:leftChars="0" w:right="0" w:firstLine="0"/>
              <w:textAlignment w:val="auto"/>
              <w:rPr>
                <w:rFonts w:hint="eastAsia" w:ascii="仿宋" w:hAnsi="仿宋" w:eastAsia="仿宋" w:cs="仿宋"/>
                <w:spacing w:val="5"/>
                <w:szCs w:val="24"/>
              </w:rPr>
            </w:pPr>
            <w:r>
              <w:rPr>
                <w:rFonts w:hint="eastAsia" w:ascii="仿宋" w:hAnsi="仿宋" w:eastAsia="仿宋" w:cs="仿宋"/>
                <w:spacing w:val="5"/>
                <w:szCs w:val="24"/>
              </w:rPr>
              <w:t>(4)铆接件：铆接处应铆接牢固，无漏铆、脱铆，铆钉应端正圆滑，无明显锤印；</w:t>
            </w:r>
          </w:p>
          <w:p>
            <w:pPr>
              <w:pStyle w:val="561"/>
              <w:keepNext w:val="0"/>
              <w:keepLines w:val="0"/>
              <w:pageBreakBefore w:val="0"/>
              <w:suppressLineNumbers w:val="0"/>
              <w:kinsoku/>
              <w:wordWrap/>
              <w:overflowPunct/>
              <w:topLinePunct w:val="0"/>
              <w:autoSpaceDE/>
              <w:autoSpaceDN/>
              <w:bidi w:val="0"/>
              <w:adjustRightInd/>
              <w:snapToGrid/>
              <w:spacing w:before="0" w:beforeAutospacing="0" w:after="0" w:afterAutospacing="0" w:line="380" w:lineRule="exact"/>
              <w:ind w:left="0" w:leftChars="0" w:right="0" w:firstLine="0"/>
              <w:textAlignment w:val="auto"/>
              <w:rPr>
                <w:rFonts w:hint="eastAsia" w:ascii="仿宋" w:hAnsi="仿宋" w:eastAsia="仿宋" w:cs="仿宋"/>
                <w:spacing w:val="5"/>
                <w:szCs w:val="24"/>
              </w:rPr>
            </w:pPr>
            <w:r>
              <w:rPr>
                <w:rFonts w:hint="eastAsia" w:ascii="仿宋" w:hAnsi="仿宋" w:eastAsia="仿宋" w:cs="仿宋"/>
                <w:spacing w:val="5"/>
                <w:szCs w:val="24"/>
              </w:rPr>
              <w:t>(5)金属合金件：无锈蚀、氧化膜脱落、刃口、锐棱，表面细密，应无裂纹、毛刺、黑斑等缺陷；</w:t>
            </w:r>
          </w:p>
          <w:p>
            <w:pPr>
              <w:pStyle w:val="561"/>
              <w:keepNext w:val="0"/>
              <w:keepLines w:val="0"/>
              <w:pageBreakBefore w:val="0"/>
              <w:suppressLineNumbers w:val="0"/>
              <w:kinsoku/>
              <w:wordWrap/>
              <w:overflowPunct/>
              <w:topLinePunct w:val="0"/>
              <w:autoSpaceDE/>
              <w:autoSpaceDN/>
              <w:bidi w:val="0"/>
              <w:adjustRightInd/>
              <w:snapToGrid/>
              <w:spacing w:before="0" w:beforeAutospacing="0" w:after="0" w:afterAutospacing="0" w:line="380" w:lineRule="exact"/>
              <w:ind w:left="0" w:leftChars="0" w:right="0" w:firstLine="0"/>
              <w:textAlignment w:val="auto"/>
              <w:rPr>
                <w:rFonts w:hint="eastAsia" w:ascii="仿宋" w:hAnsi="仿宋" w:eastAsia="仿宋" w:cs="仿宋"/>
                <w:spacing w:val="5"/>
                <w:szCs w:val="24"/>
              </w:rPr>
            </w:pPr>
            <w:r>
              <w:rPr>
                <w:rFonts w:hint="eastAsia" w:ascii="仿宋" w:hAnsi="仿宋" w:eastAsia="仿宋" w:cs="仿宋"/>
                <w:spacing w:val="5"/>
                <w:szCs w:val="24"/>
              </w:rPr>
              <w:t>(6)皱纹或波纹：圆管和扁线管弯曲处弧形应圆滑一致；</w:t>
            </w:r>
          </w:p>
          <w:p>
            <w:pPr>
              <w:pStyle w:val="561"/>
              <w:keepNext w:val="0"/>
              <w:keepLines w:val="0"/>
              <w:pageBreakBefore w:val="0"/>
              <w:suppressLineNumbers w:val="0"/>
              <w:kinsoku/>
              <w:wordWrap/>
              <w:overflowPunct/>
              <w:topLinePunct w:val="0"/>
              <w:autoSpaceDE/>
              <w:autoSpaceDN/>
              <w:bidi w:val="0"/>
              <w:adjustRightInd/>
              <w:snapToGrid/>
              <w:spacing w:before="0" w:beforeAutospacing="0" w:after="0" w:afterAutospacing="0" w:line="380" w:lineRule="exact"/>
              <w:ind w:left="0" w:leftChars="0" w:right="0" w:firstLine="0"/>
              <w:textAlignment w:val="auto"/>
              <w:rPr>
                <w:rFonts w:hint="eastAsia" w:ascii="仿宋" w:hAnsi="仿宋" w:eastAsia="仿宋" w:cs="仿宋"/>
                <w:spacing w:val="5"/>
                <w:szCs w:val="24"/>
              </w:rPr>
            </w:pPr>
            <w:r>
              <w:rPr>
                <w:rFonts w:hint="eastAsia" w:ascii="仿宋" w:hAnsi="仿宋" w:eastAsia="仿宋" w:cs="仿宋"/>
                <w:spacing w:val="5"/>
                <w:szCs w:val="24"/>
              </w:rPr>
              <w:t>(7)喷涂层：涂层应无漏喷、锈蚀和脱色、掉色现象，涂层应光滑均匀，色泽一致，应无流挂、疙瘩、皱皮、飞漆等缺陷；</w:t>
            </w:r>
          </w:p>
          <w:p>
            <w:pPr>
              <w:pStyle w:val="561"/>
              <w:keepNext w:val="0"/>
              <w:keepLines w:val="0"/>
              <w:pageBreakBefore w:val="0"/>
              <w:suppressLineNumbers w:val="0"/>
              <w:kinsoku/>
              <w:wordWrap/>
              <w:overflowPunct/>
              <w:topLinePunct w:val="0"/>
              <w:autoSpaceDE/>
              <w:autoSpaceDN/>
              <w:bidi w:val="0"/>
              <w:adjustRightInd/>
              <w:snapToGrid/>
              <w:spacing w:before="0" w:beforeAutospacing="0" w:after="0" w:afterAutospacing="0" w:line="380" w:lineRule="exact"/>
              <w:ind w:left="0" w:leftChars="0" w:right="0" w:firstLine="0"/>
              <w:textAlignment w:val="auto"/>
              <w:rPr>
                <w:rFonts w:hint="eastAsia" w:ascii="仿宋" w:hAnsi="仿宋" w:eastAsia="仿宋" w:cs="仿宋"/>
                <w:spacing w:val="5"/>
                <w:szCs w:val="24"/>
              </w:rPr>
            </w:pPr>
            <w:r>
              <w:rPr>
                <w:rFonts w:hint="eastAsia" w:ascii="仿宋" w:hAnsi="仿宋" w:eastAsia="仿宋" w:cs="仿宋"/>
                <w:spacing w:val="5"/>
                <w:szCs w:val="24"/>
              </w:rPr>
              <w:t>2.软包件：</w:t>
            </w:r>
          </w:p>
          <w:p>
            <w:pPr>
              <w:pStyle w:val="561"/>
              <w:keepNext w:val="0"/>
              <w:keepLines w:val="0"/>
              <w:pageBreakBefore w:val="0"/>
              <w:suppressLineNumbers w:val="0"/>
              <w:kinsoku/>
              <w:wordWrap/>
              <w:overflowPunct/>
              <w:topLinePunct w:val="0"/>
              <w:autoSpaceDE/>
              <w:autoSpaceDN/>
              <w:bidi w:val="0"/>
              <w:adjustRightInd/>
              <w:snapToGrid/>
              <w:spacing w:before="0" w:beforeAutospacing="0" w:after="0" w:afterAutospacing="0" w:line="380" w:lineRule="exact"/>
              <w:ind w:left="0" w:leftChars="0" w:right="0" w:firstLine="0"/>
              <w:textAlignment w:val="auto"/>
              <w:rPr>
                <w:rFonts w:hint="eastAsia" w:ascii="仿宋" w:hAnsi="仿宋" w:eastAsia="仿宋" w:cs="仿宋"/>
                <w:spacing w:val="5"/>
                <w:sz w:val="30"/>
                <w:szCs w:val="30"/>
              </w:rPr>
            </w:pPr>
            <w:r>
              <w:rPr>
                <w:rFonts w:hint="eastAsia" w:ascii="仿宋" w:hAnsi="仿宋" w:eastAsia="仿宋" w:cs="仿宋"/>
                <w:spacing w:val="5"/>
                <w:szCs w:val="24"/>
              </w:rPr>
              <w:t>(1)软面包覆表面：包覆的面料拼接对称图案应完整；同一部位绒面料的绒毛方向应一致；不应有明显色差，包覆  的面料应无破损、严重划痕、色污、油污，应平服饱满，松紧均匀，不应有明显皱折，对称工艺性皱折应匀称，层次分明；</w:t>
            </w:r>
          </w:p>
          <w:p>
            <w:pPr>
              <w:pStyle w:val="561"/>
              <w:keepNext w:val="0"/>
              <w:keepLines w:val="0"/>
              <w:pageBreakBefore w:val="0"/>
              <w:suppressLineNumbers w:val="0"/>
              <w:kinsoku/>
              <w:wordWrap/>
              <w:overflowPunct/>
              <w:topLinePunct w:val="0"/>
              <w:autoSpaceDE/>
              <w:autoSpaceDN/>
              <w:bidi w:val="0"/>
              <w:adjustRightInd/>
              <w:snapToGrid/>
              <w:spacing w:before="0" w:beforeAutospacing="0" w:after="0" w:afterAutospacing="0" w:line="380" w:lineRule="exact"/>
              <w:ind w:left="0" w:leftChars="0" w:right="0" w:firstLine="0"/>
              <w:textAlignment w:val="auto"/>
              <w:rPr>
                <w:rFonts w:hint="eastAsia" w:ascii="仿宋" w:hAnsi="仿宋" w:eastAsia="仿宋" w:cs="仿宋"/>
                <w:spacing w:val="5"/>
                <w:szCs w:val="24"/>
              </w:rPr>
            </w:pPr>
            <w:r>
              <w:rPr>
                <w:rFonts w:hint="eastAsia" w:ascii="仿宋" w:hAnsi="仿宋" w:eastAsia="仿宋" w:cs="仿宋"/>
                <w:spacing w:val="5"/>
                <w:szCs w:val="24"/>
              </w:rPr>
              <w:t>(2)外露泡钉：应排列应整齐，间距基本相等，不应有泡钉明显敲扁或脱漆；</w:t>
            </w:r>
          </w:p>
          <w:p>
            <w:pPr>
              <w:pStyle w:val="561"/>
              <w:keepNext w:val="0"/>
              <w:keepLines w:val="0"/>
              <w:pageBreakBefore w:val="0"/>
              <w:suppressLineNumbers w:val="0"/>
              <w:kinsoku/>
              <w:wordWrap/>
              <w:overflowPunct/>
              <w:topLinePunct w:val="0"/>
              <w:autoSpaceDE/>
              <w:autoSpaceDN/>
              <w:bidi w:val="0"/>
              <w:adjustRightInd/>
              <w:snapToGrid/>
              <w:spacing w:before="0" w:beforeAutospacing="0" w:after="0" w:afterAutospacing="0" w:line="380" w:lineRule="exact"/>
              <w:ind w:left="0" w:leftChars="0" w:right="0" w:firstLine="0"/>
              <w:textAlignment w:val="auto"/>
              <w:rPr>
                <w:rFonts w:hint="eastAsia" w:ascii="仿宋" w:hAnsi="仿宋" w:eastAsia="仿宋" w:cs="仿宋"/>
                <w:spacing w:val="5"/>
                <w:szCs w:val="24"/>
              </w:rPr>
            </w:pPr>
            <w:r>
              <w:rPr>
                <w:rFonts w:hint="eastAsia" w:ascii="仿宋" w:hAnsi="仿宋" w:eastAsia="仿宋" w:cs="仿宋"/>
                <w:spacing w:val="5"/>
                <w:szCs w:val="24"/>
              </w:rPr>
              <w:t>(3)缝纫：线迹间距应均匀，无明显浮线、跳针或外露线头、脱线、开缝、脱胶。</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textAlignment w:val="auto"/>
              <w:rPr>
                <w:rFonts w:hint="eastAsia" w:ascii="仿宋" w:hAnsi="仿宋" w:eastAsia="仿宋" w:cs="仿宋"/>
                <w:i w:val="0"/>
                <w:iCs w:val="0"/>
                <w:color w:val="000000"/>
                <w:sz w:val="24"/>
                <w:szCs w:val="24"/>
                <w:u w:val="none"/>
                <w:lang w:val="en-US" w:eastAsia="zh-CN"/>
              </w:rPr>
            </w:pPr>
            <w:r>
              <w:rPr>
                <w:rFonts w:hint="eastAsia" w:ascii="仿宋" w:hAnsi="仿宋" w:eastAsia="仿宋" w:cs="仿宋"/>
                <w:spacing w:val="5"/>
                <w:szCs w:val="24"/>
              </w:rPr>
              <w:t>3.塑料件</w:t>
            </w:r>
            <w:r>
              <w:rPr>
                <w:rFonts w:hint="eastAsia" w:ascii="仿宋" w:hAnsi="仿宋" w:eastAsia="仿宋" w:cs="仿宋"/>
                <w:spacing w:val="5"/>
                <w:szCs w:val="24"/>
                <w:lang w:eastAsia="zh-CN"/>
              </w:rPr>
              <w:t>：</w:t>
            </w:r>
            <w:r>
              <w:rPr>
                <w:rFonts w:hint="eastAsia" w:ascii="仿宋" w:hAnsi="仿宋" w:eastAsia="仿宋" w:cs="仿宋"/>
                <w:spacing w:val="5"/>
                <w:szCs w:val="24"/>
              </w:rPr>
              <w:t>应无裂纹，无明显变形，应无明显缩孔、气泡、杂质、伤痕，外表用塑料件表面应光洁、无划痕、无污渍、无明显色差。</w:t>
            </w:r>
          </w:p>
        </w:tc>
        <w:tc>
          <w:tcPr>
            <w:tcW w:w="925"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3" w:hRule="atLeast"/>
        </w:trPr>
        <w:tc>
          <w:tcPr>
            <w:tcW w:w="769" w:type="dxa"/>
            <w:tcBorders>
              <w:left w:val="single" w:color="auto" w:sz="4" w:space="0"/>
              <w:right w:val="single" w:color="auto" w:sz="4" w:space="0"/>
            </w:tcBorders>
            <w:noWrap/>
            <w:vAlign w:val="center"/>
          </w:tcPr>
          <w:p>
            <w:pPr>
              <w:keepNext w:val="0"/>
              <w:keepLines w:val="0"/>
              <w:suppressLineNumbers w:val="0"/>
              <w:spacing w:before="156" w:beforeAutospacing="0" w:after="0" w:afterAutospacing="0" w:line="400" w:lineRule="exact"/>
              <w:ind w:left="0" w:right="0"/>
              <w:jc w:val="center"/>
              <w:rPr>
                <w:rFonts w:hint="default" w:ascii="仿宋_GB2312" w:hAnsi="仿宋" w:eastAsia="仿宋_GB2312" w:cs="仿宋"/>
                <w:bCs/>
                <w:color w:val="auto"/>
                <w:sz w:val="24"/>
                <w:szCs w:val="22"/>
                <w:lang w:val="en-US" w:eastAsia="zh-CN"/>
              </w:rPr>
            </w:pPr>
            <w:r>
              <w:rPr>
                <w:rFonts w:hint="eastAsia" w:ascii="仿宋_GB2312" w:hAnsi="仿宋" w:eastAsia="仿宋_GB2312" w:cs="仿宋"/>
                <w:bCs/>
                <w:color w:val="auto"/>
                <w:sz w:val="24"/>
                <w:szCs w:val="22"/>
                <w:lang w:val="en-US" w:eastAsia="zh-CN"/>
              </w:rPr>
              <w:t>10</w:t>
            </w:r>
          </w:p>
        </w:tc>
        <w:tc>
          <w:tcPr>
            <w:tcW w:w="1567" w:type="dxa"/>
            <w:vMerge w:val="continue"/>
            <w:tcBorders>
              <w:left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 w:hAnsi="仿宋" w:eastAsia="仿宋" w:cs="仿宋"/>
                <w:i w:val="0"/>
                <w:iCs w:val="0"/>
                <w:color w:val="000000"/>
                <w:kern w:val="0"/>
                <w:sz w:val="24"/>
                <w:szCs w:val="24"/>
                <w:u w:val="none"/>
                <w:lang w:val="en-US" w:eastAsia="zh-CN" w:bidi="ar"/>
              </w:rPr>
            </w:pPr>
          </w:p>
        </w:tc>
        <w:tc>
          <w:tcPr>
            <w:tcW w:w="6337" w:type="dxa"/>
            <w:tcBorders>
              <w:top w:val="single" w:color="auto" w:sz="4" w:space="0"/>
              <w:left w:val="single" w:color="auto" w:sz="4" w:space="0"/>
              <w:bottom w:val="single" w:color="auto" w:sz="4" w:space="0"/>
              <w:right w:val="single" w:color="auto" w:sz="4" w:space="0"/>
            </w:tcBorders>
            <w:noWrap/>
            <w:vAlign w:val="center"/>
          </w:tcPr>
          <w:p>
            <w:pPr>
              <w:pStyle w:val="6"/>
              <w:pageBreakBefore w:val="0"/>
              <w:suppressLineNumbers w:val="0"/>
              <w:kinsoku/>
              <w:wordWrap/>
              <w:overflowPunct/>
              <w:topLinePunct w:val="0"/>
              <w:autoSpaceDE/>
              <w:autoSpaceDN/>
              <w:bidi w:val="0"/>
              <w:adjustRightInd/>
              <w:snapToGrid/>
              <w:spacing w:before="0" w:beforeLines="0" w:after="0" w:afterLines="0" w:line="400" w:lineRule="exact"/>
              <w:ind w:left="0" w:leftChars="0" w:right="0" w:firstLine="0" w:firstLineChars="0"/>
              <w:textAlignment w:val="auto"/>
              <w:rPr>
                <w:rFonts w:hint="eastAsia" w:ascii="仿宋" w:hAnsi="仿宋" w:eastAsia="仿宋" w:cs="仿宋"/>
                <w:b w:val="0"/>
                <w:sz w:val="24"/>
                <w:szCs w:val="22"/>
              </w:rPr>
            </w:pPr>
            <w:r>
              <w:rPr>
                <w:rFonts w:hint="eastAsia" w:ascii="仿宋" w:hAnsi="仿宋" w:eastAsia="仿宋" w:cs="仿宋"/>
                <w:b w:val="0"/>
                <w:sz w:val="24"/>
                <w:szCs w:val="22"/>
              </w:rPr>
              <w:t>根据投标人提供的样品（</w:t>
            </w:r>
            <w:r>
              <w:rPr>
                <w:rFonts w:hint="eastAsia" w:ascii="仿宋" w:hAnsi="仿宋" w:eastAsia="仿宋" w:cs="仿宋"/>
                <w:b w:val="0"/>
                <w:sz w:val="24"/>
                <w:szCs w:val="22"/>
                <w:lang w:val="en-US" w:eastAsia="zh-CN"/>
              </w:rPr>
              <w:t>序号29组合式会议桌</w:t>
            </w:r>
            <w:r>
              <w:rPr>
                <w:rFonts w:hint="eastAsia" w:ascii="仿宋" w:hAnsi="仿宋" w:eastAsia="仿宋" w:cs="仿宋"/>
                <w:b w:val="0"/>
                <w:sz w:val="24"/>
                <w:szCs w:val="22"/>
              </w:rPr>
              <w:t>）质量及整体效果等进行打分：</w:t>
            </w:r>
          </w:p>
          <w:p>
            <w:pPr>
              <w:pStyle w:val="561"/>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textAlignment w:val="auto"/>
              <w:rPr>
                <w:rFonts w:hint="eastAsia" w:ascii="仿宋" w:hAnsi="仿宋" w:eastAsia="仿宋" w:cs="仿宋"/>
                <w:szCs w:val="24"/>
              </w:rPr>
            </w:pPr>
            <w:r>
              <w:rPr>
                <w:rFonts w:hint="eastAsia" w:ascii="仿宋" w:hAnsi="仿宋" w:eastAsia="仿宋" w:cs="仿宋"/>
                <w:szCs w:val="24"/>
              </w:rPr>
              <w:t>一、产品主要尺寸、形状及位置公差（1分）：</w:t>
            </w:r>
          </w:p>
          <w:p>
            <w:pPr>
              <w:pStyle w:val="561"/>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textAlignment w:val="auto"/>
              <w:rPr>
                <w:rFonts w:hint="eastAsia" w:ascii="仿宋" w:hAnsi="仿宋" w:eastAsia="仿宋" w:cs="仿宋"/>
                <w:szCs w:val="24"/>
              </w:rPr>
            </w:pPr>
            <w:r>
              <w:rPr>
                <w:rFonts w:hint="eastAsia" w:ascii="仿宋" w:hAnsi="仿宋" w:eastAsia="仿宋" w:cs="仿宋"/>
                <w:szCs w:val="24"/>
              </w:rPr>
              <w:t>样品尺寸形状应满足技术参数要求，如每偏离一个参数指标扣0.5分，扣完为止。要求且明示的产品尺寸偏差控制在</w:t>
            </w:r>
            <w:r>
              <w:rPr>
                <w:rFonts w:hint="eastAsia" w:ascii="仿宋" w:hAnsi="仿宋" w:eastAsia="仿宋" w:cs="宋体"/>
                <w:color w:val="000000"/>
                <w:szCs w:val="21"/>
                <w:lang w:bidi="ar"/>
              </w:rPr>
              <w:t>±1%。</w:t>
            </w:r>
          </w:p>
          <w:p>
            <w:pPr>
              <w:pStyle w:val="561"/>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textAlignment w:val="auto"/>
              <w:rPr>
                <w:rFonts w:hint="eastAsia" w:ascii="仿宋" w:hAnsi="仿宋" w:eastAsia="仿宋" w:cs="仿宋"/>
                <w:szCs w:val="24"/>
              </w:rPr>
            </w:pPr>
            <w:r>
              <w:rPr>
                <w:rFonts w:hint="eastAsia" w:ascii="仿宋" w:hAnsi="仿宋" w:eastAsia="仿宋" w:cs="仿宋"/>
                <w:szCs w:val="24"/>
              </w:rPr>
              <w:t xml:space="preserve">二、材料要求（2分）： </w:t>
            </w:r>
          </w:p>
          <w:p>
            <w:pPr>
              <w:pStyle w:val="561"/>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textAlignment w:val="auto"/>
              <w:rPr>
                <w:rFonts w:hint="eastAsia" w:ascii="仿宋" w:hAnsi="仿宋" w:eastAsia="仿宋" w:cs="仿宋"/>
                <w:szCs w:val="24"/>
              </w:rPr>
            </w:pPr>
            <w:r>
              <w:rPr>
                <w:rFonts w:hint="eastAsia" w:ascii="仿宋" w:hAnsi="仿宋" w:eastAsia="仿宋" w:cs="仿宋"/>
                <w:szCs w:val="24"/>
              </w:rPr>
              <w:t>样品所选用板材、封边、五金、钢架等与采购需求一致，</w:t>
            </w:r>
            <w:r>
              <w:rPr>
                <w:rFonts w:hint="eastAsia" w:ascii="仿宋" w:hAnsi="仿宋" w:eastAsia="仿宋" w:cs="仿宋"/>
                <w:color w:val="000000" w:themeColor="text1"/>
                <w:szCs w:val="24"/>
                <w14:textFill>
                  <w14:solidFill>
                    <w14:schemeClr w14:val="tx1"/>
                  </w14:solidFill>
                </w14:textFill>
              </w:rPr>
              <w:t>每个不合格项扣0.5分，扣完为止。</w:t>
            </w:r>
          </w:p>
          <w:p>
            <w:pPr>
              <w:pStyle w:val="561"/>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textAlignment w:val="auto"/>
              <w:rPr>
                <w:rFonts w:hint="eastAsia" w:ascii="仿宋" w:hAnsi="仿宋" w:eastAsia="仿宋" w:cs="仿宋"/>
                <w:szCs w:val="24"/>
              </w:rPr>
            </w:pPr>
            <w:r>
              <w:rPr>
                <w:rFonts w:hint="eastAsia" w:ascii="仿宋" w:hAnsi="仿宋" w:eastAsia="仿宋" w:cs="仿宋"/>
                <w:szCs w:val="24"/>
              </w:rPr>
              <w:t>三、外观（</w:t>
            </w:r>
            <w:r>
              <w:rPr>
                <w:rFonts w:hint="eastAsia" w:ascii="仿宋" w:hAnsi="仿宋" w:eastAsia="仿宋" w:cs="仿宋"/>
                <w:szCs w:val="24"/>
                <w:lang w:val="en-US" w:eastAsia="zh-CN"/>
              </w:rPr>
              <w:t>3</w:t>
            </w:r>
            <w:r>
              <w:rPr>
                <w:rFonts w:hint="eastAsia" w:ascii="仿宋" w:hAnsi="仿宋" w:eastAsia="仿宋" w:cs="仿宋"/>
                <w:szCs w:val="24"/>
              </w:rPr>
              <w:t>分）：每个不合格项扣0.5分，扣完为止。</w:t>
            </w:r>
          </w:p>
          <w:p>
            <w:pPr>
              <w:pStyle w:val="561"/>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textAlignment w:val="auto"/>
              <w:rPr>
                <w:rFonts w:hint="eastAsia" w:ascii="仿宋" w:hAnsi="仿宋" w:eastAsia="仿宋" w:cs="仿宋"/>
                <w:spacing w:val="5"/>
                <w:szCs w:val="24"/>
              </w:rPr>
            </w:pPr>
            <w:r>
              <w:rPr>
                <w:rFonts w:hint="eastAsia" w:ascii="仿宋" w:hAnsi="仿宋" w:eastAsia="仿宋" w:cs="仿宋"/>
                <w:spacing w:val="5"/>
                <w:szCs w:val="24"/>
              </w:rPr>
              <w:t>1.金属件：</w:t>
            </w:r>
          </w:p>
          <w:p>
            <w:pPr>
              <w:pStyle w:val="561"/>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textAlignment w:val="auto"/>
              <w:rPr>
                <w:rFonts w:hint="eastAsia" w:ascii="仿宋" w:hAnsi="仿宋" w:eastAsia="仿宋" w:cs="仿宋"/>
                <w:spacing w:val="5"/>
                <w:szCs w:val="24"/>
              </w:rPr>
            </w:pPr>
            <w:r>
              <w:rPr>
                <w:rFonts w:hint="eastAsia" w:ascii="仿宋" w:hAnsi="仿宋" w:eastAsia="仿宋" w:cs="仿宋"/>
                <w:spacing w:val="5"/>
                <w:szCs w:val="24"/>
              </w:rPr>
              <w:t>(1)管材：管材应无裂缝、叠缝，外露管口端面应封闭；</w:t>
            </w:r>
          </w:p>
          <w:p>
            <w:pPr>
              <w:pStyle w:val="561"/>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textAlignment w:val="auto"/>
              <w:rPr>
                <w:rFonts w:hint="eastAsia" w:ascii="仿宋" w:hAnsi="仿宋" w:eastAsia="仿宋" w:cs="仿宋"/>
                <w:spacing w:val="5"/>
                <w:szCs w:val="24"/>
              </w:rPr>
            </w:pPr>
            <w:r>
              <w:rPr>
                <w:rFonts w:hint="eastAsia" w:ascii="仿宋" w:hAnsi="仿宋" w:eastAsia="仿宋" w:cs="仿宋"/>
                <w:spacing w:val="5"/>
                <w:szCs w:val="24"/>
              </w:rPr>
              <w:t>(2)焊接件：焊接处应无脱焊、虚焊、焊穿、错位，焊接处应无夹渣、气孔、焊瘤、焊丝头、咬边、飞溅，焊接处表 面波纹应均匀；</w:t>
            </w:r>
          </w:p>
          <w:p>
            <w:pPr>
              <w:pStyle w:val="561"/>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textAlignment w:val="auto"/>
              <w:rPr>
                <w:rFonts w:hint="eastAsia" w:ascii="仿宋" w:hAnsi="仿宋" w:eastAsia="仿宋" w:cs="仿宋"/>
                <w:spacing w:val="5"/>
                <w:szCs w:val="24"/>
              </w:rPr>
            </w:pPr>
            <w:r>
              <w:rPr>
                <w:rFonts w:hint="eastAsia" w:ascii="仿宋" w:hAnsi="仿宋" w:eastAsia="仿宋" w:cs="仿宋"/>
                <w:spacing w:val="5"/>
                <w:szCs w:val="24"/>
              </w:rPr>
              <w:t>(3)冲压件：冲压件应无脱层、裂缝；</w:t>
            </w:r>
          </w:p>
          <w:p>
            <w:pPr>
              <w:pStyle w:val="561"/>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textAlignment w:val="auto"/>
              <w:rPr>
                <w:rFonts w:hint="eastAsia" w:ascii="仿宋" w:hAnsi="仿宋" w:eastAsia="仿宋" w:cs="仿宋"/>
                <w:spacing w:val="5"/>
                <w:szCs w:val="24"/>
              </w:rPr>
            </w:pPr>
            <w:r>
              <w:rPr>
                <w:rFonts w:hint="eastAsia" w:ascii="仿宋" w:hAnsi="仿宋" w:eastAsia="仿宋" w:cs="仿宋"/>
                <w:spacing w:val="5"/>
                <w:szCs w:val="24"/>
              </w:rPr>
              <w:t>(4)铆接件：铆接处应铆接牢固，无漏铆、脱铆，铆钉应端正圆滑，无明显锤印；</w:t>
            </w:r>
          </w:p>
          <w:p>
            <w:pPr>
              <w:pStyle w:val="561"/>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textAlignment w:val="auto"/>
              <w:rPr>
                <w:rFonts w:hint="eastAsia" w:ascii="仿宋" w:hAnsi="仿宋" w:eastAsia="仿宋" w:cs="仿宋"/>
                <w:spacing w:val="5"/>
                <w:szCs w:val="24"/>
              </w:rPr>
            </w:pPr>
            <w:r>
              <w:rPr>
                <w:rFonts w:hint="eastAsia" w:ascii="仿宋" w:hAnsi="仿宋" w:eastAsia="仿宋" w:cs="仿宋"/>
                <w:spacing w:val="5"/>
                <w:szCs w:val="24"/>
              </w:rPr>
              <w:t>(5)金属合金件：无锈蚀、氧化膜脱落、刃口、锐棱，表面细密，应无裂纹、毛刺、黑斑等缺陷；</w:t>
            </w:r>
          </w:p>
          <w:p>
            <w:pPr>
              <w:pStyle w:val="561"/>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textAlignment w:val="auto"/>
              <w:rPr>
                <w:rFonts w:hint="eastAsia" w:ascii="仿宋" w:hAnsi="仿宋" w:eastAsia="仿宋" w:cs="仿宋"/>
                <w:spacing w:val="5"/>
                <w:szCs w:val="24"/>
              </w:rPr>
            </w:pPr>
            <w:r>
              <w:rPr>
                <w:rFonts w:hint="eastAsia" w:ascii="仿宋" w:hAnsi="仿宋" w:eastAsia="仿宋" w:cs="仿宋"/>
                <w:spacing w:val="5"/>
                <w:szCs w:val="24"/>
              </w:rPr>
              <w:t>(6)皱纹或波纹：圆管和扁线管弯曲处弧形应圆滑一致；</w:t>
            </w:r>
          </w:p>
          <w:p>
            <w:pPr>
              <w:pStyle w:val="561"/>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textAlignment w:val="auto"/>
              <w:rPr>
                <w:rFonts w:hint="eastAsia" w:ascii="仿宋" w:hAnsi="仿宋" w:eastAsia="仿宋" w:cs="仿宋"/>
                <w:spacing w:val="5"/>
                <w:szCs w:val="24"/>
              </w:rPr>
            </w:pPr>
            <w:r>
              <w:rPr>
                <w:rFonts w:hint="eastAsia" w:ascii="仿宋" w:hAnsi="仿宋" w:eastAsia="仿宋" w:cs="仿宋"/>
                <w:spacing w:val="5"/>
                <w:szCs w:val="24"/>
              </w:rPr>
              <w:t>(7)喷涂层：涂层应无漏喷、锈蚀和脱色、掉色现象，涂层应光滑均匀，色泽一致，应无流挂、疙瘩、皱皮、飞漆等缺陷；</w:t>
            </w:r>
          </w:p>
          <w:p>
            <w:pPr>
              <w:pStyle w:val="561"/>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textAlignment w:val="auto"/>
              <w:rPr>
                <w:rFonts w:hint="eastAsia" w:ascii="仿宋" w:hAnsi="仿宋" w:eastAsia="仿宋" w:cs="仿宋"/>
                <w:spacing w:val="5"/>
                <w:szCs w:val="24"/>
              </w:rPr>
            </w:pPr>
            <w:r>
              <w:rPr>
                <w:rFonts w:hint="eastAsia" w:ascii="仿宋" w:hAnsi="仿宋" w:eastAsia="仿宋" w:cs="仿宋"/>
                <w:spacing w:val="5"/>
                <w:szCs w:val="24"/>
              </w:rPr>
              <w:t>2.人造板件外观:</w:t>
            </w:r>
          </w:p>
          <w:p>
            <w:pPr>
              <w:pStyle w:val="561"/>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textAlignment w:val="auto"/>
              <w:rPr>
                <w:rFonts w:hint="eastAsia" w:ascii="仿宋" w:hAnsi="仿宋" w:eastAsia="仿宋" w:cs="仿宋"/>
                <w:spacing w:val="5"/>
                <w:szCs w:val="24"/>
              </w:rPr>
            </w:pPr>
            <w:r>
              <w:rPr>
                <w:rFonts w:hint="eastAsia" w:ascii="仿宋" w:hAnsi="仿宋" w:eastAsia="仿宋" w:cs="仿宋"/>
                <w:spacing w:val="5"/>
                <w:szCs w:val="24"/>
              </w:rPr>
              <w:t>(1)外表应无干花、湿花，内表干花、湿花面积不超过板面的5%；</w:t>
            </w:r>
          </w:p>
          <w:p>
            <w:pPr>
              <w:pStyle w:val="561"/>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textAlignment w:val="auto"/>
              <w:rPr>
                <w:rFonts w:hint="eastAsia" w:ascii="仿宋" w:hAnsi="仿宋" w:eastAsia="仿宋" w:cs="仿宋"/>
                <w:spacing w:val="5"/>
                <w:szCs w:val="24"/>
              </w:rPr>
            </w:pPr>
            <w:r>
              <w:rPr>
                <w:rFonts w:hint="eastAsia" w:ascii="仿宋" w:hAnsi="仿宋" w:eastAsia="仿宋" w:cs="仿宋"/>
                <w:spacing w:val="5"/>
                <w:szCs w:val="24"/>
              </w:rPr>
              <w:t>(2)外表应无明显划痕、压痕；</w:t>
            </w:r>
          </w:p>
          <w:p>
            <w:pPr>
              <w:pStyle w:val="561"/>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textAlignment w:val="auto"/>
              <w:rPr>
                <w:rFonts w:hint="eastAsia" w:ascii="仿宋" w:hAnsi="仿宋" w:eastAsia="仿宋" w:cs="仿宋"/>
                <w:spacing w:val="5"/>
                <w:szCs w:val="24"/>
              </w:rPr>
            </w:pPr>
            <w:r>
              <w:rPr>
                <w:rFonts w:hint="eastAsia" w:ascii="仿宋" w:hAnsi="仿宋" w:eastAsia="仿宋" w:cs="仿宋"/>
                <w:spacing w:val="5"/>
                <w:szCs w:val="24"/>
              </w:rPr>
              <w:t>(3)表面应无明显色差；</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textAlignment w:val="auto"/>
              <w:rPr>
                <w:rFonts w:hint="eastAsia" w:ascii="仿宋" w:hAnsi="仿宋" w:eastAsia="仿宋" w:cs="仿宋"/>
                <w:i w:val="0"/>
                <w:iCs w:val="0"/>
                <w:color w:val="000000"/>
                <w:sz w:val="24"/>
                <w:szCs w:val="24"/>
                <w:u w:val="none"/>
                <w:lang w:val="en-US" w:eastAsia="zh-CN"/>
              </w:rPr>
            </w:pPr>
            <w:r>
              <w:rPr>
                <w:rFonts w:hint="eastAsia" w:ascii="仿宋" w:hAnsi="仿宋" w:eastAsia="仿宋" w:cs="仿宋"/>
                <w:spacing w:val="5"/>
                <w:szCs w:val="24"/>
              </w:rPr>
              <w:t>(4)外表应无鼓泡、龟裂、分层。</w:t>
            </w:r>
          </w:p>
        </w:tc>
        <w:tc>
          <w:tcPr>
            <w:tcW w:w="925"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6分</w:t>
            </w:r>
          </w:p>
        </w:tc>
      </w:tr>
    </w:tbl>
    <w:p>
      <w:pPr>
        <w:keepNext w:val="0"/>
        <w:keepLines w:val="0"/>
        <w:pageBreakBefore w:val="0"/>
        <w:widowControl w:val="0"/>
        <w:kinsoku/>
        <w:wordWrap/>
        <w:overflowPunct/>
        <w:topLinePunct w:val="0"/>
        <w:autoSpaceDE/>
        <w:autoSpaceDN/>
        <w:bidi w:val="0"/>
        <w:adjustRightInd/>
        <w:spacing w:line="400" w:lineRule="exact"/>
        <w:textAlignment w:val="auto"/>
        <w:rPr>
          <w:rFonts w:hint="eastAsia" w:ascii="仿宋" w:hAnsi="仿宋" w:eastAsia="仿宋" w:cs="仿宋"/>
          <w:b/>
          <w:color w:val="auto"/>
          <w:sz w:val="24"/>
          <w:szCs w:val="24"/>
          <w:lang w:val="en-US" w:eastAsia="zh-CN"/>
        </w:rPr>
      </w:pPr>
    </w:p>
    <w:p>
      <w:pPr>
        <w:keepNext w:val="0"/>
        <w:keepLines w:val="0"/>
        <w:pageBreakBefore w:val="0"/>
        <w:widowControl w:val="0"/>
        <w:kinsoku/>
        <w:wordWrap/>
        <w:overflowPunct/>
        <w:topLinePunct w:val="0"/>
        <w:autoSpaceDE/>
        <w:autoSpaceDN/>
        <w:bidi w:val="0"/>
        <w:adjustRightInd/>
        <w:spacing w:line="400" w:lineRule="exact"/>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lang w:val="en-US" w:eastAsia="zh-CN"/>
        </w:rPr>
        <w:t>二、</w:t>
      </w:r>
      <w:r>
        <w:rPr>
          <w:rFonts w:hint="eastAsia" w:ascii="仿宋" w:hAnsi="仿宋" w:eastAsia="仿宋" w:cs="仿宋"/>
          <w:b/>
          <w:color w:val="auto"/>
          <w:sz w:val="24"/>
          <w:szCs w:val="24"/>
        </w:rPr>
        <w:t>价格部分</w:t>
      </w:r>
      <w:r>
        <w:rPr>
          <w:rFonts w:hint="eastAsia" w:ascii="仿宋" w:hAnsi="仿宋" w:eastAsia="仿宋" w:cs="仿宋"/>
          <w:b/>
          <w:color w:val="auto"/>
          <w:sz w:val="24"/>
          <w:szCs w:val="24"/>
          <w:lang w:val="en-US" w:eastAsia="zh-CN"/>
        </w:rPr>
        <w:t>40</w:t>
      </w:r>
      <w:r>
        <w:rPr>
          <w:rFonts w:hint="eastAsia" w:ascii="仿宋" w:hAnsi="仿宋" w:eastAsia="仿宋" w:cs="仿宋"/>
          <w:b/>
          <w:color w:val="auto"/>
          <w:sz w:val="24"/>
          <w:szCs w:val="24"/>
        </w:rPr>
        <w:t>分</w:t>
      </w:r>
    </w:p>
    <w:p>
      <w:pPr>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left"/>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评标基准价：</w:t>
      </w:r>
      <w:r>
        <w:rPr>
          <w:rFonts w:hint="eastAsia" w:ascii="仿宋" w:hAnsi="仿宋" w:eastAsia="仿宋" w:cs="仿宋"/>
          <w:color w:val="auto"/>
          <w:sz w:val="24"/>
          <w:szCs w:val="24"/>
        </w:rPr>
        <w:t>价格分采用低价优先法计算，</w:t>
      </w:r>
      <w:r>
        <w:rPr>
          <w:rFonts w:hint="eastAsia" w:ascii="仿宋" w:hAnsi="仿宋" w:eastAsia="仿宋" w:cs="仿宋"/>
          <w:color w:val="auto"/>
          <w:kern w:val="0"/>
          <w:sz w:val="24"/>
          <w:szCs w:val="24"/>
        </w:rPr>
        <w:t>以有效投标人的最低</w:t>
      </w:r>
      <w:r>
        <w:rPr>
          <w:rFonts w:hint="eastAsia" w:ascii="仿宋" w:hAnsi="仿宋" w:eastAsia="仿宋" w:cs="仿宋"/>
          <w:color w:val="auto"/>
          <w:kern w:val="0"/>
          <w:sz w:val="24"/>
          <w:szCs w:val="24"/>
          <w:lang w:val="en-US" w:eastAsia="zh-CN"/>
        </w:rPr>
        <w:t>投标报价</w:t>
      </w:r>
      <w:r>
        <w:rPr>
          <w:rFonts w:hint="eastAsia" w:ascii="仿宋" w:hAnsi="仿宋" w:eastAsia="仿宋" w:cs="仿宋"/>
          <w:color w:val="auto"/>
          <w:kern w:val="0"/>
          <w:sz w:val="24"/>
          <w:szCs w:val="24"/>
        </w:rPr>
        <w:t>为评标基准价，其价格分为满分。</w:t>
      </w:r>
    </w:p>
    <w:p>
      <w:pPr>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left"/>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其他投标人的价格分统一按照下列公式计算：</w:t>
      </w:r>
    </w:p>
    <w:p>
      <w:pPr>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left"/>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投标报价得分=(评标基准价／投标报价)×</w:t>
      </w:r>
      <w:r>
        <w:rPr>
          <w:rFonts w:hint="eastAsia" w:ascii="仿宋" w:hAnsi="仿宋" w:eastAsia="仿宋" w:cs="仿宋"/>
          <w:color w:val="auto"/>
          <w:kern w:val="0"/>
          <w:sz w:val="24"/>
          <w:szCs w:val="24"/>
          <w:lang w:val="en-US" w:eastAsia="zh-CN"/>
        </w:rPr>
        <w:t>40</w:t>
      </w:r>
      <w:r>
        <w:rPr>
          <w:rFonts w:hint="eastAsia" w:ascii="仿宋" w:hAnsi="仿宋" w:eastAsia="仿宋" w:cs="仿宋"/>
          <w:color w:val="auto"/>
          <w:kern w:val="0"/>
          <w:sz w:val="24"/>
          <w:szCs w:val="24"/>
        </w:rPr>
        <w:t>%×100</w:t>
      </w:r>
    </w:p>
    <w:p>
      <w:pPr>
        <w:keepNext w:val="0"/>
        <w:keepLines w:val="0"/>
        <w:pageBreakBefore w:val="0"/>
        <w:widowControl w:val="0"/>
        <w:kinsoku/>
        <w:wordWrap/>
        <w:overflowPunct/>
        <w:topLinePunct w:val="0"/>
        <w:autoSpaceDE/>
        <w:autoSpaceDN/>
        <w:bidi w:val="0"/>
        <w:adjustRightInd/>
        <w:snapToGrid/>
        <w:spacing w:before="157" w:beforeLines="50" w:line="380" w:lineRule="exact"/>
        <w:ind w:firstLine="482" w:firstLineChars="200"/>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本项目</w:t>
      </w:r>
      <w:r>
        <w:rPr>
          <w:rFonts w:hint="eastAsia" w:ascii="仿宋" w:hAnsi="仿宋" w:eastAsia="仿宋" w:cs="仿宋"/>
          <w:b/>
          <w:bCs/>
          <w:color w:val="auto"/>
          <w:sz w:val="24"/>
          <w:szCs w:val="24"/>
          <w:lang w:val="en-US" w:eastAsia="zh-CN"/>
        </w:rPr>
        <w:t>预算价为300000元，</w:t>
      </w:r>
      <w:r>
        <w:rPr>
          <w:rFonts w:hint="eastAsia" w:ascii="仿宋" w:hAnsi="仿宋" w:eastAsia="仿宋" w:cs="仿宋"/>
          <w:b/>
          <w:bCs/>
          <w:color w:val="auto"/>
          <w:sz w:val="24"/>
          <w:szCs w:val="24"/>
        </w:rPr>
        <w:t>风险控制价为</w:t>
      </w:r>
      <w:r>
        <w:rPr>
          <w:rFonts w:hint="eastAsia" w:ascii="仿宋" w:hAnsi="仿宋" w:eastAsia="仿宋" w:cs="仿宋"/>
          <w:b/>
          <w:bCs/>
          <w:color w:val="auto"/>
          <w:sz w:val="24"/>
          <w:szCs w:val="24"/>
          <w:lang w:val="en-US" w:eastAsia="zh-CN"/>
        </w:rPr>
        <w:t>240000元</w:t>
      </w:r>
      <w:r>
        <w:rPr>
          <w:rFonts w:hint="eastAsia" w:ascii="仿宋" w:hAnsi="仿宋" w:eastAsia="仿宋" w:cs="仿宋"/>
          <w:b/>
          <w:bCs/>
          <w:color w:val="auto"/>
          <w:sz w:val="24"/>
          <w:szCs w:val="24"/>
          <w:lang w:eastAsia="zh-CN"/>
        </w:rPr>
        <w:t>（</w:t>
      </w:r>
      <w:r>
        <w:rPr>
          <w:rFonts w:hint="eastAsia" w:ascii="仿宋" w:hAnsi="仿宋" w:eastAsia="仿宋" w:cs="仿宋"/>
          <w:b/>
          <w:bCs/>
          <w:color w:val="auto"/>
          <w:sz w:val="24"/>
          <w:szCs w:val="24"/>
          <w:lang w:val="en-US" w:eastAsia="zh-CN"/>
        </w:rPr>
        <w:t>预算价的80%</w:t>
      </w:r>
      <w:r>
        <w:rPr>
          <w:rFonts w:hint="eastAsia" w:ascii="仿宋" w:hAnsi="仿宋" w:eastAsia="仿宋" w:cs="仿宋"/>
          <w:b/>
          <w:bCs/>
          <w:color w:val="auto"/>
          <w:sz w:val="24"/>
          <w:szCs w:val="24"/>
          <w:lang w:eastAsia="zh-CN"/>
        </w:rPr>
        <w:t>）</w:t>
      </w:r>
      <w:r>
        <w:rPr>
          <w:rFonts w:hint="eastAsia" w:ascii="仿宋" w:hAnsi="仿宋" w:eastAsia="仿宋" w:cs="仿宋"/>
          <w:b/>
          <w:bCs/>
          <w:color w:val="auto"/>
          <w:sz w:val="24"/>
          <w:szCs w:val="24"/>
        </w:rPr>
        <w:t>。凡低于该风险控制价的，中标人应在中标通知书发出后</w:t>
      </w:r>
      <w:r>
        <w:rPr>
          <w:rFonts w:hint="eastAsia" w:ascii="仿宋" w:hAnsi="仿宋" w:eastAsia="仿宋" w:cs="仿宋"/>
          <w:b/>
          <w:bCs/>
          <w:color w:val="auto"/>
          <w:sz w:val="24"/>
          <w:szCs w:val="24"/>
          <w:lang w:val="en-US" w:eastAsia="zh-CN"/>
        </w:rPr>
        <w:t>7</w:t>
      </w:r>
      <w:r>
        <w:rPr>
          <w:rFonts w:hint="eastAsia" w:ascii="仿宋" w:hAnsi="仿宋" w:eastAsia="仿宋" w:cs="仿宋"/>
          <w:b/>
          <w:bCs/>
          <w:color w:val="auto"/>
          <w:sz w:val="24"/>
          <w:szCs w:val="24"/>
        </w:rPr>
        <w:t>个工作日内补交中标价净值与风险控制价之差额，中标人不提交的视为放弃中标。差额保证金待</w:t>
      </w:r>
      <w:r>
        <w:rPr>
          <w:rFonts w:hint="eastAsia" w:ascii="仿宋" w:hAnsi="仿宋" w:eastAsia="仿宋" w:cs="仿宋"/>
          <w:b/>
          <w:bCs/>
          <w:color w:val="auto"/>
          <w:sz w:val="24"/>
          <w:szCs w:val="24"/>
          <w:lang w:eastAsia="zh-CN"/>
        </w:rPr>
        <w:t>质保期满后</w:t>
      </w:r>
      <w:r>
        <w:rPr>
          <w:rFonts w:hint="eastAsia" w:ascii="仿宋" w:hAnsi="仿宋" w:eastAsia="仿宋" w:cs="仿宋"/>
          <w:b/>
          <w:bCs/>
          <w:color w:val="auto"/>
          <w:sz w:val="24"/>
          <w:szCs w:val="24"/>
        </w:rPr>
        <w:t>7个工作日内无息退还。（差额保证金应在中标通知书发出后</w:t>
      </w:r>
      <w:r>
        <w:rPr>
          <w:rFonts w:hint="eastAsia" w:ascii="仿宋" w:hAnsi="仿宋" w:eastAsia="仿宋" w:cs="仿宋"/>
          <w:b/>
          <w:bCs/>
          <w:color w:val="auto"/>
          <w:sz w:val="24"/>
          <w:szCs w:val="24"/>
          <w:lang w:val="en-US" w:eastAsia="zh-CN"/>
        </w:rPr>
        <w:t>7</w:t>
      </w:r>
      <w:r>
        <w:rPr>
          <w:rFonts w:hint="eastAsia" w:ascii="仿宋" w:hAnsi="仿宋" w:eastAsia="仿宋" w:cs="仿宋"/>
          <w:b/>
          <w:bCs/>
          <w:color w:val="auto"/>
          <w:sz w:val="24"/>
          <w:szCs w:val="24"/>
        </w:rPr>
        <w:t>个工作日内交至采购单位，以现金、电汇、转账方式交纳</w:t>
      </w:r>
      <w:r>
        <w:rPr>
          <w:rFonts w:hint="eastAsia" w:ascii="仿宋" w:hAnsi="仿宋" w:eastAsia="仿宋" w:cs="仿宋"/>
          <w:b/>
          <w:bCs/>
          <w:color w:val="auto"/>
          <w:sz w:val="24"/>
          <w:szCs w:val="24"/>
          <w:lang w:eastAsia="zh-CN"/>
        </w:rPr>
        <w:t>，其他方式不接受</w:t>
      </w:r>
      <w:r>
        <w:rPr>
          <w:rFonts w:hint="eastAsia" w:ascii="仿宋" w:hAnsi="仿宋" w:eastAsia="仿宋" w:cs="仿宋"/>
          <w:b/>
          <w:bCs/>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before="157" w:beforeLines="50" w:line="400" w:lineRule="exact"/>
        <w:ind w:firstLine="482" w:firstLineChars="200"/>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根据财政部87号令第六十条规定，评标委员会认为投标人的报价明显低于其他通过符合性审查投标人的报价，有可能影响产品质量或者不能诚信履约的，应当要求其在评标现场合理的时间内通过</w:t>
      </w:r>
      <w:r>
        <w:rPr>
          <w:rFonts w:hint="eastAsia" w:ascii="仿宋" w:hAnsi="仿宋" w:eastAsia="仿宋" w:cs="仿宋"/>
          <w:b/>
          <w:bCs/>
          <w:color w:val="auto"/>
          <w:sz w:val="24"/>
          <w:szCs w:val="24"/>
          <w:lang w:eastAsia="zh-CN"/>
        </w:rPr>
        <w:t>乐采云</w:t>
      </w:r>
      <w:r>
        <w:rPr>
          <w:rFonts w:hint="eastAsia" w:ascii="仿宋" w:hAnsi="仿宋" w:eastAsia="仿宋" w:cs="仿宋"/>
          <w:b/>
          <w:bCs/>
          <w:color w:val="auto"/>
          <w:sz w:val="24"/>
          <w:szCs w:val="24"/>
        </w:rPr>
        <w:t>平台提供线上说明，必要时提交相关证明材料。投标人不能在规定时间内合理说明原因并提供证明材料的，评标委员会应当将该投标人的投标文件作无效处理，并在评审报告中说明。</w:t>
      </w:r>
    </w:p>
    <w:p>
      <w:pPr>
        <w:pStyle w:val="4"/>
        <w:spacing w:line="700" w:lineRule="exact"/>
        <w:rPr>
          <w:rFonts w:hint="eastAsia" w:ascii="仿宋" w:hAnsi="仿宋" w:eastAsia="仿宋" w:cs="仿宋"/>
          <w:bCs/>
          <w:color w:val="auto"/>
          <w:sz w:val="32"/>
          <w:szCs w:val="32"/>
          <w:lang w:val="en-US" w:eastAsia="zh-CN"/>
        </w:rPr>
      </w:pPr>
      <w:bookmarkStart w:id="127" w:name="_Toc54978900"/>
      <w:r>
        <w:rPr>
          <w:rFonts w:hint="eastAsia" w:ascii="仿宋" w:hAnsi="仿宋" w:eastAsia="仿宋" w:cs="仿宋"/>
          <w:b/>
          <w:bCs/>
          <w:color w:val="auto"/>
          <w:sz w:val="32"/>
          <w:szCs w:val="32"/>
        </w:rPr>
        <w:t xml:space="preserve">第五部分  </w:t>
      </w:r>
      <w:bookmarkEnd w:id="127"/>
      <w:r>
        <w:rPr>
          <w:rFonts w:hint="eastAsia" w:ascii="仿宋" w:hAnsi="仿宋" w:eastAsia="仿宋" w:cs="仿宋"/>
          <w:b/>
          <w:bCs/>
          <w:color w:val="auto"/>
          <w:sz w:val="32"/>
          <w:szCs w:val="32"/>
          <w:lang w:val="en-US" w:eastAsia="zh-CN"/>
        </w:rPr>
        <w:t>拟签订合同范本</w:t>
      </w:r>
    </w:p>
    <w:p>
      <w:pPr>
        <w:pStyle w:val="75"/>
        <w:widowControl w:val="0"/>
        <w:tabs>
          <w:tab w:val="left" w:pos="180"/>
        </w:tabs>
        <w:snapToGrid w:val="0"/>
        <w:spacing w:before="0" w:beforeAutospacing="0" w:after="0" w:afterAutospacing="0" w:line="460" w:lineRule="exact"/>
        <w:jc w:val="center"/>
        <w:rPr>
          <w:rFonts w:hint="eastAsia" w:ascii="仿宋" w:hAnsi="仿宋" w:eastAsia="仿宋" w:cs="仿宋"/>
          <w:b/>
          <w:color w:val="auto"/>
          <w:sz w:val="24"/>
          <w:szCs w:val="24"/>
        </w:rPr>
      </w:pPr>
      <w:bookmarkStart w:id="128" w:name="_Toc54978901"/>
      <w:bookmarkStart w:id="129" w:name="_Toc32443"/>
      <w:r>
        <w:rPr>
          <w:rFonts w:hint="eastAsia" w:ascii="仿宋" w:hAnsi="仿宋" w:eastAsia="仿宋" w:cs="仿宋"/>
          <w:b/>
          <w:color w:val="auto"/>
          <w:kern w:val="2"/>
          <w:sz w:val="24"/>
          <w:szCs w:val="24"/>
          <w:lang w:val="en-US" w:eastAsia="zh-CN" w:bidi="ar"/>
        </w:rPr>
        <w:t xml:space="preserve">                                           </w:t>
      </w:r>
      <w:r>
        <w:rPr>
          <w:rFonts w:hint="eastAsia" w:ascii="仿宋" w:hAnsi="仿宋" w:eastAsia="仿宋" w:cs="仿宋"/>
          <w:b/>
          <w:color w:val="auto"/>
          <w:kern w:val="2"/>
          <w:sz w:val="24"/>
          <w:szCs w:val="24"/>
          <w:lang w:bidi="ar"/>
        </w:rPr>
        <w:t>合同编号：</w:t>
      </w:r>
    </w:p>
    <w:p>
      <w:pPr>
        <w:keepNext w:val="0"/>
        <w:keepLines w:val="0"/>
        <w:pageBreakBefore w:val="0"/>
        <w:kinsoku/>
        <w:wordWrap/>
        <w:overflowPunct/>
        <w:topLinePunct w:val="0"/>
        <w:bidi w:val="0"/>
        <w:spacing w:line="360" w:lineRule="auto"/>
        <w:contextualSpacing/>
        <w:rPr>
          <w:rFonts w:hint="eastAsia" w:ascii="仿宋" w:hAnsi="仿宋" w:eastAsia="仿宋" w:cs="仿宋"/>
          <w:color w:val="auto"/>
          <w:sz w:val="24"/>
          <w:szCs w:val="24"/>
          <w:u w:val="single"/>
        </w:rPr>
      </w:pPr>
      <w:r>
        <w:rPr>
          <w:rFonts w:hint="eastAsia" w:ascii="仿宋" w:hAnsi="仿宋" w:eastAsia="仿宋" w:cs="仿宋"/>
          <w:color w:val="auto"/>
          <w:sz w:val="24"/>
          <w:szCs w:val="24"/>
        </w:rPr>
        <w:t>甲方：</w:t>
      </w:r>
      <w:r>
        <w:rPr>
          <w:rFonts w:hint="eastAsia" w:ascii="仿宋" w:hAnsi="仿宋" w:eastAsia="仿宋" w:cs="仿宋"/>
          <w:color w:val="auto"/>
          <w:sz w:val="24"/>
          <w:szCs w:val="24"/>
          <w:u w:val="single"/>
        </w:rPr>
        <w:t xml:space="preserve">（采购单位） </w:t>
      </w:r>
    </w:p>
    <w:p>
      <w:pPr>
        <w:keepNext w:val="0"/>
        <w:keepLines w:val="0"/>
        <w:pageBreakBefore w:val="0"/>
        <w:kinsoku/>
        <w:wordWrap/>
        <w:overflowPunct/>
        <w:topLinePunct w:val="0"/>
        <w:bidi w:val="0"/>
        <w:spacing w:line="360" w:lineRule="auto"/>
        <w:contextualSpacing/>
        <w:rPr>
          <w:rFonts w:hint="eastAsia" w:ascii="仿宋" w:hAnsi="仿宋" w:eastAsia="仿宋" w:cs="仿宋"/>
          <w:color w:val="auto"/>
          <w:sz w:val="24"/>
          <w:szCs w:val="24"/>
          <w:u w:val="single"/>
        </w:rPr>
      </w:pPr>
      <w:r>
        <w:rPr>
          <w:rFonts w:hint="eastAsia" w:ascii="仿宋" w:hAnsi="仿宋" w:eastAsia="仿宋" w:cs="仿宋"/>
          <w:color w:val="auto"/>
          <w:sz w:val="24"/>
          <w:szCs w:val="24"/>
        </w:rPr>
        <w:t>乙方：</w:t>
      </w:r>
      <w:r>
        <w:rPr>
          <w:rFonts w:hint="eastAsia" w:ascii="仿宋" w:hAnsi="仿宋" w:eastAsia="仿宋" w:cs="仿宋"/>
          <w:color w:val="auto"/>
          <w:sz w:val="24"/>
          <w:szCs w:val="24"/>
          <w:u w:val="single"/>
        </w:rPr>
        <w:t xml:space="preserve">（供应商）  </w:t>
      </w:r>
    </w:p>
    <w:p>
      <w:pPr>
        <w:keepNext w:val="0"/>
        <w:keepLines w:val="0"/>
        <w:pageBreakBefore w:val="0"/>
        <w:kinsoku/>
        <w:wordWrap/>
        <w:overflowPunct/>
        <w:topLinePunct w:val="0"/>
        <w:bidi w:val="0"/>
        <w:spacing w:line="360" w:lineRule="auto"/>
        <w:contextualSpacing/>
        <w:rPr>
          <w:rFonts w:hint="eastAsia" w:ascii="仿宋" w:hAnsi="仿宋" w:eastAsia="仿宋" w:cs="仿宋"/>
          <w:color w:val="auto"/>
          <w:sz w:val="24"/>
          <w:szCs w:val="24"/>
          <w:u w:val="single"/>
        </w:rPr>
      </w:pPr>
      <w:r>
        <w:rPr>
          <w:rFonts w:hint="eastAsia" w:ascii="仿宋" w:hAnsi="仿宋" w:eastAsia="仿宋" w:cs="仿宋"/>
          <w:color w:val="auto"/>
          <w:sz w:val="24"/>
          <w:szCs w:val="24"/>
          <w:lang w:val="en-US" w:eastAsia="zh-CN"/>
        </w:rPr>
        <w:t>丙方：</w:t>
      </w:r>
      <w:r>
        <w:rPr>
          <w:rFonts w:hint="eastAsia" w:ascii="仿宋" w:hAnsi="仿宋" w:eastAsia="仿宋" w:cs="仿宋"/>
          <w:color w:val="auto"/>
          <w:sz w:val="24"/>
          <w:szCs w:val="24"/>
          <w:u w:val="single"/>
          <w:lang w:val="en-US" w:eastAsia="zh-CN"/>
        </w:rPr>
        <w:t>（实施单位）</w:t>
      </w:r>
      <w:r>
        <w:rPr>
          <w:rFonts w:hint="eastAsia" w:ascii="仿宋" w:hAnsi="仿宋" w:eastAsia="仿宋" w:cs="仿宋"/>
          <w:color w:val="auto"/>
          <w:sz w:val="24"/>
          <w:szCs w:val="24"/>
          <w:u w:val="single"/>
        </w:rPr>
        <w:t xml:space="preserve"> </w:t>
      </w:r>
    </w:p>
    <w:p>
      <w:pPr>
        <w:keepNext w:val="0"/>
        <w:keepLines w:val="0"/>
        <w:pageBreakBefore w:val="0"/>
        <w:kinsoku/>
        <w:wordWrap/>
        <w:overflowPunct/>
        <w:topLinePunct w:val="0"/>
        <w:bidi w:val="0"/>
        <w:spacing w:line="360" w:lineRule="auto"/>
        <w:ind w:firstLine="480" w:firstLineChars="200"/>
        <w:contextualSpacing/>
        <w:rPr>
          <w:rFonts w:hint="eastAsia" w:ascii="仿宋" w:hAnsi="仿宋" w:eastAsia="仿宋" w:cs="仿宋"/>
          <w:snapToGrid w:val="0"/>
          <w:color w:val="auto"/>
          <w:sz w:val="24"/>
          <w:szCs w:val="24"/>
        </w:rPr>
      </w:pPr>
      <w:r>
        <w:rPr>
          <w:rFonts w:hint="eastAsia" w:ascii="仿宋" w:hAnsi="仿宋" w:eastAsia="仿宋" w:cs="仿宋"/>
          <w:snapToGrid w:val="0"/>
          <w:color w:val="auto"/>
          <w:sz w:val="24"/>
          <w:szCs w:val="24"/>
          <w:lang w:eastAsia="zh-CN"/>
        </w:rPr>
        <w:t>根据</w:t>
      </w:r>
      <w:r>
        <w:rPr>
          <w:rFonts w:hint="eastAsia" w:ascii="仿宋" w:hAnsi="仿宋" w:eastAsia="仿宋" w:cs="仿宋"/>
          <w:snapToGrid w:val="0"/>
          <w:color w:val="auto"/>
          <w:sz w:val="24"/>
          <w:szCs w:val="24"/>
        </w:rPr>
        <w:t>《中华人民共和国政府采购法》《中华人民共和国民法典》等有关法律法规精神，甲</w:t>
      </w:r>
      <w:r>
        <w:rPr>
          <w:rFonts w:hint="eastAsia" w:ascii="仿宋" w:hAnsi="仿宋" w:eastAsia="仿宋" w:cs="仿宋"/>
          <w:snapToGrid w:val="0"/>
          <w:color w:val="auto"/>
          <w:sz w:val="24"/>
          <w:szCs w:val="24"/>
          <w:lang w:eastAsia="zh-CN"/>
        </w:rPr>
        <w:t>、</w:t>
      </w:r>
      <w:r>
        <w:rPr>
          <w:rFonts w:hint="eastAsia" w:ascii="仿宋" w:hAnsi="仿宋" w:eastAsia="仿宋" w:cs="仿宋"/>
          <w:snapToGrid w:val="0"/>
          <w:color w:val="auto"/>
          <w:sz w:val="24"/>
          <w:szCs w:val="24"/>
          <w:lang w:val="en-US" w:eastAsia="zh-CN"/>
        </w:rPr>
        <w:t>丙双</w:t>
      </w:r>
      <w:r>
        <w:rPr>
          <w:rFonts w:hint="eastAsia" w:ascii="仿宋" w:hAnsi="仿宋" w:eastAsia="仿宋" w:cs="仿宋"/>
          <w:snapToGrid w:val="0"/>
          <w:color w:val="auto"/>
          <w:sz w:val="24"/>
          <w:szCs w:val="24"/>
        </w:rPr>
        <w:t>方经过公开招标采购方式确定乙方为</w:t>
      </w:r>
      <w:r>
        <w:rPr>
          <w:rFonts w:hint="eastAsia" w:ascii="仿宋" w:hAnsi="仿宋" w:eastAsia="仿宋" w:cs="仿宋"/>
          <w:snapToGrid w:val="0"/>
          <w:color w:val="auto"/>
          <w:sz w:val="24"/>
          <w:szCs w:val="24"/>
          <w:u w:val="single"/>
        </w:rPr>
        <w:t xml:space="preserve"> </w:t>
      </w:r>
      <w:r>
        <w:rPr>
          <w:rFonts w:hint="eastAsia" w:ascii="仿宋" w:hAnsi="仿宋" w:eastAsia="仿宋" w:cs="仿宋"/>
          <w:snapToGrid w:val="0"/>
          <w:color w:val="auto"/>
          <w:sz w:val="24"/>
          <w:szCs w:val="24"/>
          <w:u w:val="single"/>
          <w:lang w:eastAsia="zh-CN"/>
        </w:rPr>
        <w:t>嵊州市鹿山街道宸希未来社区建设项目（办公家具）（第二次）</w:t>
      </w:r>
      <w:r>
        <w:rPr>
          <w:rFonts w:hint="eastAsia" w:ascii="仿宋" w:hAnsi="仿宋" w:eastAsia="仿宋" w:cs="仿宋"/>
          <w:snapToGrid w:val="0"/>
          <w:color w:val="auto"/>
          <w:sz w:val="24"/>
          <w:szCs w:val="24"/>
        </w:rPr>
        <w:t>的</w:t>
      </w:r>
      <w:r>
        <w:rPr>
          <w:rFonts w:hint="eastAsia" w:ascii="仿宋" w:hAnsi="仿宋" w:eastAsia="仿宋" w:cs="仿宋"/>
          <w:snapToGrid w:val="0"/>
          <w:color w:val="auto"/>
          <w:sz w:val="24"/>
          <w:szCs w:val="24"/>
          <w:lang w:eastAsia="zh-CN"/>
        </w:rPr>
        <w:t>中标人</w:t>
      </w:r>
      <w:r>
        <w:rPr>
          <w:rFonts w:hint="eastAsia" w:ascii="仿宋" w:hAnsi="仿宋" w:eastAsia="仿宋" w:cs="仿宋"/>
          <w:snapToGrid w:val="0"/>
          <w:color w:val="auto"/>
          <w:sz w:val="24"/>
          <w:szCs w:val="24"/>
        </w:rPr>
        <w:t>，</w:t>
      </w:r>
      <w:r>
        <w:rPr>
          <w:rFonts w:hint="eastAsia" w:ascii="仿宋" w:hAnsi="仿宋" w:eastAsia="仿宋" w:cs="仿宋"/>
          <w:snapToGrid w:val="0"/>
          <w:color w:val="auto"/>
          <w:sz w:val="24"/>
          <w:szCs w:val="24"/>
          <w:lang w:val="en-US" w:eastAsia="zh-CN"/>
        </w:rPr>
        <w:t>三</w:t>
      </w:r>
      <w:r>
        <w:rPr>
          <w:rFonts w:hint="eastAsia" w:ascii="仿宋" w:hAnsi="仿宋" w:eastAsia="仿宋" w:cs="仿宋"/>
          <w:snapToGrid w:val="0"/>
          <w:color w:val="auto"/>
          <w:sz w:val="24"/>
          <w:szCs w:val="24"/>
        </w:rPr>
        <w:t>方经协商达成以下条款：</w:t>
      </w:r>
    </w:p>
    <w:p>
      <w:pPr>
        <w:spacing w:line="460" w:lineRule="exact"/>
        <w:rPr>
          <w:rFonts w:hint="eastAsia" w:ascii="仿宋" w:hAnsi="仿宋" w:eastAsia="仿宋" w:cs="仿宋"/>
          <w:b/>
          <w:bCs w:val="0"/>
          <w:color w:val="auto"/>
          <w:kern w:val="0"/>
          <w:sz w:val="24"/>
          <w:szCs w:val="24"/>
        </w:rPr>
      </w:pPr>
      <w:r>
        <w:rPr>
          <w:rFonts w:hint="eastAsia" w:ascii="仿宋" w:hAnsi="仿宋" w:eastAsia="仿宋" w:cs="仿宋"/>
          <w:b/>
          <w:bCs/>
          <w:color w:val="auto"/>
          <w:kern w:val="0"/>
          <w:sz w:val="24"/>
          <w:szCs w:val="24"/>
          <w:lang w:eastAsia="zh-CN"/>
        </w:rPr>
        <w:t>一、</w:t>
      </w:r>
      <w:r>
        <w:rPr>
          <w:rFonts w:hint="eastAsia" w:ascii="仿宋" w:hAnsi="仿宋" w:eastAsia="仿宋" w:cs="仿宋"/>
          <w:b/>
          <w:bCs/>
          <w:color w:val="auto"/>
          <w:kern w:val="0"/>
          <w:sz w:val="24"/>
          <w:szCs w:val="24"/>
        </w:rPr>
        <w:t xml:space="preserve"> </w:t>
      </w:r>
      <w:r>
        <w:rPr>
          <w:rFonts w:hint="eastAsia" w:ascii="仿宋" w:hAnsi="仿宋" w:eastAsia="仿宋" w:cs="仿宋"/>
          <w:b/>
          <w:bCs w:val="0"/>
          <w:color w:val="auto"/>
          <w:sz w:val="24"/>
          <w:szCs w:val="24"/>
        </w:rPr>
        <w:t>合同金额</w:t>
      </w:r>
      <w:r>
        <w:rPr>
          <w:rFonts w:hint="eastAsia" w:ascii="仿宋" w:hAnsi="仿宋" w:eastAsia="仿宋" w:cs="仿宋"/>
          <w:b/>
          <w:bCs w:val="0"/>
          <w:color w:val="auto"/>
          <w:kern w:val="0"/>
          <w:sz w:val="24"/>
          <w:szCs w:val="24"/>
        </w:rPr>
        <w:t>（可附清单）</w:t>
      </w:r>
    </w:p>
    <w:tbl>
      <w:tblPr>
        <w:tblStyle w:val="83"/>
        <w:tblW w:w="9622" w:type="dxa"/>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8"/>
        <w:gridCol w:w="1466"/>
        <w:gridCol w:w="3969"/>
        <w:gridCol w:w="750"/>
        <w:gridCol w:w="738"/>
        <w:gridCol w:w="912"/>
        <w:gridCol w:w="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0" w:hRule="atLeast"/>
          <w:tblHeader/>
        </w:trPr>
        <w:tc>
          <w:tcPr>
            <w:tcW w:w="818" w:type="dxa"/>
            <w:noWrap w:val="0"/>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line="340" w:lineRule="exact"/>
              <w:ind w:left="0" w:leftChars="0" w:right="0" w:firstLine="0" w:firstLineChars="0"/>
              <w:jc w:val="center"/>
              <w:textAlignment w:val="auto"/>
              <w:rPr>
                <w:rFonts w:hint="eastAsia" w:ascii="仿宋" w:hAnsi="仿宋" w:eastAsia="仿宋" w:cs="仿宋"/>
                <w:b/>
                <w:bCs/>
                <w:color w:val="auto"/>
                <w:sz w:val="24"/>
                <w:szCs w:val="24"/>
                <w:highlight w:val="none"/>
                <w:vertAlign w:val="baseline"/>
                <w:lang w:eastAsia="zh-CN"/>
              </w:rPr>
            </w:pPr>
            <w:r>
              <w:rPr>
                <w:rFonts w:hint="eastAsia" w:ascii="仿宋" w:hAnsi="仿宋" w:eastAsia="仿宋" w:cs="仿宋"/>
                <w:b/>
                <w:bCs/>
                <w:color w:val="auto"/>
                <w:sz w:val="24"/>
                <w:szCs w:val="24"/>
                <w:highlight w:val="none"/>
                <w:vertAlign w:val="baseline"/>
                <w:lang w:eastAsia="zh-CN"/>
              </w:rPr>
              <w:t>序号</w:t>
            </w:r>
          </w:p>
        </w:tc>
        <w:tc>
          <w:tcPr>
            <w:tcW w:w="1466" w:type="dxa"/>
            <w:noWrap w:val="0"/>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line="500" w:lineRule="exact"/>
              <w:ind w:left="0" w:leftChars="0" w:right="0" w:firstLine="0" w:firstLineChars="0"/>
              <w:jc w:val="center"/>
              <w:textAlignment w:val="auto"/>
              <w:rPr>
                <w:rFonts w:hint="eastAsia" w:ascii="仿宋" w:hAnsi="仿宋" w:eastAsia="仿宋" w:cs="仿宋"/>
                <w:b/>
                <w:bCs/>
                <w:color w:val="auto"/>
                <w:sz w:val="24"/>
                <w:szCs w:val="24"/>
                <w:highlight w:val="none"/>
                <w:vertAlign w:val="baseline"/>
                <w:lang w:eastAsia="zh-CN"/>
              </w:rPr>
            </w:pPr>
            <w:r>
              <w:rPr>
                <w:rFonts w:hint="eastAsia" w:ascii="仿宋" w:hAnsi="仿宋" w:eastAsia="仿宋" w:cs="仿宋"/>
                <w:b/>
                <w:bCs/>
                <w:color w:val="auto"/>
                <w:sz w:val="24"/>
                <w:szCs w:val="24"/>
                <w:highlight w:val="none"/>
                <w:vertAlign w:val="baseline"/>
                <w:lang w:eastAsia="zh-CN"/>
              </w:rPr>
              <w:t>名称</w:t>
            </w:r>
          </w:p>
        </w:tc>
        <w:tc>
          <w:tcPr>
            <w:tcW w:w="3969" w:type="dxa"/>
            <w:noWrap w:val="0"/>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line="500" w:lineRule="exact"/>
              <w:ind w:left="0" w:leftChars="0" w:right="0" w:firstLine="0" w:firstLineChars="0"/>
              <w:jc w:val="center"/>
              <w:textAlignment w:val="auto"/>
              <w:rPr>
                <w:rFonts w:hint="eastAsia" w:ascii="仿宋" w:hAnsi="仿宋" w:eastAsia="仿宋" w:cs="仿宋"/>
                <w:b/>
                <w:bCs/>
                <w:color w:val="auto"/>
                <w:sz w:val="24"/>
                <w:szCs w:val="24"/>
                <w:highlight w:val="none"/>
                <w:vertAlign w:val="baseline"/>
                <w:lang w:val="en-US" w:eastAsia="zh-CN"/>
              </w:rPr>
            </w:pPr>
            <w:r>
              <w:rPr>
                <w:rFonts w:hint="eastAsia" w:ascii="仿宋" w:hAnsi="仿宋" w:eastAsia="仿宋" w:cs="仿宋"/>
                <w:b/>
                <w:bCs/>
                <w:color w:val="auto"/>
                <w:sz w:val="24"/>
                <w:szCs w:val="24"/>
                <w:highlight w:val="none"/>
                <w:vertAlign w:val="baseline"/>
                <w:lang w:eastAsia="zh-CN"/>
              </w:rPr>
              <w:t>规格</w:t>
            </w:r>
            <w:r>
              <w:rPr>
                <w:rFonts w:hint="eastAsia" w:ascii="仿宋" w:hAnsi="仿宋" w:eastAsia="仿宋" w:cs="仿宋"/>
                <w:b/>
                <w:bCs/>
                <w:color w:val="auto"/>
                <w:sz w:val="24"/>
                <w:szCs w:val="24"/>
                <w:highlight w:val="none"/>
                <w:vertAlign w:val="baseline"/>
                <w:lang w:val="en-US" w:eastAsia="zh-CN"/>
              </w:rPr>
              <w:t>/尺寸/材质</w:t>
            </w:r>
          </w:p>
        </w:tc>
        <w:tc>
          <w:tcPr>
            <w:tcW w:w="750" w:type="dxa"/>
            <w:noWrap w:val="0"/>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after="0" w:line="340" w:lineRule="exact"/>
              <w:ind w:left="0" w:leftChars="0" w:right="0" w:firstLine="0" w:firstLineChars="0"/>
              <w:jc w:val="center"/>
              <w:textAlignment w:val="auto"/>
              <w:rPr>
                <w:rFonts w:hint="eastAsia" w:ascii="仿宋" w:hAnsi="仿宋" w:eastAsia="仿宋" w:cs="仿宋"/>
                <w:b/>
                <w:bCs/>
                <w:color w:val="auto"/>
                <w:sz w:val="24"/>
                <w:szCs w:val="24"/>
                <w:highlight w:val="none"/>
                <w:vertAlign w:val="baseline"/>
                <w:lang w:eastAsia="zh-CN"/>
              </w:rPr>
            </w:pPr>
            <w:r>
              <w:rPr>
                <w:rFonts w:hint="eastAsia" w:ascii="仿宋" w:hAnsi="仿宋" w:eastAsia="仿宋" w:cs="仿宋"/>
                <w:b/>
                <w:bCs/>
                <w:color w:val="auto"/>
                <w:sz w:val="24"/>
                <w:szCs w:val="24"/>
                <w:highlight w:val="none"/>
                <w:vertAlign w:val="baseline"/>
                <w:lang w:eastAsia="zh-CN"/>
              </w:rPr>
              <w:t>单位</w:t>
            </w:r>
          </w:p>
        </w:tc>
        <w:tc>
          <w:tcPr>
            <w:tcW w:w="738" w:type="dxa"/>
            <w:noWrap w:val="0"/>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line="500" w:lineRule="exact"/>
              <w:ind w:left="0" w:leftChars="0" w:right="0" w:firstLine="0" w:firstLineChars="0"/>
              <w:jc w:val="center"/>
              <w:textAlignment w:val="auto"/>
              <w:rPr>
                <w:rFonts w:hint="eastAsia" w:ascii="仿宋" w:hAnsi="仿宋" w:eastAsia="仿宋" w:cs="仿宋"/>
                <w:b/>
                <w:bCs/>
                <w:color w:val="auto"/>
                <w:sz w:val="24"/>
                <w:szCs w:val="24"/>
                <w:highlight w:val="none"/>
                <w:vertAlign w:val="baseline"/>
                <w:lang w:eastAsia="zh-CN"/>
              </w:rPr>
            </w:pPr>
            <w:r>
              <w:rPr>
                <w:rFonts w:hint="eastAsia" w:ascii="仿宋" w:hAnsi="仿宋" w:eastAsia="仿宋" w:cs="仿宋"/>
                <w:b/>
                <w:bCs/>
                <w:color w:val="auto"/>
                <w:sz w:val="24"/>
                <w:szCs w:val="24"/>
                <w:highlight w:val="none"/>
                <w:vertAlign w:val="baseline"/>
                <w:lang w:eastAsia="zh-CN"/>
              </w:rPr>
              <w:t>数量</w:t>
            </w:r>
          </w:p>
        </w:tc>
        <w:tc>
          <w:tcPr>
            <w:tcW w:w="912" w:type="dxa"/>
            <w:noWrap w:val="0"/>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after="0" w:line="340" w:lineRule="exact"/>
              <w:ind w:left="0" w:leftChars="0" w:right="0" w:firstLine="0" w:firstLineChars="0"/>
              <w:jc w:val="center"/>
              <w:textAlignment w:val="auto"/>
              <w:rPr>
                <w:rFonts w:hint="eastAsia" w:ascii="仿宋" w:hAnsi="仿宋" w:eastAsia="仿宋" w:cs="仿宋"/>
                <w:b/>
                <w:bCs/>
                <w:color w:val="auto"/>
                <w:sz w:val="24"/>
                <w:szCs w:val="24"/>
                <w:highlight w:val="none"/>
                <w:vertAlign w:val="baseline"/>
                <w:lang w:eastAsia="zh-CN"/>
              </w:rPr>
            </w:pPr>
            <w:r>
              <w:rPr>
                <w:rFonts w:hint="eastAsia" w:ascii="仿宋" w:hAnsi="仿宋" w:eastAsia="仿宋" w:cs="仿宋"/>
                <w:b/>
                <w:bCs/>
                <w:color w:val="auto"/>
                <w:sz w:val="24"/>
                <w:szCs w:val="24"/>
                <w:highlight w:val="none"/>
                <w:vertAlign w:val="baseline"/>
                <w:lang w:eastAsia="zh-CN"/>
              </w:rPr>
              <w:t>单价（元）</w:t>
            </w:r>
          </w:p>
        </w:tc>
        <w:tc>
          <w:tcPr>
            <w:tcW w:w="969" w:type="dxa"/>
            <w:noWrap w:val="0"/>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after="0" w:line="340" w:lineRule="exact"/>
              <w:ind w:left="0" w:leftChars="0" w:right="0" w:firstLine="0" w:firstLineChars="0"/>
              <w:jc w:val="center"/>
              <w:textAlignment w:val="auto"/>
              <w:rPr>
                <w:rFonts w:hint="eastAsia" w:ascii="仿宋" w:hAnsi="仿宋" w:eastAsia="仿宋" w:cs="仿宋"/>
                <w:b/>
                <w:bCs/>
                <w:color w:val="auto"/>
                <w:sz w:val="24"/>
                <w:szCs w:val="24"/>
                <w:highlight w:val="none"/>
                <w:vertAlign w:val="baseline"/>
                <w:lang w:eastAsia="zh-CN"/>
              </w:rPr>
            </w:pPr>
            <w:r>
              <w:rPr>
                <w:rFonts w:hint="eastAsia" w:ascii="仿宋" w:hAnsi="仿宋" w:eastAsia="仿宋" w:cs="仿宋"/>
                <w:b/>
                <w:bCs/>
                <w:color w:val="auto"/>
                <w:sz w:val="24"/>
                <w:szCs w:val="24"/>
                <w:highlight w:val="none"/>
                <w:vertAlign w:val="baseline"/>
                <w:lang w:eastAsia="zh-CN"/>
              </w:rPr>
              <w:t>小计（元）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noWrap w:val="0"/>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line="500" w:lineRule="exact"/>
              <w:ind w:left="0" w:leftChars="0" w:right="0" w:firstLine="0" w:firstLineChars="0"/>
              <w:jc w:val="center"/>
              <w:textAlignment w:val="auto"/>
              <w:rPr>
                <w:rFonts w:hint="eastAsia" w:ascii="仿宋" w:hAnsi="仿宋" w:eastAsia="仿宋" w:cs="仿宋"/>
                <w:color w:val="auto"/>
                <w:sz w:val="24"/>
                <w:szCs w:val="24"/>
                <w:highlight w:val="none"/>
                <w:vertAlign w:val="baseline"/>
                <w:lang w:val="en-US" w:eastAsia="zh-CN"/>
              </w:rPr>
            </w:pPr>
          </w:p>
        </w:tc>
        <w:tc>
          <w:tcPr>
            <w:tcW w:w="146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仿宋" w:hAnsi="仿宋" w:eastAsia="仿宋" w:cs="仿宋"/>
                <w:color w:val="auto"/>
                <w:sz w:val="24"/>
                <w:szCs w:val="24"/>
                <w:highlight w:val="none"/>
                <w:vertAlign w:val="baseline"/>
              </w:rPr>
            </w:pPr>
          </w:p>
        </w:tc>
        <w:tc>
          <w:tcPr>
            <w:tcW w:w="396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仿宋" w:hAnsi="仿宋" w:eastAsia="仿宋" w:cs="仿宋"/>
                <w:color w:val="auto"/>
                <w:sz w:val="24"/>
                <w:szCs w:val="24"/>
                <w:highlight w:val="none"/>
                <w:vertAlign w:val="baseline"/>
                <w:lang w:val="en-US"/>
              </w:rPr>
            </w:pPr>
          </w:p>
        </w:tc>
        <w:tc>
          <w:tcPr>
            <w:tcW w:w="7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仿宋" w:hAnsi="仿宋" w:eastAsia="仿宋" w:cs="仿宋"/>
                <w:color w:val="auto"/>
                <w:sz w:val="24"/>
                <w:szCs w:val="24"/>
                <w:highlight w:val="none"/>
                <w:vertAlign w:val="baseline"/>
              </w:rPr>
            </w:pPr>
          </w:p>
        </w:tc>
        <w:tc>
          <w:tcPr>
            <w:tcW w:w="7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仿宋" w:hAnsi="仿宋" w:eastAsia="仿宋" w:cs="仿宋"/>
                <w:color w:val="auto"/>
                <w:sz w:val="24"/>
                <w:szCs w:val="24"/>
                <w:highlight w:val="none"/>
                <w:vertAlign w:val="baseline"/>
              </w:rPr>
            </w:pPr>
          </w:p>
        </w:tc>
        <w:tc>
          <w:tcPr>
            <w:tcW w:w="9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96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7741" w:type="dxa"/>
            <w:gridSpan w:val="5"/>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firstLine="3614" w:firstLineChars="1500"/>
              <w:jc w:val="left"/>
              <w:textAlignment w:val="center"/>
              <w:rPr>
                <w:rFonts w:hint="eastAsia" w:ascii="仿宋" w:hAnsi="仿宋" w:eastAsia="仿宋" w:cs="仿宋"/>
                <w:b/>
                <w:bCs/>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 xml:space="preserve">合        计                          </w:t>
            </w:r>
          </w:p>
        </w:tc>
        <w:tc>
          <w:tcPr>
            <w:tcW w:w="1881"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仿宋" w:hAnsi="仿宋" w:eastAsia="仿宋" w:cs="仿宋"/>
                <w:b/>
                <w:bCs/>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622" w:type="dxa"/>
            <w:gridSpan w:val="7"/>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仿宋" w:hAnsi="仿宋" w:eastAsia="仿宋" w:cs="仿宋"/>
                <w:b/>
                <w:bCs/>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合计大写：                         元整</w:t>
            </w:r>
          </w:p>
        </w:tc>
      </w:tr>
    </w:tbl>
    <w:p>
      <w:pPr>
        <w:pStyle w:val="43"/>
        <w:keepNext w:val="0"/>
        <w:keepLines w:val="0"/>
        <w:pageBreakBefore w:val="0"/>
        <w:widowControl w:val="0"/>
        <w:kinsoku/>
        <w:wordWrap/>
        <w:overflowPunct/>
        <w:topLinePunct w:val="0"/>
        <w:autoSpaceDE/>
        <w:autoSpaceDN/>
        <w:bidi w:val="0"/>
        <w:adjustRightInd/>
        <w:snapToGrid/>
        <w:spacing w:line="360" w:lineRule="auto"/>
        <w:ind w:leftChars="0"/>
        <w:textAlignment w:val="auto"/>
        <w:rPr>
          <w:rFonts w:hint="default" w:ascii="仿宋" w:hAnsi="仿宋" w:eastAsia="仿宋" w:cs="仿宋"/>
          <w:b/>
          <w:bCs/>
          <w:color w:val="auto"/>
          <w:sz w:val="24"/>
          <w:szCs w:val="24"/>
          <w:lang w:val="en-US" w:eastAsia="zh-CN"/>
        </w:rPr>
      </w:pPr>
      <w:r>
        <w:rPr>
          <w:rFonts w:hint="eastAsia" w:ascii="仿宋" w:hAnsi="仿宋" w:eastAsia="仿宋" w:cs="仿宋"/>
          <w:b w:val="0"/>
          <w:bCs w:val="0"/>
          <w:color w:val="auto"/>
          <w:sz w:val="24"/>
          <w:szCs w:val="24"/>
          <w:lang w:eastAsia="zh-CN"/>
        </w:rPr>
        <w:t>注：</w:t>
      </w:r>
      <w:r>
        <w:rPr>
          <w:rFonts w:hint="eastAsia" w:ascii="仿宋" w:hAnsi="仿宋" w:eastAsia="仿宋" w:cs="仿宋"/>
          <w:color w:val="auto"/>
          <w:sz w:val="24"/>
          <w:szCs w:val="24"/>
        </w:rPr>
        <w:t>以上</w:t>
      </w:r>
      <w:r>
        <w:rPr>
          <w:rFonts w:hint="eastAsia" w:ascii="仿宋" w:hAnsi="仿宋" w:eastAsia="仿宋" w:cs="仿宋"/>
          <w:color w:val="auto"/>
          <w:sz w:val="24"/>
          <w:szCs w:val="24"/>
          <w:lang w:eastAsia="zh-CN"/>
        </w:rPr>
        <w:t>价格</w:t>
      </w:r>
      <w:r>
        <w:rPr>
          <w:rFonts w:hint="eastAsia" w:ascii="仿宋" w:hAnsi="仿宋" w:eastAsia="仿宋" w:cs="仿宋"/>
          <w:color w:val="auto"/>
          <w:sz w:val="24"/>
          <w:szCs w:val="24"/>
        </w:rPr>
        <w:t>包括货款、包装、运输、装卸、保险、安装、验收、税金、售后服务、利润和招标代理服务费等</w:t>
      </w:r>
      <w:r>
        <w:rPr>
          <w:rFonts w:hint="eastAsia" w:ascii="仿宋" w:hAnsi="仿宋" w:eastAsia="仿宋" w:cs="仿宋"/>
          <w:color w:val="auto"/>
          <w:sz w:val="24"/>
          <w:szCs w:val="24"/>
          <w:lang w:eastAsia="zh-CN"/>
        </w:rPr>
        <w:t>完成本项目的</w:t>
      </w:r>
      <w:r>
        <w:rPr>
          <w:rFonts w:hint="eastAsia" w:ascii="仿宋" w:hAnsi="仿宋" w:eastAsia="仿宋" w:cs="仿宋"/>
          <w:color w:val="auto"/>
          <w:sz w:val="24"/>
          <w:szCs w:val="24"/>
        </w:rPr>
        <w:t>一切费用</w:t>
      </w:r>
      <w:r>
        <w:rPr>
          <w:rFonts w:hint="eastAsia" w:ascii="仿宋" w:hAnsi="仿宋" w:eastAsia="仿宋" w:cs="仿宋"/>
          <w:color w:val="auto"/>
          <w:sz w:val="24"/>
          <w:szCs w:val="24"/>
          <w:lang w:eastAsia="zh-CN"/>
        </w:rPr>
        <w:t>。</w:t>
      </w:r>
    </w:p>
    <w:p>
      <w:pPr>
        <w:keepNext w:val="0"/>
        <w:keepLines w:val="0"/>
        <w:pageBreakBefore w:val="0"/>
        <w:widowControl w:val="0"/>
        <w:kinsoku/>
        <w:wordWrap/>
        <w:overflowPunct/>
        <w:topLinePunct w:val="0"/>
        <w:autoSpaceDE/>
        <w:autoSpaceDN/>
        <w:bidi w:val="0"/>
        <w:adjustRightInd/>
        <w:spacing w:line="360" w:lineRule="auto"/>
        <w:ind w:leftChars="0"/>
        <w:textAlignment w:val="auto"/>
        <w:rPr>
          <w:rFonts w:hint="eastAsia" w:ascii="仿宋" w:hAnsi="仿宋" w:eastAsia="仿宋" w:cs="仿宋"/>
          <w:b/>
          <w:bCs w:val="0"/>
          <w:color w:val="auto"/>
          <w:sz w:val="24"/>
          <w:szCs w:val="24"/>
        </w:rPr>
      </w:pPr>
      <w:r>
        <w:rPr>
          <w:rFonts w:hint="eastAsia" w:ascii="仿宋" w:hAnsi="仿宋" w:eastAsia="仿宋" w:cs="仿宋"/>
          <w:b/>
          <w:bCs w:val="0"/>
          <w:color w:val="auto"/>
          <w:sz w:val="24"/>
          <w:szCs w:val="24"/>
        </w:rPr>
        <w:t>二、供货要求</w:t>
      </w:r>
    </w:p>
    <w:p>
      <w:pPr>
        <w:keepNext w:val="0"/>
        <w:keepLines w:val="0"/>
        <w:pageBreakBefore w:val="0"/>
        <w:kinsoku/>
        <w:wordWrap/>
        <w:overflowPunct/>
        <w:topLinePunct w:val="0"/>
        <w:bidi w:val="0"/>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rPr>
        <w:t>1</w:t>
      </w:r>
      <w:r>
        <w:rPr>
          <w:rFonts w:hint="eastAsia" w:ascii="仿宋" w:hAnsi="仿宋" w:eastAsia="仿宋" w:cs="仿宋"/>
          <w:color w:val="auto"/>
          <w:sz w:val="24"/>
          <w:szCs w:val="24"/>
          <w:lang w:val="en-US" w:eastAsia="zh-CN"/>
        </w:rPr>
        <w:t>.</w:t>
      </w:r>
      <w:r>
        <w:rPr>
          <w:rFonts w:hint="eastAsia" w:ascii="仿宋" w:hAnsi="仿宋" w:eastAsia="仿宋" w:cs="仿宋"/>
          <w:color w:val="auto"/>
          <w:sz w:val="24"/>
          <w:szCs w:val="24"/>
          <w:highlight w:val="none"/>
          <w:lang w:val="en-US" w:eastAsia="zh-CN"/>
        </w:rPr>
        <w:t>供货时间：合同签订之日起</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en-US" w:eastAsia="zh-CN"/>
        </w:rPr>
        <w:t>天内完成供货。</w:t>
      </w:r>
    </w:p>
    <w:p>
      <w:pPr>
        <w:pStyle w:val="16"/>
        <w:keepNext w:val="0"/>
        <w:keepLines w:val="0"/>
        <w:pageBreakBefore w:val="0"/>
        <w:widowControl w:val="0"/>
        <w:numPr>
          <w:ilvl w:val="0"/>
          <w:numId w:val="0"/>
        </w:numPr>
        <w:kinsoku/>
        <w:wordWrap/>
        <w:overflowPunct/>
        <w:topLinePunct w:val="0"/>
        <w:autoSpaceDE/>
        <w:autoSpaceDN/>
        <w:bidi w:val="0"/>
        <w:adjustRightInd/>
        <w:spacing w:line="360" w:lineRule="auto"/>
        <w:ind w:leftChars="0"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highlight w:val="none"/>
          <w:lang w:val="en-US" w:eastAsia="zh-CN"/>
        </w:rPr>
        <w:t>2.交货地点：按丙方指定地点交货</w:t>
      </w:r>
      <w:r>
        <w:rPr>
          <w:rFonts w:hint="eastAsia" w:ascii="仿宋" w:hAnsi="仿宋" w:eastAsia="仿宋" w:cs="仿宋"/>
          <w:b w:val="0"/>
          <w:bCs/>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pacing w:line="360" w:lineRule="auto"/>
        <w:ind w:leftChars="0"/>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三、验收</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right="0" w:firstLine="480" w:firstLineChars="200"/>
        <w:jc w:val="both"/>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1.本项目验收工作由丙方组织，验收工作在乙方项目实施完毕，经自验合格，提交验收申请后5个工作日内启动。</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right="0" w:firstLine="480" w:firstLineChars="200"/>
        <w:jc w:val="both"/>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2.验收符合质量要求，验收合格。</w:t>
      </w:r>
    </w:p>
    <w:p>
      <w:pPr>
        <w:keepNext w:val="0"/>
        <w:keepLines w:val="0"/>
        <w:pageBreakBefore w:val="0"/>
        <w:widowControl w:val="0"/>
        <w:kinsoku/>
        <w:wordWrap/>
        <w:overflowPunct/>
        <w:topLinePunct w:val="0"/>
        <w:autoSpaceDE/>
        <w:autoSpaceDN/>
        <w:bidi w:val="0"/>
        <w:adjustRightInd/>
        <w:spacing w:line="360" w:lineRule="auto"/>
        <w:ind w:leftChars="0" w:firstLine="480" w:firstLineChars="200"/>
        <w:textAlignment w:val="auto"/>
        <w:rPr>
          <w:rFonts w:hint="eastAsia" w:ascii="仿宋" w:hAnsi="仿宋" w:eastAsia="仿宋" w:cs="仿宋"/>
          <w:b/>
          <w:bCs/>
          <w:color w:val="auto"/>
          <w:sz w:val="24"/>
          <w:szCs w:val="24"/>
        </w:rPr>
      </w:pPr>
      <w:r>
        <w:rPr>
          <w:rFonts w:hint="eastAsia" w:ascii="仿宋" w:hAnsi="仿宋" w:eastAsia="仿宋" w:cs="仿宋"/>
          <w:bCs/>
          <w:color w:val="auto"/>
          <w:sz w:val="24"/>
          <w:szCs w:val="24"/>
          <w:highlight w:val="none"/>
          <w:lang w:val="en-US" w:eastAsia="zh-CN"/>
        </w:rPr>
        <w:t>3.验收费用由乙方承担</w:t>
      </w:r>
      <w:r>
        <w:rPr>
          <w:rFonts w:hint="eastAsia" w:ascii="仿宋" w:hAnsi="仿宋" w:eastAsia="仿宋" w:cs="仿宋"/>
          <w:color w:val="auto"/>
          <w:sz w:val="24"/>
          <w:szCs w:val="24"/>
        </w:rPr>
        <w:t>。</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right="0" w:firstLine="0" w:firstLineChars="0"/>
        <w:jc w:val="both"/>
        <w:textAlignment w:val="auto"/>
        <w:rPr>
          <w:rFonts w:hint="eastAsia" w:ascii="仿宋" w:hAnsi="仿宋" w:eastAsia="仿宋" w:cs="仿宋"/>
          <w:b/>
          <w:bCs w:val="0"/>
          <w:color w:val="auto"/>
          <w:sz w:val="24"/>
          <w:szCs w:val="24"/>
          <w:lang w:eastAsia="zh-CN"/>
        </w:rPr>
      </w:pPr>
      <w:r>
        <w:rPr>
          <w:rFonts w:hint="eastAsia" w:ascii="仿宋" w:hAnsi="仿宋" w:eastAsia="仿宋" w:cs="仿宋"/>
          <w:b/>
          <w:bCs/>
          <w:color w:val="auto"/>
          <w:sz w:val="24"/>
          <w:szCs w:val="24"/>
          <w:lang w:eastAsia="zh-CN"/>
        </w:rPr>
        <w:t>四、</w:t>
      </w:r>
      <w:r>
        <w:rPr>
          <w:rFonts w:hint="eastAsia" w:ascii="仿宋" w:hAnsi="仿宋" w:eastAsia="仿宋" w:cs="仿宋"/>
          <w:b/>
          <w:bCs w:val="0"/>
          <w:color w:val="auto"/>
          <w:sz w:val="24"/>
          <w:szCs w:val="24"/>
          <w:lang w:eastAsia="zh-CN"/>
        </w:rPr>
        <w:t>质保及售后</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right="0" w:firstLine="480" w:firstLineChars="20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所提供的产品必须是全新的、未使用过的且为原装正品，原厂原包装供货，并完全符合合同规定的质量、规格和性能的要求。交付验收时提供</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年质保。</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right="0" w:firstLine="480" w:firstLineChars="200"/>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2.采用7×24小时售后服务模式，并提供充足的备品备件，满足日常维修需求。</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right="0" w:firstLine="480" w:firstLineChars="200"/>
        <w:jc w:val="both"/>
        <w:textAlignment w:val="auto"/>
        <w:rPr>
          <w:rFonts w:hint="eastAsia" w:ascii="仿宋" w:hAnsi="仿宋" w:eastAsia="仿宋" w:cs="仿宋"/>
          <w:b/>
          <w:bCs w:val="0"/>
          <w:color w:val="auto"/>
          <w:sz w:val="24"/>
          <w:szCs w:val="24"/>
          <w:lang w:eastAsia="zh-CN"/>
        </w:rPr>
      </w:pPr>
      <w:r>
        <w:rPr>
          <w:rFonts w:hint="eastAsia" w:ascii="仿宋" w:hAnsi="仿宋" w:eastAsia="仿宋" w:cs="仿宋"/>
          <w:color w:val="auto"/>
          <w:sz w:val="24"/>
          <w:szCs w:val="24"/>
          <w:highlight w:val="none"/>
          <w:lang w:val="en-US" w:eastAsia="zh-CN"/>
        </w:rPr>
        <w:t>3.质保期内因产品本身缺陷造成各种故障应由乙方免费维修，根据《投标文件》中说明在保质期内提供的服务计划。在产品整个使用期内，乙方应确保货物的正常使用。在接到丙方维修要求后30分钟内作出响应，2小时到达现场处置，24小时内修复。若不能修复，则需要免费提供备品或替代产品，以保证丙方正常的使用</w:t>
      </w:r>
      <w:r>
        <w:rPr>
          <w:rFonts w:hint="eastAsia" w:ascii="仿宋" w:hAnsi="仿宋" w:eastAsia="仿宋" w:cs="仿宋"/>
          <w:color w:val="auto"/>
          <w:sz w:val="24"/>
          <w:szCs w:val="24"/>
          <w:highlight w:val="none"/>
        </w:rPr>
        <w:t>。</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Autospacing="0" w:afterAutospacing="0" w:line="360" w:lineRule="auto"/>
        <w:ind w:right="0" w:rightChars="0" w:firstLine="0" w:firstLineChars="0"/>
        <w:jc w:val="both"/>
        <w:textAlignment w:val="auto"/>
        <w:rPr>
          <w:rFonts w:hint="eastAsia" w:ascii="仿宋" w:hAnsi="仿宋" w:eastAsia="仿宋" w:cs="仿宋"/>
          <w:b/>
          <w:bCs w:val="0"/>
          <w:color w:val="auto"/>
          <w:sz w:val="24"/>
          <w:szCs w:val="24"/>
          <w:lang w:eastAsia="zh-CN"/>
        </w:rPr>
      </w:pPr>
      <w:r>
        <w:rPr>
          <w:rFonts w:hint="eastAsia" w:ascii="仿宋" w:hAnsi="仿宋" w:eastAsia="仿宋" w:cs="仿宋"/>
          <w:b/>
          <w:bCs w:val="0"/>
          <w:color w:val="auto"/>
          <w:sz w:val="24"/>
          <w:szCs w:val="24"/>
          <w:lang w:eastAsia="zh-CN"/>
        </w:rPr>
        <w:t>五、付款方式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80" w:firstLineChars="200"/>
        <w:jc w:val="both"/>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1.合同签订并具备实施条件后支付合同价的30%，设备安装调试完毕经丙方验收合格后付至合同价的70%，经第三方审计后付至审定价的98.5%，余款1.5%在质保期满后10日内付清。</w:t>
      </w:r>
    </w:p>
    <w:p>
      <w:pPr>
        <w:pStyle w:val="43"/>
        <w:keepNext w:val="0"/>
        <w:keepLines w:val="0"/>
        <w:pageBreakBefore w:val="0"/>
        <w:kinsoku/>
        <w:wordWrap/>
        <w:overflowPunct/>
        <w:topLinePunct w:val="0"/>
        <w:bidi w:val="0"/>
        <w:snapToGrid w:val="0"/>
        <w:spacing w:before="156" w:after="156" w:line="360" w:lineRule="auto"/>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2.</w:t>
      </w:r>
      <w:r>
        <w:rPr>
          <w:rFonts w:hint="eastAsia" w:ascii="仿宋" w:hAnsi="仿宋" w:eastAsia="仿宋" w:cs="仿宋"/>
          <w:bCs/>
          <w:color w:val="auto"/>
          <w:sz w:val="24"/>
          <w:szCs w:val="24"/>
          <w:highlight w:val="none"/>
        </w:rPr>
        <w:t>每次结算前</w:t>
      </w:r>
      <w:r>
        <w:rPr>
          <w:rFonts w:hint="eastAsia" w:ascii="仿宋" w:hAnsi="仿宋" w:eastAsia="仿宋" w:cs="仿宋"/>
          <w:bCs/>
          <w:color w:val="auto"/>
          <w:sz w:val="24"/>
          <w:szCs w:val="24"/>
          <w:highlight w:val="none"/>
          <w:lang w:val="en-US" w:eastAsia="zh-CN"/>
        </w:rPr>
        <w:t>乙方</w:t>
      </w:r>
      <w:r>
        <w:rPr>
          <w:rFonts w:hint="eastAsia" w:ascii="仿宋" w:hAnsi="仿宋" w:eastAsia="仿宋" w:cs="仿宋"/>
          <w:bCs/>
          <w:color w:val="auto"/>
          <w:sz w:val="24"/>
          <w:szCs w:val="24"/>
          <w:highlight w:val="none"/>
        </w:rPr>
        <w:t>均须提供</w:t>
      </w:r>
      <w:r>
        <w:rPr>
          <w:rFonts w:hint="eastAsia" w:ascii="仿宋" w:hAnsi="仿宋" w:eastAsia="仿宋" w:cs="仿宋"/>
          <w:bCs/>
          <w:color w:val="auto"/>
          <w:sz w:val="24"/>
          <w:szCs w:val="24"/>
          <w:highlight w:val="none"/>
          <w:lang w:val="en-US" w:eastAsia="zh-CN"/>
        </w:rPr>
        <w:t>甲方</w:t>
      </w:r>
      <w:r>
        <w:rPr>
          <w:rFonts w:hint="eastAsia" w:ascii="仿宋" w:hAnsi="仿宋" w:eastAsia="仿宋" w:cs="仿宋"/>
          <w:bCs/>
          <w:color w:val="auto"/>
          <w:sz w:val="24"/>
          <w:szCs w:val="24"/>
          <w:highlight w:val="none"/>
          <w:lang w:eastAsia="zh-CN"/>
        </w:rPr>
        <w:t>认可的</w:t>
      </w:r>
      <w:r>
        <w:rPr>
          <w:rFonts w:hint="eastAsia" w:ascii="仿宋" w:hAnsi="仿宋" w:eastAsia="仿宋" w:cs="仿宋"/>
          <w:bCs/>
          <w:color w:val="auto"/>
          <w:sz w:val="24"/>
          <w:szCs w:val="24"/>
          <w:highlight w:val="none"/>
        </w:rPr>
        <w:t>正</w:t>
      </w:r>
      <w:r>
        <w:rPr>
          <w:rFonts w:hint="eastAsia" w:ascii="仿宋" w:hAnsi="仿宋" w:eastAsia="仿宋" w:cs="仿宋"/>
          <w:bCs/>
          <w:color w:val="auto"/>
          <w:sz w:val="24"/>
          <w:szCs w:val="24"/>
          <w:highlight w:val="none"/>
          <w:lang w:eastAsia="zh-CN"/>
        </w:rPr>
        <w:t>规</w:t>
      </w:r>
      <w:r>
        <w:rPr>
          <w:rFonts w:hint="eastAsia" w:ascii="仿宋" w:hAnsi="仿宋" w:eastAsia="仿宋" w:cs="仿宋"/>
          <w:bCs/>
          <w:color w:val="auto"/>
          <w:sz w:val="24"/>
          <w:szCs w:val="24"/>
          <w:highlight w:val="none"/>
        </w:rPr>
        <w:t>发票。</w:t>
      </w:r>
    </w:p>
    <w:p>
      <w:pPr>
        <w:pStyle w:val="43"/>
        <w:keepNext w:val="0"/>
        <w:keepLines w:val="0"/>
        <w:pageBreakBefore w:val="0"/>
        <w:widowControl w:val="0"/>
        <w:kinsoku/>
        <w:wordWrap/>
        <w:overflowPunct/>
        <w:topLinePunct w:val="0"/>
        <w:autoSpaceDE/>
        <w:autoSpaceDN/>
        <w:bidi w:val="0"/>
        <w:adjustRightInd/>
        <w:snapToGrid w:val="0"/>
        <w:spacing w:before="156" w:line="360" w:lineRule="auto"/>
        <w:textAlignment w:val="auto"/>
        <w:rPr>
          <w:rFonts w:hint="eastAsia" w:ascii="仿宋" w:hAnsi="仿宋" w:eastAsia="仿宋" w:cs="仿宋"/>
          <w:b/>
          <w:bCs w:val="0"/>
          <w:color w:val="auto"/>
          <w:sz w:val="24"/>
          <w:szCs w:val="24"/>
          <w:lang w:val="en-US" w:eastAsia="zh-CN"/>
        </w:rPr>
      </w:pPr>
      <w:r>
        <w:rPr>
          <w:rFonts w:hint="eastAsia" w:ascii="仿宋" w:hAnsi="仿宋" w:eastAsia="仿宋" w:cs="仿宋"/>
          <w:b/>
          <w:bCs w:val="0"/>
          <w:color w:val="auto"/>
          <w:sz w:val="24"/>
          <w:szCs w:val="24"/>
          <w:lang w:eastAsia="zh-CN"/>
        </w:rPr>
        <w:t>六</w:t>
      </w:r>
      <w:r>
        <w:rPr>
          <w:rFonts w:hint="eastAsia" w:ascii="仿宋" w:hAnsi="仿宋" w:eastAsia="仿宋" w:cs="仿宋"/>
          <w:b/>
          <w:bCs w:val="0"/>
          <w:color w:val="auto"/>
          <w:sz w:val="24"/>
          <w:szCs w:val="24"/>
        </w:rPr>
        <w:t>、</w:t>
      </w:r>
      <w:r>
        <w:rPr>
          <w:rFonts w:hint="eastAsia" w:ascii="仿宋" w:hAnsi="仿宋" w:eastAsia="仿宋" w:cs="仿宋"/>
          <w:b/>
          <w:bCs w:val="0"/>
          <w:color w:val="auto"/>
          <w:sz w:val="24"/>
          <w:szCs w:val="24"/>
          <w:lang w:val="en-US" w:eastAsia="zh-CN"/>
        </w:rPr>
        <w:t>履约保证金</w:t>
      </w:r>
    </w:p>
    <w:p>
      <w:pPr>
        <w:pStyle w:val="43"/>
        <w:keepNext w:val="0"/>
        <w:keepLines w:val="0"/>
        <w:pageBreakBefore w:val="0"/>
        <w:widowControl w:val="0"/>
        <w:kinsoku/>
        <w:wordWrap/>
        <w:overflowPunct/>
        <w:topLinePunct w:val="0"/>
        <w:autoSpaceDE/>
        <w:autoSpaceDN/>
        <w:bidi w:val="0"/>
        <w:adjustRightInd/>
        <w:snapToGrid w:val="0"/>
        <w:spacing w:line="360" w:lineRule="auto"/>
        <w:ind w:leftChars="0" w:firstLine="480" w:firstLineChars="200"/>
        <w:textAlignment w:val="auto"/>
        <w:rPr>
          <w:rFonts w:hint="eastAsia" w:ascii="仿宋" w:hAnsi="仿宋" w:eastAsia="仿宋" w:cs="仿宋"/>
          <w:bCs/>
          <w:color w:val="auto"/>
          <w:sz w:val="24"/>
          <w:szCs w:val="24"/>
        </w:rPr>
      </w:pPr>
      <w:r>
        <w:rPr>
          <w:rFonts w:hint="eastAsia" w:ascii="仿宋" w:hAnsi="仿宋" w:eastAsia="仿宋" w:cs="仿宋"/>
          <w:b w:val="0"/>
          <w:bCs w:val="0"/>
          <w:color w:val="auto"/>
          <w:sz w:val="24"/>
          <w:szCs w:val="24"/>
          <w:lang w:val="en-US" w:eastAsia="zh-CN"/>
        </w:rPr>
        <w:t>乙方向甲方缴纳合同价的1%作为履约保证金，验收合格后无质量问题15个工作日内无息退还</w:t>
      </w:r>
      <w:r>
        <w:rPr>
          <w:rFonts w:hint="eastAsia" w:ascii="仿宋" w:hAnsi="仿宋" w:eastAsia="仿宋" w:cs="仿宋"/>
          <w:bCs/>
          <w:color w:val="auto"/>
          <w:sz w:val="24"/>
          <w:szCs w:val="24"/>
        </w:rPr>
        <w:t>。</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lang w:val="zh-CN" w:eastAsia="zh-CN"/>
        </w:rPr>
        <w:t>履约保证金的交付方式：网银、支票、汇票、本票或金融机构出具的保函等非现金方式）。</w:t>
      </w:r>
    </w:p>
    <w:p>
      <w:pPr>
        <w:pStyle w:val="43"/>
        <w:keepNext w:val="0"/>
        <w:keepLines w:val="0"/>
        <w:pageBreakBefore w:val="0"/>
        <w:widowControl w:val="0"/>
        <w:kinsoku/>
        <w:wordWrap/>
        <w:overflowPunct/>
        <w:topLinePunct w:val="0"/>
        <w:autoSpaceDE/>
        <w:autoSpaceDN/>
        <w:bidi w:val="0"/>
        <w:adjustRightInd/>
        <w:snapToGrid w:val="0"/>
        <w:spacing w:line="360" w:lineRule="auto"/>
        <w:ind w:leftChars="0"/>
        <w:textAlignment w:val="auto"/>
        <w:rPr>
          <w:rFonts w:hint="eastAsia" w:ascii="仿宋" w:hAnsi="仿宋" w:eastAsia="仿宋" w:cs="仿宋"/>
          <w:b/>
          <w:bCs w:val="0"/>
          <w:color w:val="auto"/>
          <w:sz w:val="24"/>
          <w:szCs w:val="24"/>
        </w:rPr>
      </w:pPr>
      <w:r>
        <w:rPr>
          <w:rFonts w:hint="eastAsia" w:ascii="仿宋" w:hAnsi="仿宋" w:eastAsia="仿宋" w:cs="仿宋"/>
          <w:b/>
          <w:bCs w:val="0"/>
          <w:color w:val="auto"/>
          <w:sz w:val="24"/>
          <w:szCs w:val="24"/>
          <w:lang w:val="en-US" w:eastAsia="zh-CN"/>
        </w:rPr>
        <w:t>七</w:t>
      </w:r>
      <w:r>
        <w:rPr>
          <w:rFonts w:hint="eastAsia" w:ascii="仿宋" w:hAnsi="仿宋" w:eastAsia="仿宋" w:cs="仿宋"/>
          <w:b/>
          <w:bCs w:val="0"/>
          <w:color w:val="auto"/>
          <w:sz w:val="24"/>
          <w:szCs w:val="24"/>
        </w:rPr>
        <w:t>、转包或分包</w:t>
      </w:r>
    </w:p>
    <w:p>
      <w:pPr>
        <w:pStyle w:val="43"/>
        <w:keepNext w:val="0"/>
        <w:keepLines w:val="0"/>
        <w:pageBreakBefore w:val="0"/>
        <w:widowControl w:val="0"/>
        <w:kinsoku/>
        <w:wordWrap/>
        <w:overflowPunct/>
        <w:topLinePunct w:val="0"/>
        <w:autoSpaceDE/>
        <w:autoSpaceDN/>
        <w:bidi w:val="0"/>
        <w:adjustRightInd/>
        <w:snapToGrid w:val="0"/>
        <w:spacing w:line="360" w:lineRule="auto"/>
        <w:ind w:leftChars="0" w:firstLine="480" w:firstLineChars="200"/>
        <w:textAlignment w:val="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本项目不同意转包及分包。</w:t>
      </w:r>
    </w:p>
    <w:p>
      <w:pPr>
        <w:keepNext w:val="0"/>
        <w:keepLines w:val="0"/>
        <w:pageBreakBefore w:val="0"/>
        <w:widowControl w:val="0"/>
        <w:kinsoku/>
        <w:wordWrap/>
        <w:overflowPunct/>
        <w:topLinePunct w:val="0"/>
        <w:autoSpaceDE/>
        <w:autoSpaceDN/>
        <w:bidi w:val="0"/>
        <w:adjustRightInd/>
        <w:snapToGrid w:val="0"/>
        <w:spacing w:line="360" w:lineRule="auto"/>
        <w:ind w:leftChars="0"/>
        <w:textAlignment w:val="auto"/>
        <w:rPr>
          <w:rFonts w:hint="eastAsia" w:ascii="仿宋" w:hAnsi="仿宋" w:eastAsia="仿宋" w:cs="仿宋"/>
          <w:b/>
          <w:bCs w:val="0"/>
          <w:color w:val="auto"/>
          <w:sz w:val="24"/>
          <w:szCs w:val="24"/>
        </w:rPr>
      </w:pPr>
      <w:r>
        <w:rPr>
          <w:rFonts w:hint="eastAsia" w:ascii="仿宋" w:hAnsi="仿宋" w:eastAsia="仿宋" w:cs="仿宋"/>
          <w:b/>
          <w:bCs w:val="0"/>
          <w:color w:val="auto"/>
          <w:sz w:val="24"/>
          <w:szCs w:val="24"/>
          <w:lang w:val="en-US" w:eastAsia="zh-CN"/>
        </w:rPr>
        <w:t>八</w:t>
      </w:r>
      <w:r>
        <w:rPr>
          <w:rFonts w:hint="eastAsia" w:ascii="仿宋" w:hAnsi="仿宋" w:eastAsia="仿宋" w:cs="仿宋"/>
          <w:b/>
          <w:bCs w:val="0"/>
          <w:color w:val="auto"/>
          <w:sz w:val="24"/>
          <w:szCs w:val="24"/>
        </w:rPr>
        <w:t>、税费</w:t>
      </w:r>
    </w:p>
    <w:p>
      <w:pPr>
        <w:keepNext w:val="0"/>
        <w:keepLines w:val="0"/>
        <w:pageBreakBefore w:val="0"/>
        <w:widowControl w:val="0"/>
        <w:kinsoku/>
        <w:wordWrap/>
        <w:overflowPunct/>
        <w:topLinePunct w:val="0"/>
        <w:autoSpaceDE/>
        <w:autoSpaceDN/>
        <w:bidi w:val="0"/>
        <w:adjustRightInd/>
        <w:snapToGrid w:val="0"/>
        <w:spacing w:line="360" w:lineRule="auto"/>
        <w:ind w:leftChars="0" w:firstLine="480" w:firstLineChars="200"/>
        <w:textAlignment w:val="auto"/>
        <w:rPr>
          <w:rFonts w:hint="eastAsia" w:ascii="仿宋" w:hAnsi="仿宋" w:eastAsia="仿宋" w:cs="仿宋"/>
          <w:color w:val="auto"/>
          <w:kern w:val="0"/>
          <w:sz w:val="24"/>
          <w:szCs w:val="24"/>
        </w:rPr>
      </w:pPr>
      <w:r>
        <w:rPr>
          <w:rFonts w:hint="eastAsia" w:ascii="仿宋" w:hAnsi="仿宋" w:eastAsia="仿宋" w:cs="仿宋"/>
          <w:bCs/>
          <w:color w:val="auto"/>
          <w:sz w:val="24"/>
          <w:szCs w:val="24"/>
        </w:rPr>
        <w:t>本合同执行中相关的一切税费均由乙方负担。</w:t>
      </w:r>
    </w:p>
    <w:p>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仿宋" w:hAnsi="仿宋" w:eastAsia="仿宋" w:cs="仿宋"/>
          <w:b/>
          <w:bCs w:val="0"/>
          <w:color w:val="auto"/>
          <w:sz w:val="24"/>
          <w:szCs w:val="24"/>
          <w:lang w:val="en-US" w:eastAsia="zh-CN"/>
        </w:rPr>
      </w:pPr>
      <w:r>
        <w:rPr>
          <w:rFonts w:hint="eastAsia" w:ascii="仿宋" w:hAnsi="仿宋" w:eastAsia="仿宋" w:cs="仿宋"/>
          <w:b/>
          <w:bCs w:val="0"/>
          <w:color w:val="auto"/>
          <w:sz w:val="24"/>
          <w:szCs w:val="24"/>
          <w:lang w:val="en-US" w:eastAsia="zh-CN"/>
        </w:rPr>
        <w:t>九、安全责任</w:t>
      </w:r>
    </w:p>
    <w:p>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仿宋" w:hAnsi="仿宋" w:eastAsia="仿宋" w:cs="仿宋"/>
          <w:b w:val="0"/>
          <w:bCs/>
          <w:color w:val="auto"/>
          <w:sz w:val="24"/>
          <w:szCs w:val="24"/>
          <w:lang w:val="en-US" w:eastAsia="zh-CN"/>
        </w:rPr>
      </w:pPr>
      <w:r>
        <w:rPr>
          <w:rFonts w:hint="eastAsia" w:ascii="仿宋" w:hAnsi="仿宋" w:eastAsia="仿宋" w:cs="仿宋"/>
          <w:b w:val="0"/>
          <w:bCs/>
          <w:color w:val="auto"/>
          <w:sz w:val="24"/>
          <w:szCs w:val="24"/>
          <w:lang w:val="en-US" w:eastAsia="zh-CN"/>
        </w:rPr>
        <w:t>在项目实施过程中的各种意外，其责任由乙方承担，甲、丙双方不承担任何责任。</w:t>
      </w:r>
    </w:p>
    <w:p>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仿宋" w:hAnsi="仿宋" w:eastAsia="仿宋" w:cs="仿宋"/>
          <w:b/>
          <w:bCs w:val="0"/>
          <w:color w:val="auto"/>
          <w:sz w:val="24"/>
          <w:szCs w:val="24"/>
        </w:rPr>
      </w:pPr>
      <w:r>
        <w:rPr>
          <w:rFonts w:hint="eastAsia" w:ascii="仿宋" w:hAnsi="仿宋" w:eastAsia="仿宋" w:cs="仿宋"/>
          <w:b/>
          <w:bCs w:val="0"/>
          <w:color w:val="auto"/>
          <w:sz w:val="24"/>
          <w:szCs w:val="24"/>
          <w:lang w:val="en-US" w:eastAsia="zh-CN"/>
        </w:rPr>
        <w:t>十</w:t>
      </w:r>
      <w:r>
        <w:rPr>
          <w:rFonts w:hint="eastAsia" w:ascii="仿宋" w:hAnsi="仿宋" w:eastAsia="仿宋" w:cs="仿宋"/>
          <w:b/>
          <w:bCs w:val="0"/>
          <w:color w:val="auto"/>
          <w:sz w:val="24"/>
          <w:szCs w:val="24"/>
        </w:rPr>
        <w:t>、违约责任</w:t>
      </w:r>
    </w:p>
    <w:p>
      <w:pPr>
        <w:pStyle w:val="43"/>
        <w:keepNext w:val="0"/>
        <w:keepLines w:val="0"/>
        <w:pageBreakBefore w:val="0"/>
        <w:kinsoku/>
        <w:wordWrap/>
        <w:overflowPunct/>
        <w:topLinePunct w:val="0"/>
        <w:bidi w:val="0"/>
        <w:snapToGrid w:val="0"/>
        <w:spacing w:line="360" w:lineRule="auto"/>
        <w:ind w:firstLine="480" w:firstLineChars="200"/>
        <w:jc w:val="left"/>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甲</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丙双</w:t>
      </w:r>
      <w:r>
        <w:rPr>
          <w:rFonts w:hint="eastAsia" w:ascii="仿宋" w:hAnsi="仿宋" w:eastAsia="仿宋" w:cs="仿宋"/>
          <w:color w:val="auto"/>
          <w:sz w:val="24"/>
          <w:szCs w:val="24"/>
        </w:rPr>
        <w:t>方无正当理由拒收的，甲方向乙方偿付拒收当前合同款总值的5%违约金。</w:t>
      </w:r>
    </w:p>
    <w:p>
      <w:pPr>
        <w:pStyle w:val="43"/>
        <w:keepNext w:val="0"/>
        <w:keepLines w:val="0"/>
        <w:pageBreakBefore w:val="0"/>
        <w:kinsoku/>
        <w:wordWrap/>
        <w:overflowPunct/>
        <w:topLinePunct w:val="0"/>
        <w:bidi w:val="0"/>
        <w:snapToGrid w:val="0"/>
        <w:spacing w:line="360" w:lineRule="auto"/>
        <w:ind w:firstLine="480" w:firstLineChars="200"/>
        <w:jc w:val="left"/>
        <w:rPr>
          <w:rFonts w:hint="eastAsia" w:ascii="仿宋" w:hAnsi="仿宋" w:eastAsia="仿宋" w:cs="仿宋"/>
          <w:color w:val="auto"/>
          <w:sz w:val="24"/>
          <w:szCs w:val="24"/>
        </w:rPr>
      </w:pPr>
      <w:r>
        <w:rPr>
          <w:rFonts w:hint="eastAsia" w:ascii="仿宋" w:hAnsi="仿宋" w:eastAsia="仿宋" w:cs="仿宋"/>
          <w:color w:val="auto"/>
          <w:sz w:val="24"/>
          <w:szCs w:val="24"/>
        </w:rPr>
        <w:t>2.甲</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丙双</w:t>
      </w:r>
      <w:r>
        <w:rPr>
          <w:rFonts w:hint="eastAsia" w:ascii="仿宋" w:hAnsi="仿宋" w:eastAsia="仿宋" w:cs="仿宋"/>
          <w:color w:val="auto"/>
          <w:sz w:val="24"/>
          <w:szCs w:val="24"/>
        </w:rPr>
        <w:t>方无故逾期验收和办理款项支付手续的</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甲方应按逾期付款总额每日万分之五向乙方支付违约金。</w:t>
      </w:r>
    </w:p>
    <w:p>
      <w:pPr>
        <w:pStyle w:val="43"/>
        <w:keepNext w:val="0"/>
        <w:keepLines w:val="0"/>
        <w:pageBreakBefore w:val="0"/>
        <w:kinsoku/>
        <w:wordWrap/>
        <w:overflowPunct/>
        <w:topLinePunct w:val="0"/>
        <w:bidi w:val="0"/>
        <w:snapToGrid w:val="0"/>
        <w:spacing w:line="360" w:lineRule="auto"/>
        <w:ind w:firstLine="480" w:firstLineChars="200"/>
        <w:jc w:val="left"/>
        <w:rPr>
          <w:rFonts w:hint="eastAsia" w:ascii="仿宋" w:hAnsi="仿宋" w:eastAsia="仿宋" w:cs="仿宋"/>
          <w:color w:val="auto"/>
          <w:sz w:val="24"/>
          <w:szCs w:val="24"/>
        </w:rPr>
      </w:pPr>
      <w:r>
        <w:rPr>
          <w:rFonts w:hint="eastAsia" w:ascii="仿宋" w:hAnsi="仿宋" w:eastAsia="仿宋" w:cs="仿宋"/>
          <w:color w:val="auto"/>
          <w:sz w:val="24"/>
          <w:szCs w:val="24"/>
        </w:rPr>
        <w:t>3.乙方逾期交付的，乙方应按逾期交付总额每日万分之五向甲方支付违约金，由甲方从待付货款中扣除。逾期超过约定日期20个工作日不能交付的，甲</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丙双</w:t>
      </w:r>
      <w:r>
        <w:rPr>
          <w:rFonts w:hint="eastAsia" w:ascii="仿宋" w:hAnsi="仿宋" w:eastAsia="仿宋" w:cs="仿宋"/>
          <w:color w:val="auto"/>
          <w:sz w:val="24"/>
          <w:szCs w:val="24"/>
        </w:rPr>
        <w:t>方可解除本合同。乙方因逾期交付或因其他违约行为导致甲</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丙双</w:t>
      </w:r>
      <w:r>
        <w:rPr>
          <w:rFonts w:hint="eastAsia" w:ascii="仿宋" w:hAnsi="仿宋" w:eastAsia="仿宋" w:cs="仿宋"/>
          <w:color w:val="auto"/>
          <w:sz w:val="24"/>
          <w:szCs w:val="24"/>
        </w:rPr>
        <w:t xml:space="preserve">方解除合同的，乙方应向甲方支付合同总值5%的违约金，如造成甲方损失超过违约金的，超出部分由乙方继续承担赔偿责任。 </w:t>
      </w:r>
    </w:p>
    <w:p>
      <w:pPr>
        <w:pStyle w:val="16"/>
        <w:keepNext w:val="0"/>
        <w:keepLines w:val="0"/>
        <w:pageBreakBefore w:val="0"/>
        <w:widowControl w:val="0"/>
        <w:numPr>
          <w:ilvl w:val="0"/>
          <w:numId w:val="0"/>
        </w:numPr>
        <w:kinsoku/>
        <w:wordWrap/>
        <w:overflowPunct/>
        <w:topLinePunct w:val="0"/>
        <w:autoSpaceDE/>
        <w:autoSpaceDN/>
        <w:bidi w:val="0"/>
        <w:adjustRightInd/>
        <w:spacing w:line="360" w:lineRule="auto"/>
        <w:ind w:leftChars="0"/>
        <w:textAlignment w:val="auto"/>
        <w:rPr>
          <w:rFonts w:hint="eastAsia" w:ascii="仿宋" w:hAnsi="仿宋" w:eastAsia="仿宋" w:cs="仿宋"/>
          <w:bCs/>
          <w:color w:val="auto"/>
          <w:sz w:val="24"/>
          <w:szCs w:val="24"/>
        </w:rPr>
      </w:pPr>
      <w:r>
        <w:rPr>
          <w:rFonts w:hint="eastAsia" w:ascii="仿宋" w:hAnsi="仿宋" w:eastAsia="仿宋" w:cs="仿宋"/>
          <w:color w:val="auto"/>
          <w:sz w:val="24"/>
          <w:szCs w:val="24"/>
        </w:rPr>
        <w:t>4.乙方所交的货物品种、型号、规格、技术参数、质量不符合合同规定及招标文件规定标准的，甲</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丙双</w:t>
      </w:r>
      <w:r>
        <w:rPr>
          <w:rFonts w:hint="eastAsia" w:ascii="仿宋" w:hAnsi="仿宋" w:eastAsia="仿宋" w:cs="仿宋"/>
          <w:color w:val="auto"/>
          <w:sz w:val="24"/>
          <w:szCs w:val="24"/>
        </w:rPr>
        <w:t>方有权拒收，乙方愿意更换但逾期交付的，按乙方逾期交付处理。乙方拒绝更换的，甲</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丙双</w:t>
      </w:r>
      <w:r>
        <w:rPr>
          <w:rFonts w:hint="eastAsia" w:ascii="仿宋" w:hAnsi="仿宋" w:eastAsia="仿宋" w:cs="仿宋"/>
          <w:color w:val="auto"/>
          <w:sz w:val="24"/>
          <w:szCs w:val="24"/>
        </w:rPr>
        <w:t>方可单方面解除合同。</w:t>
      </w:r>
    </w:p>
    <w:p>
      <w:pPr>
        <w:pStyle w:val="43"/>
        <w:keepNext w:val="0"/>
        <w:keepLines w:val="0"/>
        <w:pageBreakBefore w:val="0"/>
        <w:widowControl w:val="0"/>
        <w:kinsoku/>
        <w:wordWrap/>
        <w:overflowPunct/>
        <w:topLinePunct w:val="0"/>
        <w:autoSpaceDE/>
        <w:autoSpaceDN/>
        <w:bidi w:val="0"/>
        <w:adjustRightInd/>
        <w:snapToGrid w:val="0"/>
        <w:spacing w:line="360" w:lineRule="auto"/>
        <w:ind w:leftChars="0"/>
        <w:jc w:val="left"/>
        <w:textAlignment w:val="auto"/>
        <w:rPr>
          <w:rFonts w:hint="eastAsia" w:ascii="仿宋" w:hAnsi="仿宋" w:eastAsia="仿宋" w:cs="仿宋"/>
          <w:b/>
          <w:bCs w:val="0"/>
          <w:color w:val="auto"/>
          <w:sz w:val="24"/>
          <w:szCs w:val="24"/>
        </w:rPr>
      </w:pPr>
      <w:r>
        <w:rPr>
          <w:rFonts w:hint="eastAsia" w:ascii="仿宋" w:hAnsi="仿宋" w:eastAsia="仿宋" w:cs="仿宋"/>
          <w:b/>
          <w:bCs w:val="0"/>
          <w:color w:val="auto"/>
          <w:sz w:val="24"/>
          <w:szCs w:val="24"/>
        </w:rPr>
        <w:t>十</w:t>
      </w:r>
      <w:r>
        <w:rPr>
          <w:rFonts w:hint="eastAsia" w:ascii="仿宋" w:hAnsi="仿宋" w:eastAsia="仿宋" w:cs="仿宋"/>
          <w:b/>
          <w:bCs w:val="0"/>
          <w:color w:val="auto"/>
          <w:sz w:val="24"/>
          <w:szCs w:val="24"/>
          <w:lang w:val="en-US" w:eastAsia="zh-CN"/>
        </w:rPr>
        <w:t>一</w:t>
      </w:r>
      <w:r>
        <w:rPr>
          <w:rFonts w:hint="eastAsia" w:ascii="仿宋" w:hAnsi="仿宋" w:eastAsia="仿宋" w:cs="仿宋"/>
          <w:b/>
          <w:bCs w:val="0"/>
          <w:color w:val="auto"/>
          <w:sz w:val="24"/>
          <w:szCs w:val="24"/>
        </w:rPr>
        <w:t>、不可抗力事件处理</w:t>
      </w:r>
    </w:p>
    <w:p>
      <w:pPr>
        <w:pStyle w:val="43"/>
        <w:keepNext w:val="0"/>
        <w:keepLines w:val="0"/>
        <w:pageBreakBefore w:val="0"/>
        <w:widowControl w:val="0"/>
        <w:kinsoku/>
        <w:wordWrap/>
        <w:overflowPunct/>
        <w:topLinePunct w:val="0"/>
        <w:autoSpaceDE/>
        <w:autoSpaceDN/>
        <w:bidi w:val="0"/>
        <w:adjustRightInd/>
        <w:snapToGrid w:val="0"/>
        <w:spacing w:line="360" w:lineRule="auto"/>
        <w:ind w:leftChars="0"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在合同有效期内，任何一方因不可抗力事件导致不能履行合同，则合同履行期可延长，其延长期与不可抗力影响期相同。</w:t>
      </w:r>
    </w:p>
    <w:p>
      <w:pPr>
        <w:pStyle w:val="43"/>
        <w:keepNext w:val="0"/>
        <w:keepLines w:val="0"/>
        <w:pageBreakBefore w:val="0"/>
        <w:widowControl w:val="0"/>
        <w:kinsoku/>
        <w:wordWrap/>
        <w:overflowPunct/>
        <w:topLinePunct w:val="0"/>
        <w:autoSpaceDE/>
        <w:autoSpaceDN/>
        <w:bidi w:val="0"/>
        <w:adjustRightInd/>
        <w:snapToGrid w:val="0"/>
        <w:spacing w:line="360" w:lineRule="auto"/>
        <w:ind w:leftChars="0"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不可抗力事件发生后，应立即通知对方，并寄送有关权威机构出具的证明。</w:t>
      </w:r>
    </w:p>
    <w:p>
      <w:pPr>
        <w:pStyle w:val="43"/>
        <w:keepNext w:val="0"/>
        <w:keepLines w:val="0"/>
        <w:pageBreakBefore w:val="0"/>
        <w:widowControl w:val="0"/>
        <w:kinsoku/>
        <w:wordWrap/>
        <w:overflowPunct/>
        <w:topLinePunct w:val="0"/>
        <w:autoSpaceDE/>
        <w:autoSpaceDN/>
        <w:bidi w:val="0"/>
        <w:adjustRightInd/>
        <w:snapToGrid w:val="0"/>
        <w:spacing w:line="360" w:lineRule="auto"/>
        <w:ind w:leftChars="0"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不可抗力事件延续120天以上，</w:t>
      </w:r>
      <w:r>
        <w:rPr>
          <w:rFonts w:hint="eastAsia" w:ascii="仿宋" w:hAnsi="仿宋" w:eastAsia="仿宋" w:cs="仿宋"/>
          <w:color w:val="auto"/>
          <w:sz w:val="24"/>
          <w:szCs w:val="24"/>
          <w:lang w:val="en-US" w:eastAsia="zh-CN"/>
        </w:rPr>
        <w:t>三</w:t>
      </w:r>
      <w:r>
        <w:rPr>
          <w:rFonts w:hint="eastAsia" w:ascii="仿宋" w:hAnsi="仿宋" w:eastAsia="仿宋" w:cs="仿宋"/>
          <w:color w:val="auto"/>
          <w:sz w:val="24"/>
          <w:szCs w:val="24"/>
        </w:rPr>
        <w:t>方应通过友好协商，确定是否继续履行合同。</w:t>
      </w:r>
    </w:p>
    <w:p>
      <w:pPr>
        <w:pStyle w:val="43"/>
        <w:keepNext w:val="0"/>
        <w:keepLines w:val="0"/>
        <w:pageBreakBefore w:val="0"/>
        <w:widowControl w:val="0"/>
        <w:kinsoku/>
        <w:wordWrap/>
        <w:overflowPunct/>
        <w:topLinePunct w:val="0"/>
        <w:autoSpaceDE/>
        <w:autoSpaceDN/>
        <w:bidi w:val="0"/>
        <w:adjustRightInd/>
        <w:snapToGrid w:val="0"/>
        <w:spacing w:line="360" w:lineRule="auto"/>
        <w:ind w:leftChars="0"/>
        <w:jc w:val="left"/>
        <w:textAlignment w:val="auto"/>
        <w:rPr>
          <w:rFonts w:hint="eastAsia" w:ascii="仿宋" w:hAnsi="仿宋" w:eastAsia="仿宋" w:cs="仿宋"/>
          <w:b/>
          <w:bCs w:val="0"/>
          <w:color w:val="auto"/>
          <w:sz w:val="24"/>
          <w:szCs w:val="24"/>
        </w:rPr>
      </w:pPr>
      <w:r>
        <w:rPr>
          <w:rFonts w:hint="eastAsia" w:ascii="仿宋" w:hAnsi="仿宋" w:eastAsia="仿宋" w:cs="仿宋"/>
          <w:b/>
          <w:bCs w:val="0"/>
          <w:color w:val="auto"/>
          <w:sz w:val="24"/>
          <w:szCs w:val="24"/>
        </w:rPr>
        <w:t>十</w:t>
      </w:r>
      <w:r>
        <w:rPr>
          <w:rFonts w:hint="eastAsia" w:ascii="仿宋" w:hAnsi="仿宋" w:eastAsia="仿宋" w:cs="仿宋"/>
          <w:b/>
          <w:bCs w:val="0"/>
          <w:color w:val="auto"/>
          <w:sz w:val="24"/>
          <w:szCs w:val="24"/>
          <w:lang w:val="en-US" w:eastAsia="zh-CN"/>
        </w:rPr>
        <w:t>二</w:t>
      </w:r>
      <w:r>
        <w:rPr>
          <w:rFonts w:hint="eastAsia" w:ascii="仿宋" w:hAnsi="仿宋" w:eastAsia="仿宋" w:cs="仿宋"/>
          <w:b/>
          <w:bCs w:val="0"/>
          <w:color w:val="auto"/>
          <w:sz w:val="24"/>
          <w:szCs w:val="24"/>
        </w:rPr>
        <w:t>、诉讼</w:t>
      </w:r>
    </w:p>
    <w:p>
      <w:pPr>
        <w:pStyle w:val="43"/>
        <w:keepNext w:val="0"/>
        <w:keepLines w:val="0"/>
        <w:pageBreakBefore w:val="0"/>
        <w:widowControl w:val="0"/>
        <w:kinsoku/>
        <w:wordWrap/>
        <w:overflowPunct/>
        <w:topLinePunct w:val="0"/>
        <w:autoSpaceDE/>
        <w:autoSpaceDN/>
        <w:bidi w:val="0"/>
        <w:adjustRightInd/>
        <w:snapToGrid w:val="0"/>
        <w:spacing w:line="360" w:lineRule="auto"/>
        <w:ind w:leftChars="0"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三</w:t>
      </w:r>
      <w:r>
        <w:rPr>
          <w:rFonts w:hint="eastAsia" w:ascii="仿宋" w:hAnsi="仿宋" w:eastAsia="仿宋" w:cs="仿宋"/>
          <w:color w:val="auto"/>
          <w:sz w:val="24"/>
          <w:szCs w:val="24"/>
        </w:rPr>
        <w:t>方在执行合同中所发生的一切争议，应通过协商解决。如协商不成，可向甲方所在地提起仲裁或法院起诉。</w:t>
      </w:r>
    </w:p>
    <w:p>
      <w:pPr>
        <w:pStyle w:val="43"/>
        <w:keepNext w:val="0"/>
        <w:keepLines w:val="0"/>
        <w:pageBreakBefore w:val="0"/>
        <w:widowControl w:val="0"/>
        <w:kinsoku/>
        <w:wordWrap/>
        <w:overflowPunct/>
        <w:topLinePunct w:val="0"/>
        <w:autoSpaceDE/>
        <w:autoSpaceDN/>
        <w:bidi w:val="0"/>
        <w:adjustRightInd/>
        <w:snapToGrid w:val="0"/>
        <w:spacing w:line="360" w:lineRule="auto"/>
        <w:ind w:leftChars="0"/>
        <w:jc w:val="left"/>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十</w:t>
      </w:r>
      <w:r>
        <w:rPr>
          <w:rFonts w:hint="eastAsia" w:ascii="仿宋" w:hAnsi="仿宋" w:eastAsia="仿宋" w:cs="仿宋"/>
          <w:b/>
          <w:bCs/>
          <w:color w:val="auto"/>
          <w:sz w:val="24"/>
          <w:szCs w:val="24"/>
          <w:lang w:val="en-US" w:eastAsia="zh-CN"/>
        </w:rPr>
        <w:t>三</w:t>
      </w:r>
      <w:r>
        <w:rPr>
          <w:rFonts w:hint="eastAsia" w:ascii="仿宋" w:hAnsi="仿宋" w:eastAsia="仿宋" w:cs="仿宋"/>
          <w:b/>
          <w:bCs/>
          <w:color w:val="auto"/>
          <w:sz w:val="24"/>
          <w:szCs w:val="24"/>
        </w:rPr>
        <w:t>、合同生效及其它</w:t>
      </w:r>
    </w:p>
    <w:p>
      <w:pPr>
        <w:pStyle w:val="16"/>
        <w:keepNext w:val="0"/>
        <w:keepLines w:val="0"/>
        <w:pageBreakBefore w:val="0"/>
        <w:widowControl w:val="0"/>
        <w:numPr>
          <w:ilvl w:val="0"/>
          <w:numId w:val="0"/>
        </w:numPr>
        <w:kinsoku/>
        <w:wordWrap/>
        <w:overflowPunct/>
        <w:topLinePunct w:val="0"/>
        <w:autoSpaceDE/>
        <w:autoSpaceDN/>
        <w:bidi w:val="0"/>
        <w:adjustRightInd/>
        <w:spacing w:line="360" w:lineRule="auto"/>
        <w:ind w:leftChars="0"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凡有关本合同或与本合同中发生的争端，</w:t>
      </w:r>
      <w:r>
        <w:rPr>
          <w:rFonts w:hint="eastAsia" w:ascii="仿宋" w:hAnsi="仿宋" w:eastAsia="仿宋" w:cs="仿宋"/>
          <w:color w:val="auto"/>
          <w:sz w:val="24"/>
          <w:szCs w:val="24"/>
          <w:lang w:val="en-US" w:eastAsia="zh-CN"/>
        </w:rPr>
        <w:t>三</w:t>
      </w:r>
      <w:r>
        <w:rPr>
          <w:rFonts w:hint="eastAsia" w:ascii="仿宋" w:hAnsi="仿宋" w:eastAsia="仿宋" w:cs="仿宋"/>
          <w:color w:val="auto"/>
          <w:sz w:val="24"/>
          <w:szCs w:val="24"/>
        </w:rPr>
        <w:t>方应通过友好协商，妥善解决。如通过协商仍不能解决时，可向绍兴市仲裁机构申请仲裁或向嵊州市人民法院起诉。</w:t>
      </w:r>
    </w:p>
    <w:p>
      <w:pPr>
        <w:pStyle w:val="16"/>
        <w:keepNext w:val="0"/>
        <w:keepLines w:val="0"/>
        <w:pageBreakBefore w:val="0"/>
        <w:widowControl w:val="0"/>
        <w:numPr>
          <w:ilvl w:val="0"/>
          <w:numId w:val="0"/>
        </w:numPr>
        <w:kinsoku/>
        <w:wordWrap/>
        <w:overflowPunct/>
        <w:topLinePunct w:val="0"/>
        <w:autoSpaceDE/>
        <w:autoSpaceDN/>
        <w:bidi w:val="0"/>
        <w:adjustRightInd/>
        <w:spacing w:line="360" w:lineRule="auto"/>
        <w:ind w:leftChars="0"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仲裁和诉讼费用除绍兴市仲裁机构和嵊州市人民法院另有裁决外，由败诉方承担。</w:t>
      </w:r>
    </w:p>
    <w:p>
      <w:pPr>
        <w:pStyle w:val="16"/>
        <w:keepNext w:val="0"/>
        <w:keepLines w:val="0"/>
        <w:pageBreakBefore w:val="0"/>
        <w:widowControl w:val="0"/>
        <w:numPr>
          <w:ilvl w:val="0"/>
          <w:numId w:val="0"/>
        </w:numPr>
        <w:kinsoku/>
        <w:wordWrap/>
        <w:overflowPunct/>
        <w:topLinePunct w:val="0"/>
        <w:autoSpaceDE/>
        <w:autoSpaceDN/>
        <w:bidi w:val="0"/>
        <w:adjustRightInd/>
        <w:spacing w:line="360" w:lineRule="auto"/>
        <w:ind w:leftChars="0"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在仲裁和诉讼期间，除正在进行裁定的部分外，本合同其他部分应继续执行。</w:t>
      </w:r>
    </w:p>
    <w:p>
      <w:pPr>
        <w:pStyle w:val="16"/>
        <w:keepNext w:val="0"/>
        <w:keepLines w:val="0"/>
        <w:pageBreakBefore w:val="0"/>
        <w:widowControl w:val="0"/>
        <w:numPr>
          <w:ilvl w:val="0"/>
          <w:numId w:val="0"/>
        </w:numPr>
        <w:kinsoku/>
        <w:wordWrap/>
        <w:overflowPunct/>
        <w:topLinePunct w:val="0"/>
        <w:autoSpaceDE/>
        <w:autoSpaceDN/>
        <w:bidi w:val="0"/>
        <w:adjustRightInd/>
        <w:spacing w:line="360" w:lineRule="auto"/>
        <w:ind w:leftChars="0"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合同应在</w:t>
      </w:r>
      <w:r>
        <w:rPr>
          <w:rFonts w:hint="eastAsia" w:ascii="仿宋" w:hAnsi="仿宋" w:eastAsia="仿宋" w:cs="仿宋"/>
          <w:color w:val="auto"/>
          <w:sz w:val="24"/>
          <w:szCs w:val="24"/>
          <w:lang w:val="en-US" w:eastAsia="zh-CN"/>
        </w:rPr>
        <w:t>三</w:t>
      </w:r>
      <w:r>
        <w:rPr>
          <w:rFonts w:hint="eastAsia" w:ascii="仿宋" w:hAnsi="仿宋" w:eastAsia="仿宋" w:cs="仿宋"/>
          <w:color w:val="auto"/>
          <w:sz w:val="24"/>
          <w:szCs w:val="24"/>
        </w:rPr>
        <w:t>方签字盖章后开始生效。</w:t>
      </w:r>
    </w:p>
    <w:p>
      <w:pPr>
        <w:pStyle w:val="16"/>
        <w:keepNext w:val="0"/>
        <w:keepLines w:val="0"/>
        <w:pageBreakBefore w:val="0"/>
        <w:widowControl w:val="0"/>
        <w:numPr>
          <w:ilvl w:val="0"/>
          <w:numId w:val="0"/>
        </w:numPr>
        <w:kinsoku/>
        <w:wordWrap/>
        <w:overflowPunct/>
        <w:topLinePunct w:val="0"/>
        <w:autoSpaceDE/>
        <w:autoSpaceDN/>
        <w:bidi w:val="0"/>
        <w:adjustRightInd/>
        <w:spacing w:line="360" w:lineRule="auto"/>
        <w:ind w:leftChars="0"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本合同未尽事宜，遵照《民法典》有关条文执行。</w:t>
      </w:r>
    </w:p>
    <w:p>
      <w:pPr>
        <w:keepNext w:val="0"/>
        <w:keepLines w:val="0"/>
        <w:pageBreakBefore w:val="0"/>
        <w:widowControl w:val="0"/>
        <w:kinsoku/>
        <w:wordWrap/>
        <w:overflowPunct/>
        <w:topLinePunct w:val="0"/>
        <w:autoSpaceDE/>
        <w:autoSpaceDN/>
        <w:bidi w:val="0"/>
        <w:adjustRightInd/>
        <w:spacing w:line="360" w:lineRule="auto"/>
        <w:ind w:leftChars="0" w:firstLine="420" w:firstLineChars="175"/>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本合同正本一式</w:t>
      </w:r>
      <w:r>
        <w:rPr>
          <w:rFonts w:hint="eastAsia" w:ascii="仿宋" w:hAnsi="仿宋" w:eastAsia="仿宋" w:cs="仿宋"/>
          <w:color w:val="auto"/>
          <w:sz w:val="24"/>
          <w:szCs w:val="24"/>
          <w:lang w:eastAsia="zh-CN"/>
        </w:rPr>
        <w:t>柒</w:t>
      </w:r>
      <w:r>
        <w:rPr>
          <w:rFonts w:hint="eastAsia" w:ascii="仿宋" w:hAnsi="仿宋" w:eastAsia="仿宋" w:cs="仿宋"/>
          <w:color w:val="auto"/>
          <w:sz w:val="24"/>
          <w:szCs w:val="24"/>
        </w:rPr>
        <w:t>份，具有同等法律效力，甲</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乙</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丙三</w:t>
      </w:r>
      <w:r>
        <w:rPr>
          <w:rFonts w:hint="eastAsia" w:ascii="仿宋" w:hAnsi="仿宋" w:eastAsia="仿宋" w:cs="仿宋"/>
          <w:color w:val="auto"/>
          <w:sz w:val="24"/>
          <w:szCs w:val="24"/>
        </w:rPr>
        <w:t>方各执</w:t>
      </w:r>
      <w:r>
        <w:rPr>
          <w:rFonts w:hint="eastAsia" w:ascii="仿宋" w:hAnsi="仿宋" w:eastAsia="仿宋" w:cs="仿宋"/>
          <w:color w:val="auto"/>
          <w:sz w:val="24"/>
          <w:szCs w:val="24"/>
          <w:lang w:eastAsia="zh-CN"/>
        </w:rPr>
        <w:t>贰</w:t>
      </w:r>
      <w:r>
        <w:rPr>
          <w:rFonts w:hint="eastAsia" w:ascii="仿宋" w:hAnsi="仿宋" w:eastAsia="仿宋" w:cs="仿宋"/>
          <w:color w:val="auto"/>
          <w:sz w:val="24"/>
          <w:szCs w:val="24"/>
        </w:rPr>
        <w:t>份；代理机构备案</w:t>
      </w:r>
      <w:r>
        <w:rPr>
          <w:rFonts w:hint="eastAsia" w:ascii="仿宋" w:hAnsi="仿宋" w:eastAsia="仿宋" w:cs="仿宋"/>
          <w:color w:val="auto"/>
          <w:sz w:val="24"/>
          <w:szCs w:val="24"/>
          <w:lang w:eastAsia="zh-CN"/>
        </w:rPr>
        <w:t>壹</w:t>
      </w:r>
      <w:r>
        <w:rPr>
          <w:rFonts w:hint="eastAsia" w:ascii="仿宋" w:hAnsi="仿宋" w:eastAsia="仿宋" w:cs="仿宋"/>
          <w:color w:val="auto"/>
          <w:sz w:val="24"/>
          <w:szCs w:val="24"/>
        </w:rPr>
        <w:t>份。</w:t>
      </w:r>
    </w:p>
    <w:p>
      <w:pPr>
        <w:rPr>
          <w:rFonts w:hint="eastAsia" w:ascii="仿宋" w:hAnsi="仿宋" w:eastAsia="仿宋" w:cs="仿宋"/>
          <w:color w:val="auto"/>
          <w:sz w:val="24"/>
          <w:szCs w:val="24"/>
        </w:rPr>
      </w:pPr>
    </w:p>
    <w:p>
      <w:pPr>
        <w:rPr>
          <w:rFonts w:hint="eastAsia" w:ascii="仿宋" w:hAnsi="仿宋" w:eastAsia="仿宋" w:cs="仿宋"/>
          <w:color w:val="auto"/>
          <w:sz w:val="24"/>
          <w:szCs w:val="24"/>
        </w:rPr>
      </w:pPr>
    </w:p>
    <w:p>
      <w:pPr>
        <w:rPr>
          <w:rFonts w:hint="eastAsia" w:ascii="仿宋" w:hAnsi="仿宋" w:eastAsia="仿宋" w:cs="仿宋"/>
          <w:color w:val="auto"/>
          <w:sz w:val="24"/>
          <w:szCs w:val="24"/>
        </w:rPr>
      </w:pPr>
    </w:p>
    <w:p>
      <w:pPr>
        <w:pStyle w:val="22"/>
        <w:spacing w:line="460" w:lineRule="exact"/>
        <w:ind w:firstLine="420"/>
        <w:contextualSpacing/>
        <w:rPr>
          <w:rFonts w:hint="eastAsia" w:ascii="仿宋" w:hAnsi="仿宋" w:eastAsia="仿宋" w:cs="仿宋"/>
          <w:color w:val="auto"/>
          <w:sz w:val="24"/>
          <w:szCs w:val="24"/>
          <w:lang w:eastAsia="zh-CN"/>
        </w:rPr>
      </w:pPr>
      <w:r>
        <w:rPr>
          <w:rFonts w:hint="eastAsia" w:ascii="仿宋" w:hAnsi="仿宋" w:eastAsia="仿宋" w:cs="仿宋"/>
          <w:color w:val="auto"/>
          <w:sz w:val="24"/>
          <w:szCs w:val="24"/>
        </w:rPr>
        <w:t xml:space="preserve">甲方：                                   乙方： </w:t>
      </w:r>
      <w:r>
        <w:rPr>
          <w:rFonts w:hint="eastAsia" w:ascii="仿宋" w:hAnsi="仿宋" w:eastAsia="仿宋" w:cs="仿宋"/>
          <w:color w:val="auto"/>
          <w:sz w:val="24"/>
          <w:szCs w:val="24"/>
          <w:lang w:val="en-US" w:eastAsia="zh-CN"/>
        </w:rPr>
        <w:t xml:space="preserve">                                 </w:t>
      </w:r>
    </w:p>
    <w:p>
      <w:pPr>
        <w:pStyle w:val="22"/>
        <w:spacing w:line="460" w:lineRule="exact"/>
        <w:ind w:firstLine="420"/>
        <w:contextualSpacing/>
        <w:rPr>
          <w:rFonts w:hint="eastAsia" w:ascii="仿宋" w:hAnsi="仿宋" w:eastAsia="仿宋" w:cs="仿宋"/>
          <w:color w:val="auto"/>
          <w:sz w:val="24"/>
          <w:szCs w:val="24"/>
        </w:rPr>
      </w:pPr>
      <w:r>
        <w:rPr>
          <w:rFonts w:hint="eastAsia" w:ascii="仿宋" w:hAnsi="仿宋" w:eastAsia="仿宋" w:cs="仿宋"/>
          <w:color w:val="auto"/>
          <w:sz w:val="24"/>
          <w:szCs w:val="24"/>
        </w:rPr>
        <w:t xml:space="preserve">地址：                                   地址： </w:t>
      </w:r>
    </w:p>
    <w:p>
      <w:pPr>
        <w:pStyle w:val="22"/>
        <w:spacing w:line="460" w:lineRule="exact"/>
        <w:ind w:firstLine="420"/>
        <w:contextualSpacing/>
        <w:rPr>
          <w:rFonts w:hint="eastAsia" w:ascii="仿宋" w:hAnsi="仿宋" w:eastAsia="仿宋" w:cs="仿宋"/>
          <w:color w:val="auto"/>
          <w:sz w:val="24"/>
          <w:szCs w:val="24"/>
        </w:rPr>
      </w:pPr>
      <w:r>
        <w:rPr>
          <w:rFonts w:hint="eastAsia" w:ascii="仿宋" w:hAnsi="仿宋" w:eastAsia="仿宋" w:cs="仿宋"/>
          <w:color w:val="auto"/>
          <w:sz w:val="24"/>
          <w:szCs w:val="24"/>
        </w:rPr>
        <w:t>法定（授权）代表人：                     法定（授权）代表人：</w:t>
      </w:r>
    </w:p>
    <w:p>
      <w:pPr>
        <w:pStyle w:val="22"/>
        <w:spacing w:line="460" w:lineRule="exact"/>
        <w:ind w:firstLine="420"/>
        <w:contextualSpacing/>
        <w:rPr>
          <w:rFonts w:hint="eastAsia" w:ascii="仿宋" w:hAnsi="仿宋" w:eastAsia="仿宋" w:cs="仿宋"/>
          <w:color w:val="auto"/>
          <w:sz w:val="24"/>
          <w:szCs w:val="24"/>
        </w:rPr>
      </w:pPr>
      <w:r>
        <w:rPr>
          <w:rFonts w:hint="eastAsia" w:ascii="仿宋" w:hAnsi="仿宋" w:eastAsia="仿宋" w:cs="仿宋"/>
          <w:color w:val="auto"/>
          <w:sz w:val="24"/>
          <w:szCs w:val="24"/>
        </w:rPr>
        <w:t xml:space="preserve">电    话：                               电    话： </w:t>
      </w:r>
    </w:p>
    <w:p>
      <w:pPr>
        <w:pStyle w:val="22"/>
        <w:spacing w:line="460" w:lineRule="exact"/>
        <w:ind w:firstLine="420"/>
        <w:contextualSpacing/>
        <w:rPr>
          <w:rFonts w:hint="eastAsia" w:ascii="仿宋" w:hAnsi="仿宋" w:eastAsia="仿宋" w:cs="仿宋"/>
          <w:color w:val="auto"/>
          <w:sz w:val="24"/>
          <w:szCs w:val="24"/>
        </w:rPr>
      </w:pPr>
      <w:r>
        <w:rPr>
          <w:rFonts w:hint="eastAsia" w:ascii="仿宋" w:hAnsi="仿宋" w:eastAsia="仿宋" w:cs="仿宋"/>
          <w:color w:val="auto"/>
          <w:sz w:val="24"/>
          <w:szCs w:val="24"/>
        </w:rPr>
        <w:t xml:space="preserve">开户银行：                               开户银行：       </w:t>
      </w:r>
    </w:p>
    <w:p>
      <w:pPr>
        <w:pStyle w:val="22"/>
        <w:spacing w:line="460" w:lineRule="exact"/>
        <w:ind w:firstLine="420"/>
        <w:rPr>
          <w:rFonts w:hint="eastAsia" w:ascii="仿宋" w:hAnsi="仿宋" w:eastAsia="仿宋" w:cs="仿宋"/>
          <w:color w:val="auto"/>
          <w:sz w:val="24"/>
          <w:szCs w:val="24"/>
        </w:rPr>
      </w:pPr>
      <w:r>
        <w:rPr>
          <w:rFonts w:hint="eastAsia" w:ascii="仿宋" w:hAnsi="仿宋" w:eastAsia="仿宋" w:cs="仿宋"/>
          <w:color w:val="auto"/>
          <w:sz w:val="24"/>
          <w:szCs w:val="24"/>
        </w:rPr>
        <w:t>账    号：                               账    号：</w:t>
      </w:r>
    </w:p>
    <w:p>
      <w:pPr>
        <w:pStyle w:val="22"/>
        <w:spacing w:line="460" w:lineRule="exact"/>
        <w:ind w:firstLine="420"/>
        <w:rPr>
          <w:rFonts w:hint="eastAsia" w:ascii="仿宋" w:hAnsi="仿宋" w:eastAsia="仿宋" w:cs="仿宋"/>
          <w:color w:val="auto"/>
          <w:sz w:val="24"/>
          <w:szCs w:val="24"/>
        </w:rPr>
      </w:pPr>
      <w:r>
        <w:rPr>
          <w:rFonts w:hint="eastAsia" w:ascii="仿宋" w:hAnsi="仿宋" w:eastAsia="仿宋" w:cs="仿宋"/>
          <w:color w:val="auto"/>
          <w:sz w:val="24"/>
          <w:szCs w:val="24"/>
        </w:rPr>
        <w:t>日</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期：</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 xml:space="preserve">年  月  日               </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日</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期：</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年  月  日</w:t>
      </w:r>
    </w:p>
    <w:p>
      <w:pPr>
        <w:pStyle w:val="22"/>
        <w:spacing w:line="460" w:lineRule="exact"/>
        <w:ind w:firstLine="420"/>
        <w:rPr>
          <w:rFonts w:hint="eastAsia" w:ascii="仿宋" w:hAnsi="仿宋" w:eastAsia="仿宋" w:cs="仿宋"/>
          <w:color w:val="auto"/>
          <w:sz w:val="24"/>
          <w:szCs w:val="24"/>
        </w:rPr>
      </w:pPr>
    </w:p>
    <w:p>
      <w:pPr>
        <w:pStyle w:val="22"/>
        <w:spacing w:line="460" w:lineRule="exact"/>
        <w:ind w:firstLine="420"/>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丙方：</w:t>
      </w:r>
    </w:p>
    <w:p>
      <w:pPr>
        <w:pStyle w:val="22"/>
        <w:spacing w:line="460" w:lineRule="exact"/>
        <w:ind w:firstLine="420"/>
        <w:rPr>
          <w:rFonts w:hint="eastAsia" w:ascii="仿宋" w:hAnsi="仿宋" w:eastAsia="仿宋" w:cs="仿宋"/>
          <w:color w:val="auto"/>
          <w:sz w:val="24"/>
          <w:szCs w:val="24"/>
        </w:rPr>
      </w:pPr>
      <w:r>
        <w:rPr>
          <w:rFonts w:hint="eastAsia" w:ascii="仿宋" w:hAnsi="仿宋" w:eastAsia="仿宋" w:cs="仿宋"/>
          <w:color w:val="auto"/>
          <w:sz w:val="24"/>
          <w:szCs w:val="24"/>
        </w:rPr>
        <w:t>地址：</w:t>
      </w:r>
    </w:p>
    <w:p>
      <w:pPr>
        <w:pStyle w:val="22"/>
        <w:spacing w:line="460" w:lineRule="exact"/>
        <w:ind w:firstLine="420"/>
        <w:rPr>
          <w:rFonts w:hint="eastAsia" w:ascii="仿宋" w:hAnsi="仿宋" w:eastAsia="仿宋" w:cs="仿宋"/>
          <w:color w:val="auto"/>
          <w:sz w:val="24"/>
          <w:szCs w:val="24"/>
        </w:rPr>
      </w:pPr>
      <w:r>
        <w:rPr>
          <w:rFonts w:hint="eastAsia" w:ascii="仿宋" w:hAnsi="仿宋" w:eastAsia="仿宋" w:cs="仿宋"/>
          <w:color w:val="auto"/>
          <w:sz w:val="24"/>
          <w:szCs w:val="24"/>
        </w:rPr>
        <w:t>法定（授权）代表人：</w:t>
      </w:r>
    </w:p>
    <w:p>
      <w:pPr>
        <w:pStyle w:val="22"/>
        <w:spacing w:line="460" w:lineRule="exact"/>
        <w:ind w:firstLine="420"/>
        <w:rPr>
          <w:rFonts w:hint="eastAsia" w:ascii="仿宋" w:hAnsi="仿宋" w:eastAsia="仿宋" w:cs="仿宋"/>
          <w:color w:val="auto"/>
          <w:sz w:val="24"/>
          <w:szCs w:val="24"/>
        </w:rPr>
      </w:pPr>
      <w:r>
        <w:rPr>
          <w:rFonts w:hint="eastAsia" w:ascii="仿宋" w:hAnsi="仿宋" w:eastAsia="仿宋" w:cs="仿宋"/>
          <w:color w:val="auto"/>
          <w:sz w:val="24"/>
          <w:szCs w:val="24"/>
        </w:rPr>
        <w:t>电    话：</w:t>
      </w:r>
    </w:p>
    <w:p>
      <w:pPr>
        <w:spacing w:after="160" w:line="400" w:lineRule="exact"/>
        <w:ind w:firstLine="480" w:firstLineChars="200"/>
        <w:jc w:val="left"/>
        <w:rPr>
          <w:rFonts w:hint="eastAsia" w:ascii="仿宋" w:hAnsi="仿宋" w:eastAsia="仿宋" w:cs="仿宋"/>
          <w:color w:val="auto"/>
          <w:sz w:val="24"/>
          <w:szCs w:val="24"/>
        </w:rPr>
      </w:pPr>
      <w:r>
        <w:rPr>
          <w:rFonts w:hint="eastAsia" w:ascii="仿宋" w:hAnsi="仿宋" w:eastAsia="仿宋" w:cs="仿宋"/>
          <w:color w:val="auto"/>
          <w:sz w:val="24"/>
          <w:szCs w:val="24"/>
        </w:rPr>
        <w:t>日</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期：</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年  月  日</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       </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b/>
          <w:bCs/>
          <w:color w:val="auto"/>
          <w:sz w:val="24"/>
          <w:szCs w:val="24"/>
        </w:rPr>
      </w:pPr>
      <w:r>
        <w:rPr>
          <w:rFonts w:hint="eastAsia" w:ascii="仿宋" w:hAnsi="仿宋" w:eastAsia="仿宋" w:cs="仿宋"/>
          <w:color w:val="auto"/>
          <w:sz w:val="24"/>
          <w:szCs w:val="24"/>
        </w:rPr>
        <w:t xml:space="preserve"> </w:t>
      </w:r>
      <w:r>
        <w:rPr>
          <w:rFonts w:hint="eastAsia" w:ascii="仿宋" w:hAnsi="仿宋" w:eastAsia="仿宋" w:cs="仿宋"/>
          <w:b/>
          <w:bCs/>
          <w:color w:val="auto"/>
          <w:sz w:val="24"/>
          <w:szCs w:val="24"/>
        </w:rPr>
        <w:t>注：具体以</w:t>
      </w:r>
      <w:r>
        <w:rPr>
          <w:rFonts w:hint="eastAsia" w:ascii="仿宋" w:hAnsi="仿宋" w:eastAsia="仿宋" w:cs="仿宋"/>
          <w:b/>
          <w:bCs/>
          <w:color w:val="auto"/>
          <w:sz w:val="24"/>
          <w:szCs w:val="24"/>
          <w:lang w:val="en-US" w:eastAsia="zh-CN"/>
        </w:rPr>
        <w:t>三</w:t>
      </w:r>
      <w:r>
        <w:rPr>
          <w:rFonts w:hint="eastAsia" w:ascii="仿宋" w:hAnsi="仿宋" w:eastAsia="仿宋" w:cs="仿宋"/>
          <w:b/>
          <w:bCs/>
          <w:color w:val="auto"/>
          <w:sz w:val="24"/>
          <w:szCs w:val="24"/>
        </w:rPr>
        <w:t>方签定的正式合同为准，合同内容不得违背本招标文件实质性要求。</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Style w:val="486"/>
          <w:rFonts w:hint="eastAsia" w:ascii="仿宋" w:hAnsi="仿宋" w:eastAsia="仿宋" w:cs="仿宋"/>
          <w:color w:val="auto"/>
          <w:sz w:val="24"/>
          <w:szCs w:val="24"/>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Style w:val="486"/>
          <w:rFonts w:hint="eastAsia" w:ascii="仿宋" w:hAnsi="仿宋" w:eastAsia="仿宋" w:cs="仿宋"/>
          <w:color w:val="auto"/>
          <w:sz w:val="24"/>
          <w:szCs w:val="24"/>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Style w:val="486"/>
          <w:rFonts w:hint="eastAsia" w:ascii="仿宋" w:hAnsi="仿宋" w:eastAsia="仿宋" w:cs="仿宋"/>
          <w:color w:val="auto"/>
          <w:sz w:val="24"/>
          <w:szCs w:val="24"/>
        </w:rPr>
      </w:pPr>
    </w:p>
    <w:p>
      <w:pPr>
        <w:rPr>
          <w:rStyle w:val="486"/>
          <w:rFonts w:hint="eastAsia" w:ascii="仿宋" w:hAnsi="仿宋" w:eastAsia="仿宋" w:cs="仿宋"/>
          <w:b/>
          <w:bCs/>
          <w:color w:val="auto"/>
          <w:sz w:val="32"/>
          <w:szCs w:val="32"/>
        </w:rPr>
      </w:pPr>
      <w:r>
        <w:rPr>
          <w:rStyle w:val="486"/>
          <w:rFonts w:hint="eastAsia" w:ascii="仿宋" w:hAnsi="仿宋" w:eastAsia="仿宋" w:cs="仿宋"/>
          <w:b/>
          <w:bCs/>
          <w:color w:val="auto"/>
          <w:sz w:val="32"/>
          <w:szCs w:val="32"/>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Style w:val="486"/>
          <w:rFonts w:hint="eastAsia" w:ascii="仿宋" w:hAnsi="仿宋" w:eastAsia="仿宋" w:cs="仿宋"/>
          <w:b/>
          <w:bCs/>
          <w:color w:val="auto"/>
          <w:sz w:val="36"/>
          <w:szCs w:val="36"/>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Style w:val="486"/>
          <w:rFonts w:hint="eastAsia" w:ascii="仿宋" w:hAnsi="仿宋" w:eastAsia="仿宋" w:cs="仿宋"/>
          <w:b/>
          <w:bCs/>
          <w:color w:val="auto"/>
          <w:sz w:val="32"/>
          <w:szCs w:val="32"/>
        </w:rPr>
      </w:pPr>
      <w:r>
        <w:rPr>
          <w:rStyle w:val="486"/>
          <w:rFonts w:hint="eastAsia" w:ascii="仿宋" w:hAnsi="仿宋" w:eastAsia="仿宋" w:cs="仿宋"/>
          <w:b/>
          <w:bCs/>
          <w:color w:val="auto"/>
          <w:sz w:val="36"/>
          <w:szCs w:val="36"/>
          <w:lang w:eastAsia="zh-CN"/>
        </w:rPr>
        <w:t>第六部分</w:t>
      </w:r>
      <w:r>
        <w:rPr>
          <w:rStyle w:val="486"/>
          <w:rFonts w:hint="eastAsia" w:ascii="仿宋" w:hAnsi="仿宋" w:eastAsia="仿宋" w:cs="仿宋"/>
          <w:b/>
          <w:bCs/>
          <w:color w:val="auto"/>
          <w:sz w:val="36"/>
          <w:szCs w:val="36"/>
          <w:lang w:val="en-US" w:eastAsia="zh-CN"/>
        </w:rPr>
        <w:t xml:space="preserve">  </w:t>
      </w:r>
      <w:r>
        <w:rPr>
          <w:rStyle w:val="486"/>
          <w:rFonts w:hint="eastAsia" w:ascii="仿宋" w:hAnsi="仿宋" w:eastAsia="仿宋" w:cs="仿宋"/>
          <w:b/>
          <w:bCs/>
          <w:color w:val="auto"/>
          <w:sz w:val="36"/>
          <w:szCs w:val="36"/>
        </w:rPr>
        <w:t>投标文件格式</w:t>
      </w:r>
      <w:r>
        <w:rPr>
          <w:rStyle w:val="486"/>
          <w:rFonts w:hint="eastAsia" w:ascii="仿宋" w:hAnsi="仿宋" w:eastAsia="仿宋" w:cs="仿宋"/>
          <w:b/>
          <w:bCs/>
          <w:color w:val="auto"/>
          <w:sz w:val="36"/>
          <w:szCs w:val="36"/>
          <w:lang w:val="en-US" w:eastAsia="zh-CN"/>
        </w:rPr>
        <w:t>及其附件</w:t>
      </w:r>
      <w:r>
        <w:rPr>
          <w:rStyle w:val="486"/>
          <w:rFonts w:hint="eastAsia" w:ascii="仿宋" w:hAnsi="仿宋" w:eastAsia="仿宋" w:cs="仿宋"/>
          <w:b/>
          <w:bCs/>
          <w:color w:val="auto"/>
          <w:sz w:val="36"/>
          <w:szCs w:val="36"/>
        </w:rPr>
        <w:t>格式</w:t>
      </w:r>
    </w:p>
    <w:p>
      <w:pPr>
        <w:pStyle w:val="43"/>
        <w:rPr>
          <w:rStyle w:val="486"/>
          <w:rFonts w:hint="eastAsia" w:ascii="仿宋" w:hAnsi="仿宋" w:eastAsia="仿宋" w:cs="仿宋"/>
          <w:b/>
          <w:bCs/>
          <w:color w:val="auto"/>
          <w:sz w:val="32"/>
          <w:szCs w:val="32"/>
          <w:lang w:val="en-US" w:eastAsia="zh-CN"/>
        </w:rPr>
      </w:pPr>
    </w:p>
    <w:p>
      <w:pPr>
        <w:pStyle w:val="43"/>
        <w:rPr>
          <w:rStyle w:val="486"/>
          <w:rFonts w:hint="eastAsia" w:ascii="仿宋" w:hAnsi="仿宋" w:eastAsia="仿宋" w:cs="仿宋"/>
          <w:b/>
          <w:bCs/>
          <w:color w:val="auto"/>
          <w:sz w:val="32"/>
          <w:szCs w:val="32"/>
          <w:lang w:val="en-US" w:eastAsia="zh-CN"/>
        </w:rPr>
      </w:pPr>
    </w:p>
    <w:p>
      <w:pPr>
        <w:pStyle w:val="43"/>
        <w:rPr>
          <w:rFonts w:hint="eastAsia" w:ascii="仿宋" w:hAnsi="仿宋" w:eastAsia="仿宋" w:cs="仿宋"/>
          <w:b/>
          <w:bCs/>
          <w:color w:val="auto"/>
          <w:kern w:val="2"/>
          <w:sz w:val="36"/>
          <w:szCs w:val="36"/>
          <w:lang w:val="en-US" w:eastAsia="zh-CN" w:bidi="ar-SA"/>
        </w:rPr>
      </w:pPr>
    </w:p>
    <w:p>
      <w:pPr>
        <w:pStyle w:val="43"/>
        <w:rPr>
          <w:rFonts w:hint="eastAsia" w:ascii="仿宋" w:hAnsi="仿宋" w:eastAsia="仿宋" w:cs="仿宋"/>
          <w:color w:val="auto"/>
          <w:sz w:val="44"/>
          <w:szCs w:val="44"/>
        </w:rPr>
      </w:pPr>
      <w:r>
        <w:rPr>
          <w:rFonts w:hint="eastAsia" w:ascii="仿宋" w:hAnsi="仿宋" w:eastAsia="仿宋" w:cs="仿宋"/>
          <w:b/>
          <w:bCs/>
          <w:color w:val="auto"/>
          <w:kern w:val="2"/>
          <w:sz w:val="36"/>
          <w:szCs w:val="36"/>
          <w:lang w:val="en-US" w:eastAsia="zh-CN" w:bidi="ar-SA"/>
        </w:rPr>
        <w:t>投标文件封面</w:t>
      </w:r>
      <w:r>
        <w:rPr>
          <w:rFonts w:hint="eastAsia" w:ascii="仿宋" w:hAnsi="仿宋" w:eastAsia="仿宋" w:cs="仿宋"/>
          <w:color w:val="auto"/>
          <w:sz w:val="24"/>
          <w:szCs w:val="22"/>
        </w:rPr>
        <w:t xml:space="preserve">                                              </w:t>
      </w:r>
      <w:r>
        <w:rPr>
          <w:rFonts w:hint="eastAsia" w:ascii="仿宋" w:hAnsi="仿宋" w:eastAsia="仿宋" w:cs="仿宋"/>
          <w:color w:val="auto"/>
          <w:sz w:val="24"/>
          <w:szCs w:val="22"/>
          <w:lang w:val="en-US" w:eastAsia="zh-CN"/>
        </w:rPr>
        <w:t xml:space="preserve">       </w:t>
      </w:r>
      <w:r>
        <w:rPr>
          <w:rFonts w:hint="eastAsia" w:ascii="仿宋" w:hAnsi="仿宋" w:eastAsia="仿宋" w:cs="仿宋"/>
          <w:color w:val="auto"/>
          <w:sz w:val="24"/>
          <w:szCs w:val="22"/>
        </w:rPr>
        <w:t xml:space="preserve">  </w:t>
      </w:r>
    </w:p>
    <w:p>
      <w:pPr>
        <w:rPr>
          <w:rFonts w:hint="eastAsia" w:ascii="仿宋" w:hAnsi="仿宋" w:eastAsia="仿宋" w:cs="仿宋"/>
          <w:color w:val="auto"/>
          <w:sz w:val="44"/>
          <w:szCs w:val="44"/>
        </w:rPr>
      </w:pPr>
    </w:p>
    <w:p>
      <w:pPr>
        <w:jc w:val="center"/>
        <w:rPr>
          <w:rFonts w:hint="eastAsia" w:ascii="仿宋" w:hAnsi="仿宋" w:eastAsia="仿宋" w:cs="仿宋"/>
          <w:color w:val="auto"/>
          <w:sz w:val="40"/>
          <w:szCs w:val="40"/>
          <w:lang w:val="en-US" w:eastAsia="zh-CN"/>
        </w:rPr>
      </w:pPr>
      <w:r>
        <w:rPr>
          <w:rFonts w:hint="eastAsia" w:ascii="仿宋" w:hAnsi="仿宋" w:eastAsia="仿宋" w:cs="仿宋"/>
          <w:color w:val="auto"/>
          <w:sz w:val="48"/>
          <w:szCs w:val="48"/>
          <w:lang w:val="en-US" w:eastAsia="zh-CN"/>
        </w:rPr>
        <w:t xml:space="preserve"> </w:t>
      </w:r>
      <w:r>
        <w:rPr>
          <w:rFonts w:hint="eastAsia" w:ascii="仿宋" w:hAnsi="仿宋" w:eastAsia="仿宋" w:cs="仿宋"/>
          <w:color w:val="auto"/>
          <w:sz w:val="40"/>
          <w:szCs w:val="40"/>
          <w:lang w:val="en-US" w:eastAsia="zh-CN"/>
        </w:rPr>
        <w:t>(项目名称)项目</w:t>
      </w:r>
    </w:p>
    <w:p>
      <w:pPr>
        <w:jc w:val="center"/>
        <w:rPr>
          <w:rFonts w:hint="eastAsia" w:ascii="仿宋" w:hAnsi="仿宋" w:eastAsia="仿宋" w:cs="仿宋"/>
          <w:color w:val="auto"/>
          <w:sz w:val="32"/>
          <w:szCs w:val="32"/>
          <w:lang w:val="en-US" w:eastAsia="zh-CN"/>
        </w:rPr>
      </w:pPr>
    </w:p>
    <w:p>
      <w:pPr>
        <w:jc w:val="center"/>
        <w:rPr>
          <w:rFonts w:hint="default" w:ascii="仿宋" w:hAnsi="仿宋" w:eastAsia="仿宋" w:cs="仿宋"/>
          <w:color w:val="auto"/>
          <w:sz w:val="36"/>
          <w:szCs w:val="36"/>
          <w:lang w:val="en-US" w:eastAsia="zh-CN"/>
        </w:rPr>
      </w:pPr>
      <w:r>
        <w:rPr>
          <w:rFonts w:hint="eastAsia" w:ascii="仿宋" w:hAnsi="仿宋" w:eastAsia="仿宋" w:cs="仿宋"/>
          <w:color w:val="auto"/>
          <w:sz w:val="32"/>
          <w:szCs w:val="32"/>
          <w:lang w:val="en-US" w:eastAsia="zh-CN"/>
        </w:rPr>
        <w:t>项目编号：ZJZL2025-007（2）</w:t>
      </w:r>
    </w:p>
    <w:p>
      <w:pPr>
        <w:spacing w:line="240" w:lineRule="auto"/>
        <w:jc w:val="center"/>
        <w:rPr>
          <w:rFonts w:hint="eastAsia" w:ascii="仿宋" w:hAnsi="仿宋" w:eastAsia="仿宋" w:cs="仿宋"/>
          <w:b/>
          <w:bCs/>
          <w:color w:val="auto"/>
          <w:sz w:val="48"/>
          <w:szCs w:val="48"/>
          <w:highlight w:val="none"/>
          <w:lang w:eastAsia="zh-CN"/>
        </w:rPr>
      </w:pPr>
    </w:p>
    <w:p>
      <w:pPr>
        <w:spacing w:line="240" w:lineRule="auto"/>
        <w:jc w:val="center"/>
        <w:rPr>
          <w:rFonts w:hint="eastAsia" w:ascii="仿宋" w:hAnsi="仿宋" w:eastAsia="仿宋" w:cs="仿宋"/>
          <w:b/>
          <w:bCs/>
          <w:color w:val="auto"/>
          <w:sz w:val="48"/>
          <w:szCs w:val="48"/>
          <w:highlight w:val="none"/>
          <w:lang w:eastAsia="zh-CN"/>
        </w:rPr>
      </w:pPr>
    </w:p>
    <w:p>
      <w:pPr>
        <w:spacing w:line="240" w:lineRule="auto"/>
        <w:jc w:val="center"/>
        <w:rPr>
          <w:rFonts w:hint="eastAsia" w:ascii="仿宋" w:hAnsi="仿宋" w:eastAsia="仿宋" w:cs="仿宋"/>
          <w:b/>
          <w:bCs/>
          <w:color w:val="auto"/>
          <w:sz w:val="48"/>
          <w:szCs w:val="48"/>
          <w:highlight w:val="none"/>
          <w:lang w:eastAsia="zh-CN"/>
        </w:rPr>
      </w:pPr>
    </w:p>
    <w:p>
      <w:pPr>
        <w:spacing w:line="240" w:lineRule="auto"/>
        <w:jc w:val="center"/>
        <w:rPr>
          <w:rFonts w:hint="eastAsia" w:ascii="仿宋" w:hAnsi="仿宋" w:eastAsia="仿宋" w:cs="仿宋"/>
          <w:b/>
          <w:bCs/>
          <w:color w:val="auto"/>
          <w:sz w:val="48"/>
          <w:szCs w:val="48"/>
          <w:highlight w:val="none"/>
          <w:lang w:eastAsia="zh-CN"/>
        </w:rPr>
      </w:pPr>
    </w:p>
    <w:p>
      <w:pPr>
        <w:spacing w:line="240" w:lineRule="auto"/>
        <w:jc w:val="center"/>
        <w:rPr>
          <w:rFonts w:hint="eastAsia" w:ascii="仿宋" w:hAnsi="仿宋" w:eastAsia="仿宋" w:cs="仿宋"/>
          <w:b/>
          <w:bCs/>
          <w:color w:val="auto"/>
          <w:sz w:val="48"/>
          <w:szCs w:val="48"/>
          <w:highlight w:val="none"/>
          <w:lang w:eastAsia="zh-CN"/>
        </w:rPr>
      </w:pPr>
    </w:p>
    <w:p>
      <w:pPr>
        <w:spacing w:line="240" w:lineRule="auto"/>
        <w:jc w:val="center"/>
        <w:rPr>
          <w:rFonts w:hint="eastAsia" w:ascii="仿宋" w:hAnsi="仿宋" w:eastAsia="仿宋" w:cs="仿宋"/>
          <w:b/>
          <w:bCs/>
          <w:color w:val="auto"/>
          <w:sz w:val="48"/>
          <w:szCs w:val="48"/>
          <w:highlight w:val="none"/>
        </w:rPr>
      </w:pPr>
      <w:r>
        <w:rPr>
          <w:rFonts w:hint="eastAsia" w:ascii="仿宋" w:hAnsi="仿宋" w:eastAsia="仿宋" w:cs="仿宋"/>
          <w:b/>
          <w:bCs/>
          <w:color w:val="auto"/>
          <w:sz w:val="44"/>
          <w:szCs w:val="44"/>
          <w:highlight w:val="none"/>
          <w:lang w:eastAsia="zh-CN"/>
        </w:rPr>
        <w:t>资格证明文件</w:t>
      </w:r>
      <w:r>
        <w:rPr>
          <w:rFonts w:hint="eastAsia" w:ascii="仿宋" w:hAnsi="仿宋" w:eastAsia="仿宋" w:cs="仿宋"/>
          <w:b/>
          <w:bCs/>
          <w:color w:val="auto"/>
          <w:sz w:val="44"/>
          <w:szCs w:val="44"/>
          <w:highlight w:val="none"/>
        </w:rPr>
        <w:t>/</w:t>
      </w:r>
      <w:r>
        <w:rPr>
          <w:rFonts w:hint="eastAsia" w:ascii="仿宋" w:hAnsi="仿宋" w:eastAsia="仿宋" w:cs="仿宋"/>
          <w:b/>
          <w:bCs/>
          <w:color w:val="auto"/>
          <w:sz w:val="44"/>
          <w:szCs w:val="44"/>
          <w:highlight w:val="none"/>
          <w:lang w:val="en-US" w:eastAsia="zh-CN"/>
        </w:rPr>
        <w:t>商务</w:t>
      </w:r>
      <w:r>
        <w:rPr>
          <w:rFonts w:hint="eastAsia" w:ascii="仿宋" w:hAnsi="仿宋" w:eastAsia="仿宋" w:cs="仿宋"/>
          <w:b/>
          <w:bCs/>
          <w:color w:val="auto"/>
          <w:sz w:val="44"/>
          <w:szCs w:val="44"/>
          <w:highlight w:val="none"/>
        </w:rPr>
        <w:t>技术文件/报价文件</w:t>
      </w:r>
    </w:p>
    <w:p>
      <w:pPr>
        <w:ind w:firstLine="0" w:firstLineChars="0"/>
        <w:rPr>
          <w:rFonts w:hint="eastAsia" w:ascii="仿宋" w:hAnsi="仿宋" w:eastAsia="仿宋" w:cs="仿宋"/>
          <w:color w:val="auto"/>
          <w:highlight w:val="none"/>
        </w:rPr>
      </w:pPr>
    </w:p>
    <w:p>
      <w:pPr>
        <w:ind w:firstLine="0" w:firstLineChars="0"/>
        <w:rPr>
          <w:rFonts w:hint="eastAsia" w:ascii="仿宋" w:hAnsi="仿宋" w:eastAsia="仿宋" w:cs="仿宋"/>
          <w:color w:val="auto"/>
          <w:highlight w:val="none"/>
        </w:rPr>
      </w:pPr>
    </w:p>
    <w:p>
      <w:pPr>
        <w:ind w:firstLine="0" w:firstLineChars="0"/>
        <w:rPr>
          <w:rFonts w:hint="eastAsia" w:ascii="仿宋" w:hAnsi="仿宋" w:eastAsia="仿宋" w:cs="仿宋"/>
          <w:color w:val="auto"/>
          <w:highlight w:val="none"/>
        </w:rPr>
      </w:pPr>
    </w:p>
    <w:p>
      <w:pPr>
        <w:pStyle w:val="121"/>
        <w:rPr>
          <w:rFonts w:hint="eastAsia" w:ascii="仿宋" w:hAnsi="仿宋" w:eastAsia="仿宋" w:cs="仿宋"/>
          <w:color w:val="auto"/>
          <w:highlight w:val="none"/>
        </w:rPr>
      </w:pPr>
    </w:p>
    <w:p>
      <w:pPr>
        <w:pStyle w:val="121"/>
        <w:rPr>
          <w:rFonts w:hint="eastAsia" w:ascii="仿宋" w:hAnsi="仿宋" w:eastAsia="仿宋" w:cs="仿宋"/>
          <w:color w:val="auto"/>
          <w:highlight w:val="none"/>
        </w:rPr>
      </w:pPr>
    </w:p>
    <w:p>
      <w:pPr>
        <w:pStyle w:val="121"/>
        <w:rPr>
          <w:rFonts w:hint="eastAsia" w:ascii="仿宋" w:hAnsi="仿宋" w:eastAsia="仿宋" w:cs="仿宋"/>
          <w:color w:val="auto"/>
          <w:highlight w:val="none"/>
        </w:rPr>
      </w:pPr>
    </w:p>
    <w:p>
      <w:pPr>
        <w:pStyle w:val="121"/>
        <w:rPr>
          <w:rFonts w:hint="eastAsia" w:ascii="仿宋" w:hAnsi="仿宋" w:eastAsia="仿宋" w:cs="仿宋"/>
          <w:color w:val="auto"/>
          <w:highlight w:val="none"/>
        </w:rPr>
      </w:pPr>
    </w:p>
    <w:p>
      <w:pPr>
        <w:rPr>
          <w:rFonts w:hint="eastAsia" w:ascii="仿宋" w:hAnsi="仿宋" w:eastAsia="仿宋" w:cs="仿宋"/>
          <w:color w:val="auto"/>
          <w:highlight w:val="none"/>
        </w:rPr>
      </w:pPr>
    </w:p>
    <w:p>
      <w:pPr>
        <w:ind w:firstLine="480"/>
        <w:rPr>
          <w:rFonts w:hint="eastAsia" w:ascii="仿宋" w:hAnsi="仿宋" w:eastAsia="仿宋" w:cs="仿宋"/>
          <w:color w:val="auto"/>
          <w:highlight w:val="none"/>
        </w:rPr>
      </w:pPr>
    </w:p>
    <w:p>
      <w:pPr>
        <w:keepNext w:val="0"/>
        <w:keepLines w:val="0"/>
        <w:pageBreakBefore w:val="0"/>
        <w:kinsoku/>
        <w:wordWrap/>
        <w:overflowPunct/>
        <w:topLinePunct w:val="0"/>
        <w:autoSpaceDE/>
        <w:autoSpaceDN/>
        <w:bidi w:val="0"/>
        <w:adjustRightInd/>
        <w:snapToGrid/>
        <w:spacing w:line="720" w:lineRule="exact"/>
        <w:ind w:firstLine="640"/>
        <w:textAlignment w:val="auto"/>
        <w:rPr>
          <w:rFonts w:hint="eastAsia" w:ascii="仿宋" w:hAnsi="仿宋" w:eastAsia="仿宋" w:cs="仿宋"/>
          <w:color w:val="auto"/>
          <w:sz w:val="32"/>
          <w:highlight w:val="none"/>
          <w:u w:val="single"/>
        </w:rPr>
      </w:pPr>
      <w:r>
        <w:rPr>
          <w:rFonts w:hint="eastAsia" w:ascii="仿宋" w:hAnsi="仿宋" w:eastAsia="仿宋" w:cs="仿宋"/>
          <w:color w:val="auto"/>
          <w:sz w:val="32"/>
          <w:highlight w:val="none"/>
        </w:rPr>
        <w:t>投 标 人：</w:t>
      </w:r>
      <w:r>
        <w:rPr>
          <w:rFonts w:hint="eastAsia" w:ascii="仿宋" w:hAnsi="仿宋" w:eastAsia="仿宋" w:cs="仿宋"/>
          <w:color w:val="auto"/>
          <w:sz w:val="32"/>
          <w:highlight w:val="none"/>
          <w:u w:val="single"/>
        </w:rPr>
        <w:t xml:space="preserve">     （全称）（加盖公章）    </w:t>
      </w:r>
    </w:p>
    <w:p>
      <w:pPr>
        <w:keepNext w:val="0"/>
        <w:keepLines w:val="0"/>
        <w:pageBreakBefore w:val="0"/>
        <w:widowControl/>
        <w:kinsoku/>
        <w:wordWrap/>
        <w:overflowPunct/>
        <w:topLinePunct w:val="0"/>
        <w:autoSpaceDE/>
        <w:autoSpaceDN/>
        <w:bidi w:val="0"/>
        <w:adjustRightInd/>
        <w:snapToGrid/>
        <w:spacing w:line="720" w:lineRule="exact"/>
        <w:ind w:firstLine="640" w:firstLineChars="200"/>
        <w:jc w:val="both"/>
        <w:textAlignment w:val="auto"/>
        <w:rPr>
          <w:rFonts w:hint="eastAsia" w:ascii="仿宋" w:hAnsi="仿宋" w:eastAsia="仿宋" w:cs="仿宋"/>
          <w:b/>
          <w:color w:val="auto"/>
          <w:kern w:val="0"/>
          <w:sz w:val="28"/>
          <w:szCs w:val="28"/>
          <w:lang w:val="zh-CN"/>
        </w:rPr>
      </w:pPr>
      <w:r>
        <w:rPr>
          <w:rFonts w:hint="eastAsia" w:ascii="仿宋" w:hAnsi="仿宋" w:eastAsia="仿宋" w:cs="仿宋"/>
          <w:color w:val="auto"/>
          <w:sz w:val="32"/>
          <w:highlight w:val="none"/>
        </w:rPr>
        <w:t>投标人地址：</w:t>
      </w:r>
      <w:r>
        <w:rPr>
          <w:rFonts w:hint="eastAsia" w:ascii="仿宋" w:hAnsi="仿宋" w:eastAsia="仿宋" w:cs="仿宋"/>
          <w:color w:val="auto"/>
          <w:sz w:val="32"/>
          <w:highlight w:val="none"/>
          <w:u w:val="single"/>
          <w:lang w:val="en-US" w:eastAsia="zh-CN"/>
        </w:rPr>
        <w:t xml:space="preserve">                           </w:t>
      </w:r>
    </w:p>
    <w:p>
      <w:pPr>
        <w:keepNext w:val="0"/>
        <w:keepLines w:val="0"/>
        <w:pageBreakBefore w:val="0"/>
        <w:kinsoku/>
        <w:wordWrap/>
        <w:overflowPunct/>
        <w:topLinePunct w:val="0"/>
        <w:autoSpaceDE/>
        <w:autoSpaceDN/>
        <w:bidi w:val="0"/>
        <w:adjustRightInd/>
        <w:snapToGrid/>
        <w:spacing w:line="720" w:lineRule="exact"/>
        <w:ind w:firstLine="640"/>
        <w:textAlignment w:val="auto"/>
        <w:rPr>
          <w:rFonts w:hint="default" w:ascii="仿宋" w:hAnsi="仿宋" w:eastAsia="仿宋" w:cs="仿宋"/>
          <w:color w:val="auto"/>
          <w:sz w:val="32"/>
          <w:highlight w:val="none"/>
          <w:u w:val="single"/>
          <w:lang w:val="en-US" w:eastAsia="zh-CN"/>
        </w:rPr>
      </w:pPr>
      <w:r>
        <w:rPr>
          <w:rFonts w:hint="eastAsia" w:ascii="仿宋" w:hAnsi="仿宋" w:eastAsia="仿宋" w:cs="仿宋"/>
          <w:color w:val="auto"/>
          <w:sz w:val="32"/>
          <w:highlight w:val="none"/>
          <w:lang w:val="zh-CN"/>
        </w:rPr>
        <w:t>日</w:t>
      </w:r>
      <w:r>
        <w:rPr>
          <w:rFonts w:hint="eastAsia" w:ascii="仿宋" w:hAnsi="仿宋" w:eastAsia="仿宋" w:cs="仿宋"/>
          <w:color w:val="auto"/>
          <w:sz w:val="32"/>
          <w:highlight w:val="none"/>
          <w:lang w:val="en-US" w:eastAsia="zh-CN"/>
        </w:rPr>
        <w:t xml:space="preserve">     </w:t>
      </w:r>
      <w:r>
        <w:rPr>
          <w:rFonts w:hint="eastAsia" w:ascii="仿宋" w:hAnsi="仿宋" w:eastAsia="仿宋" w:cs="仿宋"/>
          <w:color w:val="auto"/>
          <w:sz w:val="32"/>
          <w:highlight w:val="none"/>
          <w:lang w:val="zh-CN"/>
        </w:rPr>
        <w:t>期：</w:t>
      </w:r>
      <w:r>
        <w:rPr>
          <w:rFonts w:hint="eastAsia" w:ascii="仿宋" w:hAnsi="仿宋" w:eastAsia="仿宋" w:cs="仿宋"/>
          <w:color w:val="auto"/>
          <w:sz w:val="32"/>
          <w:highlight w:val="none"/>
          <w:u w:val="single"/>
          <w:lang w:val="en-US" w:eastAsia="zh-CN"/>
        </w:rPr>
        <w:t xml:space="preserve">                            </w:t>
      </w:r>
    </w:p>
    <w:p>
      <w:pPr>
        <w:widowControl/>
        <w:adjustRightInd/>
        <w:jc w:val="center"/>
        <w:rPr>
          <w:rFonts w:hint="eastAsia" w:ascii="仿宋" w:hAnsi="仿宋" w:eastAsia="仿宋" w:cs="仿宋"/>
          <w:b/>
          <w:color w:val="auto"/>
          <w:kern w:val="0"/>
          <w:sz w:val="24"/>
          <w:szCs w:val="24"/>
          <w:highlight w:val="none"/>
          <w:lang w:val="zh-CN"/>
        </w:rPr>
      </w:pPr>
    </w:p>
    <w:p>
      <w:pPr>
        <w:widowControl/>
        <w:adjustRightInd/>
        <w:jc w:val="center"/>
        <w:rPr>
          <w:rFonts w:hint="eastAsia" w:ascii="仿宋" w:hAnsi="仿宋" w:eastAsia="仿宋" w:cs="仿宋"/>
          <w:b/>
          <w:color w:val="auto"/>
          <w:kern w:val="0"/>
          <w:sz w:val="24"/>
          <w:szCs w:val="24"/>
          <w:highlight w:val="none"/>
          <w:lang w:val="zh-CN"/>
        </w:rPr>
      </w:pPr>
    </w:p>
    <w:p>
      <w:pPr>
        <w:widowControl/>
        <w:adjustRightInd/>
        <w:jc w:val="center"/>
        <w:rPr>
          <w:rFonts w:hint="eastAsia" w:ascii="仿宋" w:hAnsi="仿宋" w:eastAsia="仿宋" w:cs="仿宋"/>
          <w:b/>
          <w:color w:val="auto"/>
          <w:kern w:val="0"/>
          <w:sz w:val="32"/>
          <w:szCs w:val="32"/>
          <w:highlight w:val="none"/>
          <w:lang w:val="zh-CN"/>
        </w:rPr>
      </w:pPr>
    </w:p>
    <w:p>
      <w:pPr>
        <w:widowControl/>
        <w:adjustRightInd/>
        <w:jc w:val="center"/>
        <w:rPr>
          <w:rFonts w:hint="eastAsia" w:ascii="仿宋" w:hAnsi="仿宋" w:eastAsia="仿宋" w:cs="仿宋"/>
          <w:b/>
          <w:color w:val="auto"/>
          <w:kern w:val="0"/>
          <w:sz w:val="32"/>
          <w:szCs w:val="32"/>
          <w:highlight w:val="none"/>
          <w:lang w:val="zh-CN"/>
        </w:rPr>
      </w:pPr>
    </w:p>
    <w:p>
      <w:pPr>
        <w:widowControl/>
        <w:adjustRightInd/>
        <w:jc w:val="center"/>
        <w:rPr>
          <w:rFonts w:hint="eastAsia" w:ascii="仿宋" w:hAnsi="仿宋" w:eastAsia="仿宋" w:cs="仿宋"/>
          <w:color w:val="auto"/>
          <w:sz w:val="32"/>
          <w:szCs w:val="32"/>
          <w:highlight w:val="none"/>
        </w:rPr>
      </w:pPr>
      <w:r>
        <w:rPr>
          <w:rFonts w:hint="eastAsia" w:ascii="仿宋" w:hAnsi="仿宋" w:eastAsia="仿宋" w:cs="仿宋"/>
          <w:b/>
          <w:color w:val="auto"/>
          <w:kern w:val="0"/>
          <w:sz w:val="32"/>
          <w:szCs w:val="32"/>
          <w:highlight w:val="none"/>
          <w:lang w:val="zh-CN"/>
        </w:rPr>
        <w:t>一、</w:t>
      </w:r>
      <w:r>
        <w:rPr>
          <w:rFonts w:hint="eastAsia" w:ascii="仿宋" w:hAnsi="仿宋" w:eastAsia="仿宋" w:cs="仿宋"/>
          <w:b/>
          <w:bCs/>
          <w:color w:val="auto"/>
          <w:sz w:val="32"/>
          <w:szCs w:val="32"/>
          <w:highlight w:val="none"/>
          <w:lang w:eastAsia="zh-CN"/>
        </w:rPr>
        <w:t>资格证明文件</w:t>
      </w:r>
      <w:r>
        <w:rPr>
          <w:rFonts w:hint="eastAsia" w:ascii="仿宋" w:hAnsi="仿宋" w:eastAsia="仿宋" w:cs="仿宋"/>
          <w:b/>
          <w:color w:val="auto"/>
          <w:sz w:val="32"/>
          <w:szCs w:val="32"/>
          <w:highlight w:val="none"/>
        </w:rPr>
        <w:t>目录</w:t>
      </w:r>
    </w:p>
    <w:p>
      <w:pPr>
        <w:pStyle w:val="43"/>
        <w:pageBreakBefore w:val="0"/>
        <w:kinsoku/>
        <w:wordWrap/>
        <w:overflowPunct/>
        <w:topLinePunct w:val="0"/>
        <w:bidi w:val="0"/>
        <w:spacing w:line="360" w:lineRule="auto"/>
        <w:ind w:left="0" w:leftChars="0" w:right="0" w:firstLine="480" w:firstLineChars="200"/>
        <w:rPr>
          <w:rFonts w:hint="eastAsia" w:ascii="仿宋" w:hAnsi="仿宋" w:eastAsia="仿宋" w:cs="仿宋"/>
          <w:color w:val="auto"/>
          <w:sz w:val="24"/>
          <w:szCs w:val="24"/>
          <w:highlight w:val="none"/>
          <w:lang w:val="en-US" w:eastAsia="zh-CN"/>
        </w:rPr>
      </w:pPr>
    </w:p>
    <w:p>
      <w:pPr>
        <w:pStyle w:val="43"/>
        <w:pageBreakBefore w:val="0"/>
        <w:kinsoku/>
        <w:wordWrap/>
        <w:overflowPunct/>
        <w:topLinePunct w:val="0"/>
        <w:bidi w:val="0"/>
        <w:spacing w:line="360" w:lineRule="auto"/>
        <w:ind w:left="0" w:leftChars="0" w:right="0"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（1）营业执照扫描件；</w:t>
      </w:r>
    </w:p>
    <w:p>
      <w:pPr>
        <w:pStyle w:val="43"/>
        <w:pageBreakBefore w:val="0"/>
        <w:kinsoku/>
        <w:wordWrap/>
        <w:overflowPunct/>
        <w:topLinePunct w:val="0"/>
        <w:bidi w:val="0"/>
        <w:spacing w:line="360" w:lineRule="auto"/>
        <w:ind w:left="0" w:leftChars="0" w:right="0"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（2）符合参加采购活动应当具备的一般条件的承诺函【格式附后】；</w:t>
      </w:r>
    </w:p>
    <w:p>
      <w:pPr>
        <w:pStyle w:val="43"/>
        <w:pageBreakBefore w:val="0"/>
        <w:kinsoku/>
        <w:wordWrap/>
        <w:overflowPunct/>
        <w:topLinePunct w:val="0"/>
        <w:bidi w:val="0"/>
        <w:spacing w:line="360" w:lineRule="auto"/>
        <w:ind w:left="0" w:leftChars="0" w:right="0"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（3）符合特定资格要求的相关证明材料（如有，提供扫描件）。</w:t>
      </w:r>
    </w:p>
    <w:p>
      <w:pPr>
        <w:snapToGrid w:val="0"/>
        <w:spacing w:line="360" w:lineRule="auto"/>
        <w:ind w:right="480"/>
        <w:jc w:val="center"/>
        <w:rPr>
          <w:rFonts w:hint="eastAsia" w:ascii="仿宋" w:hAnsi="仿宋" w:eastAsia="仿宋" w:cs="仿宋"/>
          <w:b/>
          <w:color w:val="auto"/>
          <w:kern w:val="0"/>
          <w:sz w:val="24"/>
          <w:szCs w:val="24"/>
          <w:highlight w:val="none"/>
          <w:lang w:eastAsia="zh-CN"/>
        </w:rPr>
      </w:pPr>
    </w:p>
    <w:p>
      <w:pPr>
        <w:snapToGrid w:val="0"/>
        <w:spacing w:line="360" w:lineRule="auto"/>
        <w:ind w:right="480"/>
        <w:jc w:val="center"/>
        <w:rPr>
          <w:rFonts w:hint="eastAsia" w:ascii="仿宋" w:hAnsi="仿宋" w:eastAsia="仿宋" w:cs="仿宋"/>
          <w:b/>
          <w:color w:val="auto"/>
          <w:kern w:val="0"/>
          <w:sz w:val="24"/>
          <w:szCs w:val="24"/>
          <w:highlight w:val="none"/>
          <w:lang w:eastAsia="zh-CN"/>
        </w:rPr>
      </w:pPr>
    </w:p>
    <w:p>
      <w:pPr>
        <w:snapToGrid w:val="0"/>
        <w:spacing w:line="360" w:lineRule="auto"/>
        <w:ind w:right="480"/>
        <w:jc w:val="center"/>
        <w:rPr>
          <w:rFonts w:hint="eastAsia" w:ascii="仿宋" w:hAnsi="仿宋" w:eastAsia="仿宋" w:cs="仿宋"/>
          <w:b/>
          <w:color w:val="auto"/>
          <w:kern w:val="0"/>
          <w:sz w:val="24"/>
          <w:szCs w:val="24"/>
          <w:highlight w:val="none"/>
          <w:lang w:eastAsia="zh-CN"/>
        </w:rPr>
      </w:pPr>
    </w:p>
    <w:p>
      <w:pPr>
        <w:snapToGrid w:val="0"/>
        <w:spacing w:line="360" w:lineRule="auto"/>
        <w:ind w:right="480"/>
        <w:jc w:val="center"/>
        <w:rPr>
          <w:rFonts w:hint="eastAsia" w:ascii="仿宋" w:hAnsi="仿宋" w:eastAsia="仿宋" w:cs="仿宋"/>
          <w:b/>
          <w:color w:val="auto"/>
          <w:kern w:val="0"/>
          <w:sz w:val="24"/>
          <w:szCs w:val="24"/>
          <w:highlight w:val="none"/>
          <w:lang w:eastAsia="zh-CN"/>
        </w:rPr>
      </w:pPr>
    </w:p>
    <w:p>
      <w:pPr>
        <w:snapToGrid w:val="0"/>
        <w:spacing w:line="360" w:lineRule="auto"/>
        <w:ind w:right="480"/>
        <w:jc w:val="center"/>
        <w:rPr>
          <w:rFonts w:hint="eastAsia" w:ascii="仿宋" w:hAnsi="仿宋" w:eastAsia="仿宋" w:cs="仿宋"/>
          <w:b/>
          <w:color w:val="auto"/>
          <w:kern w:val="0"/>
          <w:sz w:val="24"/>
          <w:szCs w:val="24"/>
          <w:highlight w:val="none"/>
          <w:lang w:eastAsia="zh-CN"/>
        </w:rPr>
      </w:pPr>
    </w:p>
    <w:p>
      <w:pPr>
        <w:snapToGrid w:val="0"/>
        <w:spacing w:line="360" w:lineRule="auto"/>
        <w:ind w:right="480"/>
        <w:jc w:val="center"/>
        <w:rPr>
          <w:rFonts w:hint="eastAsia" w:ascii="仿宋" w:hAnsi="仿宋" w:eastAsia="仿宋" w:cs="仿宋"/>
          <w:b/>
          <w:color w:val="auto"/>
          <w:kern w:val="0"/>
          <w:sz w:val="24"/>
          <w:szCs w:val="24"/>
          <w:highlight w:val="none"/>
          <w:lang w:eastAsia="zh-CN"/>
        </w:rPr>
      </w:pPr>
    </w:p>
    <w:p>
      <w:pPr>
        <w:snapToGrid w:val="0"/>
        <w:spacing w:line="360" w:lineRule="auto"/>
        <w:ind w:right="480"/>
        <w:jc w:val="center"/>
        <w:rPr>
          <w:rFonts w:hint="eastAsia" w:ascii="仿宋" w:hAnsi="仿宋" w:eastAsia="仿宋" w:cs="仿宋"/>
          <w:b/>
          <w:color w:val="auto"/>
          <w:kern w:val="0"/>
          <w:sz w:val="24"/>
          <w:szCs w:val="24"/>
          <w:highlight w:val="none"/>
          <w:lang w:eastAsia="zh-CN"/>
        </w:rPr>
      </w:pPr>
    </w:p>
    <w:p>
      <w:pPr>
        <w:snapToGrid w:val="0"/>
        <w:spacing w:line="360" w:lineRule="auto"/>
        <w:ind w:right="480"/>
        <w:jc w:val="center"/>
        <w:rPr>
          <w:rFonts w:hint="eastAsia" w:ascii="仿宋" w:hAnsi="仿宋" w:eastAsia="仿宋" w:cs="仿宋"/>
          <w:b/>
          <w:color w:val="auto"/>
          <w:kern w:val="0"/>
          <w:sz w:val="24"/>
          <w:szCs w:val="24"/>
          <w:highlight w:val="none"/>
          <w:lang w:eastAsia="zh-CN"/>
        </w:rPr>
      </w:pPr>
    </w:p>
    <w:p>
      <w:pPr>
        <w:snapToGrid w:val="0"/>
        <w:spacing w:line="360" w:lineRule="auto"/>
        <w:ind w:right="480"/>
        <w:jc w:val="center"/>
        <w:rPr>
          <w:rFonts w:hint="eastAsia" w:ascii="仿宋" w:hAnsi="仿宋" w:eastAsia="仿宋" w:cs="仿宋"/>
          <w:b/>
          <w:color w:val="auto"/>
          <w:kern w:val="0"/>
          <w:sz w:val="24"/>
          <w:szCs w:val="24"/>
          <w:highlight w:val="none"/>
          <w:lang w:eastAsia="zh-CN"/>
        </w:rPr>
      </w:pPr>
    </w:p>
    <w:p>
      <w:pPr>
        <w:snapToGrid w:val="0"/>
        <w:spacing w:line="360" w:lineRule="auto"/>
        <w:ind w:right="480"/>
        <w:jc w:val="center"/>
        <w:rPr>
          <w:rFonts w:hint="eastAsia" w:ascii="仿宋" w:hAnsi="仿宋" w:eastAsia="仿宋" w:cs="仿宋"/>
          <w:b/>
          <w:color w:val="auto"/>
          <w:kern w:val="0"/>
          <w:sz w:val="24"/>
          <w:szCs w:val="24"/>
          <w:highlight w:val="none"/>
          <w:lang w:eastAsia="zh-CN"/>
        </w:rPr>
      </w:pPr>
    </w:p>
    <w:p>
      <w:pPr>
        <w:snapToGrid w:val="0"/>
        <w:spacing w:line="360" w:lineRule="auto"/>
        <w:ind w:right="480"/>
        <w:jc w:val="center"/>
        <w:rPr>
          <w:rFonts w:hint="eastAsia" w:ascii="仿宋" w:hAnsi="仿宋" w:eastAsia="仿宋" w:cs="仿宋"/>
          <w:b/>
          <w:color w:val="auto"/>
          <w:kern w:val="0"/>
          <w:sz w:val="24"/>
          <w:szCs w:val="24"/>
          <w:highlight w:val="none"/>
          <w:lang w:eastAsia="zh-CN"/>
        </w:rPr>
      </w:pPr>
    </w:p>
    <w:p>
      <w:pPr>
        <w:snapToGrid w:val="0"/>
        <w:spacing w:line="360" w:lineRule="auto"/>
        <w:ind w:right="480"/>
        <w:jc w:val="center"/>
        <w:rPr>
          <w:rFonts w:hint="eastAsia" w:ascii="仿宋" w:hAnsi="仿宋" w:eastAsia="仿宋" w:cs="仿宋"/>
          <w:b/>
          <w:color w:val="auto"/>
          <w:kern w:val="0"/>
          <w:sz w:val="24"/>
          <w:szCs w:val="24"/>
          <w:highlight w:val="none"/>
          <w:lang w:eastAsia="zh-CN"/>
        </w:rPr>
      </w:pPr>
    </w:p>
    <w:p>
      <w:pPr>
        <w:snapToGrid w:val="0"/>
        <w:spacing w:line="360" w:lineRule="auto"/>
        <w:ind w:right="480"/>
        <w:jc w:val="center"/>
        <w:rPr>
          <w:rFonts w:hint="eastAsia" w:ascii="仿宋" w:hAnsi="仿宋" w:eastAsia="仿宋" w:cs="仿宋"/>
          <w:b/>
          <w:color w:val="auto"/>
          <w:kern w:val="0"/>
          <w:sz w:val="24"/>
          <w:szCs w:val="24"/>
          <w:highlight w:val="none"/>
          <w:lang w:eastAsia="zh-CN"/>
        </w:rPr>
      </w:pPr>
    </w:p>
    <w:p>
      <w:pPr>
        <w:snapToGrid w:val="0"/>
        <w:spacing w:line="360" w:lineRule="auto"/>
        <w:ind w:right="480"/>
        <w:jc w:val="center"/>
        <w:rPr>
          <w:rFonts w:hint="eastAsia" w:ascii="仿宋" w:hAnsi="仿宋" w:eastAsia="仿宋" w:cs="仿宋"/>
          <w:b/>
          <w:color w:val="auto"/>
          <w:kern w:val="0"/>
          <w:sz w:val="24"/>
          <w:szCs w:val="24"/>
          <w:highlight w:val="none"/>
          <w:lang w:eastAsia="zh-CN"/>
        </w:rPr>
      </w:pPr>
    </w:p>
    <w:p>
      <w:pPr>
        <w:snapToGrid w:val="0"/>
        <w:spacing w:line="360" w:lineRule="auto"/>
        <w:ind w:right="480"/>
        <w:jc w:val="center"/>
        <w:rPr>
          <w:rFonts w:hint="eastAsia" w:ascii="仿宋" w:hAnsi="仿宋" w:eastAsia="仿宋" w:cs="仿宋"/>
          <w:b/>
          <w:color w:val="auto"/>
          <w:kern w:val="0"/>
          <w:sz w:val="24"/>
          <w:szCs w:val="24"/>
          <w:highlight w:val="none"/>
          <w:lang w:eastAsia="zh-CN"/>
        </w:rPr>
      </w:pPr>
    </w:p>
    <w:p>
      <w:pPr>
        <w:snapToGrid w:val="0"/>
        <w:spacing w:line="360" w:lineRule="auto"/>
        <w:ind w:right="480"/>
        <w:jc w:val="center"/>
        <w:rPr>
          <w:rFonts w:hint="eastAsia" w:ascii="仿宋" w:hAnsi="仿宋" w:eastAsia="仿宋" w:cs="仿宋"/>
          <w:b/>
          <w:color w:val="auto"/>
          <w:kern w:val="0"/>
          <w:sz w:val="24"/>
          <w:szCs w:val="24"/>
          <w:highlight w:val="none"/>
          <w:lang w:eastAsia="zh-CN"/>
        </w:rPr>
      </w:pPr>
    </w:p>
    <w:p>
      <w:pPr>
        <w:snapToGrid w:val="0"/>
        <w:spacing w:line="360" w:lineRule="auto"/>
        <w:ind w:right="480"/>
        <w:jc w:val="center"/>
        <w:rPr>
          <w:rFonts w:hint="eastAsia" w:ascii="仿宋" w:hAnsi="仿宋" w:eastAsia="仿宋" w:cs="仿宋"/>
          <w:b/>
          <w:color w:val="auto"/>
          <w:kern w:val="0"/>
          <w:sz w:val="24"/>
          <w:szCs w:val="24"/>
          <w:highlight w:val="none"/>
          <w:lang w:eastAsia="zh-CN"/>
        </w:rPr>
      </w:pPr>
    </w:p>
    <w:p>
      <w:pPr>
        <w:snapToGrid w:val="0"/>
        <w:spacing w:line="360" w:lineRule="auto"/>
        <w:ind w:right="480"/>
        <w:jc w:val="center"/>
        <w:rPr>
          <w:rFonts w:hint="eastAsia" w:ascii="仿宋" w:hAnsi="仿宋" w:eastAsia="仿宋" w:cs="仿宋"/>
          <w:b/>
          <w:color w:val="auto"/>
          <w:kern w:val="0"/>
          <w:sz w:val="24"/>
          <w:szCs w:val="24"/>
          <w:highlight w:val="none"/>
          <w:lang w:eastAsia="zh-CN"/>
        </w:rPr>
      </w:pPr>
    </w:p>
    <w:p>
      <w:pPr>
        <w:snapToGrid w:val="0"/>
        <w:spacing w:line="360" w:lineRule="auto"/>
        <w:ind w:right="480"/>
        <w:jc w:val="both"/>
        <w:rPr>
          <w:rFonts w:hint="eastAsia" w:ascii="仿宋" w:hAnsi="仿宋" w:eastAsia="仿宋" w:cs="仿宋"/>
          <w:b/>
          <w:color w:val="auto"/>
          <w:kern w:val="0"/>
          <w:sz w:val="24"/>
          <w:szCs w:val="24"/>
          <w:highlight w:val="none"/>
          <w:lang w:eastAsia="zh-CN"/>
        </w:rPr>
      </w:pPr>
    </w:p>
    <w:p>
      <w:pPr>
        <w:snapToGrid w:val="0"/>
        <w:spacing w:line="360" w:lineRule="auto"/>
        <w:ind w:right="480"/>
        <w:jc w:val="center"/>
        <w:rPr>
          <w:rFonts w:hint="eastAsia" w:ascii="仿宋" w:hAnsi="仿宋" w:eastAsia="仿宋" w:cs="仿宋"/>
          <w:b/>
          <w:color w:val="auto"/>
          <w:kern w:val="0"/>
          <w:sz w:val="24"/>
          <w:szCs w:val="24"/>
          <w:highlight w:val="none"/>
          <w:lang w:eastAsia="zh-CN"/>
        </w:rPr>
      </w:pPr>
    </w:p>
    <w:p>
      <w:pPr>
        <w:snapToGrid w:val="0"/>
        <w:spacing w:line="360" w:lineRule="auto"/>
        <w:ind w:right="480"/>
        <w:jc w:val="center"/>
        <w:rPr>
          <w:rFonts w:hint="eastAsia" w:ascii="仿宋" w:hAnsi="仿宋" w:eastAsia="仿宋" w:cs="仿宋"/>
          <w:b/>
          <w:color w:val="auto"/>
          <w:kern w:val="0"/>
          <w:sz w:val="24"/>
          <w:szCs w:val="24"/>
          <w:highlight w:val="none"/>
          <w:lang w:eastAsia="zh-CN"/>
        </w:rPr>
      </w:pPr>
    </w:p>
    <w:p>
      <w:pPr>
        <w:snapToGrid w:val="0"/>
        <w:spacing w:line="360" w:lineRule="auto"/>
        <w:ind w:right="480"/>
        <w:jc w:val="center"/>
        <w:rPr>
          <w:rFonts w:hint="eastAsia" w:ascii="仿宋" w:hAnsi="仿宋" w:eastAsia="仿宋" w:cs="仿宋"/>
          <w:b/>
          <w:color w:val="auto"/>
          <w:kern w:val="0"/>
          <w:sz w:val="24"/>
          <w:szCs w:val="24"/>
          <w:highlight w:val="none"/>
          <w:lang w:eastAsia="zh-CN"/>
        </w:rPr>
      </w:pPr>
    </w:p>
    <w:p>
      <w:pPr>
        <w:snapToGrid w:val="0"/>
        <w:spacing w:line="360" w:lineRule="auto"/>
        <w:ind w:right="480"/>
        <w:jc w:val="center"/>
        <w:rPr>
          <w:rFonts w:hint="eastAsia" w:ascii="仿宋" w:hAnsi="仿宋" w:eastAsia="仿宋" w:cs="仿宋"/>
          <w:b/>
          <w:color w:val="auto"/>
          <w:kern w:val="0"/>
          <w:sz w:val="24"/>
          <w:szCs w:val="24"/>
          <w:highlight w:val="none"/>
          <w:lang w:eastAsia="zh-CN"/>
        </w:rPr>
      </w:pPr>
    </w:p>
    <w:p>
      <w:pPr>
        <w:snapToGrid w:val="0"/>
        <w:spacing w:line="360" w:lineRule="auto"/>
        <w:ind w:right="480"/>
        <w:jc w:val="center"/>
        <w:rPr>
          <w:rFonts w:hint="eastAsia" w:ascii="仿宋" w:hAnsi="仿宋" w:eastAsia="仿宋" w:cs="仿宋"/>
          <w:b/>
          <w:color w:val="auto"/>
          <w:kern w:val="0"/>
          <w:sz w:val="24"/>
          <w:szCs w:val="24"/>
          <w:highlight w:val="none"/>
          <w:lang w:eastAsia="zh-CN"/>
        </w:rPr>
      </w:pPr>
    </w:p>
    <w:p>
      <w:pPr>
        <w:snapToGrid w:val="0"/>
        <w:spacing w:line="360" w:lineRule="auto"/>
        <w:ind w:right="480"/>
        <w:jc w:val="center"/>
        <w:rPr>
          <w:rFonts w:hint="eastAsia" w:ascii="仿宋" w:hAnsi="仿宋" w:eastAsia="仿宋" w:cs="仿宋"/>
          <w:b/>
          <w:color w:val="auto"/>
          <w:kern w:val="0"/>
          <w:sz w:val="24"/>
          <w:szCs w:val="24"/>
          <w:highlight w:val="none"/>
          <w:lang w:eastAsia="zh-CN"/>
        </w:rPr>
      </w:pPr>
    </w:p>
    <w:p>
      <w:pPr>
        <w:snapToGrid w:val="0"/>
        <w:spacing w:line="360" w:lineRule="auto"/>
        <w:ind w:right="480"/>
        <w:jc w:val="center"/>
        <w:rPr>
          <w:rFonts w:hint="eastAsia" w:ascii="仿宋" w:hAnsi="仿宋" w:eastAsia="仿宋" w:cs="仿宋"/>
          <w:b/>
          <w:color w:val="auto"/>
          <w:kern w:val="0"/>
          <w:sz w:val="32"/>
          <w:szCs w:val="32"/>
          <w:highlight w:val="none"/>
          <w:lang w:eastAsia="zh-CN"/>
        </w:rPr>
      </w:pPr>
      <w:r>
        <w:rPr>
          <w:rFonts w:hint="eastAsia" w:ascii="仿宋" w:hAnsi="仿宋" w:eastAsia="仿宋" w:cs="仿宋"/>
          <w:b/>
          <w:color w:val="auto"/>
          <w:kern w:val="0"/>
          <w:sz w:val="32"/>
          <w:szCs w:val="32"/>
          <w:highlight w:val="none"/>
          <w:lang w:eastAsia="zh-CN"/>
        </w:rPr>
        <w:t>（一）营业执照扫描件</w:t>
      </w:r>
    </w:p>
    <w:p>
      <w:pPr>
        <w:pStyle w:val="67"/>
        <w:ind w:left="0" w:leftChars="0" w:firstLine="0" w:firstLineChars="0"/>
        <w:rPr>
          <w:rFonts w:hint="eastAsia" w:ascii="仿宋" w:hAnsi="仿宋" w:eastAsia="仿宋" w:cs="仿宋"/>
          <w:color w:val="auto"/>
          <w:sz w:val="32"/>
          <w:szCs w:val="32"/>
          <w:highlight w:val="none"/>
          <w:lang w:eastAsia="zh-CN"/>
        </w:rPr>
      </w:pPr>
    </w:p>
    <w:p>
      <w:pPr>
        <w:pStyle w:val="79"/>
        <w:ind w:left="0" w:leftChars="0" w:firstLine="0" w:firstLineChars="0"/>
        <w:rPr>
          <w:rFonts w:hint="eastAsia" w:ascii="仿宋" w:hAnsi="仿宋" w:eastAsia="仿宋" w:cs="仿宋"/>
          <w:color w:val="auto"/>
          <w:sz w:val="32"/>
          <w:szCs w:val="32"/>
          <w:highlight w:val="none"/>
          <w:lang w:eastAsia="zh-CN"/>
        </w:rPr>
      </w:pPr>
    </w:p>
    <w:p>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（二）</w:t>
      </w:r>
      <w:r>
        <w:rPr>
          <w:rFonts w:hint="eastAsia" w:ascii="仿宋" w:hAnsi="仿宋" w:eastAsia="仿宋" w:cs="仿宋"/>
          <w:b/>
          <w:color w:val="auto"/>
          <w:kern w:val="0"/>
          <w:sz w:val="32"/>
          <w:szCs w:val="32"/>
          <w:highlight w:val="none"/>
        </w:rPr>
        <w:t>符合参加采购活动应当具备的一般条件的承诺函</w:t>
      </w:r>
    </w:p>
    <w:p>
      <w:pPr>
        <w:snapToGrid w:val="0"/>
        <w:spacing w:line="360" w:lineRule="auto"/>
        <w:rPr>
          <w:rFonts w:hint="eastAsia" w:ascii="仿宋" w:hAnsi="仿宋" w:eastAsia="仿宋" w:cs="仿宋"/>
          <w:color w:val="auto"/>
          <w:sz w:val="24"/>
          <w:szCs w:val="24"/>
          <w:highlight w:val="none"/>
          <w:u w:val="single"/>
        </w:rPr>
      </w:pPr>
    </w:p>
    <w:p>
      <w:pPr>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rPr>
        <w:t>（采购人）、（采购代理机构）</w:t>
      </w:r>
      <w:r>
        <w:rPr>
          <w:rFonts w:hint="eastAsia" w:ascii="仿宋" w:hAnsi="仿宋" w:eastAsia="仿宋" w:cs="仿宋"/>
          <w:color w:val="auto"/>
          <w:sz w:val="24"/>
          <w:szCs w:val="24"/>
          <w:highlight w:val="none"/>
        </w:rPr>
        <w:t>：</w:t>
      </w:r>
    </w:p>
    <w:p>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我方参与（项目名称）</w:t>
      </w:r>
      <w:r>
        <w:rPr>
          <w:rFonts w:hint="eastAsia" w:ascii="仿宋" w:hAnsi="仿宋" w:eastAsia="仿宋" w:cs="仿宋"/>
          <w:color w:val="auto"/>
          <w:kern w:val="0"/>
          <w:sz w:val="24"/>
          <w:szCs w:val="24"/>
          <w:highlight w:val="none"/>
          <w:lang w:val="zh-CN"/>
        </w:rPr>
        <w:t>【项目编号：】</w:t>
      </w:r>
      <w:r>
        <w:rPr>
          <w:rFonts w:hint="eastAsia" w:ascii="仿宋" w:hAnsi="仿宋" w:eastAsia="仿宋" w:cs="仿宋"/>
          <w:color w:val="auto"/>
          <w:sz w:val="24"/>
          <w:szCs w:val="24"/>
          <w:highlight w:val="none"/>
        </w:rPr>
        <w:t>政</w:t>
      </w:r>
      <w:r>
        <w:rPr>
          <w:rFonts w:hint="eastAsia" w:ascii="仿宋" w:hAnsi="仿宋" w:eastAsia="仿宋" w:cs="仿宋"/>
          <w:color w:val="auto"/>
          <w:sz w:val="24"/>
          <w:szCs w:val="24"/>
          <w:highlight w:val="none"/>
          <w:lang w:eastAsia="zh-CN"/>
        </w:rPr>
        <w:t>企</w:t>
      </w:r>
      <w:r>
        <w:rPr>
          <w:rFonts w:hint="eastAsia" w:ascii="仿宋" w:hAnsi="仿宋" w:eastAsia="仿宋" w:cs="仿宋"/>
          <w:color w:val="auto"/>
          <w:sz w:val="24"/>
          <w:szCs w:val="24"/>
          <w:highlight w:val="none"/>
        </w:rPr>
        <w:t>采购活动，郑重承诺：</w:t>
      </w:r>
    </w:p>
    <w:p>
      <w:pPr>
        <w:snapToGrid w:val="0"/>
        <w:spacing w:line="360" w:lineRule="auto"/>
        <w:ind w:firstLine="360" w:firstLineChars="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（一）具备《</w:t>
      </w:r>
      <w:r>
        <w:rPr>
          <w:rFonts w:hint="eastAsia" w:ascii="仿宋" w:hAnsi="仿宋" w:eastAsia="仿宋" w:cs="仿宋"/>
          <w:color w:val="auto"/>
          <w:sz w:val="24"/>
          <w:szCs w:val="24"/>
          <w:highlight w:val="none"/>
          <w:lang w:eastAsia="zh-CN"/>
        </w:rPr>
        <w:t>嵊州市市属国有企业货物和服务采购管理办法（试行）</w:t>
      </w:r>
      <w:r>
        <w:rPr>
          <w:rFonts w:hint="eastAsia" w:ascii="仿宋" w:hAnsi="仿宋" w:eastAsia="仿宋" w:cs="仿宋"/>
          <w:color w:val="auto"/>
          <w:sz w:val="24"/>
          <w:szCs w:val="24"/>
          <w:highlight w:val="none"/>
        </w:rPr>
        <w:t>》第</w:t>
      </w:r>
      <w:r>
        <w:rPr>
          <w:rFonts w:hint="eastAsia" w:ascii="仿宋" w:hAnsi="仿宋" w:eastAsia="仿宋" w:cs="仿宋"/>
          <w:color w:val="auto"/>
          <w:sz w:val="24"/>
          <w:szCs w:val="24"/>
          <w:highlight w:val="none"/>
          <w:lang w:eastAsia="zh-CN"/>
        </w:rPr>
        <w:t>十七</w:t>
      </w:r>
      <w:r>
        <w:rPr>
          <w:rFonts w:hint="eastAsia" w:ascii="仿宋" w:hAnsi="仿宋" w:eastAsia="仿宋" w:cs="仿宋"/>
          <w:color w:val="auto"/>
          <w:sz w:val="24"/>
          <w:szCs w:val="24"/>
          <w:highlight w:val="none"/>
        </w:rPr>
        <w:t>条规定的条件：</w:t>
      </w:r>
    </w:p>
    <w:p>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1、具有独立承担民事责任的能力；</w:t>
      </w:r>
    </w:p>
    <w:p>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2、具有良好的商业信誉和健全的财务会计制度； </w:t>
      </w:r>
    </w:p>
    <w:p>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3、具有履行合同所必需的设备和专业技术能力；</w:t>
      </w:r>
    </w:p>
    <w:p>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4、有依法缴纳税收和社会保障资金的良好记录；</w:t>
      </w:r>
    </w:p>
    <w:p>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5、参加政</w:t>
      </w:r>
      <w:r>
        <w:rPr>
          <w:rFonts w:hint="eastAsia" w:ascii="仿宋" w:hAnsi="仿宋" w:eastAsia="仿宋" w:cs="仿宋"/>
          <w:color w:val="auto"/>
          <w:sz w:val="24"/>
          <w:szCs w:val="24"/>
          <w:highlight w:val="none"/>
          <w:lang w:eastAsia="zh-CN"/>
        </w:rPr>
        <w:t>府</w:t>
      </w:r>
      <w:r>
        <w:rPr>
          <w:rFonts w:hint="eastAsia" w:ascii="仿宋" w:hAnsi="仿宋" w:eastAsia="仿宋" w:cs="仿宋"/>
          <w:color w:val="auto"/>
          <w:sz w:val="24"/>
          <w:szCs w:val="24"/>
          <w:highlight w:val="none"/>
        </w:rPr>
        <w:t>采购活动前三年内，在经营活动中没有重大违法记录；</w:t>
      </w:r>
    </w:p>
    <w:p>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6、具有法律、行政法规规定的其他条件。</w:t>
      </w:r>
    </w:p>
    <w:p>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（三）不存在以下情况：</w:t>
      </w:r>
    </w:p>
    <w:p>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2、为采购项目提供整体设计、规范编制或者项目管理、监理、检测等服务后再参加该采购项目的其他采购活动的。</w:t>
      </w:r>
    </w:p>
    <w:p>
      <w:pPr>
        <w:keepNext w:val="0"/>
        <w:keepLines w:val="0"/>
        <w:pageBreakBefore w:val="0"/>
        <w:widowControl w:val="0"/>
        <w:kinsoku/>
        <w:wordWrap/>
        <w:overflowPunct/>
        <w:topLinePunct w:val="0"/>
        <w:autoSpaceDE/>
        <w:autoSpaceDN/>
        <w:bidi w:val="0"/>
        <w:adjustRightInd/>
        <w:snapToGrid w:val="0"/>
        <w:spacing w:before="157" w:beforeLines="50" w:line="360" w:lineRule="auto"/>
        <w:ind w:firstLine="482" w:firstLineChars="200"/>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b/>
          <w:bCs/>
          <w:color w:val="auto"/>
          <w:sz w:val="24"/>
          <w:szCs w:val="24"/>
          <w:highlight w:val="none"/>
        </w:rPr>
        <w:t>以上承诺如有虚假或隐瞒，采购人可取消我方任何资格（投标/中标/签订合同），我方对此无任何异议，并愿意承担一切后果和责任。</w:t>
      </w:r>
    </w:p>
    <w:p>
      <w:pPr>
        <w:snapToGrid w:val="0"/>
        <w:spacing w:line="360" w:lineRule="auto"/>
        <w:rPr>
          <w:rFonts w:hint="eastAsia" w:ascii="仿宋" w:hAnsi="仿宋" w:eastAsia="仿宋" w:cs="仿宋"/>
          <w:color w:val="auto"/>
          <w:kern w:val="0"/>
          <w:sz w:val="24"/>
          <w:szCs w:val="24"/>
          <w:highlight w:val="none"/>
          <w:lang w:val="zh-CN"/>
        </w:rPr>
      </w:pPr>
    </w:p>
    <w:p>
      <w:pPr>
        <w:snapToGrid w:val="0"/>
        <w:spacing w:line="360" w:lineRule="auto"/>
        <w:ind w:firstLine="5520" w:firstLineChars="23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zh-CN"/>
        </w:rPr>
        <w:t>投标人名称(电子签名)：</w:t>
      </w:r>
    </w:p>
    <w:p>
      <w:pPr>
        <w:snapToGrid w:val="0"/>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zh-CN"/>
        </w:rPr>
        <w:t xml:space="preserve">                        </w:t>
      </w:r>
      <w:r>
        <w:rPr>
          <w:rFonts w:hint="eastAsia"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zh-CN"/>
        </w:rPr>
        <w:t>日期</w:t>
      </w:r>
      <w:r>
        <w:rPr>
          <w:rFonts w:hint="eastAsia" w:ascii="仿宋" w:hAnsi="仿宋" w:eastAsia="仿宋" w:cs="仿宋"/>
          <w:color w:val="auto"/>
          <w:kern w:val="0"/>
          <w:sz w:val="24"/>
          <w:szCs w:val="24"/>
          <w:highlight w:val="none"/>
        </w:rPr>
        <w:t xml:space="preserve">：  年  </w:t>
      </w:r>
      <w:r>
        <w:rPr>
          <w:rFonts w:hint="eastAsia" w:ascii="仿宋" w:hAnsi="仿宋" w:eastAsia="仿宋" w:cs="仿宋"/>
          <w:color w:val="auto"/>
          <w:kern w:val="0"/>
          <w:sz w:val="24"/>
          <w:szCs w:val="24"/>
          <w:highlight w:val="none"/>
          <w:lang w:val="zh-CN"/>
        </w:rPr>
        <w:t>月</w:t>
      </w:r>
      <w:r>
        <w:rPr>
          <w:rFonts w:hint="eastAsia"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zh-CN"/>
        </w:rPr>
        <w:t>日</w:t>
      </w:r>
    </w:p>
    <w:p>
      <w:pPr>
        <w:spacing w:line="360" w:lineRule="auto"/>
        <w:jc w:val="both"/>
        <w:rPr>
          <w:rFonts w:hint="eastAsia" w:ascii="仿宋" w:hAnsi="仿宋" w:eastAsia="仿宋" w:cs="仿宋"/>
          <w:b/>
          <w:color w:val="auto"/>
          <w:sz w:val="32"/>
          <w:szCs w:val="32"/>
          <w:highlight w:val="none"/>
          <w:lang w:eastAsia="zh-CN"/>
        </w:rPr>
      </w:pPr>
    </w:p>
    <w:p>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w:t>
      </w:r>
      <w:r>
        <w:rPr>
          <w:rFonts w:hint="eastAsia" w:ascii="仿宋" w:hAnsi="仿宋" w:eastAsia="仿宋" w:cs="仿宋"/>
          <w:b/>
          <w:color w:val="auto"/>
          <w:sz w:val="32"/>
          <w:szCs w:val="32"/>
          <w:highlight w:val="none"/>
          <w:lang w:val="en-US" w:eastAsia="zh-CN"/>
        </w:rPr>
        <w:t>三</w:t>
      </w:r>
      <w:r>
        <w:rPr>
          <w:rFonts w:hint="eastAsia" w:ascii="仿宋" w:hAnsi="仿宋" w:eastAsia="仿宋" w:cs="仿宋"/>
          <w:b/>
          <w:color w:val="auto"/>
          <w:sz w:val="32"/>
          <w:szCs w:val="32"/>
          <w:highlight w:val="none"/>
          <w:lang w:eastAsia="zh-CN"/>
        </w:rPr>
        <w:t>）</w:t>
      </w:r>
      <w:r>
        <w:rPr>
          <w:rFonts w:hint="eastAsia" w:ascii="仿宋" w:hAnsi="仿宋" w:eastAsia="仿宋" w:cs="仿宋"/>
          <w:b/>
          <w:color w:val="auto"/>
          <w:sz w:val="32"/>
          <w:szCs w:val="32"/>
          <w:highlight w:val="none"/>
        </w:rPr>
        <w:t>符合特定资格条件要求的资质文件（</w:t>
      </w:r>
      <w:r>
        <w:rPr>
          <w:rFonts w:hint="eastAsia" w:ascii="仿宋" w:hAnsi="仿宋" w:eastAsia="仿宋" w:cs="仿宋"/>
          <w:b/>
          <w:color w:val="auto"/>
          <w:sz w:val="32"/>
          <w:szCs w:val="32"/>
          <w:highlight w:val="none"/>
          <w:lang w:val="en-US" w:eastAsia="zh-CN"/>
        </w:rPr>
        <w:t>如有</w:t>
      </w:r>
      <w:r>
        <w:rPr>
          <w:rFonts w:hint="eastAsia" w:ascii="仿宋" w:hAnsi="仿宋" w:eastAsia="仿宋" w:cs="仿宋"/>
          <w:b/>
          <w:color w:val="auto"/>
          <w:sz w:val="32"/>
          <w:szCs w:val="32"/>
          <w:highlight w:val="none"/>
        </w:rPr>
        <w:t>）</w:t>
      </w:r>
    </w:p>
    <w:p>
      <w:pPr>
        <w:widowControl/>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（由供应商根据“</w:t>
      </w:r>
      <w:r>
        <w:rPr>
          <w:rFonts w:hint="eastAsia" w:ascii="仿宋" w:hAnsi="仿宋" w:eastAsia="仿宋" w:cs="仿宋"/>
          <w:color w:val="auto"/>
          <w:sz w:val="24"/>
          <w:szCs w:val="24"/>
          <w:highlight w:val="none"/>
          <w:lang w:val="en-US" w:eastAsia="zh-CN"/>
        </w:rPr>
        <w:t>招标</w:t>
      </w:r>
      <w:r>
        <w:rPr>
          <w:rFonts w:hint="eastAsia" w:ascii="仿宋" w:hAnsi="仿宋" w:eastAsia="仿宋" w:cs="仿宋"/>
          <w:color w:val="auto"/>
          <w:sz w:val="24"/>
          <w:szCs w:val="24"/>
          <w:highlight w:val="none"/>
        </w:rPr>
        <w:t>文件第一部分”中“合格的供应商应具备的特定资格要求”编制；如果本项目没有设置特定资格条件，则不需要提供）</w:t>
      </w:r>
    </w:p>
    <w:p>
      <w:pPr>
        <w:widowControl/>
        <w:spacing w:line="360" w:lineRule="auto"/>
        <w:ind w:firstLine="480" w:firstLineChars="200"/>
        <w:jc w:val="left"/>
        <w:rPr>
          <w:rFonts w:hint="eastAsia" w:ascii="仿宋" w:hAnsi="仿宋" w:eastAsia="仿宋" w:cs="仿宋"/>
          <w:color w:val="auto"/>
          <w:sz w:val="24"/>
          <w:szCs w:val="24"/>
          <w:highlight w:val="none"/>
        </w:rPr>
      </w:pPr>
    </w:p>
    <w:p>
      <w:pPr>
        <w:pStyle w:val="34"/>
        <w:rPr>
          <w:rFonts w:hint="eastAsia" w:ascii="仿宋" w:hAnsi="仿宋" w:eastAsia="仿宋" w:cs="仿宋"/>
          <w:color w:val="auto"/>
          <w:sz w:val="24"/>
          <w:szCs w:val="24"/>
          <w:highlight w:val="none"/>
        </w:rPr>
      </w:pPr>
    </w:p>
    <w:p>
      <w:pPr>
        <w:pStyle w:val="79"/>
        <w:rPr>
          <w:rFonts w:hint="eastAsia" w:ascii="仿宋" w:hAnsi="仿宋" w:eastAsia="仿宋" w:cs="仿宋"/>
          <w:color w:val="auto"/>
          <w:sz w:val="24"/>
          <w:szCs w:val="24"/>
          <w:highlight w:val="none"/>
        </w:rPr>
      </w:pPr>
    </w:p>
    <w:p>
      <w:pPr>
        <w:snapToGrid w:val="0"/>
        <w:spacing w:line="360" w:lineRule="auto"/>
        <w:ind w:firstLine="5880" w:firstLineChars="245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zh-CN"/>
        </w:rPr>
        <w:t>投标人名称(电子签名)：</w:t>
      </w:r>
    </w:p>
    <w:p>
      <w:pPr>
        <w:snapToGrid w:val="0"/>
        <w:spacing w:line="360" w:lineRule="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 xml:space="preserve">                                                 签发日期：  年  月   日</w:t>
      </w:r>
    </w:p>
    <w:p>
      <w:pPr>
        <w:snapToGrid w:val="0"/>
        <w:spacing w:line="360" w:lineRule="auto"/>
        <w:rPr>
          <w:rFonts w:hint="eastAsia" w:ascii="仿宋" w:hAnsi="仿宋" w:eastAsia="仿宋" w:cs="仿宋"/>
          <w:color w:val="auto"/>
          <w:kern w:val="0"/>
          <w:sz w:val="24"/>
          <w:szCs w:val="24"/>
          <w:highlight w:val="none"/>
          <w:lang w:val="zh-CN"/>
        </w:rPr>
      </w:pPr>
    </w:p>
    <w:p>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eastAsia" w:ascii="仿宋" w:hAnsi="仿宋" w:eastAsia="仿宋" w:cs="仿宋"/>
          <w:b/>
          <w:bCs/>
          <w:color w:val="auto"/>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eastAsia" w:ascii="仿宋" w:hAnsi="仿宋" w:eastAsia="仿宋" w:cs="仿宋"/>
          <w:b/>
          <w:bCs/>
          <w:color w:val="auto"/>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eastAsia" w:ascii="仿宋" w:hAnsi="仿宋" w:eastAsia="仿宋" w:cs="仿宋"/>
          <w:b/>
          <w:bCs/>
          <w:color w:val="auto"/>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eastAsia" w:ascii="仿宋" w:hAnsi="仿宋" w:eastAsia="仿宋" w:cs="仿宋"/>
          <w:b/>
          <w:bCs/>
          <w:color w:val="auto"/>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eastAsia" w:ascii="仿宋" w:hAnsi="仿宋" w:eastAsia="仿宋" w:cs="仿宋"/>
          <w:b/>
          <w:bCs/>
          <w:color w:val="auto"/>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eastAsia" w:ascii="仿宋" w:hAnsi="仿宋" w:eastAsia="仿宋" w:cs="仿宋"/>
          <w:b/>
          <w:bCs/>
          <w:color w:val="auto"/>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eastAsia" w:ascii="仿宋" w:hAnsi="仿宋" w:eastAsia="仿宋" w:cs="仿宋"/>
          <w:b/>
          <w:bCs/>
          <w:color w:val="auto"/>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eastAsia" w:ascii="仿宋" w:hAnsi="仿宋" w:eastAsia="仿宋" w:cs="仿宋"/>
          <w:b/>
          <w:bCs/>
          <w:color w:val="auto"/>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eastAsia" w:ascii="仿宋" w:hAnsi="仿宋" w:eastAsia="仿宋" w:cs="仿宋"/>
          <w:b/>
          <w:bCs/>
          <w:color w:val="auto"/>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eastAsia" w:ascii="仿宋" w:hAnsi="仿宋" w:eastAsia="仿宋" w:cs="仿宋"/>
          <w:b/>
          <w:bCs/>
          <w:color w:val="auto"/>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eastAsia" w:ascii="仿宋" w:hAnsi="仿宋" w:eastAsia="仿宋" w:cs="仿宋"/>
          <w:b/>
          <w:bCs/>
          <w:color w:val="auto"/>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eastAsia" w:ascii="仿宋" w:hAnsi="仿宋" w:eastAsia="仿宋" w:cs="仿宋"/>
          <w:b/>
          <w:bCs/>
          <w:color w:val="auto"/>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eastAsia" w:ascii="仿宋" w:hAnsi="仿宋" w:eastAsia="仿宋" w:cs="仿宋"/>
          <w:b/>
          <w:bCs/>
          <w:color w:val="auto"/>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eastAsia" w:ascii="仿宋" w:hAnsi="仿宋" w:eastAsia="仿宋" w:cs="仿宋"/>
          <w:b/>
          <w:bCs/>
          <w:color w:val="auto"/>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eastAsia" w:ascii="仿宋" w:hAnsi="仿宋" w:eastAsia="仿宋" w:cs="仿宋"/>
          <w:b/>
          <w:bCs/>
          <w:color w:val="auto"/>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br w:type="page"/>
      </w:r>
    </w:p>
    <w:p>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eastAsia" w:ascii="仿宋" w:hAnsi="仿宋" w:eastAsia="仿宋" w:cs="仿宋"/>
          <w:b/>
          <w:bCs/>
          <w:color w:val="auto"/>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eastAsia" w:ascii="仿宋" w:hAnsi="仿宋" w:eastAsia="仿宋" w:cs="仿宋"/>
          <w:b/>
          <w:bCs/>
          <w:color w:val="auto"/>
          <w:sz w:val="32"/>
          <w:szCs w:val="32"/>
          <w:highlight w:val="none"/>
          <w:lang w:eastAsia="zh-CN"/>
        </w:rPr>
      </w:pPr>
    </w:p>
    <w:p>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eastAsia" w:ascii="仿宋" w:hAnsi="仿宋" w:eastAsia="仿宋" w:cs="仿宋"/>
          <w:b/>
          <w:color w:val="auto"/>
          <w:sz w:val="24"/>
          <w:szCs w:val="24"/>
          <w:highlight w:val="none"/>
          <w:lang w:eastAsia="zh-CN"/>
        </w:rPr>
      </w:pPr>
      <w:r>
        <w:rPr>
          <w:rFonts w:hint="eastAsia" w:ascii="仿宋" w:hAnsi="仿宋" w:eastAsia="仿宋" w:cs="仿宋"/>
          <w:b/>
          <w:bCs/>
          <w:color w:val="auto"/>
          <w:sz w:val="32"/>
          <w:szCs w:val="32"/>
          <w:highlight w:val="none"/>
          <w:lang w:eastAsia="zh-CN"/>
        </w:rPr>
        <w:t>二、</w:t>
      </w:r>
      <w:r>
        <w:rPr>
          <w:rFonts w:hint="eastAsia" w:ascii="仿宋" w:hAnsi="仿宋" w:eastAsia="仿宋" w:cs="仿宋"/>
          <w:b/>
          <w:color w:val="auto"/>
          <w:sz w:val="32"/>
          <w:szCs w:val="32"/>
          <w:highlight w:val="none"/>
        </w:rPr>
        <w:t>资信文件</w:t>
      </w:r>
      <w:r>
        <w:rPr>
          <w:rFonts w:hint="eastAsia" w:ascii="仿宋" w:hAnsi="仿宋" w:eastAsia="仿宋" w:cs="仿宋"/>
          <w:b/>
          <w:color w:val="auto"/>
          <w:sz w:val="32"/>
          <w:szCs w:val="32"/>
          <w:highlight w:val="none"/>
          <w:lang w:eastAsia="zh-CN"/>
        </w:rPr>
        <w:t>目录</w:t>
      </w:r>
    </w:p>
    <w:p>
      <w:pPr>
        <w:pStyle w:val="43"/>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lang w:val="en-US" w:eastAsia="zh-CN"/>
        </w:rPr>
      </w:pPr>
    </w:p>
    <w:p>
      <w:pPr>
        <w:pStyle w:val="43"/>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（1）评分索引表【格式附后】；</w:t>
      </w:r>
    </w:p>
    <w:p>
      <w:pPr>
        <w:pStyle w:val="43"/>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（2）营业执照扫描件；</w:t>
      </w:r>
    </w:p>
    <w:p>
      <w:pPr>
        <w:pStyle w:val="43"/>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（3）投标响应函【格式附后】；</w:t>
      </w:r>
    </w:p>
    <w:p>
      <w:pPr>
        <w:pStyle w:val="43"/>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（4）授权委托书或法定代表人（单位负责人、自然人本人）身份证明【格式附后】；</w:t>
      </w:r>
    </w:p>
    <w:p>
      <w:pPr>
        <w:pStyle w:val="43"/>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（5）主要业绩证明【格式附后】；</w:t>
      </w:r>
    </w:p>
    <w:p>
      <w:pPr>
        <w:pStyle w:val="43"/>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（6）项目小组人员名单【格式附后】；</w:t>
      </w:r>
    </w:p>
    <w:p>
      <w:pPr>
        <w:pStyle w:val="43"/>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（7）商务资信响应表、技术偏离表【格式附后】；</w:t>
      </w:r>
    </w:p>
    <w:p>
      <w:pPr>
        <w:pStyle w:val="43"/>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（8）评标标准相应的商务技术资料；</w:t>
      </w:r>
    </w:p>
    <w:p>
      <w:pPr>
        <w:pStyle w:val="43"/>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（9）供应商廉洁自律承诺书【格式附后】；</w:t>
      </w:r>
    </w:p>
    <w:p>
      <w:pPr>
        <w:pStyle w:val="43"/>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（10）投标人认为需要提供的与本项目其他相关资料。</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Style w:val="486"/>
          <w:rFonts w:hint="eastAsia" w:ascii="仿宋" w:hAnsi="仿宋" w:eastAsia="仿宋" w:cs="仿宋"/>
          <w:b/>
          <w:bCs/>
          <w:color w:val="auto"/>
          <w:sz w:val="32"/>
          <w:szCs w:val="32"/>
        </w:rPr>
      </w:pPr>
      <w:r>
        <w:rPr>
          <w:rFonts w:hint="eastAsia" w:ascii="仿宋" w:hAnsi="仿宋" w:eastAsia="仿宋" w:cs="仿宋"/>
          <w:b/>
          <w:color w:val="auto"/>
          <w:spacing w:val="20"/>
          <w:sz w:val="24"/>
          <w:szCs w:val="24"/>
          <w:highlight w:val="none"/>
        </w:rPr>
        <w:t>注：以上目录是编制</w:t>
      </w:r>
      <w:r>
        <w:rPr>
          <w:rFonts w:hint="eastAsia" w:ascii="仿宋" w:hAnsi="仿宋" w:eastAsia="仿宋" w:cs="仿宋"/>
          <w:b/>
          <w:color w:val="auto"/>
          <w:spacing w:val="20"/>
          <w:sz w:val="24"/>
          <w:szCs w:val="24"/>
          <w:highlight w:val="none"/>
          <w:lang w:val="en-US" w:eastAsia="zh-CN"/>
        </w:rPr>
        <w:t>投标</w:t>
      </w:r>
      <w:r>
        <w:rPr>
          <w:rFonts w:hint="eastAsia" w:ascii="仿宋" w:hAnsi="仿宋" w:eastAsia="仿宋" w:cs="仿宋"/>
          <w:b/>
          <w:color w:val="auto"/>
          <w:spacing w:val="20"/>
          <w:sz w:val="24"/>
          <w:szCs w:val="24"/>
          <w:highlight w:val="none"/>
        </w:rPr>
        <w:t>文件</w:t>
      </w:r>
      <w:r>
        <w:rPr>
          <w:rFonts w:hint="eastAsia" w:ascii="仿宋" w:hAnsi="仿宋" w:eastAsia="仿宋" w:cs="仿宋"/>
          <w:b/>
          <w:color w:val="auto"/>
          <w:spacing w:val="20"/>
          <w:sz w:val="24"/>
          <w:szCs w:val="24"/>
          <w:highlight w:val="none"/>
          <w:lang w:eastAsia="zh-CN"/>
        </w:rPr>
        <w:t>商务技术文件部分</w:t>
      </w:r>
      <w:r>
        <w:rPr>
          <w:rFonts w:hint="eastAsia" w:ascii="仿宋" w:hAnsi="仿宋" w:eastAsia="仿宋" w:cs="仿宋"/>
          <w:b/>
          <w:color w:val="auto"/>
          <w:spacing w:val="20"/>
          <w:sz w:val="24"/>
          <w:szCs w:val="24"/>
          <w:highlight w:val="none"/>
        </w:rPr>
        <w:t>的基本格式要求，各</w:t>
      </w:r>
      <w:r>
        <w:rPr>
          <w:rFonts w:hint="eastAsia" w:ascii="仿宋" w:hAnsi="仿宋" w:eastAsia="仿宋" w:cs="仿宋"/>
          <w:b/>
          <w:color w:val="auto"/>
          <w:spacing w:val="20"/>
          <w:sz w:val="24"/>
          <w:szCs w:val="24"/>
          <w:highlight w:val="none"/>
          <w:lang w:val="en-US" w:eastAsia="zh-CN"/>
        </w:rPr>
        <w:t>投标人</w:t>
      </w:r>
      <w:r>
        <w:rPr>
          <w:rFonts w:hint="eastAsia" w:ascii="仿宋" w:hAnsi="仿宋" w:eastAsia="仿宋" w:cs="仿宋"/>
          <w:b/>
          <w:color w:val="auto"/>
          <w:spacing w:val="20"/>
          <w:sz w:val="24"/>
          <w:szCs w:val="24"/>
          <w:highlight w:val="none"/>
        </w:rPr>
        <w:t>可根据自身情况进一步细化（关联）。</w:t>
      </w:r>
      <w:r>
        <w:rPr>
          <w:rStyle w:val="486"/>
          <w:rFonts w:hint="eastAsia" w:ascii="仿宋" w:hAnsi="仿宋" w:eastAsia="仿宋" w:cs="仿宋"/>
          <w:b/>
          <w:bCs/>
          <w:color w:val="auto"/>
          <w:sz w:val="32"/>
          <w:szCs w:val="32"/>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Style w:val="486"/>
          <w:rFonts w:hint="eastAsia" w:ascii="仿宋" w:hAnsi="仿宋" w:eastAsia="仿宋" w:cs="仿宋"/>
          <w:b/>
          <w:bCs/>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Style w:val="486"/>
          <w:rFonts w:hint="eastAsia" w:ascii="仿宋" w:hAnsi="仿宋" w:eastAsia="仿宋" w:cs="仿宋"/>
          <w:b/>
          <w:bCs/>
          <w:color w:val="auto"/>
          <w:sz w:val="32"/>
          <w:szCs w:val="32"/>
          <w:lang w:val="en-US" w:eastAsia="zh-CN"/>
        </w:rPr>
      </w:pPr>
    </w:p>
    <w:p>
      <w:pPr>
        <w:widowControl/>
        <w:rPr>
          <w:rFonts w:hint="eastAsia" w:ascii="仿宋" w:hAnsi="仿宋" w:eastAsia="仿宋" w:cs="仿宋"/>
          <w:color w:val="auto"/>
          <w:kern w:val="0"/>
          <w:sz w:val="24"/>
          <w:szCs w:val="24"/>
        </w:rPr>
      </w:pPr>
    </w:p>
    <w:p>
      <w:pPr>
        <w:widowControl/>
        <w:rPr>
          <w:rFonts w:hint="eastAsia" w:ascii="仿宋" w:hAnsi="仿宋" w:eastAsia="仿宋" w:cs="仿宋"/>
          <w:color w:val="auto"/>
          <w:kern w:val="0"/>
          <w:sz w:val="24"/>
          <w:szCs w:val="24"/>
        </w:rPr>
      </w:pPr>
    </w:p>
    <w:p>
      <w:pPr>
        <w:widowControl/>
        <w:rPr>
          <w:rFonts w:hint="eastAsia" w:ascii="仿宋" w:hAnsi="仿宋" w:eastAsia="仿宋" w:cs="仿宋"/>
          <w:color w:val="auto"/>
          <w:kern w:val="0"/>
          <w:sz w:val="24"/>
          <w:szCs w:val="24"/>
        </w:rPr>
      </w:pPr>
    </w:p>
    <w:p>
      <w:pPr>
        <w:widowControl/>
        <w:rPr>
          <w:rFonts w:hint="eastAsia" w:ascii="仿宋" w:hAnsi="仿宋" w:eastAsia="仿宋" w:cs="仿宋"/>
          <w:color w:val="auto"/>
          <w:kern w:val="0"/>
          <w:sz w:val="24"/>
          <w:szCs w:val="24"/>
        </w:rPr>
      </w:pPr>
    </w:p>
    <w:p>
      <w:pPr>
        <w:widowControl/>
        <w:rPr>
          <w:rFonts w:hint="eastAsia" w:ascii="仿宋" w:hAnsi="仿宋" w:eastAsia="仿宋" w:cs="仿宋"/>
          <w:color w:val="auto"/>
          <w:kern w:val="0"/>
          <w:sz w:val="24"/>
          <w:szCs w:val="24"/>
        </w:rPr>
      </w:pPr>
    </w:p>
    <w:p>
      <w:pPr>
        <w:widowControl/>
        <w:rPr>
          <w:rFonts w:hint="eastAsia" w:ascii="仿宋" w:hAnsi="仿宋" w:eastAsia="仿宋" w:cs="仿宋"/>
          <w:color w:val="auto"/>
          <w:kern w:val="0"/>
          <w:sz w:val="24"/>
          <w:szCs w:val="24"/>
        </w:rPr>
      </w:pPr>
    </w:p>
    <w:p>
      <w:pPr>
        <w:widowControl/>
        <w:rPr>
          <w:rFonts w:hint="eastAsia" w:ascii="仿宋" w:hAnsi="仿宋" w:eastAsia="仿宋" w:cs="仿宋"/>
          <w:color w:val="auto"/>
          <w:kern w:val="0"/>
          <w:sz w:val="24"/>
          <w:szCs w:val="24"/>
        </w:rPr>
      </w:pPr>
    </w:p>
    <w:p>
      <w:pPr>
        <w:widowControl/>
        <w:rPr>
          <w:rFonts w:hint="eastAsia" w:ascii="仿宋" w:hAnsi="仿宋" w:eastAsia="仿宋" w:cs="仿宋"/>
          <w:color w:val="auto"/>
          <w:kern w:val="0"/>
          <w:sz w:val="24"/>
          <w:szCs w:val="24"/>
        </w:rPr>
      </w:pPr>
    </w:p>
    <w:p>
      <w:pPr>
        <w:widowControl/>
        <w:rPr>
          <w:rFonts w:hint="eastAsia" w:ascii="仿宋" w:hAnsi="仿宋" w:eastAsia="仿宋" w:cs="仿宋"/>
          <w:color w:val="auto"/>
          <w:kern w:val="0"/>
          <w:sz w:val="24"/>
          <w:szCs w:val="24"/>
        </w:rPr>
      </w:pPr>
    </w:p>
    <w:p>
      <w:pPr>
        <w:widowControl/>
        <w:rPr>
          <w:rFonts w:hint="eastAsia" w:ascii="仿宋" w:hAnsi="仿宋" w:eastAsia="仿宋" w:cs="仿宋"/>
          <w:color w:val="auto"/>
          <w:kern w:val="0"/>
          <w:sz w:val="24"/>
          <w:szCs w:val="24"/>
        </w:rPr>
      </w:pPr>
    </w:p>
    <w:p>
      <w:pPr>
        <w:widowControl/>
        <w:rPr>
          <w:rFonts w:hint="eastAsia" w:ascii="仿宋" w:hAnsi="仿宋" w:eastAsia="仿宋" w:cs="仿宋"/>
          <w:color w:val="auto"/>
          <w:kern w:val="0"/>
          <w:sz w:val="24"/>
          <w:szCs w:val="24"/>
        </w:rPr>
      </w:pPr>
    </w:p>
    <w:p>
      <w:pPr>
        <w:widowControl/>
        <w:rPr>
          <w:rFonts w:hint="eastAsia" w:ascii="仿宋" w:hAnsi="仿宋" w:eastAsia="仿宋" w:cs="仿宋"/>
          <w:color w:val="auto"/>
          <w:kern w:val="0"/>
          <w:sz w:val="24"/>
          <w:szCs w:val="24"/>
        </w:rPr>
      </w:pPr>
    </w:p>
    <w:p>
      <w:pPr>
        <w:widowControl/>
        <w:rPr>
          <w:rFonts w:hint="eastAsia" w:ascii="仿宋" w:hAnsi="仿宋" w:eastAsia="仿宋" w:cs="仿宋"/>
          <w:color w:val="auto"/>
          <w:kern w:val="0"/>
          <w:sz w:val="24"/>
          <w:szCs w:val="24"/>
        </w:rPr>
      </w:pPr>
    </w:p>
    <w:p>
      <w:pPr>
        <w:widowControl/>
        <w:rPr>
          <w:rFonts w:hint="eastAsia" w:ascii="仿宋" w:hAnsi="仿宋" w:eastAsia="仿宋" w:cs="仿宋"/>
          <w:color w:val="auto"/>
          <w:kern w:val="0"/>
          <w:sz w:val="24"/>
          <w:szCs w:val="24"/>
        </w:rPr>
      </w:pPr>
    </w:p>
    <w:p>
      <w:pPr>
        <w:widowControl/>
        <w:rPr>
          <w:rFonts w:hint="eastAsia" w:ascii="仿宋" w:hAnsi="仿宋" w:eastAsia="仿宋" w:cs="仿宋"/>
          <w:color w:val="auto"/>
          <w:kern w:val="0"/>
          <w:sz w:val="24"/>
          <w:szCs w:val="24"/>
        </w:rPr>
      </w:pPr>
    </w:p>
    <w:p>
      <w:pPr>
        <w:widowControl/>
        <w:rPr>
          <w:rFonts w:hint="eastAsia" w:ascii="仿宋" w:hAnsi="仿宋" w:eastAsia="仿宋" w:cs="仿宋"/>
          <w:color w:val="auto"/>
          <w:kern w:val="0"/>
          <w:sz w:val="24"/>
          <w:szCs w:val="24"/>
        </w:rPr>
      </w:pPr>
    </w:p>
    <w:p>
      <w:pPr>
        <w:widowControl/>
        <w:rPr>
          <w:rFonts w:hint="eastAsia" w:ascii="仿宋" w:hAnsi="仿宋" w:eastAsia="仿宋" w:cs="仿宋"/>
          <w:color w:val="auto"/>
          <w:kern w:val="0"/>
          <w:sz w:val="24"/>
          <w:szCs w:val="24"/>
        </w:rPr>
      </w:pPr>
    </w:p>
    <w:p>
      <w:pPr>
        <w:widowControl/>
        <w:rPr>
          <w:rFonts w:hint="eastAsia" w:ascii="仿宋" w:hAnsi="仿宋" w:eastAsia="仿宋" w:cs="仿宋"/>
          <w:color w:val="auto"/>
          <w:kern w:val="0"/>
          <w:sz w:val="24"/>
          <w:szCs w:val="24"/>
        </w:rPr>
      </w:pPr>
    </w:p>
    <w:p>
      <w:pPr>
        <w:spacing w:line="500" w:lineRule="exact"/>
        <w:jc w:val="center"/>
        <w:textAlignment w:val="baseline"/>
        <w:rPr>
          <w:rStyle w:val="505"/>
          <w:rFonts w:hint="eastAsia" w:ascii="仿宋" w:hAnsi="仿宋" w:eastAsia="仿宋" w:cs="仿宋"/>
          <w:b/>
          <w:bCs/>
          <w:color w:val="auto"/>
          <w:sz w:val="32"/>
          <w:szCs w:val="32"/>
          <w:highlight w:val="none"/>
        </w:rPr>
      </w:pPr>
      <w:r>
        <w:rPr>
          <w:rStyle w:val="505"/>
          <w:rFonts w:hint="eastAsia" w:ascii="仿宋" w:hAnsi="仿宋" w:eastAsia="仿宋" w:cs="仿宋"/>
          <w:b/>
          <w:bCs/>
          <w:color w:val="auto"/>
          <w:sz w:val="32"/>
          <w:szCs w:val="32"/>
          <w:highlight w:val="none"/>
          <w:lang w:eastAsia="zh-CN"/>
        </w:rPr>
        <w:t>（</w:t>
      </w:r>
      <w:r>
        <w:rPr>
          <w:rStyle w:val="505"/>
          <w:rFonts w:hint="eastAsia" w:ascii="仿宋" w:hAnsi="仿宋" w:eastAsia="仿宋" w:cs="仿宋"/>
          <w:b/>
          <w:bCs/>
          <w:color w:val="auto"/>
          <w:sz w:val="32"/>
          <w:szCs w:val="32"/>
          <w:highlight w:val="none"/>
          <w:lang w:val="en-US" w:eastAsia="zh-CN"/>
        </w:rPr>
        <w:t>一</w:t>
      </w:r>
      <w:r>
        <w:rPr>
          <w:rStyle w:val="505"/>
          <w:rFonts w:hint="eastAsia" w:ascii="仿宋" w:hAnsi="仿宋" w:eastAsia="仿宋" w:cs="仿宋"/>
          <w:b/>
          <w:bCs/>
          <w:color w:val="auto"/>
          <w:sz w:val="32"/>
          <w:szCs w:val="32"/>
          <w:highlight w:val="none"/>
          <w:lang w:eastAsia="zh-CN"/>
        </w:rPr>
        <w:t>）</w:t>
      </w:r>
      <w:r>
        <w:rPr>
          <w:rStyle w:val="505"/>
          <w:rFonts w:hint="eastAsia" w:ascii="仿宋" w:hAnsi="仿宋" w:eastAsia="仿宋" w:cs="仿宋"/>
          <w:b/>
          <w:bCs/>
          <w:color w:val="auto"/>
          <w:sz w:val="32"/>
          <w:szCs w:val="32"/>
          <w:highlight w:val="none"/>
        </w:rPr>
        <w:t>评分索引表</w:t>
      </w:r>
    </w:p>
    <w:tbl>
      <w:tblPr>
        <w:tblStyle w:val="82"/>
        <w:tblW w:w="9143" w:type="dxa"/>
        <w:jc w:val="center"/>
        <w:tblInd w:w="0" w:type="dxa"/>
        <w:tblLayout w:type="fixed"/>
        <w:tblCellMar>
          <w:top w:w="0" w:type="dxa"/>
          <w:left w:w="0" w:type="dxa"/>
          <w:bottom w:w="0" w:type="dxa"/>
          <w:right w:w="0" w:type="dxa"/>
        </w:tblCellMar>
      </w:tblPr>
      <w:tblGrid>
        <w:gridCol w:w="733"/>
        <w:gridCol w:w="1723"/>
        <w:gridCol w:w="4551"/>
        <w:gridCol w:w="1114"/>
        <w:gridCol w:w="1022"/>
      </w:tblGrid>
      <w:tr>
        <w:tblPrEx>
          <w:tblLayout w:type="fixed"/>
          <w:tblCellMar>
            <w:top w:w="0" w:type="dxa"/>
            <w:left w:w="0" w:type="dxa"/>
            <w:bottom w:w="0" w:type="dxa"/>
            <w:right w:w="0" w:type="dxa"/>
          </w:tblCellMar>
        </w:tblPrEx>
        <w:trPr>
          <w:trHeight w:val="863" w:hRule="atLeast"/>
          <w:jc w:val="center"/>
        </w:trPr>
        <w:tc>
          <w:tcPr>
            <w:tcW w:w="7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505"/>
                <w:rFonts w:hint="eastAsia" w:ascii="仿宋" w:hAnsi="仿宋" w:eastAsia="仿宋" w:cs="仿宋"/>
                <w:b/>
                <w:bCs/>
                <w:color w:val="auto"/>
                <w:sz w:val="24"/>
                <w:szCs w:val="24"/>
                <w:highlight w:val="none"/>
                <w:lang w:eastAsia="zh-CN"/>
              </w:rPr>
            </w:pPr>
            <w:r>
              <w:rPr>
                <w:rStyle w:val="505"/>
                <w:rFonts w:hint="eastAsia" w:ascii="仿宋" w:hAnsi="仿宋" w:eastAsia="仿宋" w:cs="仿宋"/>
                <w:b/>
                <w:bCs/>
                <w:color w:val="auto"/>
                <w:sz w:val="24"/>
                <w:szCs w:val="24"/>
                <w:highlight w:val="none"/>
                <w:lang w:eastAsia="zh-CN"/>
              </w:rPr>
              <w:t>序号</w:t>
            </w:r>
          </w:p>
        </w:tc>
        <w:tc>
          <w:tcPr>
            <w:tcW w:w="17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505"/>
                <w:rFonts w:hint="eastAsia" w:ascii="仿宋" w:hAnsi="仿宋" w:eastAsia="仿宋" w:cs="仿宋"/>
                <w:b/>
                <w:bCs/>
                <w:color w:val="auto"/>
                <w:sz w:val="24"/>
                <w:szCs w:val="24"/>
                <w:highlight w:val="none"/>
              </w:rPr>
            </w:pPr>
            <w:r>
              <w:rPr>
                <w:rStyle w:val="505"/>
                <w:rFonts w:hint="eastAsia" w:ascii="仿宋" w:hAnsi="仿宋" w:eastAsia="仿宋" w:cs="仿宋"/>
                <w:b/>
                <w:bCs/>
                <w:color w:val="auto"/>
                <w:sz w:val="24"/>
                <w:szCs w:val="24"/>
                <w:highlight w:val="none"/>
              </w:rPr>
              <w:t>评审内容</w:t>
            </w:r>
          </w:p>
        </w:tc>
        <w:tc>
          <w:tcPr>
            <w:tcW w:w="45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505"/>
                <w:rFonts w:hint="eastAsia" w:ascii="仿宋" w:hAnsi="仿宋" w:eastAsia="仿宋" w:cs="仿宋"/>
                <w:b/>
                <w:bCs/>
                <w:color w:val="auto"/>
                <w:sz w:val="24"/>
                <w:szCs w:val="24"/>
                <w:highlight w:val="none"/>
              </w:rPr>
            </w:pPr>
            <w:r>
              <w:rPr>
                <w:rStyle w:val="505"/>
                <w:rFonts w:hint="eastAsia" w:ascii="仿宋" w:hAnsi="仿宋" w:eastAsia="仿宋" w:cs="仿宋"/>
                <w:b/>
                <w:bCs/>
                <w:color w:val="auto"/>
                <w:sz w:val="24"/>
                <w:szCs w:val="24"/>
                <w:highlight w:val="none"/>
              </w:rPr>
              <w:t>评分标准</w:t>
            </w:r>
          </w:p>
        </w:tc>
        <w:tc>
          <w:tcPr>
            <w:tcW w:w="11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505"/>
                <w:rFonts w:hint="eastAsia" w:ascii="仿宋" w:hAnsi="仿宋" w:eastAsia="仿宋" w:cs="仿宋"/>
                <w:b/>
                <w:bCs/>
                <w:color w:val="auto"/>
                <w:sz w:val="24"/>
                <w:szCs w:val="24"/>
                <w:highlight w:val="none"/>
              </w:rPr>
            </w:pPr>
            <w:r>
              <w:rPr>
                <w:rStyle w:val="505"/>
                <w:rFonts w:hint="eastAsia" w:ascii="仿宋" w:hAnsi="仿宋" w:eastAsia="仿宋" w:cs="仿宋"/>
                <w:b/>
                <w:bCs/>
                <w:color w:val="auto"/>
                <w:sz w:val="24"/>
                <w:szCs w:val="24"/>
                <w:highlight w:val="none"/>
              </w:rPr>
              <w:t>分值</w:t>
            </w:r>
          </w:p>
        </w:tc>
        <w:tc>
          <w:tcPr>
            <w:tcW w:w="10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505"/>
                <w:rFonts w:hint="eastAsia" w:ascii="仿宋" w:hAnsi="仿宋" w:eastAsia="仿宋" w:cs="仿宋"/>
                <w:b/>
                <w:bCs/>
                <w:color w:val="auto"/>
                <w:sz w:val="24"/>
                <w:szCs w:val="24"/>
                <w:highlight w:val="none"/>
                <w:lang w:eastAsia="zh-CN"/>
              </w:rPr>
            </w:pPr>
            <w:r>
              <w:rPr>
                <w:rStyle w:val="505"/>
                <w:rFonts w:hint="eastAsia" w:ascii="仿宋" w:hAnsi="仿宋" w:eastAsia="仿宋" w:cs="仿宋"/>
                <w:b/>
                <w:bCs/>
                <w:color w:val="auto"/>
                <w:sz w:val="24"/>
                <w:szCs w:val="24"/>
                <w:highlight w:val="none"/>
              </w:rPr>
              <w:t>评分对应页码</w:t>
            </w:r>
          </w:p>
        </w:tc>
      </w:tr>
      <w:tr>
        <w:tblPrEx>
          <w:tblLayout w:type="fixed"/>
          <w:tblCellMar>
            <w:top w:w="0" w:type="dxa"/>
            <w:left w:w="0" w:type="dxa"/>
            <w:bottom w:w="0" w:type="dxa"/>
            <w:right w:w="0" w:type="dxa"/>
          </w:tblCellMar>
        </w:tblPrEx>
        <w:trPr>
          <w:trHeight w:val="737" w:hRule="atLeast"/>
          <w:jc w:val="center"/>
        </w:trPr>
        <w:tc>
          <w:tcPr>
            <w:tcW w:w="7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505"/>
                <w:rFonts w:hint="eastAsia" w:ascii="仿宋" w:hAnsi="仿宋" w:eastAsia="仿宋" w:cs="仿宋"/>
                <w:color w:val="auto"/>
                <w:sz w:val="24"/>
                <w:szCs w:val="24"/>
                <w:highlight w:val="none"/>
                <w:lang w:val="en-US" w:eastAsia="zh-CN"/>
              </w:rPr>
            </w:pPr>
            <w:r>
              <w:rPr>
                <w:rStyle w:val="505"/>
                <w:rFonts w:hint="eastAsia" w:ascii="仿宋" w:hAnsi="仿宋" w:eastAsia="仿宋" w:cs="仿宋"/>
                <w:color w:val="auto"/>
                <w:sz w:val="24"/>
                <w:szCs w:val="24"/>
                <w:highlight w:val="none"/>
                <w:lang w:val="en-US" w:eastAsia="zh-CN"/>
              </w:rPr>
              <w:t>1</w:t>
            </w:r>
          </w:p>
        </w:tc>
        <w:tc>
          <w:tcPr>
            <w:tcW w:w="17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505"/>
                <w:rFonts w:hint="eastAsia" w:ascii="仿宋" w:hAnsi="仿宋" w:eastAsia="仿宋" w:cs="仿宋"/>
                <w:color w:val="auto"/>
                <w:sz w:val="24"/>
                <w:szCs w:val="24"/>
                <w:highlight w:val="none"/>
              </w:rPr>
            </w:pPr>
          </w:p>
        </w:tc>
        <w:tc>
          <w:tcPr>
            <w:tcW w:w="45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left"/>
              <w:textAlignment w:val="center"/>
              <w:rPr>
                <w:rStyle w:val="505"/>
                <w:rFonts w:hint="eastAsia" w:ascii="仿宋" w:hAnsi="仿宋" w:eastAsia="仿宋" w:cs="仿宋"/>
                <w:color w:val="auto"/>
                <w:sz w:val="24"/>
                <w:szCs w:val="24"/>
                <w:highlight w:val="none"/>
              </w:rPr>
            </w:pPr>
          </w:p>
        </w:tc>
        <w:tc>
          <w:tcPr>
            <w:tcW w:w="11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baseline"/>
              <w:rPr>
                <w:rStyle w:val="505"/>
                <w:rFonts w:hint="eastAsia" w:ascii="仿宋" w:hAnsi="仿宋" w:eastAsia="仿宋" w:cs="仿宋"/>
                <w:color w:val="auto"/>
                <w:sz w:val="24"/>
                <w:szCs w:val="24"/>
                <w:highlight w:val="none"/>
              </w:rPr>
            </w:pPr>
          </w:p>
        </w:tc>
        <w:tc>
          <w:tcPr>
            <w:tcW w:w="10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baseline"/>
              <w:rPr>
                <w:rStyle w:val="505"/>
                <w:rFonts w:hint="eastAsia" w:ascii="仿宋" w:hAnsi="仿宋" w:eastAsia="仿宋" w:cs="仿宋"/>
                <w:color w:val="auto"/>
                <w:sz w:val="24"/>
                <w:szCs w:val="24"/>
                <w:highlight w:val="none"/>
              </w:rPr>
            </w:pPr>
          </w:p>
        </w:tc>
      </w:tr>
      <w:tr>
        <w:tblPrEx>
          <w:tblLayout w:type="fixed"/>
          <w:tblCellMar>
            <w:top w:w="0" w:type="dxa"/>
            <w:left w:w="0" w:type="dxa"/>
            <w:bottom w:w="0" w:type="dxa"/>
            <w:right w:w="0" w:type="dxa"/>
          </w:tblCellMar>
        </w:tblPrEx>
        <w:trPr>
          <w:trHeight w:val="737" w:hRule="atLeast"/>
          <w:jc w:val="center"/>
        </w:trPr>
        <w:tc>
          <w:tcPr>
            <w:tcW w:w="7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505"/>
                <w:rFonts w:hint="eastAsia" w:ascii="仿宋" w:hAnsi="仿宋" w:eastAsia="仿宋" w:cs="仿宋"/>
                <w:color w:val="auto"/>
                <w:sz w:val="24"/>
                <w:szCs w:val="24"/>
                <w:highlight w:val="none"/>
                <w:lang w:val="en-US" w:eastAsia="zh-CN"/>
              </w:rPr>
            </w:pPr>
            <w:r>
              <w:rPr>
                <w:rStyle w:val="505"/>
                <w:rFonts w:hint="eastAsia" w:ascii="仿宋" w:hAnsi="仿宋" w:eastAsia="仿宋" w:cs="仿宋"/>
                <w:color w:val="auto"/>
                <w:sz w:val="24"/>
                <w:szCs w:val="24"/>
                <w:highlight w:val="none"/>
                <w:lang w:val="en-US" w:eastAsia="zh-CN"/>
              </w:rPr>
              <w:t>2</w:t>
            </w:r>
          </w:p>
        </w:tc>
        <w:tc>
          <w:tcPr>
            <w:tcW w:w="17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505"/>
                <w:rFonts w:hint="eastAsia" w:ascii="仿宋" w:hAnsi="仿宋" w:eastAsia="仿宋" w:cs="仿宋"/>
                <w:color w:val="auto"/>
                <w:sz w:val="24"/>
                <w:szCs w:val="24"/>
                <w:highlight w:val="none"/>
              </w:rPr>
            </w:pPr>
          </w:p>
        </w:tc>
        <w:tc>
          <w:tcPr>
            <w:tcW w:w="45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left"/>
              <w:textAlignment w:val="center"/>
              <w:rPr>
                <w:rStyle w:val="505"/>
                <w:rFonts w:hint="eastAsia" w:ascii="仿宋" w:hAnsi="仿宋" w:eastAsia="仿宋" w:cs="仿宋"/>
                <w:color w:val="auto"/>
                <w:sz w:val="24"/>
                <w:szCs w:val="24"/>
                <w:highlight w:val="none"/>
              </w:rPr>
            </w:pPr>
          </w:p>
        </w:tc>
        <w:tc>
          <w:tcPr>
            <w:tcW w:w="11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505"/>
                <w:rFonts w:hint="eastAsia" w:ascii="仿宋" w:hAnsi="仿宋" w:eastAsia="仿宋" w:cs="仿宋"/>
                <w:color w:val="auto"/>
                <w:sz w:val="24"/>
                <w:szCs w:val="24"/>
                <w:highlight w:val="none"/>
              </w:rPr>
            </w:pPr>
          </w:p>
        </w:tc>
        <w:tc>
          <w:tcPr>
            <w:tcW w:w="10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505"/>
                <w:rFonts w:hint="eastAsia" w:ascii="仿宋" w:hAnsi="仿宋" w:eastAsia="仿宋" w:cs="仿宋"/>
                <w:color w:val="auto"/>
                <w:sz w:val="24"/>
                <w:szCs w:val="24"/>
                <w:highlight w:val="none"/>
              </w:rPr>
            </w:pPr>
          </w:p>
        </w:tc>
      </w:tr>
      <w:tr>
        <w:tblPrEx>
          <w:tblLayout w:type="fixed"/>
          <w:tblCellMar>
            <w:top w:w="0" w:type="dxa"/>
            <w:left w:w="0" w:type="dxa"/>
            <w:bottom w:w="0" w:type="dxa"/>
            <w:right w:w="0" w:type="dxa"/>
          </w:tblCellMar>
        </w:tblPrEx>
        <w:trPr>
          <w:trHeight w:val="737" w:hRule="atLeast"/>
          <w:jc w:val="center"/>
        </w:trPr>
        <w:tc>
          <w:tcPr>
            <w:tcW w:w="7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baseline"/>
              <w:rPr>
                <w:rStyle w:val="505"/>
                <w:rFonts w:hint="eastAsia" w:ascii="仿宋" w:hAnsi="仿宋" w:eastAsia="仿宋" w:cs="仿宋"/>
                <w:color w:val="auto"/>
                <w:sz w:val="24"/>
                <w:szCs w:val="24"/>
                <w:highlight w:val="none"/>
                <w:lang w:val="en-US" w:eastAsia="zh-CN"/>
              </w:rPr>
            </w:pPr>
            <w:r>
              <w:rPr>
                <w:rStyle w:val="505"/>
                <w:rFonts w:hint="eastAsia" w:ascii="仿宋" w:hAnsi="仿宋" w:eastAsia="仿宋" w:cs="仿宋"/>
                <w:color w:val="auto"/>
                <w:sz w:val="24"/>
                <w:szCs w:val="24"/>
                <w:highlight w:val="none"/>
                <w:lang w:val="en-US" w:eastAsia="zh-CN"/>
              </w:rPr>
              <w:t>3</w:t>
            </w:r>
          </w:p>
        </w:tc>
        <w:tc>
          <w:tcPr>
            <w:tcW w:w="17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baseline"/>
              <w:rPr>
                <w:rStyle w:val="505"/>
                <w:rFonts w:hint="eastAsia" w:ascii="仿宋" w:hAnsi="仿宋" w:eastAsia="仿宋" w:cs="仿宋"/>
                <w:color w:val="auto"/>
                <w:sz w:val="24"/>
                <w:szCs w:val="24"/>
                <w:highlight w:val="none"/>
              </w:rPr>
            </w:pPr>
          </w:p>
        </w:tc>
        <w:tc>
          <w:tcPr>
            <w:tcW w:w="45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textAlignment w:val="baseline"/>
              <w:rPr>
                <w:rStyle w:val="505"/>
                <w:rFonts w:hint="eastAsia" w:ascii="仿宋" w:hAnsi="仿宋" w:eastAsia="仿宋" w:cs="仿宋"/>
                <w:color w:val="auto"/>
                <w:sz w:val="24"/>
                <w:szCs w:val="24"/>
                <w:highlight w:val="none"/>
              </w:rPr>
            </w:pPr>
          </w:p>
        </w:tc>
        <w:tc>
          <w:tcPr>
            <w:tcW w:w="11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505"/>
                <w:rFonts w:hint="eastAsia" w:ascii="仿宋" w:hAnsi="仿宋" w:eastAsia="仿宋" w:cs="仿宋"/>
                <w:color w:val="auto"/>
                <w:sz w:val="24"/>
                <w:szCs w:val="24"/>
                <w:highlight w:val="none"/>
              </w:rPr>
            </w:pPr>
          </w:p>
        </w:tc>
        <w:tc>
          <w:tcPr>
            <w:tcW w:w="10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505"/>
                <w:rFonts w:hint="eastAsia" w:ascii="仿宋" w:hAnsi="仿宋" w:eastAsia="仿宋" w:cs="仿宋"/>
                <w:color w:val="auto"/>
                <w:sz w:val="24"/>
                <w:szCs w:val="24"/>
                <w:highlight w:val="none"/>
              </w:rPr>
            </w:pPr>
          </w:p>
        </w:tc>
      </w:tr>
      <w:tr>
        <w:tblPrEx>
          <w:tblLayout w:type="fixed"/>
          <w:tblCellMar>
            <w:top w:w="0" w:type="dxa"/>
            <w:left w:w="0" w:type="dxa"/>
            <w:bottom w:w="0" w:type="dxa"/>
            <w:right w:w="0" w:type="dxa"/>
          </w:tblCellMar>
        </w:tblPrEx>
        <w:trPr>
          <w:trHeight w:val="737" w:hRule="atLeast"/>
          <w:jc w:val="center"/>
        </w:trPr>
        <w:tc>
          <w:tcPr>
            <w:tcW w:w="7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505"/>
                <w:rFonts w:hint="eastAsia" w:ascii="仿宋" w:hAnsi="仿宋" w:eastAsia="仿宋" w:cs="仿宋"/>
                <w:color w:val="auto"/>
                <w:sz w:val="24"/>
                <w:szCs w:val="24"/>
                <w:highlight w:val="none"/>
                <w:lang w:val="en-US" w:eastAsia="zh-CN"/>
              </w:rPr>
            </w:pPr>
            <w:r>
              <w:rPr>
                <w:rStyle w:val="505"/>
                <w:rFonts w:hint="eastAsia" w:ascii="仿宋" w:hAnsi="仿宋" w:eastAsia="仿宋" w:cs="仿宋"/>
                <w:color w:val="auto"/>
                <w:sz w:val="24"/>
                <w:szCs w:val="24"/>
                <w:highlight w:val="none"/>
                <w:lang w:val="en-US" w:eastAsia="zh-CN"/>
              </w:rPr>
              <w:t>4</w:t>
            </w:r>
          </w:p>
        </w:tc>
        <w:tc>
          <w:tcPr>
            <w:tcW w:w="17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505"/>
                <w:rFonts w:hint="eastAsia" w:ascii="仿宋" w:hAnsi="仿宋" w:eastAsia="仿宋" w:cs="仿宋"/>
                <w:color w:val="auto"/>
                <w:sz w:val="24"/>
                <w:szCs w:val="24"/>
                <w:highlight w:val="none"/>
              </w:rPr>
            </w:pPr>
          </w:p>
        </w:tc>
        <w:tc>
          <w:tcPr>
            <w:tcW w:w="45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505"/>
                <w:rFonts w:hint="eastAsia" w:ascii="仿宋" w:hAnsi="仿宋" w:eastAsia="仿宋" w:cs="仿宋"/>
                <w:color w:val="auto"/>
                <w:sz w:val="24"/>
                <w:szCs w:val="24"/>
                <w:highlight w:val="none"/>
              </w:rPr>
            </w:pPr>
          </w:p>
        </w:tc>
        <w:tc>
          <w:tcPr>
            <w:tcW w:w="11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505"/>
                <w:rFonts w:hint="eastAsia" w:ascii="仿宋" w:hAnsi="仿宋" w:eastAsia="仿宋" w:cs="仿宋"/>
                <w:color w:val="auto"/>
                <w:sz w:val="24"/>
                <w:szCs w:val="24"/>
                <w:highlight w:val="none"/>
              </w:rPr>
            </w:pPr>
          </w:p>
        </w:tc>
        <w:tc>
          <w:tcPr>
            <w:tcW w:w="10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505"/>
                <w:rFonts w:hint="eastAsia" w:ascii="仿宋" w:hAnsi="仿宋" w:eastAsia="仿宋" w:cs="仿宋"/>
                <w:color w:val="auto"/>
                <w:sz w:val="24"/>
                <w:szCs w:val="24"/>
                <w:highlight w:val="none"/>
              </w:rPr>
            </w:pPr>
          </w:p>
        </w:tc>
      </w:tr>
      <w:tr>
        <w:tblPrEx>
          <w:tblLayout w:type="fixed"/>
          <w:tblCellMar>
            <w:top w:w="0" w:type="dxa"/>
            <w:left w:w="0" w:type="dxa"/>
            <w:bottom w:w="0" w:type="dxa"/>
            <w:right w:w="0" w:type="dxa"/>
          </w:tblCellMar>
        </w:tblPrEx>
        <w:trPr>
          <w:trHeight w:val="737" w:hRule="atLeast"/>
          <w:jc w:val="center"/>
        </w:trPr>
        <w:tc>
          <w:tcPr>
            <w:tcW w:w="7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505"/>
                <w:rFonts w:hint="eastAsia" w:ascii="仿宋" w:hAnsi="仿宋" w:eastAsia="仿宋" w:cs="仿宋"/>
                <w:color w:val="auto"/>
                <w:sz w:val="24"/>
                <w:szCs w:val="24"/>
                <w:highlight w:val="none"/>
                <w:lang w:val="en-US" w:eastAsia="zh-CN"/>
              </w:rPr>
            </w:pPr>
            <w:r>
              <w:rPr>
                <w:rStyle w:val="505"/>
                <w:rFonts w:hint="eastAsia" w:ascii="仿宋" w:hAnsi="仿宋" w:eastAsia="仿宋" w:cs="仿宋"/>
                <w:color w:val="auto"/>
                <w:sz w:val="24"/>
                <w:szCs w:val="24"/>
                <w:highlight w:val="none"/>
                <w:lang w:val="en-US" w:eastAsia="zh-CN"/>
              </w:rPr>
              <w:t>5</w:t>
            </w:r>
          </w:p>
        </w:tc>
        <w:tc>
          <w:tcPr>
            <w:tcW w:w="17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505"/>
                <w:rFonts w:hint="eastAsia" w:ascii="仿宋" w:hAnsi="仿宋" w:eastAsia="仿宋" w:cs="仿宋"/>
                <w:color w:val="auto"/>
                <w:sz w:val="24"/>
                <w:szCs w:val="24"/>
                <w:highlight w:val="none"/>
              </w:rPr>
            </w:pPr>
          </w:p>
        </w:tc>
        <w:tc>
          <w:tcPr>
            <w:tcW w:w="45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505"/>
                <w:rFonts w:hint="eastAsia" w:ascii="仿宋" w:hAnsi="仿宋" w:eastAsia="仿宋" w:cs="仿宋"/>
                <w:color w:val="auto"/>
                <w:sz w:val="24"/>
                <w:szCs w:val="24"/>
                <w:highlight w:val="none"/>
              </w:rPr>
            </w:pPr>
          </w:p>
        </w:tc>
        <w:tc>
          <w:tcPr>
            <w:tcW w:w="11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505"/>
                <w:rFonts w:hint="eastAsia" w:ascii="仿宋" w:hAnsi="仿宋" w:eastAsia="仿宋" w:cs="仿宋"/>
                <w:color w:val="auto"/>
                <w:sz w:val="24"/>
                <w:szCs w:val="24"/>
                <w:highlight w:val="none"/>
              </w:rPr>
            </w:pPr>
          </w:p>
        </w:tc>
        <w:tc>
          <w:tcPr>
            <w:tcW w:w="10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505"/>
                <w:rFonts w:hint="eastAsia" w:ascii="仿宋" w:hAnsi="仿宋" w:eastAsia="仿宋" w:cs="仿宋"/>
                <w:color w:val="auto"/>
                <w:sz w:val="24"/>
                <w:szCs w:val="24"/>
                <w:highlight w:val="none"/>
              </w:rPr>
            </w:pPr>
          </w:p>
        </w:tc>
      </w:tr>
      <w:tr>
        <w:tblPrEx>
          <w:tblLayout w:type="fixed"/>
          <w:tblCellMar>
            <w:top w:w="0" w:type="dxa"/>
            <w:left w:w="0" w:type="dxa"/>
            <w:bottom w:w="0" w:type="dxa"/>
            <w:right w:w="0" w:type="dxa"/>
          </w:tblCellMar>
        </w:tblPrEx>
        <w:trPr>
          <w:trHeight w:val="737" w:hRule="atLeast"/>
          <w:jc w:val="center"/>
        </w:trPr>
        <w:tc>
          <w:tcPr>
            <w:tcW w:w="7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505"/>
                <w:rFonts w:hint="eastAsia" w:ascii="仿宋" w:hAnsi="仿宋" w:eastAsia="仿宋" w:cs="仿宋"/>
                <w:color w:val="auto"/>
                <w:sz w:val="24"/>
                <w:szCs w:val="24"/>
                <w:highlight w:val="none"/>
                <w:lang w:val="en-US" w:eastAsia="zh-CN"/>
              </w:rPr>
            </w:pPr>
          </w:p>
        </w:tc>
        <w:tc>
          <w:tcPr>
            <w:tcW w:w="17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505"/>
                <w:rFonts w:hint="eastAsia" w:ascii="仿宋" w:hAnsi="仿宋" w:eastAsia="仿宋" w:cs="仿宋"/>
                <w:color w:val="auto"/>
                <w:sz w:val="24"/>
                <w:szCs w:val="24"/>
                <w:highlight w:val="none"/>
              </w:rPr>
            </w:pPr>
            <w:r>
              <w:rPr>
                <w:rStyle w:val="505"/>
                <w:rFonts w:hint="eastAsia" w:ascii="仿宋" w:hAnsi="仿宋" w:eastAsia="仿宋" w:cs="仿宋"/>
                <w:color w:val="auto"/>
                <w:sz w:val="24"/>
                <w:szCs w:val="24"/>
                <w:highlight w:val="none"/>
                <w:lang w:val="en-US" w:eastAsia="zh-CN"/>
              </w:rPr>
              <w:t>......</w:t>
            </w:r>
          </w:p>
        </w:tc>
        <w:tc>
          <w:tcPr>
            <w:tcW w:w="45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505"/>
                <w:rFonts w:hint="eastAsia" w:ascii="仿宋" w:hAnsi="仿宋" w:eastAsia="仿宋" w:cs="仿宋"/>
                <w:color w:val="auto"/>
                <w:sz w:val="24"/>
                <w:szCs w:val="24"/>
                <w:highlight w:val="none"/>
              </w:rPr>
            </w:pPr>
          </w:p>
        </w:tc>
        <w:tc>
          <w:tcPr>
            <w:tcW w:w="11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505"/>
                <w:rFonts w:hint="eastAsia" w:ascii="仿宋" w:hAnsi="仿宋" w:eastAsia="仿宋" w:cs="仿宋"/>
                <w:color w:val="auto"/>
                <w:sz w:val="24"/>
                <w:szCs w:val="24"/>
                <w:highlight w:val="none"/>
              </w:rPr>
            </w:pPr>
          </w:p>
        </w:tc>
        <w:tc>
          <w:tcPr>
            <w:tcW w:w="10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505"/>
                <w:rFonts w:hint="eastAsia" w:ascii="仿宋" w:hAnsi="仿宋" w:eastAsia="仿宋" w:cs="仿宋"/>
                <w:color w:val="auto"/>
                <w:sz w:val="24"/>
                <w:szCs w:val="24"/>
                <w:highlight w:val="none"/>
              </w:rPr>
            </w:pPr>
          </w:p>
        </w:tc>
      </w:tr>
      <w:tr>
        <w:tblPrEx>
          <w:tblLayout w:type="fixed"/>
          <w:tblCellMar>
            <w:top w:w="0" w:type="dxa"/>
            <w:left w:w="0" w:type="dxa"/>
            <w:bottom w:w="0" w:type="dxa"/>
            <w:right w:w="0" w:type="dxa"/>
          </w:tblCellMar>
        </w:tblPrEx>
        <w:trPr>
          <w:trHeight w:val="737" w:hRule="atLeast"/>
          <w:jc w:val="center"/>
        </w:trPr>
        <w:tc>
          <w:tcPr>
            <w:tcW w:w="7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505"/>
                <w:rFonts w:hint="eastAsia" w:ascii="仿宋" w:hAnsi="仿宋" w:eastAsia="仿宋" w:cs="仿宋"/>
                <w:color w:val="auto"/>
                <w:sz w:val="24"/>
                <w:szCs w:val="24"/>
                <w:highlight w:val="none"/>
                <w:lang w:val="en-US" w:eastAsia="zh-CN"/>
              </w:rPr>
            </w:pPr>
          </w:p>
        </w:tc>
        <w:tc>
          <w:tcPr>
            <w:tcW w:w="17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505"/>
                <w:rFonts w:hint="eastAsia" w:ascii="仿宋" w:hAnsi="仿宋" w:eastAsia="仿宋" w:cs="仿宋"/>
                <w:color w:val="auto"/>
                <w:sz w:val="24"/>
                <w:szCs w:val="24"/>
                <w:highlight w:val="none"/>
              </w:rPr>
            </w:pPr>
          </w:p>
        </w:tc>
        <w:tc>
          <w:tcPr>
            <w:tcW w:w="45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505"/>
                <w:rFonts w:hint="eastAsia" w:ascii="仿宋" w:hAnsi="仿宋" w:eastAsia="仿宋" w:cs="仿宋"/>
                <w:color w:val="auto"/>
                <w:sz w:val="24"/>
                <w:szCs w:val="24"/>
                <w:highlight w:val="none"/>
              </w:rPr>
            </w:pPr>
          </w:p>
        </w:tc>
        <w:tc>
          <w:tcPr>
            <w:tcW w:w="11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505"/>
                <w:rFonts w:hint="eastAsia" w:ascii="仿宋" w:hAnsi="仿宋" w:eastAsia="仿宋" w:cs="仿宋"/>
                <w:color w:val="auto"/>
                <w:sz w:val="24"/>
                <w:szCs w:val="24"/>
                <w:highlight w:val="none"/>
              </w:rPr>
            </w:pPr>
          </w:p>
        </w:tc>
        <w:tc>
          <w:tcPr>
            <w:tcW w:w="10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505"/>
                <w:rFonts w:hint="eastAsia" w:ascii="仿宋" w:hAnsi="仿宋" w:eastAsia="仿宋" w:cs="仿宋"/>
                <w:color w:val="auto"/>
                <w:sz w:val="24"/>
                <w:szCs w:val="24"/>
                <w:highlight w:val="none"/>
              </w:rPr>
            </w:pPr>
          </w:p>
        </w:tc>
      </w:tr>
      <w:tr>
        <w:tblPrEx>
          <w:tblLayout w:type="fixed"/>
          <w:tblCellMar>
            <w:top w:w="0" w:type="dxa"/>
            <w:left w:w="0" w:type="dxa"/>
            <w:bottom w:w="0" w:type="dxa"/>
            <w:right w:w="0" w:type="dxa"/>
          </w:tblCellMar>
        </w:tblPrEx>
        <w:trPr>
          <w:trHeight w:val="737" w:hRule="atLeast"/>
          <w:jc w:val="center"/>
        </w:trPr>
        <w:tc>
          <w:tcPr>
            <w:tcW w:w="7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505"/>
                <w:rFonts w:hint="eastAsia" w:ascii="仿宋" w:hAnsi="仿宋" w:eastAsia="仿宋" w:cs="仿宋"/>
                <w:color w:val="auto"/>
                <w:sz w:val="24"/>
                <w:szCs w:val="24"/>
                <w:highlight w:val="none"/>
                <w:lang w:val="en-US" w:eastAsia="zh-CN"/>
              </w:rPr>
            </w:pPr>
          </w:p>
        </w:tc>
        <w:tc>
          <w:tcPr>
            <w:tcW w:w="17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505"/>
                <w:rFonts w:hint="eastAsia" w:ascii="仿宋" w:hAnsi="仿宋" w:eastAsia="仿宋" w:cs="仿宋"/>
                <w:color w:val="auto"/>
                <w:sz w:val="24"/>
                <w:szCs w:val="24"/>
                <w:highlight w:val="none"/>
              </w:rPr>
            </w:pPr>
          </w:p>
        </w:tc>
        <w:tc>
          <w:tcPr>
            <w:tcW w:w="45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505"/>
                <w:rFonts w:hint="eastAsia" w:ascii="仿宋" w:hAnsi="仿宋" w:eastAsia="仿宋" w:cs="仿宋"/>
                <w:color w:val="auto"/>
                <w:sz w:val="24"/>
                <w:szCs w:val="24"/>
                <w:highlight w:val="none"/>
              </w:rPr>
            </w:pPr>
          </w:p>
        </w:tc>
        <w:tc>
          <w:tcPr>
            <w:tcW w:w="11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505"/>
                <w:rFonts w:hint="eastAsia" w:ascii="仿宋" w:hAnsi="仿宋" w:eastAsia="仿宋" w:cs="仿宋"/>
                <w:color w:val="auto"/>
                <w:sz w:val="24"/>
                <w:szCs w:val="24"/>
                <w:highlight w:val="none"/>
              </w:rPr>
            </w:pPr>
          </w:p>
        </w:tc>
        <w:tc>
          <w:tcPr>
            <w:tcW w:w="10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505"/>
                <w:rFonts w:hint="eastAsia" w:ascii="仿宋" w:hAnsi="仿宋" w:eastAsia="仿宋" w:cs="仿宋"/>
                <w:color w:val="auto"/>
                <w:sz w:val="24"/>
                <w:szCs w:val="24"/>
                <w:highlight w:val="none"/>
              </w:rPr>
            </w:pPr>
          </w:p>
        </w:tc>
      </w:tr>
      <w:tr>
        <w:tblPrEx>
          <w:tblLayout w:type="fixed"/>
          <w:tblCellMar>
            <w:top w:w="0" w:type="dxa"/>
            <w:left w:w="0" w:type="dxa"/>
            <w:bottom w:w="0" w:type="dxa"/>
            <w:right w:w="0" w:type="dxa"/>
          </w:tblCellMar>
        </w:tblPrEx>
        <w:trPr>
          <w:trHeight w:val="737" w:hRule="atLeast"/>
          <w:jc w:val="center"/>
        </w:trPr>
        <w:tc>
          <w:tcPr>
            <w:tcW w:w="7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baseline"/>
              <w:rPr>
                <w:rStyle w:val="505"/>
                <w:rFonts w:hint="eastAsia" w:ascii="仿宋" w:hAnsi="仿宋" w:eastAsia="仿宋" w:cs="仿宋"/>
                <w:color w:val="auto"/>
                <w:sz w:val="24"/>
                <w:szCs w:val="24"/>
                <w:highlight w:val="none"/>
                <w:lang w:val="en-US" w:eastAsia="zh-CN"/>
              </w:rPr>
            </w:pPr>
          </w:p>
        </w:tc>
        <w:tc>
          <w:tcPr>
            <w:tcW w:w="17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baseline"/>
              <w:rPr>
                <w:rStyle w:val="505"/>
                <w:rFonts w:hint="eastAsia" w:ascii="仿宋" w:hAnsi="仿宋" w:eastAsia="仿宋" w:cs="仿宋"/>
                <w:color w:val="auto"/>
                <w:sz w:val="24"/>
                <w:szCs w:val="24"/>
                <w:highlight w:val="none"/>
              </w:rPr>
            </w:pPr>
          </w:p>
        </w:tc>
        <w:tc>
          <w:tcPr>
            <w:tcW w:w="45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80" w:lineRule="exact"/>
              <w:ind w:left="0" w:right="0"/>
              <w:jc w:val="left"/>
              <w:textAlignment w:val="baseline"/>
              <w:rPr>
                <w:rStyle w:val="505"/>
                <w:rFonts w:hint="eastAsia" w:ascii="仿宋" w:hAnsi="仿宋" w:eastAsia="仿宋" w:cs="仿宋"/>
                <w:color w:val="auto"/>
                <w:sz w:val="24"/>
                <w:szCs w:val="24"/>
                <w:highlight w:val="none"/>
              </w:rPr>
            </w:pPr>
          </w:p>
        </w:tc>
        <w:tc>
          <w:tcPr>
            <w:tcW w:w="11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505"/>
                <w:rFonts w:hint="eastAsia" w:ascii="仿宋" w:hAnsi="仿宋" w:eastAsia="仿宋" w:cs="仿宋"/>
                <w:color w:val="auto"/>
                <w:sz w:val="24"/>
                <w:szCs w:val="24"/>
                <w:highlight w:val="none"/>
              </w:rPr>
            </w:pPr>
          </w:p>
        </w:tc>
        <w:tc>
          <w:tcPr>
            <w:tcW w:w="10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505"/>
                <w:rFonts w:hint="eastAsia" w:ascii="仿宋" w:hAnsi="仿宋" w:eastAsia="仿宋" w:cs="仿宋"/>
                <w:color w:val="auto"/>
                <w:sz w:val="24"/>
                <w:szCs w:val="24"/>
                <w:highlight w:val="none"/>
              </w:rPr>
            </w:pPr>
          </w:p>
        </w:tc>
      </w:tr>
      <w:tr>
        <w:tblPrEx>
          <w:tblLayout w:type="fixed"/>
          <w:tblCellMar>
            <w:top w:w="0" w:type="dxa"/>
            <w:left w:w="0" w:type="dxa"/>
            <w:bottom w:w="0" w:type="dxa"/>
            <w:right w:w="0" w:type="dxa"/>
          </w:tblCellMar>
        </w:tblPrEx>
        <w:trPr>
          <w:trHeight w:val="737" w:hRule="atLeast"/>
          <w:jc w:val="center"/>
        </w:trPr>
        <w:tc>
          <w:tcPr>
            <w:tcW w:w="7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baseline"/>
              <w:rPr>
                <w:rStyle w:val="505"/>
                <w:rFonts w:hint="eastAsia" w:ascii="仿宋" w:hAnsi="仿宋" w:eastAsia="仿宋" w:cs="仿宋"/>
                <w:color w:val="auto"/>
                <w:sz w:val="24"/>
                <w:szCs w:val="24"/>
                <w:highlight w:val="none"/>
                <w:lang w:val="en-US" w:eastAsia="zh-CN"/>
              </w:rPr>
            </w:pPr>
          </w:p>
        </w:tc>
        <w:tc>
          <w:tcPr>
            <w:tcW w:w="17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baseline"/>
              <w:rPr>
                <w:rStyle w:val="505"/>
                <w:rFonts w:hint="eastAsia" w:ascii="仿宋" w:hAnsi="仿宋" w:eastAsia="仿宋" w:cs="仿宋"/>
                <w:color w:val="auto"/>
                <w:sz w:val="24"/>
                <w:szCs w:val="24"/>
                <w:highlight w:val="none"/>
                <w:lang w:val="en-US" w:eastAsia="zh-CN"/>
              </w:rPr>
            </w:pPr>
          </w:p>
        </w:tc>
        <w:tc>
          <w:tcPr>
            <w:tcW w:w="45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80" w:lineRule="exact"/>
              <w:ind w:left="0" w:right="0"/>
              <w:jc w:val="left"/>
              <w:textAlignment w:val="baseline"/>
              <w:rPr>
                <w:rStyle w:val="505"/>
                <w:rFonts w:hint="eastAsia" w:ascii="仿宋" w:hAnsi="仿宋" w:eastAsia="仿宋" w:cs="仿宋"/>
                <w:color w:val="auto"/>
                <w:sz w:val="24"/>
                <w:szCs w:val="24"/>
                <w:highlight w:val="none"/>
              </w:rPr>
            </w:pPr>
          </w:p>
        </w:tc>
        <w:tc>
          <w:tcPr>
            <w:tcW w:w="11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505"/>
                <w:rFonts w:hint="eastAsia" w:ascii="仿宋" w:hAnsi="仿宋" w:eastAsia="仿宋" w:cs="仿宋"/>
                <w:color w:val="auto"/>
                <w:sz w:val="24"/>
                <w:szCs w:val="24"/>
                <w:highlight w:val="none"/>
              </w:rPr>
            </w:pPr>
          </w:p>
        </w:tc>
        <w:tc>
          <w:tcPr>
            <w:tcW w:w="10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505"/>
                <w:rFonts w:hint="eastAsia" w:ascii="仿宋" w:hAnsi="仿宋" w:eastAsia="仿宋" w:cs="仿宋"/>
                <w:color w:val="auto"/>
                <w:sz w:val="24"/>
                <w:szCs w:val="24"/>
                <w:highlight w:val="none"/>
              </w:rPr>
            </w:pPr>
          </w:p>
        </w:tc>
      </w:tr>
    </w:tbl>
    <w:p>
      <w:pPr>
        <w:widowControl/>
        <w:rPr>
          <w:rFonts w:hint="eastAsia" w:ascii="仿宋" w:hAnsi="仿宋" w:eastAsia="仿宋" w:cs="仿宋"/>
          <w:color w:val="auto"/>
          <w:kern w:val="0"/>
          <w:sz w:val="24"/>
          <w:szCs w:val="24"/>
        </w:rPr>
      </w:pPr>
      <w:r>
        <w:rPr>
          <w:rStyle w:val="505"/>
          <w:rFonts w:hint="eastAsia" w:ascii="仿宋" w:hAnsi="仿宋" w:eastAsia="仿宋" w:cs="仿宋"/>
          <w:b/>
          <w:bCs/>
          <w:color w:val="auto"/>
          <w:sz w:val="24"/>
          <w:szCs w:val="24"/>
          <w:highlight w:val="none"/>
        </w:rPr>
        <w:t>注：评审</w:t>
      </w:r>
      <w:r>
        <w:rPr>
          <w:rStyle w:val="505"/>
          <w:rFonts w:hint="eastAsia" w:ascii="仿宋" w:hAnsi="仿宋" w:eastAsia="仿宋" w:cs="仿宋"/>
          <w:b/>
          <w:bCs/>
          <w:color w:val="auto"/>
          <w:sz w:val="24"/>
          <w:szCs w:val="24"/>
          <w:highlight w:val="none"/>
          <w:lang w:eastAsia="zh-CN"/>
        </w:rPr>
        <w:t>内容</w:t>
      </w:r>
      <w:r>
        <w:rPr>
          <w:rStyle w:val="505"/>
          <w:rFonts w:hint="eastAsia" w:ascii="仿宋" w:hAnsi="仿宋" w:eastAsia="仿宋" w:cs="仿宋"/>
          <w:b/>
          <w:bCs/>
          <w:color w:val="auto"/>
          <w:sz w:val="24"/>
          <w:szCs w:val="24"/>
          <w:highlight w:val="none"/>
        </w:rPr>
        <w:t>、评分标准、分值对应“评审标准”内容。</w:t>
      </w:r>
    </w:p>
    <w:p>
      <w:pPr>
        <w:widowControl/>
        <w:rPr>
          <w:rFonts w:hint="eastAsia" w:ascii="仿宋" w:hAnsi="仿宋" w:eastAsia="仿宋" w:cs="仿宋"/>
          <w:color w:val="auto"/>
          <w:kern w:val="0"/>
          <w:sz w:val="24"/>
          <w:szCs w:val="24"/>
        </w:rPr>
      </w:pPr>
    </w:p>
    <w:p>
      <w:pPr>
        <w:widowControl/>
        <w:rPr>
          <w:rFonts w:hint="eastAsia" w:ascii="仿宋" w:hAnsi="仿宋" w:eastAsia="仿宋" w:cs="仿宋"/>
          <w:color w:val="auto"/>
          <w:kern w:val="0"/>
          <w:sz w:val="24"/>
          <w:szCs w:val="24"/>
        </w:rPr>
      </w:pPr>
    </w:p>
    <w:p>
      <w:pPr>
        <w:widowControl/>
        <w:rPr>
          <w:rFonts w:hint="eastAsia" w:ascii="仿宋" w:hAnsi="仿宋" w:eastAsia="仿宋" w:cs="仿宋"/>
          <w:color w:val="auto"/>
          <w:kern w:val="0"/>
          <w:sz w:val="24"/>
          <w:szCs w:val="24"/>
        </w:rPr>
      </w:pPr>
    </w:p>
    <w:p>
      <w:pPr>
        <w:widowControl/>
        <w:rPr>
          <w:rFonts w:hint="eastAsia" w:ascii="仿宋" w:hAnsi="仿宋" w:eastAsia="仿宋" w:cs="仿宋"/>
          <w:color w:val="auto"/>
          <w:kern w:val="0"/>
          <w:sz w:val="24"/>
          <w:szCs w:val="24"/>
        </w:rPr>
      </w:pPr>
    </w:p>
    <w:p>
      <w:pPr>
        <w:widowControl/>
        <w:rPr>
          <w:rFonts w:hint="eastAsia" w:ascii="仿宋" w:hAnsi="仿宋" w:eastAsia="仿宋" w:cs="仿宋"/>
          <w:color w:val="auto"/>
          <w:kern w:val="0"/>
          <w:sz w:val="24"/>
          <w:szCs w:val="24"/>
        </w:rPr>
      </w:pPr>
    </w:p>
    <w:p>
      <w:pPr>
        <w:widowControl/>
        <w:rPr>
          <w:rFonts w:hint="eastAsia" w:ascii="仿宋" w:hAnsi="仿宋" w:eastAsia="仿宋" w:cs="仿宋"/>
          <w:color w:val="auto"/>
          <w:kern w:val="0"/>
          <w:sz w:val="24"/>
          <w:szCs w:val="24"/>
        </w:rPr>
      </w:pPr>
    </w:p>
    <w:p>
      <w:pPr>
        <w:widowControl/>
        <w:rPr>
          <w:rFonts w:hint="eastAsia" w:ascii="仿宋" w:hAnsi="仿宋" w:eastAsia="仿宋" w:cs="仿宋"/>
          <w:color w:val="auto"/>
          <w:kern w:val="0"/>
          <w:sz w:val="24"/>
          <w:szCs w:val="24"/>
        </w:rPr>
      </w:pPr>
    </w:p>
    <w:p>
      <w:pPr>
        <w:rPr>
          <w:rFonts w:hint="eastAsia" w:ascii="仿宋" w:hAnsi="仿宋" w:eastAsia="仿宋" w:cs="仿宋"/>
          <w:b/>
          <w:color w:val="auto"/>
          <w:kern w:val="0"/>
          <w:sz w:val="32"/>
          <w:szCs w:val="32"/>
          <w:highlight w:val="none"/>
          <w:lang w:eastAsia="zh-CN"/>
        </w:rPr>
      </w:pPr>
      <w:r>
        <w:rPr>
          <w:rFonts w:hint="eastAsia" w:ascii="仿宋" w:hAnsi="仿宋" w:eastAsia="仿宋" w:cs="仿宋"/>
          <w:b/>
          <w:color w:val="auto"/>
          <w:kern w:val="0"/>
          <w:sz w:val="32"/>
          <w:szCs w:val="32"/>
          <w:highlight w:val="none"/>
          <w:lang w:eastAsia="zh-CN"/>
        </w:rPr>
        <w:br w:type="page"/>
      </w:r>
    </w:p>
    <w:p>
      <w:pPr>
        <w:pStyle w:val="43"/>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color w:val="auto"/>
          <w:kern w:val="0"/>
          <w:sz w:val="32"/>
          <w:szCs w:val="32"/>
          <w:highlight w:val="none"/>
          <w:lang w:eastAsia="zh-CN"/>
        </w:rPr>
        <w:t>（</w:t>
      </w:r>
      <w:r>
        <w:rPr>
          <w:rFonts w:hint="eastAsia" w:ascii="仿宋" w:hAnsi="仿宋" w:eastAsia="仿宋" w:cs="仿宋"/>
          <w:b/>
          <w:color w:val="auto"/>
          <w:kern w:val="0"/>
          <w:sz w:val="32"/>
          <w:szCs w:val="32"/>
          <w:highlight w:val="none"/>
          <w:lang w:val="en-US" w:eastAsia="zh-CN"/>
        </w:rPr>
        <w:t>二</w:t>
      </w:r>
      <w:r>
        <w:rPr>
          <w:rFonts w:hint="eastAsia" w:ascii="仿宋" w:hAnsi="仿宋" w:eastAsia="仿宋" w:cs="仿宋"/>
          <w:b/>
          <w:color w:val="auto"/>
          <w:kern w:val="0"/>
          <w:sz w:val="32"/>
          <w:szCs w:val="32"/>
          <w:highlight w:val="none"/>
          <w:lang w:eastAsia="zh-CN"/>
        </w:rPr>
        <w:t>）营业执照扫描件</w:t>
      </w:r>
    </w:p>
    <w:p>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9"/>
        <w:rPr>
          <w:rFonts w:hint="eastAsia" w:ascii="仿宋" w:hAnsi="仿宋" w:eastAsia="仿宋" w:cs="仿宋"/>
          <w:b/>
          <w:bCs/>
          <w:color w:val="auto"/>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9"/>
        <w:rPr>
          <w:rFonts w:hint="eastAsia" w:ascii="仿宋" w:hAnsi="仿宋" w:eastAsia="仿宋" w:cs="仿宋"/>
          <w:b/>
          <w:bCs/>
          <w:color w:val="auto"/>
          <w:sz w:val="32"/>
          <w:szCs w:val="32"/>
          <w:highlight w:val="none"/>
          <w:lang w:eastAsia="zh-CN"/>
        </w:rPr>
      </w:pPr>
    </w:p>
    <w:p>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9"/>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w:t>
      </w:r>
      <w:r>
        <w:rPr>
          <w:rFonts w:hint="eastAsia" w:ascii="仿宋" w:hAnsi="仿宋" w:eastAsia="仿宋" w:cs="仿宋"/>
          <w:b/>
          <w:bCs/>
          <w:color w:val="auto"/>
          <w:sz w:val="32"/>
          <w:szCs w:val="32"/>
          <w:highlight w:val="none"/>
          <w:lang w:val="en-US" w:eastAsia="zh-CN"/>
        </w:rPr>
        <w:t>三</w:t>
      </w:r>
      <w:r>
        <w:rPr>
          <w:rFonts w:hint="eastAsia" w:ascii="仿宋" w:hAnsi="仿宋" w:eastAsia="仿宋" w:cs="仿宋"/>
          <w:b/>
          <w:bCs/>
          <w:color w:val="auto"/>
          <w:sz w:val="32"/>
          <w:szCs w:val="32"/>
          <w:highlight w:val="none"/>
          <w:lang w:eastAsia="zh-CN"/>
        </w:rPr>
        <w:t>）</w:t>
      </w:r>
      <w:r>
        <w:rPr>
          <w:rFonts w:hint="eastAsia" w:ascii="仿宋" w:hAnsi="仿宋" w:eastAsia="仿宋" w:cs="仿宋"/>
          <w:b/>
          <w:bCs/>
          <w:color w:val="auto"/>
          <w:sz w:val="32"/>
          <w:szCs w:val="32"/>
          <w:highlight w:val="none"/>
          <w:lang w:val="en-US" w:eastAsia="zh-CN"/>
        </w:rPr>
        <w:t>投标</w:t>
      </w:r>
      <w:r>
        <w:rPr>
          <w:rFonts w:hint="eastAsia" w:ascii="仿宋" w:hAnsi="仿宋" w:eastAsia="仿宋" w:cs="仿宋"/>
          <w:b/>
          <w:bCs/>
          <w:color w:val="auto"/>
          <w:sz w:val="32"/>
          <w:szCs w:val="32"/>
          <w:highlight w:val="none"/>
        </w:rPr>
        <w:t>响应函</w:t>
      </w:r>
    </w:p>
    <w:p>
      <w:pPr>
        <w:keepNext w:val="0"/>
        <w:keepLines w:val="0"/>
        <w:pageBreakBefore w:val="0"/>
        <w:widowControl w:val="0"/>
        <w:kinsoku/>
        <w:wordWrap/>
        <w:overflowPunct/>
        <w:topLinePunct w:val="0"/>
        <w:autoSpaceDE/>
        <w:autoSpaceDN/>
        <w:bidi w:val="0"/>
        <w:adjustRightInd/>
        <w:snapToGrid/>
        <w:spacing w:line="440" w:lineRule="exact"/>
        <w:ind w:left="0" w:leftChars="0" w:right="0" w:firstLine="0" w:firstLineChars="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u w:val="single"/>
          <w:lang w:eastAsia="zh-CN"/>
        </w:rPr>
        <w:t>致（采购人）、（采购代理机构）</w:t>
      </w:r>
      <w:r>
        <w:rPr>
          <w:rFonts w:hint="eastAsia" w:ascii="仿宋" w:hAnsi="仿宋" w:eastAsia="仿宋" w:cs="仿宋"/>
          <w:b/>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440" w:lineRule="exact"/>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u w:val="single"/>
          <w:lang w:val="zh-CN"/>
        </w:rPr>
        <w:t xml:space="preserve">                          </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投标人</w:t>
      </w:r>
      <w:r>
        <w:rPr>
          <w:rFonts w:hint="eastAsia" w:ascii="仿宋" w:hAnsi="仿宋" w:eastAsia="仿宋" w:cs="仿宋"/>
          <w:color w:val="auto"/>
          <w:sz w:val="24"/>
          <w:szCs w:val="24"/>
          <w:highlight w:val="none"/>
        </w:rPr>
        <w:t>全称)授权</w:t>
      </w:r>
      <w:r>
        <w:rPr>
          <w:rFonts w:hint="eastAsia" w:ascii="仿宋" w:hAnsi="仿宋" w:eastAsia="仿宋" w:cs="仿宋"/>
          <w:color w:val="auto"/>
          <w:kern w:val="0"/>
          <w:sz w:val="24"/>
          <w:szCs w:val="24"/>
          <w:highlight w:val="none"/>
          <w:u w:val="single"/>
          <w:lang w:val="zh-CN"/>
        </w:rPr>
        <w:t xml:space="preserve">                </w:t>
      </w:r>
      <w:r>
        <w:rPr>
          <w:rFonts w:hint="eastAsia" w:ascii="仿宋" w:hAnsi="仿宋" w:eastAsia="仿宋" w:cs="仿宋"/>
          <w:color w:val="auto"/>
          <w:sz w:val="24"/>
          <w:szCs w:val="24"/>
          <w:highlight w:val="none"/>
        </w:rPr>
        <w:t>(全权代表姓名)</w:t>
      </w:r>
      <w:r>
        <w:rPr>
          <w:rFonts w:hint="eastAsia" w:ascii="仿宋" w:hAnsi="仿宋" w:eastAsia="仿宋" w:cs="仿宋"/>
          <w:color w:val="auto"/>
          <w:kern w:val="0"/>
          <w:sz w:val="24"/>
          <w:szCs w:val="24"/>
          <w:highlight w:val="none"/>
          <w:u w:val="single"/>
          <w:lang w:val="zh-CN"/>
        </w:rPr>
        <w:t xml:space="preserve">          </w:t>
      </w:r>
      <w:r>
        <w:rPr>
          <w:rFonts w:hint="eastAsia" w:ascii="仿宋" w:hAnsi="仿宋" w:eastAsia="仿宋" w:cs="仿宋"/>
          <w:color w:val="auto"/>
          <w:sz w:val="24"/>
          <w:szCs w:val="24"/>
          <w:highlight w:val="none"/>
        </w:rPr>
        <w:t>(职务、职称)为全权代表，参加贵方组织的</w:t>
      </w:r>
      <w:r>
        <w:rPr>
          <w:rFonts w:hint="eastAsia" w:ascii="仿宋" w:hAnsi="仿宋" w:eastAsia="仿宋" w:cs="仿宋"/>
          <w:color w:val="auto"/>
          <w:sz w:val="24"/>
          <w:szCs w:val="24"/>
          <w:highlight w:val="none"/>
          <w:u w:val="single"/>
        </w:rPr>
        <w:t>（</w:t>
      </w:r>
      <w:r>
        <w:rPr>
          <w:rFonts w:hint="eastAsia" w:ascii="仿宋" w:hAnsi="仿宋" w:eastAsia="仿宋" w:cs="仿宋"/>
          <w:i w:val="0"/>
          <w:iCs w:val="0"/>
          <w:color w:val="auto"/>
          <w:sz w:val="24"/>
          <w:szCs w:val="24"/>
          <w:highlight w:val="none"/>
          <w:u w:val="single"/>
        </w:rPr>
        <w:t>项目名称</w:t>
      </w:r>
      <w:r>
        <w:rPr>
          <w:rFonts w:hint="eastAsia" w:ascii="仿宋" w:hAnsi="仿宋" w:eastAsia="仿宋" w:cs="仿宋"/>
          <w:i w:val="0"/>
          <w:iCs w:val="0"/>
          <w:color w:val="auto"/>
          <w:sz w:val="24"/>
          <w:szCs w:val="24"/>
          <w:highlight w:val="none"/>
          <w:u w:val="single"/>
          <w:lang w:eastAsia="zh-CN"/>
        </w:rPr>
        <w:t>：</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eastAsia="zh-CN"/>
        </w:rPr>
        <w:t>、</w:t>
      </w:r>
      <w:r>
        <w:rPr>
          <w:rFonts w:hint="eastAsia" w:ascii="仿宋" w:hAnsi="仿宋" w:eastAsia="仿宋" w:cs="仿宋"/>
          <w:i w:val="0"/>
          <w:iCs w:val="0"/>
          <w:color w:val="auto"/>
          <w:sz w:val="24"/>
          <w:szCs w:val="24"/>
          <w:highlight w:val="none"/>
          <w:u w:val="single"/>
          <w:lang w:eastAsia="zh-CN"/>
        </w:rPr>
        <w:t>项目</w:t>
      </w:r>
      <w:r>
        <w:rPr>
          <w:rFonts w:hint="eastAsia" w:ascii="仿宋" w:hAnsi="仿宋" w:eastAsia="仿宋" w:cs="仿宋"/>
          <w:i w:val="0"/>
          <w:iCs w:val="0"/>
          <w:color w:val="auto"/>
          <w:sz w:val="24"/>
          <w:szCs w:val="24"/>
          <w:highlight w:val="none"/>
          <w:u w:val="single"/>
        </w:rPr>
        <w:t>编号：</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kern w:val="0"/>
          <w:sz w:val="24"/>
          <w:szCs w:val="24"/>
          <w:highlight w:val="none"/>
          <w:lang w:val="zh-CN"/>
        </w:rPr>
        <w:t xml:space="preserve"> </w:t>
      </w:r>
      <w:r>
        <w:rPr>
          <w:rFonts w:hint="eastAsia" w:ascii="仿宋" w:hAnsi="仿宋" w:eastAsia="仿宋" w:cs="仿宋"/>
          <w:color w:val="auto"/>
          <w:sz w:val="24"/>
          <w:szCs w:val="24"/>
          <w:highlight w:val="none"/>
        </w:rPr>
        <w:t>)采购的有关活动，并对此项目进行应标。为此：</w:t>
      </w:r>
    </w:p>
    <w:p>
      <w:pPr>
        <w:keepNext w:val="0"/>
        <w:keepLines w:val="0"/>
        <w:pageBreakBefore w:val="0"/>
        <w:widowControl w:val="0"/>
        <w:numPr>
          <w:ilvl w:val="0"/>
          <w:numId w:val="0"/>
        </w:numPr>
        <w:tabs>
          <w:tab w:val="left" w:pos="1080"/>
        </w:tabs>
        <w:kinsoku/>
        <w:wordWrap/>
        <w:overflowPunct/>
        <w:topLinePunct w:val="0"/>
        <w:autoSpaceDE/>
        <w:autoSpaceDN/>
        <w:bidi w:val="0"/>
        <w:adjustRightInd/>
        <w:snapToGrid/>
        <w:spacing w:line="440" w:lineRule="exact"/>
        <w:ind w:left="0" w:leftChars="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我方同意在编制和提交</w:t>
      </w:r>
      <w:r>
        <w:rPr>
          <w:rFonts w:hint="eastAsia" w:ascii="仿宋" w:hAnsi="仿宋" w:eastAsia="仿宋" w:cs="仿宋"/>
          <w:color w:val="auto"/>
          <w:sz w:val="24"/>
          <w:szCs w:val="24"/>
          <w:highlight w:val="none"/>
          <w:lang w:val="en-US" w:eastAsia="zh-CN"/>
        </w:rPr>
        <w:t>投标</w:t>
      </w:r>
      <w:r>
        <w:rPr>
          <w:rFonts w:hint="eastAsia" w:ascii="仿宋" w:hAnsi="仿宋" w:eastAsia="仿宋" w:cs="仿宋"/>
          <w:color w:val="auto"/>
          <w:sz w:val="24"/>
          <w:szCs w:val="24"/>
          <w:highlight w:val="none"/>
        </w:rPr>
        <w:t>文件须知规定的</w:t>
      </w:r>
      <w:r>
        <w:rPr>
          <w:rFonts w:hint="eastAsia" w:ascii="仿宋" w:hAnsi="仿宋" w:eastAsia="仿宋" w:cs="仿宋"/>
          <w:color w:val="auto"/>
          <w:sz w:val="24"/>
          <w:szCs w:val="24"/>
          <w:highlight w:val="none"/>
          <w:lang w:val="en-US" w:eastAsia="zh-CN"/>
        </w:rPr>
        <w:t>投标</w:t>
      </w:r>
      <w:r>
        <w:rPr>
          <w:rFonts w:hint="eastAsia" w:ascii="仿宋" w:hAnsi="仿宋" w:eastAsia="仿宋" w:cs="仿宋"/>
          <w:color w:val="auto"/>
          <w:sz w:val="24"/>
          <w:szCs w:val="24"/>
          <w:highlight w:val="none"/>
        </w:rPr>
        <w:t>日期起遵守本</w:t>
      </w:r>
      <w:r>
        <w:rPr>
          <w:rFonts w:hint="eastAsia" w:ascii="仿宋" w:hAnsi="仿宋" w:eastAsia="仿宋" w:cs="仿宋"/>
          <w:color w:val="auto"/>
          <w:sz w:val="24"/>
          <w:szCs w:val="24"/>
          <w:highlight w:val="none"/>
          <w:lang w:val="en-US" w:eastAsia="zh-CN"/>
        </w:rPr>
        <w:t>投标</w:t>
      </w:r>
      <w:r>
        <w:rPr>
          <w:rFonts w:hint="eastAsia" w:ascii="仿宋" w:hAnsi="仿宋" w:eastAsia="仿宋" w:cs="仿宋"/>
          <w:color w:val="auto"/>
          <w:sz w:val="24"/>
          <w:szCs w:val="24"/>
          <w:highlight w:val="none"/>
        </w:rPr>
        <w:t>文件中的承诺且在</w:t>
      </w:r>
      <w:r>
        <w:rPr>
          <w:rFonts w:hint="eastAsia" w:ascii="仿宋" w:hAnsi="仿宋" w:eastAsia="仿宋" w:cs="仿宋"/>
          <w:color w:val="auto"/>
          <w:sz w:val="24"/>
          <w:szCs w:val="24"/>
          <w:highlight w:val="none"/>
          <w:lang w:val="en-US" w:eastAsia="zh-CN"/>
        </w:rPr>
        <w:t>投标</w:t>
      </w:r>
      <w:r>
        <w:rPr>
          <w:rFonts w:hint="eastAsia" w:ascii="仿宋" w:hAnsi="仿宋" w:eastAsia="仿宋" w:cs="仿宋"/>
          <w:color w:val="auto"/>
          <w:sz w:val="24"/>
          <w:szCs w:val="24"/>
          <w:highlight w:val="none"/>
        </w:rPr>
        <w:t xml:space="preserve">有效期满之前均具有约束力。                 </w:t>
      </w:r>
    </w:p>
    <w:p>
      <w:pPr>
        <w:keepNext w:val="0"/>
        <w:keepLines w:val="0"/>
        <w:pageBreakBefore w:val="0"/>
        <w:widowControl w:val="0"/>
        <w:numPr>
          <w:ilvl w:val="0"/>
          <w:numId w:val="0"/>
        </w:numPr>
        <w:tabs>
          <w:tab w:val="left" w:pos="1080"/>
        </w:tabs>
        <w:kinsoku/>
        <w:wordWrap/>
        <w:overflowPunct/>
        <w:topLinePunct w:val="0"/>
        <w:autoSpaceDE/>
        <w:autoSpaceDN/>
        <w:bidi w:val="0"/>
        <w:adjustRightInd/>
        <w:snapToGrid/>
        <w:spacing w:line="440" w:lineRule="exact"/>
        <w:ind w:leftChars="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我方承诺已经具备供应商应当具备的条件：</w:t>
      </w:r>
    </w:p>
    <w:p>
      <w:pPr>
        <w:keepNext w:val="0"/>
        <w:keepLines w:val="0"/>
        <w:pageBreakBefore w:val="0"/>
        <w:widowControl w:val="0"/>
        <w:numPr>
          <w:ilvl w:val="0"/>
          <w:numId w:val="0"/>
        </w:numPr>
        <w:tabs>
          <w:tab w:val="left" w:pos="1800"/>
        </w:tabs>
        <w:kinsoku/>
        <w:wordWrap/>
        <w:overflowPunct/>
        <w:topLinePunct w:val="0"/>
        <w:autoSpaceDE/>
        <w:autoSpaceDN/>
        <w:bidi w:val="0"/>
        <w:adjustRightInd/>
        <w:snapToGrid/>
        <w:spacing w:line="440" w:lineRule="exact"/>
        <w:ind w:leftChars="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具有独立承担民事责任的能力；</w:t>
      </w:r>
    </w:p>
    <w:p>
      <w:pPr>
        <w:keepNext w:val="0"/>
        <w:keepLines w:val="0"/>
        <w:pageBreakBefore w:val="0"/>
        <w:widowControl w:val="0"/>
        <w:numPr>
          <w:ilvl w:val="0"/>
          <w:numId w:val="0"/>
        </w:numPr>
        <w:tabs>
          <w:tab w:val="left" w:pos="1800"/>
        </w:tabs>
        <w:kinsoku/>
        <w:wordWrap/>
        <w:overflowPunct/>
        <w:topLinePunct w:val="0"/>
        <w:autoSpaceDE/>
        <w:autoSpaceDN/>
        <w:bidi w:val="0"/>
        <w:adjustRightInd/>
        <w:snapToGrid/>
        <w:spacing w:line="440" w:lineRule="exact"/>
        <w:ind w:leftChars="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遵守国家法律、行政法规，具有良好的信誉和商业道德；</w:t>
      </w:r>
    </w:p>
    <w:p>
      <w:pPr>
        <w:keepNext w:val="0"/>
        <w:keepLines w:val="0"/>
        <w:pageBreakBefore w:val="0"/>
        <w:widowControl w:val="0"/>
        <w:numPr>
          <w:ilvl w:val="0"/>
          <w:numId w:val="0"/>
        </w:numPr>
        <w:tabs>
          <w:tab w:val="left" w:pos="1800"/>
        </w:tabs>
        <w:kinsoku/>
        <w:wordWrap/>
        <w:overflowPunct/>
        <w:topLinePunct w:val="0"/>
        <w:autoSpaceDE/>
        <w:autoSpaceDN/>
        <w:bidi w:val="0"/>
        <w:adjustRightInd/>
        <w:snapToGrid/>
        <w:spacing w:line="440" w:lineRule="exact"/>
        <w:ind w:leftChars="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具有履行合同的能力和良好的履行合同记录；</w:t>
      </w:r>
    </w:p>
    <w:p>
      <w:pPr>
        <w:keepNext w:val="0"/>
        <w:keepLines w:val="0"/>
        <w:pageBreakBefore w:val="0"/>
        <w:widowControl w:val="0"/>
        <w:numPr>
          <w:ilvl w:val="0"/>
          <w:numId w:val="0"/>
        </w:numPr>
        <w:tabs>
          <w:tab w:val="left" w:pos="1800"/>
        </w:tabs>
        <w:kinsoku/>
        <w:wordWrap/>
        <w:overflowPunct/>
        <w:topLinePunct w:val="0"/>
        <w:autoSpaceDE/>
        <w:autoSpaceDN/>
        <w:bidi w:val="0"/>
        <w:adjustRightInd/>
        <w:snapToGrid/>
        <w:spacing w:line="440" w:lineRule="exact"/>
        <w:ind w:leftChars="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良好的资金、财务状况；</w:t>
      </w:r>
    </w:p>
    <w:p>
      <w:pPr>
        <w:keepNext w:val="0"/>
        <w:keepLines w:val="0"/>
        <w:pageBreakBefore w:val="0"/>
        <w:widowControl w:val="0"/>
        <w:numPr>
          <w:ilvl w:val="0"/>
          <w:numId w:val="0"/>
        </w:numPr>
        <w:tabs>
          <w:tab w:val="left" w:pos="1800"/>
        </w:tabs>
        <w:kinsoku/>
        <w:wordWrap/>
        <w:overflowPunct/>
        <w:topLinePunct w:val="0"/>
        <w:autoSpaceDE/>
        <w:autoSpaceDN/>
        <w:bidi w:val="0"/>
        <w:adjustRightInd/>
        <w:snapToGrid/>
        <w:spacing w:line="440" w:lineRule="exact"/>
        <w:ind w:leftChars="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没有发生重大经济纠纷和走私犯罪记录；</w:t>
      </w:r>
    </w:p>
    <w:p>
      <w:pPr>
        <w:keepNext w:val="0"/>
        <w:keepLines w:val="0"/>
        <w:pageBreakBefore w:val="0"/>
        <w:widowControl w:val="0"/>
        <w:numPr>
          <w:ilvl w:val="0"/>
          <w:numId w:val="0"/>
        </w:numPr>
        <w:tabs>
          <w:tab w:val="left" w:pos="1800"/>
        </w:tabs>
        <w:kinsoku/>
        <w:wordWrap/>
        <w:overflowPunct/>
        <w:topLinePunct w:val="0"/>
        <w:autoSpaceDE/>
        <w:autoSpaceDN/>
        <w:bidi w:val="0"/>
        <w:adjustRightInd/>
        <w:snapToGrid/>
        <w:spacing w:line="440" w:lineRule="exact"/>
        <w:ind w:leftChars="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提供编制和提交</w:t>
      </w:r>
      <w:r>
        <w:rPr>
          <w:rFonts w:hint="eastAsia" w:ascii="仿宋" w:hAnsi="仿宋" w:eastAsia="仿宋" w:cs="仿宋"/>
          <w:color w:val="auto"/>
          <w:sz w:val="24"/>
          <w:szCs w:val="24"/>
          <w:highlight w:val="none"/>
          <w:lang w:val="en-US" w:eastAsia="zh-CN"/>
        </w:rPr>
        <w:t>投标</w:t>
      </w:r>
      <w:r>
        <w:rPr>
          <w:rFonts w:hint="eastAsia" w:ascii="仿宋" w:hAnsi="仿宋" w:eastAsia="仿宋" w:cs="仿宋"/>
          <w:color w:val="auto"/>
          <w:sz w:val="24"/>
          <w:szCs w:val="24"/>
          <w:highlight w:val="none"/>
        </w:rPr>
        <w:t>文件须知规定的全部</w:t>
      </w:r>
      <w:r>
        <w:rPr>
          <w:rFonts w:hint="eastAsia" w:ascii="仿宋" w:hAnsi="仿宋" w:eastAsia="仿宋" w:cs="仿宋"/>
          <w:color w:val="auto"/>
          <w:sz w:val="24"/>
          <w:szCs w:val="24"/>
          <w:highlight w:val="none"/>
          <w:lang w:val="en-US" w:eastAsia="zh-CN"/>
        </w:rPr>
        <w:t>投标</w:t>
      </w:r>
      <w:r>
        <w:rPr>
          <w:rFonts w:hint="eastAsia" w:ascii="仿宋" w:hAnsi="仿宋" w:eastAsia="仿宋" w:cs="仿宋"/>
          <w:color w:val="auto"/>
          <w:sz w:val="24"/>
          <w:szCs w:val="24"/>
          <w:highlight w:val="none"/>
        </w:rPr>
        <w:t>文件。具体内容为：</w:t>
      </w:r>
    </w:p>
    <w:p>
      <w:pPr>
        <w:keepNext w:val="0"/>
        <w:keepLines w:val="0"/>
        <w:pageBreakBefore w:val="0"/>
        <w:widowControl w:val="0"/>
        <w:numPr>
          <w:ilvl w:val="0"/>
          <w:numId w:val="0"/>
        </w:numPr>
        <w:tabs>
          <w:tab w:val="left" w:pos="1800"/>
        </w:tabs>
        <w:kinsoku/>
        <w:wordWrap/>
        <w:overflowPunct/>
        <w:topLinePunct w:val="0"/>
        <w:autoSpaceDE/>
        <w:autoSpaceDN/>
        <w:bidi w:val="0"/>
        <w:adjustRightInd/>
        <w:snapToGrid/>
        <w:spacing w:line="440" w:lineRule="exact"/>
        <w:ind w:leftChars="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eastAsia="zh-CN"/>
        </w:rPr>
        <w:t>资格证明文件；</w:t>
      </w:r>
    </w:p>
    <w:p>
      <w:pPr>
        <w:keepNext w:val="0"/>
        <w:keepLines w:val="0"/>
        <w:pageBreakBefore w:val="0"/>
        <w:widowControl w:val="0"/>
        <w:numPr>
          <w:ilvl w:val="0"/>
          <w:numId w:val="0"/>
        </w:numPr>
        <w:tabs>
          <w:tab w:val="left" w:pos="1800"/>
        </w:tabs>
        <w:kinsoku/>
        <w:wordWrap/>
        <w:overflowPunct/>
        <w:topLinePunct w:val="0"/>
        <w:autoSpaceDE/>
        <w:autoSpaceDN/>
        <w:bidi w:val="0"/>
        <w:adjustRightInd/>
        <w:snapToGrid/>
        <w:spacing w:line="440" w:lineRule="exact"/>
        <w:ind w:leftChars="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商务技术文件；</w:t>
      </w:r>
    </w:p>
    <w:p>
      <w:pPr>
        <w:keepNext w:val="0"/>
        <w:keepLines w:val="0"/>
        <w:pageBreakBefore w:val="0"/>
        <w:widowControl w:val="0"/>
        <w:numPr>
          <w:ilvl w:val="0"/>
          <w:numId w:val="0"/>
        </w:numPr>
        <w:tabs>
          <w:tab w:val="left" w:pos="1800"/>
        </w:tabs>
        <w:kinsoku/>
        <w:wordWrap/>
        <w:overflowPunct/>
        <w:topLinePunct w:val="0"/>
        <w:autoSpaceDE/>
        <w:autoSpaceDN/>
        <w:bidi w:val="0"/>
        <w:adjustRightInd/>
        <w:snapToGrid/>
        <w:spacing w:line="440" w:lineRule="exact"/>
        <w:ind w:leftChars="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lang w:eastAsia="zh-CN"/>
        </w:rPr>
        <w:t>报价文件</w:t>
      </w:r>
      <w:r>
        <w:rPr>
          <w:rFonts w:hint="eastAsia" w:ascii="仿宋" w:hAnsi="仿宋" w:eastAsia="仿宋" w:cs="仿宋"/>
          <w:color w:val="auto"/>
          <w:sz w:val="24"/>
          <w:szCs w:val="24"/>
          <w:highlight w:val="none"/>
        </w:rPr>
        <w:t>；</w:t>
      </w:r>
    </w:p>
    <w:p>
      <w:pPr>
        <w:keepNext w:val="0"/>
        <w:keepLines w:val="0"/>
        <w:pageBreakBefore w:val="0"/>
        <w:widowControl w:val="0"/>
        <w:numPr>
          <w:ilvl w:val="0"/>
          <w:numId w:val="0"/>
        </w:numPr>
        <w:tabs>
          <w:tab w:val="left" w:pos="1800"/>
        </w:tabs>
        <w:kinsoku/>
        <w:wordWrap/>
        <w:overflowPunct/>
        <w:topLinePunct w:val="0"/>
        <w:autoSpaceDE/>
        <w:autoSpaceDN/>
        <w:bidi w:val="0"/>
        <w:adjustRightInd/>
        <w:snapToGrid/>
        <w:spacing w:line="440" w:lineRule="exact"/>
        <w:ind w:leftChars="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编制和提交</w:t>
      </w:r>
      <w:r>
        <w:rPr>
          <w:rFonts w:hint="eastAsia" w:ascii="仿宋" w:hAnsi="仿宋" w:eastAsia="仿宋" w:cs="仿宋"/>
          <w:color w:val="auto"/>
          <w:sz w:val="24"/>
          <w:szCs w:val="24"/>
          <w:highlight w:val="none"/>
          <w:lang w:val="en-US" w:eastAsia="zh-CN"/>
        </w:rPr>
        <w:t>投标</w:t>
      </w:r>
      <w:r>
        <w:rPr>
          <w:rFonts w:hint="eastAsia" w:ascii="仿宋" w:hAnsi="仿宋" w:eastAsia="仿宋" w:cs="仿宋"/>
          <w:color w:val="auto"/>
          <w:sz w:val="24"/>
          <w:szCs w:val="24"/>
          <w:highlight w:val="none"/>
        </w:rPr>
        <w:t>文件须知要求</w:t>
      </w:r>
      <w:r>
        <w:rPr>
          <w:rFonts w:hint="eastAsia" w:ascii="仿宋" w:hAnsi="仿宋" w:eastAsia="仿宋" w:cs="仿宋"/>
          <w:color w:val="auto"/>
          <w:sz w:val="24"/>
          <w:szCs w:val="24"/>
          <w:highlight w:val="none"/>
          <w:lang w:val="en-US" w:eastAsia="zh-CN"/>
        </w:rPr>
        <w:t>投标人</w:t>
      </w:r>
      <w:r>
        <w:rPr>
          <w:rFonts w:hint="eastAsia" w:ascii="仿宋" w:hAnsi="仿宋" w:eastAsia="仿宋" w:cs="仿宋"/>
          <w:color w:val="auto"/>
          <w:sz w:val="24"/>
          <w:szCs w:val="24"/>
          <w:highlight w:val="none"/>
        </w:rPr>
        <w:t>提交的全部文件。</w:t>
      </w:r>
    </w:p>
    <w:p>
      <w:pPr>
        <w:keepNext w:val="0"/>
        <w:keepLines w:val="0"/>
        <w:pageBreakBefore w:val="0"/>
        <w:widowControl w:val="0"/>
        <w:numPr>
          <w:ilvl w:val="0"/>
          <w:numId w:val="0"/>
        </w:numPr>
        <w:tabs>
          <w:tab w:val="left" w:pos="1080"/>
        </w:tabs>
        <w:kinsoku/>
        <w:wordWrap/>
        <w:overflowPunct/>
        <w:topLinePunct w:val="0"/>
        <w:autoSpaceDE/>
        <w:autoSpaceDN/>
        <w:bidi w:val="0"/>
        <w:adjustRightInd/>
        <w:snapToGrid/>
        <w:spacing w:line="440" w:lineRule="exact"/>
        <w:ind w:left="0" w:leftChars="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按</w:t>
      </w:r>
      <w:r>
        <w:rPr>
          <w:rFonts w:hint="eastAsia" w:ascii="仿宋" w:hAnsi="仿宋" w:eastAsia="仿宋" w:cs="仿宋"/>
          <w:color w:val="auto"/>
          <w:sz w:val="24"/>
          <w:szCs w:val="24"/>
          <w:highlight w:val="none"/>
          <w:lang w:val="en-US" w:eastAsia="zh-CN"/>
        </w:rPr>
        <w:t>招标</w:t>
      </w:r>
      <w:r>
        <w:rPr>
          <w:rFonts w:hint="eastAsia" w:ascii="仿宋" w:hAnsi="仿宋" w:eastAsia="仿宋" w:cs="仿宋"/>
          <w:color w:val="auto"/>
          <w:sz w:val="24"/>
          <w:szCs w:val="24"/>
          <w:highlight w:val="none"/>
        </w:rPr>
        <w:t>文件要求提供服务的</w:t>
      </w:r>
      <w:r>
        <w:rPr>
          <w:rFonts w:hint="eastAsia" w:ascii="仿宋" w:hAnsi="仿宋" w:eastAsia="仿宋" w:cs="仿宋"/>
          <w:color w:val="auto"/>
          <w:sz w:val="24"/>
          <w:szCs w:val="24"/>
          <w:highlight w:val="none"/>
          <w:lang w:val="en-US" w:eastAsia="zh-CN"/>
        </w:rPr>
        <w:t>投标</w:t>
      </w:r>
      <w:r>
        <w:rPr>
          <w:rFonts w:hint="eastAsia" w:ascii="仿宋" w:hAnsi="仿宋" w:eastAsia="仿宋" w:cs="仿宋"/>
          <w:color w:val="auto"/>
          <w:sz w:val="24"/>
          <w:szCs w:val="24"/>
          <w:highlight w:val="none"/>
        </w:rPr>
        <w:t>报价</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详见</w:t>
      </w:r>
      <w:r>
        <w:rPr>
          <w:rFonts w:hint="eastAsia" w:ascii="仿宋" w:hAnsi="仿宋" w:eastAsia="仿宋" w:cs="仿宋"/>
          <w:color w:val="auto"/>
          <w:sz w:val="24"/>
          <w:szCs w:val="24"/>
          <w:highlight w:val="none"/>
          <w:lang w:val="en-US" w:eastAsia="zh-CN"/>
        </w:rPr>
        <w:t>开标</w:t>
      </w:r>
      <w:r>
        <w:rPr>
          <w:rFonts w:hint="eastAsia" w:ascii="仿宋" w:hAnsi="仿宋" w:eastAsia="仿宋" w:cs="仿宋"/>
          <w:color w:val="auto"/>
          <w:sz w:val="24"/>
          <w:szCs w:val="24"/>
          <w:highlight w:val="none"/>
        </w:rPr>
        <w:t>一览表。</w:t>
      </w:r>
    </w:p>
    <w:p>
      <w:pPr>
        <w:keepNext w:val="0"/>
        <w:keepLines w:val="0"/>
        <w:pageBreakBefore w:val="0"/>
        <w:widowControl w:val="0"/>
        <w:numPr>
          <w:ilvl w:val="0"/>
          <w:numId w:val="0"/>
        </w:numPr>
        <w:tabs>
          <w:tab w:val="left" w:pos="1080"/>
        </w:tabs>
        <w:kinsoku/>
        <w:wordWrap/>
        <w:overflowPunct/>
        <w:topLinePunct w:val="0"/>
        <w:autoSpaceDE/>
        <w:autoSpaceDN/>
        <w:bidi w:val="0"/>
        <w:adjustRightInd/>
        <w:snapToGrid/>
        <w:spacing w:line="440" w:lineRule="exact"/>
        <w:ind w:left="0" w:leftChars="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保证忠实地执行双方所签订的合同，并承担合同规定的责任和义务。</w:t>
      </w:r>
    </w:p>
    <w:p>
      <w:pPr>
        <w:keepNext w:val="0"/>
        <w:keepLines w:val="0"/>
        <w:pageBreakBefore w:val="0"/>
        <w:widowControl w:val="0"/>
        <w:numPr>
          <w:ilvl w:val="0"/>
          <w:numId w:val="0"/>
        </w:numPr>
        <w:tabs>
          <w:tab w:val="left" w:pos="1080"/>
        </w:tabs>
        <w:kinsoku/>
        <w:wordWrap/>
        <w:overflowPunct/>
        <w:topLinePunct w:val="0"/>
        <w:autoSpaceDE/>
        <w:autoSpaceDN/>
        <w:bidi w:val="0"/>
        <w:adjustRightInd/>
        <w:snapToGrid/>
        <w:spacing w:line="440" w:lineRule="exact"/>
        <w:ind w:left="0" w:leftChars="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保证遵守</w:t>
      </w:r>
      <w:r>
        <w:rPr>
          <w:rFonts w:hint="eastAsia" w:ascii="仿宋" w:hAnsi="仿宋" w:eastAsia="仿宋" w:cs="仿宋"/>
          <w:color w:val="auto"/>
          <w:sz w:val="24"/>
          <w:szCs w:val="24"/>
          <w:highlight w:val="none"/>
          <w:lang w:val="en-US" w:eastAsia="zh-CN"/>
        </w:rPr>
        <w:t>招标</w:t>
      </w:r>
      <w:r>
        <w:rPr>
          <w:rFonts w:hint="eastAsia" w:ascii="仿宋" w:hAnsi="仿宋" w:eastAsia="仿宋" w:cs="仿宋"/>
          <w:color w:val="auto"/>
          <w:sz w:val="24"/>
          <w:szCs w:val="24"/>
          <w:highlight w:val="none"/>
        </w:rPr>
        <w:t>文件中的其他有关规定。如果我单位</w:t>
      </w:r>
      <w:r>
        <w:rPr>
          <w:rFonts w:hint="eastAsia" w:ascii="仿宋" w:hAnsi="仿宋" w:eastAsia="仿宋" w:cs="仿宋"/>
          <w:color w:val="auto"/>
          <w:sz w:val="24"/>
          <w:szCs w:val="24"/>
          <w:highlight w:val="none"/>
          <w:lang w:val="en-US" w:eastAsia="zh-CN"/>
        </w:rPr>
        <w:t>中标</w:t>
      </w:r>
      <w:r>
        <w:rPr>
          <w:rFonts w:hint="eastAsia" w:ascii="仿宋" w:hAnsi="仿宋" w:eastAsia="仿宋" w:cs="仿宋"/>
          <w:color w:val="auto"/>
          <w:sz w:val="24"/>
          <w:szCs w:val="24"/>
          <w:highlight w:val="none"/>
        </w:rPr>
        <w:t>，我方将按照《</w:t>
      </w:r>
      <w:r>
        <w:rPr>
          <w:rFonts w:hint="eastAsia" w:ascii="仿宋" w:hAnsi="仿宋" w:eastAsia="仿宋" w:cs="仿宋"/>
          <w:color w:val="auto"/>
          <w:sz w:val="24"/>
          <w:szCs w:val="24"/>
          <w:highlight w:val="none"/>
          <w:lang w:val="en-US" w:eastAsia="zh-CN"/>
        </w:rPr>
        <w:t>中标</w:t>
      </w:r>
      <w:r>
        <w:rPr>
          <w:rFonts w:hint="eastAsia" w:ascii="仿宋" w:hAnsi="仿宋" w:eastAsia="仿宋" w:cs="仿宋"/>
          <w:color w:val="auto"/>
          <w:sz w:val="24"/>
          <w:szCs w:val="24"/>
          <w:highlight w:val="none"/>
        </w:rPr>
        <w:t>通知书》要求与贵方签订合同，严格履行合同义务。</w:t>
      </w:r>
    </w:p>
    <w:p>
      <w:pPr>
        <w:keepNext w:val="0"/>
        <w:keepLines w:val="0"/>
        <w:pageBreakBefore w:val="0"/>
        <w:widowControl w:val="0"/>
        <w:tabs>
          <w:tab w:val="left" w:pos="1080"/>
        </w:tabs>
        <w:kinsoku/>
        <w:wordWrap/>
        <w:overflowPunct/>
        <w:topLinePunct w:val="0"/>
        <w:autoSpaceDE/>
        <w:autoSpaceDN/>
        <w:bidi w:val="0"/>
        <w:adjustRightInd/>
        <w:snapToGrid/>
        <w:spacing w:line="440" w:lineRule="exact"/>
        <w:ind w:left="0" w:leftChars="0" w:right="0" w:firstLine="480"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7</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如果在</w:t>
      </w:r>
      <w:r>
        <w:rPr>
          <w:rFonts w:hint="eastAsia" w:ascii="仿宋" w:hAnsi="仿宋" w:eastAsia="仿宋" w:cs="仿宋"/>
          <w:color w:val="auto"/>
          <w:sz w:val="24"/>
          <w:szCs w:val="24"/>
          <w:highlight w:val="none"/>
          <w:lang w:val="en-US" w:eastAsia="zh-CN"/>
        </w:rPr>
        <w:t>投标</w:t>
      </w:r>
      <w:r>
        <w:rPr>
          <w:rFonts w:hint="eastAsia" w:ascii="仿宋" w:hAnsi="仿宋" w:eastAsia="仿宋" w:cs="仿宋"/>
          <w:color w:val="auto"/>
          <w:sz w:val="24"/>
          <w:szCs w:val="24"/>
          <w:highlight w:val="none"/>
        </w:rPr>
        <w:t>后规定的</w:t>
      </w:r>
      <w:r>
        <w:rPr>
          <w:rFonts w:hint="eastAsia" w:ascii="仿宋" w:hAnsi="仿宋" w:eastAsia="仿宋" w:cs="仿宋"/>
          <w:color w:val="auto"/>
          <w:sz w:val="24"/>
          <w:szCs w:val="24"/>
          <w:highlight w:val="none"/>
          <w:lang w:val="en-US" w:eastAsia="zh-CN"/>
        </w:rPr>
        <w:t>投标</w:t>
      </w:r>
      <w:r>
        <w:rPr>
          <w:rFonts w:hint="eastAsia" w:ascii="仿宋" w:hAnsi="仿宋" w:eastAsia="仿宋" w:cs="仿宋"/>
          <w:color w:val="auto"/>
          <w:sz w:val="24"/>
          <w:szCs w:val="24"/>
          <w:highlight w:val="none"/>
        </w:rPr>
        <w:t>有效期内撤回</w:t>
      </w:r>
      <w:r>
        <w:rPr>
          <w:rFonts w:hint="eastAsia" w:ascii="仿宋" w:hAnsi="仿宋" w:eastAsia="仿宋" w:cs="仿宋"/>
          <w:color w:val="auto"/>
          <w:sz w:val="24"/>
          <w:szCs w:val="24"/>
          <w:highlight w:val="none"/>
          <w:lang w:val="en-US" w:eastAsia="zh-CN"/>
        </w:rPr>
        <w:t>投标文件</w:t>
      </w:r>
      <w:r>
        <w:rPr>
          <w:rFonts w:hint="eastAsia" w:ascii="仿宋" w:hAnsi="仿宋" w:eastAsia="仿宋" w:cs="仿宋"/>
          <w:color w:val="auto"/>
          <w:sz w:val="24"/>
          <w:szCs w:val="24"/>
          <w:highlight w:val="none"/>
        </w:rPr>
        <w:t>，</w:t>
      </w:r>
      <w:r>
        <w:rPr>
          <w:rFonts w:hint="eastAsia" w:ascii="仿宋" w:hAnsi="仿宋" w:eastAsia="仿宋" w:cs="仿宋"/>
          <w:b/>
          <w:bCs/>
          <w:color w:val="auto"/>
          <w:sz w:val="24"/>
          <w:szCs w:val="24"/>
          <w:highlight w:val="none"/>
        </w:rPr>
        <w:t>我方同意贵方上报上级监管部门，列入不良行为名单，并给予通报。</w:t>
      </w:r>
    </w:p>
    <w:p>
      <w:pPr>
        <w:keepNext w:val="0"/>
        <w:keepLines w:val="0"/>
        <w:pageBreakBefore w:val="0"/>
        <w:widowControl w:val="0"/>
        <w:tabs>
          <w:tab w:val="left" w:pos="1080"/>
        </w:tabs>
        <w:kinsoku/>
        <w:wordWrap/>
        <w:overflowPunct/>
        <w:topLinePunct w:val="0"/>
        <w:autoSpaceDE/>
        <w:autoSpaceDN/>
        <w:bidi w:val="0"/>
        <w:adjustRightInd/>
        <w:snapToGrid/>
        <w:spacing w:line="440" w:lineRule="exact"/>
        <w:ind w:left="0" w:leftChars="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我方愿意向贵方提供任何与该项</w:t>
      </w:r>
      <w:r>
        <w:rPr>
          <w:rFonts w:hint="eastAsia" w:ascii="仿宋" w:hAnsi="仿宋" w:eastAsia="仿宋" w:cs="仿宋"/>
          <w:color w:val="auto"/>
          <w:sz w:val="24"/>
          <w:szCs w:val="24"/>
          <w:highlight w:val="none"/>
          <w:lang w:val="en-US" w:eastAsia="zh-CN"/>
        </w:rPr>
        <w:t>采购</w:t>
      </w:r>
      <w:r>
        <w:rPr>
          <w:rFonts w:hint="eastAsia" w:ascii="仿宋" w:hAnsi="仿宋" w:eastAsia="仿宋" w:cs="仿宋"/>
          <w:color w:val="auto"/>
          <w:sz w:val="24"/>
          <w:szCs w:val="24"/>
          <w:highlight w:val="none"/>
        </w:rPr>
        <w:t>有关的数据、情况和技术资料。若贵方需要，我方愿意提供我方作出的一切承诺的证明材料。</w:t>
      </w:r>
    </w:p>
    <w:p>
      <w:pPr>
        <w:keepNext w:val="0"/>
        <w:keepLines w:val="0"/>
        <w:pageBreakBefore w:val="0"/>
        <w:widowControl w:val="0"/>
        <w:kinsoku/>
        <w:wordWrap/>
        <w:overflowPunct/>
        <w:topLinePunct w:val="0"/>
        <w:autoSpaceDE/>
        <w:autoSpaceDN/>
        <w:bidi w:val="0"/>
        <w:adjustRightInd/>
        <w:snapToGrid/>
        <w:spacing w:line="440" w:lineRule="exact"/>
        <w:ind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我方已详细审阅和理解全部</w:t>
      </w:r>
      <w:r>
        <w:rPr>
          <w:rFonts w:hint="eastAsia" w:ascii="仿宋" w:hAnsi="仿宋" w:eastAsia="仿宋" w:cs="仿宋"/>
          <w:color w:val="auto"/>
          <w:sz w:val="24"/>
          <w:szCs w:val="24"/>
          <w:highlight w:val="none"/>
          <w:lang w:val="en-US" w:eastAsia="zh-CN"/>
        </w:rPr>
        <w:t>招标</w:t>
      </w:r>
      <w:r>
        <w:rPr>
          <w:rFonts w:hint="eastAsia" w:ascii="仿宋" w:hAnsi="仿宋" w:eastAsia="仿宋" w:cs="仿宋"/>
          <w:color w:val="auto"/>
          <w:sz w:val="24"/>
          <w:szCs w:val="24"/>
          <w:highlight w:val="none"/>
        </w:rPr>
        <w:t>文件，包括</w:t>
      </w:r>
      <w:r>
        <w:rPr>
          <w:rFonts w:hint="eastAsia" w:ascii="仿宋" w:hAnsi="仿宋" w:eastAsia="仿宋" w:cs="仿宋"/>
          <w:color w:val="auto"/>
          <w:sz w:val="24"/>
          <w:szCs w:val="24"/>
          <w:highlight w:val="none"/>
          <w:lang w:val="en-US" w:eastAsia="zh-CN"/>
        </w:rPr>
        <w:t>招标</w:t>
      </w:r>
      <w:r>
        <w:rPr>
          <w:rFonts w:hint="eastAsia" w:ascii="仿宋" w:hAnsi="仿宋" w:eastAsia="仿宋" w:cs="仿宋"/>
          <w:color w:val="auto"/>
          <w:sz w:val="24"/>
          <w:szCs w:val="24"/>
          <w:highlight w:val="none"/>
        </w:rPr>
        <w:t>文件修改书（如有的话）、参考资料及有关附件，确认无误。</w:t>
      </w:r>
    </w:p>
    <w:p>
      <w:pPr>
        <w:keepNext w:val="0"/>
        <w:keepLines w:val="0"/>
        <w:pageBreakBefore w:val="0"/>
        <w:widowControl w:val="0"/>
        <w:kinsoku/>
        <w:wordWrap/>
        <w:overflowPunct/>
        <w:topLinePunct w:val="0"/>
        <w:autoSpaceDE/>
        <w:autoSpaceDN/>
        <w:bidi w:val="0"/>
        <w:adjustRightInd/>
        <w:snapToGrid/>
        <w:spacing w:line="440" w:lineRule="exact"/>
        <w:ind w:right="0" w:firstLine="5760" w:firstLineChars="24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zh-CN"/>
        </w:rPr>
        <w:t>投标人名称</w:t>
      </w:r>
      <w:r>
        <w:rPr>
          <w:rFonts w:hint="eastAsia" w:ascii="仿宋" w:hAnsi="仿宋" w:eastAsia="仿宋" w:cs="仿宋"/>
          <w:color w:val="auto"/>
          <w:sz w:val="24"/>
          <w:szCs w:val="24"/>
          <w:highlight w:val="none"/>
        </w:rPr>
        <w:t xml:space="preserve">（电子签名）：                          </w:t>
      </w:r>
    </w:p>
    <w:p>
      <w:pPr>
        <w:keepNext w:val="0"/>
        <w:keepLines w:val="0"/>
        <w:pageBreakBefore w:val="0"/>
        <w:widowControl w:val="0"/>
        <w:kinsoku/>
        <w:wordWrap/>
        <w:overflowPunct/>
        <w:topLinePunct w:val="0"/>
        <w:autoSpaceDE/>
        <w:autoSpaceDN/>
        <w:bidi w:val="0"/>
        <w:adjustRightInd/>
        <w:snapToGrid/>
        <w:spacing w:line="440" w:lineRule="exact"/>
        <w:ind w:leftChars="0" w:right="0"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日期：  年   月   日</w:t>
      </w:r>
    </w:p>
    <w:p>
      <w:pPr>
        <w:keepNext w:val="0"/>
        <w:keepLines w:val="0"/>
        <w:pageBreakBefore w:val="0"/>
        <w:widowControl w:val="0"/>
        <w:kinsoku/>
        <w:wordWrap/>
        <w:overflowPunct/>
        <w:topLinePunct w:val="0"/>
        <w:autoSpaceDE/>
        <w:autoSpaceDN/>
        <w:bidi w:val="0"/>
        <w:adjustRightInd/>
        <w:snapToGrid/>
        <w:spacing w:line="440" w:lineRule="exact"/>
        <w:ind w:leftChars="0" w:righ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注：按本格式和要求提供。</w:t>
      </w:r>
    </w:p>
    <w:p>
      <w:pPr>
        <w:pStyle w:val="43"/>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eastAsia" w:ascii="仿宋" w:hAnsi="仿宋" w:eastAsia="仿宋" w:cs="仿宋"/>
          <w:b/>
          <w:color w:val="auto"/>
          <w:kern w:val="2"/>
          <w:sz w:val="24"/>
          <w:szCs w:val="24"/>
          <w:highlight w:val="none"/>
          <w:lang w:val="en-US" w:eastAsia="zh-CN" w:bidi="ar-SA"/>
        </w:rPr>
      </w:pPr>
    </w:p>
    <w:p>
      <w:pPr>
        <w:spacing w:line="500" w:lineRule="exact"/>
        <w:jc w:val="center"/>
        <w:rPr>
          <w:rFonts w:hint="eastAsia" w:ascii="仿宋" w:hAnsi="仿宋" w:eastAsia="仿宋" w:cs="仿宋"/>
          <w:b/>
          <w:bCs/>
          <w:color w:val="auto"/>
          <w:sz w:val="24"/>
          <w:szCs w:val="24"/>
          <w:highlight w:val="none"/>
          <w:lang w:eastAsia="zh-CN"/>
        </w:rPr>
      </w:pPr>
    </w:p>
    <w:p>
      <w:pPr>
        <w:spacing w:line="500" w:lineRule="exact"/>
        <w:jc w:val="center"/>
        <w:rPr>
          <w:rFonts w:hint="eastAsia" w:ascii="仿宋" w:hAnsi="仿宋" w:eastAsia="仿宋" w:cs="仿宋"/>
          <w:b/>
          <w:bCs/>
          <w:color w:val="auto"/>
          <w:sz w:val="24"/>
          <w:szCs w:val="24"/>
          <w:highlight w:val="none"/>
          <w:lang w:eastAsia="zh-CN"/>
        </w:rPr>
      </w:pPr>
    </w:p>
    <w:p>
      <w:pPr>
        <w:spacing w:line="500" w:lineRule="exact"/>
        <w:jc w:val="center"/>
        <w:rPr>
          <w:rFonts w:hint="eastAsia" w:ascii="仿宋" w:hAnsi="仿宋" w:eastAsia="仿宋" w:cs="仿宋"/>
          <w:b/>
          <w:bCs/>
          <w:color w:val="auto"/>
          <w:sz w:val="24"/>
          <w:szCs w:val="24"/>
          <w:highlight w:val="none"/>
          <w:lang w:eastAsia="zh-CN"/>
        </w:rPr>
      </w:pPr>
    </w:p>
    <w:p>
      <w:pPr>
        <w:spacing w:line="500" w:lineRule="exact"/>
        <w:jc w:val="center"/>
        <w:rPr>
          <w:rFonts w:hint="eastAsia" w:ascii="仿宋" w:hAnsi="仿宋" w:eastAsia="仿宋" w:cs="仿宋"/>
          <w:b/>
          <w:bCs/>
          <w:color w:val="auto"/>
          <w:sz w:val="24"/>
          <w:szCs w:val="24"/>
          <w:highlight w:val="none"/>
          <w:lang w:eastAsia="zh-CN"/>
        </w:rPr>
      </w:pPr>
    </w:p>
    <w:p>
      <w:pPr>
        <w:spacing w:line="500" w:lineRule="exact"/>
        <w:jc w:val="center"/>
        <w:rPr>
          <w:rFonts w:hint="eastAsia" w:ascii="仿宋" w:hAnsi="仿宋" w:eastAsia="仿宋" w:cs="仿宋"/>
          <w:b/>
          <w:bCs/>
          <w:color w:val="auto"/>
          <w:sz w:val="24"/>
          <w:szCs w:val="24"/>
          <w:highlight w:val="none"/>
          <w:lang w:eastAsia="zh-CN"/>
        </w:rPr>
      </w:pPr>
    </w:p>
    <w:p>
      <w:pPr>
        <w:spacing w:line="500" w:lineRule="exact"/>
        <w:jc w:val="center"/>
        <w:rPr>
          <w:rFonts w:hint="eastAsia" w:ascii="仿宋" w:hAnsi="仿宋" w:eastAsia="仿宋" w:cs="仿宋"/>
          <w:b/>
          <w:bCs/>
          <w:color w:val="auto"/>
          <w:sz w:val="24"/>
          <w:szCs w:val="24"/>
          <w:highlight w:val="none"/>
          <w:lang w:eastAsia="zh-CN"/>
        </w:rPr>
      </w:pPr>
    </w:p>
    <w:p>
      <w:pPr>
        <w:spacing w:line="500" w:lineRule="exact"/>
        <w:jc w:val="center"/>
        <w:rPr>
          <w:rFonts w:hint="eastAsia" w:ascii="仿宋" w:hAnsi="仿宋" w:eastAsia="仿宋" w:cs="仿宋"/>
          <w:b/>
          <w:bCs/>
          <w:color w:val="auto"/>
          <w:sz w:val="24"/>
          <w:szCs w:val="24"/>
          <w:highlight w:val="none"/>
          <w:lang w:eastAsia="zh-CN"/>
        </w:rPr>
      </w:pPr>
    </w:p>
    <w:p>
      <w:pPr>
        <w:spacing w:line="500" w:lineRule="exact"/>
        <w:jc w:val="center"/>
        <w:rPr>
          <w:rFonts w:hint="eastAsia" w:ascii="仿宋" w:hAnsi="仿宋" w:eastAsia="仿宋" w:cs="仿宋"/>
          <w:b/>
          <w:bCs/>
          <w:color w:val="auto"/>
          <w:sz w:val="24"/>
          <w:szCs w:val="24"/>
          <w:highlight w:val="none"/>
          <w:lang w:eastAsia="zh-CN"/>
        </w:rPr>
      </w:pPr>
    </w:p>
    <w:p>
      <w:pPr>
        <w:spacing w:line="500" w:lineRule="exact"/>
        <w:jc w:val="center"/>
        <w:rPr>
          <w:rFonts w:hint="eastAsia" w:ascii="仿宋" w:hAnsi="仿宋" w:eastAsia="仿宋" w:cs="仿宋"/>
          <w:b/>
          <w:bCs/>
          <w:color w:val="auto"/>
          <w:sz w:val="24"/>
          <w:szCs w:val="24"/>
          <w:highlight w:val="none"/>
          <w:lang w:eastAsia="zh-CN"/>
        </w:rPr>
      </w:pPr>
    </w:p>
    <w:p>
      <w:pPr>
        <w:spacing w:line="500" w:lineRule="exact"/>
        <w:jc w:val="center"/>
        <w:rPr>
          <w:rFonts w:hint="eastAsia" w:ascii="仿宋" w:hAnsi="仿宋" w:eastAsia="仿宋" w:cs="仿宋"/>
          <w:b/>
          <w:bCs/>
          <w:color w:val="auto"/>
          <w:sz w:val="24"/>
          <w:szCs w:val="24"/>
          <w:highlight w:val="none"/>
          <w:lang w:eastAsia="zh-CN"/>
        </w:rPr>
      </w:pPr>
    </w:p>
    <w:p>
      <w:pPr>
        <w:spacing w:line="500" w:lineRule="exact"/>
        <w:jc w:val="center"/>
        <w:rPr>
          <w:rFonts w:hint="eastAsia" w:ascii="仿宋" w:hAnsi="仿宋" w:eastAsia="仿宋" w:cs="仿宋"/>
          <w:b/>
          <w:bCs/>
          <w:color w:val="auto"/>
          <w:sz w:val="24"/>
          <w:szCs w:val="24"/>
          <w:highlight w:val="none"/>
          <w:lang w:eastAsia="zh-CN"/>
        </w:rPr>
      </w:pPr>
    </w:p>
    <w:p>
      <w:pPr>
        <w:spacing w:line="500" w:lineRule="exact"/>
        <w:jc w:val="center"/>
        <w:rPr>
          <w:rFonts w:hint="eastAsia" w:ascii="仿宋" w:hAnsi="仿宋" w:eastAsia="仿宋" w:cs="仿宋"/>
          <w:b/>
          <w:bCs/>
          <w:color w:val="auto"/>
          <w:sz w:val="24"/>
          <w:szCs w:val="24"/>
          <w:highlight w:val="none"/>
          <w:lang w:eastAsia="zh-CN"/>
        </w:rPr>
      </w:pPr>
    </w:p>
    <w:p>
      <w:pPr>
        <w:spacing w:line="500" w:lineRule="exact"/>
        <w:jc w:val="center"/>
        <w:rPr>
          <w:rFonts w:hint="eastAsia" w:ascii="仿宋" w:hAnsi="仿宋" w:eastAsia="仿宋" w:cs="仿宋"/>
          <w:b/>
          <w:bCs/>
          <w:color w:val="auto"/>
          <w:sz w:val="24"/>
          <w:szCs w:val="24"/>
          <w:highlight w:val="none"/>
          <w:lang w:eastAsia="zh-CN"/>
        </w:rPr>
      </w:pPr>
    </w:p>
    <w:p>
      <w:pPr>
        <w:spacing w:line="500" w:lineRule="exact"/>
        <w:jc w:val="center"/>
        <w:rPr>
          <w:rFonts w:hint="eastAsia" w:ascii="仿宋" w:hAnsi="仿宋" w:eastAsia="仿宋" w:cs="仿宋"/>
          <w:b/>
          <w:bCs/>
          <w:color w:val="auto"/>
          <w:sz w:val="24"/>
          <w:szCs w:val="24"/>
          <w:highlight w:val="none"/>
          <w:lang w:eastAsia="zh-CN"/>
        </w:rPr>
      </w:pPr>
    </w:p>
    <w:p>
      <w:pPr>
        <w:spacing w:line="500" w:lineRule="exact"/>
        <w:jc w:val="center"/>
        <w:rPr>
          <w:rFonts w:hint="eastAsia" w:ascii="仿宋" w:hAnsi="仿宋" w:eastAsia="仿宋" w:cs="仿宋"/>
          <w:b/>
          <w:bCs/>
          <w:color w:val="auto"/>
          <w:sz w:val="24"/>
          <w:szCs w:val="24"/>
          <w:highlight w:val="none"/>
          <w:lang w:eastAsia="zh-CN"/>
        </w:rPr>
      </w:pPr>
    </w:p>
    <w:p>
      <w:pPr>
        <w:spacing w:line="500" w:lineRule="exact"/>
        <w:jc w:val="center"/>
        <w:rPr>
          <w:rFonts w:hint="eastAsia" w:ascii="仿宋" w:hAnsi="仿宋" w:eastAsia="仿宋" w:cs="仿宋"/>
          <w:b/>
          <w:bCs/>
          <w:color w:val="auto"/>
          <w:sz w:val="24"/>
          <w:szCs w:val="24"/>
          <w:highlight w:val="none"/>
          <w:lang w:eastAsia="zh-CN"/>
        </w:rPr>
      </w:pPr>
    </w:p>
    <w:p>
      <w:pPr>
        <w:spacing w:line="500" w:lineRule="exact"/>
        <w:jc w:val="center"/>
        <w:rPr>
          <w:rFonts w:hint="eastAsia" w:ascii="仿宋" w:hAnsi="仿宋" w:eastAsia="仿宋" w:cs="仿宋"/>
          <w:b/>
          <w:bCs/>
          <w:color w:val="auto"/>
          <w:sz w:val="24"/>
          <w:szCs w:val="24"/>
          <w:highlight w:val="none"/>
          <w:lang w:eastAsia="zh-CN"/>
        </w:rPr>
      </w:pPr>
    </w:p>
    <w:p>
      <w:pPr>
        <w:spacing w:line="500" w:lineRule="exact"/>
        <w:jc w:val="center"/>
        <w:rPr>
          <w:rFonts w:hint="eastAsia" w:ascii="仿宋" w:hAnsi="仿宋" w:eastAsia="仿宋" w:cs="仿宋"/>
          <w:b/>
          <w:bCs/>
          <w:color w:val="auto"/>
          <w:sz w:val="24"/>
          <w:szCs w:val="24"/>
          <w:highlight w:val="none"/>
          <w:lang w:eastAsia="zh-CN"/>
        </w:rPr>
      </w:pPr>
    </w:p>
    <w:p>
      <w:pPr>
        <w:spacing w:line="500" w:lineRule="exact"/>
        <w:jc w:val="center"/>
        <w:rPr>
          <w:rFonts w:hint="eastAsia" w:ascii="仿宋" w:hAnsi="仿宋" w:eastAsia="仿宋" w:cs="仿宋"/>
          <w:b/>
          <w:bCs/>
          <w:color w:val="auto"/>
          <w:sz w:val="24"/>
          <w:szCs w:val="24"/>
          <w:highlight w:val="none"/>
          <w:lang w:eastAsia="zh-CN"/>
        </w:rPr>
      </w:pPr>
    </w:p>
    <w:p>
      <w:pPr>
        <w:spacing w:line="500" w:lineRule="exact"/>
        <w:jc w:val="both"/>
        <w:rPr>
          <w:rFonts w:hint="eastAsia" w:ascii="仿宋" w:hAnsi="仿宋" w:eastAsia="仿宋" w:cs="仿宋"/>
          <w:b/>
          <w:bCs/>
          <w:color w:val="auto"/>
          <w:sz w:val="24"/>
          <w:szCs w:val="24"/>
          <w:highlight w:val="none"/>
          <w:lang w:eastAsia="zh-CN"/>
        </w:rPr>
      </w:pPr>
    </w:p>
    <w:p>
      <w:pPr>
        <w:spacing w:line="500" w:lineRule="exact"/>
        <w:jc w:val="center"/>
        <w:rPr>
          <w:rFonts w:hint="eastAsia" w:ascii="仿宋" w:hAnsi="仿宋" w:eastAsia="仿宋" w:cs="仿宋"/>
          <w:b/>
          <w:bCs/>
          <w:color w:val="auto"/>
          <w:sz w:val="24"/>
          <w:szCs w:val="24"/>
          <w:highlight w:val="none"/>
          <w:lang w:eastAsia="zh-CN"/>
        </w:rPr>
      </w:pPr>
    </w:p>
    <w:p>
      <w:pPr>
        <w:spacing w:line="500" w:lineRule="exact"/>
        <w:jc w:val="center"/>
        <w:rPr>
          <w:rFonts w:hint="eastAsia" w:ascii="仿宋" w:hAnsi="仿宋" w:eastAsia="仿宋" w:cs="仿宋"/>
          <w:b/>
          <w:bCs/>
          <w:color w:val="auto"/>
          <w:sz w:val="24"/>
          <w:szCs w:val="24"/>
          <w:highlight w:val="none"/>
          <w:lang w:eastAsia="zh-CN"/>
        </w:rPr>
      </w:pPr>
    </w:p>
    <w:p>
      <w:pPr>
        <w:spacing w:line="500" w:lineRule="exact"/>
        <w:jc w:val="center"/>
        <w:rPr>
          <w:rFonts w:hint="eastAsia" w:ascii="仿宋" w:hAnsi="仿宋" w:eastAsia="仿宋" w:cs="仿宋"/>
          <w:b/>
          <w:bCs/>
          <w:color w:val="auto"/>
          <w:sz w:val="32"/>
          <w:szCs w:val="32"/>
          <w:highlight w:val="none"/>
          <w:lang w:eastAsia="zh-CN"/>
        </w:rPr>
      </w:pPr>
    </w:p>
    <w:p>
      <w:pPr>
        <w:spacing w:line="500" w:lineRule="exact"/>
        <w:jc w:val="center"/>
        <w:rPr>
          <w:rFonts w:hint="eastAsia" w:ascii="仿宋" w:hAnsi="仿宋" w:eastAsia="仿宋" w:cs="仿宋"/>
          <w:b/>
          <w:bCs/>
          <w:color w:val="auto"/>
          <w:sz w:val="32"/>
          <w:szCs w:val="32"/>
          <w:highlight w:val="none"/>
          <w:lang w:eastAsia="zh-CN"/>
        </w:rPr>
      </w:pPr>
    </w:p>
    <w:p>
      <w:pPr>
        <w:spacing w:line="500" w:lineRule="exact"/>
        <w:jc w:val="center"/>
        <w:rPr>
          <w:rFonts w:hint="eastAsia" w:ascii="仿宋" w:hAnsi="仿宋" w:eastAsia="仿宋" w:cs="仿宋"/>
          <w:b/>
          <w:bCs/>
          <w:color w:val="auto"/>
          <w:sz w:val="32"/>
          <w:szCs w:val="32"/>
          <w:highlight w:val="none"/>
          <w:lang w:eastAsia="zh-CN"/>
        </w:rPr>
      </w:pPr>
      <w:r>
        <w:rPr>
          <w:rFonts w:hint="eastAsia" w:ascii="仿宋" w:hAnsi="仿宋" w:eastAsia="仿宋" w:cs="仿宋"/>
          <w:b/>
          <w:bCs/>
          <w:color w:val="auto"/>
          <w:sz w:val="32"/>
          <w:szCs w:val="32"/>
          <w:highlight w:val="none"/>
          <w:lang w:eastAsia="zh-CN"/>
        </w:rPr>
        <w:t>（</w:t>
      </w:r>
      <w:r>
        <w:rPr>
          <w:rFonts w:hint="eastAsia" w:ascii="仿宋" w:hAnsi="仿宋" w:eastAsia="仿宋" w:cs="仿宋"/>
          <w:b/>
          <w:bCs/>
          <w:color w:val="auto"/>
          <w:sz w:val="32"/>
          <w:szCs w:val="32"/>
          <w:highlight w:val="none"/>
          <w:lang w:val="en-US" w:eastAsia="zh-CN"/>
        </w:rPr>
        <w:t>四</w:t>
      </w:r>
      <w:r>
        <w:rPr>
          <w:rFonts w:hint="eastAsia" w:ascii="仿宋" w:hAnsi="仿宋" w:eastAsia="仿宋" w:cs="仿宋"/>
          <w:b/>
          <w:bCs/>
          <w:color w:val="auto"/>
          <w:sz w:val="32"/>
          <w:szCs w:val="32"/>
          <w:highlight w:val="none"/>
          <w:lang w:eastAsia="zh-CN"/>
        </w:rPr>
        <w:t>）</w:t>
      </w:r>
      <w:r>
        <w:rPr>
          <w:rFonts w:hint="eastAsia" w:ascii="仿宋" w:hAnsi="仿宋" w:eastAsia="仿宋" w:cs="仿宋"/>
          <w:b/>
          <w:bCs/>
          <w:color w:val="auto"/>
          <w:sz w:val="32"/>
          <w:szCs w:val="32"/>
          <w:highlight w:val="none"/>
          <w:lang w:val="zh-CN" w:eastAsia="zh-CN"/>
        </w:rPr>
        <w:t>授权委托书或法定代表人（单位负责人、自然人本人）身份证明</w:t>
      </w:r>
    </w:p>
    <w:p>
      <w:pPr>
        <w:spacing w:line="500" w:lineRule="exact"/>
        <w:jc w:val="center"/>
        <w:rPr>
          <w:rFonts w:hint="eastAsia" w:ascii="仿宋" w:hAnsi="仿宋" w:eastAsia="仿宋" w:cs="仿宋"/>
          <w:b/>
          <w:bCs/>
          <w:color w:val="auto"/>
          <w:kern w:val="0"/>
          <w:sz w:val="32"/>
          <w:szCs w:val="32"/>
          <w:highlight w:val="none"/>
        </w:rPr>
      </w:pPr>
      <w:r>
        <w:rPr>
          <w:rFonts w:hint="eastAsia" w:ascii="仿宋" w:hAnsi="仿宋" w:eastAsia="仿宋" w:cs="仿宋"/>
          <w:b/>
          <w:bCs/>
          <w:color w:val="auto"/>
          <w:kern w:val="0"/>
          <w:sz w:val="32"/>
          <w:szCs w:val="32"/>
          <w:highlight w:val="none"/>
          <w:lang w:val="en-US" w:eastAsia="zh-CN"/>
        </w:rPr>
        <w:t>1.</w:t>
      </w:r>
      <w:r>
        <w:rPr>
          <w:rFonts w:hint="eastAsia" w:ascii="仿宋" w:hAnsi="仿宋" w:eastAsia="仿宋" w:cs="仿宋"/>
          <w:b/>
          <w:bCs/>
          <w:color w:val="auto"/>
          <w:kern w:val="0"/>
          <w:sz w:val="32"/>
          <w:szCs w:val="32"/>
          <w:highlight w:val="none"/>
        </w:rPr>
        <w:t>法定代表人身份证明</w:t>
      </w:r>
    </w:p>
    <w:p>
      <w:pPr>
        <w:widowControl/>
        <w:spacing w:line="420" w:lineRule="atLeast"/>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 xml:space="preserve"> </w:t>
      </w:r>
    </w:p>
    <w:p>
      <w:pPr>
        <w:widowControl/>
        <w:spacing w:line="420" w:lineRule="atLeast"/>
        <w:ind w:firstLine="48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w:t>
      </w:r>
    </w:p>
    <w:p>
      <w:pPr>
        <w:keepNext w:val="0"/>
        <w:keepLines w:val="0"/>
        <w:pageBreakBefore w:val="0"/>
        <w:widowControl/>
        <w:kinsoku/>
        <w:wordWrap/>
        <w:overflowPunct/>
        <w:topLinePunct w:val="0"/>
        <w:autoSpaceDE/>
        <w:autoSpaceDN/>
        <w:bidi w:val="0"/>
        <w:adjustRightInd/>
        <w:snapToGrid/>
        <w:spacing w:line="360" w:lineRule="auto"/>
        <w:ind w:right="0" w:firstLine="108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单位名称：</w:t>
      </w:r>
      <w:r>
        <w:rPr>
          <w:rFonts w:hint="eastAsia" w:ascii="仿宋" w:hAnsi="仿宋" w:eastAsia="仿宋" w:cs="仿宋"/>
          <w:color w:val="auto"/>
          <w:kern w:val="0"/>
          <w:sz w:val="24"/>
          <w:szCs w:val="24"/>
          <w:highlight w:val="none"/>
          <w:u w:val="single"/>
        </w:rPr>
        <w:t xml:space="preserve">                                               </w:t>
      </w:r>
    </w:p>
    <w:p>
      <w:pPr>
        <w:keepNext w:val="0"/>
        <w:keepLines w:val="0"/>
        <w:pageBreakBefore w:val="0"/>
        <w:widowControl/>
        <w:kinsoku/>
        <w:wordWrap/>
        <w:overflowPunct/>
        <w:topLinePunct w:val="0"/>
        <w:autoSpaceDE/>
        <w:autoSpaceDN/>
        <w:bidi w:val="0"/>
        <w:adjustRightInd/>
        <w:snapToGrid/>
        <w:spacing w:line="360" w:lineRule="auto"/>
        <w:ind w:right="0" w:firstLine="1080"/>
        <w:textAlignment w:val="auto"/>
        <w:rPr>
          <w:rFonts w:hint="eastAsia"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rPr>
        <w:t>单位性质：</w:t>
      </w:r>
      <w:r>
        <w:rPr>
          <w:rFonts w:hint="eastAsia" w:ascii="仿宋" w:hAnsi="仿宋" w:eastAsia="仿宋" w:cs="仿宋"/>
          <w:color w:val="auto"/>
          <w:kern w:val="0"/>
          <w:sz w:val="24"/>
          <w:szCs w:val="24"/>
          <w:highlight w:val="none"/>
          <w:u w:val="single"/>
        </w:rPr>
        <w:t xml:space="preserve">                                               </w:t>
      </w:r>
    </w:p>
    <w:p>
      <w:pPr>
        <w:keepNext w:val="0"/>
        <w:keepLines w:val="0"/>
        <w:pageBreakBefore w:val="0"/>
        <w:widowControl/>
        <w:kinsoku/>
        <w:wordWrap/>
        <w:overflowPunct/>
        <w:topLinePunct w:val="0"/>
        <w:autoSpaceDE/>
        <w:autoSpaceDN/>
        <w:bidi w:val="0"/>
        <w:adjustRightInd/>
        <w:snapToGrid/>
        <w:spacing w:line="360" w:lineRule="auto"/>
        <w:ind w:right="0" w:firstLine="1080"/>
        <w:textAlignment w:val="auto"/>
        <w:rPr>
          <w:rFonts w:hint="eastAsia"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rPr>
        <w:t>地    址：</w:t>
      </w:r>
      <w:r>
        <w:rPr>
          <w:rFonts w:hint="eastAsia" w:ascii="仿宋" w:hAnsi="仿宋" w:eastAsia="仿宋" w:cs="仿宋"/>
          <w:color w:val="auto"/>
          <w:kern w:val="0"/>
          <w:sz w:val="24"/>
          <w:szCs w:val="24"/>
          <w:highlight w:val="none"/>
          <w:u w:val="single"/>
        </w:rPr>
        <w:t xml:space="preserve">                                               </w:t>
      </w:r>
    </w:p>
    <w:p>
      <w:pPr>
        <w:keepNext w:val="0"/>
        <w:keepLines w:val="0"/>
        <w:pageBreakBefore w:val="0"/>
        <w:widowControl/>
        <w:kinsoku/>
        <w:wordWrap/>
        <w:overflowPunct/>
        <w:topLinePunct w:val="0"/>
        <w:autoSpaceDE/>
        <w:autoSpaceDN/>
        <w:bidi w:val="0"/>
        <w:adjustRightInd/>
        <w:snapToGrid/>
        <w:spacing w:line="360" w:lineRule="auto"/>
        <w:ind w:right="0" w:firstLine="108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成立时间：</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年</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月</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日</w:t>
      </w:r>
    </w:p>
    <w:p>
      <w:pPr>
        <w:keepNext w:val="0"/>
        <w:keepLines w:val="0"/>
        <w:pageBreakBefore w:val="0"/>
        <w:widowControl/>
        <w:kinsoku/>
        <w:wordWrap/>
        <w:overflowPunct/>
        <w:topLinePunct w:val="0"/>
        <w:autoSpaceDE/>
        <w:autoSpaceDN/>
        <w:bidi w:val="0"/>
        <w:adjustRightInd/>
        <w:snapToGrid/>
        <w:spacing w:line="360" w:lineRule="auto"/>
        <w:ind w:right="0" w:firstLine="1080"/>
        <w:textAlignment w:val="auto"/>
        <w:rPr>
          <w:rFonts w:hint="eastAsia"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rPr>
        <w:t>经营期限：</w:t>
      </w:r>
      <w:r>
        <w:rPr>
          <w:rFonts w:hint="eastAsia" w:ascii="仿宋" w:hAnsi="仿宋" w:eastAsia="仿宋" w:cs="仿宋"/>
          <w:color w:val="auto"/>
          <w:kern w:val="0"/>
          <w:sz w:val="24"/>
          <w:szCs w:val="24"/>
          <w:highlight w:val="none"/>
          <w:u w:val="single"/>
        </w:rPr>
        <w:t xml:space="preserve">                                               </w:t>
      </w:r>
    </w:p>
    <w:p>
      <w:pPr>
        <w:keepNext w:val="0"/>
        <w:keepLines w:val="0"/>
        <w:pageBreakBefore w:val="0"/>
        <w:widowControl/>
        <w:kinsoku/>
        <w:wordWrap/>
        <w:overflowPunct/>
        <w:topLinePunct w:val="0"/>
        <w:autoSpaceDE/>
        <w:autoSpaceDN/>
        <w:bidi w:val="0"/>
        <w:adjustRightInd/>
        <w:snapToGrid/>
        <w:spacing w:line="360" w:lineRule="auto"/>
        <w:ind w:right="0" w:firstLine="1080"/>
        <w:textAlignment w:val="auto"/>
        <w:rPr>
          <w:rFonts w:hint="eastAsia"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rPr>
        <w:t>姓    名：</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性    别：</w:t>
      </w:r>
      <w:r>
        <w:rPr>
          <w:rFonts w:hint="eastAsia" w:ascii="仿宋" w:hAnsi="仿宋" w:eastAsia="仿宋" w:cs="仿宋"/>
          <w:color w:val="auto"/>
          <w:kern w:val="0"/>
          <w:sz w:val="24"/>
          <w:szCs w:val="24"/>
          <w:highlight w:val="none"/>
          <w:u w:val="single"/>
        </w:rPr>
        <w:t xml:space="preserve">            </w:t>
      </w:r>
    </w:p>
    <w:p>
      <w:pPr>
        <w:keepNext w:val="0"/>
        <w:keepLines w:val="0"/>
        <w:pageBreakBefore w:val="0"/>
        <w:widowControl/>
        <w:kinsoku/>
        <w:wordWrap/>
        <w:overflowPunct/>
        <w:topLinePunct w:val="0"/>
        <w:autoSpaceDE/>
        <w:autoSpaceDN/>
        <w:bidi w:val="0"/>
        <w:adjustRightInd/>
        <w:snapToGrid/>
        <w:spacing w:line="360" w:lineRule="auto"/>
        <w:ind w:right="0" w:firstLine="1080"/>
        <w:textAlignment w:val="auto"/>
        <w:rPr>
          <w:rFonts w:hint="eastAsia"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rPr>
        <w:t>年    龄：</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职    务：</w:t>
      </w:r>
      <w:r>
        <w:rPr>
          <w:rFonts w:hint="eastAsia" w:ascii="仿宋" w:hAnsi="仿宋" w:eastAsia="仿宋" w:cs="仿宋"/>
          <w:color w:val="auto"/>
          <w:kern w:val="0"/>
          <w:sz w:val="24"/>
          <w:szCs w:val="24"/>
          <w:highlight w:val="none"/>
          <w:u w:val="single"/>
        </w:rPr>
        <w:t xml:space="preserve">            </w:t>
      </w:r>
    </w:p>
    <w:p>
      <w:pPr>
        <w:keepNext w:val="0"/>
        <w:keepLines w:val="0"/>
        <w:pageBreakBefore w:val="0"/>
        <w:widowControl/>
        <w:kinsoku/>
        <w:wordWrap/>
        <w:overflowPunct/>
        <w:topLinePunct w:val="0"/>
        <w:autoSpaceDE/>
        <w:autoSpaceDN/>
        <w:bidi w:val="0"/>
        <w:adjustRightInd/>
        <w:snapToGrid/>
        <w:spacing w:line="360" w:lineRule="auto"/>
        <w:ind w:right="0" w:firstLine="108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系</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eastAsia="zh-CN"/>
        </w:rPr>
        <w:t>投标</w:t>
      </w:r>
      <w:r>
        <w:rPr>
          <w:rFonts w:hint="eastAsia" w:ascii="仿宋" w:hAnsi="仿宋" w:eastAsia="仿宋" w:cs="仿宋"/>
          <w:color w:val="auto"/>
          <w:kern w:val="0"/>
          <w:sz w:val="24"/>
          <w:szCs w:val="24"/>
          <w:highlight w:val="none"/>
        </w:rPr>
        <w:t>供应商名称）的法定代表人。</w:t>
      </w:r>
    </w:p>
    <w:p>
      <w:pPr>
        <w:keepNext w:val="0"/>
        <w:keepLines w:val="0"/>
        <w:pageBreakBefore w:val="0"/>
        <w:widowControl/>
        <w:kinsoku/>
        <w:wordWrap/>
        <w:overflowPunct/>
        <w:topLinePunct w:val="0"/>
        <w:autoSpaceDE/>
        <w:autoSpaceDN/>
        <w:bidi w:val="0"/>
        <w:adjustRightInd/>
        <w:snapToGrid/>
        <w:spacing w:line="360" w:lineRule="auto"/>
        <w:ind w:right="0" w:firstLine="108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特此证明。</w:t>
      </w:r>
    </w:p>
    <w:p>
      <w:pPr>
        <w:keepNext w:val="0"/>
        <w:keepLines w:val="0"/>
        <w:pageBreakBefore w:val="0"/>
        <w:widowControl/>
        <w:kinsoku/>
        <w:wordWrap/>
        <w:overflowPunct/>
        <w:topLinePunct w:val="0"/>
        <w:autoSpaceDE/>
        <w:autoSpaceDN/>
        <w:bidi w:val="0"/>
        <w:adjustRightInd/>
        <w:snapToGrid/>
        <w:spacing w:line="360" w:lineRule="auto"/>
        <w:ind w:right="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w:t>
      </w:r>
    </w:p>
    <w:p>
      <w:pPr>
        <w:keepNext w:val="0"/>
        <w:keepLines w:val="0"/>
        <w:pageBreakBefore w:val="0"/>
        <w:widowControl/>
        <w:kinsoku/>
        <w:wordWrap/>
        <w:overflowPunct/>
        <w:topLinePunct w:val="0"/>
        <w:autoSpaceDE/>
        <w:autoSpaceDN/>
        <w:bidi w:val="0"/>
        <w:adjustRightInd/>
        <w:snapToGrid/>
        <w:spacing w:line="360" w:lineRule="auto"/>
        <w:ind w:right="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w:t>
      </w:r>
    </w:p>
    <w:p>
      <w:pPr>
        <w:keepNext w:val="0"/>
        <w:keepLines w:val="0"/>
        <w:pageBreakBefore w:val="0"/>
        <w:widowControl/>
        <w:kinsoku/>
        <w:wordWrap/>
        <w:overflowPunct/>
        <w:topLinePunct w:val="0"/>
        <w:autoSpaceDE/>
        <w:autoSpaceDN/>
        <w:bidi w:val="0"/>
        <w:adjustRightInd/>
        <w:snapToGrid/>
        <w:spacing w:line="360" w:lineRule="auto"/>
        <w:ind w:right="0" w:firstLine="5308" w:firstLineChars="2212"/>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zh-CN"/>
        </w:rPr>
        <w:t>投标人名称(电子签名)：</w:t>
      </w:r>
    </w:p>
    <w:p>
      <w:pPr>
        <w:keepNext w:val="0"/>
        <w:keepLines w:val="0"/>
        <w:pageBreakBefore w:val="0"/>
        <w:widowControl/>
        <w:kinsoku/>
        <w:wordWrap/>
        <w:overflowPunct/>
        <w:topLinePunct w:val="0"/>
        <w:autoSpaceDE/>
        <w:autoSpaceDN/>
        <w:bidi w:val="0"/>
        <w:adjustRightInd/>
        <w:snapToGrid/>
        <w:spacing w:line="360" w:lineRule="auto"/>
        <w:ind w:right="0"/>
        <w:textAlignment w:val="auto"/>
        <w:rPr>
          <w:rFonts w:hint="eastAsia" w:ascii="仿宋" w:hAnsi="仿宋" w:eastAsia="仿宋" w:cs="仿宋"/>
          <w:color w:val="auto"/>
          <w:kern w:val="0"/>
          <w:sz w:val="24"/>
          <w:szCs w:val="24"/>
          <w:highlight w:val="none"/>
          <w:u w:val="single"/>
        </w:rPr>
      </w:pPr>
    </w:p>
    <w:p>
      <w:pPr>
        <w:keepNext w:val="0"/>
        <w:keepLines w:val="0"/>
        <w:pageBreakBefore w:val="0"/>
        <w:widowControl/>
        <w:kinsoku/>
        <w:wordWrap/>
        <w:overflowPunct/>
        <w:topLinePunct w:val="0"/>
        <w:autoSpaceDE/>
        <w:autoSpaceDN/>
        <w:bidi w:val="0"/>
        <w:adjustRightInd/>
        <w:snapToGrid/>
        <w:spacing w:line="360" w:lineRule="auto"/>
        <w:ind w:right="0" w:firstLine="6120" w:firstLineChars="255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日期：</w:t>
      </w: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color w:val="auto"/>
          <w:kern w:val="0"/>
          <w:sz w:val="24"/>
          <w:szCs w:val="24"/>
          <w:highlight w:val="none"/>
        </w:rPr>
        <w:t>年</w:t>
      </w: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color w:val="auto"/>
          <w:kern w:val="0"/>
          <w:sz w:val="24"/>
          <w:szCs w:val="24"/>
          <w:highlight w:val="none"/>
        </w:rPr>
        <w:t>月</w:t>
      </w: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color w:val="auto"/>
          <w:kern w:val="0"/>
          <w:sz w:val="24"/>
          <w:szCs w:val="24"/>
          <w:highlight w:val="none"/>
        </w:rPr>
        <w:t xml:space="preserve">日 </w:t>
      </w:r>
    </w:p>
    <w:p>
      <w:pPr>
        <w:pStyle w:val="43"/>
        <w:spacing w:line="440" w:lineRule="atLeast"/>
        <w:jc w:val="center"/>
        <w:rPr>
          <w:rFonts w:hint="eastAsia" w:ascii="仿宋" w:hAnsi="仿宋" w:eastAsia="仿宋" w:cs="仿宋"/>
          <w:b/>
          <w:color w:val="auto"/>
          <w:kern w:val="2"/>
          <w:sz w:val="24"/>
          <w:szCs w:val="24"/>
          <w:highlight w:val="none"/>
        </w:rPr>
      </w:pPr>
    </w:p>
    <w:p>
      <w:pPr>
        <w:pStyle w:val="43"/>
        <w:spacing w:line="440" w:lineRule="atLeast"/>
        <w:jc w:val="left"/>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附：法定代表人身份证扫描件</w:t>
      </w:r>
    </w:p>
    <w:tbl>
      <w:tblPr>
        <w:tblStyle w:val="82"/>
        <w:tblW w:w="89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4" w:hRule="atLeast"/>
          <w:jc w:val="center"/>
        </w:trPr>
        <w:tc>
          <w:tcPr>
            <w:tcW w:w="8900" w:type="dxa"/>
            <w:noWrap w:val="0"/>
            <w:vAlign w:val="top"/>
          </w:tcPr>
          <w:p>
            <w:pPr>
              <w:pStyle w:val="559"/>
              <w:keepNext w:val="0"/>
              <w:keepLines w:val="0"/>
              <w:suppressLineNumbers w:val="0"/>
              <w:spacing w:before="0" w:beforeAutospacing="0" w:after="0" w:afterAutospacing="0" w:line="360" w:lineRule="auto"/>
              <w:ind w:left="0" w:right="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正面：                                 反面：</w:t>
            </w:r>
          </w:p>
          <w:p>
            <w:pPr>
              <w:pStyle w:val="559"/>
              <w:keepNext w:val="0"/>
              <w:keepLines w:val="0"/>
              <w:suppressLineNumbers w:val="0"/>
              <w:spacing w:before="0" w:beforeAutospacing="0" w:after="0" w:afterAutospacing="0" w:line="360" w:lineRule="auto"/>
              <w:ind w:left="0" w:right="0"/>
              <w:rPr>
                <w:rFonts w:hint="eastAsia" w:ascii="仿宋" w:hAnsi="仿宋" w:eastAsia="仿宋" w:cs="仿宋"/>
                <w:bCs/>
                <w:color w:val="auto"/>
                <w:sz w:val="24"/>
                <w:szCs w:val="24"/>
                <w:highlight w:val="none"/>
              </w:rPr>
            </w:pPr>
          </w:p>
        </w:tc>
      </w:tr>
    </w:tbl>
    <w:p>
      <w:pPr>
        <w:pStyle w:val="43"/>
        <w:spacing w:line="440" w:lineRule="atLeast"/>
        <w:jc w:val="left"/>
        <w:rPr>
          <w:rFonts w:hint="eastAsia" w:ascii="仿宋" w:hAnsi="仿宋" w:eastAsia="仿宋" w:cs="仿宋"/>
          <w:bCs/>
          <w:color w:val="auto"/>
          <w:kern w:val="2"/>
          <w:sz w:val="24"/>
          <w:szCs w:val="24"/>
          <w:highlight w:val="none"/>
          <w:lang w:val="en-US" w:eastAsia="zh-CN" w:bidi="ar-SA"/>
        </w:rPr>
      </w:pPr>
    </w:p>
    <w:p>
      <w:pPr>
        <w:pStyle w:val="4"/>
        <w:keepNext/>
        <w:keepLines/>
        <w:pageBreakBefore w:val="0"/>
        <w:widowControl w:val="0"/>
        <w:numPr>
          <w:ilvl w:val="0"/>
          <w:numId w:val="0"/>
        </w:numPr>
        <w:kinsoku/>
        <w:wordWrap/>
        <w:overflowPunct/>
        <w:topLinePunct w:val="0"/>
        <w:autoSpaceDE/>
        <w:autoSpaceDN/>
        <w:bidi w:val="0"/>
        <w:adjustRightInd/>
        <w:snapToGrid/>
        <w:spacing w:before="0" w:after="0" w:line="240" w:lineRule="auto"/>
        <w:ind w:left="0"/>
        <w:jc w:val="center"/>
        <w:textAlignment w:val="auto"/>
        <w:rPr>
          <w:rFonts w:hint="eastAsia" w:ascii="仿宋" w:hAnsi="仿宋" w:eastAsia="仿宋" w:cs="仿宋"/>
          <w:b w:val="0"/>
          <w:bCs w:val="0"/>
          <w:color w:val="auto"/>
          <w:sz w:val="24"/>
          <w:szCs w:val="24"/>
          <w:highlight w:val="none"/>
          <w:lang w:val="en-US" w:eastAsia="zh-CN"/>
        </w:rPr>
      </w:pPr>
    </w:p>
    <w:p>
      <w:pPr>
        <w:pStyle w:val="4"/>
        <w:keepNext/>
        <w:keepLines/>
        <w:pageBreakBefore w:val="0"/>
        <w:widowControl w:val="0"/>
        <w:numPr>
          <w:ilvl w:val="0"/>
          <w:numId w:val="0"/>
        </w:numPr>
        <w:kinsoku/>
        <w:wordWrap/>
        <w:overflowPunct/>
        <w:topLinePunct w:val="0"/>
        <w:autoSpaceDE/>
        <w:autoSpaceDN/>
        <w:bidi w:val="0"/>
        <w:adjustRightInd/>
        <w:snapToGrid/>
        <w:spacing w:before="0" w:after="0" w:line="240" w:lineRule="auto"/>
        <w:ind w:left="0"/>
        <w:jc w:val="center"/>
        <w:textAlignment w:val="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val="en-US" w:eastAsia="zh-CN"/>
        </w:rPr>
        <w:t>2.</w:t>
      </w:r>
      <w:r>
        <w:rPr>
          <w:rFonts w:hint="eastAsia" w:ascii="仿宋" w:hAnsi="仿宋" w:eastAsia="仿宋" w:cs="仿宋"/>
          <w:b/>
          <w:bCs/>
          <w:color w:val="auto"/>
          <w:kern w:val="2"/>
          <w:sz w:val="32"/>
          <w:szCs w:val="32"/>
          <w:highlight w:val="none"/>
        </w:rPr>
        <w:t>法定代表人授权委托书</w:t>
      </w:r>
    </w:p>
    <w:p>
      <w:pPr>
        <w:pStyle w:val="34"/>
        <w:rPr>
          <w:rFonts w:hint="eastAsia" w:ascii="仿宋" w:hAnsi="仿宋" w:eastAsia="仿宋" w:cs="仿宋"/>
          <w:color w:val="auto"/>
          <w:sz w:val="24"/>
          <w:szCs w:val="24"/>
          <w:highlight w:val="none"/>
        </w:rPr>
      </w:pPr>
    </w:p>
    <w:p>
      <w:pPr>
        <w:jc w:val="center"/>
        <w:rPr>
          <w:rFonts w:hint="eastAsia" w:ascii="仿宋" w:hAnsi="仿宋" w:eastAsia="仿宋" w:cs="仿宋"/>
          <w:color w:val="auto"/>
          <w:sz w:val="24"/>
          <w:szCs w:val="24"/>
          <w:highlight w:val="none"/>
        </w:rPr>
      </w:pPr>
    </w:p>
    <w:p>
      <w:pPr>
        <w:rPr>
          <w:rFonts w:hint="eastAsia" w:ascii="仿宋" w:hAnsi="仿宋" w:eastAsia="仿宋" w:cs="仿宋"/>
          <w:color w:val="auto"/>
          <w:sz w:val="24"/>
          <w:szCs w:val="24"/>
          <w:highlight w:val="none"/>
        </w:rPr>
      </w:pPr>
    </w:p>
    <w:p>
      <w:pPr>
        <w:snapToGrid w:val="0"/>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u w:val="single"/>
        </w:rPr>
        <w:t>致（采购人）、（采购代理机构）</w:t>
      </w:r>
      <w:r>
        <w:rPr>
          <w:rFonts w:hint="eastAsia" w:ascii="仿宋" w:hAnsi="仿宋" w:eastAsia="仿宋" w:cs="仿宋"/>
          <w:color w:val="auto"/>
          <w:kern w:val="0"/>
          <w:sz w:val="24"/>
          <w:szCs w:val="24"/>
          <w:highlight w:val="none"/>
          <w:lang w:val="zh-CN"/>
        </w:rPr>
        <w:t>：</w:t>
      </w:r>
    </w:p>
    <w:p>
      <w:pPr>
        <w:snapToGrid w:val="0"/>
        <w:spacing w:line="360" w:lineRule="auto"/>
        <w:ind w:firstLine="576"/>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zh-CN"/>
        </w:rPr>
        <w:t>兹委派我公司</w:t>
      </w:r>
      <w:r>
        <w:rPr>
          <w:rFonts w:hint="eastAsia" w:ascii="仿宋" w:hAnsi="仿宋" w:eastAsia="仿宋" w:cs="仿宋"/>
          <w:color w:val="auto"/>
          <w:kern w:val="0"/>
          <w:sz w:val="24"/>
          <w:szCs w:val="24"/>
          <w:highlight w:val="none"/>
          <w:u w:val="single"/>
          <w:lang w:val="zh-CN"/>
        </w:rPr>
        <w:t xml:space="preserve">                </w:t>
      </w:r>
      <w:r>
        <w:rPr>
          <w:rFonts w:hint="eastAsia" w:ascii="仿宋" w:hAnsi="仿宋" w:eastAsia="仿宋" w:cs="仿宋"/>
          <w:color w:val="auto"/>
          <w:kern w:val="0"/>
          <w:sz w:val="24"/>
          <w:szCs w:val="24"/>
          <w:highlight w:val="none"/>
          <w:lang w:val="zh-CN"/>
        </w:rPr>
        <w:t>先生/女士(其在本公司的职务是：</w:t>
      </w:r>
      <w:r>
        <w:rPr>
          <w:rFonts w:hint="eastAsia" w:ascii="仿宋" w:hAnsi="仿宋" w:eastAsia="仿宋" w:cs="仿宋"/>
          <w:color w:val="auto"/>
          <w:kern w:val="0"/>
          <w:sz w:val="24"/>
          <w:szCs w:val="24"/>
          <w:highlight w:val="none"/>
          <w:u w:val="single"/>
          <w:lang w:val="zh-CN"/>
        </w:rPr>
        <w:t xml:space="preserve">                </w:t>
      </w:r>
      <w:r>
        <w:rPr>
          <w:rFonts w:hint="eastAsia" w:ascii="仿宋" w:hAnsi="仿宋" w:eastAsia="仿宋" w:cs="仿宋"/>
          <w:color w:val="auto"/>
          <w:kern w:val="0"/>
          <w:sz w:val="24"/>
          <w:szCs w:val="24"/>
          <w:highlight w:val="none"/>
          <w:lang w:val="zh-CN"/>
        </w:rPr>
        <w:t xml:space="preserve"> ，联系电话：</w:t>
      </w:r>
      <w:r>
        <w:rPr>
          <w:rFonts w:hint="eastAsia" w:ascii="仿宋" w:hAnsi="仿宋" w:eastAsia="仿宋" w:cs="仿宋"/>
          <w:color w:val="auto"/>
          <w:kern w:val="0"/>
          <w:sz w:val="24"/>
          <w:szCs w:val="24"/>
          <w:highlight w:val="none"/>
          <w:u w:val="single"/>
          <w:lang w:val="zh-CN"/>
        </w:rPr>
        <w:t xml:space="preserve">       </w:t>
      </w:r>
      <w:r>
        <w:rPr>
          <w:rFonts w:hint="eastAsia" w:ascii="仿宋" w:hAnsi="仿宋" w:eastAsia="仿宋" w:cs="仿宋"/>
          <w:color w:val="auto"/>
          <w:kern w:val="0"/>
          <w:sz w:val="24"/>
          <w:szCs w:val="24"/>
          <w:highlight w:val="none"/>
          <w:lang w:val="zh-CN"/>
        </w:rPr>
        <w:t>手机：</w:t>
      </w:r>
      <w:r>
        <w:rPr>
          <w:rFonts w:hint="eastAsia" w:ascii="仿宋" w:hAnsi="仿宋" w:eastAsia="仿宋" w:cs="仿宋"/>
          <w:color w:val="auto"/>
          <w:kern w:val="0"/>
          <w:sz w:val="24"/>
          <w:szCs w:val="24"/>
          <w:highlight w:val="none"/>
          <w:u w:val="single"/>
          <w:lang w:val="zh-CN"/>
        </w:rPr>
        <w:t xml:space="preserve">        </w:t>
      </w:r>
      <w:r>
        <w:rPr>
          <w:rFonts w:hint="eastAsia" w:ascii="仿宋" w:hAnsi="仿宋" w:eastAsia="仿宋" w:cs="仿宋"/>
          <w:color w:val="auto"/>
          <w:kern w:val="0"/>
          <w:sz w:val="24"/>
          <w:szCs w:val="24"/>
          <w:highlight w:val="none"/>
          <w:lang w:val="zh-CN"/>
        </w:rPr>
        <w:t>传真：</w:t>
      </w:r>
      <w:r>
        <w:rPr>
          <w:rFonts w:hint="eastAsia" w:ascii="仿宋" w:hAnsi="仿宋" w:eastAsia="仿宋" w:cs="仿宋"/>
          <w:color w:val="auto"/>
          <w:kern w:val="0"/>
          <w:sz w:val="24"/>
          <w:szCs w:val="24"/>
          <w:highlight w:val="none"/>
          <w:u w:val="single"/>
          <w:lang w:val="zh-CN"/>
        </w:rPr>
        <w:t xml:space="preserve">           </w:t>
      </w:r>
      <w:r>
        <w:rPr>
          <w:rFonts w:hint="eastAsia" w:ascii="仿宋" w:hAnsi="仿宋" w:eastAsia="仿宋" w:cs="仿宋"/>
          <w:color w:val="auto"/>
          <w:kern w:val="0"/>
          <w:sz w:val="24"/>
          <w:szCs w:val="24"/>
          <w:highlight w:val="none"/>
          <w:lang w:val="zh-CN"/>
        </w:rPr>
        <w:t>)，代表我公司全权处理</w:t>
      </w:r>
      <w:r>
        <w:rPr>
          <w:rFonts w:hint="eastAsia" w:ascii="仿宋" w:hAnsi="仿宋" w:eastAsia="仿宋" w:cs="仿宋"/>
          <w:color w:val="auto"/>
          <w:sz w:val="24"/>
          <w:szCs w:val="24"/>
          <w:highlight w:val="none"/>
        </w:rPr>
        <w:t>（项目名称）【项目编号：（采购编号）】</w:t>
      </w:r>
      <w:r>
        <w:rPr>
          <w:rFonts w:hint="eastAsia" w:ascii="仿宋" w:hAnsi="仿宋" w:eastAsia="仿宋" w:cs="仿宋"/>
          <w:color w:val="auto"/>
          <w:kern w:val="0"/>
          <w:sz w:val="24"/>
          <w:szCs w:val="24"/>
          <w:highlight w:val="none"/>
          <w:lang w:val="zh-CN"/>
        </w:rPr>
        <w:t>政府采购响应的一切事项，若</w:t>
      </w:r>
      <w:r>
        <w:rPr>
          <w:rFonts w:hint="eastAsia" w:ascii="仿宋" w:hAnsi="仿宋" w:eastAsia="仿宋" w:cs="仿宋"/>
          <w:color w:val="auto"/>
          <w:kern w:val="0"/>
          <w:sz w:val="24"/>
          <w:szCs w:val="24"/>
          <w:highlight w:val="none"/>
          <w:lang w:val="en-US" w:eastAsia="zh-CN"/>
        </w:rPr>
        <w:t>中标</w:t>
      </w:r>
      <w:r>
        <w:rPr>
          <w:rFonts w:hint="eastAsia" w:ascii="仿宋" w:hAnsi="仿宋" w:eastAsia="仿宋" w:cs="仿宋"/>
          <w:color w:val="auto"/>
          <w:kern w:val="0"/>
          <w:sz w:val="24"/>
          <w:szCs w:val="24"/>
          <w:highlight w:val="none"/>
          <w:lang w:val="zh-CN"/>
        </w:rPr>
        <w:t>则全权代表本公司签订相关合同，并负责处理合同履行等事宜。</w:t>
      </w:r>
    </w:p>
    <w:p>
      <w:pPr>
        <w:snapToGrid w:val="0"/>
        <w:spacing w:line="360" w:lineRule="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 xml:space="preserve">    本委托书有效期：自    年 月  日起至    年  月  日止。</w:t>
      </w:r>
    </w:p>
    <w:p>
      <w:pPr>
        <w:snapToGrid w:val="0"/>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zh-CN"/>
        </w:rPr>
        <w:t xml:space="preserve">    特此告知。</w:t>
      </w:r>
    </w:p>
    <w:p>
      <w:pPr>
        <w:snapToGrid w:val="0"/>
        <w:spacing w:line="360" w:lineRule="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zh-CN"/>
        </w:rPr>
        <w:t xml:space="preserve">                                               </w:t>
      </w:r>
      <w:r>
        <w:rPr>
          <w:rFonts w:hint="eastAsia" w:ascii="仿宋" w:hAnsi="仿宋" w:eastAsia="仿宋" w:cs="仿宋"/>
          <w:color w:val="auto"/>
          <w:kern w:val="0"/>
          <w:sz w:val="24"/>
          <w:szCs w:val="24"/>
          <w:highlight w:val="none"/>
          <w:lang w:val="en-US" w:eastAsia="zh-CN"/>
        </w:rPr>
        <w:t xml:space="preserve"> </w:t>
      </w:r>
    </w:p>
    <w:p>
      <w:pPr>
        <w:snapToGrid w:val="0"/>
        <w:spacing w:line="360" w:lineRule="auto"/>
        <w:rPr>
          <w:rFonts w:hint="eastAsia" w:ascii="仿宋" w:hAnsi="仿宋" w:eastAsia="仿宋" w:cs="仿宋"/>
          <w:color w:val="auto"/>
          <w:kern w:val="0"/>
          <w:sz w:val="24"/>
          <w:szCs w:val="24"/>
          <w:highlight w:val="none"/>
          <w:lang w:val="en-US" w:eastAsia="zh-CN"/>
        </w:rPr>
      </w:pPr>
    </w:p>
    <w:p>
      <w:pPr>
        <w:snapToGrid w:val="0"/>
        <w:spacing w:line="360" w:lineRule="auto"/>
        <w:ind w:firstLine="4800" w:firstLineChars="20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zh-CN"/>
        </w:rPr>
        <w:t xml:space="preserve"> 投标人名称(电子签名)：</w:t>
      </w:r>
    </w:p>
    <w:p>
      <w:pPr>
        <w:snapToGrid w:val="0"/>
        <w:spacing w:line="360" w:lineRule="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 xml:space="preserve">                                                 </w:t>
      </w: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color w:val="auto"/>
          <w:kern w:val="0"/>
          <w:sz w:val="24"/>
          <w:szCs w:val="24"/>
          <w:highlight w:val="none"/>
          <w:lang w:val="zh-CN"/>
        </w:rPr>
        <w:t>签发日期：  年  月   日</w:t>
      </w:r>
    </w:p>
    <w:p>
      <w:pPr>
        <w:snapToGrid w:val="0"/>
        <w:spacing w:line="360" w:lineRule="auto"/>
        <w:rPr>
          <w:rFonts w:hint="eastAsia" w:ascii="仿宋" w:hAnsi="仿宋" w:eastAsia="仿宋" w:cs="仿宋"/>
          <w:color w:val="auto"/>
          <w:kern w:val="0"/>
          <w:sz w:val="24"/>
          <w:szCs w:val="24"/>
          <w:highlight w:val="none"/>
          <w:lang w:val="zh-CN"/>
        </w:rPr>
      </w:pPr>
    </w:p>
    <w:p>
      <w:pPr>
        <w:autoSpaceDE w:val="0"/>
        <w:autoSpaceDN w:val="0"/>
        <w:spacing w:line="360" w:lineRule="auto"/>
        <w:jc w:val="center"/>
        <w:rPr>
          <w:rFonts w:hint="eastAsia" w:ascii="仿宋" w:hAnsi="仿宋" w:eastAsia="仿宋" w:cs="仿宋"/>
          <w:color w:val="auto"/>
          <w:sz w:val="24"/>
          <w:szCs w:val="24"/>
          <w:highlight w:val="none"/>
        </w:rPr>
      </w:pPr>
    </w:p>
    <w:p>
      <w:pPr>
        <w:pStyle w:val="559"/>
        <w:spacing w:line="360" w:lineRule="auto"/>
        <w:ind w:firstLine="720" w:firstLineChars="3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eastAsia="zh-CN"/>
        </w:rPr>
        <w:t>附：</w:t>
      </w:r>
      <w:r>
        <w:rPr>
          <w:rFonts w:hint="eastAsia" w:ascii="仿宋" w:hAnsi="仿宋" w:eastAsia="仿宋" w:cs="仿宋"/>
          <w:bCs/>
          <w:color w:val="auto"/>
          <w:sz w:val="24"/>
          <w:szCs w:val="24"/>
          <w:highlight w:val="none"/>
        </w:rPr>
        <w:t>法定代表人</w:t>
      </w:r>
      <w:r>
        <w:rPr>
          <w:rFonts w:hint="eastAsia" w:ascii="仿宋" w:hAnsi="仿宋" w:eastAsia="仿宋" w:cs="仿宋"/>
          <w:bCs/>
          <w:color w:val="auto"/>
          <w:sz w:val="24"/>
          <w:szCs w:val="24"/>
          <w:highlight w:val="none"/>
          <w:lang w:eastAsia="zh-CN"/>
        </w:rPr>
        <w:t>及</w:t>
      </w:r>
      <w:r>
        <w:rPr>
          <w:rFonts w:hint="eastAsia" w:ascii="仿宋" w:hAnsi="仿宋" w:eastAsia="仿宋" w:cs="仿宋"/>
          <w:bCs/>
          <w:color w:val="auto"/>
          <w:sz w:val="24"/>
          <w:szCs w:val="24"/>
          <w:highlight w:val="none"/>
        </w:rPr>
        <w:t>授权代表身份证件扫描件：</w:t>
      </w:r>
    </w:p>
    <w:tbl>
      <w:tblPr>
        <w:tblStyle w:val="82"/>
        <w:tblW w:w="86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20"/>
        <w:gridCol w:w="4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22" w:hRule="atLeast"/>
          <w:jc w:val="center"/>
        </w:trPr>
        <w:tc>
          <w:tcPr>
            <w:tcW w:w="4320" w:type="dxa"/>
            <w:noWrap w:val="0"/>
            <w:vAlign w:val="top"/>
          </w:tcPr>
          <w:p>
            <w:pPr>
              <w:pStyle w:val="559"/>
              <w:keepNext w:val="0"/>
              <w:keepLines w:val="0"/>
              <w:suppressLineNumbers w:val="0"/>
              <w:spacing w:before="0" w:beforeAutospacing="0" w:after="0" w:afterAutospacing="0" w:line="360" w:lineRule="auto"/>
              <w:ind w:left="0" w:right="0"/>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正面：                        反面：</w:t>
            </w:r>
          </w:p>
          <w:p>
            <w:pPr>
              <w:pStyle w:val="559"/>
              <w:keepNext w:val="0"/>
              <w:keepLines w:val="0"/>
              <w:suppressLineNumbers w:val="0"/>
              <w:spacing w:before="0" w:beforeAutospacing="0" w:after="0" w:afterAutospacing="0" w:line="360" w:lineRule="auto"/>
              <w:ind w:left="0" w:right="0"/>
              <w:rPr>
                <w:rFonts w:hint="eastAsia" w:ascii="仿宋" w:hAnsi="仿宋" w:eastAsia="仿宋" w:cs="仿宋"/>
                <w:bCs/>
                <w:color w:val="auto"/>
                <w:sz w:val="24"/>
                <w:szCs w:val="24"/>
                <w:highlight w:val="none"/>
              </w:rPr>
            </w:pPr>
          </w:p>
        </w:tc>
        <w:tc>
          <w:tcPr>
            <w:tcW w:w="4320" w:type="dxa"/>
            <w:noWrap w:val="0"/>
            <w:vAlign w:val="top"/>
          </w:tcPr>
          <w:p>
            <w:pPr>
              <w:pStyle w:val="559"/>
              <w:keepNext w:val="0"/>
              <w:keepLines w:val="0"/>
              <w:suppressLineNumbers w:val="0"/>
              <w:spacing w:before="0" w:beforeAutospacing="0" w:after="0" w:afterAutospacing="0" w:line="360" w:lineRule="auto"/>
              <w:ind w:left="0" w:right="0"/>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正面：                        反面：</w:t>
            </w:r>
          </w:p>
          <w:p>
            <w:pPr>
              <w:pStyle w:val="559"/>
              <w:keepNext w:val="0"/>
              <w:keepLines w:val="0"/>
              <w:suppressLineNumbers w:val="0"/>
              <w:spacing w:before="0" w:beforeAutospacing="0" w:after="0" w:afterAutospacing="0" w:line="360" w:lineRule="auto"/>
              <w:ind w:left="0" w:right="0"/>
              <w:rPr>
                <w:rFonts w:hint="eastAsia" w:ascii="仿宋" w:hAnsi="仿宋" w:eastAsia="仿宋" w:cs="仿宋"/>
                <w:bCs/>
                <w:color w:val="auto"/>
                <w:sz w:val="24"/>
                <w:szCs w:val="24"/>
                <w:highlight w:val="none"/>
              </w:rPr>
            </w:pPr>
          </w:p>
        </w:tc>
      </w:tr>
    </w:tbl>
    <w:p>
      <w:pPr>
        <w:snapToGrid w:val="0"/>
        <w:spacing w:line="360" w:lineRule="auto"/>
        <w:ind w:firstLine="576"/>
        <w:jc w:val="right"/>
        <w:rPr>
          <w:rFonts w:hint="eastAsia" w:ascii="仿宋" w:hAnsi="仿宋" w:eastAsia="仿宋" w:cs="仿宋"/>
          <w:color w:val="auto"/>
          <w:kern w:val="0"/>
          <w:sz w:val="24"/>
          <w:szCs w:val="24"/>
          <w:highlight w:val="none"/>
          <w:lang w:val="zh-CN"/>
        </w:rPr>
      </w:pPr>
    </w:p>
    <w:p>
      <w:pPr>
        <w:snapToGrid w:val="0"/>
        <w:spacing w:line="360" w:lineRule="auto"/>
        <w:ind w:firstLine="576"/>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 xml:space="preserve">               </w:t>
      </w:r>
    </w:p>
    <w:p>
      <w:pPr>
        <w:snapToGrid w:val="0"/>
        <w:spacing w:line="360" w:lineRule="auto"/>
        <w:ind w:firstLine="576"/>
        <w:jc w:val="center"/>
        <w:rPr>
          <w:rFonts w:hint="eastAsia" w:ascii="仿宋" w:hAnsi="仿宋" w:eastAsia="仿宋" w:cs="仿宋"/>
          <w:color w:val="auto"/>
          <w:kern w:val="0"/>
          <w:sz w:val="24"/>
          <w:szCs w:val="24"/>
          <w:highlight w:val="none"/>
          <w:lang w:val="zh-CN"/>
        </w:rPr>
      </w:pPr>
    </w:p>
    <w:p>
      <w:pPr>
        <w:snapToGrid w:val="0"/>
        <w:spacing w:line="360" w:lineRule="auto"/>
        <w:ind w:firstLine="576"/>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color w:val="auto"/>
          <w:kern w:val="0"/>
          <w:sz w:val="24"/>
          <w:szCs w:val="24"/>
          <w:highlight w:val="none"/>
          <w:lang w:val="zh-CN"/>
        </w:rPr>
        <w:t xml:space="preserve"> </w:t>
      </w: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color w:val="auto"/>
          <w:kern w:val="0"/>
          <w:sz w:val="24"/>
          <w:szCs w:val="24"/>
          <w:highlight w:val="none"/>
          <w:lang w:val="zh-CN"/>
        </w:rPr>
        <w:t xml:space="preserve">投标人名称(电子签名)：                              </w:t>
      </w:r>
    </w:p>
    <w:p>
      <w:pPr>
        <w:pStyle w:val="43"/>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color w:val="auto"/>
          <w:kern w:val="0"/>
          <w:sz w:val="24"/>
          <w:szCs w:val="24"/>
          <w:highlight w:val="none"/>
          <w:lang w:val="zh-CN"/>
        </w:rPr>
        <w:t xml:space="preserve">                   </w:t>
      </w: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color w:val="auto"/>
          <w:kern w:val="0"/>
          <w:sz w:val="24"/>
          <w:szCs w:val="24"/>
          <w:highlight w:val="none"/>
          <w:lang w:val="zh-CN"/>
        </w:rPr>
        <w:t>日期：  年  月</w:t>
      </w:r>
      <w:r>
        <w:rPr>
          <w:rFonts w:hint="eastAsia" w:ascii="仿宋" w:hAnsi="仿宋" w:eastAsia="仿宋" w:cs="仿宋"/>
          <w:color w:val="auto"/>
          <w:kern w:val="0"/>
          <w:sz w:val="24"/>
          <w:szCs w:val="24"/>
          <w:highlight w:val="none"/>
          <w:lang w:val="en-US" w:eastAsia="zh-CN"/>
        </w:rPr>
        <w:t xml:space="preserve">  日</w:t>
      </w:r>
    </w:p>
    <w:p>
      <w:pPr>
        <w:spacing w:line="360" w:lineRule="auto"/>
        <w:jc w:val="center"/>
        <w:rPr>
          <w:rFonts w:hint="eastAsia" w:ascii="仿宋" w:hAnsi="仿宋" w:eastAsia="仿宋" w:cs="仿宋"/>
          <w:b/>
          <w:bCs/>
          <w:color w:val="auto"/>
          <w:kern w:val="44"/>
          <w:sz w:val="24"/>
          <w:szCs w:val="24"/>
          <w:highlight w:val="none"/>
          <w:lang w:val="zh-CN" w:eastAsia="zh-CN" w:bidi="ar-SA"/>
        </w:rPr>
      </w:pPr>
    </w:p>
    <w:p>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kern w:val="44"/>
          <w:sz w:val="32"/>
          <w:szCs w:val="32"/>
          <w:highlight w:val="none"/>
          <w:lang w:val="zh-CN" w:eastAsia="zh-CN" w:bidi="ar-SA"/>
        </w:rPr>
        <w:t>（五）主要业绩证明</w:t>
      </w:r>
    </w:p>
    <w:tbl>
      <w:tblPr>
        <w:tblStyle w:val="82"/>
        <w:tblW w:w="9156" w:type="dxa"/>
        <w:tblInd w:w="108" w:type="dxa"/>
        <w:tblLayout w:type="fixed"/>
        <w:tblCellMar>
          <w:top w:w="0" w:type="dxa"/>
          <w:left w:w="108" w:type="dxa"/>
          <w:bottom w:w="0" w:type="dxa"/>
          <w:right w:w="108" w:type="dxa"/>
        </w:tblCellMar>
      </w:tblPr>
      <w:tblGrid>
        <w:gridCol w:w="1800"/>
        <w:gridCol w:w="986"/>
        <w:gridCol w:w="1200"/>
        <w:gridCol w:w="1260"/>
        <w:gridCol w:w="1124"/>
        <w:gridCol w:w="1921"/>
        <w:gridCol w:w="865"/>
      </w:tblGrid>
      <w:tr>
        <w:tblPrEx>
          <w:tblLayout w:type="fixed"/>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autoSpaceDE w:val="0"/>
              <w:autoSpaceDN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项目名称</w:t>
            </w:r>
          </w:p>
        </w:tc>
        <w:tc>
          <w:tcPr>
            <w:tcW w:w="986" w:type="dxa"/>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autoSpaceDE w:val="0"/>
              <w:autoSpaceDN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w:t>
            </w:r>
          </w:p>
          <w:p>
            <w:pPr>
              <w:keepNext w:val="0"/>
              <w:keepLines w:val="0"/>
              <w:suppressLineNumbers w:val="0"/>
              <w:autoSpaceDE w:val="0"/>
              <w:autoSpaceDN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类型</w:t>
            </w:r>
          </w:p>
        </w:tc>
        <w:tc>
          <w:tcPr>
            <w:tcW w:w="120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autoSpaceDE w:val="0"/>
              <w:autoSpaceDN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简要描述</w:t>
            </w:r>
          </w:p>
        </w:tc>
        <w:tc>
          <w:tcPr>
            <w:tcW w:w="126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autoSpaceDE w:val="0"/>
              <w:autoSpaceDN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w:t>
            </w:r>
          </w:p>
          <w:p>
            <w:pPr>
              <w:keepNext w:val="0"/>
              <w:keepLines w:val="0"/>
              <w:suppressLineNumbers w:val="0"/>
              <w:autoSpaceDE w:val="0"/>
              <w:autoSpaceDN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投资</w:t>
            </w:r>
          </w:p>
          <w:p>
            <w:pPr>
              <w:keepNext w:val="0"/>
              <w:keepLines w:val="0"/>
              <w:suppressLineNumbers w:val="0"/>
              <w:autoSpaceDE w:val="0"/>
              <w:autoSpaceDN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（万元）</w:t>
            </w:r>
          </w:p>
        </w:tc>
        <w:tc>
          <w:tcPr>
            <w:tcW w:w="1124" w:type="dxa"/>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autoSpaceDE w:val="0"/>
              <w:autoSpaceDN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合同签订</w:t>
            </w:r>
            <w:r>
              <w:rPr>
                <w:rFonts w:hint="eastAsia" w:ascii="仿宋" w:hAnsi="仿宋" w:eastAsia="仿宋" w:cs="仿宋"/>
                <w:color w:val="auto"/>
                <w:sz w:val="24"/>
                <w:szCs w:val="24"/>
                <w:highlight w:val="none"/>
              </w:rPr>
              <w:t>日期</w:t>
            </w:r>
          </w:p>
        </w:tc>
        <w:tc>
          <w:tcPr>
            <w:tcW w:w="1921" w:type="dxa"/>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autoSpaceDE w:val="0"/>
              <w:autoSpaceDN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项目地址与建设单位联系电话</w:t>
            </w:r>
          </w:p>
        </w:tc>
        <w:tc>
          <w:tcPr>
            <w:tcW w:w="865" w:type="dxa"/>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autoSpaceDE w:val="0"/>
              <w:autoSpaceDN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所在页码</w:t>
            </w:r>
          </w:p>
        </w:tc>
      </w:tr>
      <w:tr>
        <w:tblPrEx>
          <w:tblLayout w:type="fixed"/>
          <w:tblCellMar>
            <w:top w:w="0" w:type="dxa"/>
            <w:left w:w="108" w:type="dxa"/>
            <w:bottom w:w="0" w:type="dxa"/>
            <w:right w:w="108" w:type="dxa"/>
          </w:tblCellMar>
        </w:tblPrEx>
        <w:trPr>
          <w:trHeight w:val="894"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autoSpaceDE w:val="0"/>
              <w:autoSpaceDN w:val="0"/>
              <w:spacing w:before="0" w:beforeAutospacing="0" w:after="0" w:afterAutospacing="0" w:line="360" w:lineRule="auto"/>
              <w:ind w:left="0" w:right="0"/>
              <w:rPr>
                <w:rFonts w:hint="eastAsia" w:ascii="仿宋" w:hAnsi="仿宋" w:eastAsia="仿宋" w:cs="仿宋"/>
                <w:color w:val="auto"/>
                <w:sz w:val="24"/>
                <w:szCs w:val="24"/>
                <w:highlight w:val="none"/>
              </w:rPr>
            </w:pPr>
          </w:p>
        </w:tc>
        <w:tc>
          <w:tcPr>
            <w:tcW w:w="986"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autoSpaceDE w:val="0"/>
              <w:autoSpaceDN w:val="0"/>
              <w:spacing w:before="0" w:beforeAutospacing="0" w:after="0" w:afterAutospacing="0" w:line="360" w:lineRule="auto"/>
              <w:ind w:left="0" w:right="0"/>
              <w:rPr>
                <w:rFonts w:hint="eastAsia" w:ascii="仿宋" w:hAnsi="仿宋" w:eastAsia="仿宋" w:cs="仿宋"/>
                <w:color w:val="auto"/>
                <w:sz w:val="24"/>
                <w:szCs w:val="24"/>
                <w:highlight w:val="none"/>
              </w:rPr>
            </w:pPr>
          </w:p>
        </w:tc>
        <w:tc>
          <w:tcPr>
            <w:tcW w:w="1200"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autoSpaceDE w:val="0"/>
              <w:autoSpaceDN w:val="0"/>
              <w:spacing w:before="0" w:beforeAutospacing="0" w:after="0" w:afterAutospacing="0" w:line="360" w:lineRule="auto"/>
              <w:ind w:left="0" w:right="0"/>
              <w:rPr>
                <w:rFonts w:hint="eastAsia" w:ascii="仿宋" w:hAnsi="仿宋" w:eastAsia="仿宋" w:cs="仿宋"/>
                <w:color w:val="auto"/>
                <w:sz w:val="24"/>
                <w:szCs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autoSpaceDE w:val="0"/>
              <w:autoSpaceDN w:val="0"/>
              <w:spacing w:before="0" w:beforeAutospacing="0" w:after="0" w:afterAutospacing="0" w:line="360" w:lineRule="auto"/>
              <w:ind w:left="0" w:right="0"/>
              <w:rPr>
                <w:rFonts w:hint="eastAsia" w:ascii="仿宋" w:hAnsi="仿宋" w:eastAsia="仿宋" w:cs="仿宋"/>
                <w:color w:val="auto"/>
                <w:sz w:val="24"/>
                <w:szCs w:val="24"/>
                <w:highlight w:val="none"/>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autoSpaceDE w:val="0"/>
              <w:autoSpaceDN w:val="0"/>
              <w:spacing w:before="0" w:beforeAutospacing="0" w:after="0" w:afterAutospacing="0" w:line="360" w:lineRule="auto"/>
              <w:ind w:left="0" w:right="0"/>
              <w:rPr>
                <w:rFonts w:hint="eastAsia" w:ascii="仿宋" w:hAnsi="仿宋" w:eastAsia="仿宋" w:cs="仿宋"/>
                <w:color w:val="auto"/>
                <w:sz w:val="24"/>
                <w:szCs w:val="24"/>
                <w:highlight w:val="none"/>
              </w:rPr>
            </w:pPr>
          </w:p>
        </w:tc>
        <w:tc>
          <w:tcPr>
            <w:tcW w:w="1921"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autoSpaceDE w:val="0"/>
              <w:autoSpaceDN w:val="0"/>
              <w:spacing w:before="0" w:beforeAutospacing="0" w:after="0" w:afterAutospacing="0" w:line="360" w:lineRule="auto"/>
              <w:ind w:left="0" w:right="0"/>
              <w:rPr>
                <w:rFonts w:hint="eastAsia" w:ascii="仿宋" w:hAnsi="仿宋" w:eastAsia="仿宋" w:cs="仿宋"/>
                <w:color w:val="auto"/>
                <w:sz w:val="24"/>
                <w:szCs w:val="24"/>
                <w:highlight w:val="none"/>
              </w:rPr>
            </w:pPr>
          </w:p>
        </w:tc>
        <w:tc>
          <w:tcPr>
            <w:tcW w:w="865"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autoSpaceDE w:val="0"/>
              <w:autoSpaceDN w:val="0"/>
              <w:spacing w:before="0" w:beforeAutospacing="0" w:after="0" w:afterAutospacing="0" w:line="360" w:lineRule="auto"/>
              <w:ind w:left="0" w:right="0"/>
              <w:rPr>
                <w:rFonts w:hint="eastAsia" w:ascii="仿宋" w:hAnsi="仿宋" w:eastAsia="仿宋" w:cs="仿宋"/>
                <w:color w:val="auto"/>
                <w:sz w:val="24"/>
                <w:szCs w:val="24"/>
                <w:highlight w:val="none"/>
              </w:rPr>
            </w:pPr>
          </w:p>
        </w:tc>
      </w:tr>
      <w:tr>
        <w:tblPrEx>
          <w:tblLayout w:type="fixed"/>
          <w:tblCellMar>
            <w:top w:w="0" w:type="dxa"/>
            <w:left w:w="108" w:type="dxa"/>
            <w:bottom w:w="0" w:type="dxa"/>
            <w:right w:w="108" w:type="dxa"/>
          </w:tblCellMar>
        </w:tblPrEx>
        <w:trPr>
          <w:trHeight w:val="920"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autoSpaceDE w:val="0"/>
              <w:autoSpaceDN w:val="0"/>
              <w:spacing w:before="0" w:beforeAutospacing="0" w:after="0" w:afterAutospacing="0" w:line="360" w:lineRule="auto"/>
              <w:ind w:left="0" w:right="0"/>
              <w:rPr>
                <w:rFonts w:hint="eastAsia" w:ascii="仿宋" w:hAnsi="仿宋" w:eastAsia="仿宋" w:cs="仿宋"/>
                <w:color w:val="auto"/>
                <w:sz w:val="24"/>
                <w:szCs w:val="24"/>
                <w:highlight w:val="none"/>
              </w:rPr>
            </w:pPr>
          </w:p>
        </w:tc>
        <w:tc>
          <w:tcPr>
            <w:tcW w:w="986"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autoSpaceDE w:val="0"/>
              <w:autoSpaceDN w:val="0"/>
              <w:spacing w:before="0" w:beforeAutospacing="0" w:after="0" w:afterAutospacing="0" w:line="360" w:lineRule="auto"/>
              <w:ind w:left="0" w:right="0"/>
              <w:rPr>
                <w:rFonts w:hint="eastAsia" w:ascii="仿宋" w:hAnsi="仿宋" w:eastAsia="仿宋" w:cs="仿宋"/>
                <w:color w:val="auto"/>
                <w:sz w:val="24"/>
                <w:szCs w:val="24"/>
                <w:highlight w:val="none"/>
              </w:rPr>
            </w:pPr>
          </w:p>
        </w:tc>
        <w:tc>
          <w:tcPr>
            <w:tcW w:w="1200"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autoSpaceDE w:val="0"/>
              <w:autoSpaceDN w:val="0"/>
              <w:spacing w:before="0" w:beforeAutospacing="0" w:after="0" w:afterAutospacing="0" w:line="360" w:lineRule="auto"/>
              <w:ind w:left="0" w:right="0"/>
              <w:rPr>
                <w:rFonts w:hint="eastAsia" w:ascii="仿宋" w:hAnsi="仿宋" w:eastAsia="仿宋" w:cs="仿宋"/>
                <w:color w:val="auto"/>
                <w:sz w:val="24"/>
                <w:szCs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autoSpaceDE w:val="0"/>
              <w:autoSpaceDN w:val="0"/>
              <w:spacing w:before="0" w:beforeAutospacing="0" w:after="0" w:afterAutospacing="0" w:line="360" w:lineRule="auto"/>
              <w:ind w:left="0" w:right="0"/>
              <w:rPr>
                <w:rFonts w:hint="eastAsia" w:ascii="仿宋" w:hAnsi="仿宋" w:eastAsia="仿宋" w:cs="仿宋"/>
                <w:color w:val="auto"/>
                <w:sz w:val="24"/>
                <w:szCs w:val="24"/>
                <w:highlight w:val="none"/>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autoSpaceDE w:val="0"/>
              <w:autoSpaceDN w:val="0"/>
              <w:spacing w:before="0" w:beforeAutospacing="0" w:after="0" w:afterAutospacing="0" w:line="360" w:lineRule="auto"/>
              <w:ind w:left="0" w:right="0"/>
              <w:rPr>
                <w:rFonts w:hint="eastAsia" w:ascii="仿宋" w:hAnsi="仿宋" w:eastAsia="仿宋" w:cs="仿宋"/>
                <w:color w:val="auto"/>
                <w:sz w:val="24"/>
                <w:szCs w:val="24"/>
                <w:highlight w:val="none"/>
              </w:rPr>
            </w:pPr>
          </w:p>
        </w:tc>
        <w:tc>
          <w:tcPr>
            <w:tcW w:w="1921"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autoSpaceDE w:val="0"/>
              <w:autoSpaceDN w:val="0"/>
              <w:spacing w:before="0" w:beforeAutospacing="0" w:after="0" w:afterAutospacing="0" w:line="360" w:lineRule="auto"/>
              <w:ind w:left="0" w:right="0"/>
              <w:rPr>
                <w:rFonts w:hint="eastAsia" w:ascii="仿宋" w:hAnsi="仿宋" w:eastAsia="仿宋" w:cs="仿宋"/>
                <w:color w:val="auto"/>
                <w:sz w:val="24"/>
                <w:szCs w:val="24"/>
                <w:highlight w:val="none"/>
              </w:rPr>
            </w:pPr>
          </w:p>
        </w:tc>
        <w:tc>
          <w:tcPr>
            <w:tcW w:w="865"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autoSpaceDE w:val="0"/>
              <w:autoSpaceDN w:val="0"/>
              <w:spacing w:before="0" w:beforeAutospacing="0" w:after="0" w:afterAutospacing="0" w:line="360" w:lineRule="auto"/>
              <w:ind w:left="0" w:right="0"/>
              <w:rPr>
                <w:rFonts w:hint="eastAsia" w:ascii="仿宋" w:hAnsi="仿宋" w:eastAsia="仿宋" w:cs="仿宋"/>
                <w:color w:val="auto"/>
                <w:sz w:val="24"/>
                <w:szCs w:val="24"/>
                <w:highlight w:val="none"/>
              </w:rPr>
            </w:pPr>
          </w:p>
        </w:tc>
      </w:tr>
      <w:tr>
        <w:tblPrEx>
          <w:tblLayout w:type="fixed"/>
          <w:tblCellMar>
            <w:top w:w="0" w:type="dxa"/>
            <w:left w:w="108" w:type="dxa"/>
            <w:bottom w:w="0" w:type="dxa"/>
            <w:right w:w="108" w:type="dxa"/>
          </w:tblCellMar>
        </w:tblPrEx>
        <w:trPr>
          <w:trHeight w:val="933"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autoSpaceDE w:val="0"/>
              <w:autoSpaceDN w:val="0"/>
              <w:spacing w:before="0" w:beforeAutospacing="0" w:after="0" w:afterAutospacing="0" w:line="360" w:lineRule="auto"/>
              <w:ind w:left="0" w:right="0"/>
              <w:rPr>
                <w:rFonts w:hint="eastAsia" w:ascii="仿宋" w:hAnsi="仿宋" w:eastAsia="仿宋" w:cs="仿宋"/>
                <w:color w:val="auto"/>
                <w:sz w:val="24"/>
                <w:szCs w:val="24"/>
                <w:highlight w:val="none"/>
              </w:rPr>
            </w:pPr>
          </w:p>
        </w:tc>
        <w:tc>
          <w:tcPr>
            <w:tcW w:w="986"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autoSpaceDE w:val="0"/>
              <w:autoSpaceDN w:val="0"/>
              <w:spacing w:before="0" w:beforeAutospacing="0" w:after="0" w:afterAutospacing="0" w:line="360" w:lineRule="auto"/>
              <w:ind w:left="0" w:right="0"/>
              <w:rPr>
                <w:rFonts w:hint="eastAsia" w:ascii="仿宋" w:hAnsi="仿宋" w:eastAsia="仿宋" w:cs="仿宋"/>
                <w:color w:val="auto"/>
                <w:sz w:val="24"/>
                <w:szCs w:val="24"/>
                <w:highlight w:val="none"/>
              </w:rPr>
            </w:pPr>
          </w:p>
        </w:tc>
        <w:tc>
          <w:tcPr>
            <w:tcW w:w="1200"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autoSpaceDE w:val="0"/>
              <w:autoSpaceDN w:val="0"/>
              <w:spacing w:before="0" w:beforeAutospacing="0" w:after="0" w:afterAutospacing="0" w:line="360" w:lineRule="auto"/>
              <w:ind w:left="0" w:right="0"/>
              <w:rPr>
                <w:rFonts w:hint="eastAsia" w:ascii="仿宋" w:hAnsi="仿宋" w:eastAsia="仿宋" w:cs="仿宋"/>
                <w:color w:val="auto"/>
                <w:sz w:val="24"/>
                <w:szCs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autoSpaceDE w:val="0"/>
              <w:autoSpaceDN w:val="0"/>
              <w:spacing w:before="0" w:beforeAutospacing="0" w:after="0" w:afterAutospacing="0" w:line="360" w:lineRule="auto"/>
              <w:ind w:left="0" w:right="0"/>
              <w:rPr>
                <w:rFonts w:hint="eastAsia" w:ascii="仿宋" w:hAnsi="仿宋" w:eastAsia="仿宋" w:cs="仿宋"/>
                <w:color w:val="auto"/>
                <w:sz w:val="24"/>
                <w:szCs w:val="24"/>
                <w:highlight w:val="none"/>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autoSpaceDE w:val="0"/>
              <w:autoSpaceDN w:val="0"/>
              <w:spacing w:before="0" w:beforeAutospacing="0" w:after="0" w:afterAutospacing="0" w:line="360" w:lineRule="auto"/>
              <w:ind w:left="0" w:right="0"/>
              <w:rPr>
                <w:rFonts w:hint="eastAsia" w:ascii="仿宋" w:hAnsi="仿宋" w:eastAsia="仿宋" w:cs="仿宋"/>
                <w:color w:val="auto"/>
                <w:sz w:val="24"/>
                <w:szCs w:val="24"/>
                <w:highlight w:val="none"/>
              </w:rPr>
            </w:pPr>
          </w:p>
        </w:tc>
        <w:tc>
          <w:tcPr>
            <w:tcW w:w="1921"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autoSpaceDE w:val="0"/>
              <w:autoSpaceDN w:val="0"/>
              <w:spacing w:before="0" w:beforeAutospacing="0" w:after="0" w:afterAutospacing="0" w:line="360" w:lineRule="auto"/>
              <w:ind w:left="0" w:right="0"/>
              <w:rPr>
                <w:rFonts w:hint="eastAsia" w:ascii="仿宋" w:hAnsi="仿宋" w:eastAsia="仿宋" w:cs="仿宋"/>
                <w:color w:val="auto"/>
                <w:sz w:val="24"/>
                <w:szCs w:val="24"/>
                <w:highlight w:val="none"/>
              </w:rPr>
            </w:pPr>
          </w:p>
        </w:tc>
        <w:tc>
          <w:tcPr>
            <w:tcW w:w="865"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autoSpaceDE w:val="0"/>
              <w:autoSpaceDN w:val="0"/>
              <w:spacing w:before="0" w:beforeAutospacing="0" w:after="0" w:afterAutospacing="0" w:line="360" w:lineRule="auto"/>
              <w:ind w:left="0" w:right="0"/>
              <w:rPr>
                <w:rFonts w:hint="eastAsia" w:ascii="仿宋" w:hAnsi="仿宋" w:eastAsia="仿宋" w:cs="仿宋"/>
                <w:color w:val="auto"/>
                <w:sz w:val="24"/>
                <w:szCs w:val="24"/>
                <w:highlight w:val="none"/>
              </w:rPr>
            </w:pPr>
          </w:p>
        </w:tc>
      </w:tr>
      <w:tr>
        <w:tblPrEx>
          <w:tblLayout w:type="fixed"/>
          <w:tblCellMar>
            <w:top w:w="0" w:type="dxa"/>
            <w:left w:w="108" w:type="dxa"/>
            <w:bottom w:w="0" w:type="dxa"/>
            <w:right w:w="108" w:type="dxa"/>
          </w:tblCellMar>
        </w:tblPrEx>
        <w:trPr>
          <w:trHeight w:val="933"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autoSpaceDE w:val="0"/>
              <w:autoSpaceDN w:val="0"/>
              <w:spacing w:before="0" w:beforeAutospacing="0" w:after="0" w:afterAutospacing="0" w:line="360" w:lineRule="auto"/>
              <w:ind w:left="0" w:right="0"/>
              <w:rPr>
                <w:rFonts w:hint="eastAsia" w:ascii="仿宋" w:hAnsi="仿宋" w:eastAsia="仿宋" w:cs="仿宋"/>
                <w:color w:val="auto"/>
                <w:sz w:val="24"/>
                <w:szCs w:val="24"/>
                <w:highlight w:val="none"/>
              </w:rPr>
            </w:pPr>
          </w:p>
        </w:tc>
        <w:tc>
          <w:tcPr>
            <w:tcW w:w="986"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autoSpaceDE w:val="0"/>
              <w:autoSpaceDN w:val="0"/>
              <w:spacing w:before="0" w:beforeAutospacing="0" w:after="0" w:afterAutospacing="0" w:line="360" w:lineRule="auto"/>
              <w:ind w:left="0" w:right="0"/>
              <w:rPr>
                <w:rFonts w:hint="eastAsia" w:ascii="仿宋" w:hAnsi="仿宋" w:eastAsia="仿宋" w:cs="仿宋"/>
                <w:color w:val="auto"/>
                <w:sz w:val="24"/>
                <w:szCs w:val="24"/>
                <w:highlight w:val="none"/>
              </w:rPr>
            </w:pPr>
          </w:p>
        </w:tc>
        <w:tc>
          <w:tcPr>
            <w:tcW w:w="1200"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autoSpaceDE w:val="0"/>
              <w:autoSpaceDN w:val="0"/>
              <w:spacing w:before="0" w:beforeAutospacing="0" w:after="0" w:afterAutospacing="0" w:line="360" w:lineRule="auto"/>
              <w:ind w:left="0" w:right="0"/>
              <w:rPr>
                <w:rFonts w:hint="eastAsia" w:ascii="仿宋" w:hAnsi="仿宋" w:eastAsia="仿宋" w:cs="仿宋"/>
                <w:color w:val="auto"/>
                <w:sz w:val="24"/>
                <w:szCs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autoSpaceDE w:val="0"/>
              <w:autoSpaceDN w:val="0"/>
              <w:spacing w:before="0" w:beforeAutospacing="0" w:after="0" w:afterAutospacing="0" w:line="360" w:lineRule="auto"/>
              <w:ind w:left="0" w:right="0"/>
              <w:rPr>
                <w:rFonts w:hint="eastAsia" w:ascii="仿宋" w:hAnsi="仿宋" w:eastAsia="仿宋" w:cs="仿宋"/>
                <w:color w:val="auto"/>
                <w:sz w:val="24"/>
                <w:szCs w:val="24"/>
                <w:highlight w:val="none"/>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autoSpaceDE w:val="0"/>
              <w:autoSpaceDN w:val="0"/>
              <w:spacing w:before="0" w:beforeAutospacing="0" w:after="0" w:afterAutospacing="0" w:line="360" w:lineRule="auto"/>
              <w:ind w:left="0" w:right="0"/>
              <w:rPr>
                <w:rFonts w:hint="eastAsia" w:ascii="仿宋" w:hAnsi="仿宋" w:eastAsia="仿宋" w:cs="仿宋"/>
                <w:color w:val="auto"/>
                <w:sz w:val="24"/>
                <w:szCs w:val="24"/>
                <w:highlight w:val="none"/>
              </w:rPr>
            </w:pPr>
          </w:p>
        </w:tc>
        <w:tc>
          <w:tcPr>
            <w:tcW w:w="1921"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autoSpaceDE w:val="0"/>
              <w:autoSpaceDN w:val="0"/>
              <w:spacing w:before="0" w:beforeAutospacing="0" w:after="0" w:afterAutospacing="0" w:line="360" w:lineRule="auto"/>
              <w:ind w:left="0" w:right="0"/>
              <w:rPr>
                <w:rFonts w:hint="eastAsia" w:ascii="仿宋" w:hAnsi="仿宋" w:eastAsia="仿宋" w:cs="仿宋"/>
                <w:color w:val="auto"/>
                <w:sz w:val="24"/>
                <w:szCs w:val="24"/>
                <w:highlight w:val="none"/>
              </w:rPr>
            </w:pPr>
          </w:p>
        </w:tc>
        <w:tc>
          <w:tcPr>
            <w:tcW w:w="865"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autoSpaceDE w:val="0"/>
              <w:autoSpaceDN w:val="0"/>
              <w:spacing w:before="0" w:beforeAutospacing="0" w:after="0" w:afterAutospacing="0" w:line="360" w:lineRule="auto"/>
              <w:ind w:left="0" w:right="0"/>
              <w:rPr>
                <w:rFonts w:hint="eastAsia" w:ascii="仿宋" w:hAnsi="仿宋" w:eastAsia="仿宋" w:cs="仿宋"/>
                <w:color w:val="auto"/>
                <w:sz w:val="24"/>
                <w:szCs w:val="24"/>
                <w:highlight w:val="none"/>
              </w:rPr>
            </w:pPr>
          </w:p>
        </w:tc>
      </w:tr>
      <w:tr>
        <w:tblPrEx>
          <w:tblLayout w:type="fixed"/>
          <w:tblCellMar>
            <w:top w:w="0" w:type="dxa"/>
            <w:left w:w="108" w:type="dxa"/>
            <w:bottom w:w="0" w:type="dxa"/>
            <w:right w:w="108" w:type="dxa"/>
          </w:tblCellMar>
        </w:tblPrEx>
        <w:trPr>
          <w:trHeight w:val="927"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autoSpaceDE w:val="0"/>
              <w:autoSpaceDN w:val="0"/>
              <w:spacing w:before="0" w:beforeAutospacing="0" w:after="0" w:afterAutospacing="0" w:line="360" w:lineRule="auto"/>
              <w:ind w:left="0" w:right="0"/>
              <w:rPr>
                <w:rFonts w:hint="eastAsia" w:ascii="仿宋" w:hAnsi="仿宋" w:eastAsia="仿宋" w:cs="仿宋"/>
                <w:color w:val="auto"/>
                <w:sz w:val="24"/>
                <w:szCs w:val="24"/>
                <w:highlight w:val="none"/>
              </w:rPr>
            </w:pPr>
          </w:p>
        </w:tc>
        <w:tc>
          <w:tcPr>
            <w:tcW w:w="986"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autoSpaceDE w:val="0"/>
              <w:autoSpaceDN w:val="0"/>
              <w:spacing w:before="0" w:beforeAutospacing="0" w:after="0" w:afterAutospacing="0" w:line="360" w:lineRule="auto"/>
              <w:ind w:left="0" w:right="0"/>
              <w:rPr>
                <w:rFonts w:hint="eastAsia" w:ascii="仿宋" w:hAnsi="仿宋" w:eastAsia="仿宋" w:cs="仿宋"/>
                <w:color w:val="auto"/>
                <w:sz w:val="24"/>
                <w:szCs w:val="24"/>
                <w:highlight w:val="none"/>
              </w:rPr>
            </w:pPr>
          </w:p>
        </w:tc>
        <w:tc>
          <w:tcPr>
            <w:tcW w:w="1200"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autoSpaceDE w:val="0"/>
              <w:autoSpaceDN w:val="0"/>
              <w:spacing w:before="0" w:beforeAutospacing="0" w:after="0" w:afterAutospacing="0" w:line="360" w:lineRule="auto"/>
              <w:ind w:left="0" w:right="0"/>
              <w:rPr>
                <w:rFonts w:hint="eastAsia" w:ascii="仿宋" w:hAnsi="仿宋" w:eastAsia="仿宋" w:cs="仿宋"/>
                <w:color w:val="auto"/>
                <w:sz w:val="24"/>
                <w:szCs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autoSpaceDE w:val="0"/>
              <w:autoSpaceDN w:val="0"/>
              <w:spacing w:before="0" w:beforeAutospacing="0" w:after="0" w:afterAutospacing="0" w:line="360" w:lineRule="auto"/>
              <w:ind w:left="0" w:right="0"/>
              <w:rPr>
                <w:rFonts w:hint="eastAsia" w:ascii="仿宋" w:hAnsi="仿宋" w:eastAsia="仿宋" w:cs="仿宋"/>
                <w:color w:val="auto"/>
                <w:sz w:val="24"/>
                <w:szCs w:val="24"/>
                <w:highlight w:val="none"/>
              </w:rPr>
            </w:pPr>
          </w:p>
        </w:tc>
        <w:tc>
          <w:tcPr>
            <w:tcW w:w="1124"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autoSpaceDE w:val="0"/>
              <w:autoSpaceDN w:val="0"/>
              <w:spacing w:before="0" w:beforeAutospacing="0" w:after="0" w:afterAutospacing="0" w:line="360" w:lineRule="auto"/>
              <w:ind w:left="0" w:right="0"/>
              <w:rPr>
                <w:rFonts w:hint="eastAsia" w:ascii="仿宋" w:hAnsi="仿宋" w:eastAsia="仿宋" w:cs="仿宋"/>
                <w:color w:val="auto"/>
                <w:sz w:val="24"/>
                <w:szCs w:val="24"/>
                <w:highlight w:val="none"/>
              </w:rPr>
            </w:pPr>
          </w:p>
        </w:tc>
        <w:tc>
          <w:tcPr>
            <w:tcW w:w="1921"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autoSpaceDE w:val="0"/>
              <w:autoSpaceDN w:val="0"/>
              <w:spacing w:before="0" w:beforeAutospacing="0" w:after="0" w:afterAutospacing="0" w:line="360" w:lineRule="auto"/>
              <w:ind w:left="0" w:right="0"/>
              <w:rPr>
                <w:rFonts w:hint="eastAsia" w:ascii="仿宋" w:hAnsi="仿宋" w:eastAsia="仿宋" w:cs="仿宋"/>
                <w:color w:val="auto"/>
                <w:sz w:val="24"/>
                <w:szCs w:val="24"/>
                <w:highlight w:val="none"/>
              </w:rPr>
            </w:pPr>
          </w:p>
        </w:tc>
        <w:tc>
          <w:tcPr>
            <w:tcW w:w="865"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autoSpaceDE w:val="0"/>
              <w:autoSpaceDN w:val="0"/>
              <w:spacing w:before="0" w:beforeAutospacing="0" w:after="0" w:afterAutospacing="0" w:line="360" w:lineRule="auto"/>
              <w:ind w:left="0" w:right="0"/>
              <w:rPr>
                <w:rFonts w:hint="eastAsia" w:ascii="仿宋" w:hAnsi="仿宋" w:eastAsia="仿宋" w:cs="仿宋"/>
                <w:color w:val="auto"/>
                <w:sz w:val="24"/>
                <w:szCs w:val="24"/>
                <w:highlight w:val="none"/>
              </w:rPr>
            </w:pPr>
          </w:p>
        </w:tc>
      </w:tr>
    </w:tbl>
    <w:p>
      <w:pPr>
        <w:autoSpaceDE w:val="0"/>
        <w:autoSpaceDN w:val="0"/>
        <w:spacing w:line="360" w:lineRule="auto"/>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注：供应商可按上述的格式自行编制，须随表提交相应的合同</w:t>
      </w:r>
      <w:r>
        <w:rPr>
          <w:rFonts w:hint="eastAsia" w:ascii="仿宋" w:hAnsi="仿宋" w:eastAsia="仿宋" w:cs="仿宋"/>
          <w:b/>
          <w:color w:val="auto"/>
          <w:sz w:val="24"/>
          <w:szCs w:val="24"/>
          <w:highlight w:val="none"/>
          <w:lang w:val="en-US" w:eastAsia="zh-CN"/>
        </w:rPr>
        <w:t>扫描</w:t>
      </w:r>
      <w:r>
        <w:rPr>
          <w:rFonts w:hint="eastAsia" w:ascii="仿宋" w:hAnsi="仿宋" w:eastAsia="仿宋" w:cs="仿宋"/>
          <w:b/>
          <w:color w:val="auto"/>
          <w:sz w:val="24"/>
          <w:szCs w:val="24"/>
          <w:highlight w:val="none"/>
        </w:rPr>
        <w:t>件并注明所在文件页码。</w:t>
      </w:r>
    </w:p>
    <w:p>
      <w:pPr>
        <w:autoSpaceDE w:val="0"/>
        <w:autoSpaceDN w:val="0"/>
        <w:spacing w:line="360" w:lineRule="auto"/>
        <w:rPr>
          <w:rFonts w:hint="eastAsia" w:ascii="仿宋" w:hAnsi="仿宋" w:eastAsia="仿宋" w:cs="仿宋"/>
          <w:color w:val="auto"/>
          <w:sz w:val="24"/>
          <w:szCs w:val="24"/>
          <w:highlight w:val="none"/>
        </w:rPr>
      </w:pPr>
    </w:p>
    <w:p>
      <w:pPr>
        <w:autoSpaceDE w:val="0"/>
        <w:autoSpaceDN w:val="0"/>
        <w:spacing w:line="360" w:lineRule="auto"/>
        <w:ind w:firstLine="5280" w:firstLineChars="2200"/>
        <w:rPr>
          <w:rFonts w:hint="eastAsia" w:ascii="仿宋" w:hAnsi="仿宋" w:eastAsia="仿宋" w:cs="仿宋"/>
          <w:color w:val="auto"/>
          <w:kern w:val="0"/>
          <w:sz w:val="24"/>
          <w:szCs w:val="24"/>
          <w:highlight w:val="none"/>
        </w:rPr>
      </w:pPr>
    </w:p>
    <w:p>
      <w:pPr>
        <w:autoSpaceDE w:val="0"/>
        <w:autoSpaceDN w:val="0"/>
        <w:spacing w:line="360" w:lineRule="auto"/>
        <w:ind w:firstLine="5280" w:firstLineChars="2200"/>
        <w:rPr>
          <w:rFonts w:hint="eastAsia" w:ascii="仿宋" w:hAnsi="仿宋" w:eastAsia="仿宋" w:cs="仿宋"/>
          <w:color w:val="auto"/>
          <w:kern w:val="0"/>
          <w:sz w:val="24"/>
          <w:szCs w:val="24"/>
          <w:highlight w:val="none"/>
        </w:rPr>
      </w:pPr>
    </w:p>
    <w:p>
      <w:pPr>
        <w:spacing w:line="360" w:lineRule="auto"/>
        <w:jc w:val="both"/>
        <w:rPr>
          <w:rFonts w:hint="eastAsia" w:ascii="仿宋" w:hAnsi="仿宋" w:eastAsia="仿宋" w:cs="仿宋"/>
          <w:b/>
          <w:bCs/>
          <w:color w:val="auto"/>
          <w:sz w:val="24"/>
          <w:szCs w:val="24"/>
          <w:highlight w:val="none"/>
          <w:lang w:eastAsia="zh-CN"/>
        </w:rPr>
      </w:pPr>
    </w:p>
    <w:p>
      <w:pPr>
        <w:spacing w:line="360" w:lineRule="auto"/>
        <w:jc w:val="center"/>
        <w:rPr>
          <w:rFonts w:hint="eastAsia" w:ascii="仿宋" w:hAnsi="仿宋" w:eastAsia="仿宋" w:cs="仿宋"/>
          <w:b/>
          <w:bCs/>
          <w:color w:val="auto"/>
          <w:sz w:val="24"/>
          <w:szCs w:val="24"/>
          <w:highlight w:val="none"/>
          <w:lang w:eastAsia="zh-CN"/>
        </w:rPr>
      </w:pPr>
    </w:p>
    <w:p>
      <w:pPr>
        <w:spacing w:line="360" w:lineRule="auto"/>
        <w:jc w:val="center"/>
        <w:rPr>
          <w:rFonts w:hint="eastAsia" w:ascii="仿宋" w:hAnsi="仿宋" w:eastAsia="仿宋" w:cs="仿宋"/>
          <w:b/>
          <w:bCs/>
          <w:color w:val="auto"/>
          <w:sz w:val="24"/>
          <w:szCs w:val="24"/>
          <w:highlight w:val="none"/>
          <w:lang w:eastAsia="zh-CN"/>
        </w:rPr>
      </w:pPr>
    </w:p>
    <w:p>
      <w:pPr>
        <w:spacing w:line="360" w:lineRule="auto"/>
        <w:jc w:val="center"/>
        <w:rPr>
          <w:rFonts w:hint="eastAsia" w:ascii="仿宋" w:hAnsi="仿宋" w:eastAsia="仿宋" w:cs="仿宋"/>
          <w:b/>
          <w:bCs/>
          <w:color w:val="auto"/>
          <w:sz w:val="24"/>
          <w:szCs w:val="24"/>
          <w:highlight w:val="none"/>
          <w:lang w:eastAsia="zh-CN"/>
        </w:rPr>
      </w:pPr>
    </w:p>
    <w:p>
      <w:pPr>
        <w:spacing w:line="360" w:lineRule="auto"/>
        <w:jc w:val="center"/>
        <w:rPr>
          <w:rFonts w:hint="eastAsia" w:ascii="仿宋" w:hAnsi="仿宋" w:eastAsia="仿宋" w:cs="仿宋"/>
          <w:b/>
          <w:bCs/>
          <w:color w:val="auto"/>
          <w:sz w:val="24"/>
          <w:szCs w:val="24"/>
          <w:highlight w:val="none"/>
          <w:lang w:eastAsia="zh-CN"/>
        </w:rPr>
      </w:pPr>
    </w:p>
    <w:p>
      <w:pPr>
        <w:spacing w:line="360" w:lineRule="auto"/>
        <w:jc w:val="center"/>
        <w:rPr>
          <w:rFonts w:hint="eastAsia" w:ascii="仿宋" w:hAnsi="仿宋" w:eastAsia="仿宋" w:cs="仿宋"/>
          <w:b/>
          <w:bCs/>
          <w:color w:val="auto"/>
          <w:sz w:val="24"/>
          <w:szCs w:val="24"/>
          <w:highlight w:val="none"/>
          <w:lang w:eastAsia="zh-CN"/>
        </w:rPr>
      </w:pPr>
    </w:p>
    <w:p>
      <w:pPr>
        <w:spacing w:line="360" w:lineRule="auto"/>
        <w:jc w:val="center"/>
        <w:rPr>
          <w:rFonts w:hint="eastAsia" w:ascii="仿宋" w:hAnsi="仿宋" w:eastAsia="仿宋" w:cs="仿宋"/>
          <w:b/>
          <w:bCs/>
          <w:color w:val="auto"/>
          <w:sz w:val="24"/>
          <w:szCs w:val="24"/>
          <w:highlight w:val="none"/>
          <w:lang w:eastAsia="zh-CN"/>
        </w:rPr>
      </w:pPr>
    </w:p>
    <w:p>
      <w:pPr>
        <w:spacing w:line="360" w:lineRule="auto"/>
        <w:jc w:val="center"/>
        <w:rPr>
          <w:rFonts w:hint="eastAsia" w:ascii="仿宋" w:hAnsi="仿宋" w:eastAsia="仿宋" w:cs="仿宋"/>
          <w:b/>
          <w:bCs/>
          <w:color w:val="auto"/>
          <w:sz w:val="24"/>
          <w:szCs w:val="24"/>
          <w:highlight w:val="none"/>
          <w:lang w:eastAsia="zh-CN"/>
        </w:rPr>
      </w:pPr>
    </w:p>
    <w:p>
      <w:pPr>
        <w:spacing w:line="360" w:lineRule="auto"/>
        <w:jc w:val="center"/>
        <w:rPr>
          <w:rFonts w:hint="eastAsia" w:ascii="仿宋" w:hAnsi="仿宋" w:eastAsia="仿宋" w:cs="仿宋"/>
          <w:b/>
          <w:bCs/>
          <w:color w:val="auto"/>
          <w:sz w:val="24"/>
          <w:szCs w:val="24"/>
          <w:highlight w:val="none"/>
          <w:lang w:eastAsia="zh-CN"/>
        </w:rPr>
      </w:pPr>
    </w:p>
    <w:p>
      <w:pPr>
        <w:spacing w:line="360" w:lineRule="auto"/>
        <w:jc w:val="center"/>
        <w:rPr>
          <w:rFonts w:hint="eastAsia" w:ascii="仿宋" w:hAnsi="仿宋" w:eastAsia="仿宋" w:cs="仿宋"/>
          <w:b/>
          <w:bCs/>
          <w:color w:val="auto"/>
          <w:sz w:val="24"/>
          <w:szCs w:val="24"/>
          <w:highlight w:val="none"/>
          <w:lang w:eastAsia="zh-CN"/>
        </w:rPr>
      </w:pPr>
    </w:p>
    <w:p>
      <w:pPr>
        <w:spacing w:line="360" w:lineRule="auto"/>
        <w:jc w:val="center"/>
        <w:rPr>
          <w:rFonts w:hint="eastAsia" w:ascii="仿宋" w:hAnsi="仿宋" w:eastAsia="仿宋" w:cs="仿宋"/>
          <w:b/>
          <w:bCs/>
          <w:color w:val="auto"/>
          <w:sz w:val="24"/>
          <w:szCs w:val="24"/>
          <w:highlight w:val="none"/>
          <w:lang w:eastAsia="zh-CN"/>
        </w:rPr>
      </w:pPr>
    </w:p>
    <w:p>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w:t>
      </w:r>
      <w:r>
        <w:rPr>
          <w:rFonts w:hint="eastAsia" w:ascii="仿宋" w:hAnsi="仿宋" w:eastAsia="仿宋" w:cs="仿宋"/>
          <w:b/>
          <w:bCs/>
          <w:color w:val="auto"/>
          <w:sz w:val="32"/>
          <w:szCs w:val="32"/>
          <w:highlight w:val="none"/>
          <w:lang w:val="en-US" w:eastAsia="zh-CN"/>
        </w:rPr>
        <w:t>六</w:t>
      </w:r>
      <w:r>
        <w:rPr>
          <w:rFonts w:hint="eastAsia" w:ascii="仿宋" w:hAnsi="仿宋" w:eastAsia="仿宋" w:cs="仿宋"/>
          <w:b/>
          <w:bCs/>
          <w:color w:val="auto"/>
          <w:sz w:val="32"/>
          <w:szCs w:val="32"/>
          <w:highlight w:val="none"/>
          <w:lang w:eastAsia="zh-CN"/>
        </w:rPr>
        <w:t>）</w:t>
      </w:r>
      <w:r>
        <w:rPr>
          <w:rFonts w:hint="eastAsia" w:ascii="仿宋" w:hAnsi="仿宋" w:eastAsia="仿宋" w:cs="仿宋"/>
          <w:b/>
          <w:bCs/>
          <w:color w:val="auto"/>
          <w:sz w:val="32"/>
          <w:szCs w:val="32"/>
          <w:highlight w:val="none"/>
        </w:rPr>
        <w:t>项目小组人员名单</w:t>
      </w:r>
    </w:p>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（由供应商根据采购需求及</w:t>
      </w:r>
      <w:r>
        <w:rPr>
          <w:rFonts w:hint="eastAsia" w:ascii="仿宋" w:hAnsi="仿宋" w:eastAsia="仿宋" w:cs="仿宋"/>
          <w:color w:val="auto"/>
          <w:sz w:val="24"/>
          <w:szCs w:val="24"/>
          <w:highlight w:val="none"/>
          <w:lang w:val="en-US" w:eastAsia="zh-CN"/>
        </w:rPr>
        <w:t>招标</w:t>
      </w:r>
      <w:r>
        <w:rPr>
          <w:rFonts w:hint="eastAsia" w:ascii="仿宋" w:hAnsi="仿宋" w:eastAsia="仿宋" w:cs="仿宋"/>
          <w:color w:val="auto"/>
          <w:sz w:val="24"/>
          <w:szCs w:val="24"/>
          <w:highlight w:val="none"/>
        </w:rPr>
        <w:t>文件要求编制）</w:t>
      </w:r>
    </w:p>
    <w:p>
      <w:pPr>
        <w:spacing w:line="360" w:lineRule="auto"/>
        <w:jc w:val="both"/>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A：</w:t>
      </w:r>
      <w:r>
        <w:rPr>
          <w:rFonts w:hint="eastAsia" w:ascii="仿宋" w:hAnsi="仿宋" w:eastAsia="仿宋" w:cs="仿宋"/>
          <w:b/>
          <w:color w:val="auto"/>
          <w:sz w:val="24"/>
          <w:szCs w:val="24"/>
          <w:highlight w:val="none"/>
        </w:rPr>
        <w:t>本项目的项目经理情况表</w:t>
      </w:r>
    </w:p>
    <w:tbl>
      <w:tblPr>
        <w:tblStyle w:val="82"/>
        <w:tblW w:w="9521" w:type="dxa"/>
        <w:tblInd w:w="0" w:type="dxa"/>
        <w:tblLayout w:type="fixed"/>
        <w:tblCellMar>
          <w:top w:w="0" w:type="dxa"/>
          <w:left w:w="108" w:type="dxa"/>
          <w:bottom w:w="0" w:type="dxa"/>
          <w:right w:w="108" w:type="dxa"/>
        </w:tblCellMar>
      </w:tblPr>
      <w:tblGrid>
        <w:gridCol w:w="2554"/>
        <w:gridCol w:w="1787"/>
        <w:gridCol w:w="5180"/>
      </w:tblGrid>
      <w:tr>
        <w:tblPrEx>
          <w:tblLayout w:type="fixed"/>
          <w:tblCellMar>
            <w:top w:w="0" w:type="dxa"/>
            <w:left w:w="108" w:type="dxa"/>
            <w:bottom w:w="0" w:type="dxa"/>
            <w:right w:w="108" w:type="dxa"/>
          </w:tblCellMar>
        </w:tblPrEx>
        <w:trPr>
          <w:trHeight w:val="1035" w:hRule="atLeast"/>
        </w:trPr>
        <w:tc>
          <w:tcPr>
            <w:tcW w:w="2554"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姓名</w:t>
            </w:r>
          </w:p>
        </w:tc>
        <w:tc>
          <w:tcPr>
            <w:tcW w:w="1787" w:type="dxa"/>
            <w:tcBorders>
              <w:top w:val="single" w:color="auto" w:sz="6" w:space="0"/>
              <w:left w:val="single" w:color="auto" w:sz="6" w:space="0"/>
              <w:bottom w:val="single" w:color="auto" w:sz="6" w:space="0"/>
              <w:right w:val="single" w:color="auto" w:sz="4" w:space="0"/>
            </w:tcBorders>
            <w:shd w:val="clear" w:color="auto" w:fill="B3B3B3"/>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jc w:val="center"/>
              <w:textAlignment w:val="auto"/>
              <w:rPr>
                <w:rFonts w:hint="eastAsia" w:ascii="仿宋" w:hAnsi="仿宋" w:eastAsia="仿宋" w:cs="仿宋"/>
                <w:color w:val="auto"/>
                <w:sz w:val="24"/>
                <w:szCs w:val="24"/>
                <w:highlight w:val="none"/>
              </w:rPr>
            </w:pPr>
          </w:p>
        </w:tc>
        <w:tc>
          <w:tcPr>
            <w:tcW w:w="518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textAlignment w:val="auto"/>
              <w:rPr>
                <w:rFonts w:hint="eastAsia" w:ascii="仿宋" w:hAnsi="仿宋" w:eastAsia="仿宋" w:cs="仿宋"/>
                <w:color w:val="auto"/>
                <w:sz w:val="24"/>
                <w:szCs w:val="24"/>
                <w:highlight w:val="none"/>
              </w:rPr>
            </w:pPr>
          </w:p>
        </w:tc>
      </w:tr>
      <w:tr>
        <w:tblPrEx>
          <w:tblLayout w:type="fixed"/>
          <w:tblCellMar>
            <w:top w:w="0" w:type="dxa"/>
            <w:left w:w="108" w:type="dxa"/>
            <w:bottom w:w="0" w:type="dxa"/>
            <w:right w:w="108" w:type="dxa"/>
          </w:tblCellMar>
        </w:tblPrEx>
        <w:trPr>
          <w:cantSplit/>
          <w:trHeight w:val="498" w:hRule="atLeast"/>
        </w:trPr>
        <w:tc>
          <w:tcPr>
            <w:tcW w:w="2554"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性别</w:t>
            </w:r>
          </w:p>
        </w:tc>
        <w:tc>
          <w:tcPr>
            <w:tcW w:w="1787" w:type="dxa"/>
            <w:tcBorders>
              <w:top w:val="single" w:color="auto" w:sz="6" w:space="0"/>
              <w:left w:val="single" w:color="auto" w:sz="6" w:space="0"/>
              <w:bottom w:val="single" w:color="auto" w:sz="6"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jc w:val="center"/>
              <w:textAlignment w:val="auto"/>
              <w:rPr>
                <w:rFonts w:hint="eastAsia" w:ascii="仿宋" w:hAnsi="仿宋" w:eastAsia="仿宋" w:cs="仿宋"/>
                <w:color w:val="auto"/>
                <w:sz w:val="24"/>
                <w:szCs w:val="24"/>
                <w:highlight w:val="none"/>
              </w:rPr>
            </w:pPr>
          </w:p>
        </w:tc>
        <w:tc>
          <w:tcPr>
            <w:tcW w:w="5180" w:type="dxa"/>
            <w:vMerge w:val="restar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jc w:val="center"/>
              <w:textAlignment w:val="auto"/>
              <w:rPr>
                <w:rFonts w:hint="eastAsia" w:ascii="仿宋" w:hAnsi="仿宋" w:eastAsia="仿宋" w:cs="仿宋"/>
                <w:color w:val="auto"/>
                <w:sz w:val="24"/>
                <w:szCs w:val="24"/>
                <w:highlight w:val="none"/>
              </w:rPr>
            </w:pPr>
          </w:p>
        </w:tc>
      </w:tr>
      <w:tr>
        <w:tblPrEx>
          <w:tblLayout w:type="fixed"/>
          <w:tblCellMar>
            <w:top w:w="0" w:type="dxa"/>
            <w:left w:w="108" w:type="dxa"/>
            <w:bottom w:w="0" w:type="dxa"/>
            <w:right w:w="108" w:type="dxa"/>
          </w:tblCellMar>
        </w:tblPrEx>
        <w:trPr>
          <w:cantSplit/>
          <w:trHeight w:val="497" w:hRule="atLeast"/>
        </w:trPr>
        <w:tc>
          <w:tcPr>
            <w:tcW w:w="2554"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年龄</w:t>
            </w:r>
          </w:p>
        </w:tc>
        <w:tc>
          <w:tcPr>
            <w:tcW w:w="1787" w:type="dxa"/>
            <w:tcBorders>
              <w:top w:val="single" w:color="auto" w:sz="6" w:space="0"/>
              <w:left w:val="single" w:color="auto" w:sz="6" w:space="0"/>
              <w:bottom w:val="single" w:color="auto" w:sz="6"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jc w:val="center"/>
              <w:textAlignment w:val="auto"/>
              <w:rPr>
                <w:rFonts w:hint="eastAsia" w:ascii="仿宋" w:hAnsi="仿宋" w:eastAsia="仿宋" w:cs="仿宋"/>
                <w:color w:val="auto"/>
                <w:sz w:val="24"/>
                <w:szCs w:val="24"/>
                <w:highlight w:val="none"/>
              </w:rPr>
            </w:pPr>
          </w:p>
        </w:tc>
        <w:tc>
          <w:tcPr>
            <w:tcW w:w="5180" w:type="dxa"/>
            <w:vMerge w:val="continue"/>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jc w:val="center"/>
              <w:textAlignment w:val="auto"/>
              <w:rPr>
                <w:rFonts w:hint="eastAsia" w:ascii="仿宋" w:hAnsi="仿宋" w:eastAsia="仿宋" w:cs="仿宋"/>
                <w:color w:val="auto"/>
                <w:sz w:val="24"/>
                <w:szCs w:val="24"/>
                <w:highlight w:val="none"/>
              </w:rPr>
            </w:pPr>
          </w:p>
        </w:tc>
      </w:tr>
      <w:tr>
        <w:tblPrEx>
          <w:tblLayout w:type="fixed"/>
          <w:tblCellMar>
            <w:top w:w="0" w:type="dxa"/>
            <w:left w:w="108" w:type="dxa"/>
            <w:bottom w:w="0" w:type="dxa"/>
            <w:right w:w="108" w:type="dxa"/>
          </w:tblCellMar>
        </w:tblPrEx>
        <w:trPr>
          <w:cantSplit/>
          <w:trHeight w:val="485" w:hRule="atLeast"/>
        </w:trPr>
        <w:tc>
          <w:tcPr>
            <w:tcW w:w="2554"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职称</w:t>
            </w:r>
          </w:p>
        </w:tc>
        <w:tc>
          <w:tcPr>
            <w:tcW w:w="1787" w:type="dxa"/>
            <w:tcBorders>
              <w:top w:val="single" w:color="auto" w:sz="6" w:space="0"/>
              <w:left w:val="single" w:color="auto" w:sz="6" w:space="0"/>
              <w:bottom w:val="single" w:color="auto" w:sz="6"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jc w:val="center"/>
              <w:textAlignment w:val="auto"/>
              <w:rPr>
                <w:rFonts w:hint="eastAsia" w:ascii="仿宋" w:hAnsi="仿宋" w:eastAsia="仿宋" w:cs="仿宋"/>
                <w:color w:val="auto"/>
                <w:sz w:val="24"/>
                <w:szCs w:val="24"/>
                <w:highlight w:val="none"/>
              </w:rPr>
            </w:pPr>
          </w:p>
        </w:tc>
        <w:tc>
          <w:tcPr>
            <w:tcW w:w="5180" w:type="dxa"/>
            <w:vMerge w:val="continue"/>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jc w:val="center"/>
              <w:textAlignment w:val="auto"/>
              <w:rPr>
                <w:rFonts w:hint="eastAsia" w:ascii="仿宋" w:hAnsi="仿宋" w:eastAsia="仿宋" w:cs="仿宋"/>
                <w:color w:val="auto"/>
                <w:sz w:val="24"/>
                <w:szCs w:val="24"/>
                <w:highlight w:val="none"/>
              </w:rPr>
            </w:pPr>
          </w:p>
        </w:tc>
      </w:tr>
      <w:tr>
        <w:tblPrEx>
          <w:tblLayout w:type="fixed"/>
          <w:tblCellMar>
            <w:top w:w="0" w:type="dxa"/>
            <w:left w:w="108" w:type="dxa"/>
            <w:bottom w:w="0" w:type="dxa"/>
            <w:right w:w="108" w:type="dxa"/>
          </w:tblCellMar>
        </w:tblPrEx>
        <w:trPr>
          <w:cantSplit/>
          <w:trHeight w:val="519" w:hRule="atLeast"/>
        </w:trPr>
        <w:tc>
          <w:tcPr>
            <w:tcW w:w="2554"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毕业时间</w:t>
            </w:r>
          </w:p>
        </w:tc>
        <w:tc>
          <w:tcPr>
            <w:tcW w:w="1787" w:type="dxa"/>
            <w:tcBorders>
              <w:top w:val="single" w:color="auto" w:sz="6" w:space="0"/>
              <w:left w:val="single" w:color="auto" w:sz="6" w:space="0"/>
              <w:bottom w:val="single" w:color="auto" w:sz="6"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jc w:val="center"/>
              <w:textAlignment w:val="auto"/>
              <w:rPr>
                <w:rFonts w:hint="eastAsia" w:ascii="仿宋" w:hAnsi="仿宋" w:eastAsia="仿宋" w:cs="仿宋"/>
                <w:color w:val="auto"/>
                <w:sz w:val="24"/>
                <w:szCs w:val="24"/>
                <w:highlight w:val="none"/>
              </w:rPr>
            </w:pPr>
          </w:p>
        </w:tc>
        <w:tc>
          <w:tcPr>
            <w:tcW w:w="5180" w:type="dxa"/>
            <w:vMerge w:val="continue"/>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jc w:val="center"/>
              <w:textAlignment w:val="auto"/>
              <w:rPr>
                <w:rFonts w:hint="eastAsia" w:ascii="仿宋" w:hAnsi="仿宋" w:eastAsia="仿宋" w:cs="仿宋"/>
                <w:color w:val="auto"/>
                <w:sz w:val="24"/>
                <w:szCs w:val="24"/>
                <w:highlight w:val="none"/>
              </w:rPr>
            </w:pPr>
          </w:p>
        </w:tc>
      </w:tr>
      <w:tr>
        <w:tblPrEx>
          <w:tblLayout w:type="fixed"/>
          <w:tblCellMar>
            <w:top w:w="0" w:type="dxa"/>
            <w:left w:w="108" w:type="dxa"/>
            <w:bottom w:w="0" w:type="dxa"/>
            <w:right w:w="108" w:type="dxa"/>
          </w:tblCellMar>
        </w:tblPrEx>
        <w:trPr>
          <w:cantSplit/>
          <w:trHeight w:val="517" w:hRule="atLeast"/>
        </w:trPr>
        <w:tc>
          <w:tcPr>
            <w:tcW w:w="2554"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所学专业</w:t>
            </w:r>
          </w:p>
        </w:tc>
        <w:tc>
          <w:tcPr>
            <w:tcW w:w="1787" w:type="dxa"/>
            <w:tcBorders>
              <w:top w:val="single" w:color="auto" w:sz="6" w:space="0"/>
              <w:left w:val="single" w:color="auto" w:sz="6" w:space="0"/>
              <w:bottom w:val="single" w:color="auto" w:sz="6"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jc w:val="center"/>
              <w:textAlignment w:val="auto"/>
              <w:rPr>
                <w:rFonts w:hint="eastAsia" w:ascii="仿宋" w:hAnsi="仿宋" w:eastAsia="仿宋" w:cs="仿宋"/>
                <w:color w:val="auto"/>
                <w:sz w:val="24"/>
                <w:szCs w:val="24"/>
                <w:highlight w:val="none"/>
              </w:rPr>
            </w:pPr>
          </w:p>
        </w:tc>
        <w:tc>
          <w:tcPr>
            <w:tcW w:w="5180" w:type="dxa"/>
            <w:vMerge w:val="continue"/>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jc w:val="center"/>
              <w:textAlignment w:val="auto"/>
              <w:rPr>
                <w:rFonts w:hint="eastAsia" w:ascii="仿宋" w:hAnsi="仿宋" w:eastAsia="仿宋" w:cs="仿宋"/>
                <w:color w:val="auto"/>
                <w:sz w:val="24"/>
                <w:szCs w:val="24"/>
                <w:highlight w:val="none"/>
              </w:rPr>
            </w:pPr>
          </w:p>
        </w:tc>
      </w:tr>
      <w:tr>
        <w:tblPrEx>
          <w:tblLayout w:type="fixed"/>
          <w:tblCellMar>
            <w:top w:w="0" w:type="dxa"/>
            <w:left w:w="108" w:type="dxa"/>
            <w:bottom w:w="0" w:type="dxa"/>
            <w:right w:w="108" w:type="dxa"/>
          </w:tblCellMar>
        </w:tblPrEx>
        <w:trPr>
          <w:cantSplit/>
          <w:trHeight w:val="488" w:hRule="atLeast"/>
        </w:trPr>
        <w:tc>
          <w:tcPr>
            <w:tcW w:w="2554"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学历</w:t>
            </w:r>
          </w:p>
        </w:tc>
        <w:tc>
          <w:tcPr>
            <w:tcW w:w="1787" w:type="dxa"/>
            <w:tcBorders>
              <w:top w:val="single" w:color="auto" w:sz="6" w:space="0"/>
              <w:left w:val="single" w:color="auto" w:sz="6" w:space="0"/>
              <w:bottom w:val="single" w:color="auto" w:sz="6"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jc w:val="center"/>
              <w:textAlignment w:val="auto"/>
              <w:rPr>
                <w:rFonts w:hint="eastAsia" w:ascii="仿宋" w:hAnsi="仿宋" w:eastAsia="仿宋" w:cs="仿宋"/>
                <w:color w:val="auto"/>
                <w:sz w:val="24"/>
                <w:szCs w:val="24"/>
                <w:highlight w:val="none"/>
              </w:rPr>
            </w:pPr>
          </w:p>
        </w:tc>
        <w:tc>
          <w:tcPr>
            <w:tcW w:w="5180" w:type="dxa"/>
            <w:vMerge w:val="continue"/>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jc w:val="center"/>
              <w:textAlignment w:val="auto"/>
              <w:rPr>
                <w:rFonts w:hint="eastAsia" w:ascii="仿宋" w:hAnsi="仿宋" w:eastAsia="仿宋" w:cs="仿宋"/>
                <w:color w:val="auto"/>
                <w:sz w:val="24"/>
                <w:szCs w:val="24"/>
                <w:highlight w:val="none"/>
              </w:rPr>
            </w:pPr>
          </w:p>
        </w:tc>
      </w:tr>
      <w:tr>
        <w:tblPrEx>
          <w:tblLayout w:type="fixed"/>
          <w:tblCellMar>
            <w:top w:w="0" w:type="dxa"/>
            <w:left w:w="108" w:type="dxa"/>
            <w:bottom w:w="0" w:type="dxa"/>
            <w:right w:w="108" w:type="dxa"/>
          </w:tblCellMar>
        </w:tblPrEx>
        <w:trPr>
          <w:cantSplit/>
          <w:trHeight w:val="533" w:hRule="atLeast"/>
        </w:trPr>
        <w:tc>
          <w:tcPr>
            <w:tcW w:w="2554"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资质证书</w:t>
            </w:r>
          </w:p>
        </w:tc>
        <w:tc>
          <w:tcPr>
            <w:tcW w:w="1787" w:type="dxa"/>
            <w:tcBorders>
              <w:top w:val="single" w:color="auto" w:sz="6" w:space="0"/>
              <w:left w:val="single" w:color="auto" w:sz="6" w:space="0"/>
              <w:bottom w:val="single" w:color="auto" w:sz="6"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jc w:val="center"/>
              <w:textAlignment w:val="auto"/>
              <w:rPr>
                <w:rFonts w:hint="eastAsia" w:ascii="仿宋" w:hAnsi="仿宋" w:eastAsia="仿宋" w:cs="仿宋"/>
                <w:color w:val="auto"/>
                <w:sz w:val="24"/>
                <w:szCs w:val="24"/>
                <w:highlight w:val="none"/>
              </w:rPr>
            </w:pPr>
          </w:p>
        </w:tc>
        <w:tc>
          <w:tcPr>
            <w:tcW w:w="5180" w:type="dxa"/>
            <w:vMerge w:val="continue"/>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jc w:val="center"/>
              <w:textAlignment w:val="auto"/>
              <w:rPr>
                <w:rFonts w:hint="eastAsia" w:ascii="仿宋" w:hAnsi="仿宋" w:eastAsia="仿宋" w:cs="仿宋"/>
                <w:color w:val="auto"/>
                <w:sz w:val="24"/>
                <w:szCs w:val="24"/>
                <w:highlight w:val="none"/>
              </w:rPr>
            </w:pPr>
          </w:p>
        </w:tc>
      </w:tr>
      <w:tr>
        <w:tblPrEx>
          <w:tblLayout w:type="fixed"/>
          <w:tblCellMar>
            <w:top w:w="0" w:type="dxa"/>
            <w:left w:w="108" w:type="dxa"/>
            <w:bottom w:w="0" w:type="dxa"/>
            <w:right w:w="108" w:type="dxa"/>
          </w:tblCellMar>
        </w:tblPrEx>
        <w:trPr>
          <w:cantSplit/>
          <w:trHeight w:val="520" w:hRule="atLeast"/>
        </w:trPr>
        <w:tc>
          <w:tcPr>
            <w:tcW w:w="2554"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其他资质情况</w:t>
            </w:r>
          </w:p>
        </w:tc>
        <w:tc>
          <w:tcPr>
            <w:tcW w:w="1787" w:type="dxa"/>
            <w:tcBorders>
              <w:top w:val="single" w:color="auto" w:sz="6" w:space="0"/>
              <w:left w:val="single" w:color="auto" w:sz="6" w:space="0"/>
              <w:bottom w:val="single" w:color="auto" w:sz="6"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jc w:val="center"/>
              <w:textAlignment w:val="auto"/>
              <w:rPr>
                <w:rFonts w:hint="eastAsia" w:ascii="仿宋" w:hAnsi="仿宋" w:eastAsia="仿宋" w:cs="仿宋"/>
                <w:color w:val="auto"/>
                <w:sz w:val="24"/>
                <w:szCs w:val="24"/>
                <w:highlight w:val="none"/>
              </w:rPr>
            </w:pPr>
          </w:p>
        </w:tc>
        <w:tc>
          <w:tcPr>
            <w:tcW w:w="5180" w:type="dxa"/>
            <w:vMerge w:val="continue"/>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jc w:val="center"/>
              <w:textAlignment w:val="auto"/>
              <w:rPr>
                <w:rFonts w:hint="eastAsia" w:ascii="仿宋" w:hAnsi="仿宋" w:eastAsia="仿宋" w:cs="仿宋"/>
                <w:color w:val="auto"/>
                <w:sz w:val="24"/>
                <w:szCs w:val="24"/>
                <w:highlight w:val="none"/>
              </w:rPr>
            </w:pPr>
          </w:p>
        </w:tc>
      </w:tr>
      <w:tr>
        <w:tblPrEx>
          <w:tblLayout w:type="fixed"/>
          <w:tblCellMar>
            <w:top w:w="0" w:type="dxa"/>
            <w:left w:w="108" w:type="dxa"/>
            <w:bottom w:w="0" w:type="dxa"/>
            <w:right w:w="108" w:type="dxa"/>
          </w:tblCellMar>
        </w:tblPrEx>
        <w:trPr>
          <w:cantSplit/>
          <w:trHeight w:val="560" w:hRule="atLeast"/>
        </w:trPr>
        <w:tc>
          <w:tcPr>
            <w:tcW w:w="2554"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联系电话</w:t>
            </w:r>
          </w:p>
        </w:tc>
        <w:tc>
          <w:tcPr>
            <w:tcW w:w="1787" w:type="dxa"/>
            <w:tcBorders>
              <w:top w:val="single" w:color="auto" w:sz="6" w:space="0"/>
              <w:left w:val="single" w:color="auto" w:sz="6" w:space="0"/>
              <w:bottom w:val="single" w:color="auto" w:sz="6"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jc w:val="center"/>
              <w:textAlignment w:val="auto"/>
              <w:rPr>
                <w:rFonts w:hint="eastAsia" w:ascii="仿宋" w:hAnsi="仿宋" w:eastAsia="仿宋" w:cs="仿宋"/>
                <w:color w:val="auto"/>
                <w:sz w:val="24"/>
                <w:szCs w:val="24"/>
                <w:highlight w:val="none"/>
              </w:rPr>
            </w:pPr>
          </w:p>
        </w:tc>
        <w:tc>
          <w:tcPr>
            <w:tcW w:w="5180" w:type="dxa"/>
            <w:vMerge w:val="continue"/>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jc w:val="center"/>
              <w:textAlignment w:val="auto"/>
              <w:rPr>
                <w:rFonts w:hint="eastAsia" w:ascii="仿宋" w:hAnsi="仿宋" w:eastAsia="仿宋" w:cs="仿宋"/>
                <w:color w:val="auto"/>
                <w:sz w:val="24"/>
                <w:szCs w:val="24"/>
                <w:highlight w:val="none"/>
              </w:rPr>
            </w:pPr>
          </w:p>
        </w:tc>
      </w:tr>
    </w:tbl>
    <w:p>
      <w:pPr>
        <w:keepLines w:val="0"/>
        <w:pageBreakBefore w:val="0"/>
        <w:widowControl w:val="0"/>
        <w:kinsoku/>
        <w:wordWrap/>
        <w:overflowPunct/>
        <w:topLinePunct w:val="0"/>
        <w:autoSpaceDE w:val="0"/>
        <w:autoSpaceDN w:val="0"/>
        <w:bidi w:val="0"/>
        <w:adjustRightInd/>
        <w:snapToGrid/>
        <w:spacing w:line="40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注：随表提交相</w:t>
      </w:r>
      <w:r>
        <w:rPr>
          <w:rFonts w:hint="eastAsia" w:ascii="仿宋" w:hAnsi="仿宋" w:eastAsia="仿宋" w:cs="仿宋"/>
          <w:b/>
          <w:color w:val="auto"/>
          <w:sz w:val="24"/>
          <w:szCs w:val="24"/>
          <w:highlight w:val="none"/>
          <w:lang w:eastAsia="zh-CN"/>
        </w:rPr>
        <w:t>关证明材料。</w:t>
      </w:r>
    </w:p>
    <w:p>
      <w:pPr>
        <w:keepLines w:val="0"/>
        <w:pageBreakBefore w:val="0"/>
        <w:widowControl w:val="0"/>
        <w:kinsoku/>
        <w:wordWrap/>
        <w:overflowPunct/>
        <w:topLinePunct w:val="0"/>
        <w:autoSpaceDE w:val="0"/>
        <w:autoSpaceDN w:val="0"/>
        <w:bidi w:val="0"/>
        <w:adjustRightInd/>
        <w:snapToGrid/>
        <w:spacing w:line="400" w:lineRule="exact"/>
        <w:textAlignment w:val="auto"/>
        <w:rPr>
          <w:rFonts w:hint="eastAsia" w:ascii="仿宋" w:hAnsi="仿宋" w:eastAsia="仿宋" w:cs="仿宋"/>
          <w:b/>
          <w:color w:val="auto"/>
          <w:sz w:val="24"/>
          <w:szCs w:val="24"/>
          <w:highlight w:val="none"/>
        </w:rPr>
      </w:pPr>
    </w:p>
    <w:p>
      <w:pPr>
        <w:keepLines w:val="0"/>
        <w:pageBreakBefore w:val="0"/>
        <w:widowControl w:val="0"/>
        <w:kinsoku/>
        <w:wordWrap/>
        <w:overflowPunct/>
        <w:topLinePunct w:val="0"/>
        <w:autoSpaceDE w:val="0"/>
        <w:autoSpaceDN w:val="0"/>
        <w:bidi w:val="0"/>
        <w:adjustRightInd/>
        <w:snapToGrid/>
        <w:spacing w:line="40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B：</w:t>
      </w:r>
      <w:r>
        <w:rPr>
          <w:rFonts w:hint="eastAsia" w:ascii="仿宋" w:hAnsi="仿宋" w:eastAsia="仿宋" w:cs="仿宋"/>
          <w:b/>
          <w:color w:val="auto"/>
          <w:sz w:val="24"/>
          <w:szCs w:val="24"/>
          <w:highlight w:val="none"/>
        </w:rPr>
        <w:t>本项目的项目小组人员情况表</w:t>
      </w:r>
      <w:r>
        <w:rPr>
          <w:rFonts w:hint="eastAsia" w:ascii="仿宋" w:hAnsi="仿宋" w:eastAsia="仿宋" w:cs="仿宋"/>
          <w:color w:val="auto"/>
          <w:sz w:val="24"/>
          <w:szCs w:val="24"/>
          <w:highlight w:val="none"/>
        </w:rPr>
        <w:t>（按此格式自制）</w:t>
      </w:r>
    </w:p>
    <w:tbl>
      <w:tblPr>
        <w:tblStyle w:val="82"/>
        <w:tblW w:w="9546" w:type="dxa"/>
        <w:tblInd w:w="7" w:type="dxa"/>
        <w:tblLayout w:type="fixed"/>
        <w:tblCellMar>
          <w:top w:w="0" w:type="dxa"/>
          <w:left w:w="108" w:type="dxa"/>
          <w:bottom w:w="0" w:type="dxa"/>
          <w:right w:w="108" w:type="dxa"/>
        </w:tblCellMar>
      </w:tblPr>
      <w:tblGrid>
        <w:gridCol w:w="609"/>
        <w:gridCol w:w="862"/>
        <w:gridCol w:w="725"/>
        <w:gridCol w:w="638"/>
        <w:gridCol w:w="1000"/>
        <w:gridCol w:w="875"/>
        <w:gridCol w:w="1076"/>
        <w:gridCol w:w="1186"/>
        <w:gridCol w:w="1200"/>
        <w:gridCol w:w="1375"/>
      </w:tblGrid>
      <w:tr>
        <w:tblPrEx>
          <w:tblLayout w:type="fixed"/>
          <w:tblCellMar>
            <w:top w:w="0" w:type="dxa"/>
            <w:left w:w="108" w:type="dxa"/>
            <w:bottom w:w="0" w:type="dxa"/>
            <w:right w:w="108" w:type="dxa"/>
          </w:tblCellMar>
        </w:tblPrEx>
        <w:trPr>
          <w:trHeight w:val="910" w:hRule="atLeast"/>
        </w:trPr>
        <w:tc>
          <w:tcPr>
            <w:tcW w:w="609"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86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姓名</w:t>
            </w:r>
          </w:p>
        </w:tc>
        <w:tc>
          <w:tcPr>
            <w:tcW w:w="725"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性别</w:t>
            </w:r>
          </w:p>
        </w:tc>
        <w:tc>
          <w:tcPr>
            <w:tcW w:w="638"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年龄</w:t>
            </w:r>
          </w:p>
        </w:tc>
        <w:tc>
          <w:tcPr>
            <w:tcW w:w="100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学历</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(页码)</w:t>
            </w:r>
          </w:p>
        </w:tc>
        <w:tc>
          <w:tcPr>
            <w:tcW w:w="875"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专业</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(页码)</w:t>
            </w:r>
          </w:p>
        </w:tc>
        <w:tc>
          <w:tcPr>
            <w:tcW w:w="1076"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职称</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(页码)</w:t>
            </w:r>
          </w:p>
        </w:tc>
        <w:tc>
          <w:tcPr>
            <w:tcW w:w="1186"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本项目中的职责</w:t>
            </w:r>
          </w:p>
        </w:tc>
        <w:tc>
          <w:tcPr>
            <w:tcW w:w="120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项目经历</w:t>
            </w:r>
          </w:p>
        </w:tc>
        <w:tc>
          <w:tcPr>
            <w:tcW w:w="1375"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参与本项目的到位情况</w:t>
            </w:r>
          </w:p>
        </w:tc>
      </w:tr>
      <w:tr>
        <w:tblPrEx>
          <w:tblLayout w:type="fixed"/>
          <w:tblCellMar>
            <w:top w:w="0" w:type="dxa"/>
            <w:left w:w="108" w:type="dxa"/>
            <w:bottom w:w="0" w:type="dxa"/>
            <w:right w:w="108" w:type="dxa"/>
          </w:tblCellMar>
        </w:tblPrEx>
        <w:trPr>
          <w:trHeight w:val="639" w:hRule="atLeast"/>
        </w:trPr>
        <w:tc>
          <w:tcPr>
            <w:tcW w:w="609" w:type="dxa"/>
            <w:tcBorders>
              <w:top w:val="single" w:color="auto" w:sz="6" w:space="0"/>
              <w:left w:val="single" w:color="auto" w:sz="6" w:space="0"/>
              <w:bottom w:val="single" w:color="auto" w:sz="6" w:space="0"/>
              <w:right w:val="single" w:color="auto" w:sz="6"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jc w:val="center"/>
              <w:textAlignment w:val="auto"/>
              <w:rPr>
                <w:rFonts w:hint="eastAsia" w:ascii="仿宋" w:hAnsi="仿宋" w:eastAsia="仿宋" w:cs="仿宋"/>
                <w:color w:val="auto"/>
                <w:sz w:val="24"/>
                <w:szCs w:val="24"/>
                <w:highlight w:val="none"/>
              </w:rPr>
            </w:pPr>
          </w:p>
        </w:tc>
        <w:tc>
          <w:tcPr>
            <w:tcW w:w="862" w:type="dxa"/>
            <w:tcBorders>
              <w:top w:val="single" w:color="auto" w:sz="6" w:space="0"/>
              <w:left w:val="single" w:color="auto" w:sz="6" w:space="0"/>
              <w:bottom w:val="single" w:color="auto" w:sz="6" w:space="0"/>
              <w:right w:val="single" w:color="auto" w:sz="6"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textAlignment w:val="auto"/>
              <w:rPr>
                <w:rFonts w:hint="eastAsia" w:ascii="仿宋" w:hAnsi="仿宋" w:eastAsia="仿宋" w:cs="仿宋"/>
                <w:color w:val="auto"/>
                <w:sz w:val="24"/>
                <w:szCs w:val="24"/>
                <w:highlight w:val="none"/>
              </w:rPr>
            </w:pPr>
          </w:p>
        </w:tc>
        <w:tc>
          <w:tcPr>
            <w:tcW w:w="725" w:type="dxa"/>
            <w:tcBorders>
              <w:top w:val="single" w:color="auto" w:sz="6" w:space="0"/>
              <w:left w:val="single" w:color="auto" w:sz="6" w:space="0"/>
              <w:bottom w:val="single" w:color="auto" w:sz="6" w:space="0"/>
              <w:right w:val="single" w:color="auto" w:sz="6"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textAlignment w:val="auto"/>
              <w:rPr>
                <w:rFonts w:hint="eastAsia" w:ascii="仿宋" w:hAnsi="仿宋" w:eastAsia="仿宋" w:cs="仿宋"/>
                <w:color w:val="auto"/>
                <w:sz w:val="24"/>
                <w:szCs w:val="24"/>
                <w:highlight w:val="none"/>
              </w:rPr>
            </w:pPr>
          </w:p>
        </w:tc>
        <w:tc>
          <w:tcPr>
            <w:tcW w:w="638" w:type="dxa"/>
            <w:tcBorders>
              <w:top w:val="single" w:color="auto" w:sz="6" w:space="0"/>
              <w:left w:val="single" w:color="auto" w:sz="6" w:space="0"/>
              <w:bottom w:val="single" w:color="auto" w:sz="6" w:space="0"/>
              <w:right w:val="single" w:color="auto" w:sz="6"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textAlignment w:val="auto"/>
              <w:rPr>
                <w:rFonts w:hint="eastAsia" w:ascii="仿宋" w:hAnsi="仿宋" w:eastAsia="仿宋" w:cs="仿宋"/>
                <w:color w:val="auto"/>
                <w:sz w:val="24"/>
                <w:szCs w:val="24"/>
                <w:highlight w:val="none"/>
              </w:rPr>
            </w:pPr>
          </w:p>
        </w:tc>
        <w:tc>
          <w:tcPr>
            <w:tcW w:w="1000" w:type="dxa"/>
            <w:tcBorders>
              <w:top w:val="single" w:color="auto" w:sz="6" w:space="0"/>
              <w:left w:val="single" w:color="auto" w:sz="6" w:space="0"/>
              <w:bottom w:val="single" w:color="auto" w:sz="6" w:space="0"/>
              <w:right w:val="single" w:color="auto" w:sz="6"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textAlignment w:val="auto"/>
              <w:rPr>
                <w:rFonts w:hint="eastAsia" w:ascii="仿宋" w:hAnsi="仿宋" w:eastAsia="仿宋" w:cs="仿宋"/>
                <w:color w:val="auto"/>
                <w:sz w:val="24"/>
                <w:szCs w:val="24"/>
                <w:highlight w:val="none"/>
              </w:rPr>
            </w:pPr>
          </w:p>
        </w:tc>
        <w:tc>
          <w:tcPr>
            <w:tcW w:w="875" w:type="dxa"/>
            <w:tcBorders>
              <w:top w:val="single" w:color="auto" w:sz="6" w:space="0"/>
              <w:left w:val="single" w:color="auto" w:sz="6" w:space="0"/>
              <w:bottom w:val="single" w:color="auto" w:sz="6" w:space="0"/>
              <w:right w:val="single" w:color="auto" w:sz="6"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textAlignment w:val="auto"/>
              <w:rPr>
                <w:rFonts w:hint="eastAsia" w:ascii="仿宋" w:hAnsi="仿宋" w:eastAsia="仿宋" w:cs="仿宋"/>
                <w:color w:val="auto"/>
                <w:sz w:val="24"/>
                <w:szCs w:val="24"/>
                <w:highlight w:val="none"/>
              </w:rPr>
            </w:pPr>
          </w:p>
        </w:tc>
        <w:tc>
          <w:tcPr>
            <w:tcW w:w="1076" w:type="dxa"/>
            <w:tcBorders>
              <w:top w:val="single" w:color="auto" w:sz="6" w:space="0"/>
              <w:left w:val="single" w:color="auto" w:sz="6" w:space="0"/>
              <w:bottom w:val="single" w:color="auto" w:sz="6" w:space="0"/>
              <w:right w:val="single" w:color="auto" w:sz="6"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textAlignment w:val="auto"/>
              <w:rPr>
                <w:rFonts w:hint="eastAsia" w:ascii="仿宋" w:hAnsi="仿宋" w:eastAsia="仿宋" w:cs="仿宋"/>
                <w:color w:val="auto"/>
                <w:sz w:val="24"/>
                <w:szCs w:val="24"/>
                <w:highlight w:val="none"/>
              </w:rPr>
            </w:pPr>
          </w:p>
        </w:tc>
        <w:tc>
          <w:tcPr>
            <w:tcW w:w="1186" w:type="dxa"/>
            <w:tcBorders>
              <w:top w:val="single" w:color="auto" w:sz="6" w:space="0"/>
              <w:left w:val="single" w:color="auto" w:sz="6" w:space="0"/>
              <w:bottom w:val="single" w:color="auto" w:sz="6" w:space="0"/>
              <w:right w:val="single" w:color="auto" w:sz="6"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textAlignment w:val="auto"/>
              <w:rPr>
                <w:rFonts w:hint="eastAsia" w:ascii="仿宋" w:hAnsi="仿宋" w:eastAsia="仿宋" w:cs="仿宋"/>
                <w:color w:val="auto"/>
                <w:sz w:val="24"/>
                <w:szCs w:val="24"/>
                <w:highlight w:val="none"/>
              </w:rPr>
            </w:pPr>
          </w:p>
        </w:tc>
        <w:tc>
          <w:tcPr>
            <w:tcW w:w="1200" w:type="dxa"/>
            <w:tcBorders>
              <w:top w:val="single" w:color="auto" w:sz="6" w:space="0"/>
              <w:left w:val="single" w:color="auto" w:sz="6" w:space="0"/>
              <w:bottom w:val="single" w:color="auto" w:sz="6" w:space="0"/>
              <w:right w:val="single" w:color="auto" w:sz="6"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textAlignment w:val="auto"/>
              <w:rPr>
                <w:rFonts w:hint="eastAsia" w:ascii="仿宋" w:hAnsi="仿宋" w:eastAsia="仿宋" w:cs="仿宋"/>
                <w:color w:val="auto"/>
                <w:sz w:val="24"/>
                <w:szCs w:val="24"/>
                <w:highlight w:val="none"/>
              </w:rPr>
            </w:pPr>
          </w:p>
        </w:tc>
        <w:tc>
          <w:tcPr>
            <w:tcW w:w="1375" w:type="dxa"/>
            <w:tcBorders>
              <w:top w:val="single" w:color="auto" w:sz="6" w:space="0"/>
              <w:left w:val="single" w:color="auto" w:sz="6" w:space="0"/>
              <w:bottom w:val="single" w:color="auto" w:sz="6" w:space="0"/>
              <w:right w:val="single" w:color="auto" w:sz="6"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textAlignment w:val="auto"/>
              <w:rPr>
                <w:rFonts w:hint="eastAsia" w:ascii="仿宋" w:hAnsi="仿宋" w:eastAsia="仿宋" w:cs="仿宋"/>
                <w:color w:val="auto"/>
                <w:sz w:val="24"/>
                <w:szCs w:val="24"/>
                <w:highlight w:val="none"/>
              </w:rPr>
            </w:pPr>
          </w:p>
        </w:tc>
      </w:tr>
      <w:tr>
        <w:tblPrEx>
          <w:tblLayout w:type="fixed"/>
          <w:tblCellMar>
            <w:top w:w="0" w:type="dxa"/>
            <w:left w:w="108" w:type="dxa"/>
            <w:bottom w:w="0" w:type="dxa"/>
            <w:right w:w="108" w:type="dxa"/>
          </w:tblCellMar>
        </w:tblPrEx>
        <w:trPr>
          <w:trHeight w:val="621" w:hRule="atLeast"/>
        </w:trPr>
        <w:tc>
          <w:tcPr>
            <w:tcW w:w="609" w:type="dxa"/>
            <w:tcBorders>
              <w:top w:val="single" w:color="auto" w:sz="6" w:space="0"/>
              <w:left w:val="single" w:color="auto" w:sz="6" w:space="0"/>
              <w:bottom w:val="single" w:color="auto" w:sz="6" w:space="0"/>
              <w:right w:val="single" w:color="auto" w:sz="6"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jc w:val="center"/>
              <w:textAlignment w:val="auto"/>
              <w:rPr>
                <w:rFonts w:hint="eastAsia" w:ascii="仿宋" w:hAnsi="仿宋" w:eastAsia="仿宋" w:cs="仿宋"/>
                <w:color w:val="auto"/>
                <w:sz w:val="24"/>
                <w:szCs w:val="24"/>
                <w:highlight w:val="none"/>
              </w:rPr>
            </w:pPr>
          </w:p>
        </w:tc>
        <w:tc>
          <w:tcPr>
            <w:tcW w:w="862" w:type="dxa"/>
            <w:tcBorders>
              <w:top w:val="single" w:color="auto" w:sz="6" w:space="0"/>
              <w:left w:val="single" w:color="auto" w:sz="6" w:space="0"/>
              <w:bottom w:val="single" w:color="auto" w:sz="6" w:space="0"/>
              <w:right w:val="single" w:color="auto" w:sz="6"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textAlignment w:val="auto"/>
              <w:rPr>
                <w:rFonts w:hint="eastAsia" w:ascii="仿宋" w:hAnsi="仿宋" w:eastAsia="仿宋" w:cs="仿宋"/>
                <w:color w:val="auto"/>
                <w:sz w:val="24"/>
                <w:szCs w:val="24"/>
                <w:highlight w:val="none"/>
              </w:rPr>
            </w:pPr>
          </w:p>
        </w:tc>
        <w:tc>
          <w:tcPr>
            <w:tcW w:w="725" w:type="dxa"/>
            <w:tcBorders>
              <w:top w:val="single" w:color="auto" w:sz="6" w:space="0"/>
              <w:left w:val="single" w:color="auto" w:sz="6" w:space="0"/>
              <w:bottom w:val="single" w:color="auto" w:sz="6" w:space="0"/>
              <w:right w:val="single" w:color="auto" w:sz="6"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textAlignment w:val="auto"/>
              <w:rPr>
                <w:rFonts w:hint="eastAsia" w:ascii="仿宋" w:hAnsi="仿宋" w:eastAsia="仿宋" w:cs="仿宋"/>
                <w:color w:val="auto"/>
                <w:sz w:val="24"/>
                <w:szCs w:val="24"/>
                <w:highlight w:val="none"/>
              </w:rPr>
            </w:pPr>
          </w:p>
        </w:tc>
        <w:tc>
          <w:tcPr>
            <w:tcW w:w="638" w:type="dxa"/>
            <w:tcBorders>
              <w:top w:val="single" w:color="auto" w:sz="6" w:space="0"/>
              <w:left w:val="single" w:color="auto" w:sz="6" w:space="0"/>
              <w:bottom w:val="single" w:color="auto" w:sz="6" w:space="0"/>
              <w:right w:val="single" w:color="auto" w:sz="6"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textAlignment w:val="auto"/>
              <w:rPr>
                <w:rFonts w:hint="eastAsia" w:ascii="仿宋" w:hAnsi="仿宋" w:eastAsia="仿宋" w:cs="仿宋"/>
                <w:color w:val="auto"/>
                <w:sz w:val="24"/>
                <w:szCs w:val="24"/>
                <w:highlight w:val="none"/>
              </w:rPr>
            </w:pPr>
          </w:p>
        </w:tc>
        <w:tc>
          <w:tcPr>
            <w:tcW w:w="1000" w:type="dxa"/>
            <w:tcBorders>
              <w:top w:val="single" w:color="auto" w:sz="6" w:space="0"/>
              <w:left w:val="single" w:color="auto" w:sz="6" w:space="0"/>
              <w:bottom w:val="single" w:color="auto" w:sz="6" w:space="0"/>
              <w:right w:val="single" w:color="auto" w:sz="6"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textAlignment w:val="auto"/>
              <w:rPr>
                <w:rFonts w:hint="eastAsia" w:ascii="仿宋" w:hAnsi="仿宋" w:eastAsia="仿宋" w:cs="仿宋"/>
                <w:color w:val="auto"/>
                <w:sz w:val="24"/>
                <w:szCs w:val="24"/>
                <w:highlight w:val="none"/>
              </w:rPr>
            </w:pPr>
          </w:p>
        </w:tc>
        <w:tc>
          <w:tcPr>
            <w:tcW w:w="875" w:type="dxa"/>
            <w:tcBorders>
              <w:top w:val="single" w:color="auto" w:sz="6" w:space="0"/>
              <w:left w:val="single" w:color="auto" w:sz="6" w:space="0"/>
              <w:bottom w:val="single" w:color="auto" w:sz="6" w:space="0"/>
              <w:right w:val="single" w:color="auto" w:sz="6"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textAlignment w:val="auto"/>
              <w:rPr>
                <w:rFonts w:hint="eastAsia" w:ascii="仿宋" w:hAnsi="仿宋" w:eastAsia="仿宋" w:cs="仿宋"/>
                <w:color w:val="auto"/>
                <w:sz w:val="24"/>
                <w:szCs w:val="24"/>
                <w:highlight w:val="none"/>
              </w:rPr>
            </w:pPr>
          </w:p>
        </w:tc>
        <w:tc>
          <w:tcPr>
            <w:tcW w:w="1076" w:type="dxa"/>
            <w:tcBorders>
              <w:top w:val="single" w:color="auto" w:sz="6" w:space="0"/>
              <w:left w:val="single" w:color="auto" w:sz="6" w:space="0"/>
              <w:bottom w:val="single" w:color="auto" w:sz="6" w:space="0"/>
              <w:right w:val="single" w:color="auto" w:sz="6"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textAlignment w:val="auto"/>
              <w:rPr>
                <w:rFonts w:hint="eastAsia" w:ascii="仿宋" w:hAnsi="仿宋" w:eastAsia="仿宋" w:cs="仿宋"/>
                <w:color w:val="auto"/>
                <w:sz w:val="24"/>
                <w:szCs w:val="24"/>
                <w:highlight w:val="none"/>
              </w:rPr>
            </w:pPr>
          </w:p>
        </w:tc>
        <w:tc>
          <w:tcPr>
            <w:tcW w:w="1186" w:type="dxa"/>
            <w:tcBorders>
              <w:top w:val="single" w:color="auto" w:sz="6" w:space="0"/>
              <w:left w:val="single" w:color="auto" w:sz="6" w:space="0"/>
              <w:bottom w:val="single" w:color="auto" w:sz="6" w:space="0"/>
              <w:right w:val="single" w:color="auto" w:sz="6"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textAlignment w:val="auto"/>
              <w:rPr>
                <w:rFonts w:hint="eastAsia" w:ascii="仿宋" w:hAnsi="仿宋" w:eastAsia="仿宋" w:cs="仿宋"/>
                <w:color w:val="auto"/>
                <w:sz w:val="24"/>
                <w:szCs w:val="24"/>
                <w:highlight w:val="none"/>
              </w:rPr>
            </w:pPr>
          </w:p>
        </w:tc>
        <w:tc>
          <w:tcPr>
            <w:tcW w:w="1200" w:type="dxa"/>
            <w:tcBorders>
              <w:top w:val="single" w:color="auto" w:sz="6" w:space="0"/>
              <w:left w:val="single" w:color="auto" w:sz="6" w:space="0"/>
              <w:bottom w:val="single" w:color="auto" w:sz="6" w:space="0"/>
              <w:right w:val="single" w:color="auto" w:sz="6"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textAlignment w:val="auto"/>
              <w:rPr>
                <w:rFonts w:hint="eastAsia" w:ascii="仿宋" w:hAnsi="仿宋" w:eastAsia="仿宋" w:cs="仿宋"/>
                <w:color w:val="auto"/>
                <w:sz w:val="24"/>
                <w:szCs w:val="24"/>
                <w:highlight w:val="none"/>
              </w:rPr>
            </w:pPr>
          </w:p>
        </w:tc>
        <w:tc>
          <w:tcPr>
            <w:tcW w:w="1375" w:type="dxa"/>
            <w:tcBorders>
              <w:top w:val="single" w:color="auto" w:sz="6" w:space="0"/>
              <w:left w:val="single" w:color="auto" w:sz="6" w:space="0"/>
              <w:bottom w:val="single" w:color="auto" w:sz="6" w:space="0"/>
              <w:right w:val="single" w:color="auto" w:sz="6"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textAlignment w:val="auto"/>
              <w:rPr>
                <w:rFonts w:hint="eastAsia" w:ascii="仿宋" w:hAnsi="仿宋" w:eastAsia="仿宋" w:cs="仿宋"/>
                <w:color w:val="auto"/>
                <w:sz w:val="24"/>
                <w:szCs w:val="24"/>
                <w:highlight w:val="none"/>
              </w:rPr>
            </w:pPr>
          </w:p>
        </w:tc>
      </w:tr>
      <w:tr>
        <w:tblPrEx>
          <w:tblLayout w:type="fixed"/>
          <w:tblCellMar>
            <w:top w:w="0" w:type="dxa"/>
            <w:left w:w="108" w:type="dxa"/>
            <w:bottom w:w="0" w:type="dxa"/>
            <w:right w:w="108" w:type="dxa"/>
          </w:tblCellMar>
        </w:tblPrEx>
        <w:trPr>
          <w:trHeight w:val="512" w:hRule="atLeast"/>
        </w:trPr>
        <w:tc>
          <w:tcPr>
            <w:tcW w:w="609" w:type="dxa"/>
            <w:tcBorders>
              <w:top w:val="single" w:color="auto" w:sz="6" w:space="0"/>
              <w:left w:val="single" w:color="auto" w:sz="6" w:space="0"/>
              <w:bottom w:val="single" w:color="auto" w:sz="6" w:space="0"/>
              <w:right w:val="single" w:color="auto" w:sz="6"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jc w:val="center"/>
              <w:textAlignment w:val="auto"/>
              <w:rPr>
                <w:rFonts w:hint="eastAsia" w:ascii="仿宋" w:hAnsi="仿宋" w:eastAsia="仿宋" w:cs="仿宋"/>
                <w:color w:val="auto"/>
                <w:sz w:val="24"/>
                <w:szCs w:val="24"/>
                <w:highlight w:val="none"/>
              </w:rPr>
            </w:pPr>
          </w:p>
        </w:tc>
        <w:tc>
          <w:tcPr>
            <w:tcW w:w="862" w:type="dxa"/>
            <w:tcBorders>
              <w:top w:val="single" w:color="auto" w:sz="6" w:space="0"/>
              <w:left w:val="single" w:color="auto" w:sz="6" w:space="0"/>
              <w:bottom w:val="single" w:color="auto" w:sz="6" w:space="0"/>
              <w:right w:val="single" w:color="auto" w:sz="6"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textAlignment w:val="auto"/>
              <w:rPr>
                <w:rFonts w:hint="eastAsia" w:ascii="仿宋" w:hAnsi="仿宋" w:eastAsia="仿宋" w:cs="仿宋"/>
                <w:color w:val="auto"/>
                <w:sz w:val="24"/>
                <w:szCs w:val="24"/>
                <w:highlight w:val="none"/>
              </w:rPr>
            </w:pPr>
          </w:p>
        </w:tc>
        <w:tc>
          <w:tcPr>
            <w:tcW w:w="725" w:type="dxa"/>
            <w:tcBorders>
              <w:top w:val="single" w:color="auto" w:sz="6" w:space="0"/>
              <w:left w:val="single" w:color="auto" w:sz="6" w:space="0"/>
              <w:bottom w:val="single" w:color="auto" w:sz="6" w:space="0"/>
              <w:right w:val="single" w:color="auto" w:sz="6"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textAlignment w:val="auto"/>
              <w:rPr>
                <w:rFonts w:hint="eastAsia" w:ascii="仿宋" w:hAnsi="仿宋" w:eastAsia="仿宋" w:cs="仿宋"/>
                <w:color w:val="auto"/>
                <w:sz w:val="24"/>
                <w:szCs w:val="24"/>
                <w:highlight w:val="none"/>
              </w:rPr>
            </w:pPr>
          </w:p>
        </w:tc>
        <w:tc>
          <w:tcPr>
            <w:tcW w:w="638" w:type="dxa"/>
            <w:tcBorders>
              <w:top w:val="single" w:color="auto" w:sz="6" w:space="0"/>
              <w:left w:val="single" w:color="auto" w:sz="6" w:space="0"/>
              <w:bottom w:val="single" w:color="auto" w:sz="6" w:space="0"/>
              <w:right w:val="single" w:color="auto" w:sz="6"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textAlignment w:val="auto"/>
              <w:rPr>
                <w:rFonts w:hint="eastAsia" w:ascii="仿宋" w:hAnsi="仿宋" w:eastAsia="仿宋" w:cs="仿宋"/>
                <w:color w:val="auto"/>
                <w:sz w:val="24"/>
                <w:szCs w:val="24"/>
                <w:highlight w:val="none"/>
              </w:rPr>
            </w:pPr>
          </w:p>
        </w:tc>
        <w:tc>
          <w:tcPr>
            <w:tcW w:w="1000" w:type="dxa"/>
            <w:tcBorders>
              <w:top w:val="single" w:color="auto" w:sz="6" w:space="0"/>
              <w:left w:val="single" w:color="auto" w:sz="6" w:space="0"/>
              <w:bottom w:val="single" w:color="auto" w:sz="6" w:space="0"/>
              <w:right w:val="single" w:color="auto" w:sz="6"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textAlignment w:val="auto"/>
              <w:rPr>
                <w:rFonts w:hint="eastAsia" w:ascii="仿宋" w:hAnsi="仿宋" w:eastAsia="仿宋" w:cs="仿宋"/>
                <w:color w:val="auto"/>
                <w:sz w:val="24"/>
                <w:szCs w:val="24"/>
                <w:highlight w:val="none"/>
              </w:rPr>
            </w:pPr>
          </w:p>
        </w:tc>
        <w:tc>
          <w:tcPr>
            <w:tcW w:w="875" w:type="dxa"/>
            <w:tcBorders>
              <w:top w:val="single" w:color="auto" w:sz="6" w:space="0"/>
              <w:left w:val="single" w:color="auto" w:sz="6" w:space="0"/>
              <w:bottom w:val="single" w:color="auto" w:sz="6" w:space="0"/>
              <w:right w:val="single" w:color="auto" w:sz="6"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textAlignment w:val="auto"/>
              <w:rPr>
                <w:rFonts w:hint="eastAsia" w:ascii="仿宋" w:hAnsi="仿宋" w:eastAsia="仿宋" w:cs="仿宋"/>
                <w:color w:val="auto"/>
                <w:sz w:val="24"/>
                <w:szCs w:val="24"/>
                <w:highlight w:val="none"/>
              </w:rPr>
            </w:pPr>
          </w:p>
        </w:tc>
        <w:tc>
          <w:tcPr>
            <w:tcW w:w="1076" w:type="dxa"/>
            <w:tcBorders>
              <w:top w:val="single" w:color="auto" w:sz="6" w:space="0"/>
              <w:left w:val="single" w:color="auto" w:sz="6" w:space="0"/>
              <w:bottom w:val="single" w:color="auto" w:sz="6" w:space="0"/>
              <w:right w:val="single" w:color="auto" w:sz="6"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textAlignment w:val="auto"/>
              <w:rPr>
                <w:rFonts w:hint="eastAsia" w:ascii="仿宋" w:hAnsi="仿宋" w:eastAsia="仿宋" w:cs="仿宋"/>
                <w:color w:val="auto"/>
                <w:sz w:val="24"/>
                <w:szCs w:val="24"/>
                <w:highlight w:val="none"/>
              </w:rPr>
            </w:pPr>
          </w:p>
        </w:tc>
        <w:tc>
          <w:tcPr>
            <w:tcW w:w="1186" w:type="dxa"/>
            <w:tcBorders>
              <w:top w:val="single" w:color="auto" w:sz="6" w:space="0"/>
              <w:left w:val="single" w:color="auto" w:sz="6" w:space="0"/>
              <w:bottom w:val="single" w:color="auto" w:sz="6" w:space="0"/>
              <w:right w:val="single" w:color="auto" w:sz="6"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textAlignment w:val="auto"/>
              <w:rPr>
                <w:rFonts w:hint="eastAsia" w:ascii="仿宋" w:hAnsi="仿宋" w:eastAsia="仿宋" w:cs="仿宋"/>
                <w:color w:val="auto"/>
                <w:sz w:val="24"/>
                <w:szCs w:val="24"/>
                <w:highlight w:val="none"/>
              </w:rPr>
            </w:pPr>
          </w:p>
        </w:tc>
        <w:tc>
          <w:tcPr>
            <w:tcW w:w="1200" w:type="dxa"/>
            <w:tcBorders>
              <w:top w:val="single" w:color="auto" w:sz="6" w:space="0"/>
              <w:left w:val="single" w:color="auto" w:sz="6" w:space="0"/>
              <w:bottom w:val="single" w:color="auto" w:sz="6" w:space="0"/>
              <w:right w:val="single" w:color="auto" w:sz="6"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textAlignment w:val="auto"/>
              <w:rPr>
                <w:rFonts w:hint="eastAsia" w:ascii="仿宋" w:hAnsi="仿宋" w:eastAsia="仿宋" w:cs="仿宋"/>
                <w:color w:val="auto"/>
                <w:sz w:val="24"/>
                <w:szCs w:val="24"/>
                <w:highlight w:val="none"/>
              </w:rPr>
            </w:pPr>
          </w:p>
        </w:tc>
        <w:tc>
          <w:tcPr>
            <w:tcW w:w="1375" w:type="dxa"/>
            <w:tcBorders>
              <w:top w:val="single" w:color="auto" w:sz="6" w:space="0"/>
              <w:left w:val="single" w:color="auto" w:sz="6" w:space="0"/>
              <w:bottom w:val="single" w:color="auto" w:sz="6" w:space="0"/>
              <w:right w:val="single" w:color="auto" w:sz="6"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textAlignment w:val="auto"/>
              <w:rPr>
                <w:rFonts w:hint="eastAsia" w:ascii="仿宋" w:hAnsi="仿宋" w:eastAsia="仿宋" w:cs="仿宋"/>
                <w:color w:val="auto"/>
                <w:sz w:val="24"/>
                <w:szCs w:val="24"/>
                <w:highlight w:val="none"/>
              </w:rPr>
            </w:pPr>
          </w:p>
        </w:tc>
      </w:tr>
    </w:tbl>
    <w:p>
      <w:pPr>
        <w:keepLines w:val="0"/>
        <w:pageBreakBefore w:val="0"/>
        <w:widowControl w:val="0"/>
        <w:kinsoku/>
        <w:wordWrap/>
        <w:overflowPunct/>
        <w:topLinePunct w:val="0"/>
        <w:bidi w:val="0"/>
        <w:adjustRightInd/>
        <w:snapToGrid/>
        <w:spacing w:line="400" w:lineRule="exact"/>
        <w:jc w:val="left"/>
        <w:textAlignment w:val="auto"/>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rPr>
        <w:t>注：供应商可按上述的格式自行编制，须随表提交</w:t>
      </w:r>
      <w:r>
        <w:rPr>
          <w:rFonts w:hint="eastAsia" w:ascii="仿宋" w:hAnsi="仿宋" w:eastAsia="仿宋" w:cs="仿宋"/>
          <w:b/>
          <w:color w:val="auto"/>
          <w:sz w:val="24"/>
          <w:szCs w:val="24"/>
          <w:highlight w:val="none"/>
          <w:lang w:eastAsia="zh-CN"/>
        </w:rPr>
        <w:t>相关证明材料。</w:t>
      </w:r>
    </w:p>
    <w:p>
      <w:pPr>
        <w:spacing w:line="360" w:lineRule="auto"/>
        <w:jc w:val="center"/>
        <w:rPr>
          <w:rFonts w:hint="eastAsia" w:ascii="仿宋" w:hAnsi="仿宋" w:eastAsia="仿宋" w:cs="仿宋"/>
          <w:b/>
          <w:color w:val="auto"/>
          <w:kern w:val="0"/>
          <w:sz w:val="24"/>
          <w:szCs w:val="24"/>
          <w:highlight w:val="none"/>
          <w:lang w:val="zh-CN"/>
        </w:rPr>
      </w:pPr>
    </w:p>
    <w:p>
      <w:pPr>
        <w:spacing w:line="360" w:lineRule="auto"/>
        <w:jc w:val="center"/>
        <w:rPr>
          <w:rFonts w:hint="eastAsia" w:ascii="仿宋" w:hAnsi="仿宋" w:eastAsia="仿宋" w:cs="仿宋"/>
          <w:b/>
          <w:color w:val="auto"/>
          <w:kern w:val="0"/>
          <w:sz w:val="24"/>
          <w:szCs w:val="24"/>
          <w:highlight w:val="none"/>
          <w:lang w:val="zh-CN"/>
        </w:rPr>
      </w:pPr>
    </w:p>
    <w:p>
      <w:pPr>
        <w:jc w:val="both"/>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w:t>
      </w:r>
    </w:p>
    <w:p>
      <w:pPr>
        <w:rPr>
          <w:rFonts w:hint="eastAsia" w:ascii="仿宋" w:hAnsi="仿宋" w:eastAsia="仿宋" w:cs="仿宋"/>
          <w:b/>
          <w:bCs/>
          <w:color w:val="auto"/>
          <w:sz w:val="24"/>
          <w:szCs w:val="24"/>
          <w:highlight w:val="none"/>
          <w:lang w:val="zh-CN"/>
        </w:rPr>
      </w:pPr>
    </w:p>
    <w:p>
      <w:pPr>
        <w:pStyle w:val="67"/>
        <w:rPr>
          <w:rFonts w:hint="eastAsia" w:ascii="仿宋" w:hAnsi="仿宋" w:eastAsia="仿宋" w:cs="仿宋"/>
          <w:color w:val="auto"/>
          <w:sz w:val="24"/>
          <w:szCs w:val="24"/>
          <w:highlight w:val="none"/>
          <w:lang w:val="zh-CN"/>
        </w:rPr>
      </w:pPr>
    </w:p>
    <w:p>
      <w:pPr>
        <w:jc w:val="center"/>
        <w:rPr>
          <w:rFonts w:hint="eastAsia" w:ascii="仿宋" w:hAnsi="仿宋" w:eastAsia="仿宋" w:cs="仿宋"/>
          <w:b/>
          <w:bCs/>
          <w:color w:val="auto"/>
          <w:sz w:val="32"/>
          <w:szCs w:val="32"/>
          <w:highlight w:val="none"/>
          <w:lang w:val="zh-CN"/>
        </w:rPr>
      </w:pPr>
      <w:r>
        <w:rPr>
          <w:rFonts w:hint="eastAsia" w:ascii="仿宋" w:hAnsi="仿宋" w:eastAsia="仿宋" w:cs="仿宋"/>
          <w:b/>
          <w:bCs/>
          <w:color w:val="auto"/>
          <w:sz w:val="32"/>
          <w:szCs w:val="32"/>
          <w:highlight w:val="none"/>
          <w:lang w:val="zh-CN"/>
        </w:rPr>
        <w:t>（</w:t>
      </w: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bCs/>
          <w:color w:val="auto"/>
          <w:sz w:val="32"/>
          <w:szCs w:val="32"/>
          <w:highlight w:val="none"/>
          <w:lang w:val="zh-CN"/>
        </w:rPr>
        <w:t>）商务资信响应表</w:t>
      </w:r>
    </w:p>
    <w:p>
      <w:pPr>
        <w:spacing w:line="360" w:lineRule="auto"/>
        <w:ind w:firstLine="480" w:firstLineChars="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（由</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根据采购需求及</w:t>
      </w:r>
      <w:r>
        <w:rPr>
          <w:rFonts w:hint="eastAsia" w:ascii="仿宋" w:hAnsi="仿宋" w:eastAsia="仿宋" w:cs="仿宋"/>
          <w:color w:val="auto"/>
          <w:sz w:val="24"/>
          <w:szCs w:val="24"/>
          <w:highlight w:val="none"/>
          <w:lang w:eastAsia="zh-CN"/>
        </w:rPr>
        <w:t>招标</w:t>
      </w:r>
      <w:r>
        <w:rPr>
          <w:rFonts w:hint="eastAsia" w:ascii="仿宋" w:hAnsi="仿宋" w:eastAsia="仿宋" w:cs="仿宋"/>
          <w:color w:val="auto"/>
          <w:sz w:val="24"/>
          <w:szCs w:val="24"/>
          <w:highlight w:val="none"/>
        </w:rPr>
        <w:t>文件要求编制）</w:t>
      </w:r>
    </w:p>
    <w:tbl>
      <w:tblPr>
        <w:tblStyle w:val="82"/>
        <w:tblpPr w:leftFromText="180" w:rightFromText="180" w:vertAnchor="text" w:horzAnchor="page" w:tblpX="1632" w:tblpY="391"/>
        <w:tblOverlap w:val="never"/>
        <w:tblW w:w="9125" w:type="dxa"/>
        <w:tblInd w:w="0" w:type="dxa"/>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
      <w:tblGrid>
        <w:gridCol w:w="875"/>
        <w:gridCol w:w="3262"/>
        <w:gridCol w:w="2399"/>
        <w:gridCol w:w="2589"/>
      </w:tblGrid>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PrEx>
        <w:trPr>
          <w:trHeight w:val="642" w:hRule="atLeast"/>
        </w:trPr>
        <w:tc>
          <w:tcPr>
            <w:tcW w:w="8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40" w:lineRule="exact"/>
              <w:ind w:left="0" w:right="0"/>
              <w:jc w:val="center"/>
              <w:textAlignment w:val="auto"/>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bidi="ar"/>
              </w:rPr>
              <w:t>序号</w:t>
            </w:r>
          </w:p>
        </w:tc>
        <w:tc>
          <w:tcPr>
            <w:tcW w:w="32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40" w:lineRule="exact"/>
              <w:ind w:left="0" w:right="0"/>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bidi="ar"/>
              </w:rPr>
              <w:t>采购文件要求</w:t>
            </w:r>
          </w:p>
        </w:tc>
        <w:tc>
          <w:tcPr>
            <w:tcW w:w="23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40" w:lineRule="exact"/>
              <w:ind w:left="0" w:right="0"/>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bidi="ar"/>
              </w:rPr>
              <w:t>是否响应</w:t>
            </w:r>
          </w:p>
        </w:tc>
        <w:tc>
          <w:tcPr>
            <w:tcW w:w="25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40" w:lineRule="exact"/>
              <w:ind w:left="0" w:right="0"/>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eastAsia="zh-CN" w:bidi="ar"/>
              </w:rPr>
              <w:t>供应商</w:t>
            </w:r>
            <w:r>
              <w:rPr>
                <w:rFonts w:hint="eastAsia" w:ascii="仿宋" w:hAnsi="仿宋" w:eastAsia="仿宋" w:cs="仿宋"/>
                <w:b/>
                <w:bCs/>
                <w:color w:val="auto"/>
                <w:sz w:val="24"/>
                <w:szCs w:val="24"/>
                <w:highlight w:val="none"/>
                <w:lang w:bidi="ar"/>
              </w:rPr>
              <w:t>的承诺或说明</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633" w:hRule="atLeast"/>
        </w:trPr>
        <w:tc>
          <w:tcPr>
            <w:tcW w:w="8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40" w:lineRule="exact"/>
              <w:ind w:left="0" w:right="0"/>
              <w:jc w:val="center"/>
              <w:rPr>
                <w:rFonts w:hint="eastAsia" w:ascii="仿宋" w:hAnsi="仿宋" w:eastAsia="仿宋" w:cs="仿宋"/>
                <w:b w:val="0"/>
                <w:bCs w:val="0"/>
                <w:color w:val="auto"/>
                <w:sz w:val="24"/>
                <w:szCs w:val="24"/>
                <w:highlight w:val="none"/>
              </w:rPr>
            </w:pPr>
          </w:p>
        </w:tc>
        <w:tc>
          <w:tcPr>
            <w:tcW w:w="32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23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20" w:beforeLines="50" w:beforeAutospacing="0" w:after="0" w:afterAutospacing="0" w:line="360" w:lineRule="auto"/>
              <w:ind w:left="43" w:right="0"/>
              <w:jc w:val="center"/>
              <w:rPr>
                <w:rFonts w:hint="eastAsia" w:ascii="仿宋" w:hAnsi="仿宋" w:eastAsia="仿宋" w:cs="仿宋"/>
                <w:color w:val="auto"/>
                <w:sz w:val="24"/>
                <w:szCs w:val="24"/>
                <w:highlight w:val="none"/>
              </w:rPr>
            </w:pPr>
          </w:p>
        </w:tc>
        <w:tc>
          <w:tcPr>
            <w:tcW w:w="25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20" w:beforeLines="50" w:beforeAutospacing="0" w:after="0" w:afterAutospacing="0" w:line="360" w:lineRule="auto"/>
              <w:ind w:left="43" w:right="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600" w:hRule="atLeast"/>
        </w:trPr>
        <w:tc>
          <w:tcPr>
            <w:tcW w:w="8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40" w:lineRule="exact"/>
              <w:ind w:left="0" w:right="0"/>
              <w:jc w:val="center"/>
              <w:rPr>
                <w:rFonts w:hint="eastAsia" w:ascii="仿宋" w:hAnsi="仿宋" w:eastAsia="仿宋" w:cs="仿宋"/>
                <w:b w:val="0"/>
                <w:bCs w:val="0"/>
                <w:color w:val="auto"/>
                <w:sz w:val="24"/>
                <w:szCs w:val="24"/>
                <w:highlight w:val="none"/>
              </w:rPr>
            </w:pPr>
          </w:p>
        </w:tc>
        <w:tc>
          <w:tcPr>
            <w:tcW w:w="32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23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25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708" w:hRule="atLeast"/>
        </w:trPr>
        <w:tc>
          <w:tcPr>
            <w:tcW w:w="8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40" w:lineRule="exact"/>
              <w:ind w:left="0" w:right="0"/>
              <w:jc w:val="center"/>
              <w:rPr>
                <w:rFonts w:hint="eastAsia" w:ascii="仿宋" w:hAnsi="仿宋" w:eastAsia="仿宋" w:cs="仿宋"/>
                <w:color w:val="auto"/>
                <w:sz w:val="24"/>
                <w:szCs w:val="24"/>
                <w:highlight w:val="none"/>
                <w:lang w:val="en-US" w:eastAsia="zh-CN"/>
              </w:rPr>
            </w:pPr>
          </w:p>
        </w:tc>
        <w:tc>
          <w:tcPr>
            <w:tcW w:w="32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23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25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708" w:hRule="atLeast"/>
        </w:trPr>
        <w:tc>
          <w:tcPr>
            <w:tcW w:w="8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32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w:t>
            </w:r>
          </w:p>
        </w:tc>
        <w:tc>
          <w:tcPr>
            <w:tcW w:w="23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25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r>
    </w:tbl>
    <w:p>
      <w:pPr>
        <w:snapToGrid w:val="0"/>
        <w:spacing w:before="50" w:after="50" w:line="600" w:lineRule="exact"/>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lang w:bidi="ar"/>
        </w:rPr>
        <w:t xml:space="preserve">  </w:t>
      </w:r>
      <w:r>
        <w:rPr>
          <w:rFonts w:hint="eastAsia" w:ascii="仿宋" w:hAnsi="仿宋" w:eastAsia="仿宋" w:cs="仿宋"/>
          <w:color w:val="auto"/>
          <w:sz w:val="24"/>
          <w:szCs w:val="24"/>
          <w:highlight w:val="none"/>
          <w:lang w:val="en-US" w:eastAsia="zh-CN" w:bidi="ar"/>
        </w:rPr>
        <w:t xml:space="preserve">                       </w:t>
      </w:r>
      <w:r>
        <w:rPr>
          <w:rFonts w:hint="eastAsia"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color w:val="auto"/>
          <w:kern w:val="0"/>
          <w:sz w:val="24"/>
          <w:szCs w:val="24"/>
          <w:highlight w:val="none"/>
          <w:lang w:val="zh-CN"/>
        </w:rPr>
        <w:t>投标人名称</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zh-CN"/>
        </w:rPr>
        <w:t>电子签名</w:t>
      </w:r>
      <w:r>
        <w:rPr>
          <w:rFonts w:hint="eastAsia" w:ascii="仿宋" w:hAnsi="仿宋" w:eastAsia="仿宋" w:cs="仿宋"/>
          <w:color w:val="auto"/>
          <w:kern w:val="0"/>
          <w:sz w:val="24"/>
          <w:szCs w:val="24"/>
          <w:highlight w:val="none"/>
        </w:rPr>
        <w:t xml:space="preserve">）：                       </w:t>
      </w:r>
    </w:p>
    <w:p>
      <w:pPr>
        <w:spacing w:line="360" w:lineRule="auto"/>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color w:val="auto"/>
          <w:kern w:val="0"/>
          <w:sz w:val="24"/>
          <w:szCs w:val="24"/>
          <w:highlight w:val="none"/>
        </w:rPr>
        <w:t>日期：  年  月   日</w:t>
      </w:r>
    </w:p>
    <w:p>
      <w:pPr>
        <w:pStyle w:val="22"/>
        <w:jc w:val="center"/>
        <w:rPr>
          <w:rFonts w:hint="eastAsia" w:ascii="仿宋" w:hAnsi="仿宋" w:eastAsia="仿宋" w:cs="仿宋"/>
          <w:b/>
          <w:bCs/>
          <w:color w:val="auto"/>
          <w:kern w:val="2"/>
          <w:sz w:val="32"/>
          <w:szCs w:val="32"/>
          <w:highlight w:val="none"/>
          <w:lang w:val="en-US" w:eastAsia="zh-CN" w:bidi="ar-SA"/>
        </w:rPr>
      </w:pPr>
    </w:p>
    <w:p>
      <w:pPr>
        <w:pStyle w:val="22"/>
        <w:jc w:val="center"/>
        <w:rPr>
          <w:rFonts w:hint="eastAsia" w:ascii="仿宋" w:hAnsi="仿宋" w:eastAsia="仿宋" w:cs="仿宋"/>
          <w:b/>
          <w:bCs/>
          <w:color w:val="auto"/>
          <w:kern w:val="2"/>
          <w:sz w:val="32"/>
          <w:szCs w:val="32"/>
          <w:highlight w:val="none"/>
          <w:lang w:val="zh-CN" w:eastAsia="zh-CN" w:bidi="ar-SA"/>
        </w:rPr>
      </w:pPr>
      <w:r>
        <w:rPr>
          <w:rFonts w:hint="eastAsia" w:ascii="仿宋" w:hAnsi="仿宋" w:eastAsia="仿宋" w:cs="仿宋"/>
          <w:b/>
          <w:bCs/>
          <w:color w:val="auto"/>
          <w:kern w:val="2"/>
          <w:sz w:val="32"/>
          <w:szCs w:val="32"/>
          <w:highlight w:val="none"/>
          <w:lang w:val="en-US" w:eastAsia="zh-CN" w:bidi="ar-SA"/>
        </w:rPr>
        <w:t>（八）技术</w:t>
      </w:r>
      <w:r>
        <w:rPr>
          <w:rFonts w:hint="eastAsia" w:ascii="仿宋" w:hAnsi="仿宋" w:eastAsia="仿宋" w:cs="仿宋"/>
          <w:b/>
          <w:bCs/>
          <w:color w:val="auto"/>
          <w:kern w:val="2"/>
          <w:sz w:val="32"/>
          <w:szCs w:val="32"/>
          <w:highlight w:val="none"/>
          <w:lang w:val="zh-CN" w:eastAsia="zh-CN" w:bidi="ar-SA"/>
        </w:rPr>
        <w:t>偏离表</w:t>
      </w:r>
    </w:p>
    <w:p>
      <w:pPr>
        <w:spacing w:line="360" w:lineRule="auto"/>
        <w:ind w:firstLine="240" w:firstLineChars="100"/>
        <w:jc w:val="center"/>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（由</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根据采购需求及</w:t>
      </w:r>
      <w:r>
        <w:rPr>
          <w:rFonts w:hint="eastAsia" w:ascii="仿宋" w:hAnsi="仿宋" w:eastAsia="仿宋" w:cs="仿宋"/>
          <w:color w:val="auto"/>
          <w:sz w:val="24"/>
          <w:szCs w:val="24"/>
          <w:highlight w:val="none"/>
          <w:lang w:eastAsia="zh-CN"/>
        </w:rPr>
        <w:t>招标</w:t>
      </w:r>
      <w:r>
        <w:rPr>
          <w:rFonts w:hint="eastAsia" w:ascii="仿宋" w:hAnsi="仿宋" w:eastAsia="仿宋" w:cs="仿宋"/>
          <w:color w:val="auto"/>
          <w:sz w:val="24"/>
          <w:szCs w:val="24"/>
          <w:highlight w:val="none"/>
        </w:rPr>
        <w:t>文件要求编制）</w:t>
      </w:r>
    </w:p>
    <w:tbl>
      <w:tblPr>
        <w:tblStyle w:val="82"/>
        <w:tblW w:w="895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
        <w:gridCol w:w="3274"/>
        <w:gridCol w:w="2388"/>
        <w:gridCol w:w="24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6"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2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采购文件要求</w:t>
            </w:r>
          </w:p>
        </w:tc>
        <w:tc>
          <w:tcPr>
            <w:tcW w:w="23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是否</w:t>
            </w:r>
            <w:r>
              <w:rPr>
                <w:rFonts w:hint="eastAsia" w:ascii="仿宋" w:hAnsi="仿宋" w:eastAsia="仿宋" w:cs="仿宋"/>
                <w:color w:val="auto"/>
                <w:sz w:val="24"/>
                <w:szCs w:val="24"/>
                <w:highlight w:val="none"/>
              </w:rPr>
              <w:t>响应</w:t>
            </w:r>
          </w:p>
        </w:tc>
        <w:tc>
          <w:tcPr>
            <w:tcW w:w="24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偏离情况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1"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c>
          <w:tcPr>
            <w:tcW w:w="32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3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4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1"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c>
          <w:tcPr>
            <w:tcW w:w="32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3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4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c>
          <w:tcPr>
            <w:tcW w:w="32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3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4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c>
          <w:tcPr>
            <w:tcW w:w="32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3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4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c>
          <w:tcPr>
            <w:tcW w:w="32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3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4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r>
    </w:tbl>
    <w:p>
      <w:pPr>
        <w:tabs>
          <w:tab w:val="left" w:pos="570"/>
        </w:tabs>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投标人保证：除技术偏离表列出的偏离外，投标人响应招标文件的全部要求。</w:t>
      </w:r>
    </w:p>
    <w:p>
      <w:pPr>
        <w:snapToGrid w:val="0"/>
        <w:spacing w:before="50" w:after="50" w:line="600" w:lineRule="exact"/>
        <w:ind w:firstLine="4320" w:firstLineChars="1800"/>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lang w:val="en-US" w:eastAsia="zh-CN" w:bidi="ar"/>
        </w:rPr>
        <w:t xml:space="preserve">                 </w:t>
      </w:r>
      <w:r>
        <w:rPr>
          <w:rFonts w:hint="eastAsia" w:ascii="仿宋" w:hAnsi="仿宋" w:eastAsia="仿宋" w:cs="仿宋"/>
          <w:color w:val="auto"/>
          <w:kern w:val="0"/>
          <w:sz w:val="24"/>
          <w:szCs w:val="24"/>
          <w:highlight w:val="none"/>
          <w:lang w:val="zh-CN"/>
        </w:rPr>
        <w:t>投标人名称</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zh-CN"/>
        </w:rPr>
        <w:t>电子签名</w:t>
      </w:r>
      <w:r>
        <w:rPr>
          <w:rFonts w:hint="eastAsia" w:ascii="仿宋" w:hAnsi="仿宋" w:eastAsia="仿宋" w:cs="仿宋"/>
          <w:color w:val="auto"/>
          <w:kern w:val="0"/>
          <w:sz w:val="24"/>
          <w:szCs w:val="24"/>
          <w:highlight w:val="none"/>
        </w:rPr>
        <w:t xml:space="preserve">）：                       </w:t>
      </w:r>
    </w:p>
    <w:p>
      <w:pPr>
        <w:snapToGrid w:val="0"/>
        <w:spacing w:before="50" w:after="50" w:line="600" w:lineRule="exact"/>
        <w:jc w:val="left"/>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color w:val="auto"/>
          <w:kern w:val="0"/>
          <w:sz w:val="24"/>
          <w:szCs w:val="24"/>
          <w:highlight w:val="none"/>
        </w:rPr>
        <w:t>日期：  年  月   日</w:t>
      </w:r>
    </w:p>
    <w:p>
      <w:pPr>
        <w:spacing w:line="360" w:lineRule="auto"/>
        <w:rPr>
          <w:rFonts w:hint="eastAsia" w:ascii="仿宋" w:hAnsi="仿宋" w:eastAsia="仿宋" w:cs="仿宋"/>
          <w:b/>
          <w:bCs/>
          <w:color w:val="auto"/>
          <w:sz w:val="32"/>
          <w:szCs w:val="32"/>
          <w:highlight w:val="none"/>
          <w:lang w:eastAsia="zh-CN"/>
        </w:rPr>
      </w:pPr>
      <w:r>
        <w:rPr>
          <w:rFonts w:hint="eastAsia" w:ascii="仿宋" w:hAnsi="仿宋" w:eastAsia="仿宋" w:cs="仿宋"/>
          <w:b/>
          <w:bCs/>
          <w:color w:val="auto"/>
          <w:sz w:val="24"/>
          <w:szCs w:val="24"/>
          <w:highlight w:val="none"/>
        </w:rPr>
        <w:t>注：此表仅提供了表格形式，</w:t>
      </w:r>
      <w:r>
        <w:rPr>
          <w:rFonts w:hint="eastAsia" w:ascii="仿宋" w:hAnsi="仿宋" w:eastAsia="仿宋" w:cs="仿宋"/>
          <w:b/>
          <w:bCs/>
          <w:color w:val="auto"/>
          <w:sz w:val="24"/>
          <w:szCs w:val="24"/>
          <w:highlight w:val="none"/>
          <w:lang w:eastAsia="zh-CN"/>
        </w:rPr>
        <w:t>供应商</w:t>
      </w:r>
      <w:r>
        <w:rPr>
          <w:rFonts w:hint="eastAsia" w:ascii="仿宋" w:hAnsi="仿宋" w:eastAsia="仿宋" w:cs="仿宋"/>
          <w:b/>
          <w:bCs/>
          <w:color w:val="auto"/>
          <w:sz w:val="24"/>
          <w:szCs w:val="24"/>
          <w:highlight w:val="none"/>
        </w:rPr>
        <w:t>可按此表格格式进行扩展。</w:t>
      </w:r>
    </w:p>
    <w:p>
      <w:pPr>
        <w:spacing w:line="360" w:lineRule="auto"/>
        <w:jc w:val="center"/>
        <w:rPr>
          <w:rFonts w:hint="eastAsia" w:ascii="仿宋" w:hAnsi="仿宋" w:eastAsia="仿宋" w:cs="仿宋"/>
          <w:b/>
          <w:bCs/>
          <w:color w:val="auto"/>
          <w:sz w:val="32"/>
          <w:szCs w:val="32"/>
          <w:highlight w:val="none"/>
          <w:lang w:eastAsia="zh-CN"/>
        </w:rPr>
      </w:pPr>
    </w:p>
    <w:p>
      <w:pPr>
        <w:tabs>
          <w:tab w:val="left" w:pos="0"/>
        </w:tabs>
        <w:autoSpaceDE w:val="0"/>
        <w:autoSpaceDN w:val="0"/>
        <w:spacing w:line="360" w:lineRule="auto"/>
        <w:jc w:val="both"/>
        <w:rPr>
          <w:rFonts w:hint="eastAsia" w:ascii="仿宋" w:hAnsi="仿宋" w:eastAsia="仿宋" w:cs="仿宋"/>
          <w:b/>
          <w:bCs/>
          <w:color w:val="auto"/>
          <w:sz w:val="24"/>
          <w:szCs w:val="24"/>
          <w:highlight w:val="none"/>
          <w:lang w:eastAsia="zh-CN"/>
        </w:rPr>
      </w:pPr>
    </w:p>
    <w:p>
      <w:pPr>
        <w:tabs>
          <w:tab w:val="left" w:pos="0"/>
        </w:tabs>
        <w:autoSpaceDE w:val="0"/>
        <w:autoSpaceDN w:val="0"/>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w:t>
      </w:r>
      <w:r>
        <w:rPr>
          <w:rFonts w:hint="eastAsia" w:ascii="仿宋" w:hAnsi="仿宋" w:eastAsia="仿宋" w:cs="仿宋"/>
          <w:b/>
          <w:bCs/>
          <w:color w:val="auto"/>
          <w:sz w:val="32"/>
          <w:szCs w:val="32"/>
          <w:highlight w:val="none"/>
          <w:lang w:val="en-US" w:eastAsia="zh-CN"/>
        </w:rPr>
        <w:t>九</w:t>
      </w:r>
      <w:r>
        <w:rPr>
          <w:rFonts w:hint="eastAsia" w:ascii="仿宋" w:hAnsi="仿宋" w:eastAsia="仿宋" w:cs="仿宋"/>
          <w:b/>
          <w:bCs/>
          <w:color w:val="auto"/>
          <w:sz w:val="32"/>
          <w:szCs w:val="32"/>
          <w:highlight w:val="none"/>
          <w:lang w:eastAsia="zh-CN"/>
        </w:rPr>
        <w:t>）</w:t>
      </w:r>
      <w:r>
        <w:rPr>
          <w:rFonts w:hint="eastAsia" w:ascii="仿宋" w:hAnsi="仿宋" w:eastAsia="仿宋" w:cs="仿宋"/>
          <w:b/>
          <w:color w:val="auto"/>
          <w:kern w:val="0"/>
          <w:sz w:val="32"/>
          <w:szCs w:val="32"/>
          <w:highlight w:val="none"/>
          <w:lang w:val="zh-CN"/>
        </w:rPr>
        <w:t>供应商廉洁自律承诺书</w:t>
      </w:r>
    </w:p>
    <w:p>
      <w:pPr>
        <w:autoSpaceDE w:val="0"/>
        <w:autoSpaceDN w:val="0"/>
        <w:spacing w:line="360" w:lineRule="auto"/>
        <w:jc w:val="left"/>
        <w:rPr>
          <w:rFonts w:hint="eastAsia" w:ascii="仿宋" w:hAnsi="仿宋" w:eastAsia="仿宋" w:cs="仿宋"/>
          <w:color w:val="auto"/>
          <w:sz w:val="24"/>
          <w:szCs w:val="24"/>
          <w:highlight w:val="none"/>
        </w:rPr>
      </w:pPr>
    </w:p>
    <w:p>
      <w:pPr>
        <w:autoSpaceDE w:val="0"/>
        <w:autoSpaceDN w:val="0"/>
        <w:spacing w:line="360" w:lineRule="auto"/>
        <w:ind w:left="2"/>
        <w:jc w:val="left"/>
        <w:rPr>
          <w:rFonts w:hint="eastAsia" w:ascii="仿宋" w:hAnsi="仿宋" w:eastAsia="仿宋" w:cs="仿宋"/>
          <w:color w:val="auto"/>
          <w:kern w:val="0"/>
          <w:sz w:val="24"/>
          <w:szCs w:val="24"/>
          <w:lang w:val="zh-CN"/>
        </w:rPr>
      </w:pPr>
      <w:r>
        <w:rPr>
          <w:rFonts w:hint="eastAsia" w:ascii="仿宋" w:hAnsi="仿宋" w:eastAsia="仿宋" w:cs="仿宋"/>
          <w:color w:val="auto"/>
          <w:sz w:val="24"/>
          <w:szCs w:val="24"/>
          <w:u w:val="single"/>
          <w:lang w:eastAsia="zh-CN"/>
        </w:rPr>
        <w:t>嵊州市城市建设投资发展集团有限公司、嵊州市鹿山街道办事处</w:t>
      </w:r>
      <w:r>
        <w:rPr>
          <w:rFonts w:hint="eastAsia" w:ascii="仿宋" w:hAnsi="仿宋" w:eastAsia="仿宋" w:cs="仿宋"/>
          <w:color w:val="auto"/>
          <w:kern w:val="0"/>
          <w:sz w:val="24"/>
          <w:szCs w:val="24"/>
          <w:u w:val="none"/>
          <w:lang w:val="zh-CN"/>
        </w:rPr>
        <w:t xml:space="preserve">： </w:t>
      </w:r>
      <w:r>
        <w:rPr>
          <w:rFonts w:hint="eastAsia" w:ascii="仿宋" w:hAnsi="仿宋" w:eastAsia="仿宋" w:cs="仿宋"/>
          <w:color w:val="auto"/>
          <w:kern w:val="0"/>
          <w:sz w:val="24"/>
          <w:szCs w:val="24"/>
          <w:lang w:val="zh-CN"/>
        </w:rPr>
        <w:t xml:space="preserve">   </w:t>
      </w:r>
    </w:p>
    <w:p>
      <w:pPr>
        <w:keepNext w:val="0"/>
        <w:keepLines w:val="0"/>
        <w:pageBreakBefore w:val="0"/>
        <w:widowControl w:val="0"/>
        <w:kinsoku/>
        <w:wordWrap/>
        <w:overflowPunct/>
        <w:topLinePunct w:val="0"/>
        <w:autoSpaceDE w:val="0"/>
        <w:autoSpaceDN w:val="0"/>
        <w:bidi w:val="0"/>
        <w:adjustRightInd/>
        <w:snapToGrid/>
        <w:spacing w:line="500" w:lineRule="exact"/>
        <w:ind w:left="2" w:leftChars="1" w:firstLine="480" w:firstLineChars="200"/>
        <w:jc w:val="left"/>
        <w:textAlignment w:val="auto"/>
        <w:rPr>
          <w:rFonts w:hint="eastAsia" w:ascii="仿宋" w:hAnsi="仿宋" w:eastAsia="仿宋" w:cs="仿宋"/>
          <w:color w:val="auto"/>
          <w:kern w:val="0"/>
          <w:sz w:val="24"/>
          <w:szCs w:val="24"/>
          <w:lang w:val="zh-CN"/>
        </w:rPr>
      </w:pPr>
      <w:r>
        <w:rPr>
          <w:rFonts w:hint="eastAsia" w:ascii="仿宋" w:hAnsi="仿宋" w:eastAsia="仿宋" w:cs="仿宋"/>
          <w:color w:val="auto"/>
          <w:kern w:val="0"/>
          <w:sz w:val="24"/>
          <w:szCs w:val="24"/>
          <w:lang w:val="zh-CN"/>
        </w:rPr>
        <w:t>我单位响应你</w:t>
      </w:r>
      <w:r>
        <w:rPr>
          <w:rFonts w:hint="eastAsia" w:ascii="仿宋" w:hAnsi="仿宋" w:eastAsia="仿宋" w:cs="仿宋"/>
          <w:color w:val="auto"/>
          <w:sz w:val="24"/>
          <w:szCs w:val="24"/>
        </w:rPr>
        <w:t>单位</w:t>
      </w:r>
      <w:r>
        <w:rPr>
          <w:rFonts w:hint="eastAsia" w:ascii="仿宋" w:hAnsi="仿宋" w:eastAsia="仿宋" w:cs="仿宋"/>
          <w:color w:val="auto"/>
          <w:kern w:val="0"/>
          <w:sz w:val="24"/>
          <w:szCs w:val="24"/>
          <w:lang w:val="zh-CN"/>
        </w:rPr>
        <w:t xml:space="preserve">项目招标要求参加投标。在这次投标过程中和中标后，我们将严格遵守国家法律法规要求，并郑重承诺：    </w:t>
      </w:r>
    </w:p>
    <w:p>
      <w:pPr>
        <w:keepNext w:val="0"/>
        <w:keepLines w:val="0"/>
        <w:pageBreakBefore w:val="0"/>
        <w:widowControl w:val="0"/>
        <w:kinsoku/>
        <w:wordWrap/>
        <w:overflowPunct/>
        <w:topLinePunct w:val="0"/>
        <w:autoSpaceDE w:val="0"/>
        <w:autoSpaceDN w:val="0"/>
        <w:bidi w:val="0"/>
        <w:adjustRightInd/>
        <w:snapToGrid/>
        <w:spacing w:line="500" w:lineRule="exact"/>
        <w:ind w:left="2" w:leftChars="1" w:firstLine="480" w:firstLineChars="200"/>
        <w:jc w:val="left"/>
        <w:textAlignment w:val="auto"/>
        <w:rPr>
          <w:rFonts w:hint="eastAsia" w:ascii="仿宋" w:hAnsi="仿宋" w:eastAsia="仿宋" w:cs="仿宋"/>
          <w:color w:val="auto"/>
          <w:kern w:val="0"/>
          <w:sz w:val="24"/>
          <w:szCs w:val="24"/>
          <w:lang w:val="zh-CN"/>
        </w:rPr>
      </w:pPr>
      <w:r>
        <w:rPr>
          <w:rFonts w:hint="eastAsia" w:ascii="仿宋" w:hAnsi="仿宋" w:eastAsia="仿宋" w:cs="仿宋"/>
          <w:color w:val="auto"/>
          <w:kern w:val="0"/>
          <w:sz w:val="24"/>
          <w:szCs w:val="24"/>
          <w:lang w:val="zh-CN"/>
        </w:rPr>
        <w:t xml:space="preserve">一、不向项目有关人员及部门赠送礼金礼物、有价证券、回扣以及中介费、介绍费、咨询费等好处费；    </w:t>
      </w:r>
    </w:p>
    <w:p>
      <w:pPr>
        <w:keepNext w:val="0"/>
        <w:keepLines w:val="0"/>
        <w:pageBreakBefore w:val="0"/>
        <w:widowControl w:val="0"/>
        <w:kinsoku/>
        <w:wordWrap/>
        <w:overflowPunct/>
        <w:topLinePunct w:val="0"/>
        <w:autoSpaceDE w:val="0"/>
        <w:autoSpaceDN w:val="0"/>
        <w:bidi w:val="0"/>
        <w:adjustRightInd/>
        <w:snapToGrid/>
        <w:spacing w:line="500" w:lineRule="exact"/>
        <w:ind w:left="2" w:leftChars="1" w:firstLine="480" w:firstLineChars="200"/>
        <w:jc w:val="left"/>
        <w:textAlignment w:val="auto"/>
        <w:rPr>
          <w:rFonts w:hint="eastAsia" w:ascii="仿宋" w:hAnsi="仿宋" w:eastAsia="仿宋" w:cs="仿宋"/>
          <w:color w:val="auto"/>
          <w:kern w:val="0"/>
          <w:sz w:val="24"/>
          <w:szCs w:val="24"/>
          <w:lang w:val="zh-CN"/>
        </w:rPr>
      </w:pPr>
      <w:r>
        <w:rPr>
          <w:rFonts w:hint="eastAsia" w:ascii="仿宋" w:hAnsi="仿宋" w:eastAsia="仿宋" w:cs="仿宋"/>
          <w:color w:val="auto"/>
          <w:kern w:val="0"/>
          <w:sz w:val="24"/>
          <w:szCs w:val="24"/>
          <w:lang w:val="zh-CN"/>
        </w:rPr>
        <w:t xml:space="preserve">二、不为项目有关人员及部门报销应由你方单位或个人支付的费用；    </w:t>
      </w:r>
    </w:p>
    <w:p>
      <w:pPr>
        <w:keepNext w:val="0"/>
        <w:keepLines w:val="0"/>
        <w:pageBreakBefore w:val="0"/>
        <w:widowControl w:val="0"/>
        <w:kinsoku/>
        <w:wordWrap/>
        <w:overflowPunct/>
        <w:topLinePunct w:val="0"/>
        <w:autoSpaceDE w:val="0"/>
        <w:autoSpaceDN w:val="0"/>
        <w:bidi w:val="0"/>
        <w:adjustRightInd/>
        <w:snapToGrid/>
        <w:spacing w:line="500" w:lineRule="exact"/>
        <w:ind w:left="2" w:leftChars="1" w:firstLine="480" w:firstLineChars="200"/>
        <w:jc w:val="left"/>
        <w:textAlignment w:val="auto"/>
        <w:rPr>
          <w:rFonts w:hint="eastAsia" w:ascii="仿宋" w:hAnsi="仿宋" w:eastAsia="仿宋" w:cs="仿宋"/>
          <w:color w:val="auto"/>
          <w:kern w:val="0"/>
          <w:sz w:val="24"/>
          <w:szCs w:val="24"/>
          <w:lang w:val="zh-CN"/>
        </w:rPr>
      </w:pPr>
      <w:r>
        <w:rPr>
          <w:rFonts w:hint="eastAsia" w:ascii="仿宋" w:hAnsi="仿宋" w:eastAsia="仿宋" w:cs="仿宋"/>
          <w:color w:val="auto"/>
          <w:kern w:val="0"/>
          <w:sz w:val="24"/>
          <w:szCs w:val="24"/>
          <w:lang w:val="zh-CN"/>
        </w:rPr>
        <w:t xml:space="preserve">三、不向项目有关人员及部门提供有可能影响公正的宴请和健身娱乐等活动；    </w:t>
      </w:r>
    </w:p>
    <w:p>
      <w:pPr>
        <w:keepNext w:val="0"/>
        <w:keepLines w:val="0"/>
        <w:pageBreakBefore w:val="0"/>
        <w:widowControl w:val="0"/>
        <w:kinsoku/>
        <w:wordWrap/>
        <w:overflowPunct/>
        <w:topLinePunct w:val="0"/>
        <w:autoSpaceDE w:val="0"/>
        <w:autoSpaceDN w:val="0"/>
        <w:bidi w:val="0"/>
        <w:adjustRightInd/>
        <w:snapToGrid/>
        <w:spacing w:line="500" w:lineRule="exact"/>
        <w:ind w:left="2" w:leftChars="1" w:firstLine="480" w:firstLineChars="200"/>
        <w:jc w:val="left"/>
        <w:textAlignment w:val="auto"/>
        <w:rPr>
          <w:rFonts w:hint="eastAsia" w:ascii="仿宋" w:hAnsi="仿宋" w:eastAsia="仿宋" w:cs="仿宋"/>
          <w:color w:val="auto"/>
          <w:kern w:val="0"/>
          <w:sz w:val="24"/>
          <w:szCs w:val="24"/>
          <w:lang w:val="zh-CN"/>
        </w:rPr>
      </w:pPr>
      <w:r>
        <w:rPr>
          <w:rFonts w:hint="eastAsia" w:ascii="仿宋" w:hAnsi="仿宋" w:eastAsia="仿宋" w:cs="仿宋"/>
          <w:color w:val="auto"/>
          <w:kern w:val="0"/>
          <w:sz w:val="24"/>
          <w:szCs w:val="24"/>
          <w:lang w:val="zh-CN"/>
        </w:rPr>
        <w:t xml:space="preserve">四、不为项目有关人员及部门出国（境）、旅游等提供方便；    </w:t>
      </w:r>
    </w:p>
    <w:p>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eastAsia" w:ascii="仿宋" w:hAnsi="仿宋" w:eastAsia="仿宋" w:cs="仿宋"/>
          <w:color w:val="auto"/>
          <w:kern w:val="0"/>
          <w:sz w:val="24"/>
          <w:szCs w:val="24"/>
          <w:lang w:val="zh-CN"/>
        </w:rPr>
      </w:pPr>
      <w:r>
        <w:rPr>
          <w:rFonts w:hint="eastAsia" w:ascii="仿宋" w:hAnsi="仿宋" w:eastAsia="仿宋" w:cs="仿宋"/>
          <w:color w:val="auto"/>
          <w:kern w:val="0"/>
          <w:sz w:val="24"/>
          <w:szCs w:val="24"/>
          <w:lang w:val="zh-CN"/>
        </w:rPr>
        <w:t xml:space="preserve">五、不为项目有关人员个人装修住房、婚丧嫁娶、配偶子女工作安排等提供好处；    </w:t>
      </w:r>
    </w:p>
    <w:p>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eastAsia" w:ascii="仿宋" w:hAnsi="仿宋" w:eastAsia="仿宋" w:cs="仿宋"/>
          <w:color w:val="auto"/>
          <w:kern w:val="0"/>
          <w:sz w:val="24"/>
          <w:szCs w:val="24"/>
          <w:lang w:val="zh-CN"/>
        </w:rPr>
      </w:pPr>
      <w:r>
        <w:rPr>
          <w:rFonts w:hint="eastAsia" w:ascii="仿宋" w:hAnsi="仿宋" w:eastAsia="仿宋" w:cs="仿宋"/>
          <w:color w:val="auto"/>
          <w:kern w:val="0"/>
          <w:sz w:val="24"/>
          <w:szCs w:val="24"/>
          <w:lang w:val="zh-CN"/>
        </w:rPr>
        <w:t xml:space="preserve">六、严格遵守《中华人民共和国民法典》等法律，诚实守信，合法经营，坚决抵制各种违法违纪行为。    </w:t>
      </w:r>
    </w:p>
    <w:p>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lang w:val="zh-CN"/>
        </w:rPr>
        <w:t>如违反上述承诺，你</w:t>
      </w:r>
      <w:r>
        <w:rPr>
          <w:rFonts w:hint="eastAsia" w:ascii="仿宋" w:hAnsi="仿宋" w:eastAsia="仿宋" w:cs="仿宋"/>
          <w:color w:val="auto"/>
          <w:sz w:val="24"/>
          <w:szCs w:val="24"/>
        </w:rPr>
        <w:t>单位</w:t>
      </w:r>
      <w:r>
        <w:rPr>
          <w:rFonts w:hint="eastAsia" w:ascii="仿宋" w:hAnsi="仿宋" w:eastAsia="仿宋" w:cs="仿宋"/>
          <w:color w:val="auto"/>
          <w:kern w:val="0"/>
          <w:sz w:val="24"/>
          <w:szCs w:val="24"/>
          <w:lang w:val="zh-CN"/>
        </w:rPr>
        <w:t>有权立即取消我单位投标、中标或在建项目的建设资格，有权拒绝我单位在一定时期内进入你</w:t>
      </w:r>
      <w:r>
        <w:rPr>
          <w:rFonts w:hint="eastAsia" w:ascii="仿宋" w:hAnsi="仿宋" w:eastAsia="仿宋" w:cs="仿宋"/>
          <w:color w:val="auto"/>
          <w:sz w:val="24"/>
          <w:szCs w:val="24"/>
        </w:rPr>
        <w:t>单位</w:t>
      </w:r>
      <w:r>
        <w:rPr>
          <w:rFonts w:hint="eastAsia" w:ascii="仿宋" w:hAnsi="仿宋" w:eastAsia="仿宋" w:cs="仿宋"/>
          <w:color w:val="auto"/>
          <w:kern w:val="0"/>
          <w:sz w:val="24"/>
          <w:szCs w:val="24"/>
          <w:lang w:val="zh-CN"/>
        </w:rPr>
        <w:t>进行项目建设或其他经营活动，并通报上级主管部门。由此引起的相应损失均由我单位承担</w:t>
      </w:r>
      <w:r>
        <w:rPr>
          <w:rFonts w:hint="eastAsia" w:ascii="仿宋" w:hAnsi="仿宋" w:eastAsia="仿宋" w:cs="仿宋"/>
          <w:color w:val="auto"/>
          <w:kern w:val="0"/>
          <w:sz w:val="24"/>
          <w:szCs w:val="24"/>
          <w:highlight w:val="none"/>
          <w:lang w:val="zh-CN"/>
        </w:rPr>
        <w:t>。</w:t>
      </w:r>
    </w:p>
    <w:p>
      <w:pPr>
        <w:keepNext w:val="0"/>
        <w:keepLines w:val="0"/>
        <w:pageBreakBefore w:val="0"/>
        <w:widowControl w:val="0"/>
        <w:kinsoku/>
        <w:wordWrap/>
        <w:overflowPunct/>
        <w:topLinePunct w:val="0"/>
        <w:autoSpaceDE w:val="0"/>
        <w:autoSpaceDN w:val="0"/>
        <w:bidi w:val="0"/>
        <w:adjustRightInd/>
        <w:snapToGrid/>
        <w:spacing w:line="500" w:lineRule="exact"/>
        <w:ind w:left="0" w:leftChars="0" w:right="0"/>
        <w:jc w:val="left"/>
        <w:textAlignment w:val="auto"/>
        <w:rPr>
          <w:rFonts w:hint="eastAsia" w:ascii="仿宋" w:hAnsi="仿宋" w:eastAsia="仿宋" w:cs="仿宋"/>
          <w:color w:val="auto"/>
          <w:kern w:val="0"/>
          <w:sz w:val="24"/>
          <w:szCs w:val="24"/>
          <w:highlight w:val="none"/>
          <w:lang w:val="zh-CN"/>
        </w:rPr>
      </w:pPr>
    </w:p>
    <w:p>
      <w:pPr>
        <w:keepNext w:val="0"/>
        <w:keepLines w:val="0"/>
        <w:pageBreakBefore w:val="0"/>
        <w:widowControl w:val="0"/>
        <w:kinsoku/>
        <w:wordWrap/>
        <w:overflowPunct/>
        <w:topLinePunct w:val="0"/>
        <w:autoSpaceDE w:val="0"/>
        <w:autoSpaceDN w:val="0"/>
        <w:bidi w:val="0"/>
        <w:adjustRightInd/>
        <w:snapToGrid/>
        <w:spacing w:line="500" w:lineRule="exact"/>
        <w:ind w:left="0" w:leftChars="0" w:right="0"/>
        <w:jc w:val="left"/>
        <w:textAlignment w:val="auto"/>
        <w:rPr>
          <w:rFonts w:hint="eastAsia" w:ascii="仿宋" w:hAnsi="仿宋" w:eastAsia="仿宋" w:cs="仿宋"/>
          <w:color w:val="auto"/>
          <w:kern w:val="0"/>
          <w:sz w:val="24"/>
          <w:szCs w:val="24"/>
          <w:highlight w:val="none"/>
          <w:lang w:val="zh-CN"/>
        </w:rPr>
      </w:pPr>
    </w:p>
    <w:p>
      <w:pPr>
        <w:keepNext w:val="0"/>
        <w:keepLines w:val="0"/>
        <w:pageBreakBefore w:val="0"/>
        <w:widowControl w:val="0"/>
        <w:kinsoku/>
        <w:wordWrap/>
        <w:overflowPunct/>
        <w:topLinePunct w:val="0"/>
        <w:autoSpaceDE w:val="0"/>
        <w:autoSpaceDN w:val="0"/>
        <w:bidi w:val="0"/>
        <w:adjustRightInd/>
        <w:snapToGrid/>
        <w:spacing w:line="500" w:lineRule="exact"/>
        <w:ind w:left="0" w:leftChars="0" w:right="0"/>
        <w:jc w:val="left"/>
        <w:textAlignment w:val="auto"/>
        <w:rPr>
          <w:rFonts w:hint="eastAsia" w:ascii="仿宋" w:hAnsi="仿宋" w:eastAsia="仿宋" w:cs="仿宋"/>
          <w:color w:val="auto"/>
          <w:kern w:val="0"/>
          <w:sz w:val="24"/>
          <w:szCs w:val="24"/>
          <w:highlight w:val="none"/>
          <w:lang w:val="zh-CN"/>
        </w:rPr>
      </w:pPr>
    </w:p>
    <w:p>
      <w:pPr>
        <w:keepNext w:val="0"/>
        <w:keepLines w:val="0"/>
        <w:pageBreakBefore w:val="0"/>
        <w:widowControl w:val="0"/>
        <w:kinsoku/>
        <w:wordWrap/>
        <w:overflowPunct/>
        <w:topLinePunct w:val="0"/>
        <w:autoSpaceDE w:val="0"/>
        <w:autoSpaceDN w:val="0"/>
        <w:bidi w:val="0"/>
        <w:adjustRightInd/>
        <w:snapToGrid/>
        <w:spacing w:line="500" w:lineRule="exact"/>
        <w:ind w:left="0" w:leftChars="0" w:right="0" w:firstLine="4560" w:firstLineChars="1900"/>
        <w:jc w:val="left"/>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投标人名称（</w:t>
      </w:r>
      <w:r>
        <w:rPr>
          <w:rFonts w:hint="eastAsia" w:ascii="仿宋" w:hAnsi="仿宋" w:eastAsia="仿宋" w:cs="仿宋"/>
          <w:color w:val="auto"/>
          <w:sz w:val="24"/>
          <w:szCs w:val="24"/>
          <w:highlight w:val="none"/>
        </w:rPr>
        <w:t>电子签名</w:t>
      </w:r>
      <w:r>
        <w:rPr>
          <w:rFonts w:hint="eastAsia" w:ascii="仿宋" w:hAnsi="仿宋" w:eastAsia="仿宋" w:cs="仿宋"/>
          <w:color w:val="auto"/>
          <w:kern w:val="0"/>
          <w:sz w:val="24"/>
          <w:szCs w:val="24"/>
          <w:highlight w:val="none"/>
          <w:lang w:val="zh-CN"/>
        </w:rPr>
        <w:t xml:space="preserve">）：                </w:t>
      </w:r>
    </w:p>
    <w:p>
      <w:pPr>
        <w:keepNext w:val="0"/>
        <w:keepLines w:val="0"/>
        <w:pageBreakBefore w:val="0"/>
        <w:widowControl w:val="0"/>
        <w:kinsoku/>
        <w:wordWrap/>
        <w:overflowPunct/>
        <w:topLinePunct w:val="0"/>
        <w:bidi w:val="0"/>
        <w:adjustRightInd/>
        <w:snapToGrid/>
        <w:spacing w:line="500" w:lineRule="exact"/>
        <w:ind w:right="0" w:firstLine="6240" w:firstLineChars="2600"/>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zh-CN"/>
        </w:rPr>
        <w:t>日期</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zh-CN"/>
        </w:rPr>
        <w:t xml:space="preserve">   年   月   日</w:t>
      </w:r>
    </w:p>
    <w:p>
      <w:pPr>
        <w:numPr>
          <w:ilvl w:val="0"/>
          <w:numId w:val="0"/>
        </w:numPr>
        <w:spacing w:line="240" w:lineRule="auto"/>
        <w:ind w:leftChars="0"/>
        <w:rPr>
          <w:rFonts w:hint="eastAsia" w:ascii="宋体" w:hAnsi="宋体" w:eastAsia="宋体" w:cs="宋体"/>
          <w:b/>
          <w:bCs/>
          <w:color w:val="auto"/>
          <w:sz w:val="21"/>
          <w:szCs w:val="21"/>
          <w:highlight w:val="none"/>
          <w:lang w:val="en-US" w:eastAsia="zh-CN"/>
        </w:rPr>
      </w:pPr>
    </w:p>
    <w:p>
      <w:pPr>
        <w:numPr>
          <w:ilvl w:val="0"/>
          <w:numId w:val="0"/>
        </w:numPr>
        <w:spacing w:line="240" w:lineRule="auto"/>
        <w:ind w:leftChars="0"/>
        <w:rPr>
          <w:rFonts w:hint="eastAsia" w:ascii="宋体" w:hAnsi="宋体" w:eastAsia="宋体" w:cs="宋体"/>
          <w:b/>
          <w:bCs/>
          <w:color w:val="auto"/>
          <w:sz w:val="21"/>
          <w:szCs w:val="21"/>
          <w:highlight w:val="none"/>
          <w:lang w:val="en-US" w:eastAsia="zh-CN"/>
        </w:rPr>
      </w:pPr>
    </w:p>
    <w:p>
      <w:pPr>
        <w:numPr>
          <w:ilvl w:val="0"/>
          <w:numId w:val="0"/>
        </w:numPr>
        <w:spacing w:line="240" w:lineRule="auto"/>
        <w:ind w:leftChars="0"/>
        <w:rPr>
          <w:rFonts w:hint="eastAsia" w:ascii="宋体" w:hAnsi="宋体" w:eastAsia="宋体" w:cs="宋体"/>
          <w:b/>
          <w:bCs/>
          <w:color w:val="auto"/>
          <w:sz w:val="21"/>
          <w:szCs w:val="21"/>
          <w:highlight w:val="none"/>
          <w:lang w:val="en-US" w:eastAsia="zh-CN"/>
        </w:rPr>
      </w:pPr>
    </w:p>
    <w:p>
      <w:pPr>
        <w:numPr>
          <w:ilvl w:val="0"/>
          <w:numId w:val="0"/>
        </w:numPr>
        <w:spacing w:line="240" w:lineRule="auto"/>
        <w:ind w:leftChars="0"/>
        <w:rPr>
          <w:rFonts w:hint="eastAsia" w:ascii="宋体" w:hAnsi="宋体" w:eastAsia="宋体" w:cs="宋体"/>
          <w:b/>
          <w:bCs/>
          <w:color w:val="auto"/>
          <w:sz w:val="21"/>
          <w:szCs w:val="21"/>
          <w:highlight w:val="none"/>
          <w:lang w:val="en-US" w:eastAsia="zh-CN"/>
        </w:rPr>
      </w:pPr>
    </w:p>
    <w:p>
      <w:pPr>
        <w:numPr>
          <w:ilvl w:val="0"/>
          <w:numId w:val="0"/>
        </w:numPr>
        <w:spacing w:line="240" w:lineRule="auto"/>
        <w:ind w:leftChars="0"/>
        <w:rPr>
          <w:rFonts w:hint="eastAsia" w:ascii="宋体" w:hAnsi="宋体" w:eastAsia="宋体" w:cs="宋体"/>
          <w:b/>
          <w:bCs/>
          <w:color w:val="auto"/>
          <w:sz w:val="21"/>
          <w:szCs w:val="21"/>
          <w:highlight w:val="none"/>
          <w:lang w:val="en-US" w:eastAsia="zh-CN"/>
        </w:rPr>
      </w:pPr>
    </w:p>
    <w:p>
      <w:pPr>
        <w:numPr>
          <w:ilvl w:val="0"/>
          <w:numId w:val="0"/>
        </w:numPr>
        <w:spacing w:line="240" w:lineRule="auto"/>
        <w:ind w:leftChars="0"/>
        <w:rPr>
          <w:rFonts w:hint="eastAsia" w:ascii="宋体" w:hAnsi="宋体" w:eastAsia="宋体" w:cs="宋体"/>
          <w:b/>
          <w:bCs/>
          <w:color w:val="auto"/>
          <w:sz w:val="21"/>
          <w:szCs w:val="21"/>
          <w:highlight w:val="none"/>
          <w:lang w:val="en-US" w:eastAsia="zh-CN"/>
        </w:rPr>
      </w:pPr>
    </w:p>
    <w:p>
      <w:pPr>
        <w:numPr>
          <w:ilvl w:val="0"/>
          <w:numId w:val="0"/>
        </w:numPr>
        <w:spacing w:line="240" w:lineRule="auto"/>
        <w:ind w:leftChars="0"/>
        <w:rPr>
          <w:rFonts w:hint="eastAsia" w:ascii="宋体" w:hAnsi="宋体" w:eastAsia="宋体" w:cs="宋体"/>
          <w:b/>
          <w:bCs/>
          <w:color w:val="auto"/>
          <w:sz w:val="21"/>
          <w:szCs w:val="21"/>
          <w:highlight w:val="none"/>
          <w:lang w:val="en-US" w:eastAsia="zh-CN"/>
        </w:rPr>
      </w:pPr>
    </w:p>
    <w:p>
      <w:pPr>
        <w:pStyle w:val="43"/>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eastAsia" w:ascii="宋体" w:hAnsi="宋体" w:eastAsia="宋体" w:cs="宋体"/>
          <w:b/>
          <w:color w:val="auto"/>
          <w:kern w:val="2"/>
          <w:sz w:val="21"/>
          <w:szCs w:val="21"/>
          <w:highlight w:val="none"/>
          <w:lang w:val="en-US" w:eastAsia="zh-CN" w:bidi="ar-SA"/>
        </w:rPr>
      </w:pPr>
    </w:p>
    <w:p>
      <w:pPr>
        <w:pStyle w:val="43"/>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eastAsia" w:ascii="宋体" w:hAnsi="宋体" w:eastAsia="宋体" w:cs="宋体"/>
          <w:b/>
          <w:color w:val="auto"/>
          <w:kern w:val="2"/>
          <w:sz w:val="21"/>
          <w:szCs w:val="21"/>
          <w:highlight w:val="none"/>
          <w:lang w:val="en-US" w:eastAsia="zh-CN" w:bidi="ar-SA"/>
        </w:rPr>
      </w:pPr>
    </w:p>
    <w:p>
      <w:pPr>
        <w:spacing w:line="360" w:lineRule="auto"/>
        <w:jc w:val="center"/>
        <w:rPr>
          <w:rFonts w:hint="eastAsia" w:ascii="仿宋_GB2312" w:hAnsi="仿宋_GB2312" w:eastAsia="仿宋_GB2312" w:cs="仿宋_GB2312"/>
          <w:b/>
          <w:bCs/>
          <w:color w:val="auto"/>
          <w:sz w:val="32"/>
          <w:szCs w:val="32"/>
          <w:highlight w:val="none"/>
          <w:lang w:val="en-US" w:eastAsia="zh-CN"/>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val="en-US" w:eastAsia="zh-CN"/>
        </w:rPr>
        <w:t>（十）认为需要提供的与本项目其他相关资料</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rPr>
          <w:rFonts w:ascii="仿宋_GB2312" w:hAnsi="仿宋_GB2312" w:eastAsia="仿宋_GB2312" w:cs="仿宋_GB2312"/>
          <w:color w:val="auto"/>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kern w:val="0"/>
          <w:sz w:val="24"/>
          <w:szCs w:val="24"/>
          <w:highlight w:val="none"/>
          <w:lang w:val="zh-CN"/>
        </w:rPr>
        <w:t>投标人名称</w:t>
      </w:r>
      <w:r>
        <w:rPr>
          <w:rFonts w:hint="eastAsia" w:ascii="仿宋" w:hAnsi="仿宋" w:eastAsia="仿宋" w:cs="仿宋"/>
          <w:color w:val="auto"/>
          <w:sz w:val="24"/>
          <w:highlight w:val="none"/>
        </w:rPr>
        <w:t xml:space="preserve">（电子签名）：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rPr>
          <w:rFonts w:hint="eastAsia" w:ascii="仿宋" w:hAnsi="仿宋" w:eastAsia="仿宋" w:cs="仿宋"/>
          <w:b/>
          <w:color w:val="auto"/>
          <w:kern w:val="2"/>
          <w:sz w:val="32"/>
          <w:szCs w:val="32"/>
          <w:highlight w:val="none"/>
          <w:lang w:val="en-US" w:eastAsia="zh-CN" w:bidi="ar-SA"/>
        </w:rPr>
      </w:pPr>
      <w:r>
        <w:rPr>
          <w:rFonts w:hint="eastAsia" w:ascii="仿宋" w:hAnsi="仿宋" w:eastAsia="仿宋" w:cs="仿宋"/>
          <w:b/>
          <w:color w:val="auto"/>
          <w:kern w:val="2"/>
          <w:sz w:val="32"/>
          <w:szCs w:val="32"/>
          <w:highlight w:val="none"/>
          <w:lang w:val="en-US" w:eastAsia="zh-CN" w:bidi="ar-SA"/>
        </w:rPr>
        <w:br w:type="page"/>
      </w:r>
    </w:p>
    <w:p>
      <w:pPr>
        <w:pStyle w:val="43"/>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eastAsia" w:ascii="仿宋" w:hAnsi="仿宋" w:eastAsia="仿宋" w:cs="仿宋"/>
          <w:b/>
          <w:color w:val="auto"/>
          <w:kern w:val="2"/>
          <w:sz w:val="32"/>
          <w:szCs w:val="32"/>
          <w:highlight w:val="none"/>
          <w:lang w:val="en-US" w:eastAsia="zh-CN" w:bidi="ar-SA"/>
        </w:rPr>
      </w:pPr>
    </w:p>
    <w:p>
      <w:pPr>
        <w:pStyle w:val="43"/>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eastAsia" w:ascii="仿宋" w:hAnsi="仿宋" w:eastAsia="仿宋" w:cs="仿宋"/>
          <w:b/>
          <w:color w:val="auto"/>
          <w:sz w:val="32"/>
          <w:szCs w:val="32"/>
          <w:highlight w:val="none"/>
          <w:lang w:eastAsia="zh-CN"/>
        </w:rPr>
      </w:pPr>
      <w:r>
        <w:rPr>
          <w:rFonts w:hint="eastAsia" w:ascii="仿宋" w:hAnsi="仿宋" w:eastAsia="仿宋" w:cs="仿宋"/>
          <w:b/>
          <w:color w:val="auto"/>
          <w:kern w:val="2"/>
          <w:sz w:val="32"/>
          <w:szCs w:val="32"/>
          <w:highlight w:val="none"/>
          <w:lang w:val="en-US" w:eastAsia="zh-CN" w:bidi="ar-SA"/>
        </w:rPr>
        <w:t>三、报价文件目录</w:t>
      </w:r>
    </w:p>
    <w:p>
      <w:pPr>
        <w:pStyle w:val="43"/>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p>
    <w:p>
      <w:pPr>
        <w:pStyle w:val="43"/>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开标</w:t>
      </w:r>
      <w:r>
        <w:rPr>
          <w:rFonts w:hint="eastAsia" w:ascii="仿宋" w:hAnsi="仿宋" w:eastAsia="仿宋" w:cs="仿宋"/>
          <w:color w:val="auto"/>
          <w:sz w:val="24"/>
          <w:szCs w:val="24"/>
          <w:highlight w:val="none"/>
        </w:rPr>
        <w:t>一览表</w:t>
      </w:r>
      <w:r>
        <w:rPr>
          <w:rFonts w:hint="eastAsia" w:ascii="仿宋" w:hAnsi="仿宋" w:eastAsia="仿宋" w:cs="仿宋"/>
          <w:color w:val="auto"/>
          <w:sz w:val="24"/>
          <w:szCs w:val="24"/>
          <w:highlight w:val="none"/>
          <w:lang w:val="en-US" w:eastAsia="zh-CN"/>
        </w:rPr>
        <w:t>【格式附后】</w:t>
      </w:r>
      <w:r>
        <w:rPr>
          <w:rFonts w:hint="eastAsia" w:ascii="仿宋" w:hAnsi="仿宋" w:eastAsia="仿宋" w:cs="仿宋"/>
          <w:color w:val="auto"/>
          <w:sz w:val="24"/>
          <w:szCs w:val="24"/>
          <w:highlight w:val="none"/>
        </w:rPr>
        <w:t>；</w:t>
      </w:r>
    </w:p>
    <w:p>
      <w:pPr>
        <w:pStyle w:val="43"/>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投标报价明细表【格式附后】；</w:t>
      </w:r>
    </w:p>
    <w:p>
      <w:pPr>
        <w:pStyle w:val="43"/>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仿宋" w:hAnsi="仿宋" w:eastAsia="仿宋" w:cs="仿宋"/>
          <w:color w:val="auto"/>
          <w:sz w:val="24"/>
          <w:szCs w:val="24"/>
          <w:highlight w:val="none"/>
        </w:rPr>
        <w:sectPr>
          <w:pgSz w:w="11906" w:h="16838"/>
          <w:pgMar w:top="1474" w:right="1287" w:bottom="1304" w:left="1570"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投标人</w:t>
      </w:r>
      <w:r>
        <w:rPr>
          <w:rFonts w:hint="eastAsia" w:ascii="仿宋" w:hAnsi="仿宋" w:eastAsia="仿宋" w:cs="仿宋"/>
          <w:color w:val="auto"/>
          <w:sz w:val="24"/>
          <w:szCs w:val="24"/>
          <w:highlight w:val="none"/>
        </w:rPr>
        <w:t>认为需要提供的</w:t>
      </w:r>
      <w:r>
        <w:rPr>
          <w:rFonts w:hint="eastAsia" w:ascii="仿宋" w:hAnsi="仿宋" w:eastAsia="仿宋" w:cs="仿宋"/>
          <w:color w:val="auto"/>
          <w:sz w:val="24"/>
          <w:szCs w:val="24"/>
          <w:highlight w:val="none"/>
          <w:lang w:eastAsia="zh-CN"/>
        </w:rPr>
        <w:t>其他文件或说明</w:t>
      </w:r>
      <w:r>
        <w:rPr>
          <w:rFonts w:hint="eastAsia" w:ascii="仿宋" w:hAnsi="仿宋" w:eastAsia="仿宋" w:cs="仿宋"/>
          <w:color w:val="auto"/>
          <w:sz w:val="24"/>
          <w:szCs w:val="24"/>
          <w:highlight w:val="none"/>
        </w:rPr>
        <w:t>。</w:t>
      </w:r>
    </w:p>
    <w:p>
      <w:pPr>
        <w:jc w:val="center"/>
        <w:rPr>
          <w:rFonts w:hint="eastAsia" w:ascii="仿宋" w:hAnsi="仿宋" w:eastAsia="仿宋" w:cs="仿宋"/>
          <w:color w:val="auto"/>
          <w:sz w:val="28"/>
          <w:szCs w:val="28"/>
        </w:rPr>
      </w:pPr>
      <w:r>
        <w:rPr>
          <w:rFonts w:hint="eastAsia" w:ascii="仿宋" w:hAnsi="仿宋" w:eastAsia="仿宋" w:cs="仿宋"/>
          <w:b/>
          <w:bCs/>
          <w:color w:val="auto"/>
          <w:sz w:val="28"/>
          <w:szCs w:val="28"/>
          <w:lang w:eastAsia="zh-CN"/>
        </w:rPr>
        <w:t>（一）</w:t>
      </w:r>
      <w:r>
        <w:rPr>
          <w:rFonts w:hint="eastAsia" w:ascii="仿宋" w:hAnsi="仿宋" w:eastAsia="仿宋" w:cs="仿宋"/>
          <w:b/>
          <w:bCs/>
          <w:color w:val="auto"/>
          <w:sz w:val="28"/>
          <w:szCs w:val="28"/>
        </w:rPr>
        <w:t>开标一览表</w:t>
      </w:r>
    </w:p>
    <w:p>
      <w:pPr>
        <w:spacing w:line="360" w:lineRule="auto"/>
        <w:rPr>
          <w:rFonts w:hint="eastAsia" w:ascii="仿宋" w:hAnsi="仿宋" w:eastAsia="仿宋" w:cs="仿宋"/>
          <w:color w:val="auto"/>
          <w:sz w:val="24"/>
          <w:szCs w:val="24"/>
        </w:rPr>
      </w:pPr>
    </w:p>
    <w:p>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项目名称：                                </w:t>
      </w:r>
    </w:p>
    <w:p>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lang w:eastAsia="zh-CN"/>
        </w:rPr>
        <w:t>项目</w:t>
      </w:r>
      <w:r>
        <w:rPr>
          <w:rFonts w:hint="eastAsia" w:ascii="仿宋" w:hAnsi="仿宋" w:eastAsia="仿宋" w:cs="仿宋"/>
          <w:color w:val="auto"/>
          <w:sz w:val="24"/>
          <w:szCs w:val="24"/>
        </w:rPr>
        <w:t xml:space="preserve">编号： </w:t>
      </w:r>
    </w:p>
    <w:p>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价格单位：（人民币）</w:t>
      </w:r>
    </w:p>
    <w:tbl>
      <w:tblPr>
        <w:tblStyle w:val="82"/>
        <w:tblW w:w="93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6"/>
        <w:gridCol w:w="3680"/>
        <w:gridCol w:w="1120"/>
        <w:gridCol w:w="2309"/>
        <w:gridCol w:w="13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3" w:hRule="atLeast"/>
        </w:trPr>
        <w:tc>
          <w:tcPr>
            <w:tcW w:w="88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序号</w:t>
            </w:r>
          </w:p>
        </w:tc>
        <w:tc>
          <w:tcPr>
            <w:tcW w:w="36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名称</w:t>
            </w:r>
          </w:p>
        </w:tc>
        <w:tc>
          <w:tcPr>
            <w:tcW w:w="112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数量</w:t>
            </w:r>
          </w:p>
        </w:tc>
        <w:tc>
          <w:tcPr>
            <w:tcW w:w="230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投标报价</w:t>
            </w:r>
            <w:r>
              <w:rPr>
                <w:rFonts w:hint="eastAsia" w:ascii="仿宋" w:hAnsi="仿宋" w:eastAsia="仿宋" w:cs="仿宋"/>
                <w:color w:val="auto"/>
                <w:sz w:val="24"/>
                <w:szCs w:val="24"/>
                <w:lang w:eastAsia="zh-CN"/>
              </w:rPr>
              <w:t>（元）</w:t>
            </w:r>
          </w:p>
        </w:tc>
        <w:tc>
          <w:tcPr>
            <w:tcW w:w="136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3" w:hRule="atLeast"/>
        </w:trPr>
        <w:tc>
          <w:tcPr>
            <w:tcW w:w="88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1</w:t>
            </w:r>
          </w:p>
        </w:tc>
        <w:tc>
          <w:tcPr>
            <w:tcW w:w="36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嵊州市鹿山街道宸希未来社区建设项目（办公家具）（第二次）</w:t>
            </w:r>
          </w:p>
        </w:tc>
        <w:tc>
          <w:tcPr>
            <w:tcW w:w="112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1批</w:t>
            </w:r>
          </w:p>
        </w:tc>
        <w:tc>
          <w:tcPr>
            <w:tcW w:w="230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0" w:firstLineChars="0"/>
              <w:jc w:val="center"/>
              <w:textAlignment w:val="auto"/>
              <w:rPr>
                <w:rFonts w:hint="default" w:ascii="仿宋" w:hAnsi="仿宋" w:eastAsia="仿宋" w:cs="仿宋"/>
                <w:color w:val="auto"/>
                <w:sz w:val="24"/>
                <w:szCs w:val="24"/>
                <w:lang w:val="en-US" w:eastAsia="zh-CN"/>
              </w:rPr>
            </w:pPr>
          </w:p>
        </w:tc>
        <w:tc>
          <w:tcPr>
            <w:tcW w:w="136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0" w:firstLineChars="0"/>
              <w:jc w:val="left"/>
              <w:textAlignment w:val="auto"/>
              <w:rPr>
                <w:rFonts w:hint="eastAsia" w:ascii="仿宋" w:hAnsi="仿宋" w:eastAsia="仿宋" w:cs="仿宋"/>
                <w:color w:val="auto"/>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8" w:hRule="atLeast"/>
        </w:trPr>
        <w:tc>
          <w:tcPr>
            <w:tcW w:w="9358" w:type="dxa"/>
            <w:gridSpan w:val="5"/>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0" w:firstLineChars="0"/>
              <w:jc w:val="left"/>
              <w:textAlignment w:val="auto"/>
              <w:rPr>
                <w:rFonts w:hint="default"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投标报价（大写）：                    元整</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firstLine="240" w:firstLineChars="100"/>
        <w:jc w:val="left"/>
        <w:textAlignment w:val="auto"/>
        <w:outlineLvl w:val="9"/>
        <w:rPr>
          <w:rFonts w:hint="eastAsia" w:ascii="仿宋" w:hAnsi="仿宋" w:eastAsia="仿宋" w:cs="仿宋"/>
          <w:color w:val="auto"/>
          <w:sz w:val="24"/>
          <w:szCs w:val="24"/>
          <w:highlight w:val="none"/>
          <w:lang w:eastAsia="zh-CN"/>
        </w:rPr>
      </w:pPr>
      <w:r>
        <w:rPr>
          <w:rFonts w:hint="eastAsia" w:ascii="仿宋" w:hAnsi="仿宋" w:eastAsia="仿宋" w:cs="仿宋"/>
          <w:b w:val="0"/>
          <w:bCs/>
          <w:color w:val="auto"/>
          <w:sz w:val="24"/>
          <w:szCs w:val="24"/>
          <w:highlight w:val="none"/>
        </w:rPr>
        <w:t>注：</w:t>
      </w:r>
      <w:r>
        <w:rPr>
          <w:rFonts w:hint="eastAsia" w:ascii="仿宋" w:hAnsi="仿宋" w:eastAsia="仿宋" w:cs="仿宋"/>
          <w:b w:val="0"/>
          <w:bCs/>
          <w:color w:val="auto"/>
          <w:sz w:val="24"/>
          <w:szCs w:val="24"/>
          <w:highlight w:val="none"/>
          <w:lang w:eastAsia="zh-CN"/>
        </w:rPr>
        <w:t>1.</w:t>
      </w:r>
      <w:r>
        <w:rPr>
          <w:rFonts w:hint="eastAsia" w:ascii="仿宋" w:hAnsi="仿宋" w:eastAsia="仿宋" w:cs="仿宋"/>
          <w:color w:val="auto"/>
          <w:kern w:val="0"/>
          <w:sz w:val="24"/>
          <w:szCs w:val="24"/>
        </w:rPr>
        <w:t>以上</w:t>
      </w:r>
      <w:r>
        <w:rPr>
          <w:rFonts w:hint="eastAsia" w:ascii="仿宋" w:hAnsi="仿宋" w:eastAsia="仿宋" w:cs="仿宋"/>
          <w:color w:val="auto"/>
          <w:kern w:val="0"/>
          <w:sz w:val="24"/>
          <w:szCs w:val="24"/>
          <w:lang w:eastAsia="zh-CN"/>
        </w:rPr>
        <w:t>报</w:t>
      </w:r>
      <w:r>
        <w:rPr>
          <w:rFonts w:hint="eastAsia" w:ascii="仿宋" w:hAnsi="仿宋" w:eastAsia="仿宋" w:cs="仿宋"/>
          <w:color w:val="auto"/>
          <w:kern w:val="0"/>
          <w:sz w:val="24"/>
          <w:szCs w:val="24"/>
        </w:rPr>
        <w:t>价</w:t>
      </w:r>
      <w:r>
        <w:rPr>
          <w:rFonts w:hint="eastAsia" w:ascii="仿宋" w:hAnsi="仿宋" w:eastAsia="仿宋" w:cs="仿宋"/>
          <w:color w:val="auto"/>
          <w:kern w:val="0"/>
          <w:sz w:val="24"/>
          <w:szCs w:val="24"/>
          <w:lang w:val="en-US" w:eastAsia="zh-CN"/>
        </w:rPr>
        <w:t>包含货款、运输、包装、税费、保险、保修及相关服务等</w:t>
      </w:r>
      <w:r>
        <w:rPr>
          <w:rFonts w:hint="eastAsia" w:ascii="仿宋" w:hAnsi="仿宋" w:eastAsia="仿宋" w:cs="仿宋"/>
          <w:color w:val="auto"/>
          <w:kern w:val="0"/>
          <w:sz w:val="24"/>
          <w:highlight w:val="none"/>
          <w:lang w:val="zh-CN"/>
        </w:rPr>
        <w:t>本项目实施所涉及的一切费用均计入报价。</w:t>
      </w:r>
      <w:r>
        <w:rPr>
          <w:rFonts w:hint="eastAsia" w:ascii="仿宋" w:hAnsi="仿宋" w:eastAsia="仿宋" w:cs="仿宋"/>
          <w:b w:val="0"/>
          <w:bCs w:val="0"/>
          <w:color w:val="auto"/>
          <w:sz w:val="24"/>
          <w:szCs w:val="24"/>
          <w:highlight w:val="none"/>
          <w:lang w:val="en-US" w:eastAsia="zh-CN"/>
        </w:rPr>
        <w:t>采购人将以合同形式有偿取得货物或服务，</w:t>
      </w:r>
      <w:r>
        <w:rPr>
          <w:rFonts w:hint="eastAsia" w:ascii="仿宋" w:hAnsi="仿宋" w:eastAsia="仿宋" w:cs="仿宋"/>
          <w:b/>
          <w:bCs/>
          <w:color w:val="auto"/>
          <w:sz w:val="24"/>
          <w:szCs w:val="24"/>
          <w:highlight w:val="none"/>
          <w:lang w:val="en-US" w:eastAsia="zh-CN"/>
        </w:rPr>
        <w:t>不接受投标人给予的赠品、回扣或者与采购无关的其他商品、服务，不得出现“0元”、“免费赠送”等形式的无偿报价</w:t>
      </w:r>
      <w:r>
        <w:rPr>
          <w:rFonts w:hint="eastAsia" w:ascii="仿宋" w:hAnsi="仿宋" w:eastAsia="仿宋" w:cs="仿宋"/>
          <w:b w:val="0"/>
          <w:bCs w:val="0"/>
          <w:color w:val="auto"/>
          <w:sz w:val="24"/>
          <w:szCs w:val="24"/>
          <w:highlight w:val="none"/>
          <w:lang w:val="en-US" w:eastAsia="zh-CN"/>
        </w:rPr>
        <w:t>，否则视为投标文件含有采购人不能接受的附加条件，投标无效</w:t>
      </w:r>
      <w:r>
        <w:rPr>
          <w:rFonts w:hint="eastAsia" w:ascii="仿宋" w:hAnsi="仿宋" w:eastAsia="仿宋" w:cs="仿宋"/>
          <w:color w:val="auto"/>
          <w:sz w:val="24"/>
          <w:szCs w:val="24"/>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2.</w:t>
      </w:r>
      <w:r>
        <w:rPr>
          <w:rFonts w:hint="eastAsia" w:ascii="仿宋" w:hAnsi="仿宋" w:eastAsia="仿宋" w:cs="仿宋"/>
          <w:color w:val="auto"/>
          <w:sz w:val="24"/>
          <w:szCs w:val="24"/>
          <w:highlight w:val="none"/>
        </w:rPr>
        <w:t>报价一经涂改，应在涂改处加盖单位公章或者由法定代表人签字或盖章，否则其投标作无效标处理。</w:t>
      </w:r>
    </w:p>
    <w:p>
      <w:pPr>
        <w:keepNext w:val="0"/>
        <w:keepLines w:val="0"/>
        <w:pageBreakBefore w:val="0"/>
        <w:widowControl w:val="0"/>
        <w:kinsoku/>
        <w:wordWrap/>
        <w:overflowPunct/>
        <w:topLinePunct w:val="0"/>
        <w:autoSpaceDE/>
        <w:autoSpaceDN/>
        <w:bidi w:val="0"/>
        <w:adjustRightInd/>
        <w:snapToGrid/>
        <w:spacing w:line="540" w:lineRule="exact"/>
        <w:ind w:left="5760" w:leftChars="2400" w:firstLine="4320" w:firstLineChars="18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投标人</w:t>
      </w:r>
      <w:r>
        <w:rPr>
          <w:rFonts w:hint="eastAsia" w:ascii="仿宋" w:hAnsi="仿宋" w:eastAsia="仿宋" w:cs="仿宋"/>
          <w:color w:val="auto"/>
          <w:sz w:val="24"/>
          <w:szCs w:val="24"/>
          <w:lang w:val="zh-CN"/>
        </w:rPr>
        <w:t>名称(电子签名)：</w:t>
      </w:r>
    </w:p>
    <w:p>
      <w:pPr>
        <w:keepNext w:val="0"/>
        <w:keepLines w:val="0"/>
        <w:pageBreakBefore w:val="0"/>
        <w:widowControl w:val="0"/>
        <w:kinsoku/>
        <w:wordWrap/>
        <w:overflowPunct/>
        <w:topLinePunct w:val="0"/>
        <w:autoSpaceDE/>
        <w:autoSpaceDN/>
        <w:bidi w:val="0"/>
        <w:adjustRightInd/>
        <w:snapToGrid/>
        <w:spacing w:line="540" w:lineRule="exact"/>
        <w:ind w:left="6240" w:leftChars="1700" w:hanging="2160" w:hangingChars="900"/>
        <w:textAlignment w:val="auto"/>
        <w:rPr>
          <w:rFonts w:hint="eastAsia"/>
          <w:color w:val="auto"/>
        </w:rPr>
        <w:sectPr>
          <w:pgSz w:w="11906" w:h="16838"/>
          <w:pgMar w:top="1474" w:right="1287" w:bottom="1304" w:left="1570"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lang w:eastAsia="zh-CN"/>
        </w:rPr>
        <w:t>日期：</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 xml:space="preserve"> 年  月  日</w:t>
      </w:r>
    </w:p>
    <w:p>
      <w:pPr>
        <w:jc w:val="center"/>
        <w:rPr>
          <w:rFonts w:hint="eastAsia" w:ascii="仿宋" w:hAnsi="仿宋" w:eastAsia="仿宋" w:cs="仿宋"/>
          <w:b/>
          <w:bCs/>
          <w:color w:val="auto"/>
          <w:sz w:val="28"/>
          <w:szCs w:val="28"/>
        </w:rPr>
      </w:pPr>
      <w:r>
        <w:rPr>
          <w:rFonts w:hint="eastAsia" w:ascii="仿宋" w:hAnsi="仿宋" w:eastAsia="仿宋" w:cs="仿宋"/>
          <w:b/>
          <w:bCs/>
          <w:color w:val="auto"/>
          <w:sz w:val="28"/>
          <w:szCs w:val="28"/>
          <w:lang w:val="en-US" w:eastAsia="zh-CN"/>
        </w:rPr>
        <w:t>（二）投标</w:t>
      </w:r>
      <w:r>
        <w:rPr>
          <w:rFonts w:hint="eastAsia" w:ascii="仿宋" w:hAnsi="仿宋" w:eastAsia="仿宋" w:cs="仿宋"/>
          <w:b/>
          <w:bCs/>
          <w:color w:val="auto"/>
          <w:sz w:val="28"/>
          <w:szCs w:val="28"/>
        </w:rPr>
        <w:t>报价明细表</w:t>
      </w:r>
    </w:p>
    <w:p>
      <w:pPr>
        <w:snapToGrid w:val="0"/>
        <w:spacing w:line="400" w:lineRule="exact"/>
        <w:rPr>
          <w:rFonts w:hint="eastAsia" w:ascii="仿宋" w:hAnsi="仿宋" w:eastAsia="仿宋" w:cs="仿宋"/>
          <w:color w:val="auto"/>
          <w:sz w:val="24"/>
          <w:szCs w:val="24"/>
        </w:rPr>
      </w:pPr>
    </w:p>
    <w:p>
      <w:pPr>
        <w:snapToGrid w:val="0"/>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项目名称：</w:t>
      </w:r>
    </w:p>
    <w:p>
      <w:pPr>
        <w:snapToGrid w:val="0"/>
        <w:spacing w:line="400" w:lineRule="exact"/>
        <w:rPr>
          <w:rFonts w:hint="eastAsia" w:ascii="仿宋" w:hAnsi="仿宋" w:eastAsia="仿宋" w:cs="仿宋"/>
          <w:color w:val="auto"/>
          <w:sz w:val="24"/>
          <w:szCs w:val="24"/>
          <w:u w:val="single"/>
        </w:rPr>
      </w:pPr>
      <w:r>
        <w:rPr>
          <w:rFonts w:hint="eastAsia" w:ascii="仿宋" w:hAnsi="仿宋" w:eastAsia="仿宋" w:cs="仿宋"/>
          <w:color w:val="auto"/>
          <w:sz w:val="24"/>
          <w:szCs w:val="24"/>
        </w:rPr>
        <w:t>项目编号：</w:t>
      </w:r>
    </w:p>
    <w:p>
      <w:pPr>
        <w:snapToGrid w:val="0"/>
        <w:spacing w:line="400" w:lineRule="exact"/>
        <w:jc w:val="left"/>
        <w:rPr>
          <w:rFonts w:hint="eastAsia" w:ascii="仿宋" w:hAnsi="仿宋" w:eastAsia="仿宋" w:cs="仿宋"/>
          <w:b/>
          <w:color w:val="auto"/>
          <w:sz w:val="24"/>
          <w:szCs w:val="24"/>
        </w:rPr>
      </w:pPr>
      <w:r>
        <w:rPr>
          <w:rFonts w:hint="eastAsia" w:ascii="仿宋" w:hAnsi="仿宋" w:eastAsia="仿宋" w:cs="仿宋"/>
          <w:color w:val="auto"/>
          <w:sz w:val="24"/>
          <w:szCs w:val="24"/>
        </w:rPr>
        <w:t>单位：人民币（元）</w:t>
      </w:r>
    </w:p>
    <w:tbl>
      <w:tblPr>
        <w:tblStyle w:val="82"/>
        <w:tblW w:w="9334" w:type="dxa"/>
        <w:tblInd w:w="-1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7"/>
        <w:gridCol w:w="1855"/>
        <w:gridCol w:w="907"/>
        <w:gridCol w:w="1686"/>
        <w:gridCol w:w="1229"/>
        <w:gridCol w:w="1546"/>
        <w:gridCol w:w="13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21"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jc w:val="center"/>
              <w:rPr>
                <w:rStyle w:val="505"/>
                <w:rFonts w:hint="eastAsia" w:ascii="仿宋" w:hAnsi="仿宋" w:eastAsia="仿宋" w:cs="仿宋"/>
                <w:color w:val="auto"/>
                <w:sz w:val="24"/>
                <w:szCs w:val="24"/>
              </w:rPr>
            </w:pPr>
            <w:r>
              <w:rPr>
                <w:rStyle w:val="505"/>
                <w:rFonts w:hint="eastAsia" w:ascii="仿宋" w:hAnsi="仿宋" w:eastAsia="仿宋" w:cs="仿宋"/>
                <w:color w:val="auto"/>
                <w:sz w:val="24"/>
                <w:szCs w:val="24"/>
              </w:rPr>
              <w:t>序号</w:t>
            </w:r>
          </w:p>
        </w:tc>
        <w:tc>
          <w:tcPr>
            <w:tcW w:w="18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jc w:val="center"/>
              <w:rPr>
                <w:rStyle w:val="505"/>
                <w:rFonts w:hint="eastAsia" w:ascii="仿宋" w:hAnsi="仿宋" w:eastAsia="仿宋" w:cs="仿宋"/>
                <w:color w:val="auto"/>
                <w:sz w:val="24"/>
                <w:szCs w:val="24"/>
              </w:rPr>
            </w:pPr>
            <w:r>
              <w:rPr>
                <w:rStyle w:val="505"/>
                <w:rFonts w:hint="eastAsia" w:ascii="仿宋" w:hAnsi="仿宋" w:eastAsia="仿宋" w:cs="仿宋"/>
                <w:color w:val="auto"/>
                <w:sz w:val="24"/>
                <w:szCs w:val="24"/>
              </w:rPr>
              <w:t>名称</w:t>
            </w:r>
          </w:p>
        </w:tc>
        <w:tc>
          <w:tcPr>
            <w:tcW w:w="9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jc w:val="center"/>
              <w:rPr>
                <w:rStyle w:val="505"/>
                <w:rFonts w:hint="eastAsia" w:ascii="仿宋" w:hAnsi="仿宋" w:eastAsia="仿宋" w:cs="仿宋"/>
                <w:color w:val="auto"/>
                <w:sz w:val="24"/>
                <w:szCs w:val="24"/>
              </w:rPr>
            </w:pPr>
            <w:r>
              <w:rPr>
                <w:rStyle w:val="505"/>
                <w:rFonts w:hint="eastAsia" w:ascii="仿宋" w:hAnsi="仿宋" w:eastAsia="仿宋" w:cs="仿宋"/>
                <w:color w:val="auto"/>
                <w:sz w:val="24"/>
                <w:szCs w:val="24"/>
              </w:rPr>
              <w:t>数量</w:t>
            </w:r>
          </w:p>
        </w:tc>
        <w:tc>
          <w:tcPr>
            <w:tcW w:w="1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jc w:val="center"/>
              <w:rPr>
                <w:rStyle w:val="505"/>
                <w:rFonts w:hint="eastAsia" w:ascii="仿宋" w:hAnsi="仿宋" w:eastAsia="仿宋" w:cs="仿宋"/>
                <w:color w:val="auto"/>
                <w:sz w:val="24"/>
                <w:szCs w:val="24"/>
                <w:lang w:eastAsia="zh-CN"/>
              </w:rPr>
            </w:pPr>
            <w:r>
              <w:rPr>
                <w:rStyle w:val="505"/>
                <w:rFonts w:hint="eastAsia" w:ascii="仿宋" w:hAnsi="仿宋" w:eastAsia="仿宋" w:cs="仿宋"/>
                <w:color w:val="auto"/>
                <w:sz w:val="24"/>
                <w:szCs w:val="24"/>
              </w:rPr>
              <w:t>品牌</w:t>
            </w:r>
            <w:r>
              <w:rPr>
                <w:rStyle w:val="505"/>
                <w:rFonts w:hint="eastAsia" w:ascii="仿宋" w:hAnsi="仿宋" w:eastAsia="仿宋" w:cs="仿宋"/>
                <w:color w:val="auto"/>
                <w:sz w:val="24"/>
                <w:szCs w:val="24"/>
                <w:lang w:eastAsia="zh-CN"/>
              </w:rPr>
              <w:t>（</w:t>
            </w:r>
            <w:r>
              <w:rPr>
                <w:rStyle w:val="505"/>
                <w:rFonts w:hint="eastAsia" w:ascii="仿宋" w:hAnsi="仿宋" w:eastAsia="仿宋" w:cs="仿宋"/>
                <w:color w:val="auto"/>
                <w:sz w:val="24"/>
                <w:szCs w:val="24"/>
                <w:lang w:val="en-US" w:eastAsia="zh-CN"/>
              </w:rPr>
              <w:t>如有</w:t>
            </w:r>
            <w:r>
              <w:rPr>
                <w:rStyle w:val="505"/>
                <w:rFonts w:hint="eastAsia" w:ascii="仿宋" w:hAnsi="仿宋" w:eastAsia="仿宋" w:cs="仿宋"/>
                <w:color w:val="auto"/>
                <w:sz w:val="24"/>
                <w:szCs w:val="24"/>
                <w:lang w:eastAsia="zh-CN"/>
              </w:rPr>
              <w:t>）</w:t>
            </w:r>
          </w:p>
        </w:tc>
        <w:tc>
          <w:tcPr>
            <w:tcW w:w="12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jc w:val="center"/>
              <w:rPr>
                <w:rStyle w:val="505"/>
                <w:rFonts w:hint="eastAsia" w:ascii="仿宋" w:hAnsi="仿宋" w:eastAsia="仿宋" w:cs="仿宋"/>
                <w:color w:val="auto"/>
                <w:sz w:val="24"/>
                <w:szCs w:val="24"/>
                <w:lang w:eastAsia="zh-CN"/>
              </w:rPr>
            </w:pPr>
            <w:r>
              <w:rPr>
                <w:rStyle w:val="505"/>
                <w:rFonts w:hint="eastAsia" w:ascii="仿宋" w:hAnsi="仿宋" w:eastAsia="仿宋" w:cs="仿宋"/>
                <w:color w:val="auto"/>
                <w:sz w:val="24"/>
                <w:szCs w:val="24"/>
              </w:rPr>
              <w:t>规格型号</w:t>
            </w:r>
            <w:r>
              <w:rPr>
                <w:rStyle w:val="505"/>
                <w:rFonts w:hint="eastAsia" w:ascii="仿宋" w:hAnsi="仿宋" w:eastAsia="仿宋" w:cs="仿宋"/>
                <w:color w:val="auto"/>
                <w:sz w:val="24"/>
                <w:szCs w:val="24"/>
                <w:lang w:eastAsia="zh-CN"/>
              </w:rPr>
              <w:t>（</w:t>
            </w:r>
            <w:r>
              <w:rPr>
                <w:rStyle w:val="505"/>
                <w:rFonts w:hint="eastAsia" w:ascii="仿宋" w:hAnsi="仿宋" w:eastAsia="仿宋" w:cs="仿宋"/>
                <w:color w:val="auto"/>
                <w:sz w:val="24"/>
                <w:szCs w:val="24"/>
                <w:lang w:val="en-US" w:eastAsia="zh-CN"/>
              </w:rPr>
              <w:t>或具体服务</w:t>
            </w:r>
            <w:r>
              <w:rPr>
                <w:rStyle w:val="505"/>
                <w:rFonts w:hint="eastAsia" w:ascii="仿宋" w:hAnsi="仿宋" w:eastAsia="仿宋" w:cs="仿宋"/>
                <w:color w:val="auto"/>
                <w:sz w:val="24"/>
                <w:szCs w:val="24"/>
                <w:lang w:eastAsia="zh-CN"/>
              </w:rPr>
              <w:t>）</w:t>
            </w:r>
          </w:p>
        </w:tc>
        <w:tc>
          <w:tcPr>
            <w:tcW w:w="15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jc w:val="center"/>
              <w:rPr>
                <w:rStyle w:val="505"/>
                <w:rFonts w:hint="eastAsia" w:ascii="仿宋" w:hAnsi="仿宋" w:eastAsia="仿宋" w:cs="仿宋"/>
                <w:color w:val="auto"/>
                <w:sz w:val="24"/>
                <w:szCs w:val="24"/>
              </w:rPr>
            </w:pPr>
            <w:r>
              <w:rPr>
                <w:rStyle w:val="505"/>
                <w:rFonts w:hint="eastAsia" w:ascii="仿宋" w:hAnsi="仿宋" w:eastAsia="仿宋" w:cs="仿宋"/>
                <w:color w:val="auto"/>
                <w:sz w:val="24"/>
                <w:szCs w:val="24"/>
              </w:rPr>
              <w:t>单价</w:t>
            </w:r>
          </w:p>
        </w:tc>
        <w:tc>
          <w:tcPr>
            <w:tcW w:w="13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jc w:val="center"/>
              <w:rPr>
                <w:rStyle w:val="505"/>
                <w:rFonts w:hint="eastAsia" w:ascii="仿宋" w:hAnsi="仿宋" w:eastAsia="仿宋" w:cs="仿宋"/>
                <w:color w:val="auto"/>
                <w:sz w:val="24"/>
                <w:szCs w:val="24"/>
              </w:rPr>
            </w:pPr>
            <w:r>
              <w:rPr>
                <w:rStyle w:val="505"/>
                <w:rFonts w:hint="eastAsia" w:ascii="仿宋" w:hAnsi="仿宋" w:eastAsia="仿宋" w:cs="仿宋"/>
                <w:color w:val="auto"/>
                <w:sz w:val="24"/>
                <w:szCs w:val="24"/>
              </w:rPr>
              <w:t>小计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81"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jc w:val="center"/>
              <w:rPr>
                <w:rStyle w:val="505"/>
                <w:rFonts w:hint="eastAsia" w:ascii="仿宋" w:hAnsi="仿宋" w:eastAsia="仿宋" w:cs="仿宋"/>
                <w:color w:val="auto"/>
                <w:sz w:val="24"/>
                <w:szCs w:val="24"/>
              </w:rPr>
            </w:pPr>
            <w:r>
              <w:rPr>
                <w:rStyle w:val="505"/>
                <w:rFonts w:hint="eastAsia" w:ascii="仿宋" w:hAnsi="仿宋" w:eastAsia="仿宋" w:cs="仿宋"/>
                <w:color w:val="auto"/>
                <w:sz w:val="24"/>
                <w:szCs w:val="24"/>
              </w:rPr>
              <w:t>1</w:t>
            </w:r>
          </w:p>
        </w:tc>
        <w:tc>
          <w:tcPr>
            <w:tcW w:w="18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jc w:val="center"/>
              <w:rPr>
                <w:rStyle w:val="505"/>
                <w:rFonts w:hint="eastAsia" w:ascii="仿宋" w:hAnsi="仿宋" w:eastAsia="仿宋" w:cs="仿宋"/>
                <w:color w:val="auto"/>
                <w:sz w:val="24"/>
                <w:szCs w:val="24"/>
              </w:rPr>
            </w:pPr>
          </w:p>
        </w:tc>
        <w:tc>
          <w:tcPr>
            <w:tcW w:w="9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505"/>
                <w:rFonts w:hint="eastAsia" w:ascii="仿宋" w:hAnsi="仿宋" w:eastAsia="仿宋" w:cs="仿宋"/>
                <w:color w:val="auto"/>
                <w:sz w:val="24"/>
                <w:szCs w:val="24"/>
              </w:rPr>
            </w:pPr>
          </w:p>
        </w:tc>
        <w:tc>
          <w:tcPr>
            <w:tcW w:w="1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505"/>
                <w:rFonts w:hint="eastAsia" w:ascii="仿宋" w:hAnsi="仿宋" w:eastAsia="仿宋" w:cs="仿宋"/>
                <w:color w:val="auto"/>
                <w:sz w:val="24"/>
                <w:szCs w:val="24"/>
              </w:rPr>
            </w:pPr>
          </w:p>
        </w:tc>
        <w:tc>
          <w:tcPr>
            <w:tcW w:w="12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505"/>
                <w:rFonts w:hint="eastAsia" w:ascii="仿宋" w:hAnsi="仿宋" w:eastAsia="仿宋" w:cs="仿宋"/>
                <w:color w:val="auto"/>
                <w:sz w:val="24"/>
                <w:szCs w:val="24"/>
              </w:rPr>
            </w:pPr>
          </w:p>
        </w:tc>
        <w:tc>
          <w:tcPr>
            <w:tcW w:w="15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505"/>
                <w:rFonts w:hint="eastAsia" w:ascii="仿宋" w:hAnsi="仿宋" w:eastAsia="仿宋" w:cs="仿宋"/>
                <w:color w:val="auto"/>
                <w:sz w:val="24"/>
                <w:szCs w:val="24"/>
              </w:rPr>
            </w:pPr>
          </w:p>
        </w:tc>
        <w:tc>
          <w:tcPr>
            <w:tcW w:w="13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505"/>
                <w:rFonts w:hint="eastAsia" w:ascii="仿宋" w:hAnsi="仿宋" w:eastAsia="仿宋" w:cs="仿宋"/>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05"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jc w:val="center"/>
              <w:rPr>
                <w:rStyle w:val="505"/>
                <w:rFonts w:hint="eastAsia" w:ascii="仿宋" w:hAnsi="仿宋" w:eastAsia="仿宋" w:cs="仿宋"/>
                <w:color w:val="auto"/>
                <w:sz w:val="24"/>
                <w:szCs w:val="24"/>
              </w:rPr>
            </w:pPr>
            <w:r>
              <w:rPr>
                <w:rStyle w:val="505"/>
                <w:rFonts w:hint="eastAsia" w:ascii="仿宋" w:hAnsi="仿宋" w:eastAsia="仿宋" w:cs="仿宋"/>
                <w:color w:val="auto"/>
                <w:sz w:val="24"/>
                <w:szCs w:val="24"/>
              </w:rPr>
              <w:t>2</w:t>
            </w:r>
          </w:p>
        </w:tc>
        <w:tc>
          <w:tcPr>
            <w:tcW w:w="18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jc w:val="center"/>
              <w:rPr>
                <w:rStyle w:val="505"/>
                <w:rFonts w:hint="eastAsia" w:ascii="仿宋" w:hAnsi="仿宋" w:eastAsia="仿宋" w:cs="仿宋"/>
                <w:color w:val="auto"/>
                <w:sz w:val="24"/>
                <w:szCs w:val="24"/>
              </w:rPr>
            </w:pPr>
          </w:p>
        </w:tc>
        <w:tc>
          <w:tcPr>
            <w:tcW w:w="9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505"/>
                <w:rFonts w:hint="eastAsia" w:ascii="仿宋" w:hAnsi="仿宋" w:eastAsia="仿宋" w:cs="仿宋"/>
                <w:color w:val="auto"/>
                <w:sz w:val="24"/>
                <w:szCs w:val="24"/>
              </w:rPr>
            </w:pPr>
          </w:p>
        </w:tc>
        <w:tc>
          <w:tcPr>
            <w:tcW w:w="1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505"/>
                <w:rFonts w:hint="eastAsia" w:ascii="仿宋" w:hAnsi="仿宋" w:eastAsia="仿宋" w:cs="仿宋"/>
                <w:color w:val="auto"/>
                <w:sz w:val="24"/>
                <w:szCs w:val="24"/>
              </w:rPr>
            </w:pPr>
          </w:p>
        </w:tc>
        <w:tc>
          <w:tcPr>
            <w:tcW w:w="12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505"/>
                <w:rFonts w:hint="eastAsia" w:ascii="仿宋" w:hAnsi="仿宋" w:eastAsia="仿宋" w:cs="仿宋"/>
                <w:color w:val="auto"/>
                <w:sz w:val="24"/>
                <w:szCs w:val="24"/>
              </w:rPr>
            </w:pPr>
          </w:p>
        </w:tc>
        <w:tc>
          <w:tcPr>
            <w:tcW w:w="15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505"/>
                <w:rFonts w:hint="eastAsia" w:ascii="仿宋" w:hAnsi="仿宋" w:eastAsia="仿宋" w:cs="仿宋"/>
                <w:color w:val="auto"/>
                <w:sz w:val="24"/>
                <w:szCs w:val="24"/>
              </w:rPr>
            </w:pPr>
          </w:p>
        </w:tc>
        <w:tc>
          <w:tcPr>
            <w:tcW w:w="13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505"/>
                <w:rFonts w:hint="eastAsia" w:ascii="仿宋" w:hAnsi="仿宋" w:eastAsia="仿宋" w:cs="仿宋"/>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85"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jc w:val="center"/>
              <w:rPr>
                <w:rStyle w:val="505"/>
                <w:rFonts w:hint="eastAsia" w:ascii="仿宋" w:hAnsi="仿宋" w:eastAsia="仿宋" w:cs="仿宋"/>
                <w:color w:val="auto"/>
                <w:sz w:val="24"/>
                <w:szCs w:val="24"/>
              </w:rPr>
            </w:pPr>
            <w:r>
              <w:rPr>
                <w:rStyle w:val="505"/>
                <w:rFonts w:hint="eastAsia" w:ascii="仿宋" w:hAnsi="仿宋" w:eastAsia="仿宋" w:cs="仿宋"/>
                <w:color w:val="auto"/>
                <w:sz w:val="24"/>
                <w:szCs w:val="24"/>
              </w:rPr>
              <w:t>3</w:t>
            </w:r>
          </w:p>
        </w:tc>
        <w:tc>
          <w:tcPr>
            <w:tcW w:w="18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jc w:val="center"/>
              <w:rPr>
                <w:rStyle w:val="505"/>
                <w:rFonts w:hint="eastAsia" w:ascii="仿宋" w:hAnsi="仿宋" w:eastAsia="仿宋" w:cs="仿宋"/>
                <w:color w:val="auto"/>
                <w:sz w:val="24"/>
                <w:szCs w:val="24"/>
              </w:rPr>
            </w:pPr>
          </w:p>
        </w:tc>
        <w:tc>
          <w:tcPr>
            <w:tcW w:w="9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505"/>
                <w:rFonts w:hint="eastAsia" w:ascii="仿宋" w:hAnsi="仿宋" w:eastAsia="仿宋" w:cs="仿宋"/>
                <w:color w:val="auto"/>
                <w:sz w:val="24"/>
                <w:szCs w:val="24"/>
              </w:rPr>
            </w:pPr>
          </w:p>
        </w:tc>
        <w:tc>
          <w:tcPr>
            <w:tcW w:w="1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505"/>
                <w:rFonts w:hint="eastAsia" w:ascii="仿宋" w:hAnsi="仿宋" w:eastAsia="仿宋" w:cs="仿宋"/>
                <w:color w:val="auto"/>
                <w:sz w:val="24"/>
                <w:szCs w:val="24"/>
              </w:rPr>
            </w:pPr>
          </w:p>
        </w:tc>
        <w:tc>
          <w:tcPr>
            <w:tcW w:w="12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505"/>
                <w:rFonts w:hint="eastAsia" w:ascii="仿宋" w:hAnsi="仿宋" w:eastAsia="仿宋" w:cs="仿宋"/>
                <w:color w:val="auto"/>
                <w:sz w:val="24"/>
                <w:szCs w:val="24"/>
              </w:rPr>
            </w:pPr>
          </w:p>
        </w:tc>
        <w:tc>
          <w:tcPr>
            <w:tcW w:w="15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505"/>
                <w:rFonts w:hint="eastAsia" w:ascii="仿宋" w:hAnsi="仿宋" w:eastAsia="仿宋" w:cs="仿宋"/>
                <w:color w:val="auto"/>
                <w:sz w:val="24"/>
                <w:szCs w:val="24"/>
              </w:rPr>
            </w:pPr>
          </w:p>
        </w:tc>
        <w:tc>
          <w:tcPr>
            <w:tcW w:w="13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505"/>
                <w:rFonts w:hint="eastAsia" w:ascii="仿宋" w:hAnsi="仿宋" w:eastAsia="仿宋" w:cs="仿宋"/>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20" w:hRule="atLeast"/>
        </w:trPr>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jc w:val="center"/>
              <w:rPr>
                <w:rStyle w:val="505"/>
                <w:rFonts w:hint="eastAsia" w:ascii="仿宋" w:hAnsi="仿宋" w:eastAsia="仿宋" w:cs="仿宋"/>
                <w:color w:val="auto"/>
                <w:sz w:val="24"/>
                <w:szCs w:val="24"/>
              </w:rPr>
            </w:pPr>
          </w:p>
        </w:tc>
        <w:tc>
          <w:tcPr>
            <w:tcW w:w="18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rPr>
                <w:rStyle w:val="505"/>
                <w:rFonts w:hint="eastAsia" w:ascii="仿宋" w:hAnsi="仿宋" w:eastAsia="仿宋" w:cs="仿宋"/>
                <w:color w:val="auto"/>
                <w:sz w:val="24"/>
                <w:szCs w:val="24"/>
              </w:rPr>
            </w:pPr>
            <w:r>
              <w:rPr>
                <w:rStyle w:val="505"/>
                <w:rFonts w:hint="eastAsia" w:ascii="仿宋" w:hAnsi="仿宋" w:eastAsia="仿宋" w:cs="仿宋"/>
                <w:b/>
                <w:bCs/>
                <w:color w:val="auto"/>
                <w:sz w:val="24"/>
                <w:szCs w:val="24"/>
              </w:rPr>
              <w:t>……</w:t>
            </w:r>
          </w:p>
        </w:tc>
        <w:tc>
          <w:tcPr>
            <w:tcW w:w="9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505"/>
                <w:rFonts w:hint="eastAsia" w:ascii="仿宋" w:hAnsi="仿宋" w:eastAsia="仿宋" w:cs="仿宋"/>
                <w:color w:val="auto"/>
                <w:sz w:val="24"/>
                <w:szCs w:val="24"/>
              </w:rPr>
            </w:pPr>
          </w:p>
        </w:tc>
        <w:tc>
          <w:tcPr>
            <w:tcW w:w="1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505"/>
                <w:rFonts w:hint="eastAsia" w:ascii="仿宋" w:hAnsi="仿宋" w:eastAsia="仿宋" w:cs="仿宋"/>
                <w:color w:val="auto"/>
                <w:sz w:val="24"/>
                <w:szCs w:val="24"/>
              </w:rPr>
            </w:pPr>
          </w:p>
        </w:tc>
        <w:tc>
          <w:tcPr>
            <w:tcW w:w="12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505"/>
                <w:rFonts w:hint="eastAsia" w:ascii="仿宋" w:hAnsi="仿宋" w:eastAsia="仿宋" w:cs="仿宋"/>
                <w:color w:val="auto"/>
                <w:sz w:val="24"/>
                <w:szCs w:val="24"/>
              </w:rPr>
            </w:pPr>
          </w:p>
        </w:tc>
        <w:tc>
          <w:tcPr>
            <w:tcW w:w="15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505"/>
                <w:rFonts w:hint="eastAsia" w:ascii="仿宋" w:hAnsi="仿宋" w:eastAsia="仿宋" w:cs="仿宋"/>
                <w:color w:val="auto"/>
                <w:sz w:val="24"/>
                <w:szCs w:val="24"/>
              </w:rPr>
            </w:pPr>
          </w:p>
        </w:tc>
        <w:tc>
          <w:tcPr>
            <w:tcW w:w="13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505"/>
                <w:rFonts w:hint="eastAsia" w:ascii="仿宋" w:hAnsi="仿宋" w:eastAsia="仿宋" w:cs="仿宋"/>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30" w:hRule="atLeast"/>
        </w:trPr>
        <w:tc>
          <w:tcPr>
            <w:tcW w:w="9334" w:type="dxa"/>
            <w:gridSpan w:val="7"/>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rPr>
                <w:rStyle w:val="505"/>
                <w:rFonts w:hint="eastAsia" w:ascii="仿宋" w:hAnsi="仿宋" w:eastAsia="仿宋" w:cs="仿宋"/>
                <w:color w:val="auto"/>
                <w:sz w:val="24"/>
                <w:szCs w:val="24"/>
              </w:rPr>
            </w:pPr>
            <w:r>
              <w:rPr>
                <w:rStyle w:val="505"/>
                <w:rFonts w:hint="eastAsia" w:ascii="仿宋" w:hAnsi="仿宋" w:eastAsia="仿宋" w:cs="仿宋"/>
                <w:color w:val="auto"/>
                <w:sz w:val="24"/>
                <w:szCs w:val="24"/>
              </w:rPr>
              <w:t>投标报价</w:t>
            </w:r>
            <w:r>
              <w:rPr>
                <w:rStyle w:val="505"/>
                <w:rFonts w:hint="eastAsia" w:ascii="仿宋" w:hAnsi="仿宋" w:eastAsia="仿宋" w:cs="仿宋"/>
                <w:color w:val="auto"/>
                <w:sz w:val="24"/>
                <w:szCs w:val="24"/>
                <w:lang w:eastAsia="zh-CN"/>
              </w:rPr>
              <w:t>合计</w:t>
            </w:r>
            <w:r>
              <w:rPr>
                <w:rStyle w:val="505"/>
                <w:rFonts w:hint="eastAsia" w:ascii="仿宋" w:hAnsi="仿宋" w:eastAsia="仿宋" w:cs="仿宋"/>
                <w:color w:val="auto"/>
                <w:sz w:val="24"/>
                <w:szCs w:val="24"/>
              </w:rPr>
              <w:t>（小写）：             元；大写：</w:t>
            </w:r>
          </w:p>
        </w:tc>
      </w:tr>
    </w:tbl>
    <w:p>
      <w:pPr>
        <w:keepNext w:val="0"/>
        <w:keepLines w:val="0"/>
        <w:pageBreakBefore w:val="0"/>
        <w:widowControl w:val="0"/>
        <w:kinsoku/>
        <w:wordWrap/>
        <w:overflowPunct/>
        <w:topLinePunct w:val="0"/>
        <w:autoSpaceDE/>
        <w:autoSpaceDN/>
        <w:bidi w:val="0"/>
        <w:adjustRightInd/>
        <w:snapToGrid w:val="0"/>
        <w:spacing w:line="400" w:lineRule="exact"/>
        <w:textAlignment w:val="auto"/>
        <w:rPr>
          <w:rStyle w:val="505"/>
          <w:rFonts w:hint="eastAsia" w:ascii="仿宋" w:hAnsi="仿宋" w:eastAsia="仿宋" w:cs="仿宋"/>
          <w:color w:val="auto"/>
          <w:sz w:val="24"/>
          <w:szCs w:val="24"/>
        </w:rPr>
      </w:pPr>
      <w:r>
        <w:rPr>
          <w:rStyle w:val="505"/>
          <w:rFonts w:hint="eastAsia" w:ascii="仿宋" w:hAnsi="仿宋" w:eastAsia="仿宋" w:cs="仿宋"/>
          <w:color w:val="auto"/>
          <w:sz w:val="24"/>
          <w:szCs w:val="24"/>
          <w:lang w:val="en-US" w:eastAsia="zh-CN"/>
        </w:rPr>
        <w:t>注：1.投标总报价包括但不限于人工费（含工资、加班、保险等全部费用）、策划费、管理费、工具、设备、保险、交通、利润、验收、税金、其他辅助工作等完成本项目的所有费用</w:t>
      </w:r>
      <w:r>
        <w:rPr>
          <w:rStyle w:val="505"/>
          <w:rFonts w:hint="eastAsia" w:ascii="仿宋" w:hAnsi="仿宋" w:eastAsia="仿宋" w:cs="仿宋"/>
          <w:color w:val="auto"/>
          <w:sz w:val="24"/>
          <w:szCs w:val="24"/>
        </w:rPr>
        <w:t>。</w:t>
      </w:r>
    </w:p>
    <w:p>
      <w:pPr>
        <w:keepNext w:val="0"/>
        <w:keepLines w:val="0"/>
        <w:pageBreakBefore w:val="0"/>
        <w:widowControl w:val="0"/>
        <w:kinsoku/>
        <w:wordWrap/>
        <w:overflowPunct/>
        <w:topLinePunct w:val="0"/>
        <w:autoSpaceDE/>
        <w:autoSpaceDN/>
        <w:bidi w:val="0"/>
        <w:adjustRightInd/>
        <w:snapToGrid w:val="0"/>
        <w:spacing w:line="400" w:lineRule="exact"/>
        <w:ind w:left="0" w:leftChars="0" w:firstLine="480" w:firstLineChars="20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报价一经涂改，应在涂改处加盖单位公章或者由法定代表人签字或盖章，否则其投标作无效标处理。</w:t>
      </w:r>
    </w:p>
    <w:p>
      <w:pPr>
        <w:keepNext w:val="0"/>
        <w:keepLines w:val="0"/>
        <w:pageBreakBefore w:val="0"/>
        <w:widowControl w:val="0"/>
        <w:kinsoku/>
        <w:wordWrap/>
        <w:overflowPunct/>
        <w:topLinePunct w:val="0"/>
        <w:autoSpaceDE/>
        <w:autoSpaceDN/>
        <w:bidi w:val="0"/>
        <w:adjustRightInd/>
        <w:spacing w:line="400" w:lineRule="exact"/>
        <w:ind w:firstLine="480"/>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采购人将以合同形式有偿取得货物或服务，不接受投标人给予的赠品、回扣或者与采购无关的其他商品、服务，不得出现“0元”、“免费赠送”等形式的无偿报价，否则视为投标文件含有采购人不能接受的附加条件，投标无效。</w:t>
      </w:r>
    </w:p>
    <w:p>
      <w:pPr>
        <w:pStyle w:val="338"/>
        <w:keepNext w:val="0"/>
        <w:keepLines w:val="0"/>
        <w:pageBreakBefore w:val="0"/>
        <w:widowControl w:val="0"/>
        <w:kinsoku/>
        <w:wordWrap/>
        <w:overflowPunct/>
        <w:topLinePunct w:val="0"/>
        <w:autoSpaceDE/>
        <w:autoSpaceDN/>
        <w:bidi w:val="0"/>
        <w:adjustRightInd/>
        <w:snapToGrid w:val="0"/>
        <w:spacing w:before="120" w:after="120" w:line="400" w:lineRule="exact"/>
        <w:ind w:firstLine="480" w:firstLineChars="200"/>
        <w:textAlignment w:val="auto"/>
        <w:rPr>
          <w:rStyle w:val="505"/>
          <w:rFonts w:hint="eastAsia" w:ascii="仿宋" w:hAnsi="仿宋" w:eastAsia="仿宋" w:cs="仿宋"/>
          <w:color w:val="auto"/>
          <w:sz w:val="24"/>
          <w:szCs w:val="24"/>
        </w:rPr>
      </w:pPr>
      <w:r>
        <w:rPr>
          <w:rStyle w:val="505"/>
          <w:rFonts w:hint="eastAsia" w:ascii="仿宋" w:hAnsi="仿宋" w:eastAsia="仿宋" w:cs="仿宋"/>
          <w:color w:val="auto"/>
          <w:sz w:val="24"/>
          <w:szCs w:val="24"/>
          <w:lang w:val="en-US" w:eastAsia="zh-CN"/>
        </w:rPr>
        <w:t>4.</w:t>
      </w:r>
      <w:r>
        <w:rPr>
          <w:rStyle w:val="505"/>
          <w:rFonts w:hint="eastAsia" w:ascii="仿宋" w:hAnsi="仿宋" w:eastAsia="仿宋" w:cs="仿宋"/>
          <w:color w:val="auto"/>
          <w:sz w:val="24"/>
          <w:szCs w:val="24"/>
        </w:rPr>
        <w:t>名称按不同采购内容分别填写，</w:t>
      </w:r>
      <w:r>
        <w:rPr>
          <w:rStyle w:val="505"/>
          <w:rFonts w:hint="eastAsia" w:ascii="仿宋" w:hAnsi="仿宋" w:eastAsia="仿宋" w:cs="仿宋"/>
          <w:color w:val="auto"/>
          <w:sz w:val="24"/>
          <w:szCs w:val="24"/>
          <w:lang w:eastAsia="zh-CN"/>
        </w:rPr>
        <w:t>投标报价合计金额</w:t>
      </w:r>
      <w:r>
        <w:rPr>
          <w:rStyle w:val="505"/>
          <w:rFonts w:hint="eastAsia" w:ascii="仿宋" w:hAnsi="仿宋" w:eastAsia="仿宋" w:cs="仿宋"/>
          <w:color w:val="auto"/>
          <w:sz w:val="24"/>
          <w:szCs w:val="24"/>
        </w:rPr>
        <w:t>应与开标一览表</w:t>
      </w:r>
      <w:r>
        <w:rPr>
          <w:rStyle w:val="505"/>
          <w:rFonts w:hint="eastAsia" w:ascii="仿宋" w:hAnsi="仿宋" w:eastAsia="仿宋" w:cs="仿宋"/>
          <w:color w:val="auto"/>
          <w:sz w:val="24"/>
          <w:szCs w:val="24"/>
          <w:lang w:eastAsia="zh-CN"/>
        </w:rPr>
        <w:t>（报价表）</w:t>
      </w:r>
      <w:r>
        <w:rPr>
          <w:rStyle w:val="505"/>
          <w:rFonts w:hint="eastAsia" w:ascii="仿宋" w:hAnsi="仿宋" w:eastAsia="仿宋" w:cs="仿宋"/>
          <w:color w:val="auto"/>
          <w:sz w:val="24"/>
          <w:szCs w:val="24"/>
        </w:rPr>
        <w:t>中</w:t>
      </w:r>
      <w:r>
        <w:rPr>
          <w:rStyle w:val="505"/>
          <w:rFonts w:hint="eastAsia" w:ascii="仿宋" w:hAnsi="仿宋" w:eastAsia="仿宋" w:cs="仿宋"/>
          <w:color w:val="auto"/>
          <w:sz w:val="24"/>
          <w:szCs w:val="24"/>
          <w:lang w:eastAsia="zh-CN"/>
        </w:rPr>
        <w:t>金额</w:t>
      </w:r>
      <w:r>
        <w:rPr>
          <w:rStyle w:val="505"/>
          <w:rFonts w:hint="eastAsia" w:ascii="仿宋" w:hAnsi="仿宋" w:eastAsia="仿宋" w:cs="仿宋"/>
          <w:color w:val="auto"/>
          <w:sz w:val="24"/>
          <w:szCs w:val="24"/>
        </w:rPr>
        <w:t>的相一致。</w:t>
      </w:r>
      <w:bookmarkStart w:id="130" w:name="_GoBack"/>
      <w:bookmarkEnd w:id="130"/>
    </w:p>
    <w:p>
      <w:pPr>
        <w:keepNext w:val="0"/>
        <w:keepLines w:val="0"/>
        <w:pageBreakBefore w:val="0"/>
        <w:widowControl w:val="0"/>
        <w:kinsoku/>
        <w:wordWrap/>
        <w:overflowPunct/>
        <w:topLinePunct w:val="0"/>
        <w:autoSpaceDE/>
        <w:autoSpaceDN/>
        <w:bidi w:val="0"/>
        <w:adjustRightInd/>
        <w:snapToGrid w:val="0"/>
        <w:spacing w:line="400" w:lineRule="exact"/>
        <w:ind w:firstLine="480" w:firstLineChars="200"/>
        <w:textAlignment w:val="auto"/>
        <w:rPr>
          <w:rFonts w:hint="eastAsia" w:ascii="仿宋" w:hAnsi="仿宋" w:eastAsia="仿宋" w:cs="仿宋"/>
          <w:color w:val="auto"/>
          <w:sz w:val="24"/>
          <w:szCs w:val="24"/>
        </w:rPr>
      </w:pPr>
      <w:r>
        <w:rPr>
          <w:rStyle w:val="505"/>
          <w:rFonts w:hint="eastAsia" w:ascii="仿宋" w:hAnsi="仿宋" w:eastAsia="仿宋" w:cs="仿宋"/>
          <w:color w:val="auto"/>
          <w:sz w:val="24"/>
          <w:szCs w:val="24"/>
          <w:lang w:val="en-US" w:eastAsia="zh-CN"/>
        </w:rPr>
        <w:t>5.</w:t>
      </w:r>
      <w:r>
        <w:rPr>
          <w:rStyle w:val="505"/>
          <w:rFonts w:hint="eastAsia" w:ascii="仿宋" w:hAnsi="仿宋" w:eastAsia="仿宋" w:cs="仿宋"/>
          <w:color w:val="auto"/>
          <w:sz w:val="24"/>
          <w:szCs w:val="24"/>
        </w:rPr>
        <w:t>此表仅提供了表格形式，投标人可按此表格格式进行扩展。</w:t>
      </w:r>
    </w:p>
    <w:p>
      <w:pPr>
        <w:keepNext w:val="0"/>
        <w:keepLines w:val="0"/>
        <w:pageBreakBefore w:val="0"/>
        <w:widowControl w:val="0"/>
        <w:kinsoku/>
        <w:wordWrap/>
        <w:overflowPunct/>
        <w:topLinePunct w:val="0"/>
        <w:autoSpaceDE/>
        <w:autoSpaceDN/>
        <w:bidi w:val="0"/>
        <w:adjustRightInd/>
        <w:snapToGrid/>
        <w:spacing w:line="540" w:lineRule="exact"/>
        <w:ind w:firstLine="4800" w:firstLineChars="2000"/>
        <w:textAlignment w:val="auto"/>
        <w:rPr>
          <w:rFonts w:hint="eastAsia" w:ascii="仿宋" w:hAnsi="仿宋" w:eastAsia="仿宋" w:cs="仿宋"/>
          <w:color w:val="auto"/>
          <w:sz w:val="24"/>
          <w:szCs w:val="24"/>
        </w:rPr>
      </w:pPr>
    </w:p>
    <w:p>
      <w:pPr>
        <w:keepNext w:val="0"/>
        <w:keepLines w:val="0"/>
        <w:pageBreakBefore w:val="0"/>
        <w:widowControl w:val="0"/>
        <w:kinsoku/>
        <w:wordWrap/>
        <w:overflowPunct/>
        <w:topLinePunct w:val="0"/>
        <w:autoSpaceDE/>
        <w:autoSpaceDN/>
        <w:bidi w:val="0"/>
        <w:adjustRightInd/>
        <w:snapToGrid/>
        <w:spacing w:line="540" w:lineRule="exact"/>
        <w:ind w:firstLine="6000" w:firstLineChars="25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投标人</w:t>
      </w:r>
      <w:r>
        <w:rPr>
          <w:rFonts w:hint="eastAsia" w:ascii="仿宋" w:hAnsi="仿宋" w:eastAsia="仿宋" w:cs="仿宋"/>
          <w:color w:val="auto"/>
          <w:sz w:val="24"/>
          <w:szCs w:val="24"/>
          <w:lang w:val="zh-CN"/>
        </w:rPr>
        <w:t>名称(电子签名)：</w:t>
      </w:r>
    </w:p>
    <w:p>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lang w:eastAsia="zh-CN"/>
        </w:rPr>
        <w:t>日期：</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 xml:space="preserve"> 年  月  日</w:t>
      </w:r>
    </w:p>
    <w:p>
      <w:pPr>
        <w:rPr>
          <w:rFonts w:hint="eastAsia" w:ascii="仿宋" w:hAnsi="仿宋" w:eastAsia="仿宋" w:cs="仿宋"/>
          <w:b/>
          <w:bCs/>
          <w:color w:val="auto"/>
          <w:sz w:val="24"/>
          <w:szCs w:val="24"/>
          <w:lang w:eastAsia="zh-CN"/>
        </w:rPr>
      </w:pPr>
    </w:p>
    <w:p>
      <w:pPr>
        <w:rPr>
          <w:rFonts w:hint="eastAsia" w:ascii="仿宋" w:hAnsi="仿宋" w:eastAsia="仿宋" w:cs="仿宋"/>
          <w:b/>
          <w:bCs/>
          <w:color w:val="auto"/>
          <w:sz w:val="24"/>
          <w:szCs w:val="24"/>
          <w:lang w:eastAsia="zh-CN"/>
        </w:rPr>
      </w:pPr>
    </w:p>
    <w:p>
      <w:pPr>
        <w:rPr>
          <w:rFonts w:hint="eastAsia" w:ascii="仿宋" w:hAnsi="仿宋" w:eastAsia="仿宋" w:cs="仿宋"/>
          <w:b/>
          <w:bCs/>
          <w:color w:val="auto"/>
          <w:sz w:val="24"/>
          <w:szCs w:val="24"/>
          <w:lang w:eastAsia="zh-CN"/>
        </w:rPr>
      </w:pPr>
    </w:p>
    <w:p>
      <w:pPr>
        <w:rPr>
          <w:rFonts w:hint="eastAsia" w:ascii="仿宋" w:hAnsi="仿宋" w:eastAsia="仿宋" w:cs="仿宋"/>
          <w:b/>
          <w:bCs/>
          <w:color w:val="auto"/>
          <w:sz w:val="24"/>
          <w:szCs w:val="24"/>
          <w:lang w:eastAsia="zh-CN"/>
        </w:rPr>
      </w:pPr>
    </w:p>
    <w:p>
      <w:pPr>
        <w:rPr>
          <w:rFonts w:hint="eastAsia" w:ascii="仿宋" w:hAnsi="仿宋" w:eastAsia="仿宋" w:cs="仿宋"/>
          <w:b/>
          <w:bCs/>
          <w:color w:val="auto"/>
          <w:sz w:val="24"/>
          <w:szCs w:val="24"/>
          <w:lang w:eastAsia="zh-CN"/>
        </w:rPr>
      </w:pPr>
    </w:p>
    <w:p>
      <w:pPr>
        <w:keepNext w:val="0"/>
        <w:keepLines w:val="0"/>
        <w:pageBreakBefore w:val="0"/>
        <w:widowControl w:val="0"/>
        <w:kinsoku/>
        <w:wordWrap/>
        <w:overflowPunct/>
        <w:topLinePunct w:val="0"/>
        <w:bidi w:val="0"/>
        <w:adjustRightInd/>
        <w:spacing w:line="360" w:lineRule="auto"/>
        <w:rPr>
          <w:rFonts w:hint="eastAsia" w:ascii="仿宋" w:hAnsi="仿宋" w:eastAsia="仿宋" w:cs="仿宋"/>
          <w:color w:val="auto"/>
          <w:sz w:val="28"/>
          <w:szCs w:val="28"/>
          <w:lang w:eastAsia="zh-CN"/>
        </w:rPr>
      </w:pPr>
      <w:r>
        <w:rPr>
          <w:rFonts w:hint="eastAsia" w:ascii="仿宋" w:hAnsi="仿宋" w:eastAsia="仿宋" w:cs="仿宋"/>
          <w:b/>
          <w:bCs/>
          <w:color w:val="auto"/>
          <w:sz w:val="28"/>
          <w:szCs w:val="28"/>
          <w:lang w:eastAsia="zh-CN"/>
        </w:rPr>
        <w:t>各投标供应商：</w:t>
      </w:r>
    </w:p>
    <w:p>
      <w:pPr>
        <w:pStyle w:val="340"/>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360" w:lineRule="auto"/>
        <w:ind w:leftChars="0" w:right="0" w:rightChars="0" w:firstLine="562" w:firstLineChars="200"/>
        <w:textAlignment w:val="baseline"/>
        <w:rPr>
          <w:rFonts w:hint="eastAsia" w:ascii="仿宋" w:hAnsi="仿宋" w:eastAsia="仿宋" w:cs="仿宋"/>
          <w:b/>
          <w:bCs/>
          <w:color w:val="auto"/>
          <w:sz w:val="28"/>
          <w:szCs w:val="28"/>
        </w:rPr>
      </w:pPr>
      <w:r>
        <w:rPr>
          <w:rFonts w:hint="eastAsia" w:ascii="仿宋" w:hAnsi="仿宋" w:eastAsia="仿宋" w:cs="仿宋"/>
          <w:b/>
          <w:bCs/>
          <w:color w:val="auto"/>
          <w:sz w:val="28"/>
          <w:szCs w:val="28"/>
          <w:lang w:eastAsia="zh-CN"/>
        </w:rPr>
        <w:t>请</w:t>
      </w:r>
      <w:r>
        <w:rPr>
          <w:rFonts w:hint="eastAsia" w:ascii="仿宋" w:hAnsi="仿宋" w:eastAsia="仿宋" w:cs="仿宋"/>
          <w:b/>
          <w:bCs/>
          <w:color w:val="auto"/>
          <w:sz w:val="28"/>
          <w:szCs w:val="28"/>
        </w:rPr>
        <w:t>在投标文件解密后半小时内如实填写</w:t>
      </w:r>
      <w:r>
        <w:rPr>
          <w:rFonts w:hint="eastAsia" w:ascii="仿宋" w:hAnsi="仿宋" w:eastAsia="仿宋" w:cs="仿宋"/>
          <w:b/>
          <w:bCs/>
          <w:color w:val="auto"/>
          <w:sz w:val="28"/>
          <w:szCs w:val="28"/>
          <w:lang w:val="en-US" w:eastAsia="zh-CN"/>
        </w:rPr>
        <w:t>政企</w:t>
      </w:r>
      <w:r>
        <w:rPr>
          <w:rFonts w:hint="eastAsia" w:ascii="仿宋" w:hAnsi="仿宋" w:eastAsia="仿宋" w:cs="仿宋"/>
          <w:b/>
          <w:bCs/>
          <w:color w:val="auto"/>
          <w:sz w:val="28"/>
          <w:szCs w:val="28"/>
        </w:rPr>
        <w:t>采购活动现场确认声明书，并以扫描件形式发送至</w:t>
      </w:r>
      <w:r>
        <w:rPr>
          <w:rFonts w:hint="eastAsia" w:ascii="仿宋" w:hAnsi="仿宋" w:eastAsia="仿宋" w:cs="仿宋"/>
          <w:b/>
          <w:bCs/>
          <w:color w:val="auto"/>
          <w:sz w:val="28"/>
          <w:szCs w:val="28"/>
          <w:lang w:val="en-US" w:eastAsia="zh-CN"/>
        </w:rPr>
        <w:t>821712838</w:t>
      </w:r>
      <w:r>
        <w:rPr>
          <w:rFonts w:hint="eastAsia" w:ascii="仿宋" w:hAnsi="仿宋" w:eastAsia="仿宋" w:cs="仿宋"/>
          <w:b/>
          <w:bCs/>
          <w:color w:val="auto"/>
          <w:sz w:val="28"/>
          <w:szCs w:val="28"/>
        </w:rPr>
        <w:t>@qq.com邮箱，如未如实填写，将有可能影响你的投标文件评审（</w:t>
      </w:r>
      <w:r>
        <w:rPr>
          <w:rFonts w:hint="eastAsia" w:ascii="仿宋" w:hAnsi="仿宋" w:eastAsia="仿宋" w:cs="仿宋"/>
          <w:b/>
          <w:bCs/>
          <w:color w:val="auto"/>
          <w:sz w:val="28"/>
          <w:szCs w:val="28"/>
          <w:lang w:eastAsia="zh-CN"/>
        </w:rPr>
        <w:t>政企</w:t>
      </w:r>
      <w:r>
        <w:rPr>
          <w:rFonts w:hint="eastAsia" w:ascii="仿宋" w:hAnsi="仿宋" w:eastAsia="仿宋" w:cs="仿宋"/>
          <w:b/>
          <w:bCs/>
          <w:color w:val="auto"/>
          <w:sz w:val="28"/>
          <w:szCs w:val="28"/>
        </w:rPr>
        <w:t>采购活动现场确认声明书格式见附表）。</w:t>
      </w:r>
    </w:p>
    <w:p>
      <w:pPr>
        <w:pStyle w:val="340"/>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rPr>
      </w:pPr>
    </w:p>
    <w:p>
      <w:pPr>
        <w:pStyle w:val="340"/>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rPr>
      </w:pPr>
    </w:p>
    <w:p>
      <w:pPr>
        <w:pStyle w:val="340"/>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rPr>
      </w:pPr>
    </w:p>
    <w:p>
      <w:pPr>
        <w:pStyle w:val="340"/>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rPr>
      </w:pPr>
    </w:p>
    <w:p>
      <w:pPr>
        <w:pStyle w:val="340"/>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rPr>
      </w:pPr>
    </w:p>
    <w:p>
      <w:pPr>
        <w:pStyle w:val="340"/>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rPr>
      </w:pPr>
    </w:p>
    <w:p>
      <w:pPr>
        <w:pStyle w:val="340"/>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rPr>
      </w:pPr>
    </w:p>
    <w:p>
      <w:pPr>
        <w:pStyle w:val="340"/>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rPr>
      </w:pPr>
    </w:p>
    <w:p>
      <w:pPr>
        <w:pStyle w:val="340"/>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rPr>
      </w:pPr>
    </w:p>
    <w:p>
      <w:pPr>
        <w:pStyle w:val="340"/>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rPr>
      </w:pPr>
    </w:p>
    <w:p>
      <w:pPr>
        <w:pStyle w:val="340"/>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rPr>
      </w:pPr>
    </w:p>
    <w:p>
      <w:pPr>
        <w:pStyle w:val="340"/>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rPr>
      </w:pPr>
    </w:p>
    <w:p>
      <w:pPr>
        <w:pStyle w:val="340"/>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rPr>
      </w:pPr>
    </w:p>
    <w:p>
      <w:pPr>
        <w:pStyle w:val="340"/>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rPr>
      </w:pPr>
    </w:p>
    <w:p>
      <w:pPr>
        <w:pStyle w:val="340"/>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rPr>
      </w:pPr>
    </w:p>
    <w:p>
      <w:pPr>
        <w:pStyle w:val="340"/>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rPr>
      </w:pPr>
    </w:p>
    <w:p>
      <w:pPr>
        <w:pStyle w:val="340"/>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rPr>
      </w:pPr>
    </w:p>
    <w:p>
      <w:pPr>
        <w:pStyle w:val="340"/>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rPr>
      </w:pPr>
    </w:p>
    <w:p>
      <w:pPr>
        <w:pStyle w:val="340"/>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rPr>
      </w:pPr>
    </w:p>
    <w:p>
      <w:pPr>
        <w:pStyle w:val="340"/>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rPr>
      </w:pPr>
    </w:p>
    <w:p>
      <w:pPr>
        <w:pStyle w:val="340"/>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rPr>
      </w:pPr>
    </w:p>
    <w:p>
      <w:pPr>
        <w:pStyle w:val="340"/>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rPr>
      </w:pPr>
    </w:p>
    <w:p>
      <w:pPr>
        <w:pStyle w:val="340"/>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rPr>
      </w:pPr>
    </w:p>
    <w:p>
      <w:pPr>
        <w:pStyle w:val="340"/>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rPr>
      </w:pPr>
    </w:p>
    <w:p>
      <w:pPr>
        <w:pStyle w:val="340"/>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rPr>
      </w:pPr>
    </w:p>
    <w:p>
      <w:pPr>
        <w:pStyle w:val="340"/>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rPr>
      </w:pPr>
      <w:r>
        <w:rPr>
          <w:rFonts w:hint="eastAsia" w:ascii="仿宋" w:hAnsi="仿宋" w:eastAsia="仿宋" w:cs="仿宋"/>
          <w:b/>
          <w:bCs/>
          <w:color w:val="auto"/>
          <w:sz w:val="24"/>
          <w:szCs w:val="24"/>
        </w:rPr>
        <w:t xml:space="preserve">附表：               </w:t>
      </w:r>
    </w:p>
    <w:p>
      <w:pPr>
        <w:pStyle w:val="340"/>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lang w:eastAsia="zh-CN"/>
        </w:rPr>
        <w:t>政企</w:t>
      </w:r>
      <w:r>
        <w:rPr>
          <w:rFonts w:hint="eastAsia" w:ascii="仿宋" w:hAnsi="仿宋" w:eastAsia="仿宋" w:cs="仿宋"/>
          <w:b/>
          <w:bCs/>
          <w:color w:val="auto"/>
          <w:sz w:val="24"/>
          <w:szCs w:val="24"/>
        </w:rPr>
        <w:t>采购活动现场确认声明书</w:t>
      </w:r>
    </w:p>
    <w:p>
      <w:pPr>
        <w:pStyle w:val="340"/>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rPr>
          <w:rFonts w:hint="eastAsia" w:ascii="仿宋" w:hAnsi="仿宋" w:eastAsia="仿宋" w:cs="仿宋"/>
          <w:b/>
          <w:color w:val="auto"/>
          <w:sz w:val="24"/>
          <w:szCs w:val="24"/>
        </w:rPr>
      </w:pPr>
      <w:r>
        <w:rPr>
          <w:rFonts w:hint="eastAsia" w:ascii="仿宋" w:hAnsi="仿宋" w:eastAsia="仿宋" w:cs="仿宋"/>
          <w:color w:val="auto"/>
          <w:kern w:val="0"/>
          <w:sz w:val="24"/>
          <w:szCs w:val="24"/>
          <w:u w:val="single"/>
          <w:lang w:eastAsia="zh-CN"/>
        </w:rPr>
        <w:t>浙江中林工程管理有限公司</w:t>
      </w:r>
      <w:r>
        <w:rPr>
          <w:rFonts w:hint="eastAsia" w:ascii="仿宋" w:hAnsi="仿宋" w:eastAsia="仿宋" w:cs="仿宋"/>
          <w:color w:val="auto"/>
          <w:kern w:val="0"/>
          <w:sz w:val="24"/>
          <w:szCs w:val="24"/>
        </w:rPr>
        <w:t>：</w:t>
      </w:r>
    </w:p>
    <w:p>
      <w:pPr>
        <w:pStyle w:val="340"/>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right="0" w:rightChars="0" w:firstLine="504" w:firstLineChars="200"/>
        <w:jc w:val="both"/>
        <w:rPr>
          <w:rFonts w:hint="eastAsia" w:ascii="仿宋" w:hAnsi="仿宋" w:eastAsia="仿宋" w:cs="仿宋"/>
          <w:color w:val="auto"/>
          <w:spacing w:val="6"/>
          <w:sz w:val="24"/>
          <w:szCs w:val="24"/>
        </w:rPr>
      </w:pPr>
      <w:r>
        <w:rPr>
          <w:rFonts w:hint="eastAsia" w:ascii="仿宋" w:hAnsi="仿宋" w:eastAsia="仿宋" w:cs="仿宋"/>
          <w:color w:val="auto"/>
          <w:spacing w:val="6"/>
          <w:sz w:val="24"/>
          <w:szCs w:val="24"/>
        </w:rPr>
        <w:t>本人</w:t>
      </w:r>
      <w:r>
        <w:rPr>
          <w:rFonts w:hint="eastAsia" w:ascii="仿宋" w:hAnsi="仿宋" w:eastAsia="仿宋" w:cs="仿宋"/>
          <w:color w:val="auto"/>
          <w:spacing w:val="6"/>
          <w:sz w:val="24"/>
          <w:szCs w:val="24"/>
          <w:u w:val="single"/>
        </w:rPr>
        <w:t xml:space="preserve">      </w:t>
      </w:r>
      <w:r>
        <w:rPr>
          <w:rFonts w:hint="eastAsia" w:ascii="仿宋" w:hAnsi="仿宋" w:eastAsia="仿宋" w:cs="仿宋"/>
          <w:color w:val="auto"/>
          <w:spacing w:val="6"/>
          <w:sz w:val="24"/>
          <w:szCs w:val="24"/>
        </w:rPr>
        <w:t>经由</w:t>
      </w:r>
      <w:r>
        <w:rPr>
          <w:rFonts w:hint="eastAsia" w:ascii="仿宋" w:hAnsi="仿宋" w:eastAsia="仿宋" w:cs="仿宋"/>
          <w:color w:val="auto"/>
          <w:spacing w:val="6"/>
          <w:sz w:val="24"/>
          <w:szCs w:val="24"/>
          <w:u w:val="single"/>
        </w:rPr>
        <w:t xml:space="preserve">                                （单位）</w:t>
      </w:r>
      <w:r>
        <w:rPr>
          <w:rFonts w:hint="eastAsia" w:ascii="仿宋" w:hAnsi="仿宋" w:eastAsia="仿宋" w:cs="仿宋"/>
          <w:color w:val="auto"/>
          <w:spacing w:val="6"/>
          <w:sz w:val="24"/>
          <w:szCs w:val="24"/>
        </w:rPr>
        <w:t>负责人</w:t>
      </w:r>
      <w:r>
        <w:rPr>
          <w:rFonts w:hint="eastAsia" w:ascii="仿宋" w:hAnsi="仿宋" w:eastAsia="仿宋" w:cs="仿宋"/>
          <w:color w:val="auto"/>
          <w:spacing w:val="6"/>
          <w:sz w:val="24"/>
          <w:szCs w:val="24"/>
          <w:u w:val="single"/>
        </w:rPr>
        <w:t xml:space="preserve"> </w:t>
      </w:r>
      <w:r>
        <w:rPr>
          <w:rFonts w:hint="eastAsia" w:ascii="仿宋" w:hAnsi="仿宋" w:eastAsia="仿宋" w:cs="仿宋"/>
          <w:i/>
          <w:iCs/>
          <w:color w:val="auto"/>
          <w:spacing w:val="6"/>
          <w:sz w:val="24"/>
          <w:szCs w:val="24"/>
          <w:u w:val="single"/>
        </w:rPr>
        <w:t xml:space="preserve">     </w:t>
      </w:r>
      <w:r>
        <w:rPr>
          <w:rFonts w:hint="eastAsia" w:ascii="仿宋" w:hAnsi="仿宋" w:eastAsia="仿宋" w:cs="仿宋"/>
          <w:color w:val="auto"/>
          <w:spacing w:val="6"/>
          <w:sz w:val="24"/>
          <w:szCs w:val="24"/>
          <w:u w:val="single"/>
        </w:rPr>
        <w:t>（姓名）</w:t>
      </w:r>
      <w:r>
        <w:rPr>
          <w:rFonts w:hint="eastAsia" w:ascii="仿宋" w:hAnsi="仿宋" w:eastAsia="仿宋" w:cs="仿宋"/>
          <w:color w:val="auto"/>
          <w:spacing w:val="6"/>
          <w:sz w:val="24"/>
          <w:szCs w:val="24"/>
        </w:rPr>
        <w:t>合法授权参加</w:t>
      </w:r>
      <w:r>
        <w:rPr>
          <w:rFonts w:hint="eastAsia" w:ascii="仿宋" w:hAnsi="仿宋" w:eastAsia="仿宋" w:cs="仿宋"/>
          <w:color w:val="auto"/>
          <w:spacing w:val="6"/>
          <w:sz w:val="24"/>
          <w:szCs w:val="24"/>
          <w:u w:val="single"/>
        </w:rPr>
        <w:t xml:space="preserve">                </w:t>
      </w:r>
      <w:r>
        <w:rPr>
          <w:rFonts w:hint="eastAsia" w:ascii="仿宋" w:hAnsi="仿宋" w:eastAsia="仿宋" w:cs="仿宋"/>
          <w:color w:val="auto"/>
          <w:spacing w:val="6"/>
          <w:sz w:val="24"/>
          <w:szCs w:val="24"/>
        </w:rPr>
        <w:t>（项目编号：</w:t>
      </w:r>
      <w:r>
        <w:rPr>
          <w:rFonts w:hint="eastAsia" w:ascii="仿宋" w:hAnsi="仿宋" w:eastAsia="仿宋" w:cs="仿宋"/>
          <w:color w:val="auto"/>
          <w:spacing w:val="6"/>
          <w:sz w:val="24"/>
          <w:szCs w:val="24"/>
          <w:u w:val="single"/>
        </w:rPr>
        <w:t xml:space="preserve">            </w:t>
      </w:r>
      <w:r>
        <w:rPr>
          <w:rFonts w:hint="eastAsia" w:ascii="仿宋" w:hAnsi="仿宋" w:eastAsia="仿宋" w:cs="仿宋"/>
          <w:color w:val="auto"/>
          <w:spacing w:val="6"/>
          <w:sz w:val="24"/>
          <w:szCs w:val="24"/>
        </w:rPr>
        <w:t>）</w:t>
      </w:r>
      <w:r>
        <w:rPr>
          <w:rFonts w:hint="eastAsia" w:ascii="仿宋" w:hAnsi="仿宋" w:eastAsia="仿宋" w:cs="仿宋"/>
          <w:color w:val="auto"/>
          <w:spacing w:val="6"/>
          <w:sz w:val="24"/>
          <w:szCs w:val="24"/>
          <w:lang w:eastAsia="zh-CN"/>
        </w:rPr>
        <w:t>政企</w:t>
      </w:r>
      <w:r>
        <w:rPr>
          <w:rFonts w:hint="eastAsia" w:ascii="仿宋" w:hAnsi="仿宋" w:eastAsia="仿宋" w:cs="仿宋"/>
          <w:color w:val="auto"/>
          <w:spacing w:val="6"/>
          <w:sz w:val="24"/>
          <w:szCs w:val="24"/>
        </w:rPr>
        <w:t xml:space="preserve">采购活动，经与本单位法人代表（负责人）联系确认，现就有关公平竞争事项郑重声明如下： </w:t>
      </w:r>
    </w:p>
    <w:p>
      <w:pPr>
        <w:pStyle w:val="141"/>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 xml:space="preserve">一、本单位与采购人之间 </w:t>
      </w:r>
    </w:p>
    <w:p>
      <w:pPr>
        <w:pStyle w:val="141"/>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 xml:space="preserve">  □不存在利害关系;</w:t>
      </w:r>
    </w:p>
    <w:p>
      <w:pPr>
        <w:pStyle w:val="141"/>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 xml:space="preserve">  □存在下列利害关系</w:t>
      </w:r>
      <w:r>
        <w:rPr>
          <w:rFonts w:hint="eastAsia" w:ascii="仿宋" w:hAnsi="仿宋" w:eastAsia="仿宋" w:cs="仿宋"/>
          <w:color w:val="auto"/>
          <w:kern w:val="0"/>
          <w:sz w:val="24"/>
          <w:szCs w:val="24"/>
          <w:u w:val="single"/>
        </w:rPr>
        <w:t xml:space="preserve">           </w:t>
      </w:r>
      <w:r>
        <w:rPr>
          <w:rFonts w:hint="eastAsia" w:ascii="仿宋" w:hAnsi="仿宋" w:eastAsia="仿宋" w:cs="仿宋"/>
          <w:color w:val="auto"/>
          <w:kern w:val="0"/>
          <w:sz w:val="24"/>
          <w:szCs w:val="24"/>
        </w:rPr>
        <w:t>：</w:t>
      </w:r>
    </w:p>
    <w:p>
      <w:pPr>
        <w:pStyle w:val="141"/>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 xml:space="preserve">  A.投资关系    B.行政隶属关系    C.业务指导关系</w:t>
      </w:r>
    </w:p>
    <w:p>
      <w:pPr>
        <w:pStyle w:val="141"/>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 xml:space="preserve">  D.其他可能</w:t>
      </w:r>
      <w:r>
        <w:rPr>
          <w:rFonts w:hint="eastAsia" w:ascii="仿宋" w:hAnsi="仿宋" w:eastAsia="仿宋" w:cs="仿宋"/>
          <w:color w:val="auto"/>
          <w:sz w:val="24"/>
          <w:szCs w:val="24"/>
        </w:rPr>
        <w:t>影响采购公正的</w:t>
      </w:r>
      <w:r>
        <w:rPr>
          <w:rFonts w:hint="eastAsia" w:ascii="仿宋" w:hAnsi="仿宋" w:eastAsia="仿宋" w:cs="仿宋"/>
          <w:color w:val="auto"/>
          <w:kern w:val="0"/>
          <w:sz w:val="24"/>
          <w:szCs w:val="24"/>
        </w:rPr>
        <w:t>利害关系</w:t>
      </w:r>
      <w:r>
        <w:rPr>
          <w:rFonts w:hint="eastAsia" w:ascii="仿宋" w:hAnsi="仿宋" w:eastAsia="仿宋" w:cs="仿宋"/>
          <w:color w:val="auto"/>
          <w:kern w:val="0"/>
          <w:sz w:val="24"/>
          <w:szCs w:val="24"/>
          <w:u w:val="single"/>
        </w:rPr>
        <w:t xml:space="preserve">（如有，请如实说明）                 </w:t>
      </w:r>
      <w:r>
        <w:rPr>
          <w:rFonts w:hint="eastAsia" w:ascii="仿宋" w:hAnsi="仿宋" w:eastAsia="仿宋" w:cs="仿宋"/>
          <w:color w:val="auto"/>
          <w:kern w:val="0"/>
          <w:sz w:val="24"/>
          <w:szCs w:val="24"/>
        </w:rPr>
        <w:t>。</w:t>
      </w:r>
    </w:p>
    <w:p>
      <w:pPr>
        <w:pStyle w:val="141"/>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rPr>
      </w:pPr>
      <w:r>
        <w:rPr>
          <w:rFonts w:hint="eastAsia" w:ascii="仿宋" w:hAnsi="仿宋" w:eastAsia="仿宋" w:cs="仿宋"/>
          <w:color w:val="auto"/>
          <w:spacing w:val="6"/>
          <w:sz w:val="24"/>
          <w:szCs w:val="24"/>
        </w:rPr>
        <w:t>二、</w:t>
      </w:r>
      <w:r>
        <w:rPr>
          <w:rFonts w:hint="eastAsia" w:ascii="仿宋" w:hAnsi="仿宋" w:eastAsia="仿宋" w:cs="仿宋"/>
          <w:color w:val="auto"/>
          <w:kern w:val="0"/>
          <w:sz w:val="24"/>
          <w:szCs w:val="24"/>
        </w:rPr>
        <w:t xml:space="preserve">现已清楚知道参加本项目采购活动的其他所有供应商名称，本单位 </w:t>
      </w:r>
    </w:p>
    <w:p>
      <w:pPr>
        <w:pStyle w:val="141"/>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 xml:space="preserve">  □与其他所有供应商之间均不存在利害关系 </w:t>
      </w:r>
    </w:p>
    <w:p>
      <w:pPr>
        <w:pStyle w:val="141"/>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 xml:space="preserve">  □与</w:t>
      </w:r>
      <w:r>
        <w:rPr>
          <w:rFonts w:hint="eastAsia" w:ascii="仿宋" w:hAnsi="仿宋" w:eastAsia="仿宋" w:cs="仿宋"/>
          <w:color w:val="auto"/>
          <w:kern w:val="0"/>
          <w:sz w:val="24"/>
          <w:szCs w:val="24"/>
          <w:u w:val="single"/>
        </w:rPr>
        <w:t xml:space="preserve">           （供应商名称）</w:t>
      </w:r>
      <w:r>
        <w:rPr>
          <w:rFonts w:hint="eastAsia" w:ascii="仿宋" w:hAnsi="仿宋" w:eastAsia="仿宋" w:cs="仿宋"/>
          <w:color w:val="auto"/>
          <w:kern w:val="0"/>
          <w:sz w:val="24"/>
          <w:szCs w:val="24"/>
        </w:rPr>
        <w:t>之间存在下列利害关系</w:t>
      </w:r>
      <w:r>
        <w:rPr>
          <w:rFonts w:hint="eastAsia" w:ascii="仿宋" w:hAnsi="仿宋" w:eastAsia="仿宋" w:cs="仿宋"/>
          <w:color w:val="auto"/>
          <w:kern w:val="0"/>
          <w:sz w:val="24"/>
          <w:szCs w:val="24"/>
          <w:u w:val="single"/>
        </w:rPr>
        <w:t xml:space="preserve">          </w:t>
      </w:r>
      <w:r>
        <w:rPr>
          <w:rFonts w:hint="eastAsia" w:ascii="仿宋" w:hAnsi="仿宋" w:eastAsia="仿宋" w:cs="仿宋"/>
          <w:color w:val="auto"/>
          <w:kern w:val="0"/>
          <w:sz w:val="24"/>
          <w:szCs w:val="24"/>
        </w:rPr>
        <w:t>：</w:t>
      </w:r>
    </w:p>
    <w:p>
      <w:pPr>
        <w:pStyle w:val="340"/>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jc w:val="both"/>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A.法定代表人或负责人或实际控制人是同一人</w:t>
      </w:r>
    </w:p>
    <w:p>
      <w:pPr>
        <w:pStyle w:val="340"/>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jc w:val="both"/>
        <w:rPr>
          <w:rFonts w:hint="eastAsia" w:ascii="仿宋" w:hAnsi="仿宋" w:eastAsia="仿宋" w:cs="仿宋"/>
          <w:color w:val="auto"/>
          <w:spacing w:val="6"/>
          <w:sz w:val="24"/>
          <w:szCs w:val="24"/>
        </w:rPr>
      </w:pPr>
      <w:r>
        <w:rPr>
          <w:rFonts w:hint="eastAsia" w:ascii="仿宋" w:hAnsi="仿宋" w:eastAsia="仿宋" w:cs="仿宋"/>
          <w:color w:val="auto"/>
          <w:kern w:val="0"/>
          <w:sz w:val="24"/>
          <w:szCs w:val="24"/>
        </w:rPr>
        <w:t>B.法定代表人或负责人或实际控制人是夫妻关系</w:t>
      </w:r>
    </w:p>
    <w:p>
      <w:pPr>
        <w:pStyle w:val="340"/>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jc w:val="both"/>
        <w:rPr>
          <w:rFonts w:hint="eastAsia" w:ascii="仿宋" w:hAnsi="仿宋" w:eastAsia="仿宋" w:cs="仿宋"/>
          <w:color w:val="auto"/>
          <w:spacing w:val="6"/>
          <w:sz w:val="24"/>
          <w:szCs w:val="24"/>
        </w:rPr>
      </w:pPr>
      <w:r>
        <w:rPr>
          <w:rFonts w:hint="eastAsia" w:ascii="仿宋" w:hAnsi="仿宋" w:eastAsia="仿宋" w:cs="仿宋"/>
          <w:color w:val="auto"/>
          <w:kern w:val="0"/>
          <w:sz w:val="24"/>
          <w:szCs w:val="24"/>
        </w:rPr>
        <w:t>C.法定代表人或负责人或实际控制人是直系血亲关系</w:t>
      </w:r>
    </w:p>
    <w:p>
      <w:pPr>
        <w:pStyle w:val="340"/>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right="0" w:rightChars="0"/>
        <w:jc w:val="both"/>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D.法定代表人或负责人或实际控制人存在三代以内旁系血亲关系</w:t>
      </w:r>
    </w:p>
    <w:p>
      <w:pPr>
        <w:pStyle w:val="340"/>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jc w:val="both"/>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E.法定代表人或负责人或实际控制人存在近姻亲关系</w:t>
      </w:r>
    </w:p>
    <w:p>
      <w:pPr>
        <w:pStyle w:val="340"/>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jc w:val="both"/>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F.法定代表人或负责人或实际控制人存在股份控制或实际控制关系</w:t>
      </w:r>
    </w:p>
    <w:p>
      <w:pPr>
        <w:pStyle w:val="340"/>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jc w:val="both"/>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G.存在共同直接或间接投资设立子公司、联营企业和合营企业情况</w:t>
      </w:r>
    </w:p>
    <w:p>
      <w:pPr>
        <w:pStyle w:val="340"/>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jc w:val="both"/>
        <w:rPr>
          <w:rFonts w:hint="eastAsia" w:ascii="仿宋" w:hAnsi="仿宋" w:eastAsia="仿宋" w:cs="仿宋"/>
          <w:color w:val="auto"/>
          <w:sz w:val="24"/>
          <w:szCs w:val="24"/>
        </w:rPr>
      </w:pPr>
      <w:r>
        <w:rPr>
          <w:rFonts w:hint="eastAsia" w:ascii="仿宋" w:hAnsi="仿宋" w:eastAsia="仿宋" w:cs="仿宋"/>
          <w:color w:val="auto"/>
          <w:kern w:val="0"/>
          <w:sz w:val="24"/>
          <w:szCs w:val="24"/>
        </w:rPr>
        <w:t>H.存在分级代理或代销关系、同一生产制造商关系、</w:t>
      </w:r>
      <w:r>
        <w:rPr>
          <w:rFonts w:hint="eastAsia" w:ascii="仿宋" w:hAnsi="仿宋" w:eastAsia="仿宋" w:cs="仿宋"/>
          <w:color w:val="auto"/>
          <w:sz w:val="24"/>
          <w:szCs w:val="24"/>
        </w:rPr>
        <w:t>管理关系、重要业务（占主营业务收入50%以上）或重要财务往来关系（如融资）等其他实质性控制关系</w:t>
      </w:r>
    </w:p>
    <w:p>
      <w:pPr>
        <w:pStyle w:val="340"/>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jc w:val="both"/>
        <w:rPr>
          <w:rFonts w:hint="eastAsia" w:ascii="仿宋" w:hAnsi="仿宋" w:eastAsia="仿宋" w:cs="仿宋"/>
          <w:color w:val="auto"/>
          <w:spacing w:val="6"/>
          <w:sz w:val="24"/>
          <w:szCs w:val="24"/>
        </w:rPr>
      </w:pPr>
      <w:r>
        <w:rPr>
          <w:rFonts w:hint="eastAsia" w:ascii="仿宋" w:hAnsi="仿宋" w:eastAsia="仿宋" w:cs="仿宋"/>
          <w:color w:val="auto"/>
          <w:sz w:val="24"/>
          <w:szCs w:val="24"/>
        </w:rPr>
        <w:t>I</w:t>
      </w:r>
      <w:r>
        <w:rPr>
          <w:rFonts w:hint="eastAsia" w:ascii="仿宋" w:hAnsi="仿宋" w:eastAsia="仿宋" w:cs="仿宋"/>
          <w:color w:val="auto"/>
          <w:kern w:val="0"/>
          <w:sz w:val="24"/>
          <w:szCs w:val="24"/>
        </w:rPr>
        <w:t>.</w:t>
      </w:r>
      <w:r>
        <w:rPr>
          <w:rFonts w:hint="eastAsia" w:ascii="仿宋" w:hAnsi="仿宋" w:eastAsia="仿宋" w:cs="仿宋"/>
          <w:color w:val="auto"/>
          <w:sz w:val="24"/>
          <w:szCs w:val="24"/>
        </w:rPr>
        <w:t>其他利害关系情况</w:t>
      </w:r>
      <w:r>
        <w:rPr>
          <w:rFonts w:hint="eastAsia" w:ascii="仿宋" w:hAnsi="仿宋" w:eastAsia="仿宋" w:cs="仿宋"/>
          <w:color w:val="auto"/>
          <w:sz w:val="24"/>
          <w:szCs w:val="24"/>
          <w:u w:val="single"/>
        </w:rPr>
        <w:t xml:space="preserve">                              </w:t>
      </w:r>
      <w:r>
        <w:rPr>
          <w:rFonts w:hint="eastAsia" w:ascii="仿宋" w:hAnsi="仿宋" w:eastAsia="仿宋" w:cs="仿宋"/>
          <w:color w:val="auto"/>
          <w:kern w:val="0"/>
          <w:sz w:val="24"/>
          <w:szCs w:val="24"/>
        </w:rPr>
        <w:t>。</w:t>
      </w:r>
    </w:p>
    <w:p>
      <w:pPr>
        <w:pStyle w:val="141"/>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rPr>
      </w:pPr>
      <w:r>
        <w:rPr>
          <w:rFonts w:hint="eastAsia" w:ascii="仿宋" w:hAnsi="仿宋" w:eastAsia="仿宋" w:cs="仿宋"/>
          <w:color w:val="auto"/>
          <w:sz w:val="24"/>
          <w:szCs w:val="24"/>
        </w:rPr>
        <w:t>三、现已清楚知道并</w:t>
      </w:r>
      <w:r>
        <w:rPr>
          <w:rFonts w:hint="eastAsia" w:ascii="仿宋" w:hAnsi="仿宋" w:eastAsia="仿宋" w:cs="仿宋"/>
          <w:color w:val="auto"/>
          <w:kern w:val="0"/>
          <w:sz w:val="24"/>
          <w:szCs w:val="24"/>
        </w:rPr>
        <w:t>严格遵守采购</w:t>
      </w:r>
      <w:r>
        <w:rPr>
          <w:rFonts w:hint="eastAsia" w:ascii="仿宋" w:hAnsi="仿宋" w:eastAsia="仿宋" w:cs="仿宋"/>
          <w:color w:val="auto"/>
          <w:kern w:val="0"/>
          <w:sz w:val="24"/>
          <w:szCs w:val="24"/>
          <w:lang w:eastAsia="zh-CN"/>
        </w:rPr>
        <w:t>相关</w:t>
      </w:r>
      <w:r>
        <w:rPr>
          <w:rFonts w:hint="eastAsia" w:ascii="仿宋" w:hAnsi="仿宋" w:eastAsia="仿宋" w:cs="仿宋"/>
          <w:color w:val="auto"/>
          <w:kern w:val="0"/>
          <w:sz w:val="24"/>
          <w:szCs w:val="24"/>
        </w:rPr>
        <w:t>法律法规和现场纪律。</w:t>
      </w:r>
    </w:p>
    <w:p>
      <w:pPr>
        <w:pStyle w:val="141"/>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四、我发现</w:t>
      </w:r>
      <w:r>
        <w:rPr>
          <w:rFonts w:hint="eastAsia" w:ascii="仿宋" w:hAnsi="仿宋" w:eastAsia="仿宋" w:cs="仿宋"/>
          <w:color w:val="auto"/>
          <w:kern w:val="0"/>
          <w:sz w:val="24"/>
          <w:szCs w:val="24"/>
          <w:u w:val="single"/>
        </w:rPr>
        <w:t xml:space="preserve">                </w:t>
      </w:r>
      <w:r>
        <w:rPr>
          <w:rFonts w:hint="eastAsia" w:ascii="仿宋" w:hAnsi="仿宋" w:eastAsia="仿宋" w:cs="仿宋"/>
          <w:color w:val="auto"/>
          <w:kern w:val="0"/>
          <w:sz w:val="24"/>
          <w:szCs w:val="24"/>
        </w:rPr>
        <w:t>供应商之间存在或可能存在上述第二条第</w:t>
      </w:r>
      <w:r>
        <w:rPr>
          <w:rFonts w:hint="eastAsia" w:ascii="仿宋" w:hAnsi="仿宋" w:eastAsia="仿宋" w:cs="仿宋"/>
          <w:color w:val="auto"/>
          <w:kern w:val="0"/>
          <w:sz w:val="24"/>
          <w:szCs w:val="24"/>
          <w:u w:val="single"/>
        </w:rPr>
        <w:t xml:space="preserve">        </w:t>
      </w:r>
      <w:r>
        <w:rPr>
          <w:rFonts w:hint="eastAsia" w:ascii="仿宋" w:hAnsi="仿宋" w:eastAsia="仿宋" w:cs="仿宋"/>
          <w:color w:val="auto"/>
          <w:kern w:val="0"/>
          <w:sz w:val="24"/>
          <w:szCs w:val="24"/>
        </w:rPr>
        <w:t>项利害关系。</w:t>
      </w:r>
    </w:p>
    <w:p>
      <w:pPr>
        <w:spacing w:line="240" w:lineRule="auto"/>
        <w:rPr>
          <w:rFonts w:hint="eastAsia" w:ascii="仿宋" w:hAnsi="仿宋" w:eastAsia="仿宋" w:cs="仿宋"/>
          <w:color w:val="auto"/>
          <w:sz w:val="24"/>
          <w:szCs w:val="24"/>
        </w:rPr>
      </w:pPr>
    </w:p>
    <w:p>
      <w:pPr>
        <w:spacing w:line="240" w:lineRule="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 xml:space="preserve">（供应商代表签名）：                                  </w:t>
      </w:r>
      <w:r>
        <w:rPr>
          <w:rFonts w:hint="eastAsia" w:ascii="仿宋" w:hAnsi="仿宋" w:eastAsia="仿宋" w:cs="仿宋"/>
          <w:color w:val="auto"/>
          <w:sz w:val="24"/>
          <w:szCs w:val="24"/>
          <w:lang w:val="en-US" w:eastAsia="zh-CN"/>
        </w:rPr>
        <w:t xml:space="preserve">   </w:t>
      </w:r>
    </w:p>
    <w:p>
      <w:pPr>
        <w:spacing w:line="240" w:lineRule="auto"/>
        <w:jc w:val="right"/>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rPr>
        <w:t>年  月</w:t>
      </w:r>
      <w:r>
        <w:rPr>
          <w:rFonts w:hint="eastAsia" w:ascii="仿宋" w:hAnsi="仿宋" w:eastAsia="仿宋" w:cs="仿宋"/>
          <w:color w:val="auto"/>
          <w:sz w:val="24"/>
          <w:szCs w:val="24"/>
          <w:lang w:val="en-US" w:eastAsia="zh-CN"/>
        </w:rPr>
        <w:t xml:space="preserve">  日</w:t>
      </w:r>
      <w:bookmarkEnd w:id="113"/>
      <w:bookmarkEnd w:id="114"/>
      <w:bookmarkEnd w:id="115"/>
      <w:bookmarkEnd w:id="116"/>
      <w:bookmarkEnd w:id="117"/>
      <w:bookmarkEnd w:id="118"/>
      <w:bookmarkEnd w:id="128"/>
      <w:bookmarkEnd w:id="129"/>
    </w:p>
    <w:sectPr>
      <w:headerReference r:id="rId9" w:type="default"/>
      <w:footerReference r:id="rId10" w:type="default"/>
      <w:pgSz w:w="11906" w:h="16838"/>
      <w:pgMar w:top="1474" w:right="1287" w:bottom="1304" w:left="1570" w:header="851" w:footer="992"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1"/>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新宋体">
    <w:panose1 w:val="02010609030101010101"/>
    <w:charset w:val="86"/>
    <w:family w:val="modern"/>
    <w:pitch w:val="default"/>
    <w:sig w:usb0="00000283" w:usb1="288F0000" w:usb2="00000006" w:usb3="00000000" w:csb0="00040001" w:csb1="00000000"/>
  </w:font>
  <w:font w:name="LineDraw">
    <w:altName w:val="Courier New"/>
    <w:panose1 w:val="00000000000000000000"/>
    <w:charset w:val="00"/>
    <w:family w:val="modern"/>
    <w:pitch w:val="default"/>
    <w:sig w:usb0="00000000" w:usb1="00000000" w:usb2="00000000" w:usb3="00000000" w:csb0="00000001" w:csb1="00000000"/>
  </w:font>
  <w:font w:name="仿宋_GB2312">
    <w:altName w:val="仿宋"/>
    <w:panose1 w:val="02010609030101010101"/>
    <w:charset w:val="86"/>
    <w:family w:val="modern"/>
    <w:pitch w:val="default"/>
    <w:sig w:usb0="00000000" w:usb1="00000000" w:usb2="00000000" w:usb3="00000000" w:csb0="00040000" w:csb1="00000000"/>
  </w:font>
  <w:font w:name="华文新魏">
    <w:altName w:val="宋体"/>
    <w:panose1 w:val="02010800040101010101"/>
    <w:charset w:val="86"/>
    <w:family w:val="auto"/>
    <w:pitch w:val="default"/>
    <w:sig w:usb0="00000000" w:usb1="00000000" w:usb2="00000000" w:usb3="00000000" w:csb0="00040000" w:csb1="00000000"/>
  </w:font>
  <w:font w:name="幼圆">
    <w:altName w:val="宋体"/>
    <w:panose1 w:val="02010509060101010101"/>
    <w:charset w:val="86"/>
    <w:family w:val="modern"/>
    <w:pitch w:val="default"/>
    <w:sig w:usb0="00000000" w:usb1="0000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Century Gothic">
    <w:altName w:val="Segoe Print"/>
    <w:panose1 w:val="020B0502020202020204"/>
    <w:charset w:val="00"/>
    <w:family w:val="swiss"/>
    <w:pitch w:val="default"/>
    <w:sig w:usb0="00000000" w:usb1="00000000" w:usb2="00000000" w:usb3="00000000" w:csb0="2000009F" w:csb1="DFD70000"/>
  </w:font>
  <w:font w:name="Helvetica Neue">
    <w:altName w:val="Times New Roman"/>
    <w:panose1 w:val="00000000000000000000"/>
    <w:charset w:val="00"/>
    <w:family w:val="auto"/>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华文细黑">
    <w:altName w:val="微软雅黑"/>
    <w:panose1 w:val="02010600040101010101"/>
    <w:charset w:val="86"/>
    <w:family w:val="auto"/>
    <w:pitch w:val="default"/>
    <w:sig w:usb0="00000000" w:usb1="00000000" w:usb2="00000000" w:usb3="00000000" w:csb0="0004009F" w:csb1="DFD70000"/>
  </w:font>
  <w:font w:name="Palatino Linotype">
    <w:panose1 w:val="02040502050505030304"/>
    <w:charset w:val="00"/>
    <w:family w:val="roman"/>
    <w:pitch w:val="default"/>
    <w:sig w:usb0="E0000287" w:usb1="40000013" w:usb2="00000000" w:usb3="00000000" w:csb0="2000019F" w:csb1="00000000"/>
  </w:font>
  <w:font w:name="华文宋体">
    <w:altName w:val="宋体"/>
    <w:panose1 w:val="02010600040101010101"/>
    <w:charset w:val="86"/>
    <w:family w:val="auto"/>
    <w:pitch w:val="default"/>
    <w:sig w:usb0="00000000" w:usb1="00000000" w:usb2="00000000" w:usb3="00000000" w:csb0="0004009F" w:csb1="DFD70000"/>
  </w:font>
  <w:font w:name="Verdana">
    <w:panose1 w:val="020B0604030504040204"/>
    <w:charset w:val="00"/>
    <w:family w:val="swiss"/>
    <w:pitch w:val="default"/>
    <w:sig w:usb0="A00006FF" w:usb1="4000205B" w:usb2="00000010" w:usb3="00000000" w:csb0="2000019F" w:csb1="00000000"/>
  </w:font>
  <w:font w:name="Tms Rmn">
    <w:altName w:val="Segoe Print"/>
    <w:panose1 w:val="02020603040505020304"/>
    <w:charset w:val="00"/>
    <w:family w:val="roman"/>
    <w:pitch w:val="default"/>
    <w:sig w:usb0="00000000" w:usb1="00000000" w:usb2="00000000" w:usb3="00000000" w:csb0="00000001" w:csb1="00000000"/>
  </w:font>
  <w:font w:name="ˎ̥">
    <w:altName w:val="宋体"/>
    <w:panose1 w:val="00000000000000000000"/>
    <w:charset w:val="00"/>
    <w:family w:val="roman"/>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_x000B__x000C_">
    <w:altName w:val="Times New Roman"/>
    <w:panose1 w:val="00000000000000000000"/>
    <w:charset w:val="00"/>
    <w:family w:val="roman"/>
    <w:pitch w:val="default"/>
    <w:sig w:usb0="00000000" w:usb1="00000000" w:usb2="00000000" w:usb3="00000000" w:csb0="00040001" w:csb1="00000000"/>
  </w:font>
  <w:font w:name="sө_x0002_">
    <w:altName w:val="Times New Roman"/>
    <w:panose1 w:val="00000000000000000000"/>
    <w:charset w:val="00"/>
    <w:family w:val="roman"/>
    <w:pitch w:val="default"/>
    <w:sig w:usb0="00000000" w:usb1="00000000" w:usb2="00000000" w:usb3="00000000" w:csb0="00040001" w:csb1="00000000"/>
  </w:font>
  <w:font w:name="Segoe UI Symbol">
    <w:panose1 w:val="020B0502040204020203"/>
    <w:charset w:val="00"/>
    <w:family w:val="swiss"/>
    <w:pitch w:val="default"/>
    <w:sig w:usb0="800001E3" w:usb1="1200FFEF" w:usb2="00040000" w:usb3="04000000" w:csb0="00000001" w:csb1="4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1"/>
    </w:pPr>
    <w:r>
      <w:rPr>
        <w:sz w:val="18"/>
      </w:rPr>
      <mc:AlternateContent>
        <mc:Choice Requires="wps">
          <w:drawing>
            <wp:anchor distT="0" distB="0" distL="114300" distR="114300" simplePos="0" relativeHeight="251659264" behindDoc="0" locked="0" layoutInCell="1" allowOverlap="1">
              <wp:simplePos x="0" y="0"/>
              <wp:positionH relativeFrom="margin">
                <wp:posOffset>2822575</wp:posOffset>
              </wp:positionH>
              <wp:positionV relativeFrom="paragraph">
                <wp:posOffset>0</wp:posOffset>
              </wp:positionV>
              <wp:extent cx="161290" cy="140335"/>
              <wp:effectExtent l="0" t="0" r="0" b="0"/>
              <wp:wrapNone/>
              <wp:docPr id="116" name="文本框 3083"/>
              <wp:cNvGraphicFramePr/>
              <a:graphic xmlns:a="http://schemas.openxmlformats.org/drawingml/2006/main">
                <a:graphicData uri="http://schemas.microsoft.com/office/word/2010/wordprocessingShape">
                  <wps:wsp>
                    <wps:cNvSpPr txBox="1"/>
                    <wps:spPr>
                      <a:xfrm>
                        <a:off x="0" y="0"/>
                        <a:ext cx="161290" cy="140335"/>
                      </a:xfrm>
                      <a:prstGeom prst="rect">
                        <a:avLst/>
                      </a:prstGeom>
                      <a:noFill/>
                      <a:ln>
                        <a:noFill/>
                      </a:ln>
                    </wps:spPr>
                    <wps:txbx>
                      <w:txbxContent>
                        <w:p>
                          <w:pPr>
                            <w:pStyle w:val="51"/>
                          </w:pPr>
                          <w:r>
                            <w:fldChar w:fldCharType="begin"/>
                          </w:r>
                          <w:r>
                            <w:instrText xml:space="preserve"> PAGE  \* MERGEFORMAT </w:instrText>
                          </w:r>
                          <w:r>
                            <w:fldChar w:fldCharType="separate"/>
                          </w:r>
                          <w:r>
                            <w:t>2</w:t>
                          </w:r>
                          <w:r>
                            <w:fldChar w:fldCharType="end"/>
                          </w:r>
                        </w:p>
                      </w:txbxContent>
                    </wps:txbx>
                    <wps:bodyPr vert="horz" wrap="square" lIns="0" tIns="0" rIns="0" bIns="0" anchor="t" anchorCtr="0" upright="0">
                      <a:noAutofit/>
                    </wps:bodyPr>
                  </wps:wsp>
                </a:graphicData>
              </a:graphic>
            </wp:anchor>
          </w:drawing>
        </mc:Choice>
        <mc:Fallback>
          <w:pict>
            <v:shape id="文本框 3083" o:spid="_x0000_s1026" o:spt="202" type="#_x0000_t202" style="position:absolute;left:0pt;margin-left:222.25pt;margin-top:0pt;height:11.05pt;width:12.7pt;mso-position-horizontal-relative:margin;z-index:251659264;mso-width-relative:page;mso-height-relative:page;" filled="f" stroked="f" coordsize="21600,21600" o:gfxdata="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K1lsMfWAAAABwEAAA8AAAAAAAAAAQAgAAAAIgAAAGRycy9k&#10;b3ducmV2LnhtbFBLAQIUABQAAAAIAIdO4kBcLZvaywEAAHUDAAAOAAAAAAAAAAEAIAAAACUBAABk&#10;cnMvZTJvRG9jLnhtbFBLBQYAAAAABgAGAFkBAABiBQAAAAA=&#10;">
              <v:fill on="f" focussize="0,0"/>
              <v:stroke on="f"/>
              <v:imagedata o:title=""/>
              <o:lock v:ext="edit" aspectratio="f"/>
              <v:textbox inset="0mm,0mm,0mm,0mm">
                <w:txbxContent>
                  <w:p>
                    <w:pPr>
                      <w:pStyle w:val="5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1"/>
      <w:tabs>
        <w:tab w:val="clear" w:pos="4153"/>
      </w:tabs>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30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1"/>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3084"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CK40rJxgEAAHUDAAAOAAAAAAAAAAEAIAAAAB4BAABkcnMvZTJvRG9jLnht&#10;bFBLBQYAAAAABgAGAFkBAABWBQAAAAA=&#10;">
              <v:fill on="f" focussize="0,0"/>
              <v:stroke on="f"/>
              <v:imagedata o:title=""/>
              <o:lock v:ext="edit" aspectratio="f"/>
              <v:textbox inset="0mm,0mm,0mm,0mm" style="mso-fit-shape-to-text:t;">
                <w:txbxContent>
                  <w:p>
                    <w:pPr>
                      <w:pStyle w:val="5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1"/>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30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1"/>
                          </w:pPr>
                          <w:r>
                            <w:fldChar w:fldCharType="begin"/>
                          </w:r>
                          <w:r>
                            <w:instrText xml:space="preserve"> PAGE  \* MERGEFORMAT </w:instrText>
                          </w:r>
                          <w:r>
                            <w:fldChar w:fldCharType="separate"/>
                          </w:r>
                          <w:r>
                            <w:t>81</w:t>
                          </w:r>
                          <w:r>
                            <w:fldChar w:fldCharType="end"/>
                          </w:r>
                        </w:p>
                      </w:txbxContent>
                    </wps:txbx>
                    <wps:bodyPr vert="horz" wrap="none" lIns="0" tIns="0" rIns="0" bIns="0" anchor="t" anchorCtr="0" upright="0">
                      <a:spAutoFit/>
                    </wps:bodyPr>
                  </wps:wsp>
                </a:graphicData>
              </a:graphic>
            </wp:anchor>
          </w:drawing>
        </mc:Choice>
        <mc:Fallback>
          <w:pict>
            <v:shape id="文本框 308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A9iw4CxgEAAHQDAAAOAAAAAAAAAAEAIAAAAB4BAABkcnMvZTJvRG9jLnht&#10;bFBLBQYAAAAABgAGAFkBAABWBQAAAAA=&#10;">
              <v:fill on="f" focussize="0,0"/>
              <v:stroke on="f"/>
              <v:imagedata o:title=""/>
              <o:lock v:ext="edit" aspectratio="f"/>
              <v:textbox inset="0mm,0mm,0mm,0mm" style="mso-fit-shape-to-text:t;">
                <w:txbxContent>
                  <w:p>
                    <w:pPr>
                      <w:pStyle w:val="51"/>
                    </w:pPr>
                    <w:r>
                      <w:fldChar w:fldCharType="begin"/>
                    </w:r>
                    <w:r>
                      <w:instrText xml:space="preserve"> PAGE  \* MERGEFORMAT </w:instrText>
                    </w:r>
                    <w:r>
                      <w:fldChar w:fldCharType="separate"/>
                    </w:r>
                    <w:r>
                      <w:t>81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1"/>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9" name="文本框 30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1"/>
                          </w:pPr>
                          <w:r>
                            <w:fldChar w:fldCharType="begin"/>
                          </w:r>
                          <w:r>
                            <w:instrText xml:space="preserve"> PAGE  \* MERGEFORMAT </w:instrText>
                          </w:r>
                          <w:r>
                            <w:fldChar w:fldCharType="separate"/>
                          </w:r>
                          <w:r>
                            <w:t>81</w:t>
                          </w:r>
                          <w:r>
                            <w:fldChar w:fldCharType="end"/>
                          </w:r>
                        </w:p>
                      </w:txbxContent>
                    </wps:txbx>
                    <wps:bodyPr vert="horz" wrap="none" lIns="0" tIns="0" rIns="0" bIns="0" anchor="t" anchorCtr="0" upright="0">
                      <a:spAutoFit/>
                    </wps:bodyPr>
                  </wps:wsp>
                </a:graphicData>
              </a:graphic>
            </wp:anchor>
          </w:drawing>
        </mc:Choice>
        <mc:Fallback>
          <w:pict>
            <v:shape id="文本框 308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CodNzbxgEAAHUDAAAOAAAAAAAAAAEAIAAAAB4BAABkcnMvZTJvRG9jLnht&#10;bFBLBQYAAAAABgAGAFkBAABWBQAAAAA=&#10;">
              <v:fill on="f" focussize="0,0"/>
              <v:stroke on="f"/>
              <v:imagedata o:title=""/>
              <o:lock v:ext="edit" aspectratio="f"/>
              <v:textbox inset="0mm,0mm,0mm,0mm" style="mso-fit-shape-to-text:t;">
                <w:txbxContent>
                  <w:p>
                    <w:pPr>
                      <w:pStyle w:val="51"/>
                    </w:pPr>
                    <w:r>
                      <w:fldChar w:fldCharType="begin"/>
                    </w:r>
                    <w:r>
                      <w:instrText xml:space="preserve"> PAGE  \* MERGEFORMAT </w:instrText>
                    </w:r>
                    <w:r>
                      <w:fldChar w:fldCharType="separate"/>
                    </w:r>
                    <w:r>
                      <w:t>81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pBdr>
        <w:bottom w:val="single" w:color="auto" w:sz="4" w:space="1"/>
      </w:pBdr>
      <w:tabs>
        <w:tab w:val="center" w:pos="4535"/>
        <w:tab w:val="right" w:pos="9070"/>
      </w:tabs>
      <w:overflowPunct w:val="0"/>
      <w:autoSpaceDE w:val="0"/>
      <w:autoSpaceDN w:val="0"/>
      <w:jc w:val="left"/>
      <w:textAlignment w:val="baseline"/>
      <w:rPr>
        <w:rFonts w:hint="default" w:ascii="仿宋" w:hAnsi="仿宋" w:eastAsia="仿宋"/>
        <w:sz w:val="18"/>
        <w:szCs w:val="18"/>
        <w:lang w:val="en-US" w:eastAsia="zh-CN"/>
      </w:rPr>
    </w:pPr>
    <w:r>
      <w:rPr>
        <w:rFonts w:hint="eastAsia" w:ascii="仿宋" w:hAnsi="仿宋" w:eastAsia="仿宋" w:cs="仿宋"/>
        <w:sz w:val="18"/>
        <w:szCs w:val="18"/>
        <w:lang w:eastAsia="zh-CN"/>
      </w:rPr>
      <w:t>嵊州市鹿山街道宸希未来社区建设项目（办公家具）（第二次）</w:t>
    </w:r>
    <w:r>
      <w:rPr>
        <w:rFonts w:hint="eastAsia" w:ascii="仿宋" w:hAnsi="仿宋" w:eastAsia="仿宋"/>
        <w:sz w:val="18"/>
        <w:szCs w:val="18"/>
        <w:lang w:val="en-US" w:eastAsia="zh-CN"/>
      </w:rPr>
      <w:t xml:space="preserve">              项目编号：ZJZL2025-007（2）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3"/>
      <w:jc w:val="both"/>
    </w:pPr>
    <w:r>
      <w:rPr>
        <w:rFonts w:hint="eastAsia" w:ascii="仿宋" w:hAnsi="仿宋" w:eastAsia="仿宋" w:cs="仿宋"/>
        <w:sz w:val="18"/>
        <w:szCs w:val="18"/>
        <w:lang w:eastAsia="zh-CN"/>
      </w:rPr>
      <w:t>嵊州市鹿山街道宸希未来社区建设项目（办公家具）（第二次）</w:t>
    </w:r>
    <w:r>
      <w:rPr>
        <w:rFonts w:hint="eastAsia" w:ascii="仿宋" w:hAnsi="仿宋" w:eastAsia="仿宋"/>
        <w:sz w:val="18"/>
        <w:szCs w:val="18"/>
        <w:lang w:val="en-US" w:eastAsia="zh-CN"/>
      </w:rPr>
      <w:t xml:space="preserve">               项目编号：ZJZL2025-007（2）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pBdr>
        <w:bottom w:val="single" w:color="auto" w:sz="4" w:space="1"/>
      </w:pBdr>
      <w:tabs>
        <w:tab w:val="center" w:pos="4535"/>
        <w:tab w:val="right" w:pos="9070"/>
      </w:tabs>
      <w:overflowPunct w:val="0"/>
      <w:autoSpaceDE w:val="0"/>
      <w:autoSpaceDN w:val="0"/>
      <w:jc w:val="both"/>
      <w:textAlignment w:val="baseline"/>
      <w:rPr>
        <w:rFonts w:hint="eastAsia" w:ascii="仿宋" w:hAnsi="仿宋" w:eastAsia="仿宋"/>
        <w:sz w:val="18"/>
        <w:szCs w:val="18"/>
      </w:rPr>
    </w:pPr>
    <w:r>
      <w:rPr>
        <w:rFonts w:hint="eastAsia" w:ascii="仿宋" w:hAnsi="仿宋" w:eastAsia="仿宋" w:cs="仿宋"/>
        <w:sz w:val="18"/>
        <w:szCs w:val="18"/>
        <w:lang w:eastAsia="zh-CN"/>
      </w:rPr>
      <w:t>嵊州市鹿山街道宸希未来社区建设项目（办公家具）（第二次）</w:t>
    </w:r>
    <w:r>
      <w:rPr>
        <w:rFonts w:hint="eastAsia" w:ascii="仿宋" w:hAnsi="仿宋" w:eastAsia="仿宋" w:cs="仿宋"/>
        <w:sz w:val="18"/>
        <w:szCs w:val="18"/>
        <w:lang w:val="en-US" w:eastAsia="zh-CN"/>
      </w:rPr>
      <w:t xml:space="preserve">                    项目编号：ZJZL2025-007（2）</w:t>
    </w:r>
  </w:p>
  <w:p>
    <w:pPr>
      <w:pStyle w:val="53"/>
      <w:pBdr>
        <w:bottom w:val="none" w:color="auto" w:sz="0" w:space="1"/>
      </w:pBdr>
      <w:jc w:val="both"/>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pBdr>
        <w:bottom w:val="single" w:color="auto" w:sz="4" w:space="1"/>
      </w:pBdr>
      <w:tabs>
        <w:tab w:val="center" w:pos="4535"/>
        <w:tab w:val="right" w:pos="9070"/>
      </w:tabs>
      <w:overflowPunct w:val="0"/>
      <w:autoSpaceDE w:val="0"/>
      <w:autoSpaceDN w:val="0"/>
      <w:jc w:val="both"/>
      <w:textAlignment w:val="baseline"/>
      <w:rPr>
        <w:rFonts w:hint="eastAsia" w:ascii="仿宋" w:hAnsi="仿宋" w:eastAsia="仿宋"/>
        <w:sz w:val="18"/>
        <w:szCs w:val="18"/>
      </w:rPr>
    </w:pPr>
    <w:r>
      <w:rPr>
        <w:rFonts w:hint="eastAsia" w:ascii="仿宋" w:hAnsi="仿宋" w:eastAsia="仿宋" w:cs="仿宋"/>
        <w:sz w:val="18"/>
        <w:szCs w:val="18"/>
        <w:lang w:eastAsia="zh-CN"/>
      </w:rPr>
      <w:t>嵊州市鹿山街道宸希未来社区建设项目（办公家具）（第二次）</w:t>
    </w:r>
    <w:r>
      <w:rPr>
        <w:rFonts w:hint="eastAsia" w:ascii="仿宋" w:hAnsi="仿宋" w:eastAsia="仿宋" w:cs="仿宋"/>
        <w:sz w:val="18"/>
        <w:szCs w:val="18"/>
        <w:lang w:val="en-US" w:eastAsia="zh-CN"/>
      </w:rPr>
      <w:t xml:space="preserve">                     项目编号：ZJZL2025-007（2）</w:t>
    </w:r>
  </w:p>
  <w:p>
    <w:pPr>
      <w:pStyle w:val="53"/>
      <w:pBdr>
        <w:bottom w:val="none" w:color="auto" w:sz="0" w:space="1"/>
      </w:pBdr>
      <w:jc w:val="both"/>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tentative="0">
      <w:start w:val="1"/>
      <w:numFmt w:val="none"/>
      <w:pStyle w:val="133"/>
      <w:suff w:val="nothing"/>
      <w:lvlText w:val="%1"/>
      <w:lvlJc w:val="left"/>
      <w:pPr>
        <w:ind w:left="0" w:firstLine="0"/>
      </w:pPr>
      <w:rPr>
        <w:rFonts w:hint="default" w:ascii="Times New Roman" w:hAnsi="Times New Roman"/>
        <w:b/>
        <w:i w:val="0"/>
        <w:sz w:val="21"/>
      </w:rPr>
    </w:lvl>
    <w:lvl w:ilvl="1" w:tentative="0">
      <w:start w:val="1"/>
      <w:numFmt w:val="decimal"/>
      <w:pStyle w:val="209"/>
      <w:suff w:val="nothing"/>
      <w:lvlText w:val="%1%2　"/>
      <w:lvlJc w:val="left"/>
      <w:pPr>
        <w:ind w:left="0" w:firstLine="0"/>
      </w:pPr>
      <w:rPr>
        <w:rFonts w:hint="eastAsia" w:ascii="黑体" w:hAnsi="Times New Roman" w:eastAsia="黑体"/>
        <w:b w:val="0"/>
        <w:i w:val="0"/>
        <w:sz w:val="21"/>
      </w:rPr>
    </w:lvl>
    <w:lvl w:ilvl="2" w:tentative="0">
      <w:start w:val="1"/>
      <w:numFmt w:val="decimal"/>
      <w:pStyle w:val="198"/>
      <w:suff w:val="nothing"/>
      <w:lvlText w:val="%1%2.%3　"/>
      <w:lvlJc w:val="left"/>
      <w:pPr>
        <w:ind w:left="3675" w:firstLine="0"/>
      </w:pPr>
      <w:rPr>
        <w:rFonts w:hint="eastAsia" w:ascii="黑体" w:hAnsi="Times New Roman" w:eastAsia="黑体"/>
        <w:b w:val="0"/>
        <w:i w:val="0"/>
        <w:sz w:val="21"/>
      </w:rPr>
    </w:lvl>
    <w:lvl w:ilvl="3" w:tentative="0">
      <w:start w:val="1"/>
      <w:numFmt w:val="decimal"/>
      <w:pStyle w:val="197"/>
      <w:suff w:val="nothing"/>
      <w:lvlText w:val="%1%2.%3.%4　"/>
      <w:lvlJc w:val="left"/>
      <w:pPr>
        <w:ind w:left="0" w:firstLine="0"/>
      </w:pPr>
      <w:rPr>
        <w:rFonts w:hint="eastAsia" w:ascii="黑体" w:hAnsi="Times New Roman" w:eastAsia="黑体"/>
        <w:b w:val="0"/>
        <w:i w:val="0"/>
        <w:sz w:val="21"/>
      </w:rPr>
    </w:lvl>
    <w:lvl w:ilvl="4" w:tentative="0">
      <w:start w:val="1"/>
      <w:numFmt w:val="decimal"/>
      <w:pStyle w:val="196"/>
      <w:suff w:val="nothing"/>
      <w:lvlText w:val="%1%2.%3.%4.%5　"/>
      <w:lvlJc w:val="left"/>
      <w:pPr>
        <w:ind w:left="0" w:firstLine="0"/>
      </w:pPr>
      <w:rPr>
        <w:rFonts w:hint="eastAsia" w:ascii="黑体" w:hAnsi="Times New Roman" w:eastAsia="黑体"/>
        <w:b w:val="0"/>
        <w:i w:val="0"/>
        <w:sz w:val="21"/>
      </w:rPr>
    </w:lvl>
    <w:lvl w:ilvl="5" w:tentative="0">
      <w:start w:val="1"/>
      <w:numFmt w:val="decimal"/>
      <w:pStyle w:val="195"/>
      <w:suff w:val="nothing"/>
      <w:lvlText w:val="%1%2.%3.%4.%5.%6　"/>
      <w:lvlJc w:val="left"/>
      <w:pPr>
        <w:ind w:left="0" w:firstLine="0"/>
      </w:pPr>
      <w:rPr>
        <w:rFonts w:hint="eastAsia" w:ascii="黑体" w:hAnsi="Times New Roman" w:eastAsia="黑体"/>
        <w:b w:val="0"/>
        <w:i w:val="0"/>
        <w:sz w:val="21"/>
      </w:rPr>
    </w:lvl>
    <w:lvl w:ilvl="6" w:tentative="0">
      <w:start w:val="1"/>
      <w:numFmt w:val="decimal"/>
      <w:pStyle w:val="194"/>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
    <w:nsid w:val="00000002"/>
    <w:multiLevelType w:val="multilevel"/>
    <w:tmpl w:val="00000002"/>
    <w:lvl w:ilvl="0" w:tentative="0">
      <w:start w:val="1"/>
      <w:numFmt w:val="decimal"/>
      <w:pStyle w:val="20"/>
      <w:lvlText w:val="%1)"/>
      <w:lvlJc w:val="left"/>
      <w:pPr>
        <w:tabs>
          <w:tab w:val="left" w:pos="900"/>
        </w:tabs>
        <w:ind w:left="900" w:hanging="420"/>
      </w:pPr>
    </w:lvl>
    <w:lvl w:ilvl="1" w:tentative="0">
      <w:start w:val="1"/>
      <w:numFmt w:val="lowerLetter"/>
      <w:pStyle w:val="115"/>
      <w:lvlText w:val="%2)"/>
      <w:lvlJc w:val="left"/>
      <w:pPr>
        <w:tabs>
          <w:tab w:val="left" w:pos="1320"/>
        </w:tabs>
        <w:ind w:left="1320" w:hanging="420"/>
      </w:pPr>
    </w:lvl>
    <w:lvl w:ilvl="2" w:tentative="0">
      <w:start w:val="1"/>
      <w:numFmt w:val="lowerRoman"/>
      <w:pStyle w:val="116"/>
      <w:lvlText w:val="%3."/>
      <w:lvlJc w:val="right"/>
      <w:pPr>
        <w:tabs>
          <w:tab w:val="left" w:pos="1740"/>
        </w:tabs>
        <w:ind w:left="1740" w:hanging="420"/>
      </w:pPr>
    </w:lvl>
    <w:lvl w:ilvl="3" w:tentative="0">
      <w:start w:val="1"/>
      <w:numFmt w:val="decimal"/>
      <w:pStyle w:val="144"/>
      <w:lvlText w:val="%4."/>
      <w:lvlJc w:val="left"/>
      <w:pPr>
        <w:tabs>
          <w:tab w:val="left" w:pos="2160"/>
        </w:tabs>
        <w:ind w:left="2160" w:hanging="420"/>
      </w:pPr>
    </w:lvl>
    <w:lvl w:ilvl="4" w:tentative="0">
      <w:start w:val="1"/>
      <w:numFmt w:val="lowerLetter"/>
      <w:pStyle w:val="170"/>
      <w:lvlText w:val="%5)"/>
      <w:lvlJc w:val="left"/>
      <w:pPr>
        <w:tabs>
          <w:tab w:val="left" w:pos="2580"/>
        </w:tabs>
        <w:ind w:left="2580" w:hanging="420"/>
      </w:pPr>
    </w:lvl>
    <w:lvl w:ilvl="5" w:tentative="0">
      <w:start w:val="1"/>
      <w:numFmt w:val="lowerRoman"/>
      <w:pStyle w:val="238"/>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2">
    <w:nsid w:val="00000010"/>
    <w:multiLevelType w:val="singleLevel"/>
    <w:tmpl w:val="00000010"/>
    <w:lvl w:ilvl="0" w:tentative="0">
      <w:start w:val="1"/>
      <w:numFmt w:val="bullet"/>
      <w:pStyle w:val="18"/>
      <w:lvlText w:val=""/>
      <w:lvlJc w:val="left"/>
      <w:pPr>
        <w:tabs>
          <w:tab w:val="left" w:pos="780"/>
        </w:tabs>
        <w:ind w:left="780" w:hanging="360"/>
      </w:pPr>
      <w:rPr>
        <w:rFonts w:hint="default" w:ascii="Wingdings" w:hAnsi="Wingdings"/>
      </w:rPr>
    </w:lvl>
  </w:abstractNum>
  <w:abstractNum w:abstractNumId="3">
    <w:nsid w:val="00000011"/>
    <w:multiLevelType w:val="multilevel"/>
    <w:tmpl w:val="00000011"/>
    <w:lvl w:ilvl="0" w:tentative="0">
      <w:start w:val="1"/>
      <w:numFmt w:val="japaneseCounting"/>
      <w:pStyle w:val="390"/>
      <w:lvlText w:val="（%1）"/>
      <w:lvlJc w:val="left"/>
      <w:pPr>
        <w:tabs>
          <w:tab w:val="left" w:pos="675"/>
        </w:tabs>
        <w:ind w:left="675" w:hanging="855"/>
      </w:pPr>
      <w:rPr>
        <w:rFonts w:hint="default"/>
        <w:lang w:val="en-US"/>
      </w:rPr>
    </w:lvl>
    <w:lvl w:ilvl="1" w:tentative="0">
      <w:start w:val="3"/>
      <w:numFmt w:val="japaneseCounting"/>
      <w:lvlText w:val="%2）"/>
      <w:lvlJc w:val="left"/>
      <w:pPr>
        <w:tabs>
          <w:tab w:val="left" w:pos="960"/>
        </w:tabs>
        <w:ind w:left="960" w:hanging="720"/>
      </w:pPr>
      <w:rPr>
        <w:rFonts w:hint="default"/>
      </w:rPr>
    </w:lvl>
    <w:lvl w:ilvl="2" w:tentative="0">
      <w:start w:val="1"/>
      <w:numFmt w:val="lowerRoman"/>
      <w:lvlText w:val="%3."/>
      <w:lvlJc w:val="right"/>
      <w:pPr>
        <w:tabs>
          <w:tab w:val="left" w:pos="1080"/>
        </w:tabs>
        <w:ind w:left="1080" w:hanging="420"/>
      </w:pPr>
    </w:lvl>
    <w:lvl w:ilvl="3" w:tentative="0">
      <w:start w:val="1"/>
      <w:numFmt w:val="decimal"/>
      <w:lvlText w:val="%4."/>
      <w:lvlJc w:val="left"/>
      <w:pPr>
        <w:tabs>
          <w:tab w:val="left" w:pos="1500"/>
        </w:tabs>
        <w:ind w:left="1500" w:hanging="420"/>
      </w:pPr>
    </w:lvl>
    <w:lvl w:ilvl="4" w:tentative="0">
      <w:start w:val="1"/>
      <w:numFmt w:val="lowerLetter"/>
      <w:lvlText w:val="%5)"/>
      <w:lvlJc w:val="left"/>
      <w:pPr>
        <w:tabs>
          <w:tab w:val="left" w:pos="1920"/>
        </w:tabs>
        <w:ind w:left="1920" w:hanging="420"/>
      </w:pPr>
    </w:lvl>
    <w:lvl w:ilvl="5" w:tentative="0">
      <w:start w:val="1"/>
      <w:numFmt w:val="lowerRoman"/>
      <w:lvlText w:val="%6."/>
      <w:lvlJc w:val="right"/>
      <w:pPr>
        <w:tabs>
          <w:tab w:val="left" w:pos="2340"/>
        </w:tabs>
        <w:ind w:left="2340" w:hanging="420"/>
      </w:pPr>
    </w:lvl>
    <w:lvl w:ilvl="6" w:tentative="0">
      <w:start w:val="1"/>
      <w:numFmt w:val="decimal"/>
      <w:lvlText w:val="%7."/>
      <w:lvlJc w:val="left"/>
      <w:pPr>
        <w:tabs>
          <w:tab w:val="left" w:pos="2760"/>
        </w:tabs>
        <w:ind w:left="2760" w:hanging="420"/>
      </w:pPr>
    </w:lvl>
    <w:lvl w:ilvl="7" w:tentative="0">
      <w:start w:val="1"/>
      <w:numFmt w:val="lowerLetter"/>
      <w:lvlText w:val="%8)"/>
      <w:lvlJc w:val="left"/>
      <w:pPr>
        <w:tabs>
          <w:tab w:val="left" w:pos="3180"/>
        </w:tabs>
        <w:ind w:left="3180" w:hanging="420"/>
      </w:pPr>
    </w:lvl>
    <w:lvl w:ilvl="8" w:tentative="0">
      <w:start w:val="1"/>
      <w:numFmt w:val="lowerRoman"/>
      <w:lvlText w:val="%9."/>
      <w:lvlJc w:val="right"/>
      <w:pPr>
        <w:tabs>
          <w:tab w:val="left" w:pos="3600"/>
        </w:tabs>
        <w:ind w:left="3600" w:hanging="420"/>
      </w:pPr>
    </w:lvl>
  </w:abstractNum>
  <w:abstractNum w:abstractNumId="4">
    <w:nsid w:val="00000012"/>
    <w:multiLevelType w:val="multilevel"/>
    <w:tmpl w:val="00000012"/>
    <w:lvl w:ilvl="0" w:tentative="0">
      <w:start w:val="1"/>
      <w:numFmt w:val="decimal"/>
      <w:pStyle w:val="16"/>
      <w:lvlText w:val="%1)"/>
      <w:lvlJc w:val="left"/>
      <w:pPr>
        <w:tabs>
          <w:tab w:val="left" w:pos="1130"/>
        </w:tabs>
        <w:ind w:left="1130" w:hanging="420"/>
      </w:pPr>
    </w:lvl>
    <w:lvl w:ilvl="1" w:tentative="0">
      <w:start w:val="1"/>
      <w:numFmt w:val="decimal"/>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5">
    <w:nsid w:val="00000015"/>
    <w:multiLevelType w:val="singleLevel"/>
    <w:tmpl w:val="00000015"/>
    <w:lvl w:ilvl="0" w:tentative="0">
      <w:start w:val="1"/>
      <w:numFmt w:val="bullet"/>
      <w:pStyle w:val="33"/>
      <w:lvlText w:val=""/>
      <w:lvlJc w:val="left"/>
      <w:pPr>
        <w:tabs>
          <w:tab w:val="left" w:pos="360"/>
        </w:tabs>
        <w:ind w:left="360" w:hanging="360"/>
      </w:pPr>
      <w:rPr>
        <w:rFonts w:hint="default" w:ascii="Wingdings" w:hAnsi="Wingdings"/>
      </w:rPr>
    </w:lvl>
  </w:abstractNum>
  <w:abstractNum w:abstractNumId="6">
    <w:nsid w:val="00000017"/>
    <w:multiLevelType w:val="singleLevel"/>
    <w:tmpl w:val="00000017"/>
    <w:lvl w:ilvl="0" w:tentative="0">
      <w:start w:val="1"/>
      <w:numFmt w:val="decimal"/>
      <w:pStyle w:val="45"/>
      <w:lvlText w:val="%1."/>
      <w:lvlJc w:val="left"/>
      <w:pPr>
        <w:tabs>
          <w:tab w:val="left" w:pos="780"/>
        </w:tabs>
        <w:ind w:left="780" w:hanging="360"/>
      </w:pPr>
    </w:lvl>
  </w:abstractNum>
  <w:abstractNum w:abstractNumId="7">
    <w:nsid w:val="00000019"/>
    <w:multiLevelType w:val="multilevel"/>
    <w:tmpl w:val="00000019"/>
    <w:lvl w:ilvl="0" w:tentative="0">
      <w:start w:val="1"/>
      <w:numFmt w:val="decimal"/>
      <w:pStyle w:val="281"/>
      <w:lvlText w:val="%1."/>
      <w:lvlJc w:val="left"/>
      <w:pPr>
        <w:tabs>
          <w:tab w:val="left" w:pos="-57"/>
        </w:tabs>
        <w:ind w:left="-397" w:firstLine="397"/>
      </w:pPr>
      <w:rPr>
        <w:rFonts w:hint="eastAsia"/>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000001B"/>
    <w:multiLevelType w:val="singleLevel"/>
    <w:tmpl w:val="0000001B"/>
    <w:lvl w:ilvl="0" w:tentative="0">
      <w:start w:val="1"/>
      <w:numFmt w:val="decimal"/>
      <w:pStyle w:val="35"/>
      <w:lvlText w:val="%1."/>
      <w:lvlJc w:val="left"/>
      <w:pPr>
        <w:tabs>
          <w:tab w:val="left" w:pos="1200"/>
        </w:tabs>
        <w:ind w:left="1200" w:hanging="360"/>
      </w:pPr>
    </w:lvl>
  </w:abstractNum>
  <w:abstractNum w:abstractNumId="9">
    <w:nsid w:val="419319EE"/>
    <w:multiLevelType w:val="singleLevel"/>
    <w:tmpl w:val="419319EE"/>
    <w:lvl w:ilvl="0" w:tentative="0">
      <w:start w:val="7"/>
      <w:numFmt w:val="decimal"/>
      <w:lvlText w:val="%1."/>
      <w:lvlJc w:val="left"/>
      <w:pPr>
        <w:tabs>
          <w:tab w:val="left" w:pos="312"/>
        </w:tabs>
      </w:pPr>
    </w:lvl>
  </w:abstractNum>
  <w:abstractNum w:abstractNumId="10">
    <w:nsid w:val="4C074938"/>
    <w:multiLevelType w:val="singleLevel"/>
    <w:tmpl w:val="4C074938"/>
    <w:lvl w:ilvl="0" w:tentative="0">
      <w:start w:val="1"/>
      <w:numFmt w:val="decimal"/>
      <w:lvlText w:val="%1."/>
      <w:lvlJc w:val="left"/>
      <w:pPr>
        <w:tabs>
          <w:tab w:val="left" w:pos="312"/>
        </w:tabs>
      </w:pPr>
    </w:lvl>
  </w:abstractNum>
  <w:abstractNum w:abstractNumId="11">
    <w:nsid w:val="545A512C"/>
    <w:multiLevelType w:val="multilevel"/>
    <w:tmpl w:val="545A512C"/>
    <w:lvl w:ilvl="0" w:tentative="0">
      <w:start w:val="1"/>
      <w:numFmt w:val="chineseCountingThousand"/>
      <w:pStyle w:val="340"/>
      <w:lvlText w:val="%1、"/>
      <w:lvlJc w:val="left"/>
      <w:pPr>
        <w:ind w:left="980" w:hanging="420"/>
      </w:pPr>
      <w:rPr>
        <w:sz w:val="32"/>
        <w:szCs w:val="32"/>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4"/>
  </w:num>
  <w:num w:numId="2">
    <w:abstractNumId w:val="2"/>
  </w:num>
  <w:num w:numId="3">
    <w:abstractNumId w:val="1"/>
  </w:num>
  <w:num w:numId="4">
    <w:abstractNumId w:val="5"/>
  </w:num>
  <w:num w:numId="5">
    <w:abstractNumId w:val="8"/>
  </w:num>
  <w:num w:numId="6">
    <w:abstractNumId w:val="6"/>
  </w:num>
  <w:num w:numId="7">
    <w:abstractNumId w:val="0"/>
  </w:num>
  <w:num w:numId="8">
    <w:abstractNumId w:val="7"/>
  </w:num>
  <w:num w:numId="9">
    <w:abstractNumId w:val="11"/>
  </w:num>
  <w:num w:numId="10">
    <w:abstractNumId w:val="3"/>
  </w:num>
  <w:num w:numId="11">
    <w:abstractNumId w:val="9"/>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3,4,5"/>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QzOTAxNTJhNjQ1ZjY5ZTQ1NTIwZmY5NjYyZjVmYjEifQ=="/>
    <w:docVar w:name="IsProcessingDocument" w:val="-1"/>
  </w:docVars>
  <w:rsids>
    <w:rsidRoot w:val="00172A27"/>
    <w:rsid w:val="000005FA"/>
    <w:rsid w:val="00000796"/>
    <w:rsid w:val="00000BA2"/>
    <w:rsid w:val="00001887"/>
    <w:rsid w:val="00004766"/>
    <w:rsid w:val="000047E6"/>
    <w:rsid w:val="00004EA5"/>
    <w:rsid w:val="000101A4"/>
    <w:rsid w:val="00010882"/>
    <w:rsid w:val="00010C10"/>
    <w:rsid w:val="0001114E"/>
    <w:rsid w:val="00011997"/>
    <w:rsid w:val="000121D1"/>
    <w:rsid w:val="00012617"/>
    <w:rsid w:val="00012783"/>
    <w:rsid w:val="000129DE"/>
    <w:rsid w:val="00012FF8"/>
    <w:rsid w:val="000136B1"/>
    <w:rsid w:val="00013E3E"/>
    <w:rsid w:val="00013E59"/>
    <w:rsid w:val="000141AA"/>
    <w:rsid w:val="000142C5"/>
    <w:rsid w:val="00016547"/>
    <w:rsid w:val="00016A2E"/>
    <w:rsid w:val="0001725A"/>
    <w:rsid w:val="00017291"/>
    <w:rsid w:val="00017658"/>
    <w:rsid w:val="00017974"/>
    <w:rsid w:val="00020043"/>
    <w:rsid w:val="00020058"/>
    <w:rsid w:val="000201F7"/>
    <w:rsid w:val="00020218"/>
    <w:rsid w:val="0002165B"/>
    <w:rsid w:val="00024759"/>
    <w:rsid w:val="00024DC8"/>
    <w:rsid w:val="000253A7"/>
    <w:rsid w:val="00025D24"/>
    <w:rsid w:val="00025D42"/>
    <w:rsid w:val="0002768E"/>
    <w:rsid w:val="0003093D"/>
    <w:rsid w:val="00030C32"/>
    <w:rsid w:val="000310D6"/>
    <w:rsid w:val="00031109"/>
    <w:rsid w:val="000323C7"/>
    <w:rsid w:val="0003358D"/>
    <w:rsid w:val="00033C1C"/>
    <w:rsid w:val="00034487"/>
    <w:rsid w:val="000345C4"/>
    <w:rsid w:val="000354AE"/>
    <w:rsid w:val="00035DF7"/>
    <w:rsid w:val="00040D0C"/>
    <w:rsid w:val="00041E9E"/>
    <w:rsid w:val="000425AC"/>
    <w:rsid w:val="00043619"/>
    <w:rsid w:val="00046AF7"/>
    <w:rsid w:val="0004719A"/>
    <w:rsid w:val="000473FE"/>
    <w:rsid w:val="000477A8"/>
    <w:rsid w:val="000477E8"/>
    <w:rsid w:val="00050EBB"/>
    <w:rsid w:val="0005333E"/>
    <w:rsid w:val="00054C6B"/>
    <w:rsid w:val="00055B3E"/>
    <w:rsid w:val="00056EDE"/>
    <w:rsid w:val="00057CB7"/>
    <w:rsid w:val="000601E0"/>
    <w:rsid w:val="000623C3"/>
    <w:rsid w:val="000625F9"/>
    <w:rsid w:val="00062AA4"/>
    <w:rsid w:val="00062D91"/>
    <w:rsid w:val="000636CB"/>
    <w:rsid w:val="0006375F"/>
    <w:rsid w:val="00063CAF"/>
    <w:rsid w:val="000648A4"/>
    <w:rsid w:val="00066B9C"/>
    <w:rsid w:val="00066C8A"/>
    <w:rsid w:val="000671FA"/>
    <w:rsid w:val="000673B7"/>
    <w:rsid w:val="00070C28"/>
    <w:rsid w:val="00070FC7"/>
    <w:rsid w:val="00071323"/>
    <w:rsid w:val="0007139C"/>
    <w:rsid w:val="00072390"/>
    <w:rsid w:val="00072E44"/>
    <w:rsid w:val="0007303E"/>
    <w:rsid w:val="000731D7"/>
    <w:rsid w:val="00074A7F"/>
    <w:rsid w:val="00074E67"/>
    <w:rsid w:val="00075C04"/>
    <w:rsid w:val="00076330"/>
    <w:rsid w:val="000767B9"/>
    <w:rsid w:val="000769A6"/>
    <w:rsid w:val="00082E21"/>
    <w:rsid w:val="00083335"/>
    <w:rsid w:val="00084030"/>
    <w:rsid w:val="0008575B"/>
    <w:rsid w:val="00086E25"/>
    <w:rsid w:val="00087766"/>
    <w:rsid w:val="00087B4F"/>
    <w:rsid w:val="00087FD3"/>
    <w:rsid w:val="00090378"/>
    <w:rsid w:val="0009083A"/>
    <w:rsid w:val="00090E8C"/>
    <w:rsid w:val="00090F00"/>
    <w:rsid w:val="000912A3"/>
    <w:rsid w:val="00093579"/>
    <w:rsid w:val="00093FA6"/>
    <w:rsid w:val="000962F1"/>
    <w:rsid w:val="000965E0"/>
    <w:rsid w:val="00096938"/>
    <w:rsid w:val="00096D91"/>
    <w:rsid w:val="00096DA9"/>
    <w:rsid w:val="000A0255"/>
    <w:rsid w:val="000A35B7"/>
    <w:rsid w:val="000A3BD8"/>
    <w:rsid w:val="000A3FE1"/>
    <w:rsid w:val="000A4302"/>
    <w:rsid w:val="000A5B8D"/>
    <w:rsid w:val="000A5C5C"/>
    <w:rsid w:val="000A7E62"/>
    <w:rsid w:val="000B0237"/>
    <w:rsid w:val="000B06D2"/>
    <w:rsid w:val="000B0A0F"/>
    <w:rsid w:val="000B0C39"/>
    <w:rsid w:val="000B0D2A"/>
    <w:rsid w:val="000B0DE4"/>
    <w:rsid w:val="000B1964"/>
    <w:rsid w:val="000B1A31"/>
    <w:rsid w:val="000B23FE"/>
    <w:rsid w:val="000B2F77"/>
    <w:rsid w:val="000B3107"/>
    <w:rsid w:val="000B3E5C"/>
    <w:rsid w:val="000B40A5"/>
    <w:rsid w:val="000B4D08"/>
    <w:rsid w:val="000B5324"/>
    <w:rsid w:val="000B5C56"/>
    <w:rsid w:val="000B61B0"/>
    <w:rsid w:val="000B7902"/>
    <w:rsid w:val="000C0AA9"/>
    <w:rsid w:val="000C148A"/>
    <w:rsid w:val="000C15B1"/>
    <w:rsid w:val="000C1670"/>
    <w:rsid w:val="000C2AB8"/>
    <w:rsid w:val="000C30F8"/>
    <w:rsid w:val="000C3C7F"/>
    <w:rsid w:val="000C41A1"/>
    <w:rsid w:val="000C432B"/>
    <w:rsid w:val="000C5116"/>
    <w:rsid w:val="000C594B"/>
    <w:rsid w:val="000C728D"/>
    <w:rsid w:val="000C7B56"/>
    <w:rsid w:val="000C7D10"/>
    <w:rsid w:val="000D0336"/>
    <w:rsid w:val="000D0360"/>
    <w:rsid w:val="000D10C1"/>
    <w:rsid w:val="000D36F5"/>
    <w:rsid w:val="000D38E2"/>
    <w:rsid w:val="000D3964"/>
    <w:rsid w:val="000D4165"/>
    <w:rsid w:val="000D5611"/>
    <w:rsid w:val="000D5735"/>
    <w:rsid w:val="000D728B"/>
    <w:rsid w:val="000E016A"/>
    <w:rsid w:val="000E07B7"/>
    <w:rsid w:val="000E0AFA"/>
    <w:rsid w:val="000E1966"/>
    <w:rsid w:val="000E1E33"/>
    <w:rsid w:val="000E2084"/>
    <w:rsid w:val="000E2150"/>
    <w:rsid w:val="000E26F0"/>
    <w:rsid w:val="000E2D0C"/>
    <w:rsid w:val="000E3A54"/>
    <w:rsid w:val="000E3F60"/>
    <w:rsid w:val="000E4212"/>
    <w:rsid w:val="000E47B0"/>
    <w:rsid w:val="000E4C03"/>
    <w:rsid w:val="000E4F8A"/>
    <w:rsid w:val="000E5497"/>
    <w:rsid w:val="000E57E6"/>
    <w:rsid w:val="000E6CE9"/>
    <w:rsid w:val="000F0704"/>
    <w:rsid w:val="000F1033"/>
    <w:rsid w:val="000F180F"/>
    <w:rsid w:val="000F2971"/>
    <w:rsid w:val="000F2CA3"/>
    <w:rsid w:val="000F30FC"/>
    <w:rsid w:val="000F3A78"/>
    <w:rsid w:val="000F3B18"/>
    <w:rsid w:val="000F4A4D"/>
    <w:rsid w:val="000F5CD3"/>
    <w:rsid w:val="000F68F3"/>
    <w:rsid w:val="000F7C90"/>
    <w:rsid w:val="000F7F22"/>
    <w:rsid w:val="0010036C"/>
    <w:rsid w:val="00100F19"/>
    <w:rsid w:val="00100FB8"/>
    <w:rsid w:val="00100FBB"/>
    <w:rsid w:val="00101318"/>
    <w:rsid w:val="0010207F"/>
    <w:rsid w:val="00102317"/>
    <w:rsid w:val="0010289C"/>
    <w:rsid w:val="00102AB5"/>
    <w:rsid w:val="00102E8B"/>
    <w:rsid w:val="001034B3"/>
    <w:rsid w:val="00103626"/>
    <w:rsid w:val="00103785"/>
    <w:rsid w:val="0010452A"/>
    <w:rsid w:val="001045EA"/>
    <w:rsid w:val="00104710"/>
    <w:rsid w:val="0010538C"/>
    <w:rsid w:val="0010624E"/>
    <w:rsid w:val="00106B58"/>
    <w:rsid w:val="0010736D"/>
    <w:rsid w:val="00107581"/>
    <w:rsid w:val="00107777"/>
    <w:rsid w:val="0011001C"/>
    <w:rsid w:val="00111080"/>
    <w:rsid w:val="001110A8"/>
    <w:rsid w:val="00111427"/>
    <w:rsid w:val="00111B2C"/>
    <w:rsid w:val="0011224B"/>
    <w:rsid w:val="00112405"/>
    <w:rsid w:val="001124F4"/>
    <w:rsid w:val="0011421B"/>
    <w:rsid w:val="00114EA5"/>
    <w:rsid w:val="0011550E"/>
    <w:rsid w:val="00115690"/>
    <w:rsid w:val="00115A7A"/>
    <w:rsid w:val="00116095"/>
    <w:rsid w:val="0011698C"/>
    <w:rsid w:val="001177AF"/>
    <w:rsid w:val="0012008D"/>
    <w:rsid w:val="001200EE"/>
    <w:rsid w:val="00120994"/>
    <w:rsid w:val="00123C3E"/>
    <w:rsid w:val="00124E57"/>
    <w:rsid w:val="001258DD"/>
    <w:rsid w:val="00125C7C"/>
    <w:rsid w:val="00125D8D"/>
    <w:rsid w:val="00126317"/>
    <w:rsid w:val="00127727"/>
    <w:rsid w:val="00127A23"/>
    <w:rsid w:val="00127E1C"/>
    <w:rsid w:val="0013049D"/>
    <w:rsid w:val="00130C90"/>
    <w:rsid w:val="00130FC6"/>
    <w:rsid w:val="001317FB"/>
    <w:rsid w:val="00135272"/>
    <w:rsid w:val="001352CD"/>
    <w:rsid w:val="00136140"/>
    <w:rsid w:val="0013616D"/>
    <w:rsid w:val="00136353"/>
    <w:rsid w:val="00136DCD"/>
    <w:rsid w:val="0013730D"/>
    <w:rsid w:val="00137B3D"/>
    <w:rsid w:val="00137F15"/>
    <w:rsid w:val="0014062D"/>
    <w:rsid w:val="001418C4"/>
    <w:rsid w:val="00141F06"/>
    <w:rsid w:val="00142114"/>
    <w:rsid w:val="001425C7"/>
    <w:rsid w:val="0014298F"/>
    <w:rsid w:val="0014328D"/>
    <w:rsid w:val="001438B0"/>
    <w:rsid w:val="00143AA2"/>
    <w:rsid w:val="00144728"/>
    <w:rsid w:val="001461AA"/>
    <w:rsid w:val="00147730"/>
    <w:rsid w:val="0014783C"/>
    <w:rsid w:val="00147E39"/>
    <w:rsid w:val="001501ED"/>
    <w:rsid w:val="00150C92"/>
    <w:rsid w:val="00151FE1"/>
    <w:rsid w:val="00153184"/>
    <w:rsid w:val="00153C9F"/>
    <w:rsid w:val="00154902"/>
    <w:rsid w:val="00154A3C"/>
    <w:rsid w:val="00156D31"/>
    <w:rsid w:val="00157264"/>
    <w:rsid w:val="0015787A"/>
    <w:rsid w:val="00157CC6"/>
    <w:rsid w:val="00160C42"/>
    <w:rsid w:val="00161084"/>
    <w:rsid w:val="00163026"/>
    <w:rsid w:val="00163628"/>
    <w:rsid w:val="00164719"/>
    <w:rsid w:val="00165116"/>
    <w:rsid w:val="00165F5F"/>
    <w:rsid w:val="00166703"/>
    <w:rsid w:val="00167020"/>
    <w:rsid w:val="00167853"/>
    <w:rsid w:val="001712B6"/>
    <w:rsid w:val="00171BF6"/>
    <w:rsid w:val="00173D9D"/>
    <w:rsid w:val="00173E08"/>
    <w:rsid w:val="00175E7D"/>
    <w:rsid w:val="00176734"/>
    <w:rsid w:val="00176A3F"/>
    <w:rsid w:val="0018034B"/>
    <w:rsid w:val="00181363"/>
    <w:rsid w:val="001814D2"/>
    <w:rsid w:val="0018197F"/>
    <w:rsid w:val="00182425"/>
    <w:rsid w:val="00182462"/>
    <w:rsid w:val="00184CB6"/>
    <w:rsid w:val="00184DB7"/>
    <w:rsid w:val="00184DFE"/>
    <w:rsid w:val="00184EE4"/>
    <w:rsid w:val="001868F5"/>
    <w:rsid w:val="00186F2F"/>
    <w:rsid w:val="001876B8"/>
    <w:rsid w:val="00187C27"/>
    <w:rsid w:val="001903ED"/>
    <w:rsid w:val="0019064F"/>
    <w:rsid w:val="0019124A"/>
    <w:rsid w:val="00192424"/>
    <w:rsid w:val="0019260B"/>
    <w:rsid w:val="00192849"/>
    <w:rsid w:val="00193084"/>
    <w:rsid w:val="00193CC1"/>
    <w:rsid w:val="00194CBE"/>
    <w:rsid w:val="00195042"/>
    <w:rsid w:val="001951CF"/>
    <w:rsid w:val="0019553D"/>
    <w:rsid w:val="00195DAD"/>
    <w:rsid w:val="001A002E"/>
    <w:rsid w:val="001A0F13"/>
    <w:rsid w:val="001A221C"/>
    <w:rsid w:val="001A2288"/>
    <w:rsid w:val="001A2512"/>
    <w:rsid w:val="001A279F"/>
    <w:rsid w:val="001A28E7"/>
    <w:rsid w:val="001A28EF"/>
    <w:rsid w:val="001A3613"/>
    <w:rsid w:val="001A3F77"/>
    <w:rsid w:val="001A4222"/>
    <w:rsid w:val="001A4B04"/>
    <w:rsid w:val="001A4B20"/>
    <w:rsid w:val="001A560F"/>
    <w:rsid w:val="001B07B4"/>
    <w:rsid w:val="001B088E"/>
    <w:rsid w:val="001B0B9E"/>
    <w:rsid w:val="001B1BC9"/>
    <w:rsid w:val="001B370F"/>
    <w:rsid w:val="001B3A38"/>
    <w:rsid w:val="001B4D7F"/>
    <w:rsid w:val="001B5686"/>
    <w:rsid w:val="001B61A5"/>
    <w:rsid w:val="001B663E"/>
    <w:rsid w:val="001B6C76"/>
    <w:rsid w:val="001B7DA0"/>
    <w:rsid w:val="001C080B"/>
    <w:rsid w:val="001C0A6E"/>
    <w:rsid w:val="001C0F23"/>
    <w:rsid w:val="001C1515"/>
    <w:rsid w:val="001C1589"/>
    <w:rsid w:val="001C165D"/>
    <w:rsid w:val="001C3C4B"/>
    <w:rsid w:val="001C4E3F"/>
    <w:rsid w:val="001C577E"/>
    <w:rsid w:val="001C6C0B"/>
    <w:rsid w:val="001C7523"/>
    <w:rsid w:val="001D0424"/>
    <w:rsid w:val="001D0C3F"/>
    <w:rsid w:val="001D17F4"/>
    <w:rsid w:val="001D1FFE"/>
    <w:rsid w:val="001D3ACB"/>
    <w:rsid w:val="001D3D45"/>
    <w:rsid w:val="001D3F11"/>
    <w:rsid w:val="001D4973"/>
    <w:rsid w:val="001D4FFB"/>
    <w:rsid w:val="001D5723"/>
    <w:rsid w:val="001D5905"/>
    <w:rsid w:val="001D5EB4"/>
    <w:rsid w:val="001D7D7C"/>
    <w:rsid w:val="001E01A3"/>
    <w:rsid w:val="001E07E3"/>
    <w:rsid w:val="001E0ADE"/>
    <w:rsid w:val="001E1924"/>
    <w:rsid w:val="001E2A66"/>
    <w:rsid w:val="001E34B0"/>
    <w:rsid w:val="001E4A7D"/>
    <w:rsid w:val="001E4C23"/>
    <w:rsid w:val="001E5FD4"/>
    <w:rsid w:val="001E6010"/>
    <w:rsid w:val="001E65AE"/>
    <w:rsid w:val="001E6DB1"/>
    <w:rsid w:val="001E71FC"/>
    <w:rsid w:val="001E726E"/>
    <w:rsid w:val="001E763F"/>
    <w:rsid w:val="001E7E66"/>
    <w:rsid w:val="001F0E3B"/>
    <w:rsid w:val="001F15AE"/>
    <w:rsid w:val="001F18A0"/>
    <w:rsid w:val="001F29E8"/>
    <w:rsid w:val="001F2B45"/>
    <w:rsid w:val="001F2E0D"/>
    <w:rsid w:val="001F3D9D"/>
    <w:rsid w:val="001F4EBD"/>
    <w:rsid w:val="001F51CA"/>
    <w:rsid w:val="001F6FE0"/>
    <w:rsid w:val="001F7179"/>
    <w:rsid w:val="0020085F"/>
    <w:rsid w:val="00200F8C"/>
    <w:rsid w:val="00201C34"/>
    <w:rsid w:val="002021AC"/>
    <w:rsid w:val="00202E8D"/>
    <w:rsid w:val="00203785"/>
    <w:rsid w:val="002038FE"/>
    <w:rsid w:val="00204345"/>
    <w:rsid w:val="002044B1"/>
    <w:rsid w:val="0020508B"/>
    <w:rsid w:val="00206D78"/>
    <w:rsid w:val="00207B88"/>
    <w:rsid w:val="00207FA9"/>
    <w:rsid w:val="00211548"/>
    <w:rsid w:val="00211918"/>
    <w:rsid w:val="002129E4"/>
    <w:rsid w:val="002137ED"/>
    <w:rsid w:val="00213B3C"/>
    <w:rsid w:val="00215C2D"/>
    <w:rsid w:val="00215DC4"/>
    <w:rsid w:val="00215F20"/>
    <w:rsid w:val="00215FC0"/>
    <w:rsid w:val="00216921"/>
    <w:rsid w:val="00217475"/>
    <w:rsid w:val="00220854"/>
    <w:rsid w:val="00222F1F"/>
    <w:rsid w:val="00223641"/>
    <w:rsid w:val="00223E91"/>
    <w:rsid w:val="002246E7"/>
    <w:rsid w:val="00224FCE"/>
    <w:rsid w:val="00224FCF"/>
    <w:rsid w:val="002253E8"/>
    <w:rsid w:val="00225B09"/>
    <w:rsid w:val="00226D75"/>
    <w:rsid w:val="00227151"/>
    <w:rsid w:val="00232674"/>
    <w:rsid w:val="002336CD"/>
    <w:rsid w:val="0023389A"/>
    <w:rsid w:val="002354D9"/>
    <w:rsid w:val="002358E5"/>
    <w:rsid w:val="00235E2C"/>
    <w:rsid w:val="00236B32"/>
    <w:rsid w:val="00237557"/>
    <w:rsid w:val="00237FF3"/>
    <w:rsid w:val="00240092"/>
    <w:rsid w:val="00240A64"/>
    <w:rsid w:val="002413C9"/>
    <w:rsid w:val="0024160B"/>
    <w:rsid w:val="0024235F"/>
    <w:rsid w:val="00242427"/>
    <w:rsid w:val="002425A0"/>
    <w:rsid w:val="00242D3D"/>
    <w:rsid w:val="002440B9"/>
    <w:rsid w:val="002448BE"/>
    <w:rsid w:val="00244A3B"/>
    <w:rsid w:val="00244C10"/>
    <w:rsid w:val="00244CAA"/>
    <w:rsid w:val="00244E6F"/>
    <w:rsid w:val="002463EA"/>
    <w:rsid w:val="0024770F"/>
    <w:rsid w:val="00251582"/>
    <w:rsid w:val="00252A79"/>
    <w:rsid w:val="00253BE3"/>
    <w:rsid w:val="00254292"/>
    <w:rsid w:val="002542F9"/>
    <w:rsid w:val="00254918"/>
    <w:rsid w:val="002553C1"/>
    <w:rsid w:val="00260DCE"/>
    <w:rsid w:val="00261881"/>
    <w:rsid w:val="002646CC"/>
    <w:rsid w:val="00264A98"/>
    <w:rsid w:val="00264B46"/>
    <w:rsid w:val="00265622"/>
    <w:rsid w:val="0026572B"/>
    <w:rsid w:val="00266AEF"/>
    <w:rsid w:val="00270163"/>
    <w:rsid w:val="00270ACB"/>
    <w:rsid w:val="00270CB7"/>
    <w:rsid w:val="00271E72"/>
    <w:rsid w:val="0027239C"/>
    <w:rsid w:val="002724A1"/>
    <w:rsid w:val="00273816"/>
    <w:rsid w:val="00273D10"/>
    <w:rsid w:val="00275392"/>
    <w:rsid w:val="0027572E"/>
    <w:rsid w:val="002774C1"/>
    <w:rsid w:val="00277C64"/>
    <w:rsid w:val="00277D1C"/>
    <w:rsid w:val="00280404"/>
    <w:rsid w:val="002815A6"/>
    <w:rsid w:val="00281EB5"/>
    <w:rsid w:val="002821E1"/>
    <w:rsid w:val="0028284E"/>
    <w:rsid w:val="00282D3F"/>
    <w:rsid w:val="00283180"/>
    <w:rsid w:val="00284080"/>
    <w:rsid w:val="00284EE5"/>
    <w:rsid w:val="002862E4"/>
    <w:rsid w:val="002867DD"/>
    <w:rsid w:val="00287258"/>
    <w:rsid w:val="002877CA"/>
    <w:rsid w:val="00287A2C"/>
    <w:rsid w:val="00290BFE"/>
    <w:rsid w:val="00291F2C"/>
    <w:rsid w:val="0029359E"/>
    <w:rsid w:val="002939AF"/>
    <w:rsid w:val="00293B2B"/>
    <w:rsid w:val="00294782"/>
    <w:rsid w:val="00295227"/>
    <w:rsid w:val="00295CCC"/>
    <w:rsid w:val="00295DA5"/>
    <w:rsid w:val="002963CA"/>
    <w:rsid w:val="00297C45"/>
    <w:rsid w:val="00297D0E"/>
    <w:rsid w:val="00297E5F"/>
    <w:rsid w:val="002A1447"/>
    <w:rsid w:val="002A2399"/>
    <w:rsid w:val="002A2A1C"/>
    <w:rsid w:val="002A2F3D"/>
    <w:rsid w:val="002A4B3D"/>
    <w:rsid w:val="002A553C"/>
    <w:rsid w:val="002A5E3F"/>
    <w:rsid w:val="002B2CBB"/>
    <w:rsid w:val="002B398A"/>
    <w:rsid w:val="002B4421"/>
    <w:rsid w:val="002B53DD"/>
    <w:rsid w:val="002B5978"/>
    <w:rsid w:val="002B5A20"/>
    <w:rsid w:val="002B60FB"/>
    <w:rsid w:val="002B661D"/>
    <w:rsid w:val="002C03CC"/>
    <w:rsid w:val="002C0707"/>
    <w:rsid w:val="002C0B1F"/>
    <w:rsid w:val="002C17FE"/>
    <w:rsid w:val="002C1D39"/>
    <w:rsid w:val="002C1F56"/>
    <w:rsid w:val="002C2176"/>
    <w:rsid w:val="002C2C84"/>
    <w:rsid w:val="002C32B1"/>
    <w:rsid w:val="002C34D0"/>
    <w:rsid w:val="002C3D16"/>
    <w:rsid w:val="002C3FAA"/>
    <w:rsid w:val="002C62AE"/>
    <w:rsid w:val="002C69A8"/>
    <w:rsid w:val="002D1ED1"/>
    <w:rsid w:val="002D2564"/>
    <w:rsid w:val="002D25B0"/>
    <w:rsid w:val="002D2C55"/>
    <w:rsid w:val="002D32F7"/>
    <w:rsid w:val="002D3A9D"/>
    <w:rsid w:val="002D64E7"/>
    <w:rsid w:val="002D7515"/>
    <w:rsid w:val="002E04AD"/>
    <w:rsid w:val="002E148D"/>
    <w:rsid w:val="002E3BFD"/>
    <w:rsid w:val="002E43EA"/>
    <w:rsid w:val="002E47EF"/>
    <w:rsid w:val="002E4ED6"/>
    <w:rsid w:val="002E5438"/>
    <w:rsid w:val="002E6A4C"/>
    <w:rsid w:val="002E7C52"/>
    <w:rsid w:val="002E7D93"/>
    <w:rsid w:val="002E7F16"/>
    <w:rsid w:val="002F2CD0"/>
    <w:rsid w:val="002F399F"/>
    <w:rsid w:val="002F3A71"/>
    <w:rsid w:val="002F4909"/>
    <w:rsid w:val="002F497F"/>
    <w:rsid w:val="002F62F8"/>
    <w:rsid w:val="002F6D32"/>
    <w:rsid w:val="002F7E32"/>
    <w:rsid w:val="002F7F68"/>
    <w:rsid w:val="00300696"/>
    <w:rsid w:val="00300CB9"/>
    <w:rsid w:val="0030118C"/>
    <w:rsid w:val="0030152C"/>
    <w:rsid w:val="00302B71"/>
    <w:rsid w:val="00302D82"/>
    <w:rsid w:val="00303938"/>
    <w:rsid w:val="00303BBB"/>
    <w:rsid w:val="00304CAC"/>
    <w:rsid w:val="00306149"/>
    <w:rsid w:val="00306BAE"/>
    <w:rsid w:val="003071FD"/>
    <w:rsid w:val="0031195E"/>
    <w:rsid w:val="00311A96"/>
    <w:rsid w:val="00311F1B"/>
    <w:rsid w:val="003122B1"/>
    <w:rsid w:val="003123F5"/>
    <w:rsid w:val="003132F7"/>
    <w:rsid w:val="00314609"/>
    <w:rsid w:val="00315122"/>
    <w:rsid w:val="0031608B"/>
    <w:rsid w:val="003166A8"/>
    <w:rsid w:val="00316C3C"/>
    <w:rsid w:val="003205F6"/>
    <w:rsid w:val="003209C1"/>
    <w:rsid w:val="00321F3B"/>
    <w:rsid w:val="00322009"/>
    <w:rsid w:val="00322424"/>
    <w:rsid w:val="0032290F"/>
    <w:rsid w:val="003231F4"/>
    <w:rsid w:val="00323911"/>
    <w:rsid w:val="00323D1B"/>
    <w:rsid w:val="0032437F"/>
    <w:rsid w:val="00324AEA"/>
    <w:rsid w:val="00324DBF"/>
    <w:rsid w:val="00325769"/>
    <w:rsid w:val="00325EF9"/>
    <w:rsid w:val="0032693A"/>
    <w:rsid w:val="00326AEB"/>
    <w:rsid w:val="003313E6"/>
    <w:rsid w:val="00331A42"/>
    <w:rsid w:val="00332197"/>
    <w:rsid w:val="00334058"/>
    <w:rsid w:val="0033476A"/>
    <w:rsid w:val="00334BB6"/>
    <w:rsid w:val="0033597A"/>
    <w:rsid w:val="00336653"/>
    <w:rsid w:val="0034353C"/>
    <w:rsid w:val="00343FFB"/>
    <w:rsid w:val="00344299"/>
    <w:rsid w:val="0034507E"/>
    <w:rsid w:val="0034525E"/>
    <w:rsid w:val="00346071"/>
    <w:rsid w:val="0034774D"/>
    <w:rsid w:val="00347AB4"/>
    <w:rsid w:val="00347C43"/>
    <w:rsid w:val="00347D73"/>
    <w:rsid w:val="00350916"/>
    <w:rsid w:val="00350927"/>
    <w:rsid w:val="00350942"/>
    <w:rsid w:val="00350EF3"/>
    <w:rsid w:val="003517A3"/>
    <w:rsid w:val="0035327F"/>
    <w:rsid w:val="00353924"/>
    <w:rsid w:val="003552E6"/>
    <w:rsid w:val="003554A4"/>
    <w:rsid w:val="003559E9"/>
    <w:rsid w:val="003563CD"/>
    <w:rsid w:val="00356C54"/>
    <w:rsid w:val="00356EEE"/>
    <w:rsid w:val="003600B4"/>
    <w:rsid w:val="00361574"/>
    <w:rsid w:val="003621AC"/>
    <w:rsid w:val="003623E1"/>
    <w:rsid w:val="003625C7"/>
    <w:rsid w:val="00362A28"/>
    <w:rsid w:val="003642C4"/>
    <w:rsid w:val="003645E5"/>
    <w:rsid w:val="00364DD1"/>
    <w:rsid w:val="00365893"/>
    <w:rsid w:val="00365FC1"/>
    <w:rsid w:val="00366655"/>
    <w:rsid w:val="00366A2E"/>
    <w:rsid w:val="00367035"/>
    <w:rsid w:val="0036738A"/>
    <w:rsid w:val="00367C7A"/>
    <w:rsid w:val="003737E2"/>
    <w:rsid w:val="00373878"/>
    <w:rsid w:val="00373DEB"/>
    <w:rsid w:val="00373E2B"/>
    <w:rsid w:val="003744BE"/>
    <w:rsid w:val="003754DE"/>
    <w:rsid w:val="0037555B"/>
    <w:rsid w:val="00375883"/>
    <w:rsid w:val="00375998"/>
    <w:rsid w:val="00376DE6"/>
    <w:rsid w:val="00377A2D"/>
    <w:rsid w:val="00377B69"/>
    <w:rsid w:val="00380CEB"/>
    <w:rsid w:val="00381DE7"/>
    <w:rsid w:val="0038208E"/>
    <w:rsid w:val="003828BE"/>
    <w:rsid w:val="00382B34"/>
    <w:rsid w:val="00382C71"/>
    <w:rsid w:val="00384936"/>
    <w:rsid w:val="00385357"/>
    <w:rsid w:val="003853B7"/>
    <w:rsid w:val="00385C56"/>
    <w:rsid w:val="00385C7B"/>
    <w:rsid w:val="003860D0"/>
    <w:rsid w:val="00386C12"/>
    <w:rsid w:val="003871B6"/>
    <w:rsid w:val="00387BAC"/>
    <w:rsid w:val="00387EAE"/>
    <w:rsid w:val="00390055"/>
    <w:rsid w:val="00390166"/>
    <w:rsid w:val="003910C4"/>
    <w:rsid w:val="0039143F"/>
    <w:rsid w:val="00391BF3"/>
    <w:rsid w:val="00391CA0"/>
    <w:rsid w:val="0039346E"/>
    <w:rsid w:val="003935FA"/>
    <w:rsid w:val="00395AFE"/>
    <w:rsid w:val="00395CC4"/>
    <w:rsid w:val="003961DA"/>
    <w:rsid w:val="0039694A"/>
    <w:rsid w:val="00397391"/>
    <w:rsid w:val="00397421"/>
    <w:rsid w:val="00397B21"/>
    <w:rsid w:val="00397C3C"/>
    <w:rsid w:val="003A0681"/>
    <w:rsid w:val="003A0829"/>
    <w:rsid w:val="003A1890"/>
    <w:rsid w:val="003A1C51"/>
    <w:rsid w:val="003A419B"/>
    <w:rsid w:val="003A5AD4"/>
    <w:rsid w:val="003A62C5"/>
    <w:rsid w:val="003A6321"/>
    <w:rsid w:val="003A6634"/>
    <w:rsid w:val="003A6C49"/>
    <w:rsid w:val="003A78E6"/>
    <w:rsid w:val="003A7D5D"/>
    <w:rsid w:val="003A7F72"/>
    <w:rsid w:val="003B03D7"/>
    <w:rsid w:val="003B143E"/>
    <w:rsid w:val="003B3F19"/>
    <w:rsid w:val="003B4084"/>
    <w:rsid w:val="003B6361"/>
    <w:rsid w:val="003C0821"/>
    <w:rsid w:val="003C18FD"/>
    <w:rsid w:val="003C3022"/>
    <w:rsid w:val="003C710F"/>
    <w:rsid w:val="003D08BF"/>
    <w:rsid w:val="003D16E8"/>
    <w:rsid w:val="003D21D1"/>
    <w:rsid w:val="003D329E"/>
    <w:rsid w:val="003D3AE2"/>
    <w:rsid w:val="003D4E8D"/>
    <w:rsid w:val="003D5AA2"/>
    <w:rsid w:val="003D5E07"/>
    <w:rsid w:val="003D6144"/>
    <w:rsid w:val="003D6A08"/>
    <w:rsid w:val="003D709A"/>
    <w:rsid w:val="003D7D21"/>
    <w:rsid w:val="003D7E1F"/>
    <w:rsid w:val="003E0079"/>
    <w:rsid w:val="003E2D1A"/>
    <w:rsid w:val="003E337D"/>
    <w:rsid w:val="003E3402"/>
    <w:rsid w:val="003E36E3"/>
    <w:rsid w:val="003E3F4F"/>
    <w:rsid w:val="003E43A2"/>
    <w:rsid w:val="003E45DC"/>
    <w:rsid w:val="003E58F9"/>
    <w:rsid w:val="003E623C"/>
    <w:rsid w:val="003E66E9"/>
    <w:rsid w:val="003F0FAD"/>
    <w:rsid w:val="003F18EB"/>
    <w:rsid w:val="003F1F66"/>
    <w:rsid w:val="003F2060"/>
    <w:rsid w:val="003F290A"/>
    <w:rsid w:val="003F3909"/>
    <w:rsid w:val="003F4453"/>
    <w:rsid w:val="003F48E3"/>
    <w:rsid w:val="003F5A7A"/>
    <w:rsid w:val="004006DE"/>
    <w:rsid w:val="00401219"/>
    <w:rsid w:val="004022F7"/>
    <w:rsid w:val="004028F3"/>
    <w:rsid w:val="00403014"/>
    <w:rsid w:val="0040318B"/>
    <w:rsid w:val="00403AE0"/>
    <w:rsid w:val="0040415B"/>
    <w:rsid w:val="00404FF4"/>
    <w:rsid w:val="00405386"/>
    <w:rsid w:val="00406735"/>
    <w:rsid w:val="00406EA4"/>
    <w:rsid w:val="00407BC5"/>
    <w:rsid w:val="00407D82"/>
    <w:rsid w:val="0041051B"/>
    <w:rsid w:val="00411717"/>
    <w:rsid w:val="00412D78"/>
    <w:rsid w:val="004135C6"/>
    <w:rsid w:val="00413C60"/>
    <w:rsid w:val="0041417F"/>
    <w:rsid w:val="00414413"/>
    <w:rsid w:val="00414C03"/>
    <w:rsid w:val="00416888"/>
    <w:rsid w:val="004173D3"/>
    <w:rsid w:val="0041745F"/>
    <w:rsid w:val="004174CE"/>
    <w:rsid w:val="00417C9D"/>
    <w:rsid w:val="0042098D"/>
    <w:rsid w:val="004219FE"/>
    <w:rsid w:val="004222E4"/>
    <w:rsid w:val="00422488"/>
    <w:rsid w:val="00422E88"/>
    <w:rsid w:val="00422FD3"/>
    <w:rsid w:val="00423127"/>
    <w:rsid w:val="00424421"/>
    <w:rsid w:val="004246B3"/>
    <w:rsid w:val="00424C94"/>
    <w:rsid w:val="00427977"/>
    <w:rsid w:val="00427BDA"/>
    <w:rsid w:val="004305B1"/>
    <w:rsid w:val="004315EC"/>
    <w:rsid w:val="00432323"/>
    <w:rsid w:val="004353F2"/>
    <w:rsid w:val="004367D4"/>
    <w:rsid w:val="00436924"/>
    <w:rsid w:val="0043705A"/>
    <w:rsid w:val="00440DB7"/>
    <w:rsid w:val="00441FB8"/>
    <w:rsid w:val="00443EBA"/>
    <w:rsid w:val="00444E15"/>
    <w:rsid w:val="0044557A"/>
    <w:rsid w:val="00445CA2"/>
    <w:rsid w:val="00446084"/>
    <w:rsid w:val="00447AFF"/>
    <w:rsid w:val="00450650"/>
    <w:rsid w:val="00450F3D"/>
    <w:rsid w:val="0045189B"/>
    <w:rsid w:val="00451F77"/>
    <w:rsid w:val="00452204"/>
    <w:rsid w:val="00453E0F"/>
    <w:rsid w:val="00455D81"/>
    <w:rsid w:val="00456387"/>
    <w:rsid w:val="00460A77"/>
    <w:rsid w:val="00460AE8"/>
    <w:rsid w:val="00460BD5"/>
    <w:rsid w:val="00462EC9"/>
    <w:rsid w:val="0046326E"/>
    <w:rsid w:val="00463B61"/>
    <w:rsid w:val="004658BD"/>
    <w:rsid w:val="00466421"/>
    <w:rsid w:val="00467C31"/>
    <w:rsid w:val="0047085E"/>
    <w:rsid w:val="0047114C"/>
    <w:rsid w:val="004711F9"/>
    <w:rsid w:val="004715FF"/>
    <w:rsid w:val="0047175C"/>
    <w:rsid w:val="00472082"/>
    <w:rsid w:val="0047209B"/>
    <w:rsid w:val="004744E2"/>
    <w:rsid w:val="00474BA4"/>
    <w:rsid w:val="004765C3"/>
    <w:rsid w:val="004769FF"/>
    <w:rsid w:val="00476BD0"/>
    <w:rsid w:val="00476C03"/>
    <w:rsid w:val="00476DDC"/>
    <w:rsid w:val="004776CE"/>
    <w:rsid w:val="0047786A"/>
    <w:rsid w:val="004805EC"/>
    <w:rsid w:val="00480E4D"/>
    <w:rsid w:val="00481C89"/>
    <w:rsid w:val="004821E2"/>
    <w:rsid w:val="004833F1"/>
    <w:rsid w:val="004834ED"/>
    <w:rsid w:val="004836CC"/>
    <w:rsid w:val="004840F1"/>
    <w:rsid w:val="00484A3B"/>
    <w:rsid w:val="00485309"/>
    <w:rsid w:val="00485CA6"/>
    <w:rsid w:val="004868DD"/>
    <w:rsid w:val="00487406"/>
    <w:rsid w:val="0048749D"/>
    <w:rsid w:val="00487AE1"/>
    <w:rsid w:val="00490934"/>
    <w:rsid w:val="00490D7F"/>
    <w:rsid w:val="00492166"/>
    <w:rsid w:val="00492A36"/>
    <w:rsid w:val="00493383"/>
    <w:rsid w:val="004939A0"/>
    <w:rsid w:val="0049409B"/>
    <w:rsid w:val="004947F2"/>
    <w:rsid w:val="00495139"/>
    <w:rsid w:val="00495D5E"/>
    <w:rsid w:val="004966C1"/>
    <w:rsid w:val="004967C1"/>
    <w:rsid w:val="00497417"/>
    <w:rsid w:val="004975F8"/>
    <w:rsid w:val="004A0798"/>
    <w:rsid w:val="004A0EE1"/>
    <w:rsid w:val="004A1356"/>
    <w:rsid w:val="004A1412"/>
    <w:rsid w:val="004A1B94"/>
    <w:rsid w:val="004A1BA1"/>
    <w:rsid w:val="004A2914"/>
    <w:rsid w:val="004A2A40"/>
    <w:rsid w:val="004A3DC1"/>
    <w:rsid w:val="004A5B19"/>
    <w:rsid w:val="004A5B33"/>
    <w:rsid w:val="004A6177"/>
    <w:rsid w:val="004A759D"/>
    <w:rsid w:val="004A7AA5"/>
    <w:rsid w:val="004A7DD1"/>
    <w:rsid w:val="004B021A"/>
    <w:rsid w:val="004B04F8"/>
    <w:rsid w:val="004B1806"/>
    <w:rsid w:val="004B28A7"/>
    <w:rsid w:val="004B2970"/>
    <w:rsid w:val="004B2977"/>
    <w:rsid w:val="004B2AC8"/>
    <w:rsid w:val="004B2CAB"/>
    <w:rsid w:val="004B2F99"/>
    <w:rsid w:val="004B37CC"/>
    <w:rsid w:val="004B3A3F"/>
    <w:rsid w:val="004B3FE0"/>
    <w:rsid w:val="004B5415"/>
    <w:rsid w:val="004B555E"/>
    <w:rsid w:val="004B578B"/>
    <w:rsid w:val="004B6DD9"/>
    <w:rsid w:val="004B70B5"/>
    <w:rsid w:val="004C0CE0"/>
    <w:rsid w:val="004C14FA"/>
    <w:rsid w:val="004C1594"/>
    <w:rsid w:val="004C15A1"/>
    <w:rsid w:val="004C20A2"/>
    <w:rsid w:val="004C3C9B"/>
    <w:rsid w:val="004C4E13"/>
    <w:rsid w:val="004C5131"/>
    <w:rsid w:val="004C623C"/>
    <w:rsid w:val="004C65EF"/>
    <w:rsid w:val="004C672A"/>
    <w:rsid w:val="004C7F1C"/>
    <w:rsid w:val="004D0F6D"/>
    <w:rsid w:val="004D2A19"/>
    <w:rsid w:val="004D3EF4"/>
    <w:rsid w:val="004D40DA"/>
    <w:rsid w:val="004D51FF"/>
    <w:rsid w:val="004D5A38"/>
    <w:rsid w:val="004D6432"/>
    <w:rsid w:val="004D6DB0"/>
    <w:rsid w:val="004D7D0D"/>
    <w:rsid w:val="004E178E"/>
    <w:rsid w:val="004E1C8D"/>
    <w:rsid w:val="004E1E99"/>
    <w:rsid w:val="004E22A8"/>
    <w:rsid w:val="004E2B3E"/>
    <w:rsid w:val="004E35A6"/>
    <w:rsid w:val="004E4600"/>
    <w:rsid w:val="004E55A6"/>
    <w:rsid w:val="004E68AF"/>
    <w:rsid w:val="004E798F"/>
    <w:rsid w:val="004E7B75"/>
    <w:rsid w:val="004E7D85"/>
    <w:rsid w:val="004F016F"/>
    <w:rsid w:val="004F12EF"/>
    <w:rsid w:val="004F1A4C"/>
    <w:rsid w:val="004F2647"/>
    <w:rsid w:val="004F398A"/>
    <w:rsid w:val="004F49F9"/>
    <w:rsid w:val="004F5B2F"/>
    <w:rsid w:val="004F5C1F"/>
    <w:rsid w:val="004F6755"/>
    <w:rsid w:val="004F6A41"/>
    <w:rsid w:val="004F6FFD"/>
    <w:rsid w:val="004F78CB"/>
    <w:rsid w:val="004F7C89"/>
    <w:rsid w:val="005000F3"/>
    <w:rsid w:val="00501993"/>
    <w:rsid w:val="00504196"/>
    <w:rsid w:val="00504C58"/>
    <w:rsid w:val="005058AE"/>
    <w:rsid w:val="00505D30"/>
    <w:rsid w:val="00506608"/>
    <w:rsid w:val="00507E17"/>
    <w:rsid w:val="0051030E"/>
    <w:rsid w:val="00511215"/>
    <w:rsid w:val="0051177C"/>
    <w:rsid w:val="00511D9D"/>
    <w:rsid w:val="00512D7C"/>
    <w:rsid w:val="005132FD"/>
    <w:rsid w:val="00513A2D"/>
    <w:rsid w:val="00513BC1"/>
    <w:rsid w:val="005159D8"/>
    <w:rsid w:val="00515A48"/>
    <w:rsid w:val="00515DCC"/>
    <w:rsid w:val="005162D0"/>
    <w:rsid w:val="0051749F"/>
    <w:rsid w:val="0051767D"/>
    <w:rsid w:val="00517763"/>
    <w:rsid w:val="00520C6A"/>
    <w:rsid w:val="00521021"/>
    <w:rsid w:val="0052116C"/>
    <w:rsid w:val="005213C5"/>
    <w:rsid w:val="005227B8"/>
    <w:rsid w:val="00523676"/>
    <w:rsid w:val="00524705"/>
    <w:rsid w:val="0052544C"/>
    <w:rsid w:val="0052554A"/>
    <w:rsid w:val="0052633D"/>
    <w:rsid w:val="005274EB"/>
    <w:rsid w:val="00527F1F"/>
    <w:rsid w:val="00527F2F"/>
    <w:rsid w:val="0053013D"/>
    <w:rsid w:val="0053022F"/>
    <w:rsid w:val="00530268"/>
    <w:rsid w:val="00530EE5"/>
    <w:rsid w:val="00530FFA"/>
    <w:rsid w:val="005314EC"/>
    <w:rsid w:val="005316E2"/>
    <w:rsid w:val="00532D42"/>
    <w:rsid w:val="00532F55"/>
    <w:rsid w:val="00533850"/>
    <w:rsid w:val="0053431E"/>
    <w:rsid w:val="00535A57"/>
    <w:rsid w:val="00535BE7"/>
    <w:rsid w:val="00535FC6"/>
    <w:rsid w:val="00537C1A"/>
    <w:rsid w:val="0054041C"/>
    <w:rsid w:val="00540BE5"/>
    <w:rsid w:val="00542012"/>
    <w:rsid w:val="00542AE2"/>
    <w:rsid w:val="005433A7"/>
    <w:rsid w:val="00543CA1"/>
    <w:rsid w:val="00544AFF"/>
    <w:rsid w:val="00544FEC"/>
    <w:rsid w:val="00545109"/>
    <w:rsid w:val="00545216"/>
    <w:rsid w:val="00545D8C"/>
    <w:rsid w:val="00546E47"/>
    <w:rsid w:val="00546ED5"/>
    <w:rsid w:val="00547190"/>
    <w:rsid w:val="005474C5"/>
    <w:rsid w:val="00547BFD"/>
    <w:rsid w:val="005508F1"/>
    <w:rsid w:val="00550E33"/>
    <w:rsid w:val="00551745"/>
    <w:rsid w:val="00552169"/>
    <w:rsid w:val="0055519F"/>
    <w:rsid w:val="00556018"/>
    <w:rsid w:val="005565D0"/>
    <w:rsid w:val="0055672F"/>
    <w:rsid w:val="00557F8D"/>
    <w:rsid w:val="005609F5"/>
    <w:rsid w:val="005611B8"/>
    <w:rsid w:val="005611CD"/>
    <w:rsid w:val="0056124E"/>
    <w:rsid w:val="0056126F"/>
    <w:rsid w:val="00561D7D"/>
    <w:rsid w:val="00561E92"/>
    <w:rsid w:val="00562196"/>
    <w:rsid w:val="00562645"/>
    <w:rsid w:val="0056398D"/>
    <w:rsid w:val="005640E6"/>
    <w:rsid w:val="00564AA3"/>
    <w:rsid w:val="005654D0"/>
    <w:rsid w:val="00566FAB"/>
    <w:rsid w:val="00567413"/>
    <w:rsid w:val="00567EE0"/>
    <w:rsid w:val="00570273"/>
    <w:rsid w:val="00571D80"/>
    <w:rsid w:val="005724FA"/>
    <w:rsid w:val="00574801"/>
    <w:rsid w:val="005750B7"/>
    <w:rsid w:val="00576271"/>
    <w:rsid w:val="005772E2"/>
    <w:rsid w:val="00580CFA"/>
    <w:rsid w:val="00581EB6"/>
    <w:rsid w:val="00582337"/>
    <w:rsid w:val="005826D8"/>
    <w:rsid w:val="005829A2"/>
    <w:rsid w:val="0058301E"/>
    <w:rsid w:val="00583296"/>
    <w:rsid w:val="00583A3C"/>
    <w:rsid w:val="00583F12"/>
    <w:rsid w:val="0058432A"/>
    <w:rsid w:val="0058590B"/>
    <w:rsid w:val="00585A0E"/>
    <w:rsid w:val="0058657B"/>
    <w:rsid w:val="00591665"/>
    <w:rsid w:val="00592B02"/>
    <w:rsid w:val="00592BDF"/>
    <w:rsid w:val="00592D99"/>
    <w:rsid w:val="005944AE"/>
    <w:rsid w:val="00594882"/>
    <w:rsid w:val="005953A0"/>
    <w:rsid w:val="00595AE7"/>
    <w:rsid w:val="00596FBF"/>
    <w:rsid w:val="005A086B"/>
    <w:rsid w:val="005A257C"/>
    <w:rsid w:val="005A2F37"/>
    <w:rsid w:val="005A310D"/>
    <w:rsid w:val="005A3681"/>
    <w:rsid w:val="005A36B3"/>
    <w:rsid w:val="005A3BFF"/>
    <w:rsid w:val="005A530B"/>
    <w:rsid w:val="005A5697"/>
    <w:rsid w:val="005A56FB"/>
    <w:rsid w:val="005A5ED4"/>
    <w:rsid w:val="005A628D"/>
    <w:rsid w:val="005A65BA"/>
    <w:rsid w:val="005A65D8"/>
    <w:rsid w:val="005A6D86"/>
    <w:rsid w:val="005A71AB"/>
    <w:rsid w:val="005A7218"/>
    <w:rsid w:val="005A77C2"/>
    <w:rsid w:val="005A7E25"/>
    <w:rsid w:val="005B0B2F"/>
    <w:rsid w:val="005B10B7"/>
    <w:rsid w:val="005B14F7"/>
    <w:rsid w:val="005B21EA"/>
    <w:rsid w:val="005B279D"/>
    <w:rsid w:val="005B2FC0"/>
    <w:rsid w:val="005B310D"/>
    <w:rsid w:val="005B4122"/>
    <w:rsid w:val="005B4188"/>
    <w:rsid w:val="005B58BF"/>
    <w:rsid w:val="005B598F"/>
    <w:rsid w:val="005B6DFB"/>
    <w:rsid w:val="005B6EF9"/>
    <w:rsid w:val="005B71CB"/>
    <w:rsid w:val="005B7CC0"/>
    <w:rsid w:val="005C15C0"/>
    <w:rsid w:val="005C1A1E"/>
    <w:rsid w:val="005C205F"/>
    <w:rsid w:val="005C3EDA"/>
    <w:rsid w:val="005C4007"/>
    <w:rsid w:val="005C6899"/>
    <w:rsid w:val="005D00FD"/>
    <w:rsid w:val="005D1466"/>
    <w:rsid w:val="005D1BA6"/>
    <w:rsid w:val="005D3943"/>
    <w:rsid w:val="005D5658"/>
    <w:rsid w:val="005D57D1"/>
    <w:rsid w:val="005D5AAA"/>
    <w:rsid w:val="005D5EE1"/>
    <w:rsid w:val="005D7160"/>
    <w:rsid w:val="005D77F1"/>
    <w:rsid w:val="005D7D83"/>
    <w:rsid w:val="005D7E3D"/>
    <w:rsid w:val="005E063B"/>
    <w:rsid w:val="005E1246"/>
    <w:rsid w:val="005E1AC1"/>
    <w:rsid w:val="005E2641"/>
    <w:rsid w:val="005E2A9C"/>
    <w:rsid w:val="005E2D39"/>
    <w:rsid w:val="005E2DB7"/>
    <w:rsid w:val="005E4AA9"/>
    <w:rsid w:val="005E4BEE"/>
    <w:rsid w:val="005E5DC3"/>
    <w:rsid w:val="005E6173"/>
    <w:rsid w:val="005E6BAC"/>
    <w:rsid w:val="005E73F3"/>
    <w:rsid w:val="005E77F5"/>
    <w:rsid w:val="005F01F1"/>
    <w:rsid w:val="005F0CC3"/>
    <w:rsid w:val="005F0F40"/>
    <w:rsid w:val="005F16EA"/>
    <w:rsid w:val="005F1858"/>
    <w:rsid w:val="005F1CF8"/>
    <w:rsid w:val="005F34BB"/>
    <w:rsid w:val="005F4225"/>
    <w:rsid w:val="005F5D00"/>
    <w:rsid w:val="005F7557"/>
    <w:rsid w:val="00600005"/>
    <w:rsid w:val="00600AB7"/>
    <w:rsid w:val="00600D78"/>
    <w:rsid w:val="00601773"/>
    <w:rsid w:val="00601D6D"/>
    <w:rsid w:val="00601DD8"/>
    <w:rsid w:val="00602446"/>
    <w:rsid w:val="00602B47"/>
    <w:rsid w:val="00602E7E"/>
    <w:rsid w:val="006037B8"/>
    <w:rsid w:val="00603802"/>
    <w:rsid w:val="00603E53"/>
    <w:rsid w:val="006046B9"/>
    <w:rsid w:val="0060501A"/>
    <w:rsid w:val="006058E6"/>
    <w:rsid w:val="0060639C"/>
    <w:rsid w:val="006071D4"/>
    <w:rsid w:val="00607478"/>
    <w:rsid w:val="00607D73"/>
    <w:rsid w:val="00607EB6"/>
    <w:rsid w:val="006109E6"/>
    <w:rsid w:val="00610A6C"/>
    <w:rsid w:val="0061116E"/>
    <w:rsid w:val="00611C84"/>
    <w:rsid w:val="00611E93"/>
    <w:rsid w:val="00612289"/>
    <w:rsid w:val="006129F6"/>
    <w:rsid w:val="00613961"/>
    <w:rsid w:val="00613976"/>
    <w:rsid w:val="00615129"/>
    <w:rsid w:val="00615DD9"/>
    <w:rsid w:val="00616754"/>
    <w:rsid w:val="0061721B"/>
    <w:rsid w:val="00617DDB"/>
    <w:rsid w:val="00621F71"/>
    <w:rsid w:val="00624CA5"/>
    <w:rsid w:val="00624FDB"/>
    <w:rsid w:val="00627965"/>
    <w:rsid w:val="00627BA6"/>
    <w:rsid w:val="006308D4"/>
    <w:rsid w:val="00631296"/>
    <w:rsid w:val="00631382"/>
    <w:rsid w:val="0063153A"/>
    <w:rsid w:val="00632166"/>
    <w:rsid w:val="006325B9"/>
    <w:rsid w:val="00632AE7"/>
    <w:rsid w:val="006334AC"/>
    <w:rsid w:val="006337AA"/>
    <w:rsid w:val="006339C0"/>
    <w:rsid w:val="006341C8"/>
    <w:rsid w:val="00635010"/>
    <w:rsid w:val="006358E5"/>
    <w:rsid w:val="00636608"/>
    <w:rsid w:val="0063664E"/>
    <w:rsid w:val="006372B8"/>
    <w:rsid w:val="006412A8"/>
    <w:rsid w:val="00641C2A"/>
    <w:rsid w:val="00642003"/>
    <w:rsid w:val="00642A6F"/>
    <w:rsid w:val="0064310A"/>
    <w:rsid w:val="006435D6"/>
    <w:rsid w:val="00643A9D"/>
    <w:rsid w:val="00644F6D"/>
    <w:rsid w:val="00645B82"/>
    <w:rsid w:val="00647935"/>
    <w:rsid w:val="0065063C"/>
    <w:rsid w:val="00650E34"/>
    <w:rsid w:val="006532DE"/>
    <w:rsid w:val="00654518"/>
    <w:rsid w:val="006555B3"/>
    <w:rsid w:val="0065568C"/>
    <w:rsid w:val="006557E5"/>
    <w:rsid w:val="00655C19"/>
    <w:rsid w:val="00657975"/>
    <w:rsid w:val="00657F5A"/>
    <w:rsid w:val="006602A4"/>
    <w:rsid w:val="0066098C"/>
    <w:rsid w:val="00661C47"/>
    <w:rsid w:val="00661EF8"/>
    <w:rsid w:val="006623C6"/>
    <w:rsid w:val="00662A80"/>
    <w:rsid w:val="006642FD"/>
    <w:rsid w:val="00664DD2"/>
    <w:rsid w:val="00665158"/>
    <w:rsid w:val="00665BEB"/>
    <w:rsid w:val="00665DB5"/>
    <w:rsid w:val="00665F97"/>
    <w:rsid w:val="006669C2"/>
    <w:rsid w:val="006674FA"/>
    <w:rsid w:val="00670249"/>
    <w:rsid w:val="006706F7"/>
    <w:rsid w:val="00670AC8"/>
    <w:rsid w:val="00673345"/>
    <w:rsid w:val="00673CFA"/>
    <w:rsid w:val="00674584"/>
    <w:rsid w:val="00675699"/>
    <w:rsid w:val="00675840"/>
    <w:rsid w:val="0067651B"/>
    <w:rsid w:val="00676F43"/>
    <w:rsid w:val="00677B72"/>
    <w:rsid w:val="00680113"/>
    <w:rsid w:val="006802DC"/>
    <w:rsid w:val="00681F8A"/>
    <w:rsid w:val="006828A8"/>
    <w:rsid w:val="006845AA"/>
    <w:rsid w:val="006865E2"/>
    <w:rsid w:val="00686A03"/>
    <w:rsid w:val="00686C86"/>
    <w:rsid w:val="006903B2"/>
    <w:rsid w:val="00690ED2"/>
    <w:rsid w:val="006913D1"/>
    <w:rsid w:val="00691998"/>
    <w:rsid w:val="00692DFA"/>
    <w:rsid w:val="006941F9"/>
    <w:rsid w:val="00695006"/>
    <w:rsid w:val="006958F5"/>
    <w:rsid w:val="00695C53"/>
    <w:rsid w:val="00695D61"/>
    <w:rsid w:val="006965CD"/>
    <w:rsid w:val="00696DA7"/>
    <w:rsid w:val="006A064A"/>
    <w:rsid w:val="006A2F17"/>
    <w:rsid w:val="006A3B17"/>
    <w:rsid w:val="006A3FB0"/>
    <w:rsid w:val="006A435B"/>
    <w:rsid w:val="006A4D61"/>
    <w:rsid w:val="006A4DB9"/>
    <w:rsid w:val="006A5065"/>
    <w:rsid w:val="006A6DD1"/>
    <w:rsid w:val="006A7DC7"/>
    <w:rsid w:val="006A7E50"/>
    <w:rsid w:val="006B3205"/>
    <w:rsid w:val="006B47B7"/>
    <w:rsid w:val="006B5353"/>
    <w:rsid w:val="006B5BD4"/>
    <w:rsid w:val="006B6455"/>
    <w:rsid w:val="006B74C6"/>
    <w:rsid w:val="006B7C17"/>
    <w:rsid w:val="006C0169"/>
    <w:rsid w:val="006C0EE8"/>
    <w:rsid w:val="006C18B5"/>
    <w:rsid w:val="006C2611"/>
    <w:rsid w:val="006C2825"/>
    <w:rsid w:val="006C28E2"/>
    <w:rsid w:val="006C4935"/>
    <w:rsid w:val="006C7FCD"/>
    <w:rsid w:val="006D0A96"/>
    <w:rsid w:val="006D167A"/>
    <w:rsid w:val="006D22F7"/>
    <w:rsid w:val="006D3048"/>
    <w:rsid w:val="006D37F0"/>
    <w:rsid w:val="006D39C0"/>
    <w:rsid w:val="006D39F9"/>
    <w:rsid w:val="006D3A84"/>
    <w:rsid w:val="006D4735"/>
    <w:rsid w:val="006D480B"/>
    <w:rsid w:val="006D4874"/>
    <w:rsid w:val="006D4F3A"/>
    <w:rsid w:val="006D5CE2"/>
    <w:rsid w:val="006D602D"/>
    <w:rsid w:val="006D65CA"/>
    <w:rsid w:val="006D7909"/>
    <w:rsid w:val="006D7E4D"/>
    <w:rsid w:val="006E1018"/>
    <w:rsid w:val="006E14AB"/>
    <w:rsid w:val="006E17C3"/>
    <w:rsid w:val="006E2899"/>
    <w:rsid w:val="006E2ADC"/>
    <w:rsid w:val="006E333C"/>
    <w:rsid w:val="006E353A"/>
    <w:rsid w:val="006E356F"/>
    <w:rsid w:val="006E38A0"/>
    <w:rsid w:val="006E54C3"/>
    <w:rsid w:val="006E56D3"/>
    <w:rsid w:val="006E5D75"/>
    <w:rsid w:val="006E6498"/>
    <w:rsid w:val="006E785F"/>
    <w:rsid w:val="006E78C2"/>
    <w:rsid w:val="006F0402"/>
    <w:rsid w:val="006F068D"/>
    <w:rsid w:val="006F06BB"/>
    <w:rsid w:val="006F1166"/>
    <w:rsid w:val="006F17D1"/>
    <w:rsid w:val="006F219D"/>
    <w:rsid w:val="006F2CF4"/>
    <w:rsid w:val="006F2D79"/>
    <w:rsid w:val="006F366D"/>
    <w:rsid w:val="006F3B4B"/>
    <w:rsid w:val="006F5659"/>
    <w:rsid w:val="006F5AE2"/>
    <w:rsid w:val="006F7DB3"/>
    <w:rsid w:val="006F7EF0"/>
    <w:rsid w:val="00700031"/>
    <w:rsid w:val="007000C3"/>
    <w:rsid w:val="00700219"/>
    <w:rsid w:val="00700894"/>
    <w:rsid w:val="00700F8B"/>
    <w:rsid w:val="0070148F"/>
    <w:rsid w:val="007021E4"/>
    <w:rsid w:val="007026B6"/>
    <w:rsid w:val="007026D3"/>
    <w:rsid w:val="00702B77"/>
    <w:rsid w:val="00703303"/>
    <w:rsid w:val="007041B0"/>
    <w:rsid w:val="0070546D"/>
    <w:rsid w:val="0070602A"/>
    <w:rsid w:val="007073EC"/>
    <w:rsid w:val="00711ADF"/>
    <w:rsid w:val="00711D10"/>
    <w:rsid w:val="0071238E"/>
    <w:rsid w:val="00712DD1"/>
    <w:rsid w:val="007135CF"/>
    <w:rsid w:val="00713EBF"/>
    <w:rsid w:val="00714A4E"/>
    <w:rsid w:val="00714ECE"/>
    <w:rsid w:val="00715852"/>
    <w:rsid w:val="00715AE2"/>
    <w:rsid w:val="007164E5"/>
    <w:rsid w:val="007165C3"/>
    <w:rsid w:val="007169D1"/>
    <w:rsid w:val="00717675"/>
    <w:rsid w:val="00717951"/>
    <w:rsid w:val="00717D04"/>
    <w:rsid w:val="00720C5E"/>
    <w:rsid w:val="007217C1"/>
    <w:rsid w:val="0072198D"/>
    <w:rsid w:val="00721CBA"/>
    <w:rsid w:val="00721F3B"/>
    <w:rsid w:val="00722543"/>
    <w:rsid w:val="00722FFF"/>
    <w:rsid w:val="00723548"/>
    <w:rsid w:val="00723974"/>
    <w:rsid w:val="00723DEA"/>
    <w:rsid w:val="007240B8"/>
    <w:rsid w:val="00727286"/>
    <w:rsid w:val="00727536"/>
    <w:rsid w:val="00727657"/>
    <w:rsid w:val="007309AF"/>
    <w:rsid w:val="00730A1F"/>
    <w:rsid w:val="00730DCE"/>
    <w:rsid w:val="00731C26"/>
    <w:rsid w:val="0073350A"/>
    <w:rsid w:val="00733550"/>
    <w:rsid w:val="00735381"/>
    <w:rsid w:val="007366E7"/>
    <w:rsid w:val="00737BEB"/>
    <w:rsid w:val="00740575"/>
    <w:rsid w:val="007416AE"/>
    <w:rsid w:val="00742CA0"/>
    <w:rsid w:val="007436E0"/>
    <w:rsid w:val="007463A7"/>
    <w:rsid w:val="00747EFC"/>
    <w:rsid w:val="00747FF5"/>
    <w:rsid w:val="007503B2"/>
    <w:rsid w:val="007505C4"/>
    <w:rsid w:val="00750E45"/>
    <w:rsid w:val="007512DB"/>
    <w:rsid w:val="00751C02"/>
    <w:rsid w:val="00752A2B"/>
    <w:rsid w:val="007535DF"/>
    <w:rsid w:val="00754447"/>
    <w:rsid w:val="00754930"/>
    <w:rsid w:val="00754AA5"/>
    <w:rsid w:val="00754FC3"/>
    <w:rsid w:val="00755ACA"/>
    <w:rsid w:val="00755BD9"/>
    <w:rsid w:val="00755DF7"/>
    <w:rsid w:val="007569D5"/>
    <w:rsid w:val="00757573"/>
    <w:rsid w:val="00757B3C"/>
    <w:rsid w:val="007600B7"/>
    <w:rsid w:val="0076129F"/>
    <w:rsid w:val="0076232A"/>
    <w:rsid w:val="007628B2"/>
    <w:rsid w:val="00763219"/>
    <w:rsid w:val="00763CF3"/>
    <w:rsid w:val="0076457B"/>
    <w:rsid w:val="007654E6"/>
    <w:rsid w:val="007657CF"/>
    <w:rsid w:val="00765A22"/>
    <w:rsid w:val="00765E1C"/>
    <w:rsid w:val="00765F05"/>
    <w:rsid w:val="00770A4E"/>
    <w:rsid w:val="0077135A"/>
    <w:rsid w:val="0077170C"/>
    <w:rsid w:val="0077228B"/>
    <w:rsid w:val="0077334A"/>
    <w:rsid w:val="00773A41"/>
    <w:rsid w:val="00773B78"/>
    <w:rsid w:val="00773ED2"/>
    <w:rsid w:val="00774ADB"/>
    <w:rsid w:val="00774DB3"/>
    <w:rsid w:val="00774FA9"/>
    <w:rsid w:val="00775383"/>
    <w:rsid w:val="0077605E"/>
    <w:rsid w:val="00776AC6"/>
    <w:rsid w:val="007770A7"/>
    <w:rsid w:val="00777D24"/>
    <w:rsid w:val="00777F41"/>
    <w:rsid w:val="007818FD"/>
    <w:rsid w:val="00782796"/>
    <w:rsid w:val="007830A5"/>
    <w:rsid w:val="00783540"/>
    <w:rsid w:val="0078362B"/>
    <w:rsid w:val="007847DC"/>
    <w:rsid w:val="0078524E"/>
    <w:rsid w:val="00785C87"/>
    <w:rsid w:val="00785E75"/>
    <w:rsid w:val="00786147"/>
    <w:rsid w:val="00786956"/>
    <w:rsid w:val="00787316"/>
    <w:rsid w:val="0078769F"/>
    <w:rsid w:val="00790C4B"/>
    <w:rsid w:val="00790F30"/>
    <w:rsid w:val="007919C1"/>
    <w:rsid w:val="00791D97"/>
    <w:rsid w:val="0079222B"/>
    <w:rsid w:val="00792839"/>
    <w:rsid w:val="00792B9D"/>
    <w:rsid w:val="00792F46"/>
    <w:rsid w:val="00793087"/>
    <w:rsid w:val="007930BD"/>
    <w:rsid w:val="00793318"/>
    <w:rsid w:val="00793BA8"/>
    <w:rsid w:val="00794FBF"/>
    <w:rsid w:val="00795AB7"/>
    <w:rsid w:val="00795BE4"/>
    <w:rsid w:val="00795EDF"/>
    <w:rsid w:val="00796A9F"/>
    <w:rsid w:val="007A003F"/>
    <w:rsid w:val="007A005F"/>
    <w:rsid w:val="007A00CC"/>
    <w:rsid w:val="007A074D"/>
    <w:rsid w:val="007A24E8"/>
    <w:rsid w:val="007A36E8"/>
    <w:rsid w:val="007A4E9C"/>
    <w:rsid w:val="007A505E"/>
    <w:rsid w:val="007A5841"/>
    <w:rsid w:val="007A65C8"/>
    <w:rsid w:val="007A7642"/>
    <w:rsid w:val="007B08E3"/>
    <w:rsid w:val="007B0AC9"/>
    <w:rsid w:val="007B19FB"/>
    <w:rsid w:val="007B1B1C"/>
    <w:rsid w:val="007B1CD5"/>
    <w:rsid w:val="007B1E96"/>
    <w:rsid w:val="007B23DC"/>
    <w:rsid w:val="007B27FB"/>
    <w:rsid w:val="007B285D"/>
    <w:rsid w:val="007B2ABD"/>
    <w:rsid w:val="007B3AD1"/>
    <w:rsid w:val="007B3DB5"/>
    <w:rsid w:val="007B4202"/>
    <w:rsid w:val="007B72E2"/>
    <w:rsid w:val="007B7D1F"/>
    <w:rsid w:val="007C08B2"/>
    <w:rsid w:val="007C12FE"/>
    <w:rsid w:val="007C1EF0"/>
    <w:rsid w:val="007C2D90"/>
    <w:rsid w:val="007C38AE"/>
    <w:rsid w:val="007C3A73"/>
    <w:rsid w:val="007C3B69"/>
    <w:rsid w:val="007C4406"/>
    <w:rsid w:val="007C4AF3"/>
    <w:rsid w:val="007C4DED"/>
    <w:rsid w:val="007C5FFE"/>
    <w:rsid w:val="007C6968"/>
    <w:rsid w:val="007C6BAF"/>
    <w:rsid w:val="007C6C5B"/>
    <w:rsid w:val="007C7251"/>
    <w:rsid w:val="007C79A1"/>
    <w:rsid w:val="007D08DA"/>
    <w:rsid w:val="007D0EEE"/>
    <w:rsid w:val="007D2A33"/>
    <w:rsid w:val="007D3D96"/>
    <w:rsid w:val="007D4AB3"/>
    <w:rsid w:val="007D51E8"/>
    <w:rsid w:val="007D60BE"/>
    <w:rsid w:val="007D6D78"/>
    <w:rsid w:val="007D6DE4"/>
    <w:rsid w:val="007D700B"/>
    <w:rsid w:val="007D739E"/>
    <w:rsid w:val="007D766A"/>
    <w:rsid w:val="007E065D"/>
    <w:rsid w:val="007E0D90"/>
    <w:rsid w:val="007E119A"/>
    <w:rsid w:val="007E121F"/>
    <w:rsid w:val="007E15B7"/>
    <w:rsid w:val="007E1625"/>
    <w:rsid w:val="007E2A2C"/>
    <w:rsid w:val="007E2AEE"/>
    <w:rsid w:val="007E3503"/>
    <w:rsid w:val="007E4E7B"/>
    <w:rsid w:val="007E589F"/>
    <w:rsid w:val="007E5D0A"/>
    <w:rsid w:val="007E64D1"/>
    <w:rsid w:val="007E75B2"/>
    <w:rsid w:val="007E75B9"/>
    <w:rsid w:val="007E763F"/>
    <w:rsid w:val="007E794E"/>
    <w:rsid w:val="007F02F9"/>
    <w:rsid w:val="007F1916"/>
    <w:rsid w:val="007F2448"/>
    <w:rsid w:val="007F2948"/>
    <w:rsid w:val="007F321D"/>
    <w:rsid w:val="007F40DD"/>
    <w:rsid w:val="007F56BA"/>
    <w:rsid w:val="007F5F20"/>
    <w:rsid w:val="007F5FFE"/>
    <w:rsid w:val="007F626A"/>
    <w:rsid w:val="007F6AE3"/>
    <w:rsid w:val="007F6E64"/>
    <w:rsid w:val="007F7E77"/>
    <w:rsid w:val="00800043"/>
    <w:rsid w:val="008001BB"/>
    <w:rsid w:val="00801336"/>
    <w:rsid w:val="008013FF"/>
    <w:rsid w:val="008017FC"/>
    <w:rsid w:val="0080187C"/>
    <w:rsid w:val="00801AEF"/>
    <w:rsid w:val="00802793"/>
    <w:rsid w:val="008029B1"/>
    <w:rsid w:val="00802CFA"/>
    <w:rsid w:val="00803497"/>
    <w:rsid w:val="00803635"/>
    <w:rsid w:val="00803959"/>
    <w:rsid w:val="00804C65"/>
    <w:rsid w:val="00804D61"/>
    <w:rsid w:val="0080596F"/>
    <w:rsid w:val="008060F4"/>
    <w:rsid w:val="0080611C"/>
    <w:rsid w:val="0080686B"/>
    <w:rsid w:val="00806C09"/>
    <w:rsid w:val="00810084"/>
    <w:rsid w:val="00811626"/>
    <w:rsid w:val="008119B0"/>
    <w:rsid w:val="008121DE"/>
    <w:rsid w:val="00812819"/>
    <w:rsid w:val="00812BB2"/>
    <w:rsid w:val="00812C2F"/>
    <w:rsid w:val="00813410"/>
    <w:rsid w:val="00813885"/>
    <w:rsid w:val="00814256"/>
    <w:rsid w:val="008145EA"/>
    <w:rsid w:val="00814BDF"/>
    <w:rsid w:val="00815152"/>
    <w:rsid w:val="00815651"/>
    <w:rsid w:val="00815948"/>
    <w:rsid w:val="00815E19"/>
    <w:rsid w:val="0081600F"/>
    <w:rsid w:val="00816446"/>
    <w:rsid w:val="008169EA"/>
    <w:rsid w:val="00816D6C"/>
    <w:rsid w:val="0082067F"/>
    <w:rsid w:val="008207E8"/>
    <w:rsid w:val="0082121C"/>
    <w:rsid w:val="00821392"/>
    <w:rsid w:val="0082225A"/>
    <w:rsid w:val="008239AC"/>
    <w:rsid w:val="00823C7C"/>
    <w:rsid w:val="0082781B"/>
    <w:rsid w:val="00827AD7"/>
    <w:rsid w:val="008314A1"/>
    <w:rsid w:val="0083181C"/>
    <w:rsid w:val="00831AB1"/>
    <w:rsid w:val="00832A47"/>
    <w:rsid w:val="00832E8E"/>
    <w:rsid w:val="0083338C"/>
    <w:rsid w:val="0083398C"/>
    <w:rsid w:val="0083527A"/>
    <w:rsid w:val="00835BBC"/>
    <w:rsid w:val="00835F7F"/>
    <w:rsid w:val="0083670F"/>
    <w:rsid w:val="0083732C"/>
    <w:rsid w:val="00837372"/>
    <w:rsid w:val="0083756A"/>
    <w:rsid w:val="00837CD8"/>
    <w:rsid w:val="00840FC0"/>
    <w:rsid w:val="008426B3"/>
    <w:rsid w:val="00842A4B"/>
    <w:rsid w:val="00842AA1"/>
    <w:rsid w:val="00843549"/>
    <w:rsid w:val="00843BCC"/>
    <w:rsid w:val="00844449"/>
    <w:rsid w:val="00844655"/>
    <w:rsid w:val="00845547"/>
    <w:rsid w:val="008458A8"/>
    <w:rsid w:val="008466EB"/>
    <w:rsid w:val="008468F1"/>
    <w:rsid w:val="00847729"/>
    <w:rsid w:val="00847DB7"/>
    <w:rsid w:val="0085062F"/>
    <w:rsid w:val="008513CF"/>
    <w:rsid w:val="00852964"/>
    <w:rsid w:val="008532EF"/>
    <w:rsid w:val="0085354C"/>
    <w:rsid w:val="00854174"/>
    <w:rsid w:val="0085446A"/>
    <w:rsid w:val="008549D4"/>
    <w:rsid w:val="00854A84"/>
    <w:rsid w:val="00855748"/>
    <w:rsid w:val="00856571"/>
    <w:rsid w:val="008567E3"/>
    <w:rsid w:val="00857FCF"/>
    <w:rsid w:val="00860DFF"/>
    <w:rsid w:val="00861708"/>
    <w:rsid w:val="00861861"/>
    <w:rsid w:val="00861C5D"/>
    <w:rsid w:val="00861E69"/>
    <w:rsid w:val="00862B23"/>
    <w:rsid w:val="008633AE"/>
    <w:rsid w:val="008643DC"/>
    <w:rsid w:val="0086466D"/>
    <w:rsid w:val="008704B5"/>
    <w:rsid w:val="00870B1F"/>
    <w:rsid w:val="00870E18"/>
    <w:rsid w:val="008717E6"/>
    <w:rsid w:val="00871C48"/>
    <w:rsid w:val="00871E4C"/>
    <w:rsid w:val="00872A80"/>
    <w:rsid w:val="00872BCF"/>
    <w:rsid w:val="00873BBD"/>
    <w:rsid w:val="00874959"/>
    <w:rsid w:val="00874C33"/>
    <w:rsid w:val="00875421"/>
    <w:rsid w:val="00876374"/>
    <w:rsid w:val="008764CF"/>
    <w:rsid w:val="0087773A"/>
    <w:rsid w:val="00877C4E"/>
    <w:rsid w:val="00880B39"/>
    <w:rsid w:val="00880D8A"/>
    <w:rsid w:val="008810B3"/>
    <w:rsid w:val="008819CC"/>
    <w:rsid w:val="00882B8D"/>
    <w:rsid w:val="00883065"/>
    <w:rsid w:val="00883ADD"/>
    <w:rsid w:val="00883C01"/>
    <w:rsid w:val="008844E5"/>
    <w:rsid w:val="00885759"/>
    <w:rsid w:val="0088586D"/>
    <w:rsid w:val="00887387"/>
    <w:rsid w:val="00887F28"/>
    <w:rsid w:val="00890466"/>
    <w:rsid w:val="008929E7"/>
    <w:rsid w:val="00893597"/>
    <w:rsid w:val="008939AC"/>
    <w:rsid w:val="008939D5"/>
    <w:rsid w:val="00893A51"/>
    <w:rsid w:val="008967D9"/>
    <w:rsid w:val="00896BD2"/>
    <w:rsid w:val="00896C23"/>
    <w:rsid w:val="008A02B8"/>
    <w:rsid w:val="008A05AC"/>
    <w:rsid w:val="008A064A"/>
    <w:rsid w:val="008A0A40"/>
    <w:rsid w:val="008A0AC5"/>
    <w:rsid w:val="008A0DEE"/>
    <w:rsid w:val="008A11BA"/>
    <w:rsid w:val="008A1243"/>
    <w:rsid w:val="008A1672"/>
    <w:rsid w:val="008A1989"/>
    <w:rsid w:val="008A25EA"/>
    <w:rsid w:val="008A3644"/>
    <w:rsid w:val="008A3E1C"/>
    <w:rsid w:val="008A4621"/>
    <w:rsid w:val="008A4B2E"/>
    <w:rsid w:val="008A4DF4"/>
    <w:rsid w:val="008A4EC1"/>
    <w:rsid w:val="008A53B7"/>
    <w:rsid w:val="008A58B8"/>
    <w:rsid w:val="008A6145"/>
    <w:rsid w:val="008A625D"/>
    <w:rsid w:val="008A713C"/>
    <w:rsid w:val="008A775F"/>
    <w:rsid w:val="008A7D42"/>
    <w:rsid w:val="008A7EAD"/>
    <w:rsid w:val="008B05D6"/>
    <w:rsid w:val="008B0715"/>
    <w:rsid w:val="008B081C"/>
    <w:rsid w:val="008B1E51"/>
    <w:rsid w:val="008B1FAA"/>
    <w:rsid w:val="008B2D7F"/>
    <w:rsid w:val="008B3EA9"/>
    <w:rsid w:val="008B657D"/>
    <w:rsid w:val="008B65F5"/>
    <w:rsid w:val="008C2867"/>
    <w:rsid w:val="008C2DEF"/>
    <w:rsid w:val="008C30F7"/>
    <w:rsid w:val="008C390B"/>
    <w:rsid w:val="008C3B20"/>
    <w:rsid w:val="008C50F4"/>
    <w:rsid w:val="008C569B"/>
    <w:rsid w:val="008D052C"/>
    <w:rsid w:val="008D0DE4"/>
    <w:rsid w:val="008D0E1B"/>
    <w:rsid w:val="008D1D60"/>
    <w:rsid w:val="008D293D"/>
    <w:rsid w:val="008D3068"/>
    <w:rsid w:val="008D4934"/>
    <w:rsid w:val="008D4FA8"/>
    <w:rsid w:val="008D50CB"/>
    <w:rsid w:val="008D5A8E"/>
    <w:rsid w:val="008D617A"/>
    <w:rsid w:val="008D7159"/>
    <w:rsid w:val="008E0CE2"/>
    <w:rsid w:val="008E179D"/>
    <w:rsid w:val="008E257A"/>
    <w:rsid w:val="008E2A7A"/>
    <w:rsid w:val="008E3C2C"/>
    <w:rsid w:val="008E47F1"/>
    <w:rsid w:val="008E50AB"/>
    <w:rsid w:val="008E563E"/>
    <w:rsid w:val="008E5E4B"/>
    <w:rsid w:val="008E5E78"/>
    <w:rsid w:val="008E799B"/>
    <w:rsid w:val="008E7A5E"/>
    <w:rsid w:val="008E7DF5"/>
    <w:rsid w:val="008F01AD"/>
    <w:rsid w:val="008F09EE"/>
    <w:rsid w:val="008F0C2F"/>
    <w:rsid w:val="008F1082"/>
    <w:rsid w:val="008F18AA"/>
    <w:rsid w:val="008F2361"/>
    <w:rsid w:val="008F2583"/>
    <w:rsid w:val="008F3FE0"/>
    <w:rsid w:val="008F566C"/>
    <w:rsid w:val="008F57C0"/>
    <w:rsid w:val="008F67F5"/>
    <w:rsid w:val="008F6E8F"/>
    <w:rsid w:val="008F7357"/>
    <w:rsid w:val="008F7866"/>
    <w:rsid w:val="009000E0"/>
    <w:rsid w:val="00900C82"/>
    <w:rsid w:val="009012E9"/>
    <w:rsid w:val="00901651"/>
    <w:rsid w:val="009018AB"/>
    <w:rsid w:val="00901BE9"/>
    <w:rsid w:val="00902658"/>
    <w:rsid w:val="00902F5A"/>
    <w:rsid w:val="00903D6A"/>
    <w:rsid w:val="0090420E"/>
    <w:rsid w:val="009045D6"/>
    <w:rsid w:val="00905285"/>
    <w:rsid w:val="00906C2B"/>
    <w:rsid w:val="0091088E"/>
    <w:rsid w:val="009111BF"/>
    <w:rsid w:val="00911A4C"/>
    <w:rsid w:val="00912421"/>
    <w:rsid w:val="00912702"/>
    <w:rsid w:val="0091324C"/>
    <w:rsid w:val="0091392D"/>
    <w:rsid w:val="00913B23"/>
    <w:rsid w:val="0091469C"/>
    <w:rsid w:val="00914AA8"/>
    <w:rsid w:val="00914E8A"/>
    <w:rsid w:val="009150DC"/>
    <w:rsid w:val="00915352"/>
    <w:rsid w:val="0091643C"/>
    <w:rsid w:val="00916626"/>
    <w:rsid w:val="009166D6"/>
    <w:rsid w:val="00916A75"/>
    <w:rsid w:val="009171CF"/>
    <w:rsid w:val="0091773D"/>
    <w:rsid w:val="00920BF6"/>
    <w:rsid w:val="00920DD8"/>
    <w:rsid w:val="0092321A"/>
    <w:rsid w:val="00923EA0"/>
    <w:rsid w:val="009240F4"/>
    <w:rsid w:val="00924F81"/>
    <w:rsid w:val="00924F84"/>
    <w:rsid w:val="00925C10"/>
    <w:rsid w:val="009264C8"/>
    <w:rsid w:val="00926979"/>
    <w:rsid w:val="00926BCA"/>
    <w:rsid w:val="00927E53"/>
    <w:rsid w:val="009305BC"/>
    <w:rsid w:val="009305BD"/>
    <w:rsid w:val="00932461"/>
    <w:rsid w:val="0093293D"/>
    <w:rsid w:val="00932C2F"/>
    <w:rsid w:val="009338AF"/>
    <w:rsid w:val="0093451E"/>
    <w:rsid w:val="00934560"/>
    <w:rsid w:val="00934A17"/>
    <w:rsid w:val="009354A1"/>
    <w:rsid w:val="00937635"/>
    <w:rsid w:val="00937894"/>
    <w:rsid w:val="00940CF3"/>
    <w:rsid w:val="00940EE9"/>
    <w:rsid w:val="00941121"/>
    <w:rsid w:val="009414D5"/>
    <w:rsid w:val="0094192C"/>
    <w:rsid w:val="00942ED2"/>
    <w:rsid w:val="009437F0"/>
    <w:rsid w:val="009455C0"/>
    <w:rsid w:val="0094617E"/>
    <w:rsid w:val="00947512"/>
    <w:rsid w:val="0094795D"/>
    <w:rsid w:val="009503FB"/>
    <w:rsid w:val="00950ECE"/>
    <w:rsid w:val="009526CD"/>
    <w:rsid w:val="00953DAB"/>
    <w:rsid w:val="009543AA"/>
    <w:rsid w:val="009543F9"/>
    <w:rsid w:val="00954430"/>
    <w:rsid w:val="009602F9"/>
    <w:rsid w:val="00962E05"/>
    <w:rsid w:val="00963499"/>
    <w:rsid w:val="00963851"/>
    <w:rsid w:val="00964591"/>
    <w:rsid w:val="00965129"/>
    <w:rsid w:val="00966ADA"/>
    <w:rsid w:val="00966C80"/>
    <w:rsid w:val="00967F22"/>
    <w:rsid w:val="00970BD0"/>
    <w:rsid w:val="00971DB1"/>
    <w:rsid w:val="0097204A"/>
    <w:rsid w:val="00973B55"/>
    <w:rsid w:val="00973D1A"/>
    <w:rsid w:val="00975139"/>
    <w:rsid w:val="009753B3"/>
    <w:rsid w:val="00975611"/>
    <w:rsid w:val="00975BC0"/>
    <w:rsid w:val="00976335"/>
    <w:rsid w:val="00976CEE"/>
    <w:rsid w:val="0098097B"/>
    <w:rsid w:val="0098196A"/>
    <w:rsid w:val="009829E5"/>
    <w:rsid w:val="00983453"/>
    <w:rsid w:val="00983DA7"/>
    <w:rsid w:val="0098468F"/>
    <w:rsid w:val="00984842"/>
    <w:rsid w:val="00984DF6"/>
    <w:rsid w:val="00986ADF"/>
    <w:rsid w:val="0098715B"/>
    <w:rsid w:val="009873CD"/>
    <w:rsid w:val="00990195"/>
    <w:rsid w:val="00991416"/>
    <w:rsid w:val="00992651"/>
    <w:rsid w:val="009935F2"/>
    <w:rsid w:val="0099422A"/>
    <w:rsid w:val="009948B2"/>
    <w:rsid w:val="00995067"/>
    <w:rsid w:val="0099515A"/>
    <w:rsid w:val="00996272"/>
    <w:rsid w:val="0099694E"/>
    <w:rsid w:val="00997715"/>
    <w:rsid w:val="009977D4"/>
    <w:rsid w:val="009979D3"/>
    <w:rsid w:val="009A0174"/>
    <w:rsid w:val="009A1249"/>
    <w:rsid w:val="009A1928"/>
    <w:rsid w:val="009A2592"/>
    <w:rsid w:val="009A2862"/>
    <w:rsid w:val="009A29DA"/>
    <w:rsid w:val="009A2C39"/>
    <w:rsid w:val="009A3DB8"/>
    <w:rsid w:val="009A4012"/>
    <w:rsid w:val="009A43B6"/>
    <w:rsid w:val="009A49B3"/>
    <w:rsid w:val="009A4E58"/>
    <w:rsid w:val="009A51DD"/>
    <w:rsid w:val="009A6351"/>
    <w:rsid w:val="009B05BE"/>
    <w:rsid w:val="009B099F"/>
    <w:rsid w:val="009B1AB8"/>
    <w:rsid w:val="009B1CC8"/>
    <w:rsid w:val="009B24AA"/>
    <w:rsid w:val="009B2794"/>
    <w:rsid w:val="009B283D"/>
    <w:rsid w:val="009B3516"/>
    <w:rsid w:val="009B3BFD"/>
    <w:rsid w:val="009B4821"/>
    <w:rsid w:val="009B4F34"/>
    <w:rsid w:val="009B5A2C"/>
    <w:rsid w:val="009B6097"/>
    <w:rsid w:val="009B680E"/>
    <w:rsid w:val="009B6ED5"/>
    <w:rsid w:val="009C04DC"/>
    <w:rsid w:val="009C0E83"/>
    <w:rsid w:val="009C1514"/>
    <w:rsid w:val="009C1597"/>
    <w:rsid w:val="009C1EAB"/>
    <w:rsid w:val="009C308C"/>
    <w:rsid w:val="009C3467"/>
    <w:rsid w:val="009C3F40"/>
    <w:rsid w:val="009C4034"/>
    <w:rsid w:val="009C43D7"/>
    <w:rsid w:val="009C5D5D"/>
    <w:rsid w:val="009C64B8"/>
    <w:rsid w:val="009C680B"/>
    <w:rsid w:val="009C6BC8"/>
    <w:rsid w:val="009C7576"/>
    <w:rsid w:val="009D0966"/>
    <w:rsid w:val="009D0A36"/>
    <w:rsid w:val="009D119E"/>
    <w:rsid w:val="009D1C5F"/>
    <w:rsid w:val="009D1D4B"/>
    <w:rsid w:val="009D2181"/>
    <w:rsid w:val="009D324B"/>
    <w:rsid w:val="009D78C2"/>
    <w:rsid w:val="009E0873"/>
    <w:rsid w:val="009E1C54"/>
    <w:rsid w:val="009E2B47"/>
    <w:rsid w:val="009E307C"/>
    <w:rsid w:val="009E4AFB"/>
    <w:rsid w:val="009E50DA"/>
    <w:rsid w:val="009E5127"/>
    <w:rsid w:val="009E54EE"/>
    <w:rsid w:val="009F0128"/>
    <w:rsid w:val="009F07BE"/>
    <w:rsid w:val="009F1D2C"/>
    <w:rsid w:val="009F20F8"/>
    <w:rsid w:val="009F26BC"/>
    <w:rsid w:val="009F30D2"/>
    <w:rsid w:val="009F38AD"/>
    <w:rsid w:val="009F4788"/>
    <w:rsid w:val="009F4C0A"/>
    <w:rsid w:val="009F5056"/>
    <w:rsid w:val="00A01E91"/>
    <w:rsid w:val="00A02D5E"/>
    <w:rsid w:val="00A038C4"/>
    <w:rsid w:val="00A03B20"/>
    <w:rsid w:val="00A0430D"/>
    <w:rsid w:val="00A0673F"/>
    <w:rsid w:val="00A0712B"/>
    <w:rsid w:val="00A07150"/>
    <w:rsid w:val="00A1079C"/>
    <w:rsid w:val="00A10CFD"/>
    <w:rsid w:val="00A10E58"/>
    <w:rsid w:val="00A10F3A"/>
    <w:rsid w:val="00A11513"/>
    <w:rsid w:val="00A115D5"/>
    <w:rsid w:val="00A11B8D"/>
    <w:rsid w:val="00A12666"/>
    <w:rsid w:val="00A12D34"/>
    <w:rsid w:val="00A1331B"/>
    <w:rsid w:val="00A135B8"/>
    <w:rsid w:val="00A13DA1"/>
    <w:rsid w:val="00A1537F"/>
    <w:rsid w:val="00A15DB6"/>
    <w:rsid w:val="00A15E22"/>
    <w:rsid w:val="00A16224"/>
    <w:rsid w:val="00A163BB"/>
    <w:rsid w:val="00A17113"/>
    <w:rsid w:val="00A17EED"/>
    <w:rsid w:val="00A20052"/>
    <w:rsid w:val="00A20EFE"/>
    <w:rsid w:val="00A220F6"/>
    <w:rsid w:val="00A2216C"/>
    <w:rsid w:val="00A221E2"/>
    <w:rsid w:val="00A23567"/>
    <w:rsid w:val="00A236F0"/>
    <w:rsid w:val="00A23D98"/>
    <w:rsid w:val="00A24230"/>
    <w:rsid w:val="00A2452C"/>
    <w:rsid w:val="00A246F6"/>
    <w:rsid w:val="00A246FE"/>
    <w:rsid w:val="00A24E00"/>
    <w:rsid w:val="00A2549C"/>
    <w:rsid w:val="00A25B4B"/>
    <w:rsid w:val="00A25F4E"/>
    <w:rsid w:val="00A25F6E"/>
    <w:rsid w:val="00A2728C"/>
    <w:rsid w:val="00A27361"/>
    <w:rsid w:val="00A277D7"/>
    <w:rsid w:val="00A30182"/>
    <w:rsid w:val="00A31BE0"/>
    <w:rsid w:val="00A31DC4"/>
    <w:rsid w:val="00A3240E"/>
    <w:rsid w:val="00A33930"/>
    <w:rsid w:val="00A33BBE"/>
    <w:rsid w:val="00A33EB4"/>
    <w:rsid w:val="00A3450C"/>
    <w:rsid w:val="00A34901"/>
    <w:rsid w:val="00A34A5E"/>
    <w:rsid w:val="00A351CD"/>
    <w:rsid w:val="00A35399"/>
    <w:rsid w:val="00A3565C"/>
    <w:rsid w:val="00A36252"/>
    <w:rsid w:val="00A36885"/>
    <w:rsid w:val="00A36C63"/>
    <w:rsid w:val="00A41378"/>
    <w:rsid w:val="00A41F10"/>
    <w:rsid w:val="00A42466"/>
    <w:rsid w:val="00A42E82"/>
    <w:rsid w:val="00A43E7B"/>
    <w:rsid w:val="00A45D7B"/>
    <w:rsid w:val="00A45F5E"/>
    <w:rsid w:val="00A46D6C"/>
    <w:rsid w:val="00A5077D"/>
    <w:rsid w:val="00A50837"/>
    <w:rsid w:val="00A512BF"/>
    <w:rsid w:val="00A512DA"/>
    <w:rsid w:val="00A51845"/>
    <w:rsid w:val="00A52535"/>
    <w:rsid w:val="00A53408"/>
    <w:rsid w:val="00A540E4"/>
    <w:rsid w:val="00A542CF"/>
    <w:rsid w:val="00A564D9"/>
    <w:rsid w:val="00A56814"/>
    <w:rsid w:val="00A56894"/>
    <w:rsid w:val="00A56A11"/>
    <w:rsid w:val="00A573B0"/>
    <w:rsid w:val="00A57AE2"/>
    <w:rsid w:val="00A57CDD"/>
    <w:rsid w:val="00A606BA"/>
    <w:rsid w:val="00A6118B"/>
    <w:rsid w:val="00A617C4"/>
    <w:rsid w:val="00A61932"/>
    <w:rsid w:val="00A61D15"/>
    <w:rsid w:val="00A61FAA"/>
    <w:rsid w:val="00A62282"/>
    <w:rsid w:val="00A6312F"/>
    <w:rsid w:val="00A637F6"/>
    <w:rsid w:val="00A63B55"/>
    <w:rsid w:val="00A63E62"/>
    <w:rsid w:val="00A64490"/>
    <w:rsid w:val="00A64928"/>
    <w:rsid w:val="00A64AF2"/>
    <w:rsid w:val="00A65065"/>
    <w:rsid w:val="00A65681"/>
    <w:rsid w:val="00A65E2E"/>
    <w:rsid w:val="00A65ECF"/>
    <w:rsid w:val="00A6620A"/>
    <w:rsid w:val="00A665AB"/>
    <w:rsid w:val="00A67678"/>
    <w:rsid w:val="00A67C9E"/>
    <w:rsid w:val="00A7035B"/>
    <w:rsid w:val="00A72460"/>
    <w:rsid w:val="00A7490D"/>
    <w:rsid w:val="00A75549"/>
    <w:rsid w:val="00A756E7"/>
    <w:rsid w:val="00A75FA7"/>
    <w:rsid w:val="00A763C4"/>
    <w:rsid w:val="00A76411"/>
    <w:rsid w:val="00A77396"/>
    <w:rsid w:val="00A83A5E"/>
    <w:rsid w:val="00A83D61"/>
    <w:rsid w:val="00A84938"/>
    <w:rsid w:val="00A8505D"/>
    <w:rsid w:val="00A850B0"/>
    <w:rsid w:val="00A861C5"/>
    <w:rsid w:val="00A86260"/>
    <w:rsid w:val="00A86739"/>
    <w:rsid w:val="00A86E4F"/>
    <w:rsid w:val="00A873E1"/>
    <w:rsid w:val="00A87D19"/>
    <w:rsid w:val="00A87D77"/>
    <w:rsid w:val="00A87EC8"/>
    <w:rsid w:val="00A90A86"/>
    <w:rsid w:val="00A92004"/>
    <w:rsid w:val="00A929FC"/>
    <w:rsid w:val="00A93737"/>
    <w:rsid w:val="00A95356"/>
    <w:rsid w:val="00A95E61"/>
    <w:rsid w:val="00A9636E"/>
    <w:rsid w:val="00A97759"/>
    <w:rsid w:val="00AA02E1"/>
    <w:rsid w:val="00AA1431"/>
    <w:rsid w:val="00AA155C"/>
    <w:rsid w:val="00AA164E"/>
    <w:rsid w:val="00AA1AC7"/>
    <w:rsid w:val="00AA2ECF"/>
    <w:rsid w:val="00AA401D"/>
    <w:rsid w:val="00AA44BC"/>
    <w:rsid w:val="00AA4BF6"/>
    <w:rsid w:val="00AA4C86"/>
    <w:rsid w:val="00AA7480"/>
    <w:rsid w:val="00AA7EBA"/>
    <w:rsid w:val="00AA7F17"/>
    <w:rsid w:val="00AB0069"/>
    <w:rsid w:val="00AB0DA5"/>
    <w:rsid w:val="00AB0F6F"/>
    <w:rsid w:val="00AB30ED"/>
    <w:rsid w:val="00AB3422"/>
    <w:rsid w:val="00AB49BC"/>
    <w:rsid w:val="00AB551A"/>
    <w:rsid w:val="00AB6FF2"/>
    <w:rsid w:val="00AB7705"/>
    <w:rsid w:val="00AC0A1A"/>
    <w:rsid w:val="00AC114E"/>
    <w:rsid w:val="00AC13B4"/>
    <w:rsid w:val="00AC24DC"/>
    <w:rsid w:val="00AC285F"/>
    <w:rsid w:val="00AC2D03"/>
    <w:rsid w:val="00AC38F5"/>
    <w:rsid w:val="00AC52A5"/>
    <w:rsid w:val="00AC5B6F"/>
    <w:rsid w:val="00AC7DC1"/>
    <w:rsid w:val="00AD07A4"/>
    <w:rsid w:val="00AD0D57"/>
    <w:rsid w:val="00AD17C0"/>
    <w:rsid w:val="00AD1C83"/>
    <w:rsid w:val="00AD2E8B"/>
    <w:rsid w:val="00AD322F"/>
    <w:rsid w:val="00AD4A82"/>
    <w:rsid w:val="00AD5471"/>
    <w:rsid w:val="00AD591B"/>
    <w:rsid w:val="00AD5C8B"/>
    <w:rsid w:val="00AD5D41"/>
    <w:rsid w:val="00AD60A7"/>
    <w:rsid w:val="00AD6850"/>
    <w:rsid w:val="00AD76AE"/>
    <w:rsid w:val="00AD7FA5"/>
    <w:rsid w:val="00AE026A"/>
    <w:rsid w:val="00AE21D4"/>
    <w:rsid w:val="00AE39CB"/>
    <w:rsid w:val="00AE5327"/>
    <w:rsid w:val="00AE6E66"/>
    <w:rsid w:val="00AE79B2"/>
    <w:rsid w:val="00AE7F15"/>
    <w:rsid w:val="00AF11F7"/>
    <w:rsid w:val="00AF18CC"/>
    <w:rsid w:val="00AF1F27"/>
    <w:rsid w:val="00AF211F"/>
    <w:rsid w:val="00AF2B33"/>
    <w:rsid w:val="00AF2B4A"/>
    <w:rsid w:val="00AF36DD"/>
    <w:rsid w:val="00AF39ED"/>
    <w:rsid w:val="00AF3CE1"/>
    <w:rsid w:val="00AF4060"/>
    <w:rsid w:val="00AF49F0"/>
    <w:rsid w:val="00AF6ABF"/>
    <w:rsid w:val="00B0109F"/>
    <w:rsid w:val="00B01BE4"/>
    <w:rsid w:val="00B02205"/>
    <w:rsid w:val="00B0451F"/>
    <w:rsid w:val="00B04651"/>
    <w:rsid w:val="00B04B30"/>
    <w:rsid w:val="00B051DA"/>
    <w:rsid w:val="00B05509"/>
    <w:rsid w:val="00B05A79"/>
    <w:rsid w:val="00B05E19"/>
    <w:rsid w:val="00B06D60"/>
    <w:rsid w:val="00B06FAA"/>
    <w:rsid w:val="00B1121F"/>
    <w:rsid w:val="00B11549"/>
    <w:rsid w:val="00B11E28"/>
    <w:rsid w:val="00B12428"/>
    <w:rsid w:val="00B125C0"/>
    <w:rsid w:val="00B127F3"/>
    <w:rsid w:val="00B12A09"/>
    <w:rsid w:val="00B142E4"/>
    <w:rsid w:val="00B143E7"/>
    <w:rsid w:val="00B15022"/>
    <w:rsid w:val="00B15F04"/>
    <w:rsid w:val="00B17427"/>
    <w:rsid w:val="00B20154"/>
    <w:rsid w:val="00B20406"/>
    <w:rsid w:val="00B2266F"/>
    <w:rsid w:val="00B229A1"/>
    <w:rsid w:val="00B22A05"/>
    <w:rsid w:val="00B22B98"/>
    <w:rsid w:val="00B2376F"/>
    <w:rsid w:val="00B23F40"/>
    <w:rsid w:val="00B24AC0"/>
    <w:rsid w:val="00B256FD"/>
    <w:rsid w:val="00B2634D"/>
    <w:rsid w:val="00B26547"/>
    <w:rsid w:val="00B2717A"/>
    <w:rsid w:val="00B272B8"/>
    <w:rsid w:val="00B278DE"/>
    <w:rsid w:val="00B314EC"/>
    <w:rsid w:val="00B31908"/>
    <w:rsid w:val="00B31C7B"/>
    <w:rsid w:val="00B32053"/>
    <w:rsid w:val="00B32719"/>
    <w:rsid w:val="00B327EC"/>
    <w:rsid w:val="00B32B98"/>
    <w:rsid w:val="00B3359E"/>
    <w:rsid w:val="00B33D55"/>
    <w:rsid w:val="00B3457A"/>
    <w:rsid w:val="00B34DDD"/>
    <w:rsid w:val="00B34F8C"/>
    <w:rsid w:val="00B35030"/>
    <w:rsid w:val="00B353FE"/>
    <w:rsid w:val="00B3542C"/>
    <w:rsid w:val="00B35F34"/>
    <w:rsid w:val="00B374D7"/>
    <w:rsid w:val="00B37668"/>
    <w:rsid w:val="00B40B5F"/>
    <w:rsid w:val="00B41EB0"/>
    <w:rsid w:val="00B434BB"/>
    <w:rsid w:val="00B43D19"/>
    <w:rsid w:val="00B4447F"/>
    <w:rsid w:val="00B44750"/>
    <w:rsid w:val="00B45221"/>
    <w:rsid w:val="00B45942"/>
    <w:rsid w:val="00B459DD"/>
    <w:rsid w:val="00B46D1D"/>
    <w:rsid w:val="00B4751F"/>
    <w:rsid w:val="00B475AF"/>
    <w:rsid w:val="00B5095D"/>
    <w:rsid w:val="00B51706"/>
    <w:rsid w:val="00B519FC"/>
    <w:rsid w:val="00B51BD0"/>
    <w:rsid w:val="00B52DBB"/>
    <w:rsid w:val="00B52ED0"/>
    <w:rsid w:val="00B5349C"/>
    <w:rsid w:val="00B55051"/>
    <w:rsid w:val="00B556B1"/>
    <w:rsid w:val="00B57463"/>
    <w:rsid w:val="00B60C75"/>
    <w:rsid w:val="00B61E82"/>
    <w:rsid w:val="00B62477"/>
    <w:rsid w:val="00B6272B"/>
    <w:rsid w:val="00B62AFC"/>
    <w:rsid w:val="00B63C9F"/>
    <w:rsid w:val="00B63CE7"/>
    <w:rsid w:val="00B65925"/>
    <w:rsid w:val="00B65A96"/>
    <w:rsid w:val="00B660E7"/>
    <w:rsid w:val="00B667BF"/>
    <w:rsid w:val="00B66AD1"/>
    <w:rsid w:val="00B66D3D"/>
    <w:rsid w:val="00B66D8B"/>
    <w:rsid w:val="00B6776D"/>
    <w:rsid w:val="00B706A8"/>
    <w:rsid w:val="00B70A9E"/>
    <w:rsid w:val="00B70ABE"/>
    <w:rsid w:val="00B70EC8"/>
    <w:rsid w:val="00B70F23"/>
    <w:rsid w:val="00B70FC4"/>
    <w:rsid w:val="00B7320F"/>
    <w:rsid w:val="00B74667"/>
    <w:rsid w:val="00B74D51"/>
    <w:rsid w:val="00B74F0E"/>
    <w:rsid w:val="00B7602D"/>
    <w:rsid w:val="00B7789C"/>
    <w:rsid w:val="00B77DD5"/>
    <w:rsid w:val="00B77E6D"/>
    <w:rsid w:val="00B80A4B"/>
    <w:rsid w:val="00B813E0"/>
    <w:rsid w:val="00B81AF2"/>
    <w:rsid w:val="00B8227C"/>
    <w:rsid w:val="00B82675"/>
    <w:rsid w:val="00B84E02"/>
    <w:rsid w:val="00B858C3"/>
    <w:rsid w:val="00B867DE"/>
    <w:rsid w:val="00B86A3D"/>
    <w:rsid w:val="00B87006"/>
    <w:rsid w:val="00B87333"/>
    <w:rsid w:val="00B907AB"/>
    <w:rsid w:val="00B90827"/>
    <w:rsid w:val="00B9160B"/>
    <w:rsid w:val="00B91CD2"/>
    <w:rsid w:val="00B92A4A"/>
    <w:rsid w:val="00B92CF6"/>
    <w:rsid w:val="00B936A7"/>
    <w:rsid w:val="00B93722"/>
    <w:rsid w:val="00B93867"/>
    <w:rsid w:val="00B93BCA"/>
    <w:rsid w:val="00B940EC"/>
    <w:rsid w:val="00B94C99"/>
    <w:rsid w:val="00B95F25"/>
    <w:rsid w:val="00B9629A"/>
    <w:rsid w:val="00B96398"/>
    <w:rsid w:val="00B96D49"/>
    <w:rsid w:val="00B97EFD"/>
    <w:rsid w:val="00BA05C0"/>
    <w:rsid w:val="00BA206A"/>
    <w:rsid w:val="00BA20E3"/>
    <w:rsid w:val="00BA300D"/>
    <w:rsid w:val="00BA30F8"/>
    <w:rsid w:val="00BA33FF"/>
    <w:rsid w:val="00BA3C4C"/>
    <w:rsid w:val="00BA571E"/>
    <w:rsid w:val="00BA5B7B"/>
    <w:rsid w:val="00BA5EA1"/>
    <w:rsid w:val="00BA67F4"/>
    <w:rsid w:val="00BA73B2"/>
    <w:rsid w:val="00BA7E31"/>
    <w:rsid w:val="00BB05DA"/>
    <w:rsid w:val="00BB1D6D"/>
    <w:rsid w:val="00BB22BD"/>
    <w:rsid w:val="00BB289F"/>
    <w:rsid w:val="00BB3A1B"/>
    <w:rsid w:val="00BB3B20"/>
    <w:rsid w:val="00BB3FCB"/>
    <w:rsid w:val="00BB4040"/>
    <w:rsid w:val="00BB4C80"/>
    <w:rsid w:val="00BB52D7"/>
    <w:rsid w:val="00BB7CB3"/>
    <w:rsid w:val="00BC030E"/>
    <w:rsid w:val="00BC0606"/>
    <w:rsid w:val="00BC0D35"/>
    <w:rsid w:val="00BC0E33"/>
    <w:rsid w:val="00BC16EF"/>
    <w:rsid w:val="00BC1B82"/>
    <w:rsid w:val="00BC1E61"/>
    <w:rsid w:val="00BC1FFF"/>
    <w:rsid w:val="00BC2018"/>
    <w:rsid w:val="00BC2D0C"/>
    <w:rsid w:val="00BC300F"/>
    <w:rsid w:val="00BC36E4"/>
    <w:rsid w:val="00BC3723"/>
    <w:rsid w:val="00BC4020"/>
    <w:rsid w:val="00BC4B90"/>
    <w:rsid w:val="00BC60DE"/>
    <w:rsid w:val="00BC7906"/>
    <w:rsid w:val="00BC79BA"/>
    <w:rsid w:val="00BD0551"/>
    <w:rsid w:val="00BD0EEF"/>
    <w:rsid w:val="00BD21A6"/>
    <w:rsid w:val="00BD255D"/>
    <w:rsid w:val="00BD2A3A"/>
    <w:rsid w:val="00BD2F1A"/>
    <w:rsid w:val="00BD525E"/>
    <w:rsid w:val="00BD5F3C"/>
    <w:rsid w:val="00BD632A"/>
    <w:rsid w:val="00BD6ACC"/>
    <w:rsid w:val="00BD6C4D"/>
    <w:rsid w:val="00BD7CA3"/>
    <w:rsid w:val="00BD7DC3"/>
    <w:rsid w:val="00BE0368"/>
    <w:rsid w:val="00BE06F7"/>
    <w:rsid w:val="00BE1B1E"/>
    <w:rsid w:val="00BE2FF9"/>
    <w:rsid w:val="00BE469C"/>
    <w:rsid w:val="00BE4B1E"/>
    <w:rsid w:val="00BE56D9"/>
    <w:rsid w:val="00BE6058"/>
    <w:rsid w:val="00BE62A7"/>
    <w:rsid w:val="00BE6435"/>
    <w:rsid w:val="00BE6B08"/>
    <w:rsid w:val="00BE7167"/>
    <w:rsid w:val="00BF0999"/>
    <w:rsid w:val="00BF1777"/>
    <w:rsid w:val="00BF2245"/>
    <w:rsid w:val="00BF2576"/>
    <w:rsid w:val="00BF2706"/>
    <w:rsid w:val="00BF3327"/>
    <w:rsid w:val="00BF3E79"/>
    <w:rsid w:val="00BF44D9"/>
    <w:rsid w:val="00BF4716"/>
    <w:rsid w:val="00BF47AD"/>
    <w:rsid w:val="00BF4FAA"/>
    <w:rsid w:val="00BF5874"/>
    <w:rsid w:val="00BF58ED"/>
    <w:rsid w:val="00BF59C5"/>
    <w:rsid w:val="00BF5C5D"/>
    <w:rsid w:val="00BF6ACD"/>
    <w:rsid w:val="00BF6E0D"/>
    <w:rsid w:val="00BF708B"/>
    <w:rsid w:val="00BF7776"/>
    <w:rsid w:val="00C007BB"/>
    <w:rsid w:val="00C01696"/>
    <w:rsid w:val="00C019FA"/>
    <w:rsid w:val="00C02BF6"/>
    <w:rsid w:val="00C02DF8"/>
    <w:rsid w:val="00C032D6"/>
    <w:rsid w:val="00C038A0"/>
    <w:rsid w:val="00C03F07"/>
    <w:rsid w:val="00C04FC9"/>
    <w:rsid w:val="00C1006D"/>
    <w:rsid w:val="00C11C38"/>
    <w:rsid w:val="00C1249C"/>
    <w:rsid w:val="00C134B3"/>
    <w:rsid w:val="00C15301"/>
    <w:rsid w:val="00C20C0C"/>
    <w:rsid w:val="00C22321"/>
    <w:rsid w:val="00C22B8D"/>
    <w:rsid w:val="00C232DD"/>
    <w:rsid w:val="00C2332D"/>
    <w:rsid w:val="00C23AF0"/>
    <w:rsid w:val="00C23C47"/>
    <w:rsid w:val="00C250EA"/>
    <w:rsid w:val="00C272BD"/>
    <w:rsid w:val="00C3242E"/>
    <w:rsid w:val="00C3244F"/>
    <w:rsid w:val="00C3341E"/>
    <w:rsid w:val="00C337BA"/>
    <w:rsid w:val="00C3387C"/>
    <w:rsid w:val="00C33DA9"/>
    <w:rsid w:val="00C33EE4"/>
    <w:rsid w:val="00C355CE"/>
    <w:rsid w:val="00C359E9"/>
    <w:rsid w:val="00C371BF"/>
    <w:rsid w:val="00C374CA"/>
    <w:rsid w:val="00C41107"/>
    <w:rsid w:val="00C415C9"/>
    <w:rsid w:val="00C41AEA"/>
    <w:rsid w:val="00C42053"/>
    <w:rsid w:val="00C42064"/>
    <w:rsid w:val="00C42815"/>
    <w:rsid w:val="00C43285"/>
    <w:rsid w:val="00C436C5"/>
    <w:rsid w:val="00C4381D"/>
    <w:rsid w:val="00C439B8"/>
    <w:rsid w:val="00C43CFF"/>
    <w:rsid w:val="00C4438E"/>
    <w:rsid w:val="00C45157"/>
    <w:rsid w:val="00C473F5"/>
    <w:rsid w:val="00C479CA"/>
    <w:rsid w:val="00C479E4"/>
    <w:rsid w:val="00C47ACC"/>
    <w:rsid w:val="00C50522"/>
    <w:rsid w:val="00C50EA5"/>
    <w:rsid w:val="00C5132B"/>
    <w:rsid w:val="00C51A8B"/>
    <w:rsid w:val="00C520A2"/>
    <w:rsid w:val="00C52321"/>
    <w:rsid w:val="00C52448"/>
    <w:rsid w:val="00C5281C"/>
    <w:rsid w:val="00C52EA1"/>
    <w:rsid w:val="00C53345"/>
    <w:rsid w:val="00C53E36"/>
    <w:rsid w:val="00C54692"/>
    <w:rsid w:val="00C5652E"/>
    <w:rsid w:val="00C5665C"/>
    <w:rsid w:val="00C57633"/>
    <w:rsid w:val="00C606DD"/>
    <w:rsid w:val="00C62A40"/>
    <w:rsid w:val="00C63231"/>
    <w:rsid w:val="00C633E8"/>
    <w:rsid w:val="00C63BE4"/>
    <w:rsid w:val="00C6477B"/>
    <w:rsid w:val="00C6536B"/>
    <w:rsid w:val="00C653D5"/>
    <w:rsid w:val="00C65810"/>
    <w:rsid w:val="00C6583D"/>
    <w:rsid w:val="00C66D1D"/>
    <w:rsid w:val="00C672D5"/>
    <w:rsid w:val="00C6769E"/>
    <w:rsid w:val="00C67BB7"/>
    <w:rsid w:val="00C700D4"/>
    <w:rsid w:val="00C707EC"/>
    <w:rsid w:val="00C71DBD"/>
    <w:rsid w:val="00C71E5E"/>
    <w:rsid w:val="00C72F5A"/>
    <w:rsid w:val="00C732BD"/>
    <w:rsid w:val="00C736F2"/>
    <w:rsid w:val="00C73910"/>
    <w:rsid w:val="00C74C42"/>
    <w:rsid w:val="00C75390"/>
    <w:rsid w:val="00C753D8"/>
    <w:rsid w:val="00C75DE5"/>
    <w:rsid w:val="00C76EF6"/>
    <w:rsid w:val="00C7707B"/>
    <w:rsid w:val="00C775D2"/>
    <w:rsid w:val="00C804CA"/>
    <w:rsid w:val="00C809A1"/>
    <w:rsid w:val="00C80A0E"/>
    <w:rsid w:val="00C8108B"/>
    <w:rsid w:val="00C8128D"/>
    <w:rsid w:val="00C81652"/>
    <w:rsid w:val="00C82094"/>
    <w:rsid w:val="00C827D3"/>
    <w:rsid w:val="00C82B89"/>
    <w:rsid w:val="00C82DB6"/>
    <w:rsid w:val="00C83C4D"/>
    <w:rsid w:val="00C84D43"/>
    <w:rsid w:val="00C84EC9"/>
    <w:rsid w:val="00C8745C"/>
    <w:rsid w:val="00C8772A"/>
    <w:rsid w:val="00C90D00"/>
    <w:rsid w:val="00C91961"/>
    <w:rsid w:val="00C92F09"/>
    <w:rsid w:val="00C934F8"/>
    <w:rsid w:val="00C9424E"/>
    <w:rsid w:val="00C94FAC"/>
    <w:rsid w:val="00C96F62"/>
    <w:rsid w:val="00C97422"/>
    <w:rsid w:val="00CA1540"/>
    <w:rsid w:val="00CA4B5A"/>
    <w:rsid w:val="00CA4C00"/>
    <w:rsid w:val="00CA5846"/>
    <w:rsid w:val="00CA5A30"/>
    <w:rsid w:val="00CA6843"/>
    <w:rsid w:val="00CA6D0F"/>
    <w:rsid w:val="00CA6FAD"/>
    <w:rsid w:val="00CA7268"/>
    <w:rsid w:val="00CB08FC"/>
    <w:rsid w:val="00CB116E"/>
    <w:rsid w:val="00CB1815"/>
    <w:rsid w:val="00CB3898"/>
    <w:rsid w:val="00CB447D"/>
    <w:rsid w:val="00CB4A77"/>
    <w:rsid w:val="00CB5B5B"/>
    <w:rsid w:val="00CB67A5"/>
    <w:rsid w:val="00CB720B"/>
    <w:rsid w:val="00CC0637"/>
    <w:rsid w:val="00CC09AC"/>
    <w:rsid w:val="00CC25E3"/>
    <w:rsid w:val="00CC2B31"/>
    <w:rsid w:val="00CC2EA7"/>
    <w:rsid w:val="00CC3B2B"/>
    <w:rsid w:val="00CC3E64"/>
    <w:rsid w:val="00CC3F8C"/>
    <w:rsid w:val="00CC4769"/>
    <w:rsid w:val="00CC6749"/>
    <w:rsid w:val="00CC72D5"/>
    <w:rsid w:val="00CC76C0"/>
    <w:rsid w:val="00CD0936"/>
    <w:rsid w:val="00CD10F5"/>
    <w:rsid w:val="00CD1C91"/>
    <w:rsid w:val="00CD442B"/>
    <w:rsid w:val="00CD444F"/>
    <w:rsid w:val="00CD4E36"/>
    <w:rsid w:val="00CD64EC"/>
    <w:rsid w:val="00CD6C5E"/>
    <w:rsid w:val="00CD6CCF"/>
    <w:rsid w:val="00CD7086"/>
    <w:rsid w:val="00CD7287"/>
    <w:rsid w:val="00CE0164"/>
    <w:rsid w:val="00CE1DCD"/>
    <w:rsid w:val="00CE4541"/>
    <w:rsid w:val="00CE4562"/>
    <w:rsid w:val="00CE4D5B"/>
    <w:rsid w:val="00CE5A67"/>
    <w:rsid w:val="00CE5C12"/>
    <w:rsid w:val="00CE6286"/>
    <w:rsid w:val="00CE644B"/>
    <w:rsid w:val="00CE69D5"/>
    <w:rsid w:val="00CE707F"/>
    <w:rsid w:val="00CE7C33"/>
    <w:rsid w:val="00CF0054"/>
    <w:rsid w:val="00CF14FE"/>
    <w:rsid w:val="00CF252E"/>
    <w:rsid w:val="00CF2F05"/>
    <w:rsid w:val="00CF3380"/>
    <w:rsid w:val="00CF3A45"/>
    <w:rsid w:val="00CF4286"/>
    <w:rsid w:val="00CF4A23"/>
    <w:rsid w:val="00CF4CC3"/>
    <w:rsid w:val="00CF4F05"/>
    <w:rsid w:val="00CF55A6"/>
    <w:rsid w:val="00CF5990"/>
    <w:rsid w:val="00CF5A9B"/>
    <w:rsid w:val="00CF5D8A"/>
    <w:rsid w:val="00CF5F31"/>
    <w:rsid w:val="00CF68DC"/>
    <w:rsid w:val="00CF6BD7"/>
    <w:rsid w:val="00CF7AB6"/>
    <w:rsid w:val="00D003EB"/>
    <w:rsid w:val="00D00851"/>
    <w:rsid w:val="00D00C91"/>
    <w:rsid w:val="00D02AB6"/>
    <w:rsid w:val="00D03466"/>
    <w:rsid w:val="00D03776"/>
    <w:rsid w:val="00D07228"/>
    <w:rsid w:val="00D1215C"/>
    <w:rsid w:val="00D124DB"/>
    <w:rsid w:val="00D134EC"/>
    <w:rsid w:val="00D1363C"/>
    <w:rsid w:val="00D2199E"/>
    <w:rsid w:val="00D219CF"/>
    <w:rsid w:val="00D21AC5"/>
    <w:rsid w:val="00D21C56"/>
    <w:rsid w:val="00D2270B"/>
    <w:rsid w:val="00D23689"/>
    <w:rsid w:val="00D238C8"/>
    <w:rsid w:val="00D239E7"/>
    <w:rsid w:val="00D23B2B"/>
    <w:rsid w:val="00D252AC"/>
    <w:rsid w:val="00D256F4"/>
    <w:rsid w:val="00D27492"/>
    <w:rsid w:val="00D27727"/>
    <w:rsid w:val="00D27911"/>
    <w:rsid w:val="00D27A14"/>
    <w:rsid w:val="00D27B40"/>
    <w:rsid w:val="00D27B58"/>
    <w:rsid w:val="00D27F88"/>
    <w:rsid w:val="00D300BF"/>
    <w:rsid w:val="00D30E50"/>
    <w:rsid w:val="00D3109D"/>
    <w:rsid w:val="00D3212A"/>
    <w:rsid w:val="00D3341C"/>
    <w:rsid w:val="00D33425"/>
    <w:rsid w:val="00D33B59"/>
    <w:rsid w:val="00D34C11"/>
    <w:rsid w:val="00D34DB4"/>
    <w:rsid w:val="00D3541B"/>
    <w:rsid w:val="00D35BBA"/>
    <w:rsid w:val="00D36AE0"/>
    <w:rsid w:val="00D37802"/>
    <w:rsid w:val="00D37FBD"/>
    <w:rsid w:val="00D40E3D"/>
    <w:rsid w:val="00D41DF3"/>
    <w:rsid w:val="00D42DA4"/>
    <w:rsid w:val="00D430C0"/>
    <w:rsid w:val="00D436A3"/>
    <w:rsid w:val="00D43F6B"/>
    <w:rsid w:val="00D4432B"/>
    <w:rsid w:val="00D44B21"/>
    <w:rsid w:val="00D44FA8"/>
    <w:rsid w:val="00D45CB6"/>
    <w:rsid w:val="00D475C4"/>
    <w:rsid w:val="00D47DA7"/>
    <w:rsid w:val="00D47E10"/>
    <w:rsid w:val="00D50A85"/>
    <w:rsid w:val="00D513D9"/>
    <w:rsid w:val="00D51598"/>
    <w:rsid w:val="00D517A7"/>
    <w:rsid w:val="00D52385"/>
    <w:rsid w:val="00D52544"/>
    <w:rsid w:val="00D52602"/>
    <w:rsid w:val="00D526F7"/>
    <w:rsid w:val="00D5271B"/>
    <w:rsid w:val="00D53081"/>
    <w:rsid w:val="00D535C6"/>
    <w:rsid w:val="00D541B6"/>
    <w:rsid w:val="00D544FF"/>
    <w:rsid w:val="00D560BB"/>
    <w:rsid w:val="00D57549"/>
    <w:rsid w:val="00D57A0F"/>
    <w:rsid w:val="00D610BB"/>
    <w:rsid w:val="00D61340"/>
    <w:rsid w:val="00D61CFA"/>
    <w:rsid w:val="00D61E41"/>
    <w:rsid w:val="00D63A95"/>
    <w:rsid w:val="00D63B35"/>
    <w:rsid w:val="00D63E20"/>
    <w:rsid w:val="00D65447"/>
    <w:rsid w:val="00D66594"/>
    <w:rsid w:val="00D666E7"/>
    <w:rsid w:val="00D671F6"/>
    <w:rsid w:val="00D67666"/>
    <w:rsid w:val="00D676A5"/>
    <w:rsid w:val="00D67AF7"/>
    <w:rsid w:val="00D67E60"/>
    <w:rsid w:val="00D7042B"/>
    <w:rsid w:val="00D7403C"/>
    <w:rsid w:val="00D74621"/>
    <w:rsid w:val="00D74904"/>
    <w:rsid w:val="00D74E56"/>
    <w:rsid w:val="00D753F4"/>
    <w:rsid w:val="00D7597C"/>
    <w:rsid w:val="00D75A95"/>
    <w:rsid w:val="00D75B16"/>
    <w:rsid w:val="00D763B6"/>
    <w:rsid w:val="00D765A8"/>
    <w:rsid w:val="00D76852"/>
    <w:rsid w:val="00D76BAF"/>
    <w:rsid w:val="00D76CEF"/>
    <w:rsid w:val="00D7790E"/>
    <w:rsid w:val="00D77B5C"/>
    <w:rsid w:val="00D80128"/>
    <w:rsid w:val="00D80167"/>
    <w:rsid w:val="00D806FB"/>
    <w:rsid w:val="00D807C6"/>
    <w:rsid w:val="00D819DF"/>
    <w:rsid w:val="00D82933"/>
    <w:rsid w:val="00D82EA9"/>
    <w:rsid w:val="00D8374D"/>
    <w:rsid w:val="00D840FE"/>
    <w:rsid w:val="00D8610A"/>
    <w:rsid w:val="00D86733"/>
    <w:rsid w:val="00D87805"/>
    <w:rsid w:val="00D901E6"/>
    <w:rsid w:val="00D90BC5"/>
    <w:rsid w:val="00D91A55"/>
    <w:rsid w:val="00D91BA1"/>
    <w:rsid w:val="00D9211D"/>
    <w:rsid w:val="00D92CAA"/>
    <w:rsid w:val="00D93A51"/>
    <w:rsid w:val="00D93D8C"/>
    <w:rsid w:val="00D94BD0"/>
    <w:rsid w:val="00D94C3B"/>
    <w:rsid w:val="00D95FB8"/>
    <w:rsid w:val="00D9680F"/>
    <w:rsid w:val="00D96BF6"/>
    <w:rsid w:val="00D96DA7"/>
    <w:rsid w:val="00D97DC7"/>
    <w:rsid w:val="00D97F51"/>
    <w:rsid w:val="00DA12B7"/>
    <w:rsid w:val="00DA3027"/>
    <w:rsid w:val="00DA3366"/>
    <w:rsid w:val="00DA3486"/>
    <w:rsid w:val="00DA34B5"/>
    <w:rsid w:val="00DA3622"/>
    <w:rsid w:val="00DA3906"/>
    <w:rsid w:val="00DA3C7B"/>
    <w:rsid w:val="00DA3F5D"/>
    <w:rsid w:val="00DA3F61"/>
    <w:rsid w:val="00DA4A68"/>
    <w:rsid w:val="00DA5492"/>
    <w:rsid w:val="00DA74E0"/>
    <w:rsid w:val="00DA789E"/>
    <w:rsid w:val="00DB07F7"/>
    <w:rsid w:val="00DB21BC"/>
    <w:rsid w:val="00DB4A73"/>
    <w:rsid w:val="00DB4AE3"/>
    <w:rsid w:val="00DB5A88"/>
    <w:rsid w:val="00DB5FC0"/>
    <w:rsid w:val="00DB6321"/>
    <w:rsid w:val="00DB642F"/>
    <w:rsid w:val="00DB7ABE"/>
    <w:rsid w:val="00DC07CD"/>
    <w:rsid w:val="00DC0C79"/>
    <w:rsid w:val="00DC17B9"/>
    <w:rsid w:val="00DC3132"/>
    <w:rsid w:val="00DC3676"/>
    <w:rsid w:val="00DC4C45"/>
    <w:rsid w:val="00DC4F18"/>
    <w:rsid w:val="00DC570C"/>
    <w:rsid w:val="00DC57FB"/>
    <w:rsid w:val="00DC60AD"/>
    <w:rsid w:val="00DC66B6"/>
    <w:rsid w:val="00DC6703"/>
    <w:rsid w:val="00DC6815"/>
    <w:rsid w:val="00DC690D"/>
    <w:rsid w:val="00DC77A3"/>
    <w:rsid w:val="00DC79B1"/>
    <w:rsid w:val="00DD034A"/>
    <w:rsid w:val="00DD04C6"/>
    <w:rsid w:val="00DD05AA"/>
    <w:rsid w:val="00DD0964"/>
    <w:rsid w:val="00DD0AFC"/>
    <w:rsid w:val="00DD0D65"/>
    <w:rsid w:val="00DD1E91"/>
    <w:rsid w:val="00DD225A"/>
    <w:rsid w:val="00DD26CC"/>
    <w:rsid w:val="00DD28CE"/>
    <w:rsid w:val="00DD2F1A"/>
    <w:rsid w:val="00DD36EF"/>
    <w:rsid w:val="00DD3E1E"/>
    <w:rsid w:val="00DD3F7E"/>
    <w:rsid w:val="00DD5291"/>
    <w:rsid w:val="00DD5332"/>
    <w:rsid w:val="00DD5B6E"/>
    <w:rsid w:val="00DD5B9C"/>
    <w:rsid w:val="00DD5F26"/>
    <w:rsid w:val="00DD5F71"/>
    <w:rsid w:val="00DD64BB"/>
    <w:rsid w:val="00DE13D0"/>
    <w:rsid w:val="00DE1705"/>
    <w:rsid w:val="00DE1899"/>
    <w:rsid w:val="00DE2001"/>
    <w:rsid w:val="00DE2028"/>
    <w:rsid w:val="00DE21D7"/>
    <w:rsid w:val="00DE2270"/>
    <w:rsid w:val="00DE3BB0"/>
    <w:rsid w:val="00DE3CBC"/>
    <w:rsid w:val="00DE3D53"/>
    <w:rsid w:val="00DE4C59"/>
    <w:rsid w:val="00DE6597"/>
    <w:rsid w:val="00DE7011"/>
    <w:rsid w:val="00DE7A2F"/>
    <w:rsid w:val="00DF0035"/>
    <w:rsid w:val="00DF0701"/>
    <w:rsid w:val="00DF0ED4"/>
    <w:rsid w:val="00DF1029"/>
    <w:rsid w:val="00DF1202"/>
    <w:rsid w:val="00DF144D"/>
    <w:rsid w:val="00DF171E"/>
    <w:rsid w:val="00DF1908"/>
    <w:rsid w:val="00DF29CB"/>
    <w:rsid w:val="00DF2A09"/>
    <w:rsid w:val="00DF2ECE"/>
    <w:rsid w:val="00DF30B1"/>
    <w:rsid w:val="00DF354F"/>
    <w:rsid w:val="00DF553B"/>
    <w:rsid w:val="00DF57F8"/>
    <w:rsid w:val="00DF761F"/>
    <w:rsid w:val="00E01181"/>
    <w:rsid w:val="00E01596"/>
    <w:rsid w:val="00E0162B"/>
    <w:rsid w:val="00E01993"/>
    <w:rsid w:val="00E02097"/>
    <w:rsid w:val="00E020B1"/>
    <w:rsid w:val="00E045FD"/>
    <w:rsid w:val="00E04A5F"/>
    <w:rsid w:val="00E04EFE"/>
    <w:rsid w:val="00E0573C"/>
    <w:rsid w:val="00E05A06"/>
    <w:rsid w:val="00E05AA1"/>
    <w:rsid w:val="00E05CB6"/>
    <w:rsid w:val="00E05D8D"/>
    <w:rsid w:val="00E05D95"/>
    <w:rsid w:val="00E062A8"/>
    <w:rsid w:val="00E0693F"/>
    <w:rsid w:val="00E06EE6"/>
    <w:rsid w:val="00E07E9B"/>
    <w:rsid w:val="00E10594"/>
    <w:rsid w:val="00E108CD"/>
    <w:rsid w:val="00E1156F"/>
    <w:rsid w:val="00E11712"/>
    <w:rsid w:val="00E11B49"/>
    <w:rsid w:val="00E12B39"/>
    <w:rsid w:val="00E12DFF"/>
    <w:rsid w:val="00E142C8"/>
    <w:rsid w:val="00E14411"/>
    <w:rsid w:val="00E14415"/>
    <w:rsid w:val="00E14D30"/>
    <w:rsid w:val="00E15939"/>
    <w:rsid w:val="00E159A9"/>
    <w:rsid w:val="00E17F2F"/>
    <w:rsid w:val="00E20A27"/>
    <w:rsid w:val="00E20B5E"/>
    <w:rsid w:val="00E21A97"/>
    <w:rsid w:val="00E22074"/>
    <w:rsid w:val="00E220E1"/>
    <w:rsid w:val="00E22FDE"/>
    <w:rsid w:val="00E23948"/>
    <w:rsid w:val="00E242B0"/>
    <w:rsid w:val="00E248EA"/>
    <w:rsid w:val="00E24B9A"/>
    <w:rsid w:val="00E26010"/>
    <w:rsid w:val="00E26B20"/>
    <w:rsid w:val="00E26C90"/>
    <w:rsid w:val="00E272BA"/>
    <w:rsid w:val="00E3142E"/>
    <w:rsid w:val="00E31882"/>
    <w:rsid w:val="00E326F6"/>
    <w:rsid w:val="00E32723"/>
    <w:rsid w:val="00E331F8"/>
    <w:rsid w:val="00E33B37"/>
    <w:rsid w:val="00E35E79"/>
    <w:rsid w:val="00E37D6C"/>
    <w:rsid w:val="00E37EF3"/>
    <w:rsid w:val="00E4277E"/>
    <w:rsid w:val="00E42C70"/>
    <w:rsid w:val="00E45649"/>
    <w:rsid w:val="00E4664F"/>
    <w:rsid w:val="00E47500"/>
    <w:rsid w:val="00E476E8"/>
    <w:rsid w:val="00E477E6"/>
    <w:rsid w:val="00E5058D"/>
    <w:rsid w:val="00E509B0"/>
    <w:rsid w:val="00E50BF7"/>
    <w:rsid w:val="00E51583"/>
    <w:rsid w:val="00E51965"/>
    <w:rsid w:val="00E52299"/>
    <w:rsid w:val="00E52ED6"/>
    <w:rsid w:val="00E55A36"/>
    <w:rsid w:val="00E55D6D"/>
    <w:rsid w:val="00E56588"/>
    <w:rsid w:val="00E565A8"/>
    <w:rsid w:val="00E56FA3"/>
    <w:rsid w:val="00E57BF6"/>
    <w:rsid w:val="00E61CE3"/>
    <w:rsid w:val="00E61F89"/>
    <w:rsid w:val="00E622B4"/>
    <w:rsid w:val="00E624A6"/>
    <w:rsid w:val="00E62AE8"/>
    <w:rsid w:val="00E63990"/>
    <w:rsid w:val="00E64370"/>
    <w:rsid w:val="00E64437"/>
    <w:rsid w:val="00E64A6F"/>
    <w:rsid w:val="00E65326"/>
    <w:rsid w:val="00E65622"/>
    <w:rsid w:val="00E65F4B"/>
    <w:rsid w:val="00E66B52"/>
    <w:rsid w:val="00E71349"/>
    <w:rsid w:val="00E7180E"/>
    <w:rsid w:val="00E71EB7"/>
    <w:rsid w:val="00E7235A"/>
    <w:rsid w:val="00E72A92"/>
    <w:rsid w:val="00E73F0E"/>
    <w:rsid w:val="00E73FD0"/>
    <w:rsid w:val="00E7448C"/>
    <w:rsid w:val="00E745D9"/>
    <w:rsid w:val="00E746BA"/>
    <w:rsid w:val="00E75378"/>
    <w:rsid w:val="00E75706"/>
    <w:rsid w:val="00E76DB5"/>
    <w:rsid w:val="00E773B3"/>
    <w:rsid w:val="00E80299"/>
    <w:rsid w:val="00E8042B"/>
    <w:rsid w:val="00E8049D"/>
    <w:rsid w:val="00E8076A"/>
    <w:rsid w:val="00E8118F"/>
    <w:rsid w:val="00E815CF"/>
    <w:rsid w:val="00E83D74"/>
    <w:rsid w:val="00E8425C"/>
    <w:rsid w:val="00E846AD"/>
    <w:rsid w:val="00E8529E"/>
    <w:rsid w:val="00E86A40"/>
    <w:rsid w:val="00E86EB6"/>
    <w:rsid w:val="00E877A6"/>
    <w:rsid w:val="00E87A7A"/>
    <w:rsid w:val="00E87B53"/>
    <w:rsid w:val="00E90945"/>
    <w:rsid w:val="00E91ECC"/>
    <w:rsid w:val="00E9285F"/>
    <w:rsid w:val="00E94AD4"/>
    <w:rsid w:val="00E954E6"/>
    <w:rsid w:val="00E956F8"/>
    <w:rsid w:val="00E96114"/>
    <w:rsid w:val="00E96614"/>
    <w:rsid w:val="00E973A8"/>
    <w:rsid w:val="00EA0709"/>
    <w:rsid w:val="00EA09C6"/>
    <w:rsid w:val="00EA0B1B"/>
    <w:rsid w:val="00EA0B1F"/>
    <w:rsid w:val="00EA0EE4"/>
    <w:rsid w:val="00EA110E"/>
    <w:rsid w:val="00EA21FC"/>
    <w:rsid w:val="00EA2E46"/>
    <w:rsid w:val="00EA2F92"/>
    <w:rsid w:val="00EA2FCD"/>
    <w:rsid w:val="00EA3A2E"/>
    <w:rsid w:val="00EA3E8A"/>
    <w:rsid w:val="00EA4088"/>
    <w:rsid w:val="00EA4B7D"/>
    <w:rsid w:val="00EA4C3D"/>
    <w:rsid w:val="00EA5776"/>
    <w:rsid w:val="00EA5DF5"/>
    <w:rsid w:val="00EA6DA0"/>
    <w:rsid w:val="00EA6DC9"/>
    <w:rsid w:val="00EA716A"/>
    <w:rsid w:val="00EA72FB"/>
    <w:rsid w:val="00EA7F94"/>
    <w:rsid w:val="00EB0466"/>
    <w:rsid w:val="00EB1512"/>
    <w:rsid w:val="00EB17A8"/>
    <w:rsid w:val="00EB2255"/>
    <w:rsid w:val="00EB32AC"/>
    <w:rsid w:val="00EB4BF8"/>
    <w:rsid w:val="00EB5C8B"/>
    <w:rsid w:val="00EB6C6D"/>
    <w:rsid w:val="00EB7942"/>
    <w:rsid w:val="00EB7D7D"/>
    <w:rsid w:val="00EC0342"/>
    <w:rsid w:val="00EC06F6"/>
    <w:rsid w:val="00EC13B3"/>
    <w:rsid w:val="00EC2E0E"/>
    <w:rsid w:val="00EC2EF2"/>
    <w:rsid w:val="00EC4F70"/>
    <w:rsid w:val="00EC57BD"/>
    <w:rsid w:val="00EC644F"/>
    <w:rsid w:val="00EC689C"/>
    <w:rsid w:val="00EC76A2"/>
    <w:rsid w:val="00EC776B"/>
    <w:rsid w:val="00EC7A4E"/>
    <w:rsid w:val="00EC7B53"/>
    <w:rsid w:val="00EC7C2C"/>
    <w:rsid w:val="00EC7D64"/>
    <w:rsid w:val="00EC7E8F"/>
    <w:rsid w:val="00ED004F"/>
    <w:rsid w:val="00ED03CE"/>
    <w:rsid w:val="00ED0E2F"/>
    <w:rsid w:val="00ED17E2"/>
    <w:rsid w:val="00ED3322"/>
    <w:rsid w:val="00ED382F"/>
    <w:rsid w:val="00ED3848"/>
    <w:rsid w:val="00ED3DF2"/>
    <w:rsid w:val="00ED3F32"/>
    <w:rsid w:val="00ED49DB"/>
    <w:rsid w:val="00ED51A8"/>
    <w:rsid w:val="00ED5584"/>
    <w:rsid w:val="00ED6152"/>
    <w:rsid w:val="00ED67F0"/>
    <w:rsid w:val="00ED6A72"/>
    <w:rsid w:val="00ED70FD"/>
    <w:rsid w:val="00ED74D0"/>
    <w:rsid w:val="00ED7A4D"/>
    <w:rsid w:val="00EE0B8A"/>
    <w:rsid w:val="00EE129C"/>
    <w:rsid w:val="00EE172A"/>
    <w:rsid w:val="00EE1C7E"/>
    <w:rsid w:val="00EE1F31"/>
    <w:rsid w:val="00EE3951"/>
    <w:rsid w:val="00EE3F84"/>
    <w:rsid w:val="00EE4AF3"/>
    <w:rsid w:val="00EE4D5A"/>
    <w:rsid w:val="00EE56AB"/>
    <w:rsid w:val="00EE6707"/>
    <w:rsid w:val="00EE67A5"/>
    <w:rsid w:val="00EF4D7C"/>
    <w:rsid w:val="00EF5770"/>
    <w:rsid w:val="00EF5A49"/>
    <w:rsid w:val="00EF6899"/>
    <w:rsid w:val="00EF6999"/>
    <w:rsid w:val="00EF719F"/>
    <w:rsid w:val="00EF73D9"/>
    <w:rsid w:val="00F00900"/>
    <w:rsid w:val="00F0122A"/>
    <w:rsid w:val="00F014F2"/>
    <w:rsid w:val="00F019E6"/>
    <w:rsid w:val="00F02573"/>
    <w:rsid w:val="00F02960"/>
    <w:rsid w:val="00F050D7"/>
    <w:rsid w:val="00F05530"/>
    <w:rsid w:val="00F05B81"/>
    <w:rsid w:val="00F05CAA"/>
    <w:rsid w:val="00F07C52"/>
    <w:rsid w:val="00F07EE7"/>
    <w:rsid w:val="00F11612"/>
    <w:rsid w:val="00F11CA8"/>
    <w:rsid w:val="00F12585"/>
    <w:rsid w:val="00F13C2B"/>
    <w:rsid w:val="00F13C3D"/>
    <w:rsid w:val="00F14E96"/>
    <w:rsid w:val="00F153DA"/>
    <w:rsid w:val="00F15484"/>
    <w:rsid w:val="00F15CC8"/>
    <w:rsid w:val="00F16827"/>
    <w:rsid w:val="00F16D8C"/>
    <w:rsid w:val="00F16F27"/>
    <w:rsid w:val="00F16F76"/>
    <w:rsid w:val="00F17096"/>
    <w:rsid w:val="00F2148C"/>
    <w:rsid w:val="00F2161F"/>
    <w:rsid w:val="00F22368"/>
    <w:rsid w:val="00F22591"/>
    <w:rsid w:val="00F2279A"/>
    <w:rsid w:val="00F22DD4"/>
    <w:rsid w:val="00F24FDC"/>
    <w:rsid w:val="00F2500A"/>
    <w:rsid w:val="00F25BB7"/>
    <w:rsid w:val="00F26BD1"/>
    <w:rsid w:val="00F30308"/>
    <w:rsid w:val="00F30DDE"/>
    <w:rsid w:val="00F30ED1"/>
    <w:rsid w:val="00F31175"/>
    <w:rsid w:val="00F31630"/>
    <w:rsid w:val="00F3186D"/>
    <w:rsid w:val="00F31EC7"/>
    <w:rsid w:val="00F31FEB"/>
    <w:rsid w:val="00F330CD"/>
    <w:rsid w:val="00F3320A"/>
    <w:rsid w:val="00F335ED"/>
    <w:rsid w:val="00F339AD"/>
    <w:rsid w:val="00F34293"/>
    <w:rsid w:val="00F346C8"/>
    <w:rsid w:val="00F34D07"/>
    <w:rsid w:val="00F35130"/>
    <w:rsid w:val="00F3553C"/>
    <w:rsid w:val="00F35724"/>
    <w:rsid w:val="00F36092"/>
    <w:rsid w:val="00F36839"/>
    <w:rsid w:val="00F36CFE"/>
    <w:rsid w:val="00F400B8"/>
    <w:rsid w:val="00F40D84"/>
    <w:rsid w:val="00F414EF"/>
    <w:rsid w:val="00F41A9B"/>
    <w:rsid w:val="00F42B5E"/>
    <w:rsid w:val="00F4321A"/>
    <w:rsid w:val="00F43788"/>
    <w:rsid w:val="00F4457B"/>
    <w:rsid w:val="00F459DF"/>
    <w:rsid w:val="00F45F1A"/>
    <w:rsid w:val="00F45FFA"/>
    <w:rsid w:val="00F4691B"/>
    <w:rsid w:val="00F46A8F"/>
    <w:rsid w:val="00F476D5"/>
    <w:rsid w:val="00F47BF1"/>
    <w:rsid w:val="00F47D3B"/>
    <w:rsid w:val="00F501F5"/>
    <w:rsid w:val="00F512A0"/>
    <w:rsid w:val="00F51AE9"/>
    <w:rsid w:val="00F51CBB"/>
    <w:rsid w:val="00F52109"/>
    <w:rsid w:val="00F53222"/>
    <w:rsid w:val="00F53223"/>
    <w:rsid w:val="00F540CE"/>
    <w:rsid w:val="00F5447E"/>
    <w:rsid w:val="00F5501F"/>
    <w:rsid w:val="00F55C30"/>
    <w:rsid w:val="00F56433"/>
    <w:rsid w:val="00F57692"/>
    <w:rsid w:val="00F57DBD"/>
    <w:rsid w:val="00F6053C"/>
    <w:rsid w:val="00F60980"/>
    <w:rsid w:val="00F613DC"/>
    <w:rsid w:val="00F61913"/>
    <w:rsid w:val="00F61E27"/>
    <w:rsid w:val="00F62FFA"/>
    <w:rsid w:val="00F6425C"/>
    <w:rsid w:val="00F6428B"/>
    <w:rsid w:val="00F64745"/>
    <w:rsid w:val="00F647C4"/>
    <w:rsid w:val="00F6685A"/>
    <w:rsid w:val="00F66BE3"/>
    <w:rsid w:val="00F66F07"/>
    <w:rsid w:val="00F672E3"/>
    <w:rsid w:val="00F679FE"/>
    <w:rsid w:val="00F70285"/>
    <w:rsid w:val="00F70510"/>
    <w:rsid w:val="00F7296D"/>
    <w:rsid w:val="00F7321D"/>
    <w:rsid w:val="00F74254"/>
    <w:rsid w:val="00F74F03"/>
    <w:rsid w:val="00F750C3"/>
    <w:rsid w:val="00F752B6"/>
    <w:rsid w:val="00F768F6"/>
    <w:rsid w:val="00F77367"/>
    <w:rsid w:val="00F77855"/>
    <w:rsid w:val="00F7790A"/>
    <w:rsid w:val="00F80415"/>
    <w:rsid w:val="00F80B60"/>
    <w:rsid w:val="00F81480"/>
    <w:rsid w:val="00F82F90"/>
    <w:rsid w:val="00F83057"/>
    <w:rsid w:val="00F848F5"/>
    <w:rsid w:val="00F8559A"/>
    <w:rsid w:val="00F85D47"/>
    <w:rsid w:val="00F868AD"/>
    <w:rsid w:val="00F86A0D"/>
    <w:rsid w:val="00F86D45"/>
    <w:rsid w:val="00F8727D"/>
    <w:rsid w:val="00F90682"/>
    <w:rsid w:val="00F906D8"/>
    <w:rsid w:val="00F906EF"/>
    <w:rsid w:val="00F90911"/>
    <w:rsid w:val="00F91534"/>
    <w:rsid w:val="00F93090"/>
    <w:rsid w:val="00F932C4"/>
    <w:rsid w:val="00F935A3"/>
    <w:rsid w:val="00F945F3"/>
    <w:rsid w:val="00F9482D"/>
    <w:rsid w:val="00F95CB0"/>
    <w:rsid w:val="00F95FF1"/>
    <w:rsid w:val="00F96478"/>
    <w:rsid w:val="00F96DED"/>
    <w:rsid w:val="00FA02B9"/>
    <w:rsid w:val="00FA2FFE"/>
    <w:rsid w:val="00FA31A6"/>
    <w:rsid w:val="00FA3602"/>
    <w:rsid w:val="00FA3C73"/>
    <w:rsid w:val="00FA44FE"/>
    <w:rsid w:val="00FA4A7B"/>
    <w:rsid w:val="00FA4C85"/>
    <w:rsid w:val="00FA5252"/>
    <w:rsid w:val="00FA56D2"/>
    <w:rsid w:val="00FA5BE3"/>
    <w:rsid w:val="00FA5C8D"/>
    <w:rsid w:val="00FA5CA4"/>
    <w:rsid w:val="00FA5E1E"/>
    <w:rsid w:val="00FA5F50"/>
    <w:rsid w:val="00FA7097"/>
    <w:rsid w:val="00FA7478"/>
    <w:rsid w:val="00FB0446"/>
    <w:rsid w:val="00FB171A"/>
    <w:rsid w:val="00FB180C"/>
    <w:rsid w:val="00FB1D92"/>
    <w:rsid w:val="00FB293E"/>
    <w:rsid w:val="00FB377C"/>
    <w:rsid w:val="00FB3990"/>
    <w:rsid w:val="00FB4DEE"/>
    <w:rsid w:val="00FB4FA9"/>
    <w:rsid w:val="00FB5A81"/>
    <w:rsid w:val="00FB6446"/>
    <w:rsid w:val="00FB6E5C"/>
    <w:rsid w:val="00FB6F9E"/>
    <w:rsid w:val="00FB7C44"/>
    <w:rsid w:val="00FC07F5"/>
    <w:rsid w:val="00FC0B80"/>
    <w:rsid w:val="00FC0F01"/>
    <w:rsid w:val="00FC27D5"/>
    <w:rsid w:val="00FC348A"/>
    <w:rsid w:val="00FC368B"/>
    <w:rsid w:val="00FC3A43"/>
    <w:rsid w:val="00FC4F83"/>
    <w:rsid w:val="00FC5C34"/>
    <w:rsid w:val="00FC6088"/>
    <w:rsid w:val="00FC6449"/>
    <w:rsid w:val="00FC6496"/>
    <w:rsid w:val="00FC6DB9"/>
    <w:rsid w:val="00FC6EB4"/>
    <w:rsid w:val="00FC7B11"/>
    <w:rsid w:val="00FC7CF8"/>
    <w:rsid w:val="00FD0AB8"/>
    <w:rsid w:val="00FD0EE1"/>
    <w:rsid w:val="00FD138D"/>
    <w:rsid w:val="00FD15A0"/>
    <w:rsid w:val="00FD2332"/>
    <w:rsid w:val="00FD25E4"/>
    <w:rsid w:val="00FD2828"/>
    <w:rsid w:val="00FD28DC"/>
    <w:rsid w:val="00FD3CBA"/>
    <w:rsid w:val="00FD3FFB"/>
    <w:rsid w:val="00FD400C"/>
    <w:rsid w:val="00FD4671"/>
    <w:rsid w:val="00FD5AA4"/>
    <w:rsid w:val="00FD7D31"/>
    <w:rsid w:val="00FE014A"/>
    <w:rsid w:val="00FE01F9"/>
    <w:rsid w:val="00FE02CF"/>
    <w:rsid w:val="00FE068A"/>
    <w:rsid w:val="00FE1D2B"/>
    <w:rsid w:val="00FE214A"/>
    <w:rsid w:val="00FE24D4"/>
    <w:rsid w:val="00FE2B4A"/>
    <w:rsid w:val="00FE3280"/>
    <w:rsid w:val="00FE3880"/>
    <w:rsid w:val="00FE3CF7"/>
    <w:rsid w:val="00FE3F49"/>
    <w:rsid w:val="00FE4E7E"/>
    <w:rsid w:val="00FE71F5"/>
    <w:rsid w:val="00FE7733"/>
    <w:rsid w:val="00FF0851"/>
    <w:rsid w:val="00FF0C6E"/>
    <w:rsid w:val="00FF0D6F"/>
    <w:rsid w:val="00FF0D9B"/>
    <w:rsid w:val="00FF0DAF"/>
    <w:rsid w:val="00FF12F0"/>
    <w:rsid w:val="00FF15CE"/>
    <w:rsid w:val="00FF171E"/>
    <w:rsid w:val="00FF20F6"/>
    <w:rsid w:val="00FF2CCF"/>
    <w:rsid w:val="00FF30A5"/>
    <w:rsid w:val="00FF3231"/>
    <w:rsid w:val="00FF357B"/>
    <w:rsid w:val="00FF3CC9"/>
    <w:rsid w:val="00FF42EA"/>
    <w:rsid w:val="00FF4D16"/>
    <w:rsid w:val="00FF5347"/>
    <w:rsid w:val="00FF538E"/>
    <w:rsid w:val="00FF65A3"/>
    <w:rsid w:val="00FF6F78"/>
    <w:rsid w:val="00FF77BC"/>
    <w:rsid w:val="00FF7E0D"/>
    <w:rsid w:val="0101293A"/>
    <w:rsid w:val="01016C10"/>
    <w:rsid w:val="01042CD0"/>
    <w:rsid w:val="010C6C69"/>
    <w:rsid w:val="01105806"/>
    <w:rsid w:val="0118255D"/>
    <w:rsid w:val="01190211"/>
    <w:rsid w:val="011D6AD3"/>
    <w:rsid w:val="012252B6"/>
    <w:rsid w:val="012500D2"/>
    <w:rsid w:val="012525B3"/>
    <w:rsid w:val="0128050D"/>
    <w:rsid w:val="01285D05"/>
    <w:rsid w:val="012E2904"/>
    <w:rsid w:val="01370B6B"/>
    <w:rsid w:val="0137481C"/>
    <w:rsid w:val="013A3FF4"/>
    <w:rsid w:val="013E3309"/>
    <w:rsid w:val="01457BF5"/>
    <w:rsid w:val="014C6D06"/>
    <w:rsid w:val="01561864"/>
    <w:rsid w:val="015B03D1"/>
    <w:rsid w:val="015F6937"/>
    <w:rsid w:val="0165138A"/>
    <w:rsid w:val="016961D6"/>
    <w:rsid w:val="01741941"/>
    <w:rsid w:val="0177496C"/>
    <w:rsid w:val="017E2E02"/>
    <w:rsid w:val="018124EE"/>
    <w:rsid w:val="01914DAF"/>
    <w:rsid w:val="0194620D"/>
    <w:rsid w:val="019F45E6"/>
    <w:rsid w:val="01A01F9E"/>
    <w:rsid w:val="01AD4A29"/>
    <w:rsid w:val="01AD510B"/>
    <w:rsid w:val="01AD616D"/>
    <w:rsid w:val="01B11F13"/>
    <w:rsid w:val="01B17842"/>
    <w:rsid w:val="01B322C9"/>
    <w:rsid w:val="01B77312"/>
    <w:rsid w:val="01B975AE"/>
    <w:rsid w:val="01C042DF"/>
    <w:rsid w:val="01C8198D"/>
    <w:rsid w:val="01CF7EB6"/>
    <w:rsid w:val="01D10A08"/>
    <w:rsid w:val="01D63F6D"/>
    <w:rsid w:val="01D7163E"/>
    <w:rsid w:val="01D73692"/>
    <w:rsid w:val="01D97F84"/>
    <w:rsid w:val="01E213E8"/>
    <w:rsid w:val="01E36CCB"/>
    <w:rsid w:val="01E461FC"/>
    <w:rsid w:val="01E51F0E"/>
    <w:rsid w:val="01F06FC1"/>
    <w:rsid w:val="01F423BB"/>
    <w:rsid w:val="01F76AB4"/>
    <w:rsid w:val="01F805D0"/>
    <w:rsid w:val="01F857E9"/>
    <w:rsid w:val="01F90448"/>
    <w:rsid w:val="01FB2BD9"/>
    <w:rsid w:val="01FB7CF1"/>
    <w:rsid w:val="02017D52"/>
    <w:rsid w:val="02085DF6"/>
    <w:rsid w:val="02086D07"/>
    <w:rsid w:val="020F5456"/>
    <w:rsid w:val="02110929"/>
    <w:rsid w:val="021655D4"/>
    <w:rsid w:val="021F64C7"/>
    <w:rsid w:val="022C1C30"/>
    <w:rsid w:val="02304D83"/>
    <w:rsid w:val="02372E07"/>
    <w:rsid w:val="023D293E"/>
    <w:rsid w:val="02455351"/>
    <w:rsid w:val="024F2EBE"/>
    <w:rsid w:val="02512B3D"/>
    <w:rsid w:val="0254378E"/>
    <w:rsid w:val="02551245"/>
    <w:rsid w:val="025542E2"/>
    <w:rsid w:val="025B138E"/>
    <w:rsid w:val="02667143"/>
    <w:rsid w:val="02680422"/>
    <w:rsid w:val="026D72E4"/>
    <w:rsid w:val="027176AF"/>
    <w:rsid w:val="027507D1"/>
    <w:rsid w:val="027E24CC"/>
    <w:rsid w:val="028351F5"/>
    <w:rsid w:val="028D7F83"/>
    <w:rsid w:val="02902745"/>
    <w:rsid w:val="02944F71"/>
    <w:rsid w:val="029472A1"/>
    <w:rsid w:val="029953E5"/>
    <w:rsid w:val="029A445E"/>
    <w:rsid w:val="02AB13DD"/>
    <w:rsid w:val="02AB22A7"/>
    <w:rsid w:val="02B077C8"/>
    <w:rsid w:val="02B80B07"/>
    <w:rsid w:val="02BC24B1"/>
    <w:rsid w:val="02C07245"/>
    <w:rsid w:val="02C43DB1"/>
    <w:rsid w:val="02C52B30"/>
    <w:rsid w:val="02C83A8B"/>
    <w:rsid w:val="02C84D5A"/>
    <w:rsid w:val="02C92423"/>
    <w:rsid w:val="02CA23C4"/>
    <w:rsid w:val="02CE0ED6"/>
    <w:rsid w:val="02DE69A0"/>
    <w:rsid w:val="02E279A9"/>
    <w:rsid w:val="02ED5771"/>
    <w:rsid w:val="02EF4763"/>
    <w:rsid w:val="02F01AFE"/>
    <w:rsid w:val="02FD2B61"/>
    <w:rsid w:val="02FE0ADD"/>
    <w:rsid w:val="02FF1FF3"/>
    <w:rsid w:val="03071B18"/>
    <w:rsid w:val="03083632"/>
    <w:rsid w:val="030B2FCE"/>
    <w:rsid w:val="030E517A"/>
    <w:rsid w:val="030F5D29"/>
    <w:rsid w:val="030F611F"/>
    <w:rsid w:val="031417A6"/>
    <w:rsid w:val="03166610"/>
    <w:rsid w:val="03176E78"/>
    <w:rsid w:val="032415BF"/>
    <w:rsid w:val="032547D2"/>
    <w:rsid w:val="03286E86"/>
    <w:rsid w:val="032A0209"/>
    <w:rsid w:val="032F26D5"/>
    <w:rsid w:val="03311CDF"/>
    <w:rsid w:val="03316B04"/>
    <w:rsid w:val="03380D2C"/>
    <w:rsid w:val="033D6B03"/>
    <w:rsid w:val="033E3D2A"/>
    <w:rsid w:val="03412791"/>
    <w:rsid w:val="03531FA9"/>
    <w:rsid w:val="03600F2A"/>
    <w:rsid w:val="03601A3C"/>
    <w:rsid w:val="03631431"/>
    <w:rsid w:val="03650C43"/>
    <w:rsid w:val="03654458"/>
    <w:rsid w:val="0367320E"/>
    <w:rsid w:val="036D6444"/>
    <w:rsid w:val="036E79D4"/>
    <w:rsid w:val="036F71A6"/>
    <w:rsid w:val="03735A83"/>
    <w:rsid w:val="03737054"/>
    <w:rsid w:val="037D62AE"/>
    <w:rsid w:val="03884104"/>
    <w:rsid w:val="038C1B54"/>
    <w:rsid w:val="038F5D33"/>
    <w:rsid w:val="03953302"/>
    <w:rsid w:val="039A3853"/>
    <w:rsid w:val="039D4EBE"/>
    <w:rsid w:val="039E4A38"/>
    <w:rsid w:val="03A24BCC"/>
    <w:rsid w:val="03A403E0"/>
    <w:rsid w:val="03A87BDF"/>
    <w:rsid w:val="03AB6D71"/>
    <w:rsid w:val="03AF1065"/>
    <w:rsid w:val="03B247D8"/>
    <w:rsid w:val="03B2655D"/>
    <w:rsid w:val="03B30181"/>
    <w:rsid w:val="03B96334"/>
    <w:rsid w:val="03BC7B94"/>
    <w:rsid w:val="03BE2EEC"/>
    <w:rsid w:val="03C06302"/>
    <w:rsid w:val="03C331DA"/>
    <w:rsid w:val="03C52362"/>
    <w:rsid w:val="03CE126E"/>
    <w:rsid w:val="03D14C3B"/>
    <w:rsid w:val="03D74EC5"/>
    <w:rsid w:val="03D765B7"/>
    <w:rsid w:val="03E55F65"/>
    <w:rsid w:val="03E75CD1"/>
    <w:rsid w:val="03EB162E"/>
    <w:rsid w:val="03EC516F"/>
    <w:rsid w:val="03F87CBB"/>
    <w:rsid w:val="04023B22"/>
    <w:rsid w:val="04062F54"/>
    <w:rsid w:val="04093187"/>
    <w:rsid w:val="040B3611"/>
    <w:rsid w:val="040B5B81"/>
    <w:rsid w:val="040F324D"/>
    <w:rsid w:val="040F70E5"/>
    <w:rsid w:val="04194FFB"/>
    <w:rsid w:val="04211A74"/>
    <w:rsid w:val="04222F96"/>
    <w:rsid w:val="042708EF"/>
    <w:rsid w:val="042925FA"/>
    <w:rsid w:val="04301570"/>
    <w:rsid w:val="04322B0F"/>
    <w:rsid w:val="04346027"/>
    <w:rsid w:val="04347116"/>
    <w:rsid w:val="04347ECF"/>
    <w:rsid w:val="0439387C"/>
    <w:rsid w:val="043A146D"/>
    <w:rsid w:val="043F1716"/>
    <w:rsid w:val="043F7ED1"/>
    <w:rsid w:val="04410396"/>
    <w:rsid w:val="04427B97"/>
    <w:rsid w:val="044A1A90"/>
    <w:rsid w:val="04520673"/>
    <w:rsid w:val="04530DD2"/>
    <w:rsid w:val="045C1E01"/>
    <w:rsid w:val="045D2FC4"/>
    <w:rsid w:val="04636119"/>
    <w:rsid w:val="046E0986"/>
    <w:rsid w:val="04701466"/>
    <w:rsid w:val="04726F99"/>
    <w:rsid w:val="04742319"/>
    <w:rsid w:val="04762F3E"/>
    <w:rsid w:val="04784D20"/>
    <w:rsid w:val="047C35A8"/>
    <w:rsid w:val="048374D1"/>
    <w:rsid w:val="04930183"/>
    <w:rsid w:val="04945DB3"/>
    <w:rsid w:val="049832CF"/>
    <w:rsid w:val="04A008CA"/>
    <w:rsid w:val="04A0094E"/>
    <w:rsid w:val="04A26007"/>
    <w:rsid w:val="04A27C97"/>
    <w:rsid w:val="04A43675"/>
    <w:rsid w:val="04A83AFA"/>
    <w:rsid w:val="04AA680E"/>
    <w:rsid w:val="04AB08B4"/>
    <w:rsid w:val="04B008C2"/>
    <w:rsid w:val="04B2297D"/>
    <w:rsid w:val="04B41DE0"/>
    <w:rsid w:val="04BA339A"/>
    <w:rsid w:val="04BA600F"/>
    <w:rsid w:val="04C21781"/>
    <w:rsid w:val="04D80F0D"/>
    <w:rsid w:val="04DA4D49"/>
    <w:rsid w:val="04DB4D8E"/>
    <w:rsid w:val="04DF74A2"/>
    <w:rsid w:val="04E871CE"/>
    <w:rsid w:val="04F27750"/>
    <w:rsid w:val="050053A6"/>
    <w:rsid w:val="0504782D"/>
    <w:rsid w:val="05047AC7"/>
    <w:rsid w:val="0507328B"/>
    <w:rsid w:val="050776C8"/>
    <w:rsid w:val="050900D2"/>
    <w:rsid w:val="050A06F8"/>
    <w:rsid w:val="050A0EA7"/>
    <w:rsid w:val="050B4BAA"/>
    <w:rsid w:val="050B4BCC"/>
    <w:rsid w:val="050B4DF5"/>
    <w:rsid w:val="050D56A6"/>
    <w:rsid w:val="050F3976"/>
    <w:rsid w:val="05125A04"/>
    <w:rsid w:val="051901D4"/>
    <w:rsid w:val="05244195"/>
    <w:rsid w:val="052524F4"/>
    <w:rsid w:val="05257B97"/>
    <w:rsid w:val="052936D7"/>
    <w:rsid w:val="052A39C8"/>
    <w:rsid w:val="052D4EEB"/>
    <w:rsid w:val="053105F8"/>
    <w:rsid w:val="053E6949"/>
    <w:rsid w:val="053F2808"/>
    <w:rsid w:val="05471829"/>
    <w:rsid w:val="05491B12"/>
    <w:rsid w:val="055173F0"/>
    <w:rsid w:val="05590539"/>
    <w:rsid w:val="055F04E1"/>
    <w:rsid w:val="055F3CB7"/>
    <w:rsid w:val="056038B6"/>
    <w:rsid w:val="05607F55"/>
    <w:rsid w:val="05611C9E"/>
    <w:rsid w:val="05653644"/>
    <w:rsid w:val="0565786B"/>
    <w:rsid w:val="05745274"/>
    <w:rsid w:val="05780B42"/>
    <w:rsid w:val="05815F49"/>
    <w:rsid w:val="05824329"/>
    <w:rsid w:val="05843E37"/>
    <w:rsid w:val="0589022E"/>
    <w:rsid w:val="05954431"/>
    <w:rsid w:val="059741AA"/>
    <w:rsid w:val="0599476D"/>
    <w:rsid w:val="05A37E2F"/>
    <w:rsid w:val="05AD5FBF"/>
    <w:rsid w:val="05B56C25"/>
    <w:rsid w:val="05B63F69"/>
    <w:rsid w:val="05C32ED3"/>
    <w:rsid w:val="05C73E6F"/>
    <w:rsid w:val="05CC4704"/>
    <w:rsid w:val="05D22159"/>
    <w:rsid w:val="05D435E1"/>
    <w:rsid w:val="05DF3D52"/>
    <w:rsid w:val="05E621C3"/>
    <w:rsid w:val="05EF42E4"/>
    <w:rsid w:val="05F54E35"/>
    <w:rsid w:val="05FA43CF"/>
    <w:rsid w:val="05FB2BC7"/>
    <w:rsid w:val="06047F54"/>
    <w:rsid w:val="060632A7"/>
    <w:rsid w:val="0609615B"/>
    <w:rsid w:val="06136D9F"/>
    <w:rsid w:val="06137119"/>
    <w:rsid w:val="061944F4"/>
    <w:rsid w:val="061A2ED9"/>
    <w:rsid w:val="062210A9"/>
    <w:rsid w:val="06243F9A"/>
    <w:rsid w:val="062475F7"/>
    <w:rsid w:val="062A31F6"/>
    <w:rsid w:val="06320AE6"/>
    <w:rsid w:val="063B2D93"/>
    <w:rsid w:val="063C0382"/>
    <w:rsid w:val="063E3598"/>
    <w:rsid w:val="063E540D"/>
    <w:rsid w:val="064365DB"/>
    <w:rsid w:val="064743B9"/>
    <w:rsid w:val="064B3BC7"/>
    <w:rsid w:val="0653527E"/>
    <w:rsid w:val="065B7DA4"/>
    <w:rsid w:val="065E40E8"/>
    <w:rsid w:val="066865C2"/>
    <w:rsid w:val="06691F53"/>
    <w:rsid w:val="0669544E"/>
    <w:rsid w:val="066C6426"/>
    <w:rsid w:val="066D7521"/>
    <w:rsid w:val="0670204C"/>
    <w:rsid w:val="06773557"/>
    <w:rsid w:val="067B1C53"/>
    <w:rsid w:val="067C4D3D"/>
    <w:rsid w:val="067D016F"/>
    <w:rsid w:val="06845D7A"/>
    <w:rsid w:val="06855EC0"/>
    <w:rsid w:val="06870BF3"/>
    <w:rsid w:val="06877E31"/>
    <w:rsid w:val="068B6E72"/>
    <w:rsid w:val="068C2D31"/>
    <w:rsid w:val="068E6B25"/>
    <w:rsid w:val="06922FA4"/>
    <w:rsid w:val="06A25624"/>
    <w:rsid w:val="06A67D3A"/>
    <w:rsid w:val="06A836AA"/>
    <w:rsid w:val="06B267A6"/>
    <w:rsid w:val="06B32751"/>
    <w:rsid w:val="06B50A99"/>
    <w:rsid w:val="06BD7621"/>
    <w:rsid w:val="06BF030D"/>
    <w:rsid w:val="06C132F8"/>
    <w:rsid w:val="06C2183E"/>
    <w:rsid w:val="06C36C54"/>
    <w:rsid w:val="06CA5494"/>
    <w:rsid w:val="06D25374"/>
    <w:rsid w:val="06DF297C"/>
    <w:rsid w:val="06E44DE8"/>
    <w:rsid w:val="06EA0AE6"/>
    <w:rsid w:val="06F65779"/>
    <w:rsid w:val="06FD42EA"/>
    <w:rsid w:val="070359A0"/>
    <w:rsid w:val="0705063B"/>
    <w:rsid w:val="070A0F55"/>
    <w:rsid w:val="070A77F4"/>
    <w:rsid w:val="07122432"/>
    <w:rsid w:val="071A1FB0"/>
    <w:rsid w:val="071B7B40"/>
    <w:rsid w:val="07221F9F"/>
    <w:rsid w:val="07231C0E"/>
    <w:rsid w:val="07237F66"/>
    <w:rsid w:val="07253016"/>
    <w:rsid w:val="07280E81"/>
    <w:rsid w:val="072A7465"/>
    <w:rsid w:val="072C2170"/>
    <w:rsid w:val="072D074B"/>
    <w:rsid w:val="07336E46"/>
    <w:rsid w:val="07350BBA"/>
    <w:rsid w:val="07356920"/>
    <w:rsid w:val="073B162A"/>
    <w:rsid w:val="073D6116"/>
    <w:rsid w:val="074067F4"/>
    <w:rsid w:val="07556A22"/>
    <w:rsid w:val="075A03EF"/>
    <w:rsid w:val="075A6E77"/>
    <w:rsid w:val="075B6A18"/>
    <w:rsid w:val="076521A1"/>
    <w:rsid w:val="0766242C"/>
    <w:rsid w:val="07744E5C"/>
    <w:rsid w:val="077540B7"/>
    <w:rsid w:val="07837D71"/>
    <w:rsid w:val="07854B87"/>
    <w:rsid w:val="078564AD"/>
    <w:rsid w:val="07886872"/>
    <w:rsid w:val="0788733F"/>
    <w:rsid w:val="078F1D07"/>
    <w:rsid w:val="07983F1F"/>
    <w:rsid w:val="079A1B2D"/>
    <w:rsid w:val="079A1C0F"/>
    <w:rsid w:val="079B05D9"/>
    <w:rsid w:val="079C1B35"/>
    <w:rsid w:val="079C4EB2"/>
    <w:rsid w:val="07A25163"/>
    <w:rsid w:val="07A5330F"/>
    <w:rsid w:val="07A86AAB"/>
    <w:rsid w:val="07AB36BB"/>
    <w:rsid w:val="07AF1602"/>
    <w:rsid w:val="07AF55A6"/>
    <w:rsid w:val="07B80AC0"/>
    <w:rsid w:val="07BA45BD"/>
    <w:rsid w:val="07C05E24"/>
    <w:rsid w:val="07C55AF8"/>
    <w:rsid w:val="07C6632A"/>
    <w:rsid w:val="07C824BF"/>
    <w:rsid w:val="07C91479"/>
    <w:rsid w:val="07C92B05"/>
    <w:rsid w:val="07CA7201"/>
    <w:rsid w:val="07D826A0"/>
    <w:rsid w:val="07DC3D2D"/>
    <w:rsid w:val="07E15BD3"/>
    <w:rsid w:val="07E45910"/>
    <w:rsid w:val="07F32076"/>
    <w:rsid w:val="08057A19"/>
    <w:rsid w:val="08057FCF"/>
    <w:rsid w:val="080B5BA7"/>
    <w:rsid w:val="080C7184"/>
    <w:rsid w:val="081606E4"/>
    <w:rsid w:val="081D240C"/>
    <w:rsid w:val="08214D92"/>
    <w:rsid w:val="08236869"/>
    <w:rsid w:val="08255D27"/>
    <w:rsid w:val="08266FCF"/>
    <w:rsid w:val="082D3F4A"/>
    <w:rsid w:val="08316225"/>
    <w:rsid w:val="083E42DE"/>
    <w:rsid w:val="083F29B0"/>
    <w:rsid w:val="084164B4"/>
    <w:rsid w:val="08430111"/>
    <w:rsid w:val="0846476D"/>
    <w:rsid w:val="084840F7"/>
    <w:rsid w:val="08585E1F"/>
    <w:rsid w:val="085F5F90"/>
    <w:rsid w:val="08657ACE"/>
    <w:rsid w:val="086E62CF"/>
    <w:rsid w:val="087064FA"/>
    <w:rsid w:val="08752E8C"/>
    <w:rsid w:val="08793101"/>
    <w:rsid w:val="08800AC9"/>
    <w:rsid w:val="088258B4"/>
    <w:rsid w:val="08891DC5"/>
    <w:rsid w:val="088A5D5A"/>
    <w:rsid w:val="088E2FE6"/>
    <w:rsid w:val="0890309D"/>
    <w:rsid w:val="089756E7"/>
    <w:rsid w:val="08991641"/>
    <w:rsid w:val="08A30510"/>
    <w:rsid w:val="08A92C8E"/>
    <w:rsid w:val="08A970B1"/>
    <w:rsid w:val="08AD3A18"/>
    <w:rsid w:val="08AE449E"/>
    <w:rsid w:val="08AE5D15"/>
    <w:rsid w:val="08AE74E3"/>
    <w:rsid w:val="08B05C49"/>
    <w:rsid w:val="08B60B0C"/>
    <w:rsid w:val="08B83A84"/>
    <w:rsid w:val="08BB49DB"/>
    <w:rsid w:val="08BF2E10"/>
    <w:rsid w:val="08BF343B"/>
    <w:rsid w:val="08C71B2A"/>
    <w:rsid w:val="08CA0085"/>
    <w:rsid w:val="08CA64F5"/>
    <w:rsid w:val="08CB65E7"/>
    <w:rsid w:val="08CE410F"/>
    <w:rsid w:val="08DD0FEC"/>
    <w:rsid w:val="08DE150D"/>
    <w:rsid w:val="08ED70A2"/>
    <w:rsid w:val="08EF501B"/>
    <w:rsid w:val="08F27CFF"/>
    <w:rsid w:val="08F6589F"/>
    <w:rsid w:val="08F66C43"/>
    <w:rsid w:val="08FB720C"/>
    <w:rsid w:val="090075D2"/>
    <w:rsid w:val="09076668"/>
    <w:rsid w:val="09095B18"/>
    <w:rsid w:val="090E57E5"/>
    <w:rsid w:val="09127290"/>
    <w:rsid w:val="09175D78"/>
    <w:rsid w:val="09184BD9"/>
    <w:rsid w:val="09193CBE"/>
    <w:rsid w:val="09241BF0"/>
    <w:rsid w:val="09255438"/>
    <w:rsid w:val="09295669"/>
    <w:rsid w:val="092A74E6"/>
    <w:rsid w:val="092C783B"/>
    <w:rsid w:val="092F38E5"/>
    <w:rsid w:val="09314393"/>
    <w:rsid w:val="09326A22"/>
    <w:rsid w:val="09346CEB"/>
    <w:rsid w:val="093A2790"/>
    <w:rsid w:val="093E23CF"/>
    <w:rsid w:val="094300C9"/>
    <w:rsid w:val="094C4F73"/>
    <w:rsid w:val="094E1598"/>
    <w:rsid w:val="09525512"/>
    <w:rsid w:val="09562505"/>
    <w:rsid w:val="095C6D46"/>
    <w:rsid w:val="095D48D9"/>
    <w:rsid w:val="09627899"/>
    <w:rsid w:val="096A0964"/>
    <w:rsid w:val="09781065"/>
    <w:rsid w:val="097E641F"/>
    <w:rsid w:val="09876078"/>
    <w:rsid w:val="09895F17"/>
    <w:rsid w:val="098A3838"/>
    <w:rsid w:val="098B34C0"/>
    <w:rsid w:val="098C3D2F"/>
    <w:rsid w:val="098C7E25"/>
    <w:rsid w:val="09A0390E"/>
    <w:rsid w:val="09A6526C"/>
    <w:rsid w:val="09B3537E"/>
    <w:rsid w:val="09BB2098"/>
    <w:rsid w:val="09BC6CD5"/>
    <w:rsid w:val="09C1256C"/>
    <w:rsid w:val="09C30BF2"/>
    <w:rsid w:val="09C36A8E"/>
    <w:rsid w:val="09C74A0C"/>
    <w:rsid w:val="09C80929"/>
    <w:rsid w:val="09C9435D"/>
    <w:rsid w:val="09CB6C44"/>
    <w:rsid w:val="09CD4330"/>
    <w:rsid w:val="09CF0C00"/>
    <w:rsid w:val="09D4008F"/>
    <w:rsid w:val="09D55FFC"/>
    <w:rsid w:val="09DC0469"/>
    <w:rsid w:val="09DC4F52"/>
    <w:rsid w:val="09E15ECC"/>
    <w:rsid w:val="09E340E0"/>
    <w:rsid w:val="09EE4894"/>
    <w:rsid w:val="09F02BA8"/>
    <w:rsid w:val="09FE2C83"/>
    <w:rsid w:val="0A022A40"/>
    <w:rsid w:val="0A0265DB"/>
    <w:rsid w:val="0A0521F5"/>
    <w:rsid w:val="0A0D52EB"/>
    <w:rsid w:val="0A0F439A"/>
    <w:rsid w:val="0A12678D"/>
    <w:rsid w:val="0A127EDC"/>
    <w:rsid w:val="0A171E8E"/>
    <w:rsid w:val="0A1E0785"/>
    <w:rsid w:val="0A237807"/>
    <w:rsid w:val="0A2A7C4B"/>
    <w:rsid w:val="0A3000FF"/>
    <w:rsid w:val="0A397DFC"/>
    <w:rsid w:val="0A4F1E2F"/>
    <w:rsid w:val="0A514861"/>
    <w:rsid w:val="0A522703"/>
    <w:rsid w:val="0A5A2B97"/>
    <w:rsid w:val="0A5B68B4"/>
    <w:rsid w:val="0A5F5842"/>
    <w:rsid w:val="0A5F6342"/>
    <w:rsid w:val="0A6320CF"/>
    <w:rsid w:val="0A6770EC"/>
    <w:rsid w:val="0A6C45A2"/>
    <w:rsid w:val="0A6E5396"/>
    <w:rsid w:val="0A7179C5"/>
    <w:rsid w:val="0A755FCE"/>
    <w:rsid w:val="0A78417D"/>
    <w:rsid w:val="0A7E2714"/>
    <w:rsid w:val="0A801BC2"/>
    <w:rsid w:val="0A8B62DE"/>
    <w:rsid w:val="0A8C0E31"/>
    <w:rsid w:val="0A984455"/>
    <w:rsid w:val="0A9D6F76"/>
    <w:rsid w:val="0A9F7096"/>
    <w:rsid w:val="0AA5743C"/>
    <w:rsid w:val="0AA94751"/>
    <w:rsid w:val="0AA974C2"/>
    <w:rsid w:val="0AB11F14"/>
    <w:rsid w:val="0AB17EFF"/>
    <w:rsid w:val="0AB31B5D"/>
    <w:rsid w:val="0AB5012A"/>
    <w:rsid w:val="0AB54CBB"/>
    <w:rsid w:val="0AB66BB6"/>
    <w:rsid w:val="0AB83822"/>
    <w:rsid w:val="0ABC455A"/>
    <w:rsid w:val="0ABE638C"/>
    <w:rsid w:val="0AC53A44"/>
    <w:rsid w:val="0AD369EF"/>
    <w:rsid w:val="0AD56915"/>
    <w:rsid w:val="0AD970EE"/>
    <w:rsid w:val="0ADA7603"/>
    <w:rsid w:val="0ADB7C37"/>
    <w:rsid w:val="0AE92E13"/>
    <w:rsid w:val="0AF2551F"/>
    <w:rsid w:val="0AFA287C"/>
    <w:rsid w:val="0B0667C0"/>
    <w:rsid w:val="0B0A64FA"/>
    <w:rsid w:val="0B0C292D"/>
    <w:rsid w:val="0B0D7F04"/>
    <w:rsid w:val="0B124CC5"/>
    <w:rsid w:val="0B201170"/>
    <w:rsid w:val="0B2366D2"/>
    <w:rsid w:val="0B27543E"/>
    <w:rsid w:val="0B293B8C"/>
    <w:rsid w:val="0B2F2519"/>
    <w:rsid w:val="0B32198C"/>
    <w:rsid w:val="0B334392"/>
    <w:rsid w:val="0B361549"/>
    <w:rsid w:val="0B366B23"/>
    <w:rsid w:val="0B3F7384"/>
    <w:rsid w:val="0B473487"/>
    <w:rsid w:val="0B4F2B4D"/>
    <w:rsid w:val="0B51659A"/>
    <w:rsid w:val="0B556AB6"/>
    <w:rsid w:val="0B582C41"/>
    <w:rsid w:val="0B5D14A6"/>
    <w:rsid w:val="0B60716C"/>
    <w:rsid w:val="0B625334"/>
    <w:rsid w:val="0B6651D6"/>
    <w:rsid w:val="0B6947A3"/>
    <w:rsid w:val="0B6A5DB9"/>
    <w:rsid w:val="0B6B40B0"/>
    <w:rsid w:val="0B6E7A64"/>
    <w:rsid w:val="0B713B68"/>
    <w:rsid w:val="0B736F62"/>
    <w:rsid w:val="0B7A5E96"/>
    <w:rsid w:val="0B7C7285"/>
    <w:rsid w:val="0B7F6951"/>
    <w:rsid w:val="0B835D45"/>
    <w:rsid w:val="0B860064"/>
    <w:rsid w:val="0B8B400A"/>
    <w:rsid w:val="0B8B414A"/>
    <w:rsid w:val="0B9E2561"/>
    <w:rsid w:val="0BA35DBC"/>
    <w:rsid w:val="0BA554A4"/>
    <w:rsid w:val="0BAB6404"/>
    <w:rsid w:val="0BB64C20"/>
    <w:rsid w:val="0BBA1825"/>
    <w:rsid w:val="0BC55E7E"/>
    <w:rsid w:val="0BC61119"/>
    <w:rsid w:val="0BC61966"/>
    <w:rsid w:val="0BC61F7D"/>
    <w:rsid w:val="0BC75D84"/>
    <w:rsid w:val="0BCE3BD7"/>
    <w:rsid w:val="0BD04E3C"/>
    <w:rsid w:val="0BD4084B"/>
    <w:rsid w:val="0BD53D35"/>
    <w:rsid w:val="0BDE75FA"/>
    <w:rsid w:val="0BE51541"/>
    <w:rsid w:val="0BE70449"/>
    <w:rsid w:val="0BE90A41"/>
    <w:rsid w:val="0BEF18D5"/>
    <w:rsid w:val="0BF914B8"/>
    <w:rsid w:val="0BFA517A"/>
    <w:rsid w:val="0C024CA7"/>
    <w:rsid w:val="0C042EE0"/>
    <w:rsid w:val="0C0507C9"/>
    <w:rsid w:val="0C05221F"/>
    <w:rsid w:val="0C053B24"/>
    <w:rsid w:val="0C060BFC"/>
    <w:rsid w:val="0C065CC3"/>
    <w:rsid w:val="0C0806E7"/>
    <w:rsid w:val="0C080F02"/>
    <w:rsid w:val="0C146769"/>
    <w:rsid w:val="0C1D0DB0"/>
    <w:rsid w:val="0C1E6605"/>
    <w:rsid w:val="0C227E00"/>
    <w:rsid w:val="0C245728"/>
    <w:rsid w:val="0C25691C"/>
    <w:rsid w:val="0C302557"/>
    <w:rsid w:val="0C3A3A7B"/>
    <w:rsid w:val="0C402FC7"/>
    <w:rsid w:val="0C427C40"/>
    <w:rsid w:val="0C473778"/>
    <w:rsid w:val="0C480454"/>
    <w:rsid w:val="0C4A6D32"/>
    <w:rsid w:val="0C4C5381"/>
    <w:rsid w:val="0C4D7AEB"/>
    <w:rsid w:val="0C5C38FD"/>
    <w:rsid w:val="0C5D1E4B"/>
    <w:rsid w:val="0C5F1480"/>
    <w:rsid w:val="0C684328"/>
    <w:rsid w:val="0C6B3DF2"/>
    <w:rsid w:val="0C6E2480"/>
    <w:rsid w:val="0C784387"/>
    <w:rsid w:val="0C795A09"/>
    <w:rsid w:val="0C7B58AD"/>
    <w:rsid w:val="0C806EAB"/>
    <w:rsid w:val="0C807E76"/>
    <w:rsid w:val="0C895863"/>
    <w:rsid w:val="0C94460F"/>
    <w:rsid w:val="0C9C64B3"/>
    <w:rsid w:val="0C9D0879"/>
    <w:rsid w:val="0CA72E90"/>
    <w:rsid w:val="0CB82705"/>
    <w:rsid w:val="0CBC7CD5"/>
    <w:rsid w:val="0CBF56CB"/>
    <w:rsid w:val="0CC27235"/>
    <w:rsid w:val="0CC73B24"/>
    <w:rsid w:val="0CC87BFE"/>
    <w:rsid w:val="0CCF1CCF"/>
    <w:rsid w:val="0CD013AF"/>
    <w:rsid w:val="0CDA51C7"/>
    <w:rsid w:val="0CDA71EC"/>
    <w:rsid w:val="0CE36E39"/>
    <w:rsid w:val="0CF67085"/>
    <w:rsid w:val="0CF8260A"/>
    <w:rsid w:val="0CFA5631"/>
    <w:rsid w:val="0CFC1264"/>
    <w:rsid w:val="0CFC519D"/>
    <w:rsid w:val="0D00219D"/>
    <w:rsid w:val="0D027371"/>
    <w:rsid w:val="0D062890"/>
    <w:rsid w:val="0D0856E8"/>
    <w:rsid w:val="0D0E1471"/>
    <w:rsid w:val="0D166E84"/>
    <w:rsid w:val="0D172A1D"/>
    <w:rsid w:val="0D19318C"/>
    <w:rsid w:val="0D1A4BA1"/>
    <w:rsid w:val="0D1A524F"/>
    <w:rsid w:val="0D1C7266"/>
    <w:rsid w:val="0D1D3A97"/>
    <w:rsid w:val="0D1E6EE6"/>
    <w:rsid w:val="0D237BBD"/>
    <w:rsid w:val="0D254BE8"/>
    <w:rsid w:val="0D2571D0"/>
    <w:rsid w:val="0D293161"/>
    <w:rsid w:val="0D2D34F1"/>
    <w:rsid w:val="0D313C31"/>
    <w:rsid w:val="0D3926FF"/>
    <w:rsid w:val="0D4030C9"/>
    <w:rsid w:val="0D40776D"/>
    <w:rsid w:val="0D450FB6"/>
    <w:rsid w:val="0D461B3E"/>
    <w:rsid w:val="0D507873"/>
    <w:rsid w:val="0D5579A4"/>
    <w:rsid w:val="0D5B6219"/>
    <w:rsid w:val="0D624C38"/>
    <w:rsid w:val="0D63174A"/>
    <w:rsid w:val="0D667E0E"/>
    <w:rsid w:val="0D6E7750"/>
    <w:rsid w:val="0D785F02"/>
    <w:rsid w:val="0D7E2B70"/>
    <w:rsid w:val="0D824108"/>
    <w:rsid w:val="0D85034C"/>
    <w:rsid w:val="0D876A5A"/>
    <w:rsid w:val="0D882F99"/>
    <w:rsid w:val="0D891097"/>
    <w:rsid w:val="0D8977B0"/>
    <w:rsid w:val="0D8A4E4C"/>
    <w:rsid w:val="0D902D83"/>
    <w:rsid w:val="0D917179"/>
    <w:rsid w:val="0D962483"/>
    <w:rsid w:val="0D9715F3"/>
    <w:rsid w:val="0D9C2C84"/>
    <w:rsid w:val="0DAE2C9A"/>
    <w:rsid w:val="0DB0595F"/>
    <w:rsid w:val="0DB77CF3"/>
    <w:rsid w:val="0DBF6263"/>
    <w:rsid w:val="0DCE6AFF"/>
    <w:rsid w:val="0DCF02E4"/>
    <w:rsid w:val="0DD62705"/>
    <w:rsid w:val="0DD70911"/>
    <w:rsid w:val="0DDB47E8"/>
    <w:rsid w:val="0DEA1BCB"/>
    <w:rsid w:val="0DEA4319"/>
    <w:rsid w:val="0DF040EC"/>
    <w:rsid w:val="0DF96CF4"/>
    <w:rsid w:val="0DFB48CB"/>
    <w:rsid w:val="0E041652"/>
    <w:rsid w:val="0E04380F"/>
    <w:rsid w:val="0E0672AD"/>
    <w:rsid w:val="0E0A33D1"/>
    <w:rsid w:val="0E1632F8"/>
    <w:rsid w:val="0E185D43"/>
    <w:rsid w:val="0E1A0F19"/>
    <w:rsid w:val="0E1D58F3"/>
    <w:rsid w:val="0E283C6C"/>
    <w:rsid w:val="0E2A68D3"/>
    <w:rsid w:val="0E2B30FB"/>
    <w:rsid w:val="0E336584"/>
    <w:rsid w:val="0E346BDA"/>
    <w:rsid w:val="0E407D57"/>
    <w:rsid w:val="0E4107CB"/>
    <w:rsid w:val="0E434A84"/>
    <w:rsid w:val="0E487C96"/>
    <w:rsid w:val="0E49681C"/>
    <w:rsid w:val="0E4E7770"/>
    <w:rsid w:val="0E50535B"/>
    <w:rsid w:val="0E506063"/>
    <w:rsid w:val="0E51538E"/>
    <w:rsid w:val="0E55138B"/>
    <w:rsid w:val="0E616D2A"/>
    <w:rsid w:val="0E6170B3"/>
    <w:rsid w:val="0E6211F6"/>
    <w:rsid w:val="0E625048"/>
    <w:rsid w:val="0E631330"/>
    <w:rsid w:val="0E634069"/>
    <w:rsid w:val="0E677751"/>
    <w:rsid w:val="0E786AD5"/>
    <w:rsid w:val="0E7B180B"/>
    <w:rsid w:val="0E81394B"/>
    <w:rsid w:val="0E82150E"/>
    <w:rsid w:val="0E861EFB"/>
    <w:rsid w:val="0E864F87"/>
    <w:rsid w:val="0E8B7EEA"/>
    <w:rsid w:val="0E900680"/>
    <w:rsid w:val="0E983080"/>
    <w:rsid w:val="0E9D1BA9"/>
    <w:rsid w:val="0E9F6BF1"/>
    <w:rsid w:val="0E9F7964"/>
    <w:rsid w:val="0EA061B7"/>
    <w:rsid w:val="0EA30CCB"/>
    <w:rsid w:val="0EA453C7"/>
    <w:rsid w:val="0EA45EBC"/>
    <w:rsid w:val="0EA87391"/>
    <w:rsid w:val="0EAB0FE3"/>
    <w:rsid w:val="0EAC4A50"/>
    <w:rsid w:val="0EAD1ADB"/>
    <w:rsid w:val="0EAD4CEE"/>
    <w:rsid w:val="0EAD712E"/>
    <w:rsid w:val="0EB05A9E"/>
    <w:rsid w:val="0EB10AA7"/>
    <w:rsid w:val="0EB179C5"/>
    <w:rsid w:val="0EB6451E"/>
    <w:rsid w:val="0EB73F18"/>
    <w:rsid w:val="0EB75819"/>
    <w:rsid w:val="0EB778E9"/>
    <w:rsid w:val="0EC61F60"/>
    <w:rsid w:val="0ED248A1"/>
    <w:rsid w:val="0ED535BE"/>
    <w:rsid w:val="0EDE504E"/>
    <w:rsid w:val="0EDF260C"/>
    <w:rsid w:val="0EE16654"/>
    <w:rsid w:val="0EE80933"/>
    <w:rsid w:val="0EEE1799"/>
    <w:rsid w:val="0EF1266D"/>
    <w:rsid w:val="0EF302CC"/>
    <w:rsid w:val="0EFD5932"/>
    <w:rsid w:val="0F0871B0"/>
    <w:rsid w:val="0F0A0B6F"/>
    <w:rsid w:val="0F0B0AC0"/>
    <w:rsid w:val="0F0C4C91"/>
    <w:rsid w:val="0F0C5B71"/>
    <w:rsid w:val="0F0E4EA9"/>
    <w:rsid w:val="0F0F2497"/>
    <w:rsid w:val="0F0F4080"/>
    <w:rsid w:val="0F1669F0"/>
    <w:rsid w:val="0F1C3E86"/>
    <w:rsid w:val="0F1F6C07"/>
    <w:rsid w:val="0F212A4F"/>
    <w:rsid w:val="0F2314EA"/>
    <w:rsid w:val="0F272D3A"/>
    <w:rsid w:val="0F2B31AB"/>
    <w:rsid w:val="0F2C3C75"/>
    <w:rsid w:val="0F386966"/>
    <w:rsid w:val="0F44355D"/>
    <w:rsid w:val="0F4F3C62"/>
    <w:rsid w:val="0F51392B"/>
    <w:rsid w:val="0F552E5F"/>
    <w:rsid w:val="0F5F3E47"/>
    <w:rsid w:val="0F6053C1"/>
    <w:rsid w:val="0F614600"/>
    <w:rsid w:val="0F6548BA"/>
    <w:rsid w:val="0F6A3BCD"/>
    <w:rsid w:val="0F700073"/>
    <w:rsid w:val="0F757ACD"/>
    <w:rsid w:val="0F85548E"/>
    <w:rsid w:val="0F8E3109"/>
    <w:rsid w:val="0F8F4834"/>
    <w:rsid w:val="0F946DB7"/>
    <w:rsid w:val="0F95299D"/>
    <w:rsid w:val="0FA31182"/>
    <w:rsid w:val="0FA85F16"/>
    <w:rsid w:val="0FB66CCE"/>
    <w:rsid w:val="0FBD2063"/>
    <w:rsid w:val="0FBE2677"/>
    <w:rsid w:val="0FCD02FC"/>
    <w:rsid w:val="0FCE7C8D"/>
    <w:rsid w:val="0FCF1B1E"/>
    <w:rsid w:val="0FCF62F8"/>
    <w:rsid w:val="0FD05442"/>
    <w:rsid w:val="0FD74F1E"/>
    <w:rsid w:val="0FD85F90"/>
    <w:rsid w:val="0FDC371E"/>
    <w:rsid w:val="0FDE4FE7"/>
    <w:rsid w:val="0FE068EC"/>
    <w:rsid w:val="0FF04837"/>
    <w:rsid w:val="0FF12F44"/>
    <w:rsid w:val="0FF7412C"/>
    <w:rsid w:val="0FFF7C9F"/>
    <w:rsid w:val="10010759"/>
    <w:rsid w:val="10022D54"/>
    <w:rsid w:val="10076E23"/>
    <w:rsid w:val="100C77CE"/>
    <w:rsid w:val="100F3816"/>
    <w:rsid w:val="10120012"/>
    <w:rsid w:val="1013643B"/>
    <w:rsid w:val="101D0DF9"/>
    <w:rsid w:val="10203719"/>
    <w:rsid w:val="10241C43"/>
    <w:rsid w:val="10260B7E"/>
    <w:rsid w:val="10263E37"/>
    <w:rsid w:val="10312C8C"/>
    <w:rsid w:val="103706EF"/>
    <w:rsid w:val="10381C5A"/>
    <w:rsid w:val="10391E6D"/>
    <w:rsid w:val="103A4854"/>
    <w:rsid w:val="10443A70"/>
    <w:rsid w:val="10481CCB"/>
    <w:rsid w:val="104977D9"/>
    <w:rsid w:val="104D05B6"/>
    <w:rsid w:val="10534C64"/>
    <w:rsid w:val="105746D9"/>
    <w:rsid w:val="105C2E30"/>
    <w:rsid w:val="105C4E0B"/>
    <w:rsid w:val="10697FED"/>
    <w:rsid w:val="106D692F"/>
    <w:rsid w:val="10780B4D"/>
    <w:rsid w:val="10782AA9"/>
    <w:rsid w:val="107916F7"/>
    <w:rsid w:val="107B06E2"/>
    <w:rsid w:val="10857318"/>
    <w:rsid w:val="108A2F1D"/>
    <w:rsid w:val="108B34AD"/>
    <w:rsid w:val="108F6F52"/>
    <w:rsid w:val="10916B27"/>
    <w:rsid w:val="1093299E"/>
    <w:rsid w:val="109929F2"/>
    <w:rsid w:val="109971E7"/>
    <w:rsid w:val="109A1807"/>
    <w:rsid w:val="109C1BCB"/>
    <w:rsid w:val="109C5AF5"/>
    <w:rsid w:val="109E66F5"/>
    <w:rsid w:val="109E69E7"/>
    <w:rsid w:val="10A2377A"/>
    <w:rsid w:val="10AB3BE0"/>
    <w:rsid w:val="10B05A10"/>
    <w:rsid w:val="10BF4C81"/>
    <w:rsid w:val="10C17A94"/>
    <w:rsid w:val="10C636EF"/>
    <w:rsid w:val="10C72389"/>
    <w:rsid w:val="10CD7214"/>
    <w:rsid w:val="10D40D6D"/>
    <w:rsid w:val="10D65E04"/>
    <w:rsid w:val="10D95417"/>
    <w:rsid w:val="10DC5510"/>
    <w:rsid w:val="10DD6BE9"/>
    <w:rsid w:val="10E03311"/>
    <w:rsid w:val="10E04313"/>
    <w:rsid w:val="10E367C5"/>
    <w:rsid w:val="10E67D0F"/>
    <w:rsid w:val="10FB2AF7"/>
    <w:rsid w:val="10FC03BD"/>
    <w:rsid w:val="10FD210B"/>
    <w:rsid w:val="1109308D"/>
    <w:rsid w:val="110D4A70"/>
    <w:rsid w:val="11182F80"/>
    <w:rsid w:val="112855A5"/>
    <w:rsid w:val="112A1F76"/>
    <w:rsid w:val="11327AE3"/>
    <w:rsid w:val="113A1401"/>
    <w:rsid w:val="114723E8"/>
    <w:rsid w:val="115A0DDF"/>
    <w:rsid w:val="1164099A"/>
    <w:rsid w:val="1164141F"/>
    <w:rsid w:val="116E313B"/>
    <w:rsid w:val="117079B7"/>
    <w:rsid w:val="11733D65"/>
    <w:rsid w:val="117A0A1C"/>
    <w:rsid w:val="11872DAE"/>
    <w:rsid w:val="118A5052"/>
    <w:rsid w:val="118B63F9"/>
    <w:rsid w:val="118D7B43"/>
    <w:rsid w:val="11914E2C"/>
    <w:rsid w:val="119231A0"/>
    <w:rsid w:val="11977A78"/>
    <w:rsid w:val="119A3A64"/>
    <w:rsid w:val="119B3F92"/>
    <w:rsid w:val="119B5DDA"/>
    <w:rsid w:val="11A0387D"/>
    <w:rsid w:val="11A07623"/>
    <w:rsid w:val="11A143AB"/>
    <w:rsid w:val="11A93351"/>
    <w:rsid w:val="11AE5AE4"/>
    <w:rsid w:val="11B248F1"/>
    <w:rsid w:val="11B474FF"/>
    <w:rsid w:val="11BA4E90"/>
    <w:rsid w:val="11BF541C"/>
    <w:rsid w:val="11C133E6"/>
    <w:rsid w:val="11DC3064"/>
    <w:rsid w:val="11E555E4"/>
    <w:rsid w:val="11E74C0F"/>
    <w:rsid w:val="11EA6263"/>
    <w:rsid w:val="11ED1B1E"/>
    <w:rsid w:val="11F35CCE"/>
    <w:rsid w:val="11F367F6"/>
    <w:rsid w:val="11F77D54"/>
    <w:rsid w:val="11FB709A"/>
    <w:rsid w:val="11FD6F6D"/>
    <w:rsid w:val="11FF2C94"/>
    <w:rsid w:val="12002EE0"/>
    <w:rsid w:val="12043E75"/>
    <w:rsid w:val="1205712C"/>
    <w:rsid w:val="121A092D"/>
    <w:rsid w:val="121A74A0"/>
    <w:rsid w:val="121B6C48"/>
    <w:rsid w:val="12200542"/>
    <w:rsid w:val="122345BF"/>
    <w:rsid w:val="12342962"/>
    <w:rsid w:val="123511DC"/>
    <w:rsid w:val="123962D9"/>
    <w:rsid w:val="123D7CB4"/>
    <w:rsid w:val="12447690"/>
    <w:rsid w:val="12465F37"/>
    <w:rsid w:val="12474EEC"/>
    <w:rsid w:val="124F3D6A"/>
    <w:rsid w:val="125A1202"/>
    <w:rsid w:val="126153A9"/>
    <w:rsid w:val="12621B35"/>
    <w:rsid w:val="1264373A"/>
    <w:rsid w:val="127559BD"/>
    <w:rsid w:val="12767ED2"/>
    <w:rsid w:val="127717E9"/>
    <w:rsid w:val="127844D1"/>
    <w:rsid w:val="127B2F1C"/>
    <w:rsid w:val="127F5B3A"/>
    <w:rsid w:val="128119A8"/>
    <w:rsid w:val="12837389"/>
    <w:rsid w:val="12843C5A"/>
    <w:rsid w:val="12844A19"/>
    <w:rsid w:val="12846B63"/>
    <w:rsid w:val="12857CC4"/>
    <w:rsid w:val="128C07ED"/>
    <w:rsid w:val="128E7EA4"/>
    <w:rsid w:val="128F4AEF"/>
    <w:rsid w:val="129B2CA7"/>
    <w:rsid w:val="12A1017B"/>
    <w:rsid w:val="12A173AA"/>
    <w:rsid w:val="12A83704"/>
    <w:rsid w:val="12BD69EA"/>
    <w:rsid w:val="12C10A5C"/>
    <w:rsid w:val="12C258B9"/>
    <w:rsid w:val="12C65934"/>
    <w:rsid w:val="12D1263F"/>
    <w:rsid w:val="12D34931"/>
    <w:rsid w:val="12DA1F2D"/>
    <w:rsid w:val="12E02936"/>
    <w:rsid w:val="12E43009"/>
    <w:rsid w:val="12E7195C"/>
    <w:rsid w:val="12F13165"/>
    <w:rsid w:val="12FB044F"/>
    <w:rsid w:val="12FD6EEE"/>
    <w:rsid w:val="130522D0"/>
    <w:rsid w:val="130A3070"/>
    <w:rsid w:val="130D4A5A"/>
    <w:rsid w:val="13183252"/>
    <w:rsid w:val="131A7044"/>
    <w:rsid w:val="131F4D63"/>
    <w:rsid w:val="13230804"/>
    <w:rsid w:val="13254AFA"/>
    <w:rsid w:val="13260B8C"/>
    <w:rsid w:val="132A133C"/>
    <w:rsid w:val="132F373D"/>
    <w:rsid w:val="13344B23"/>
    <w:rsid w:val="13412CDF"/>
    <w:rsid w:val="134213EA"/>
    <w:rsid w:val="13450486"/>
    <w:rsid w:val="13452E1C"/>
    <w:rsid w:val="13454AA3"/>
    <w:rsid w:val="13472D91"/>
    <w:rsid w:val="134C5DD0"/>
    <w:rsid w:val="135C4761"/>
    <w:rsid w:val="13600267"/>
    <w:rsid w:val="136700DF"/>
    <w:rsid w:val="13743603"/>
    <w:rsid w:val="13774B97"/>
    <w:rsid w:val="137C0DE8"/>
    <w:rsid w:val="137C3849"/>
    <w:rsid w:val="13800070"/>
    <w:rsid w:val="13822977"/>
    <w:rsid w:val="13863C70"/>
    <w:rsid w:val="13867147"/>
    <w:rsid w:val="13880FE5"/>
    <w:rsid w:val="138A6F97"/>
    <w:rsid w:val="138E1AC0"/>
    <w:rsid w:val="139B31F8"/>
    <w:rsid w:val="13AA62A7"/>
    <w:rsid w:val="13AE2E8D"/>
    <w:rsid w:val="13AF1F18"/>
    <w:rsid w:val="13AF5266"/>
    <w:rsid w:val="13B638B0"/>
    <w:rsid w:val="13B64644"/>
    <w:rsid w:val="13B67D2A"/>
    <w:rsid w:val="13B72CBA"/>
    <w:rsid w:val="13C36545"/>
    <w:rsid w:val="13C473B6"/>
    <w:rsid w:val="13CE0A43"/>
    <w:rsid w:val="13D252F3"/>
    <w:rsid w:val="13D63CCA"/>
    <w:rsid w:val="13DE4CC4"/>
    <w:rsid w:val="13E54DF9"/>
    <w:rsid w:val="13E916E0"/>
    <w:rsid w:val="14022DB5"/>
    <w:rsid w:val="14065209"/>
    <w:rsid w:val="1408588E"/>
    <w:rsid w:val="140940DE"/>
    <w:rsid w:val="140A5287"/>
    <w:rsid w:val="141279BB"/>
    <w:rsid w:val="14136D68"/>
    <w:rsid w:val="14177091"/>
    <w:rsid w:val="141B46D9"/>
    <w:rsid w:val="14297F6E"/>
    <w:rsid w:val="14305B3A"/>
    <w:rsid w:val="14316D2A"/>
    <w:rsid w:val="14364274"/>
    <w:rsid w:val="1439131C"/>
    <w:rsid w:val="143D5C7E"/>
    <w:rsid w:val="14404441"/>
    <w:rsid w:val="1441463A"/>
    <w:rsid w:val="144A4E61"/>
    <w:rsid w:val="144B0D09"/>
    <w:rsid w:val="144E3B70"/>
    <w:rsid w:val="144F3BD8"/>
    <w:rsid w:val="145536A4"/>
    <w:rsid w:val="14574302"/>
    <w:rsid w:val="14633568"/>
    <w:rsid w:val="146335E2"/>
    <w:rsid w:val="14644436"/>
    <w:rsid w:val="146471AA"/>
    <w:rsid w:val="146B333A"/>
    <w:rsid w:val="14725739"/>
    <w:rsid w:val="147820CC"/>
    <w:rsid w:val="14795A6B"/>
    <w:rsid w:val="148C414D"/>
    <w:rsid w:val="1490027D"/>
    <w:rsid w:val="14926B19"/>
    <w:rsid w:val="149364EB"/>
    <w:rsid w:val="14936C14"/>
    <w:rsid w:val="14983517"/>
    <w:rsid w:val="1499369D"/>
    <w:rsid w:val="149D274C"/>
    <w:rsid w:val="14A14832"/>
    <w:rsid w:val="14A26682"/>
    <w:rsid w:val="14AD7C20"/>
    <w:rsid w:val="14AE1677"/>
    <w:rsid w:val="14B07240"/>
    <w:rsid w:val="14B3050F"/>
    <w:rsid w:val="14B40174"/>
    <w:rsid w:val="14B4078A"/>
    <w:rsid w:val="14B6087B"/>
    <w:rsid w:val="14BE3AA2"/>
    <w:rsid w:val="14C249B0"/>
    <w:rsid w:val="14C451FD"/>
    <w:rsid w:val="14CB3A17"/>
    <w:rsid w:val="14CB6D59"/>
    <w:rsid w:val="14D04C68"/>
    <w:rsid w:val="14D052C2"/>
    <w:rsid w:val="14D23500"/>
    <w:rsid w:val="14DF4121"/>
    <w:rsid w:val="14E22AC7"/>
    <w:rsid w:val="14E54999"/>
    <w:rsid w:val="14EB5E93"/>
    <w:rsid w:val="14ED18B1"/>
    <w:rsid w:val="14F73646"/>
    <w:rsid w:val="14F76EC1"/>
    <w:rsid w:val="14FA555C"/>
    <w:rsid w:val="1500249A"/>
    <w:rsid w:val="150316D2"/>
    <w:rsid w:val="15106444"/>
    <w:rsid w:val="15122280"/>
    <w:rsid w:val="151829E6"/>
    <w:rsid w:val="15196CBB"/>
    <w:rsid w:val="151B3E8D"/>
    <w:rsid w:val="151D54E7"/>
    <w:rsid w:val="1520325E"/>
    <w:rsid w:val="15266667"/>
    <w:rsid w:val="15267227"/>
    <w:rsid w:val="152E1008"/>
    <w:rsid w:val="152F62DE"/>
    <w:rsid w:val="15354A6C"/>
    <w:rsid w:val="1536748E"/>
    <w:rsid w:val="15380673"/>
    <w:rsid w:val="15391EB7"/>
    <w:rsid w:val="153A1E02"/>
    <w:rsid w:val="153B6B47"/>
    <w:rsid w:val="154171DC"/>
    <w:rsid w:val="15422252"/>
    <w:rsid w:val="15460244"/>
    <w:rsid w:val="154A472D"/>
    <w:rsid w:val="154B1D09"/>
    <w:rsid w:val="154D37A3"/>
    <w:rsid w:val="155139E2"/>
    <w:rsid w:val="15524865"/>
    <w:rsid w:val="15587604"/>
    <w:rsid w:val="155C2C83"/>
    <w:rsid w:val="15676159"/>
    <w:rsid w:val="156D072A"/>
    <w:rsid w:val="1572500A"/>
    <w:rsid w:val="15764F39"/>
    <w:rsid w:val="157934AF"/>
    <w:rsid w:val="157B43F0"/>
    <w:rsid w:val="15893110"/>
    <w:rsid w:val="15960D8B"/>
    <w:rsid w:val="15961A62"/>
    <w:rsid w:val="15973CD3"/>
    <w:rsid w:val="159913E2"/>
    <w:rsid w:val="159F0758"/>
    <w:rsid w:val="15A11605"/>
    <w:rsid w:val="15A51684"/>
    <w:rsid w:val="15AE23A7"/>
    <w:rsid w:val="15AE5A2A"/>
    <w:rsid w:val="15B2391F"/>
    <w:rsid w:val="15B57024"/>
    <w:rsid w:val="15B8186D"/>
    <w:rsid w:val="15BD4BC7"/>
    <w:rsid w:val="15CD4B5C"/>
    <w:rsid w:val="15D01D2E"/>
    <w:rsid w:val="15D12EEA"/>
    <w:rsid w:val="15D53223"/>
    <w:rsid w:val="15D93973"/>
    <w:rsid w:val="15DB6BA7"/>
    <w:rsid w:val="15E51EFC"/>
    <w:rsid w:val="15E64B1E"/>
    <w:rsid w:val="15E77A08"/>
    <w:rsid w:val="15E80D2A"/>
    <w:rsid w:val="15EC072E"/>
    <w:rsid w:val="15ED5A4B"/>
    <w:rsid w:val="15FC2C1D"/>
    <w:rsid w:val="16011F3B"/>
    <w:rsid w:val="160173A4"/>
    <w:rsid w:val="16023110"/>
    <w:rsid w:val="160231E4"/>
    <w:rsid w:val="16034249"/>
    <w:rsid w:val="16036B03"/>
    <w:rsid w:val="16043418"/>
    <w:rsid w:val="16061B5B"/>
    <w:rsid w:val="1607182E"/>
    <w:rsid w:val="160918FD"/>
    <w:rsid w:val="160A5A43"/>
    <w:rsid w:val="16112098"/>
    <w:rsid w:val="16190606"/>
    <w:rsid w:val="16194E7D"/>
    <w:rsid w:val="161A778D"/>
    <w:rsid w:val="16203EC4"/>
    <w:rsid w:val="162053F8"/>
    <w:rsid w:val="16213A7F"/>
    <w:rsid w:val="16221031"/>
    <w:rsid w:val="162259A3"/>
    <w:rsid w:val="16232CFD"/>
    <w:rsid w:val="162B362B"/>
    <w:rsid w:val="162D080B"/>
    <w:rsid w:val="16351982"/>
    <w:rsid w:val="163B674D"/>
    <w:rsid w:val="1641619A"/>
    <w:rsid w:val="164237EF"/>
    <w:rsid w:val="164B5794"/>
    <w:rsid w:val="164E2858"/>
    <w:rsid w:val="16530063"/>
    <w:rsid w:val="16534BCF"/>
    <w:rsid w:val="16563EB0"/>
    <w:rsid w:val="165847E0"/>
    <w:rsid w:val="165C36C0"/>
    <w:rsid w:val="165F1030"/>
    <w:rsid w:val="166C5388"/>
    <w:rsid w:val="1673311A"/>
    <w:rsid w:val="16743249"/>
    <w:rsid w:val="167741E6"/>
    <w:rsid w:val="16776C7C"/>
    <w:rsid w:val="168040E8"/>
    <w:rsid w:val="168B4715"/>
    <w:rsid w:val="168E23A9"/>
    <w:rsid w:val="16A663EC"/>
    <w:rsid w:val="16A95CC6"/>
    <w:rsid w:val="16B76558"/>
    <w:rsid w:val="16BB623C"/>
    <w:rsid w:val="16BD0BEB"/>
    <w:rsid w:val="16C040BD"/>
    <w:rsid w:val="16C25222"/>
    <w:rsid w:val="16C84A44"/>
    <w:rsid w:val="16CC4555"/>
    <w:rsid w:val="16CD237E"/>
    <w:rsid w:val="16D46F94"/>
    <w:rsid w:val="16DA0E88"/>
    <w:rsid w:val="16DB7B11"/>
    <w:rsid w:val="16DE7E26"/>
    <w:rsid w:val="16E10CF1"/>
    <w:rsid w:val="16EA2ED9"/>
    <w:rsid w:val="16EB721F"/>
    <w:rsid w:val="16ED00D9"/>
    <w:rsid w:val="16F505A2"/>
    <w:rsid w:val="16F67708"/>
    <w:rsid w:val="16F72427"/>
    <w:rsid w:val="16F75E6A"/>
    <w:rsid w:val="17023A69"/>
    <w:rsid w:val="170603F7"/>
    <w:rsid w:val="17077BDC"/>
    <w:rsid w:val="17092D07"/>
    <w:rsid w:val="170B3FFE"/>
    <w:rsid w:val="170D7EBF"/>
    <w:rsid w:val="170F05E2"/>
    <w:rsid w:val="170F4DE9"/>
    <w:rsid w:val="171F369C"/>
    <w:rsid w:val="172726B1"/>
    <w:rsid w:val="172A4525"/>
    <w:rsid w:val="172D7FBA"/>
    <w:rsid w:val="173100A2"/>
    <w:rsid w:val="173201E7"/>
    <w:rsid w:val="17371721"/>
    <w:rsid w:val="173C3268"/>
    <w:rsid w:val="17413469"/>
    <w:rsid w:val="174719FA"/>
    <w:rsid w:val="1747470D"/>
    <w:rsid w:val="17496CE7"/>
    <w:rsid w:val="17513663"/>
    <w:rsid w:val="1754296F"/>
    <w:rsid w:val="175B3221"/>
    <w:rsid w:val="175C6FCF"/>
    <w:rsid w:val="17621497"/>
    <w:rsid w:val="176A0009"/>
    <w:rsid w:val="176D7F28"/>
    <w:rsid w:val="17747661"/>
    <w:rsid w:val="177E656B"/>
    <w:rsid w:val="17810618"/>
    <w:rsid w:val="17852D5E"/>
    <w:rsid w:val="178A0D72"/>
    <w:rsid w:val="178D7B30"/>
    <w:rsid w:val="178F00B5"/>
    <w:rsid w:val="179B27E2"/>
    <w:rsid w:val="17A33720"/>
    <w:rsid w:val="17A44F3D"/>
    <w:rsid w:val="17A7396B"/>
    <w:rsid w:val="17AA44B3"/>
    <w:rsid w:val="17B10281"/>
    <w:rsid w:val="17B224BB"/>
    <w:rsid w:val="17BB6763"/>
    <w:rsid w:val="17C92CD3"/>
    <w:rsid w:val="17D463A1"/>
    <w:rsid w:val="17D92D6F"/>
    <w:rsid w:val="17DA2322"/>
    <w:rsid w:val="17E2320F"/>
    <w:rsid w:val="17E56FCB"/>
    <w:rsid w:val="17F00F48"/>
    <w:rsid w:val="17F035C1"/>
    <w:rsid w:val="17F3078A"/>
    <w:rsid w:val="17F30D69"/>
    <w:rsid w:val="17F31453"/>
    <w:rsid w:val="17F91B6A"/>
    <w:rsid w:val="1800360E"/>
    <w:rsid w:val="1801741B"/>
    <w:rsid w:val="180B5EBB"/>
    <w:rsid w:val="1812061F"/>
    <w:rsid w:val="1816180F"/>
    <w:rsid w:val="181B0BD3"/>
    <w:rsid w:val="181B3E53"/>
    <w:rsid w:val="181B4217"/>
    <w:rsid w:val="181D3CED"/>
    <w:rsid w:val="18224BCD"/>
    <w:rsid w:val="18251B7B"/>
    <w:rsid w:val="18270857"/>
    <w:rsid w:val="182C7ACB"/>
    <w:rsid w:val="182D7189"/>
    <w:rsid w:val="183143F2"/>
    <w:rsid w:val="18372271"/>
    <w:rsid w:val="183D34E2"/>
    <w:rsid w:val="183F50CF"/>
    <w:rsid w:val="18552079"/>
    <w:rsid w:val="185D08B6"/>
    <w:rsid w:val="1865226A"/>
    <w:rsid w:val="18686458"/>
    <w:rsid w:val="1869295F"/>
    <w:rsid w:val="186C5590"/>
    <w:rsid w:val="18772B90"/>
    <w:rsid w:val="187757C3"/>
    <w:rsid w:val="187E6D43"/>
    <w:rsid w:val="188A61A6"/>
    <w:rsid w:val="188D2D4C"/>
    <w:rsid w:val="188F2A34"/>
    <w:rsid w:val="1891695B"/>
    <w:rsid w:val="189A11A7"/>
    <w:rsid w:val="18A55602"/>
    <w:rsid w:val="18A63B1B"/>
    <w:rsid w:val="18A73CB7"/>
    <w:rsid w:val="18AB6ED4"/>
    <w:rsid w:val="18AE2C2B"/>
    <w:rsid w:val="18B269E3"/>
    <w:rsid w:val="18B46C94"/>
    <w:rsid w:val="18BD3A46"/>
    <w:rsid w:val="18BE1B48"/>
    <w:rsid w:val="18BF664C"/>
    <w:rsid w:val="18C200BC"/>
    <w:rsid w:val="18C22012"/>
    <w:rsid w:val="18C555F1"/>
    <w:rsid w:val="18CD4E1E"/>
    <w:rsid w:val="18CE3B64"/>
    <w:rsid w:val="18D7310E"/>
    <w:rsid w:val="18DC1A22"/>
    <w:rsid w:val="18DF2B3E"/>
    <w:rsid w:val="18DF6362"/>
    <w:rsid w:val="18E15F99"/>
    <w:rsid w:val="18E234C2"/>
    <w:rsid w:val="18E43F88"/>
    <w:rsid w:val="18E45E01"/>
    <w:rsid w:val="18E81E79"/>
    <w:rsid w:val="18EE25E7"/>
    <w:rsid w:val="18F05786"/>
    <w:rsid w:val="18F10D76"/>
    <w:rsid w:val="18F31039"/>
    <w:rsid w:val="18F67451"/>
    <w:rsid w:val="18F72732"/>
    <w:rsid w:val="18FA6A3B"/>
    <w:rsid w:val="19030A48"/>
    <w:rsid w:val="19093F9D"/>
    <w:rsid w:val="190D6869"/>
    <w:rsid w:val="191A20F8"/>
    <w:rsid w:val="191B54A3"/>
    <w:rsid w:val="192F05BC"/>
    <w:rsid w:val="19310BFF"/>
    <w:rsid w:val="1934341E"/>
    <w:rsid w:val="19380FFA"/>
    <w:rsid w:val="193A0FEF"/>
    <w:rsid w:val="193D3923"/>
    <w:rsid w:val="193E3016"/>
    <w:rsid w:val="193F113F"/>
    <w:rsid w:val="19453326"/>
    <w:rsid w:val="194A6474"/>
    <w:rsid w:val="194C318E"/>
    <w:rsid w:val="194E5531"/>
    <w:rsid w:val="1952287E"/>
    <w:rsid w:val="19545179"/>
    <w:rsid w:val="195F7593"/>
    <w:rsid w:val="19622704"/>
    <w:rsid w:val="19627512"/>
    <w:rsid w:val="19687A86"/>
    <w:rsid w:val="196D15A2"/>
    <w:rsid w:val="19754F1F"/>
    <w:rsid w:val="197767BE"/>
    <w:rsid w:val="198E2F12"/>
    <w:rsid w:val="1991796E"/>
    <w:rsid w:val="19957C30"/>
    <w:rsid w:val="19962DC6"/>
    <w:rsid w:val="199A3C19"/>
    <w:rsid w:val="19A115C3"/>
    <w:rsid w:val="19A823AD"/>
    <w:rsid w:val="19AC242B"/>
    <w:rsid w:val="19B00101"/>
    <w:rsid w:val="19B70356"/>
    <w:rsid w:val="19BA400D"/>
    <w:rsid w:val="19BB4A16"/>
    <w:rsid w:val="19C305FD"/>
    <w:rsid w:val="19C45ED3"/>
    <w:rsid w:val="19C5080C"/>
    <w:rsid w:val="19C67F5E"/>
    <w:rsid w:val="19CF3BF0"/>
    <w:rsid w:val="19D66D6A"/>
    <w:rsid w:val="19D90B53"/>
    <w:rsid w:val="19DF4B45"/>
    <w:rsid w:val="19E569C0"/>
    <w:rsid w:val="19EA6C77"/>
    <w:rsid w:val="19F66BED"/>
    <w:rsid w:val="19FD114C"/>
    <w:rsid w:val="19FD4AD2"/>
    <w:rsid w:val="19FE0A33"/>
    <w:rsid w:val="19FE6544"/>
    <w:rsid w:val="1A007445"/>
    <w:rsid w:val="1A10460D"/>
    <w:rsid w:val="1A2417BC"/>
    <w:rsid w:val="1A2753D8"/>
    <w:rsid w:val="1A2D2B26"/>
    <w:rsid w:val="1A2E1080"/>
    <w:rsid w:val="1A2E496A"/>
    <w:rsid w:val="1A3E5828"/>
    <w:rsid w:val="1A412C66"/>
    <w:rsid w:val="1A4607AD"/>
    <w:rsid w:val="1A483803"/>
    <w:rsid w:val="1A49083D"/>
    <w:rsid w:val="1A4A31EE"/>
    <w:rsid w:val="1A4A4F5E"/>
    <w:rsid w:val="1A4E251D"/>
    <w:rsid w:val="1A4E75DC"/>
    <w:rsid w:val="1A4F6E9B"/>
    <w:rsid w:val="1A5846FD"/>
    <w:rsid w:val="1A5B4572"/>
    <w:rsid w:val="1A5D69BE"/>
    <w:rsid w:val="1A5F66DA"/>
    <w:rsid w:val="1A644F00"/>
    <w:rsid w:val="1A6718E2"/>
    <w:rsid w:val="1A6C7461"/>
    <w:rsid w:val="1A6F56C6"/>
    <w:rsid w:val="1A715A68"/>
    <w:rsid w:val="1A795610"/>
    <w:rsid w:val="1A7E0B1D"/>
    <w:rsid w:val="1A83640C"/>
    <w:rsid w:val="1A852F95"/>
    <w:rsid w:val="1A8D2305"/>
    <w:rsid w:val="1A8F121D"/>
    <w:rsid w:val="1A944281"/>
    <w:rsid w:val="1A9772D1"/>
    <w:rsid w:val="1AA53750"/>
    <w:rsid w:val="1AAB0107"/>
    <w:rsid w:val="1AB34EE9"/>
    <w:rsid w:val="1AB55270"/>
    <w:rsid w:val="1ABD4834"/>
    <w:rsid w:val="1ACA6D52"/>
    <w:rsid w:val="1AD06A20"/>
    <w:rsid w:val="1ADA1A31"/>
    <w:rsid w:val="1AE152DF"/>
    <w:rsid w:val="1AE23F35"/>
    <w:rsid w:val="1AEE322F"/>
    <w:rsid w:val="1AF17105"/>
    <w:rsid w:val="1AF24FA9"/>
    <w:rsid w:val="1AF26C51"/>
    <w:rsid w:val="1B026A6B"/>
    <w:rsid w:val="1B03074C"/>
    <w:rsid w:val="1B0420E3"/>
    <w:rsid w:val="1B092C3C"/>
    <w:rsid w:val="1B110610"/>
    <w:rsid w:val="1B116344"/>
    <w:rsid w:val="1B121564"/>
    <w:rsid w:val="1B126D5F"/>
    <w:rsid w:val="1B1E1106"/>
    <w:rsid w:val="1B216EA3"/>
    <w:rsid w:val="1B263F79"/>
    <w:rsid w:val="1B290064"/>
    <w:rsid w:val="1B2D762D"/>
    <w:rsid w:val="1B2E6E70"/>
    <w:rsid w:val="1B303A2F"/>
    <w:rsid w:val="1B3703AA"/>
    <w:rsid w:val="1B392E25"/>
    <w:rsid w:val="1B3E47EC"/>
    <w:rsid w:val="1B411FF1"/>
    <w:rsid w:val="1B4346C9"/>
    <w:rsid w:val="1B511030"/>
    <w:rsid w:val="1B521D20"/>
    <w:rsid w:val="1B595142"/>
    <w:rsid w:val="1B5A2D6C"/>
    <w:rsid w:val="1B5E2232"/>
    <w:rsid w:val="1B5F5C3F"/>
    <w:rsid w:val="1B654C77"/>
    <w:rsid w:val="1B707054"/>
    <w:rsid w:val="1B746CC9"/>
    <w:rsid w:val="1B7844F1"/>
    <w:rsid w:val="1B7C3B9A"/>
    <w:rsid w:val="1B837461"/>
    <w:rsid w:val="1B9263BB"/>
    <w:rsid w:val="1B942014"/>
    <w:rsid w:val="1BA263B5"/>
    <w:rsid w:val="1BA611B3"/>
    <w:rsid w:val="1BA63671"/>
    <w:rsid w:val="1BA63A99"/>
    <w:rsid w:val="1BAC2EB7"/>
    <w:rsid w:val="1BAE7405"/>
    <w:rsid w:val="1BB31012"/>
    <w:rsid w:val="1BB866E5"/>
    <w:rsid w:val="1BBE01B7"/>
    <w:rsid w:val="1BC20968"/>
    <w:rsid w:val="1BC81809"/>
    <w:rsid w:val="1BCC438B"/>
    <w:rsid w:val="1BCD3A0C"/>
    <w:rsid w:val="1BCF48AD"/>
    <w:rsid w:val="1BCF7509"/>
    <w:rsid w:val="1BD0068D"/>
    <w:rsid w:val="1BD04F6A"/>
    <w:rsid w:val="1BD43D6F"/>
    <w:rsid w:val="1BD640AB"/>
    <w:rsid w:val="1BD80767"/>
    <w:rsid w:val="1BDA6798"/>
    <w:rsid w:val="1BE76BBF"/>
    <w:rsid w:val="1BEA241A"/>
    <w:rsid w:val="1BEC71F7"/>
    <w:rsid w:val="1BEF2880"/>
    <w:rsid w:val="1BFB613D"/>
    <w:rsid w:val="1BFE0C1D"/>
    <w:rsid w:val="1C033E58"/>
    <w:rsid w:val="1C04453C"/>
    <w:rsid w:val="1C0843E9"/>
    <w:rsid w:val="1C0C0997"/>
    <w:rsid w:val="1C116F4A"/>
    <w:rsid w:val="1C1861E5"/>
    <w:rsid w:val="1C193E35"/>
    <w:rsid w:val="1C1E1760"/>
    <w:rsid w:val="1C20692A"/>
    <w:rsid w:val="1C2413EE"/>
    <w:rsid w:val="1C247A92"/>
    <w:rsid w:val="1C272C33"/>
    <w:rsid w:val="1C2A0020"/>
    <w:rsid w:val="1C2A61BD"/>
    <w:rsid w:val="1C2C6D87"/>
    <w:rsid w:val="1C2D320E"/>
    <w:rsid w:val="1C302075"/>
    <w:rsid w:val="1C333F03"/>
    <w:rsid w:val="1C36152F"/>
    <w:rsid w:val="1C452F11"/>
    <w:rsid w:val="1C454FEB"/>
    <w:rsid w:val="1C4B1161"/>
    <w:rsid w:val="1C4B7F03"/>
    <w:rsid w:val="1C4D661D"/>
    <w:rsid w:val="1C4E0439"/>
    <w:rsid w:val="1C4E1767"/>
    <w:rsid w:val="1C566963"/>
    <w:rsid w:val="1C5A1415"/>
    <w:rsid w:val="1C5D1E98"/>
    <w:rsid w:val="1C613365"/>
    <w:rsid w:val="1C615B56"/>
    <w:rsid w:val="1C627F90"/>
    <w:rsid w:val="1C68289B"/>
    <w:rsid w:val="1C7F4074"/>
    <w:rsid w:val="1C8E6BB2"/>
    <w:rsid w:val="1C901FF7"/>
    <w:rsid w:val="1C93489E"/>
    <w:rsid w:val="1CA4007E"/>
    <w:rsid w:val="1CA74DBD"/>
    <w:rsid w:val="1CA83A22"/>
    <w:rsid w:val="1CA963D0"/>
    <w:rsid w:val="1CB47592"/>
    <w:rsid w:val="1CBA1AB0"/>
    <w:rsid w:val="1CC13810"/>
    <w:rsid w:val="1CC41FB4"/>
    <w:rsid w:val="1CE30F3F"/>
    <w:rsid w:val="1CE42C15"/>
    <w:rsid w:val="1CE434AC"/>
    <w:rsid w:val="1CE532F1"/>
    <w:rsid w:val="1CEB4179"/>
    <w:rsid w:val="1CEF112C"/>
    <w:rsid w:val="1CF3481A"/>
    <w:rsid w:val="1CF7495E"/>
    <w:rsid w:val="1D03270B"/>
    <w:rsid w:val="1D0702DD"/>
    <w:rsid w:val="1D0A1B9E"/>
    <w:rsid w:val="1D0B1F78"/>
    <w:rsid w:val="1D0D48FC"/>
    <w:rsid w:val="1D112AF3"/>
    <w:rsid w:val="1D1A06C8"/>
    <w:rsid w:val="1D1A579C"/>
    <w:rsid w:val="1D31174A"/>
    <w:rsid w:val="1D372040"/>
    <w:rsid w:val="1D3745A1"/>
    <w:rsid w:val="1D384BE7"/>
    <w:rsid w:val="1D3C792F"/>
    <w:rsid w:val="1D501ED4"/>
    <w:rsid w:val="1D6209BA"/>
    <w:rsid w:val="1D670B11"/>
    <w:rsid w:val="1D674387"/>
    <w:rsid w:val="1D691F1B"/>
    <w:rsid w:val="1D6928C0"/>
    <w:rsid w:val="1D6B25A8"/>
    <w:rsid w:val="1D6C6DDD"/>
    <w:rsid w:val="1D7136CB"/>
    <w:rsid w:val="1D741834"/>
    <w:rsid w:val="1D77409C"/>
    <w:rsid w:val="1D7E12B4"/>
    <w:rsid w:val="1D837FA1"/>
    <w:rsid w:val="1D8430A8"/>
    <w:rsid w:val="1D853633"/>
    <w:rsid w:val="1D8B0823"/>
    <w:rsid w:val="1D8B47EF"/>
    <w:rsid w:val="1D8D5E5F"/>
    <w:rsid w:val="1D904ED7"/>
    <w:rsid w:val="1D907F18"/>
    <w:rsid w:val="1D947CB0"/>
    <w:rsid w:val="1D9749D4"/>
    <w:rsid w:val="1D987C4F"/>
    <w:rsid w:val="1D9D69E2"/>
    <w:rsid w:val="1DA80D08"/>
    <w:rsid w:val="1DA80D48"/>
    <w:rsid w:val="1DA86E84"/>
    <w:rsid w:val="1DAC61B3"/>
    <w:rsid w:val="1DAD0B65"/>
    <w:rsid w:val="1DB67C31"/>
    <w:rsid w:val="1DB86EF4"/>
    <w:rsid w:val="1DB938E7"/>
    <w:rsid w:val="1DC07D0E"/>
    <w:rsid w:val="1DD221BC"/>
    <w:rsid w:val="1DD31FB4"/>
    <w:rsid w:val="1DDD022F"/>
    <w:rsid w:val="1DE72BC8"/>
    <w:rsid w:val="1DE7676B"/>
    <w:rsid w:val="1DEC24A8"/>
    <w:rsid w:val="1DED6EE8"/>
    <w:rsid w:val="1DF132A0"/>
    <w:rsid w:val="1DF5255F"/>
    <w:rsid w:val="1DF87FAF"/>
    <w:rsid w:val="1DFC7AF4"/>
    <w:rsid w:val="1DFD4A3C"/>
    <w:rsid w:val="1DFE7F2A"/>
    <w:rsid w:val="1E0A2DBB"/>
    <w:rsid w:val="1E0B4EFF"/>
    <w:rsid w:val="1E11411D"/>
    <w:rsid w:val="1E122264"/>
    <w:rsid w:val="1E17741C"/>
    <w:rsid w:val="1E195BBA"/>
    <w:rsid w:val="1E1E62AB"/>
    <w:rsid w:val="1E256393"/>
    <w:rsid w:val="1E29138B"/>
    <w:rsid w:val="1E2C6393"/>
    <w:rsid w:val="1E2F376C"/>
    <w:rsid w:val="1E31444D"/>
    <w:rsid w:val="1E346479"/>
    <w:rsid w:val="1E3C7335"/>
    <w:rsid w:val="1E3E2A0F"/>
    <w:rsid w:val="1E3F0CDB"/>
    <w:rsid w:val="1E494AE4"/>
    <w:rsid w:val="1E4B7669"/>
    <w:rsid w:val="1E4E1FF4"/>
    <w:rsid w:val="1E5064A0"/>
    <w:rsid w:val="1E511ADF"/>
    <w:rsid w:val="1E575635"/>
    <w:rsid w:val="1E60793C"/>
    <w:rsid w:val="1E64011C"/>
    <w:rsid w:val="1E696FBB"/>
    <w:rsid w:val="1E6D49E7"/>
    <w:rsid w:val="1E7B73A9"/>
    <w:rsid w:val="1E7D7138"/>
    <w:rsid w:val="1E8248F5"/>
    <w:rsid w:val="1E883C10"/>
    <w:rsid w:val="1E9033DB"/>
    <w:rsid w:val="1E9035AB"/>
    <w:rsid w:val="1E947935"/>
    <w:rsid w:val="1E9C6AF6"/>
    <w:rsid w:val="1EA05330"/>
    <w:rsid w:val="1EA21727"/>
    <w:rsid w:val="1EA71D10"/>
    <w:rsid w:val="1EB01A6C"/>
    <w:rsid w:val="1EB67F37"/>
    <w:rsid w:val="1EBE6D30"/>
    <w:rsid w:val="1ED008C9"/>
    <w:rsid w:val="1ED14F66"/>
    <w:rsid w:val="1ED25487"/>
    <w:rsid w:val="1ED3082D"/>
    <w:rsid w:val="1ED76B7F"/>
    <w:rsid w:val="1EDF0126"/>
    <w:rsid w:val="1EEB4E7D"/>
    <w:rsid w:val="1EEC15D2"/>
    <w:rsid w:val="1EEF63AC"/>
    <w:rsid w:val="1EF05338"/>
    <w:rsid w:val="1EF20898"/>
    <w:rsid w:val="1EF56BBD"/>
    <w:rsid w:val="1F0472DF"/>
    <w:rsid w:val="1F082B91"/>
    <w:rsid w:val="1F0975C3"/>
    <w:rsid w:val="1F0A0660"/>
    <w:rsid w:val="1F1E5ADC"/>
    <w:rsid w:val="1F220D31"/>
    <w:rsid w:val="1F255F5A"/>
    <w:rsid w:val="1F3219DB"/>
    <w:rsid w:val="1F331A4B"/>
    <w:rsid w:val="1F3726CC"/>
    <w:rsid w:val="1F455A42"/>
    <w:rsid w:val="1F4B65F7"/>
    <w:rsid w:val="1F500DAD"/>
    <w:rsid w:val="1F5A3B8D"/>
    <w:rsid w:val="1F5B0AC1"/>
    <w:rsid w:val="1F5C6861"/>
    <w:rsid w:val="1F6061DE"/>
    <w:rsid w:val="1F64749D"/>
    <w:rsid w:val="1F693A8C"/>
    <w:rsid w:val="1F6C21A7"/>
    <w:rsid w:val="1F7233C0"/>
    <w:rsid w:val="1F746DE7"/>
    <w:rsid w:val="1F793D70"/>
    <w:rsid w:val="1F7C23DB"/>
    <w:rsid w:val="1F7D12DD"/>
    <w:rsid w:val="1F887371"/>
    <w:rsid w:val="1F8F20BB"/>
    <w:rsid w:val="1F906E3A"/>
    <w:rsid w:val="1F9377BA"/>
    <w:rsid w:val="1F961791"/>
    <w:rsid w:val="1F962197"/>
    <w:rsid w:val="1F9912C2"/>
    <w:rsid w:val="1F9A1E3A"/>
    <w:rsid w:val="1F9A5A35"/>
    <w:rsid w:val="1FA04176"/>
    <w:rsid w:val="1FA70A40"/>
    <w:rsid w:val="1FAF076D"/>
    <w:rsid w:val="1FAF5F04"/>
    <w:rsid w:val="1FB30408"/>
    <w:rsid w:val="1FB8689C"/>
    <w:rsid w:val="1FC05D07"/>
    <w:rsid w:val="1FC57EA9"/>
    <w:rsid w:val="1FCA08D1"/>
    <w:rsid w:val="1FCA51FB"/>
    <w:rsid w:val="1FCC2398"/>
    <w:rsid w:val="1FD10C31"/>
    <w:rsid w:val="1FD200C0"/>
    <w:rsid w:val="1FD21D12"/>
    <w:rsid w:val="1FD40B49"/>
    <w:rsid w:val="1FD517D5"/>
    <w:rsid w:val="1FE81C1F"/>
    <w:rsid w:val="1FE85837"/>
    <w:rsid w:val="1FEA4520"/>
    <w:rsid w:val="1FEC0B76"/>
    <w:rsid w:val="1FED41D1"/>
    <w:rsid w:val="1FF130D5"/>
    <w:rsid w:val="1FF26281"/>
    <w:rsid w:val="1FF52977"/>
    <w:rsid w:val="200264B2"/>
    <w:rsid w:val="20040087"/>
    <w:rsid w:val="200B4911"/>
    <w:rsid w:val="200F5BE3"/>
    <w:rsid w:val="20103F6E"/>
    <w:rsid w:val="20133624"/>
    <w:rsid w:val="20146B23"/>
    <w:rsid w:val="2018347A"/>
    <w:rsid w:val="20187384"/>
    <w:rsid w:val="201D2869"/>
    <w:rsid w:val="20214135"/>
    <w:rsid w:val="20235887"/>
    <w:rsid w:val="20244283"/>
    <w:rsid w:val="202D6893"/>
    <w:rsid w:val="203B65D7"/>
    <w:rsid w:val="203E1470"/>
    <w:rsid w:val="2045527D"/>
    <w:rsid w:val="204661BF"/>
    <w:rsid w:val="204C2376"/>
    <w:rsid w:val="204D5593"/>
    <w:rsid w:val="20505BBA"/>
    <w:rsid w:val="2056098F"/>
    <w:rsid w:val="20605D0D"/>
    <w:rsid w:val="2063689C"/>
    <w:rsid w:val="206400C3"/>
    <w:rsid w:val="20644559"/>
    <w:rsid w:val="20670855"/>
    <w:rsid w:val="206A174D"/>
    <w:rsid w:val="207343E6"/>
    <w:rsid w:val="20744B75"/>
    <w:rsid w:val="20763016"/>
    <w:rsid w:val="207F61D4"/>
    <w:rsid w:val="20803812"/>
    <w:rsid w:val="208231B5"/>
    <w:rsid w:val="208415E7"/>
    <w:rsid w:val="208428E3"/>
    <w:rsid w:val="208B4BBB"/>
    <w:rsid w:val="208C4FBD"/>
    <w:rsid w:val="209606AC"/>
    <w:rsid w:val="20975290"/>
    <w:rsid w:val="20B12644"/>
    <w:rsid w:val="20B71B6B"/>
    <w:rsid w:val="20BB0D03"/>
    <w:rsid w:val="20C6039C"/>
    <w:rsid w:val="20D25604"/>
    <w:rsid w:val="20D32BB7"/>
    <w:rsid w:val="20D63451"/>
    <w:rsid w:val="20D768D1"/>
    <w:rsid w:val="20D80906"/>
    <w:rsid w:val="20D96B41"/>
    <w:rsid w:val="20DA2458"/>
    <w:rsid w:val="20DD1E96"/>
    <w:rsid w:val="20E36186"/>
    <w:rsid w:val="20E92EF7"/>
    <w:rsid w:val="20EC7327"/>
    <w:rsid w:val="20F37BF6"/>
    <w:rsid w:val="20F46D36"/>
    <w:rsid w:val="20F54568"/>
    <w:rsid w:val="20F92C90"/>
    <w:rsid w:val="20F96BC9"/>
    <w:rsid w:val="20FF1FF0"/>
    <w:rsid w:val="21000686"/>
    <w:rsid w:val="211665CA"/>
    <w:rsid w:val="211929D2"/>
    <w:rsid w:val="211974E9"/>
    <w:rsid w:val="211C15B2"/>
    <w:rsid w:val="211E1FFD"/>
    <w:rsid w:val="21224076"/>
    <w:rsid w:val="212757D9"/>
    <w:rsid w:val="212A03E1"/>
    <w:rsid w:val="212A29BC"/>
    <w:rsid w:val="212D5300"/>
    <w:rsid w:val="212F0781"/>
    <w:rsid w:val="213610F7"/>
    <w:rsid w:val="213A22DB"/>
    <w:rsid w:val="214F6905"/>
    <w:rsid w:val="2151330A"/>
    <w:rsid w:val="21580208"/>
    <w:rsid w:val="21616198"/>
    <w:rsid w:val="21617909"/>
    <w:rsid w:val="216424F2"/>
    <w:rsid w:val="21685FEF"/>
    <w:rsid w:val="21690976"/>
    <w:rsid w:val="216D5902"/>
    <w:rsid w:val="21700F9F"/>
    <w:rsid w:val="217A6ACB"/>
    <w:rsid w:val="217E1819"/>
    <w:rsid w:val="217E3138"/>
    <w:rsid w:val="217E4496"/>
    <w:rsid w:val="2182135D"/>
    <w:rsid w:val="218477E9"/>
    <w:rsid w:val="219367DB"/>
    <w:rsid w:val="219945A5"/>
    <w:rsid w:val="219F60BB"/>
    <w:rsid w:val="21A200B5"/>
    <w:rsid w:val="21A53649"/>
    <w:rsid w:val="21A64EFE"/>
    <w:rsid w:val="21B140C8"/>
    <w:rsid w:val="21C82EFF"/>
    <w:rsid w:val="21C91D98"/>
    <w:rsid w:val="21D241C3"/>
    <w:rsid w:val="21D941D2"/>
    <w:rsid w:val="21DA5B3D"/>
    <w:rsid w:val="21E00C53"/>
    <w:rsid w:val="21E83F50"/>
    <w:rsid w:val="21EA4C68"/>
    <w:rsid w:val="21EC7A6A"/>
    <w:rsid w:val="21F23862"/>
    <w:rsid w:val="21F569C9"/>
    <w:rsid w:val="21FB4F40"/>
    <w:rsid w:val="21FE059F"/>
    <w:rsid w:val="21FE20DB"/>
    <w:rsid w:val="22034C35"/>
    <w:rsid w:val="220410CA"/>
    <w:rsid w:val="2204304E"/>
    <w:rsid w:val="22090841"/>
    <w:rsid w:val="220A5F40"/>
    <w:rsid w:val="220D0D94"/>
    <w:rsid w:val="220E0B12"/>
    <w:rsid w:val="22210861"/>
    <w:rsid w:val="222155FF"/>
    <w:rsid w:val="22234E00"/>
    <w:rsid w:val="22284E63"/>
    <w:rsid w:val="22293A5E"/>
    <w:rsid w:val="22330863"/>
    <w:rsid w:val="22371A51"/>
    <w:rsid w:val="22384994"/>
    <w:rsid w:val="224C1FC3"/>
    <w:rsid w:val="224D701B"/>
    <w:rsid w:val="225C00DC"/>
    <w:rsid w:val="2262204C"/>
    <w:rsid w:val="22627DAF"/>
    <w:rsid w:val="22670177"/>
    <w:rsid w:val="226A285B"/>
    <w:rsid w:val="227061CA"/>
    <w:rsid w:val="2270753A"/>
    <w:rsid w:val="22742085"/>
    <w:rsid w:val="227D71B5"/>
    <w:rsid w:val="22823DD4"/>
    <w:rsid w:val="2285525B"/>
    <w:rsid w:val="228D4154"/>
    <w:rsid w:val="228E78D6"/>
    <w:rsid w:val="229047D0"/>
    <w:rsid w:val="229A284A"/>
    <w:rsid w:val="22A0592E"/>
    <w:rsid w:val="22A06449"/>
    <w:rsid w:val="22A06A92"/>
    <w:rsid w:val="22A16179"/>
    <w:rsid w:val="22A25B85"/>
    <w:rsid w:val="22A35CB5"/>
    <w:rsid w:val="22A855AA"/>
    <w:rsid w:val="22AA2C67"/>
    <w:rsid w:val="22B12116"/>
    <w:rsid w:val="22B345A3"/>
    <w:rsid w:val="22C06220"/>
    <w:rsid w:val="22C742FA"/>
    <w:rsid w:val="22CD203B"/>
    <w:rsid w:val="22D226CB"/>
    <w:rsid w:val="22D36A05"/>
    <w:rsid w:val="22D36C8C"/>
    <w:rsid w:val="22DB5FB9"/>
    <w:rsid w:val="22E87A62"/>
    <w:rsid w:val="22EA5C2F"/>
    <w:rsid w:val="22EC3EF5"/>
    <w:rsid w:val="22ED566F"/>
    <w:rsid w:val="22FA5834"/>
    <w:rsid w:val="230839FC"/>
    <w:rsid w:val="2314691E"/>
    <w:rsid w:val="2316141D"/>
    <w:rsid w:val="2318065D"/>
    <w:rsid w:val="231E2831"/>
    <w:rsid w:val="23232128"/>
    <w:rsid w:val="23247529"/>
    <w:rsid w:val="2326270D"/>
    <w:rsid w:val="23290648"/>
    <w:rsid w:val="23340A3D"/>
    <w:rsid w:val="23362DF7"/>
    <w:rsid w:val="233E3ECE"/>
    <w:rsid w:val="233E6594"/>
    <w:rsid w:val="23470D04"/>
    <w:rsid w:val="234A449F"/>
    <w:rsid w:val="234A756B"/>
    <w:rsid w:val="234C1AB4"/>
    <w:rsid w:val="234D075F"/>
    <w:rsid w:val="23554005"/>
    <w:rsid w:val="235B7C1B"/>
    <w:rsid w:val="235D6576"/>
    <w:rsid w:val="235E4DA3"/>
    <w:rsid w:val="236115DD"/>
    <w:rsid w:val="23621DAC"/>
    <w:rsid w:val="236F3EA9"/>
    <w:rsid w:val="2377256D"/>
    <w:rsid w:val="237E5CCB"/>
    <w:rsid w:val="238146A2"/>
    <w:rsid w:val="238767A9"/>
    <w:rsid w:val="23881703"/>
    <w:rsid w:val="23897406"/>
    <w:rsid w:val="238976EE"/>
    <w:rsid w:val="238E39AC"/>
    <w:rsid w:val="238E4E19"/>
    <w:rsid w:val="23900F76"/>
    <w:rsid w:val="2397141A"/>
    <w:rsid w:val="2398045C"/>
    <w:rsid w:val="23A3212E"/>
    <w:rsid w:val="23A32E0B"/>
    <w:rsid w:val="23AB5ACB"/>
    <w:rsid w:val="23AE2D05"/>
    <w:rsid w:val="23AE654C"/>
    <w:rsid w:val="23B77102"/>
    <w:rsid w:val="23B826C9"/>
    <w:rsid w:val="23B95DEA"/>
    <w:rsid w:val="23BE2FAF"/>
    <w:rsid w:val="23C34FD7"/>
    <w:rsid w:val="23C35F67"/>
    <w:rsid w:val="23C36E9D"/>
    <w:rsid w:val="23C93FD3"/>
    <w:rsid w:val="23D80D48"/>
    <w:rsid w:val="23DC308E"/>
    <w:rsid w:val="23DE05D1"/>
    <w:rsid w:val="23E53618"/>
    <w:rsid w:val="23E65999"/>
    <w:rsid w:val="23E80168"/>
    <w:rsid w:val="23E86A33"/>
    <w:rsid w:val="23EA67BA"/>
    <w:rsid w:val="23F97C80"/>
    <w:rsid w:val="23FC0124"/>
    <w:rsid w:val="23FE5310"/>
    <w:rsid w:val="24045E4F"/>
    <w:rsid w:val="240B708F"/>
    <w:rsid w:val="24125894"/>
    <w:rsid w:val="241814FB"/>
    <w:rsid w:val="241B585C"/>
    <w:rsid w:val="24274416"/>
    <w:rsid w:val="24282688"/>
    <w:rsid w:val="24284200"/>
    <w:rsid w:val="242B7B71"/>
    <w:rsid w:val="2431393B"/>
    <w:rsid w:val="2434107D"/>
    <w:rsid w:val="2435609A"/>
    <w:rsid w:val="243645A8"/>
    <w:rsid w:val="243B28D6"/>
    <w:rsid w:val="24444663"/>
    <w:rsid w:val="24485338"/>
    <w:rsid w:val="24496B24"/>
    <w:rsid w:val="244E4AA7"/>
    <w:rsid w:val="244F0C85"/>
    <w:rsid w:val="244F3D3A"/>
    <w:rsid w:val="24516F53"/>
    <w:rsid w:val="24517096"/>
    <w:rsid w:val="24536F1E"/>
    <w:rsid w:val="24573672"/>
    <w:rsid w:val="245D2A2B"/>
    <w:rsid w:val="24617B36"/>
    <w:rsid w:val="24661F94"/>
    <w:rsid w:val="246E1254"/>
    <w:rsid w:val="247831E8"/>
    <w:rsid w:val="24797565"/>
    <w:rsid w:val="247A6E81"/>
    <w:rsid w:val="247F2ED6"/>
    <w:rsid w:val="24825A79"/>
    <w:rsid w:val="2483554A"/>
    <w:rsid w:val="248A417F"/>
    <w:rsid w:val="2494482A"/>
    <w:rsid w:val="24A50F73"/>
    <w:rsid w:val="24A56DE4"/>
    <w:rsid w:val="24A91057"/>
    <w:rsid w:val="24AD0921"/>
    <w:rsid w:val="24B003B5"/>
    <w:rsid w:val="24B273B6"/>
    <w:rsid w:val="24B36813"/>
    <w:rsid w:val="24B40A7E"/>
    <w:rsid w:val="24BE5C6B"/>
    <w:rsid w:val="24C7639C"/>
    <w:rsid w:val="24CB0B41"/>
    <w:rsid w:val="24CE01BE"/>
    <w:rsid w:val="24D22B05"/>
    <w:rsid w:val="24D9543C"/>
    <w:rsid w:val="24DC4732"/>
    <w:rsid w:val="24DC5887"/>
    <w:rsid w:val="24DD5DAB"/>
    <w:rsid w:val="24DF0DEC"/>
    <w:rsid w:val="24E1259D"/>
    <w:rsid w:val="24E32E28"/>
    <w:rsid w:val="24E339D1"/>
    <w:rsid w:val="24EA1A78"/>
    <w:rsid w:val="24F42861"/>
    <w:rsid w:val="24F664A2"/>
    <w:rsid w:val="24FA3925"/>
    <w:rsid w:val="24FA4867"/>
    <w:rsid w:val="25031D09"/>
    <w:rsid w:val="25036BC7"/>
    <w:rsid w:val="25052602"/>
    <w:rsid w:val="25094B2F"/>
    <w:rsid w:val="250D6DED"/>
    <w:rsid w:val="25126E1A"/>
    <w:rsid w:val="25180847"/>
    <w:rsid w:val="2518574C"/>
    <w:rsid w:val="252A35E4"/>
    <w:rsid w:val="252B5AED"/>
    <w:rsid w:val="25343084"/>
    <w:rsid w:val="253577A1"/>
    <w:rsid w:val="253822D8"/>
    <w:rsid w:val="25393338"/>
    <w:rsid w:val="2541159F"/>
    <w:rsid w:val="254A5AA6"/>
    <w:rsid w:val="254F42E5"/>
    <w:rsid w:val="25596937"/>
    <w:rsid w:val="255D4DF4"/>
    <w:rsid w:val="25700A77"/>
    <w:rsid w:val="257218A9"/>
    <w:rsid w:val="257415B5"/>
    <w:rsid w:val="25750975"/>
    <w:rsid w:val="25764371"/>
    <w:rsid w:val="25780273"/>
    <w:rsid w:val="25846815"/>
    <w:rsid w:val="25904E6B"/>
    <w:rsid w:val="2597752D"/>
    <w:rsid w:val="25A120B7"/>
    <w:rsid w:val="25A14FF9"/>
    <w:rsid w:val="25A20D3F"/>
    <w:rsid w:val="25A4123B"/>
    <w:rsid w:val="25A5186F"/>
    <w:rsid w:val="25AD153A"/>
    <w:rsid w:val="25B20B86"/>
    <w:rsid w:val="25B42838"/>
    <w:rsid w:val="25B7731C"/>
    <w:rsid w:val="25B87CE4"/>
    <w:rsid w:val="25BD64A1"/>
    <w:rsid w:val="25C01D9B"/>
    <w:rsid w:val="25C16ED0"/>
    <w:rsid w:val="25D12A33"/>
    <w:rsid w:val="25D36E01"/>
    <w:rsid w:val="25D67461"/>
    <w:rsid w:val="25DB6AC3"/>
    <w:rsid w:val="25E0062C"/>
    <w:rsid w:val="25E351DA"/>
    <w:rsid w:val="25E44B41"/>
    <w:rsid w:val="25E87AC2"/>
    <w:rsid w:val="25F030B8"/>
    <w:rsid w:val="25F13E7E"/>
    <w:rsid w:val="25F3267D"/>
    <w:rsid w:val="25F51A27"/>
    <w:rsid w:val="25F71DC9"/>
    <w:rsid w:val="25FE35BD"/>
    <w:rsid w:val="26002BB7"/>
    <w:rsid w:val="260728DB"/>
    <w:rsid w:val="260B2245"/>
    <w:rsid w:val="261058BD"/>
    <w:rsid w:val="26115B90"/>
    <w:rsid w:val="261552B1"/>
    <w:rsid w:val="2617577B"/>
    <w:rsid w:val="261A04C4"/>
    <w:rsid w:val="261E3EA4"/>
    <w:rsid w:val="261F12F4"/>
    <w:rsid w:val="2623399C"/>
    <w:rsid w:val="262523DC"/>
    <w:rsid w:val="2625752E"/>
    <w:rsid w:val="262C7A39"/>
    <w:rsid w:val="262D1E49"/>
    <w:rsid w:val="263B6F76"/>
    <w:rsid w:val="263B7E16"/>
    <w:rsid w:val="263C5A03"/>
    <w:rsid w:val="265808FA"/>
    <w:rsid w:val="265D45F1"/>
    <w:rsid w:val="265E32D9"/>
    <w:rsid w:val="265E44AA"/>
    <w:rsid w:val="26606471"/>
    <w:rsid w:val="266E6418"/>
    <w:rsid w:val="267271A4"/>
    <w:rsid w:val="26732B28"/>
    <w:rsid w:val="267D6BE6"/>
    <w:rsid w:val="267E5560"/>
    <w:rsid w:val="26813461"/>
    <w:rsid w:val="268253AA"/>
    <w:rsid w:val="26860B24"/>
    <w:rsid w:val="268A581F"/>
    <w:rsid w:val="268B3DB7"/>
    <w:rsid w:val="268B7B4B"/>
    <w:rsid w:val="268F635F"/>
    <w:rsid w:val="26925566"/>
    <w:rsid w:val="26981CD4"/>
    <w:rsid w:val="269A0703"/>
    <w:rsid w:val="26AA4B1F"/>
    <w:rsid w:val="26AC45F9"/>
    <w:rsid w:val="26AD7276"/>
    <w:rsid w:val="26B05128"/>
    <w:rsid w:val="26B67971"/>
    <w:rsid w:val="26C1259F"/>
    <w:rsid w:val="26C22BA0"/>
    <w:rsid w:val="26C321FB"/>
    <w:rsid w:val="26CA5CFF"/>
    <w:rsid w:val="26CE51F6"/>
    <w:rsid w:val="26CF159D"/>
    <w:rsid w:val="26CF4594"/>
    <w:rsid w:val="26D059D1"/>
    <w:rsid w:val="26D47EE9"/>
    <w:rsid w:val="26D75A2C"/>
    <w:rsid w:val="26DC5B62"/>
    <w:rsid w:val="26E64BEB"/>
    <w:rsid w:val="26E878BE"/>
    <w:rsid w:val="26EA6341"/>
    <w:rsid w:val="26ED3D12"/>
    <w:rsid w:val="26F64A1E"/>
    <w:rsid w:val="26FC3CE5"/>
    <w:rsid w:val="270268A5"/>
    <w:rsid w:val="27052EC8"/>
    <w:rsid w:val="270F4476"/>
    <w:rsid w:val="270F4687"/>
    <w:rsid w:val="271557B1"/>
    <w:rsid w:val="271E2D89"/>
    <w:rsid w:val="27203D19"/>
    <w:rsid w:val="27244948"/>
    <w:rsid w:val="272529C6"/>
    <w:rsid w:val="273046D8"/>
    <w:rsid w:val="27356DDE"/>
    <w:rsid w:val="27397C46"/>
    <w:rsid w:val="273A4C87"/>
    <w:rsid w:val="273B1603"/>
    <w:rsid w:val="273C1C98"/>
    <w:rsid w:val="273C3A81"/>
    <w:rsid w:val="273C6BDB"/>
    <w:rsid w:val="2740066F"/>
    <w:rsid w:val="27452A11"/>
    <w:rsid w:val="27475CC3"/>
    <w:rsid w:val="27485BDC"/>
    <w:rsid w:val="27531970"/>
    <w:rsid w:val="2755085D"/>
    <w:rsid w:val="27585E02"/>
    <w:rsid w:val="275F590E"/>
    <w:rsid w:val="276A2872"/>
    <w:rsid w:val="276B1805"/>
    <w:rsid w:val="276D7FD5"/>
    <w:rsid w:val="276E6EBA"/>
    <w:rsid w:val="27712FCB"/>
    <w:rsid w:val="27717CE1"/>
    <w:rsid w:val="27737EFE"/>
    <w:rsid w:val="277451A4"/>
    <w:rsid w:val="2775397C"/>
    <w:rsid w:val="277B6A29"/>
    <w:rsid w:val="27806AB1"/>
    <w:rsid w:val="278B75CC"/>
    <w:rsid w:val="278F54A4"/>
    <w:rsid w:val="2790006B"/>
    <w:rsid w:val="27914C92"/>
    <w:rsid w:val="279F77AC"/>
    <w:rsid w:val="27A10C63"/>
    <w:rsid w:val="27A16FB4"/>
    <w:rsid w:val="27A320AD"/>
    <w:rsid w:val="27A44010"/>
    <w:rsid w:val="27A826F2"/>
    <w:rsid w:val="27AA4FD1"/>
    <w:rsid w:val="27AD2F22"/>
    <w:rsid w:val="27AF1191"/>
    <w:rsid w:val="27B47B6E"/>
    <w:rsid w:val="27B73B01"/>
    <w:rsid w:val="27BA7E94"/>
    <w:rsid w:val="27BC1289"/>
    <w:rsid w:val="27C3718B"/>
    <w:rsid w:val="27C54585"/>
    <w:rsid w:val="27C81A55"/>
    <w:rsid w:val="27C93B7A"/>
    <w:rsid w:val="27CB099F"/>
    <w:rsid w:val="27D00B87"/>
    <w:rsid w:val="27D3336B"/>
    <w:rsid w:val="27ED7A75"/>
    <w:rsid w:val="27F531FE"/>
    <w:rsid w:val="27F6374C"/>
    <w:rsid w:val="27F82B1A"/>
    <w:rsid w:val="27F93334"/>
    <w:rsid w:val="280933AC"/>
    <w:rsid w:val="280C03B4"/>
    <w:rsid w:val="280D1128"/>
    <w:rsid w:val="280E42B1"/>
    <w:rsid w:val="280E4949"/>
    <w:rsid w:val="28105F3E"/>
    <w:rsid w:val="28106304"/>
    <w:rsid w:val="28196593"/>
    <w:rsid w:val="281F25C1"/>
    <w:rsid w:val="28215B06"/>
    <w:rsid w:val="28235F68"/>
    <w:rsid w:val="282D2178"/>
    <w:rsid w:val="28363BCE"/>
    <w:rsid w:val="28374361"/>
    <w:rsid w:val="28383773"/>
    <w:rsid w:val="283A11F6"/>
    <w:rsid w:val="28472041"/>
    <w:rsid w:val="28525199"/>
    <w:rsid w:val="2852777E"/>
    <w:rsid w:val="28541FFF"/>
    <w:rsid w:val="28581280"/>
    <w:rsid w:val="285A6251"/>
    <w:rsid w:val="28682E1D"/>
    <w:rsid w:val="28693CE5"/>
    <w:rsid w:val="286A0725"/>
    <w:rsid w:val="286A209A"/>
    <w:rsid w:val="286B685C"/>
    <w:rsid w:val="286C5731"/>
    <w:rsid w:val="286D4BBF"/>
    <w:rsid w:val="28742C42"/>
    <w:rsid w:val="28825B1F"/>
    <w:rsid w:val="28870C79"/>
    <w:rsid w:val="288A239D"/>
    <w:rsid w:val="288E2AF9"/>
    <w:rsid w:val="28915DBA"/>
    <w:rsid w:val="28973803"/>
    <w:rsid w:val="289B35CE"/>
    <w:rsid w:val="289C357E"/>
    <w:rsid w:val="289D7FC3"/>
    <w:rsid w:val="289E3569"/>
    <w:rsid w:val="28AD0B47"/>
    <w:rsid w:val="28B21A43"/>
    <w:rsid w:val="28B25011"/>
    <w:rsid w:val="28B95C3A"/>
    <w:rsid w:val="28BF1DE4"/>
    <w:rsid w:val="28C17F6A"/>
    <w:rsid w:val="28C55DCF"/>
    <w:rsid w:val="28C710F6"/>
    <w:rsid w:val="28C94FA0"/>
    <w:rsid w:val="28CE6E5A"/>
    <w:rsid w:val="28D31580"/>
    <w:rsid w:val="28D3165D"/>
    <w:rsid w:val="28E271EC"/>
    <w:rsid w:val="28EA37A6"/>
    <w:rsid w:val="28F24FB3"/>
    <w:rsid w:val="28F4540B"/>
    <w:rsid w:val="28FA7D83"/>
    <w:rsid w:val="28FE3539"/>
    <w:rsid w:val="2905180D"/>
    <w:rsid w:val="290E1687"/>
    <w:rsid w:val="291C136C"/>
    <w:rsid w:val="292826EF"/>
    <w:rsid w:val="292934FA"/>
    <w:rsid w:val="292C1CD4"/>
    <w:rsid w:val="292F4820"/>
    <w:rsid w:val="29333843"/>
    <w:rsid w:val="29335A4F"/>
    <w:rsid w:val="293621BA"/>
    <w:rsid w:val="29393618"/>
    <w:rsid w:val="293C5494"/>
    <w:rsid w:val="293D2A5A"/>
    <w:rsid w:val="294A4ABE"/>
    <w:rsid w:val="294B12BB"/>
    <w:rsid w:val="2951089C"/>
    <w:rsid w:val="29546768"/>
    <w:rsid w:val="295768AB"/>
    <w:rsid w:val="295952E0"/>
    <w:rsid w:val="295D0E07"/>
    <w:rsid w:val="29652C20"/>
    <w:rsid w:val="29654989"/>
    <w:rsid w:val="29673E89"/>
    <w:rsid w:val="29685419"/>
    <w:rsid w:val="2969449A"/>
    <w:rsid w:val="296D3FA1"/>
    <w:rsid w:val="296E0B92"/>
    <w:rsid w:val="296F7730"/>
    <w:rsid w:val="29737978"/>
    <w:rsid w:val="297939AC"/>
    <w:rsid w:val="297D2CA7"/>
    <w:rsid w:val="297E3614"/>
    <w:rsid w:val="297F0291"/>
    <w:rsid w:val="297F0C58"/>
    <w:rsid w:val="298D7934"/>
    <w:rsid w:val="299115B8"/>
    <w:rsid w:val="29A109C4"/>
    <w:rsid w:val="29A1367C"/>
    <w:rsid w:val="29A32E1D"/>
    <w:rsid w:val="29A547C1"/>
    <w:rsid w:val="29AB3C78"/>
    <w:rsid w:val="29AE4D06"/>
    <w:rsid w:val="29B03C5D"/>
    <w:rsid w:val="29B71B5A"/>
    <w:rsid w:val="29B87040"/>
    <w:rsid w:val="29CA2668"/>
    <w:rsid w:val="29CA5FDB"/>
    <w:rsid w:val="29CB18C2"/>
    <w:rsid w:val="29CF4056"/>
    <w:rsid w:val="29D311D3"/>
    <w:rsid w:val="29D43773"/>
    <w:rsid w:val="29DF4377"/>
    <w:rsid w:val="29E45FD6"/>
    <w:rsid w:val="29EE05BB"/>
    <w:rsid w:val="29EE70F8"/>
    <w:rsid w:val="29F74B46"/>
    <w:rsid w:val="2A005A48"/>
    <w:rsid w:val="2A021FC7"/>
    <w:rsid w:val="2A0E014A"/>
    <w:rsid w:val="2A0F2DFE"/>
    <w:rsid w:val="2A1541B6"/>
    <w:rsid w:val="2A156FE8"/>
    <w:rsid w:val="2A195E4F"/>
    <w:rsid w:val="2A1B7CB9"/>
    <w:rsid w:val="2A246249"/>
    <w:rsid w:val="2A304C00"/>
    <w:rsid w:val="2A3232B1"/>
    <w:rsid w:val="2A425B29"/>
    <w:rsid w:val="2A4943DD"/>
    <w:rsid w:val="2A4E65A0"/>
    <w:rsid w:val="2A504798"/>
    <w:rsid w:val="2A506237"/>
    <w:rsid w:val="2A5617AE"/>
    <w:rsid w:val="2A5A1DC7"/>
    <w:rsid w:val="2A5C062F"/>
    <w:rsid w:val="2A63684D"/>
    <w:rsid w:val="2A636CEF"/>
    <w:rsid w:val="2A6574B9"/>
    <w:rsid w:val="2A6C6C26"/>
    <w:rsid w:val="2A6E3DB5"/>
    <w:rsid w:val="2A704D69"/>
    <w:rsid w:val="2A707189"/>
    <w:rsid w:val="2A77749E"/>
    <w:rsid w:val="2A7C7D51"/>
    <w:rsid w:val="2A803B27"/>
    <w:rsid w:val="2A9F08B9"/>
    <w:rsid w:val="2AA64313"/>
    <w:rsid w:val="2AA65E6E"/>
    <w:rsid w:val="2AAC68F3"/>
    <w:rsid w:val="2AB52D34"/>
    <w:rsid w:val="2AB66CE3"/>
    <w:rsid w:val="2ABF3731"/>
    <w:rsid w:val="2AC5133E"/>
    <w:rsid w:val="2AC735EC"/>
    <w:rsid w:val="2AD055B2"/>
    <w:rsid w:val="2AD6069C"/>
    <w:rsid w:val="2AD907FC"/>
    <w:rsid w:val="2AE662BD"/>
    <w:rsid w:val="2AE8517A"/>
    <w:rsid w:val="2AEE5410"/>
    <w:rsid w:val="2AF6270E"/>
    <w:rsid w:val="2AFC5D88"/>
    <w:rsid w:val="2AFE7E70"/>
    <w:rsid w:val="2B090C2F"/>
    <w:rsid w:val="2B0C45F7"/>
    <w:rsid w:val="2B0C6EDA"/>
    <w:rsid w:val="2B0D7FD5"/>
    <w:rsid w:val="2B0E40AC"/>
    <w:rsid w:val="2B0F1C2C"/>
    <w:rsid w:val="2B107E88"/>
    <w:rsid w:val="2B1F461C"/>
    <w:rsid w:val="2B253071"/>
    <w:rsid w:val="2B2A0E1E"/>
    <w:rsid w:val="2B2B4F13"/>
    <w:rsid w:val="2B306BF3"/>
    <w:rsid w:val="2B31133C"/>
    <w:rsid w:val="2B3264AA"/>
    <w:rsid w:val="2B3348F1"/>
    <w:rsid w:val="2B3C2291"/>
    <w:rsid w:val="2B417FFD"/>
    <w:rsid w:val="2B422ED0"/>
    <w:rsid w:val="2B425999"/>
    <w:rsid w:val="2B497E01"/>
    <w:rsid w:val="2B592098"/>
    <w:rsid w:val="2B5B05AB"/>
    <w:rsid w:val="2B5E711F"/>
    <w:rsid w:val="2B606AE8"/>
    <w:rsid w:val="2B632B65"/>
    <w:rsid w:val="2B715AB4"/>
    <w:rsid w:val="2B73174E"/>
    <w:rsid w:val="2B7C5D7C"/>
    <w:rsid w:val="2B7E34FB"/>
    <w:rsid w:val="2B8248BC"/>
    <w:rsid w:val="2B833A7B"/>
    <w:rsid w:val="2B8774BE"/>
    <w:rsid w:val="2B8B199E"/>
    <w:rsid w:val="2B8D27F7"/>
    <w:rsid w:val="2B8E1DF7"/>
    <w:rsid w:val="2B955871"/>
    <w:rsid w:val="2B9B6D70"/>
    <w:rsid w:val="2BA74D31"/>
    <w:rsid w:val="2BA81571"/>
    <w:rsid w:val="2BAB641A"/>
    <w:rsid w:val="2BAE316D"/>
    <w:rsid w:val="2BB470CA"/>
    <w:rsid w:val="2BC74F7D"/>
    <w:rsid w:val="2BCD3A86"/>
    <w:rsid w:val="2BCD3DF5"/>
    <w:rsid w:val="2BCE71E2"/>
    <w:rsid w:val="2BD018F9"/>
    <w:rsid w:val="2BD41994"/>
    <w:rsid w:val="2BD50685"/>
    <w:rsid w:val="2BD75936"/>
    <w:rsid w:val="2BD82CCA"/>
    <w:rsid w:val="2BDB20B6"/>
    <w:rsid w:val="2BDC7630"/>
    <w:rsid w:val="2BDF067C"/>
    <w:rsid w:val="2BDF516A"/>
    <w:rsid w:val="2BE43803"/>
    <w:rsid w:val="2BE54830"/>
    <w:rsid w:val="2BE56E8B"/>
    <w:rsid w:val="2BE969DF"/>
    <w:rsid w:val="2BED52D5"/>
    <w:rsid w:val="2BF30B9C"/>
    <w:rsid w:val="2BF479F3"/>
    <w:rsid w:val="2BF71CAB"/>
    <w:rsid w:val="2BFE115E"/>
    <w:rsid w:val="2C0836E0"/>
    <w:rsid w:val="2C0D54D3"/>
    <w:rsid w:val="2C101CA7"/>
    <w:rsid w:val="2C113D09"/>
    <w:rsid w:val="2C15396B"/>
    <w:rsid w:val="2C1A287B"/>
    <w:rsid w:val="2C216426"/>
    <w:rsid w:val="2C234FD5"/>
    <w:rsid w:val="2C267377"/>
    <w:rsid w:val="2C2729DC"/>
    <w:rsid w:val="2C2A129B"/>
    <w:rsid w:val="2C2F1F88"/>
    <w:rsid w:val="2C310895"/>
    <w:rsid w:val="2C360CC0"/>
    <w:rsid w:val="2C397505"/>
    <w:rsid w:val="2C4F1F85"/>
    <w:rsid w:val="2C4F75D7"/>
    <w:rsid w:val="2C58750C"/>
    <w:rsid w:val="2C5B1FF5"/>
    <w:rsid w:val="2C5E1510"/>
    <w:rsid w:val="2C6050D6"/>
    <w:rsid w:val="2C694645"/>
    <w:rsid w:val="2C6A1210"/>
    <w:rsid w:val="2C6A4B15"/>
    <w:rsid w:val="2C796E0D"/>
    <w:rsid w:val="2C7B3468"/>
    <w:rsid w:val="2C891D41"/>
    <w:rsid w:val="2C8D0F2C"/>
    <w:rsid w:val="2C8D5D2A"/>
    <w:rsid w:val="2C910C96"/>
    <w:rsid w:val="2C9379CB"/>
    <w:rsid w:val="2C9C70CF"/>
    <w:rsid w:val="2CA03FF0"/>
    <w:rsid w:val="2CA56D57"/>
    <w:rsid w:val="2CB02CB3"/>
    <w:rsid w:val="2CB642A8"/>
    <w:rsid w:val="2CBF6B88"/>
    <w:rsid w:val="2CC46A08"/>
    <w:rsid w:val="2CC94B65"/>
    <w:rsid w:val="2CCC74CF"/>
    <w:rsid w:val="2CD04D1D"/>
    <w:rsid w:val="2CD33C4C"/>
    <w:rsid w:val="2CDD6CFC"/>
    <w:rsid w:val="2CE13F91"/>
    <w:rsid w:val="2CE17699"/>
    <w:rsid w:val="2CE97112"/>
    <w:rsid w:val="2CEE5603"/>
    <w:rsid w:val="2CEF2C72"/>
    <w:rsid w:val="2CF2630A"/>
    <w:rsid w:val="2CF8140B"/>
    <w:rsid w:val="2CFA656E"/>
    <w:rsid w:val="2CFC5CA7"/>
    <w:rsid w:val="2CFF698D"/>
    <w:rsid w:val="2D0E4C93"/>
    <w:rsid w:val="2D0F66AB"/>
    <w:rsid w:val="2D136C9F"/>
    <w:rsid w:val="2D1D4467"/>
    <w:rsid w:val="2D245E0E"/>
    <w:rsid w:val="2D2C0C4E"/>
    <w:rsid w:val="2D3A04A2"/>
    <w:rsid w:val="2D3A59B2"/>
    <w:rsid w:val="2D3B3830"/>
    <w:rsid w:val="2D440899"/>
    <w:rsid w:val="2D4442DB"/>
    <w:rsid w:val="2D4446EB"/>
    <w:rsid w:val="2D4E2DDE"/>
    <w:rsid w:val="2D4F43CE"/>
    <w:rsid w:val="2D502D1F"/>
    <w:rsid w:val="2D515DC6"/>
    <w:rsid w:val="2D5230C2"/>
    <w:rsid w:val="2D5640A4"/>
    <w:rsid w:val="2D5C7FE7"/>
    <w:rsid w:val="2D614FAA"/>
    <w:rsid w:val="2D657CC1"/>
    <w:rsid w:val="2D66193E"/>
    <w:rsid w:val="2D6D2C39"/>
    <w:rsid w:val="2D7C2D5B"/>
    <w:rsid w:val="2D8141B5"/>
    <w:rsid w:val="2D893C01"/>
    <w:rsid w:val="2D897F30"/>
    <w:rsid w:val="2D8A262B"/>
    <w:rsid w:val="2D8F5E37"/>
    <w:rsid w:val="2D9D7454"/>
    <w:rsid w:val="2D9F229D"/>
    <w:rsid w:val="2DA3031E"/>
    <w:rsid w:val="2DA828C6"/>
    <w:rsid w:val="2DA8640F"/>
    <w:rsid w:val="2DB43D16"/>
    <w:rsid w:val="2DBF07D5"/>
    <w:rsid w:val="2DC13268"/>
    <w:rsid w:val="2DCD2C67"/>
    <w:rsid w:val="2DCE36AE"/>
    <w:rsid w:val="2DCE6885"/>
    <w:rsid w:val="2DD004DA"/>
    <w:rsid w:val="2DD03D29"/>
    <w:rsid w:val="2DD11FEE"/>
    <w:rsid w:val="2DD46412"/>
    <w:rsid w:val="2DD82AA2"/>
    <w:rsid w:val="2DD927D8"/>
    <w:rsid w:val="2DDC25C4"/>
    <w:rsid w:val="2DDC3E86"/>
    <w:rsid w:val="2DDC7275"/>
    <w:rsid w:val="2DE00B0E"/>
    <w:rsid w:val="2DF12348"/>
    <w:rsid w:val="2DF168E1"/>
    <w:rsid w:val="2DF30149"/>
    <w:rsid w:val="2DFE54AF"/>
    <w:rsid w:val="2E0156DF"/>
    <w:rsid w:val="2E05071F"/>
    <w:rsid w:val="2E0B47B9"/>
    <w:rsid w:val="2E0C40A2"/>
    <w:rsid w:val="2E0D315D"/>
    <w:rsid w:val="2E1040FA"/>
    <w:rsid w:val="2E18219C"/>
    <w:rsid w:val="2E1D6251"/>
    <w:rsid w:val="2E2076B5"/>
    <w:rsid w:val="2E25285A"/>
    <w:rsid w:val="2E255D34"/>
    <w:rsid w:val="2E275D77"/>
    <w:rsid w:val="2E277D71"/>
    <w:rsid w:val="2E335007"/>
    <w:rsid w:val="2E4011EF"/>
    <w:rsid w:val="2E46330A"/>
    <w:rsid w:val="2E491F89"/>
    <w:rsid w:val="2E504BA5"/>
    <w:rsid w:val="2E50538B"/>
    <w:rsid w:val="2E584EA3"/>
    <w:rsid w:val="2E5952DE"/>
    <w:rsid w:val="2E5B1259"/>
    <w:rsid w:val="2E5D20DA"/>
    <w:rsid w:val="2E605F9B"/>
    <w:rsid w:val="2E630FA5"/>
    <w:rsid w:val="2E6324C9"/>
    <w:rsid w:val="2E681C88"/>
    <w:rsid w:val="2E6B52B9"/>
    <w:rsid w:val="2E706147"/>
    <w:rsid w:val="2E7E648C"/>
    <w:rsid w:val="2E8017D4"/>
    <w:rsid w:val="2E9640F1"/>
    <w:rsid w:val="2E99246D"/>
    <w:rsid w:val="2EA027A6"/>
    <w:rsid w:val="2EAE2D9B"/>
    <w:rsid w:val="2EAF67A6"/>
    <w:rsid w:val="2EB160F6"/>
    <w:rsid w:val="2EB4365B"/>
    <w:rsid w:val="2EBE73DB"/>
    <w:rsid w:val="2EC473E8"/>
    <w:rsid w:val="2EC4756D"/>
    <w:rsid w:val="2EC61893"/>
    <w:rsid w:val="2EC65DD7"/>
    <w:rsid w:val="2ECA5640"/>
    <w:rsid w:val="2ECD0396"/>
    <w:rsid w:val="2ECE5D33"/>
    <w:rsid w:val="2ED11ACB"/>
    <w:rsid w:val="2EDD2136"/>
    <w:rsid w:val="2EDE41BD"/>
    <w:rsid w:val="2EE059B8"/>
    <w:rsid w:val="2EE7432C"/>
    <w:rsid w:val="2EEF16F3"/>
    <w:rsid w:val="2EF82A65"/>
    <w:rsid w:val="2EF83ED7"/>
    <w:rsid w:val="2EFA05C6"/>
    <w:rsid w:val="2EFA50C9"/>
    <w:rsid w:val="2EFB228D"/>
    <w:rsid w:val="2F023B01"/>
    <w:rsid w:val="2F0524BD"/>
    <w:rsid w:val="2F07678E"/>
    <w:rsid w:val="2F180520"/>
    <w:rsid w:val="2F1937A2"/>
    <w:rsid w:val="2F2510D8"/>
    <w:rsid w:val="2F264333"/>
    <w:rsid w:val="2F273289"/>
    <w:rsid w:val="2F2E7E21"/>
    <w:rsid w:val="2F342034"/>
    <w:rsid w:val="2F342879"/>
    <w:rsid w:val="2F347481"/>
    <w:rsid w:val="2F3D1A51"/>
    <w:rsid w:val="2F40407D"/>
    <w:rsid w:val="2F486C11"/>
    <w:rsid w:val="2F491C1A"/>
    <w:rsid w:val="2F494EE0"/>
    <w:rsid w:val="2F49502D"/>
    <w:rsid w:val="2F51710A"/>
    <w:rsid w:val="2F570083"/>
    <w:rsid w:val="2F5C11ED"/>
    <w:rsid w:val="2F663231"/>
    <w:rsid w:val="2F673C98"/>
    <w:rsid w:val="2F6C0A12"/>
    <w:rsid w:val="2F6D7EB6"/>
    <w:rsid w:val="2F713B4C"/>
    <w:rsid w:val="2F715C08"/>
    <w:rsid w:val="2F797D20"/>
    <w:rsid w:val="2F7F1E44"/>
    <w:rsid w:val="2F810A3C"/>
    <w:rsid w:val="2F83431F"/>
    <w:rsid w:val="2F874738"/>
    <w:rsid w:val="2F8C5AA7"/>
    <w:rsid w:val="2F8F6B96"/>
    <w:rsid w:val="2F926724"/>
    <w:rsid w:val="2F937A6B"/>
    <w:rsid w:val="2F982CE6"/>
    <w:rsid w:val="2F9D6D1B"/>
    <w:rsid w:val="2F9E0F27"/>
    <w:rsid w:val="2FA256FD"/>
    <w:rsid w:val="2FA671C0"/>
    <w:rsid w:val="2FAA53D5"/>
    <w:rsid w:val="2FAB13B4"/>
    <w:rsid w:val="2FAD7034"/>
    <w:rsid w:val="2FB8225B"/>
    <w:rsid w:val="2FC267D0"/>
    <w:rsid w:val="2FC5779A"/>
    <w:rsid w:val="2FC64D3D"/>
    <w:rsid w:val="2FCB21E6"/>
    <w:rsid w:val="2FCD78D1"/>
    <w:rsid w:val="2FCF603B"/>
    <w:rsid w:val="2FD06F3F"/>
    <w:rsid w:val="2FD072A0"/>
    <w:rsid w:val="2FD435B6"/>
    <w:rsid w:val="2FD43B0B"/>
    <w:rsid w:val="2FD71AA1"/>
    <w:rsid w:val="2FDD11B0"/>
    <w:rsid w:val="2FDD50E4"/>
    <w:rsid w:val="2FE11E00"/>
    <w:rsid w:val="2FE361F8"/>
    <w:rsid w:val="2FE57C2B"/>
    <w:rsid w:val="2FE926AD"/>
    <w:rsid w:val="2FF11E19"/>
    <w:rsid w:val="2FF14C6B"/>
    <w:rsid w:val="2FF61CEA"/>
    <w:rsid w:val="2FF700B2"/>
    <w:rsid w:val="2FF92DE8"/>
    <w:rsid w:val="2FFB75E1"/>
    <w:rsid w:val="2FFF72C7"/>
    <w:rsid w:val="300268C0"/>
    <w:rsid w:val="30062B2A"/>
    <w:rsid w:val="300920DD"/>
    <w:rsid w:val="30092446"/>
    <w:rsid w:val="30114956"/>
    <w:rsid w:val="301B7253"/>
    <w:rsid w:val="301F45BB"/>
    <w:rsid w:val="30205395"/>
    <w:rsid w:val="30246C5D"/>
    <w:rsid w:val="302A3FA0"/>
    <w:rsid w:val="302B18A7"/>
    <w:rsid w:val="302D076C"/>
    <w:rsid w:val="303109FF"/>
    <w:rsid w:val="30321923"/>
    <w:rsid w:val="303336F1"/>
    <w:rsid w:val="3034511B"/>
    <w:rsid w:val="30464DF8"/>
    <w:rsid w:val="304852D9"/>
    <w:rsid w:val="30485980"/>
    <w:rsid w:val="30493D1E"/>
    <w:rsid w:val="30502A72"/>
    <w:rsid w:val="30533BF0"/>
    <w:rsid w:val="30570868"/>
    <w:rsid w:val="3059246E"/>
    <w:rsid w:val="30613BB6"/>
    <w:rsid w:val="30623BEB"/>
    <w:rsid w:val="30695248"/>
    <w:rsid w:val="306C2125"/>
    <w:rsid w:val="306F7D1F"/>
    <w:rsid w:val="30776A10"/>
    <w:rsid w:val="307A65E7"/>
    <w:rsid w:val="30876805"/>
    <w:rsid w:val="308D63B1"/>
    <w:rsid w:val="308E33BD"/>
    <w:rsid w:val="309366EE"/>
    <w:rsid w:val="30943E16"/>
    <w:rsid w:val="30967F2A"/>
    <w:rsid w:val="3097192C"/>
    <w:rsid w:val="30AC6360"/>
    <w:rsid w:val="30AF2024"/>
    <w:rsid w:val="30B31E2F"/>
    <w:rsid w:val="30BC166E"/>
    <w:rsid w:val="30C16271"/>
    <w:rsid w:val="30C2753C"/>
    <w:rsid w:val="30D82034"/>
    <w:rsid w:val="30E1692A"/>
    <w:rsid w:val="30E21302"/>
    <w:rsid w:val="30E52021"/>
    <w:rsid w:val="30E67B79"/>
    <w:rsid w:val="30E77F2D"/>
    <w:rsid w:val="30EE2C4E"/>
    <w:rsid w:val="30EE3768"/>
    <w:rsid w:val="30F00D60"/>
    <w:rsid w:val="30F2628E"/>
    <w:rsid w:val="30FA1E32"/>
    <w:rsid w:val="30FB18CD"/>
    <w:rsid w:val="3105294D"/>
    <w:rsid w:val="310D10D7"/>
    <w:rsid w:val="310E0C5A"/>
    <w:rsid w:val="31133FF6"/>
    <w:rsid w:val="311A478F"/>
    <w:rsid w:val="31224B74"/>
    <w:rsid w:val="3123679F"/>
    <w:rsid w:val="31242DF2"/>
    <w:rsid w:val="312851AF"/>
    <w:rsid w:val="3134250C"/>
    <w:rsid w:val="3134391B"/>
    <w:rsid w:val="313B0483"/>
    <w:rsid w:val="313C7325"/>
    <w:rsid w:val="31433979"/>
    <w:rsid w:val="314B01C9"/>
    <w:rsid w:val="31552F50"/>
    <w:rsid w:val="315532A4"/>
    <w:rsid w:val="31623A20"/>
    <w:rsid w:val="3162503D"/>
    <w:rsid w:val="31660F7A"/>
    <w:rsid w:val="31691900"/>
    <w:rsid w:val="316E1E81"/>
    <w:rsid w:val="31720587"/>
    <w:rsid w:val="31725087"/>
    <w:rsid w:val="317300E0"/>
    <w:rsid w:val="31740E76"/>
    <w:rsid w:val="31756BE4"/>
    <w:rsid w:val="31760E2E"/>
    <w:rsid w:val="317733BC"/>
    <w:rsid w:val="3178463E"/>
    <w:rsid w:val="31786E10"/>
    <w:rsid w:val="317A488F"/>
    <w:rsid w:val="317A70DE"/>
    <w:rsid w:val="317B29F4"/>
    <w:rsid w:val="31817D61"/>
    <w:rsid w:val="318871C0"/>
    <w:rsid w:val="318E2DD5"/>
    <w:rsid w:val="319F5F79"/>
    <w:rsid w:val="31A264A1"/>
    <w:rsid w:val="31A50A12"/>
    <w:rsid w:val="31A70647"/>
    <w:rsid w:val="31BB3CBD"/>
    <w:rsid w:val="31BD3D2A"/>
    <w:rsid w:val="31CC2278"/>
    <w:rsid w:val="31CD3F78"/>
    <w:rsid w:val="31D11A05"/>
    <w:rsid w:val="31D20449"/>
    <w:rsid w:val="31D660AB"/>
    <w:rsid w:val="31D94E07"/>
    <w:rsid w:val="31DC1241"/>
    <w:rsid w:val="31DC5B0D"/>
    <w:rsid w:val="31DD122B"/>
    <w:rsid w:val="31DE1229"/>
    <w:rsid w:val="31E26059"/>
    <w:rsid w:val="31E51C35"/>
    <w:rsid w:val="31E72C68"/>
    <w:rsid w:val="31E819E9"/>
    <w:rsid w:val="31ED5402"/>
    <w:rsid w:val="31EE14D6"/>
    <w:rsid w:val="31FE29E6"/>
    <w:rsid w:val="31FF5384"/>
    <w:rsid w:val="320233E7"/>
    <w:rsid w:val="320C736B"/>
    <w:rsid w:val="320D5F5E"/>
    <w:rsid w:val="3212799D"/>
    <w:rsid w:val="32173DD4"/>
    <w:rsid w:val="321A40FF"/>
    <w:rsid w:val="321C0BCB"/>
    <w:rsid w:val="322D0304"/>
    <w:rsid w:val="323079C0"/>
    <w:rsid w:val="3231368A"/>
    <w:rsid w:val="32364BD8"/>
    <w:rsid w:val="32385BB7"/>
    <w:rsid w:val="323C5EB7"/>
    <w:rsid w:val="3244009D"/>
    <w:rsid w:val="324444DB"/>
    <w:rsid w:val="324B7056"/>
    <w:rsid w:val="324F5600"/>
    <w:rsid w:val="325348A3"/>
    <w:rsid w:val="32550500"/>
    <w:rsid w:val="325761F6"/>
    <w:rsid w:val="32637F18"/>
    <w:rsid w:val="326D6D38"/>
    <w:rsid w:val="326E75A9"/>
    <w:rsid w:val="326E7F20"/>
    <w:rsid w:val="32880476"/>
    <w:rsid w:val="328829E7"/>
    <w:rsid w:val="32921DCF"/>
    <w:rsid w:val="32924A7A"/>
    <w:rsid w:val="32953C2B"/>
    <w:rsid w:val="32981347"/>
    <w:rsid w:val="329A24E6"/>
    <w:rsid w:val="329E66F4"/>
    <w:rsid w:val="329F3F4A"/>
    <w:rsid w:val="32A12B73"/>
    <w:rsid w:val="32A2197D"/>
    <w:rsid w:val="32B73344"/>
    <w:rsid w:val="32B85E47"/>
    <w:rsid w:val="32BB6FB8"/>
    <w:rsid w:val="32C20171"/>
    <w:rsid w:val="32C62B6A"/>
    <w:rsid w:val="32CD60F6"/>
    <w:rsid w:val="32D74F8B"/>
    <w:rsid w:val="32D86F59"/>
    <w:rsid w:val="32DB7441"/>
    <w:rsid w:val="32DC31C9"/>
    <w:rsid w:val="32DC7E6C"/>
    <w:rsid w:val="32DE0BE3"/>
    <w:rsid w:val="32DE61F5"/>
    <w:rsid w:val="32DF7E64"/>
    <w:rsid w:val="32E517B4"/>
    <w:rsid w:val="32F6225A"/>
    <w:rsid w:val="32F858CF"/>
    <w:rsid w:val="32FE2CA4"/>
    <w:rsid w:val="33011F4B"/>
    <w:rsid w:val="330173AC"/>
    <w:rsid w:val="33052A92"/>
    <w:rsid w:val="330B1F84"/>
    <w:rsid w:val="330E164B"/>
    <w:rsid w:val="33183556"/>
    <w:rsid w:val="33206D08"/>
    <w:rsid w:val="33210319"/>
    <w:rsid w:val="33253A2F"/>
    <w:rsid w:val="3328113D"/>
    <w:rsid w:val="3328581F"/>
    <w:rsid w:val="33297B6F"/>
    <w:rsid w:val="33310001"/>
    <w:rsid w:val="33335F42"/>
    <w:rsid w:val="33337581"/>
    <w:rsid w:val="33351018"/>
    <w:rsid w:val="333663A8"/>
    <w:rsid w:val="333A67BD"/>
    <w:rsid w:val="333C73FB"/>
    <w:rsid w:val="333F1B48"/>
    <w:rsid w:val="33425EBF"/>
    <w:rsid w:val="33471CE9"/>
    <w:rsid w:val="33517C71"/>
    <w:rsid w:val="335529B8"/>
    <w:rsid w:val="335644C5"/>
    <w:rsid w:val="335A30C7"/>
    <w:rsid w:val="335C2DD7"/>
    <w:rsid w:val="336B3F0B"/>
    <w:rsid w:val="336D2B54"/>
    <w:rsid w:val="337D3365"/>
    <w:rsid w:val="33834D82"/>
    <w:rsid w:val="33860A50"/>
    <w:rsid w:val="3386411E"/>
    <w:rsid w:val="338B3D5B"/>
    <w:rsid w:val="338F6F80"/>
    <w:rsid w:val="33945A04"/>
    <w:rsid w:val="33991584"/>
    <w:rsid w:val="339930F4"/>
    <w:rsid w:val="339A583C"/>
    <w:rsid w:val="33A31E33"/>
    <w:rsid w:val="33AC0462"/>
    <w:rsid w:val="33AE6CC1"/>
    <w:rsid w:val="33B03FAC"/>
    <w:rsid w:val="33BF2510"/>
    <w:rsid w:val="33BF5467"/>
    <w:rsid w:val="33C16E22"/>
    <w:rsid w:val="33C75B55"/>
    <w:rsid w:val="33C93D7D"/>
    <w:rsid w:val="33D16C44"/>
    <w:rsid w:val="33DB0ED5"/>
    <w:rsid w:val="33DB598F"/>
    <w:rsid w:val="33DE220B"/>
    <w:rsid w:val="33EB7F14"/>
    <w:rsid w:val="33F21F29"/>
    <w:rsid w:val="33F34E1E"/>
    <w:rsid w:val="33F73390"/>
    <w:rsid w:val="33F9419C"/>
    <w:rsid w:val="33FD0C97"/>
    <w:rsid w:val="34046E69"/>
    <w:rsid w:val="340526B5"/>
    <w:rsid w:val="341375A0"/>
    <w:rsid w:val="3423143C"/>
    <w:rsid w:val="342C369D"/>
    <w:rsid w:val="342E427F"/>
    <w:rsid w:val="343838D2"/>
    <w:rsid w:val="343B6733"/>
    <w:rsid w:val="34430960"/>
    <w:rsid w:val="344A37A2"/>
    <w:rsid w:val="344B0981"/>
    <w:rsid w:val="344E1DF2"/>
    <w:rsid w:val="34565133"/>
    <w:rsid w:val="345B33AF"/>
    <w:rsid w:val="346468BD"/>
    <w:rsid w:val="34660611"/>
    <w:rsid w:val="347327B9"/>
    <w:rsid w:val="34734A0C"/>
    <w:rsid w:val="3475460B"/>
    <w:rsid w:val="34774148"/>
    <w:rsid w:val="34782459"/>
    <w:rsid w:val="347B2621"/>
    <w:rsid w:val="347E0F64"/>
    <w:rsid w:val="348070E2"/>
    <w:rsid w:val="34826C70"/>
    <w:rsid w:val="3485116E"/>
    <w:rsid w:val="34862BBB"/>
    <w:rsid w:val="34992951"/>
    <w:rsid w:val="349D2529"/>
    <w:rsid w:val="34A453B5"/>
    <w:rsid w:val="34AE0A15"/>
    <w:rsid w:val="34B02DAC"/>
    <w:rsid w:val="34B122CB"/>
    <w:rsid w:val="34BB1E7B"/>
    <w:rsid w:val="34C56961"/>
    <w:rsid w:val="34C82195"/>
    <w:rsid w:val="34CB75C7"/>
    <w:rsid w:val="34D03392"/>
    <w:rsid w:val="34D25125"/>
    <w:rsid w:val="34D4413B"/>
    <w:rsid w:val="34D72719"/>
    <w:rsid w:val="34D763B1"/>
    <w:rsid w:val="34E15A43"/>
    <w:rsid w:val="34E33E5A"/>
    <w:rsid w:val="34E43E05"/>
    <w:rsid w:val="34EF615B"/>
    <w:rsid w:val="34F66837"/>
    <w:rsid w:val="34F77D82"/>
    <w:rsid w:val="35061A99"/>
    <w:rsid w:val="35067BB9"/>
    <w:rsid w:val="350D0108"/>
    <w:rsid w:val="350F6A9B"/>
    <w:rsid w:val="35121317"/>
    <w:rsid w:val="351247C5"/>
    <w:rsid w:val="35166E3A"/>
    <w:rsid w:val="351C15B4"/>
    <w:rsid w:val="351E5285"/>
    <w:rsid w:val="352154A3"/>
    <w:rsid w:val="352640B9"/>
    <w:rsid w:val="352772BF"/>
    <w:rsid w:val="35295E27"/>
    <w:rsid w:val="352A0883"/>
    <w:rsid w:val="352B601F"/>
    <w:rsid w:val="353225C6"/>
    <w:rsid w:val="35386636"/>
    <w:rsid w:val="3549334A"/>
    <w:rsid w:val="354953D9"/>
    <w:rsid w:val="354A0F55"/>
    <w:rsid w:val="354C7172"/>
    <w:rsid w:val="354E3F3E"/>
    <w:rsid w:val="35540FBC"/>
    <w:rsid w:val="35541C5A"/>
    <w:rsid w:val="35546F49"/>
    <w:rsid w:val="3559505A"/>
    <w:rsid w:val="35681DBF"/>
    <w:rsid w:val="356A06CD"/>
    <w:rsid w:val="356C71F7"/>
    <w:rsid w:val="356D6F9D"/>
    <w:rsid w:val="356F00C3"/>
    <w:rsid w:val="3570703F"/>
    <w:rsid w:val="35733A3C"/>
    <w:rsid w:val="357D5D1F"/>
    <w:rsid w:val="358200C9"/>
    <w:rsid w:val="35873AB8"/>
    <w:rsid w:val="35881BC1"/>
    <w:rsid w:val="358D55D8"/>
    <w:rsid w:val="358D74A7"/>
    <w:rsid w:val="35915770"/>
    <w:rsid w:val="35921BAF"/>
    <w:rsid w:val="35925CC0"/>
    <w:rsid w:val="359F15F2"/>
    <w:rsid w:val="35A24C16"/>
    <w:rsid w:val="35AE13BD"/>
    <w:rsid w:val="35AE773D"/>
    <w:rsid w:val="35B21F27"/>
    <w:rsid w:val="35BA721E"/>
    <w:rsid w:val="35BF753A"/>
    <w:rsid w:val="35CC56B2"/>
    <w:rsid w:val="35CE4F37"/>
    <w:rsid w:val="35D8780F"/>
    <w:rsid w:val="35DC1D21"/>
    <w:rsid w:val="35DE7B0B"/>
    <w:rsid w:val="35DF52A2"/>
    <w:rsid w:val="35DF6792"/>
    <w:rsid w:val="35E11256"/>
    <w:rsid w:val="35E311FD"/>
    <w:rsid w:val="35E31D01"/>
    <w:rsid w:val="35E41DE4"/>
    <w:rsid w:val="35E434B6"/>
    <w:rsid w:val="35E900C9"/>
    <w:rsid w:val="35F2781E"/>
    <w:rsid w:val="35F807C3"/>
    <w:rsid w:val="35F83599"/>
    <w:rsid w:val="35F9034E"/>
    <w:rsid w:val="35FB0B4E"/>
    <w:rsid w:val="35FE4580"/>
    <w:rsid w:val="36006743"/>
    <w:rsid w:val="36074246"/>
    <w:rsid w:val="36085232"/>
    <w:rsid w:val="360B25AA"/>
    <w:rsid w:val="36173F07"/>
    <w:rsid w:val="361B40AD"/>
    <w:rsid w:val="361F29DA"/>
    <w:rsid w:val="362A21E9"/>
    <w:rsid w:val="362E4AFE"/>
    <w:rsid w:val="36304B9F"/>
    <w:rsid w:val="36334998"/>
    <w:rsid w:val="36366ADC"/>
    <w:rsid w:val="36381D85"/>
    <w:rsid w:val="363B2CDE"/>
    <w:rsid w:val="3640049A"/>
    <w:rsid w:val="364454EA"/>
    <w:rsid w:val="364968F7"/>
    <w:rsid w:val="36532F26"/>
    <w:rsid w:val="365427BD"/>
    <w:rsid w:val="36581FF2"/>
    <w:rsid w:val="36617B89"/>
    <w:rsid w:val="36643AD4"/>
    <w:rsid w:val="36644B96"/>
    <w:rsid w:val="36657FCF"/>
    <w:rsid w:val="36763CBD"/>
    <w:rsid w:val="367D39C1"/>
    <w:rsid w:val="36854599"/>
    <w:rsid w:val="36865CDA"/>
    <w:rsid w:val="3686617C"/>
    <w:rsid w:val="36873BAC"/>
    <w:rsid w:val="368C08B7"/>
    <w:rsid w:val="36924958"/>
    <w:rsid w:val="36991B41"/>
    <w:rsid w:val="369B16D6"/>
    <w:rsid w:val="369D6F18"/>
    <w:rsid w:val="369F59E2"/>
    <w:rsid w:val="36A21741"/>
    <w:rsid w:val="36A31B5B"/>
    <w:rsid w:val="36AC3EBC"/>
    <w:rsid w:val="36AD1DE0"/>
    <w:rsid w:val="36B101C4"/>
    <w:rsid w:val="36B32A36"/>
    <w:rsid w:val="36B826F1"/>
    <w:rsid w:val="36BC68BF"/>
    <w:rsid w:val="36C25212"/>
    <w:rsid w:val="36CD56F9"/>
    <w:rsid w:val="36D14E3D"/>
    <w:rsid w:val="36D175D4"/>
    <w:rsid w:val="36DE0D50"/>
    <w:rsid w:val="36E26C99"/>
    <w:rsid w:val="36E533A4"/>
    <w:rsid w:val="36E575E1"/>
    <w:rsid w:val="36E63933"/>
    <w:rsid w:val="36EA3035"/>
    <w:rsid w:val="36EC173A"/>
    <w:rsid w:val="36FA466C"/>
    <w:rsid w:val="37026D81"/>
    <w:rsid w:val="371443D4"/>
    <w:rsid w:val="37166C3A"/>
    <w:rsid w:val="371B3526"/>
    <w:rsid w:val="371E522F"/>
    <w:rsid w:val="37206767"/>
    <w:rsid w:val="372513F3"/>
    <w:rsid w:val="37285FEC"/>
    <w:rsid w:val="37305D1F"/>
    <w:rsid w:val="373F126C"/>
    <w:rsid w:val="37400093"/>
    <w:rsid w:val="37402A6D"/>
    <w:rsid w:val="374A1FC0"/>
    <w:rsid w:val="37531CE0"/>
    <w:rsid w:val="3757450C"/>
    <w:rsid w:val="375B1557"/>
    <w:rsid w:val="375F6CBD"/>
    <w:rsid w:val="37610B5A"/>
    <w:rsid w:val="37651E38"/>
    <w:rsid w:val="37695016"/>
    <w:rsid w:val="376B5A96"/>
    <w:rsid w:val="376C6DA2"/>
    <w:rsid w:val="37756591"/>
    <w:rsid w:val="37793E31"/>
    <w:rsid w:val="37795241"/>
    <w:rsid w:val="37845600"/>
    <w:rsid w:val="37882034"/>
    <w:rsid w:val="378C255B"/>
    <w:rsid w:val="37944D80"/>
    <w:rsid w:val="37970B94"/>
    <w:rsid w:val="37A02EC8"/>
    <w:rsid w:val="37A40AEF"/>
    <w:rsid w:val="37AF16CB"/>
    <w:rsid w:val="37B1584B"/>
    <w:rsid w:val="37B63E61"/>
    <w:rsid w:val="37B7316D"/>
    <w:rsid w:val="37B81102"/>
    <w:rsid w:val="37BD4CBF"/>
    <w:rsid w:val="37C81BFA"/>
    <w:rsid w:val="37D90435"/>
    <w:rsid w:val="37DC018B"/>
    <w:rsid w:val="37E17560"/>
    <w:rsid w:val="37E22B1A"/>
    <w:rsid w:val="37E76B7F"/>
    <w:rsid w:val="37EF401E"/>
    <w:rsid w:val="37F225D4"/>
    <w:rsid w:val="37F31167"/>
    <w:rsid w:val="37FE007A"/>
    <w:rsid w:val="380008A3"/>
    <w:rsid w:val="380F5EC1"/>
    <w:rsid w:val="38105CDB"/>
    <w:rsid w:val="38121939"/>
    <w:rsid w:val="381651A4"/>
    <w:rsid w:val="38290536"/>
    <w:rsid w:val="3829101F"/>
    <w:rsid w:val="382C078B"/>
    <w:rsid w:val="383B0C89"/>
    <w:rsid w:val="38433BDD"/>
    <w:rsid w:val="384416EC"/>
    <w:rsid w:val="38447388"/>
    <w:rsid w:val="38461B9C"/>
    <w:rsid w:val="38510EFC"/>
    <w:rsid w:val="38526A63"/>
    <w:rsid w:val="38537E39"/>
    <w:rsid w:val="38571176"/>
    <w:rsid w:val="38626CC8"/>
    <w:rsid w:val="386B30DE"/>
    <w:rsid w:val="386B5DC1"/>
    <w:rsid w:val="386C0A07"/>
    <w:rsid w:val="386D44AC"/>
    <w:rsid w:val="386F6210"/>
    <w:rsid w:val="387B5C92"/>
    <w:rsid w:val="38861A05"/>
    <w:rsid w:val="38876F62"/>
    <w:rsid w:val="3896584D"/>
    <w:rsid w:val="389B574B"/>
    <w:rsid w:val="38A11EC5"/>
    <w:rsid w:val="38AC48C5"/>
    <w:rsid w:val="38AD679B"/>
    <w:rsid w:val="38AE35DE"/>
    <w:rsid w:val="38BB416B"/>
    <w:rsid w:val="38BF21D1"/>
    <w:rsid w:val="38C10471"/>
    <w:rsid w:val="38C355AA"/>
    <w:rsid w:val="38C52E3D"/>
    <w:rsid w:val="38C83FF0"/>
    <w:rsid w:val="38C86D04"/>
    <w:rsid w:val="38C96CF2"/>
    <w:rsid w:val="38CE7EB7"/>
    <w:rsid w:val="38D458F8"/>
    <w:rsid w:val="38D86DE0"/>
    <w:rsid w:val="38DD6256"/>
    <w:rsid w:val="38E02743"/>
    <w:rsid w:val="38E37BAE"/>
    <w:rsid w:val="38EB0A32"/>
    <w:rsid w:val="38EC2D49"/>
    <w:rsid w:val="38ED0B23"/>
    <w:rsid w:val="39044A5A"/>
    <w:rsid w:val="390507B1"/>
    <w:rsid w:val="390C02B1"/>
    <w:rsid w:val="390D08D5"/>
    <w:rsid w:val="3910792C"/>
    <w:rsid w:val="39151602"/>
    <w:rsid w:val="391F701A"/>
    <w:rsid w:val="392745D5"/>
    <w:rsid w:val="39294CFB"/>
    <w:rsid w:val="392B02BB"/>
    <w:rsid w:val="392C13EC"/>
    <w:rsid w:val="392C282A"/>
    <w:rsid w:val="3931698D"/>
    <w:rsid w:val="39341331"/>
    <w:rsid w:val="39364D27"/>
    <w:rsid w:val="39386492"/>
    <w:rsid w:val="393C2422"/>
    <w:rsid w:val="39431B8C"/>
    <w:rsid w:val="39456F8E"/>
    <w:rsid w:val="39577187"/>
    <w:rsid w:val="395A5F0C"/>
    <w:rsid w:val="395B7590"/>
    <w:rsid w:val="395D4130"/>
    <w:rsid w:val="39616936"/>
    <w:rsid w:val="396A1777"/>
    <w:rsid w:val="396B02C6"/>
    <w:rsid w:val="396C236B"/>
    <w:rsid w:val="396E1053"/>
    <w:rsid w:val="39767495"/>
    <w:rsid w:val="39834494"/>
    <w:rsid w:val="398438FF"/>
    <w:rsid w:val="398B526D"/>
    <w:rsid w:val="399177A1"/>
    <w:rsid w:val="399D1C66"/>
    <w:rsid w:val="399F1DFF"/>
    <w:rsid w:val="39A63306"/>
    <w:rsid w:val="39A95B5A"/>
    <w:rsid w:val="39AF73BC"/>
    <w:rsid w:val="39B36809"/>
    <w:rsid w:val="39B53102"/>
    <w:rsid w:val="39B54BDB"/>
    <w:rsid w:val="39B81FED"/>
    <w:rsid w:val="39B96D07"/>
    <w:rsid w:val="39BA12CE"/>
    <w:rsid w:val="39BB4CB5"/>
    <w:rsid w:val="39C41C14"/>
    <w:rsid w:val="39C80A8D"/>
    <w:rsid w:val="39C938CA"/>
    <w:rsid w:val="39CF096F"/>
    <w:rsid w:val="39CF0EB9"/>
    <w:rsid w:val="39D05A14"/>
    <w:rsid w:val="39DB4CE6"/>
    <w:rsid w:val="39DE53C7"/>
    <w:rsid w:val="39DF4897"/>
    <w:rsid w:val="39E06224"/>
    <w:rsid w:val="39E61D6F"/>
    <w:rsid w:val="39E91392"/>
    <w:rsid w:val="39F219A7"/>
    <w:rsid w:val="39F93242"/>
    <w:rsid w:val="39FC5137"/>
    <w:rsid w:val="39FE09F6"/>
    <w:rsid w:val="3A016D69"/>
    <w:rsid w:val="3A040B3D"/>
    <w:rsid w:val="3A0D1AF2"/>
    <w:rsid w:val="3A0D7A02"/>
    <w:rsid w:val="3A143E05"/>
    <w:rsid w:val="3A152706"/>
    <w:rsid w:val="3A203C52"/>
    <w:rsid w:val="3A206220"/>
    <w:rsid w:val="3A2E2E7A"/>
    <w:rsid w:val="3A3B4787"/>
    <w:rsid w:val="3A3C1552"/>
    <w:rsid w:val="3A3C2311"/>
    <w:rsid w:val="3A412B35"/>
    <w:rsid w:val="3A474EE5"/>
    <w:rsid w:val="3A486B9E"/>
    <w:rsid w:val="3A5055E8"/>
    <w:rsid w:val="3A53517D"/>
    <w:rsid w:val="3A536E79"/>
    <w:rsid w:val="3A6125AC"/>
    <w:rsid w:val="3A65416C"/>
    <w:rsid w:val="3A6B0562"/>
    <w:rsid w:val="3A6D5F4A"/>
    <w:rsid w:val="3A6F2444"/>
    <w:rsid w:val="3A7201A6"/>
    <w:rsid w:val="3A7C65B9"/>
    <w:rsid w:val="3A7E4F3F"/>
    <w:rsid w:val="3A8A6E53"/>
    <w:rsid w:val="3A8F045E"/>
    <w:rsid w:val="3A8F4182"/>
    <w:rsid w:val="3A9E3028"/>
    <w:rsid w:val="3A9E3EE3"/>
    <w:rsid w:val="3A9F49DB"/>
    <w:rsid w:val="3AA564CE"/>
    <w:rsid w:val="3AAA2401"/>
    <w:rsid w:val="3AAA2A55"/>
    <w:rsid w:val="3AAA2E69"/>
    <w:rsid w:val="3AAA6116"/>
    <w:rsid w:val="3AAE2550"/>
    <w:rsid w:val="3AB20CDA"/>
    <w:rsid w:val="3AB75361"/>
    <w:rsid w:val="3ABA2FDA"/>
    <w:rsid w:val="3ABD3D8E"/>
    <w:rsid w:val="3ABF15A9"/>
    <w:rsid w:val="3AC5493D"/>
    <w:rsid w:val="3ACA3605"/>
    <w:rsid w:val="3ACB7EAD"/>
    <w:rsid w:val="3ACE223C"/>
    <w:rsid w:val="3AE1383E"/>
    <w:rsid w:val="3AE7587A"/>
    <w:rsid w:val="3AEF4E4A"/>
    <w:rsid w:val="3AF003CC"/>
    <w:rsid w:val="3AF64C7C"/>
    <w:rsid w:val="3AF831C5"/>
    <w:rsid w:val="3AFA0907"/>
    <w:rsid w:val="3AFB37EC"/>
    <w:rsid w:val="3B065D26"/>
    <w:rsid w:val="3B066961"/>
    <w:rsid w:val="3B0A287C"/>
    <w:rsid w:val="3B0C5F4D"/>
    <w:rsid w:val="3B111F91"/>
    <w:rsid w:val="3B1B2C63"/>
    <w:rsid w:val="3B2553D6"/>
    <w:rsid w:val="3B2D05F1"/>
    <w:rsid w:val="3B2D3BC0"/>
    <w:rsid w:val="3B2E592B"/>
    <w:rsid w:val="3B2E64C8"/>
    <w:rsid w:val="3B345814"/>
    <w:rsid w:val="3B370071"/>
    <w:rsid w:val="3B3A7141"/>
    <w:rsid w:val="3B3B461C"/>
    <w:rsid w:val="3B4D19D8"/>
    <w:rsid w:val="3B5673AB"/>
    <w:rsid w:val="3B570CE4"/>
    <w:rsid w:val="3B6829F3"/>
    <w:rsid w:val="3B75292C"/>
    <w:rsid w:val="3B752F12"/>
    <w:rsid w:val="3B7A6DF8"/>
    <w:rsid w:val="3B7C0F27"/>
    <w:rsid w:val="3B7D0D01"/>
    <w:rsid w:val="3B831405"/>
    <w:rsid w:val="3B834513"/>
    <w:rsid w:val="3B85331D"/>
    <w:rsid w:val="3B867795"/>
    <w:rsid w:val="3B945F10"/>
    <w:rsid w:val="3B954359"/>
    <w:rsid w:val="3B9D7836"/>
    <w:rsid w:val="3BA00D9D"/>
    <w:rsid w:val="3BA126CE"/>
    <w:rsid w:val="3BA55C6D"/>
    <w:rsid w:val="3BAA3708"/>
    <w:rsid w:val="3BAE6DA7"/>
    <w:rsid w:val="3BB91F30"/>
    <w:rsid w:val="3BBB26F7"/>
    <w:rsid w:val="3BBC1AA9"/>
    <w:rsid w:val="3BBE184E"/>
    <w:rsid w:val="3BC075C0"/>
    <w:rsid w:val="3BE56F8F"/>
    <w:rsid w:val="3BF078EE"/>
    <w:rsid w:val="3BF46798"/>
    <w:rsid w:val="3BF92556"/>
    <w:rsid w:val="3BFA4CB3"/>
    <w:rsid w:val="3C0D13E4"/>
    <w:rsid w:val="3C0E353E"/>
    <w:rsid w:val="3C0E5A8B"/>
    <w:rsid w:val="3C0F399B"/>
    <w:rsid w:val="3C11184D"/>
    <w:rsid w:val="3C2441B6"/>
    <w:rsid w:val="3C274289"/>
    <w:rsid w:val="3C294317"/>
    <w:rsid w:val="3C2C2A11"/>
    <w:rsid w:val="3C2E2341"/>
    <w:rsid w:val="3C2F1664"/>
    <w:rsid w:val="3C3A5AE6"/>
    <w:rsid w:val="3C3B6EBC"/>
    <w:rsid w:val="3C4064C6"/>
    <w:rsid w:val="3C4601D0"/>
    <w:rsid w:val="3C517DF7"/>
    <w:rsid w:val="3C645DC6"/>
    <w:rsid w:val="3C657FF0"/>
    <w:rsid w:val="3C661F89"/>
    <w:rsid w:val="3C671A65"/>
    <w:rsid w:val="3C6B43BE"/>
    <w:rsid w:val="3C6C4F92"/>
    <w:rsid w:val="3C6F268E"/>
    <w:rsid w:val="3C736168"/>
    <w:rsid w:val="3C743EA8"/>
    <w:rsid w:val="3C767DA6"/>
    <w:rsid w:val="3C785350"/>
    <w:rsid w:val="3C7C1533"/>
    <w:rsid w:val="3C800970"/>
    <w:rsid w:val="3C827330"/>
    <w:rsid w:val="3C834B9E"/>
    <w:rsid w:val="3C860DF9"/>
    <w:rsid w:val="3C887370"/>
    <w:rsid w:val="3C895F96"/>
    <w:rsid w:val="3C8C008A"/>
    <w:rsid w:val="3C8C293A"/>
    <w:rsid w:val="3C8D0D8A"/>
    <w:rsid w:val="3C8E1CB2"/>
    <w:rsid w:val="3C927DC2"/>
    <w:rsid w:val="3C9655FA"/>
    <w:rsid w:val="3C9F3C5A"/>
    <w:rsid w:val="3CA05E3F"/>
    <w:rsid w:val="3CA104CB"/>
    <w:rsid w:val="3CB14071"/>
    <w:rsid w:val="3CB96322"/>
    <w:rsid w:val="3CBD03CA"/>
    <w:rsid w:val="3CC15C9B"/>
    <w:rsid w:val="3CC53809"/>
    <w:rsid w:val="3CC61E8C"/>
    <w:rsid w:val="3CC904A8"/>
    <w:rsid w:val="3CCF16E6"/>
    <w:rsid w:val="3CD655AD"/>
    <w:rsid w:val="3CDD0059"/>
    <w:rsid w:val="3CDE204C"/>
    <w:rsid w:val="3CE01F7E"/>
    <w:rsid w:val="3CE62B39"/>
    <w:rsid w:val="3CF1111D"/>
    <w:rsid w:val="3CF138CB"/>
    <w:rsid w:val="3CF371EE"/>
    <w:rsid w:val="3CFE449C"/>
    <w:rsid w:val="3CFF4796"/>
    <w:rsid w:val="3CFF66B2"/>
    <w:rsid w:val="3D0774FE"/>
    <w:rsid w:val="3D096893"/>
    <w:rsid w:val="3D0F0E62"/>
    <w:rsid w:val="3D137575"/>
    <w:rsid w:val="3D154570"/>
    <w:rsid w:val="3D164912"/>
    <w:rsid w:val="3D1B14CB"/>
    <w:rsid w:val="3D1D4DA6"/>
    <w:rsid w:val="3D1F6473"/>
    <w:rsid w:val="3D2743BF"/>
    <w:rsid w:val="3D3B1276"/>
    <w:rsid w:val="3D3B262F"/>
    <w:rsid w:val="3D464ADF"/>
    <w:rsid w:val="3D490E8C"/>
    <w:rsid w:val="3D4B66C7"/>
    <w:rsid w:val="3D562006"/>
    <w:rsid w:val="3D6136E0"/>
    <w:rsid w:val="3D760DBA"/>
    <w:rsid w:val="3D81493E"/>
    <w:rsid w:val="3D822ECA"/>
    <w:rsid w:val="3D831E37"/>
    <w:rsid w:val="3D8E5B39"/>
    <w:rsid w:val="3D90446B"/>
    <w:rsid w:val="3D924268"/>
    <w:rsid w:val="3D960C48"/>
    <w:rsid w:val="3D9864A7"/>
    <w:rsid w:val="3D9A20BD"/>
    <w:rsid w:val="3D9A6361"/>
    <w:rsid w:val="3DA33106"/>
    <w:rsid w:val="3DA63AA0"/>
    <w:rsid w:val="3DA74D36"/>
    <w:rsid w:val="3DA81F07"/>
    <w:rsid w:val="3DA948D7"/>
    <w:rsid w:val="3DB11E3E"/>
    <w:rsid w:val="3DB44B31"/>
    <w:rsid w:val="3DBA398D"/>
    <w:rsid w:val="3DC70113"/>
    <w:rsid w:val="3DCA59B2"/>
    <w:rsid w:val="3DCB2960"/>
    <w:rsid w:val="3DCE46CE"/>
    <w:rsid w:val="3DD23BEF"/>
    <w:rsid w:val="3DD84322"/>
    <w:rsid w:val="3DE03DE1"/>
    <w:rsid w:val="3DE42D75"/>
    <w:rsid w:val="3DEA024F"/>
    <w:rsid w:val="3DF15B9E"/>
    <w:rsid w:val="3DF2697E"/>
    <w:rsid w:val="3DF45B36"/>
    <w:rsid w:val="3DF5116A"/>
    <w:rsid w:val="3DFA79FE"/>
    <w:rsid w:val="3E0125BF"/>
    <w:rsid w:val="3E034139"/>
    <w:rsid w:val="3E0A0243"/>
    <w:rsid w:val="3E0E4DDC"/>
    <w:rsid w:val="3E1147F0"/>
    <w:rsid w:val="3E121759"/>
    <w:rsid w:val="3E140B23"/>
    <w:rsid w:val="3E21103E"/>
    <w:rsid w:val="3E273595"/>
    <w:rsid w:val="3E343E42"/>
    <w:rsid w:val="3E386B6E"/>
    <w:rsid w:val="3E38727E"/>
    <w:rsid w:val="3E3A3BCF"/>
    <w:rsid w:val="3E441B16"/>
    <w:rsid w:val="3E4473C6"/>
    <w:rsid w:val="3E4F1453"/>
    <w:rsid w:val="3E4F444D"/>
    <w:rsid w:val="3E58343E"/>
    <w:rsid w:val="3E5D0455"/>
    <w:rsid w:val="3E634BA8"/>
    <w:rsid w:val="3E6C3854"/>
    <w:rsid w:val="3E6E3E2D"/>
    <w:rsid w:val="3E701D54"/>
    <w:rsid w:val="3E770DC2"/>
    <w:rsid w:val="3E7A1D2B"/>
    <w:rsid w:val="3E7B2C6B"/>
    <w:rsid w:val="3E7D3F55"/>
    <w:rsid w:val="3E7E178B"/>
    <w:rsid w:val="3E820EEC"/>
    <w:rsid w:val="3E84445A"/>
    <w:rsid w:val="3E87553C"/>
    <w:rsid w:val="3E907666"/>
    <w:rsid w:val="3E9358D5"/>
    <w:rsid w:val="3E962A3C"/>
    <w:rsid w:val="3E9E31CD"/>
    <w:rsid w:val="3E9E4D17"/>
    <w:rsid w:val="3EBA1196"/>
    <w:rsid w:val="3EBB2EB1"/>
    <w:rsid w:val="3EC006FD"/>
    <w:rsid w:val="3EC03908"/>
    <w:rsid w:val="3EC865DC"/>
    <w:rsid w:val="3EC92999"/>
    <w:rsid w:val="3ECA1FF9"/>
    <w:rsid w:val="3EDC6382"/>
    <w:rsid w:val="3EEB052C"/>
    <w:rsid w:val="3EEF6989"/>
    <w:rsid w:val="3EF57293"/>
    <w:rsid w:val="3EF60F41"/>
    <w:rsid w:val="3F072978"/>
    <w:rsid w:val="3F187707"/>
    <w:rsid w:val="3F19736B"/>
    <w:rsid w:val="3F1D5E18"/>
    <w:rsid w:val="3F1E26A7"/>
    <w:rsid w:val="3F231E9F"/>
    <w:rsid w:val="3F235952"/>
    <w:rsid w:val="3F2D4041"/>
    <w:rsid w:val="3F33337A"/>
    <w:rsid w:val="3F396F56"/>
    <w:rsid w:val="3F3A49D1"/>
    <w:rsid w:val="3F3B1F4F"/>
    <w:rsid w:val="3F3C4649"/>
    <w:rsid w:val="3F46349C"/>
    <w:rsid w:val="3F4E60CF"/>
    <w:rsid w:val="3F4F6836"/>
    <w:rsid w:val="3F5B1D1E"/>
    <w:rsid w:val="3F5E38E4"/>
    <w:rsid w:val="3F5E636D"/>
    <w:rsid w:val="3F635E9E"/>
    <w:rsid w:val="3F6544F0"/>
    <w:rsid w:val="3F664888"/>
    <w:rsid w:val="3F706DDD"/>
    <w:rsid w:val="3F7E4CEE"/>
    <w:rsid w:val="3F7F5BAB"/>
    <w:rsid w:val="3F806F52"/>
    <w:rsid w:val="3F8643DE"/>
    <w:rsid w:val="3F8C422C"/>
    <w:rsid w:val="3F8F07D0"/>
    <w:rsid w:val="3F906F2B"/>
    <w:rsid w:val="3F914B4C"/>
    <w:rsid w:val="3F996EF8"/>
    <w:rsid w:val="3FAC2959"/>
    <w:rsid w:val="3FAF485D"/>
    <w:rsid w:val="3FB1517B"/>
    <w:rsid w:val="3FBA7699"/>
    <w:rsid w:val="3FBD4DD9"/>
    <w:rsid w:val="3FCA0999"/>
    <w:rsid w:val="3FD15E98"/>
    <w:rsid w:val="3FD258D7"/>
    <w:rsid w:val="3FD53A0B"/>
    <w:rsid w:val="3FD63CE2"/>
    <w:rsid w:val="3FDC15B5"/>
    <w:rsid w:val="3FE22BCE"/>
    <w:rsid w:val="3FEA1E74"/>
    <w:rsid w:val="3FEA4055"/>
    <w:rsid w:val="3FF13812"/>
    <w:rsid w:val="3FF77D02"/>
    <w:rsid w:val="3FF96230"/>
    <w:rsid w:val="3FFB7D65"/>
    <w:rsid w:val="4002719C"/>
    <w:rsid w:val="40077B0C"/>
    <w:rsid w:val="400E605C"/>
    <w:rsid w:val="40124602"/>
    <w:rsid w:val="401340C3"/>
    <w:rsid w:val="40140D7C"/>
    <w:rsid w:val="401531D7"/>
    <w:rsid w:val="401665E6"/>
    <w:rsid w:val="40172BA0"/>
    <w:rsid w:val="402661E4"/>
    <w:rsid w:val="40295C25"/>
    <w:rsid w:val="402B014D"/>
    <w:rsid w:val="40414A80"/>
    <w:rsid w:val="4045442C"/>
    <w:rsid w:val="40477D91"/>
    <w:rsid w:val="4049772B"/>
    <w:rsid w:val="404A30EA"/>
    <w:rsid w:val="40535C13"/>
    <w:rsid w:val="40547796"/>
    <w:rsid w:val="406011E1"/>
    <w:rsid w:val="40655EA2"/>
    <w:rsid w:val="406C194A"/>
    <w:rsid w:val="4073079B"/>
    <w:rsid w:val="40772C5C"/>
    <w:rsid w:val="40797AC9"/>
    <w:rsid w:val="40853139"/>
    <w:rsid w:val="40867291"/>
    <w:rsid w:val="40893D86"/>
    <w:rsid w:val="408C7AAF"/>
    <w:rsid w:val="40922089"/>
    <w:rsid w:val="409809E7"/>
    <w:rsid w:val="409C0254"/>
    <w:rsid w:val="40B01879"/>
    <w:rsid w:val="40B1753A"/>
    <w:rsid w:val="40B46FB0"/>
    <w:rsid w:val="40B60038"/>
    <w:rsid w:val="40BA44E5"/>
    <w:rsid w:val="40D40F2D"/>
    <w:rsid w:val="40D4444D"/>
    <w:rsid w:val="40D83289"/>
    <w:rsid w:val="40E16687"/>
    <w:rsid w:val="40E53625"/>
    <w:rsid w:val="40EC3054"/>
    <w:rsid w:val="40ED1EE8"/>
    <w:rsid w:val="40EF2472"/>
    <w:rsid w:val="40F43CAD"/>
    <w:rsid w:val="40F677BC"/>
    <w:rsid w:val="41076015"/>
    <w:rsid w:val="410B0729"/>
    <w:rsid w:val="410D2AEC"/>
    <w:rsid w:val="410D4291"/>
    <w:rsid w:val="411A5509"/>
    <w:rsid w:val="411B0212"/>
    <w:rsid w:val="411C377C"/>
    <w:rsid w:val="411C62FC"/>
    <w:rsid w:val="41213F6D"/>
    <w:rsid w:val="4125112D"/>
    <w:rsid w:val="412B0028"/>
    <w:rsid w:val="412C6A12"/>
    <w:rsid w:val="412E4849"/>
    <w:rsid w:val="41320FF8"/>
    <w:rsid w:val="41395578"/>
    <w:rsid w:val="413B32C1"/>
    <w:rsid w:val="41411DB9"/>
    <w:rsid w:val="41427591"/>
    <w:rsid w:val="41490DDA"/>
    <w:rsid w:val="41493B90"/>
    <w:rsid w:val="414B088B"/>
    <w:rsid w:val="414C5505"/>
    <w:rsid w:val="415E02D0"/>
    <w:rsid w:val="415F5DDD"/>
    <w:rsid w:val="416275BE"/>
    <w:rsid w:val="41685710"/>
    <w:rsid w:val="41755E76"/>
    <w:rsid w:val="417879C3"/>
    <w:rsid w:val="417F4792"/>
    <w:rsid w:val="418C4B15"/>
    <w:rsid w:val="419148E6"/>
    <w:rsid w:val="41986134"/>
    <w:rsid w:val="41AC3202"/>
    <w:rsid w:val="41AD5699"/>
    <w:rsid w:val="41AE1CB5"/>
    <w:rsid w:val="41B07729"/>
    <w:rsid w:val="41B36C44"/>
    <w:rsid w:val="41B81EDF"/>
    <w:rsid w:val="41B833FF"/>
    <w:rsid w:val="41B83F03"/>
    <w:rsid w:val="41C05F42"/>
    <w:rsid w:val="41C30648"/>
    <w:rsid w:val="41C43E6C"/>
    <w:rsid w:val="41C71076"/>
    <w:rsid w:val="41C9241A"/>
    <w:rsid w:val="41CC4D9B"/>
    <w:rsid w:val="41CF2491"/>
    <w:rsid w:val="41D40CE2"/>
    <w:rsid w:val="41D91A59"/>
    <w:rsid w:val="41D935C1"/>
    <w:rsid w:val="41E77BF5"/>
    <w:rsid w:val="41F61516"/>
    <w:rsid w:val="41F72FDC"/>
    <w:rsid w:val="41FC0454"/>
    <w:rsid w:val="41FE1C88"/>
    <w:rsid w:val="4201219D"/>
    <w:rsid w:val="420211AD"/>
    <w:rsid w:val="4203444F"/>
    <w:rsid w:val="42092259"/>
    <w:rsid w:val="42093287"/>
    <w:rsid w:val="420C77A9"/>
    <w:rsid w:val="420E3125"/>
    <w:rsid w:val="420F6DFD"/>
    <w:rsid w:val="42147D6E"/>
    <w:rsid w:val="421A2497"/>
    <w:rsid w:val="421F7186"/>
    <w:rsid w:val="42233E63"/>
    <w:rsid w:val="42251300"/>
    <w:rsid w:val="4227444D"/>
    <w:rsid w:val="42277EB2"/>
    <w:rsid w:val="4232345B"/>
    <w:rsid w:val="42357DC7"/>
    <w:rsid w:val="423B6E95"/>
    <w:rsid w:val="423C2495"/>
    <w:rsid w:val="423E69D7"/>
    <w:rsid w:val="42451AAC"/>
    <w:rsid w:val="42456560"/>
    <w:rsid w:val="42467EAF"/>
    <w:rsid w:val="424A7EFD"/>
    <w:rsid w:val="424B24A9"/>
    <w:rsid w:val="424C38D8"/>
    <w:rsid w:val="424F038C"/>
    <w:rsid w:val="425210D4"/>
    <w:rsid w:val="42530267"/>
    <w:rsid w:val="425E70F3"/>
    <w:rsid w:val="426F4AAD"/>
    <w:rsid w:val="427730C7"/>
    <w:rsid w:val="427752E1"/>
    <w:rsid w:val="4278783A"/>
    <w:rsid w:val="427B1071"/>
    <w:rsid w:val="42A317AB"/>
    <w:rsid w:val="42A86B39"/>
    <w:rsid w:val="42AA0A51"/>
    <w:rsid w:val="42B51FA7"/>
    <w:rsid w:val="42B95AB6"/>
    <w:rsid w:val="42BA228C"/>
    <w:rsid w:val="42BA48A5"/>
    <w:rsid w:val="42BB47D3"/>
    <w:rsid w:val="42BB6928"/>
    <w:rsid w:val="42BF4034"/>
    <w:rsid w:val="42BF5F20"/>
    <w:rsid w:val="42BF7F14"/>
    <w:rsid w:val="42C67F37"/>
    <w:rsid w:val="42CD34F7"/>
    <w:rsid w:val="42CD70C2"/>
    <w:rsid w:val="42D05B7F"/>
    <w:rsid w:val="42D05C3C"/>
    <w:rsid w:val="42D640CA"/>
    <w:rsid w:val="42D97C30"/>
    <w:rsid w:val="42DA5077"/>
    <w:rsid w:val="42E11BF5"/>
    <w:rsid w:val="42E269EB"/>
    <w:rsid w:val="42E321A9"/>
    <w:rsid w:val="42E554E0"/>
    <w:rsid w:val="42E97466"/>
    <w:rsid w:val="42EB5AC1"/>
    <w:rsid w:val="42F51AFD"/>
    <w:rsid w:val="42F60492"/>
    <w:rsid w:val="42FD30CD"/>
    <w:rsid w:val="42FD5C09"/>
    <w:rsid w:val="42FE0E99"/>
    <w:rsid w:val="42FF223C"/>
    <w:rsid w:val="430232CA"/>
    <w:rsid w:val="4305314E"/>
    <w:rsid w:val="43107A85"/>
    <w:rsid w:val="431113F0"/>
    <w:rsid w:val="43161807"/>
    <w:rsid w:val="431D42A6"/>
    <w:rsid w:val="431E3B67"/>
    <w:rsid w:val="4322021F"/>
    <w:rsid w:val="432A67CF"/>
    <w:rsid w:val="432F268D"/>
    <w:rsid w:val="4330185F"/>
    <w:rsid w:val="433B3037"/>
    <w:rsid w:val="43414A3E"/>
    <w:rsid w:val="43465273"/>
    <w:rsid w:val="434B037E"/>
    <w:rsid w:val="434D1551"/>
    <w:rsid w:val="43541381"/>
    <w:rsid w:val="435D4C3C"/>
    <w:rsid w:val="436F74B5"/>
    <w:rsid w:val="43733939"/>
    <w:rsid w:val="4378523D"/>
    <w:rsid w:val="437B51FC"/>
    <w:rsid w:val="437E00E5"/>
    <w:rsid w:val="43821076"/>
    <w:rsid w:val="4387766A"/>
    <w:rsid w:val="438A7C4E"/>
    <w:rsid w:val="438C12E1"/>
    <w:rsid w:val="43916D8B"/>
    <w:rsid w:val="43973010"/>
    <w:rsid w:val="439A62FE"/>
    <w:rsid w:val="439C344C"/>
    <w:rsid w:val="43A22570"/>
    <w:rsid w:val="43A41B85"/>
    <w:rsid w:val="43B223EC"/>
    <w:rsid w:val="43B439EA"/>
    <w:rsid w:val="43BA0D53"/>
    <w:rsid w:val="43C6661D"/>
    <w:rsid w:val="43C7394C"/>
    <w:rsid w:val="43D0355E"/>
    <w:rsid w:val="43D35D51"/>
    <w:rsid w:val="43D817BA"/>
    <w:rsid w:val="43D83358"/>
    <w:rsid w:val="43D83C3A"/>
    <w:rsid w:val="43D85252"/>
    <w:rsid w:val="43D91A30"/>
    <w:rsid w:val="43D94062"/>
    <w:rsid w:val="43DB5251"/>
    <w:rsid w:val="43DB7CBB"/>
    <w:rsid w:val="43DE59AF"/>
    <w:rsid w:val="43E0178D"/>
    <w:rsid w:val="43ED2915"/>
    <w:rsid w:val="43F12F5E"/>
    <w:rsid w:val="43FC34AC"/>
    <w:rsid w:val="43FE4B31"/>
    <w:rsid w:val="440568F6"/>
    <w:rsid w:val="440D558D"/>
    <w:rsid w:val="440F5413"/>
    <w:rsid w:val="44144A0B"/>
    <w:rsid w:val="44165C5B"/>
    <w:rsid w:val="4418112F"/>
    <w:rsid w:val="44195384"/>
    <w:rsid w:val="441A188A"/>
    <w:rsid w:val="441B3F16"/>
    <w:rsid w:val="44202793"/>
    <w:rsid w:val="442120E8"/>
    <w:rsid w:val="44220D74"/>
    <w:rsid w:val="442615AD"/>
    <w:rsid w:val="44332EE6"/>
    <w:rsid w:val="44352C51"/>
    <w:rsid w:val="443732BE"/>
    <w:rsid w:val="4439521C"/>
    <w:rsid w:val="443E5762"/>
    <w:rsid w:val="444038ED"/>
    <w:rsid w:val="44434539"/>
    <w:rsid w:val="444A55C6"/>
    <w:rsid w:val="444B07AA"/>
    <w:rsid w:val="444B17F6"/>
    <w:rsid w:val="444E7618"/>
    <w:rsid w:val="4451621B"/>
    <w:rsid w:val="44521DB8"/>
    <w:rsid w:val="446138AA"/>
    <w:rsid w:val="44631AC5"/>
    <w:rsid w:val="446D40B0"/>
    <w:rsid w:val="447103B5"/>
    <w:rsid w:val="44763132"/>
    <w:rsid w:val="4477066C"/>
    <w:rsid w:val="447809C5"/>
    <w:rsid w:val="447F2C95"/>
    <w:rsid w:val="44824D59"/>
    <w:rsid w:val="44852E04"/>
    <w:rsid w:val="44856B62"/>
    <w:rsid w:val="44867920"/>
    <w:rsid w:val="448B5149"/>
    <w:rsid w:val="4499763B"/>
    <w:rsid w:val="449A15B7"/>
    <w:rsid w:val="449D4475"/>
    <w:rsid w:val="449F19A5"/>
    <w:rsid w:val="44A27DF1"/>
    <w:rsid w:val="44B13B3B"/>
    <w:rsid w:val="44B23CE9"/>
    <w:rsid w:val="44B7452D"/>
    <w:rsid w:val="44B87D9E"/>
    <w:rsid w:val="44BF150B"/>
    <w:rsid w:val="44C02DF5"/>
    <w:rsid w:val="44C1269C"/>
    <w:rsid w:val="44CD4B42"/>
    <w:rsid w:val="44CD5E7C"/>
    <w:rsid w:val="44D37918"/>
    <w:rsid w:val="44D86619"/>
    <w:rsid w:val="44D95FAA"/>
    <w:rsid w:val="44E74577"/>
    <w:rsid w:val="44EB6027"/>
    <w:rsid w:val="44F00E1D"/>
    <w:rsid w:val="44F144B3"/>
    <w:rsid w:val="44F16238"/>
    <w:rsid w:val="44FB51B5"/>
    <w:rsid w:val="44FB567A"/>
    <w:rsid w:val="45034D95"/>
    <w:rsid w:val="45036403"/>
    <w:rsid w:val="45072A8B"/>
    <w:rsid w:val="450878ED"/>
    <w:rsid w:val="450D2BA2"/>
    <w:rsid w:val="45126553"/>
    <w:rsid w:val="451C1F6F"/>
    <w:rsid w:val="45250B8B"/>
    <w:rsid w:val="45255F3F"/>
    <w:rsid w:val="45260D20"/>
    <w:rsid w:val="452D0433"/>
    <w:rsid w:val="452D5624"/>
    <w:rsid w:val="453051A4"/>
    <w:rsid w:val="45317D7C"/>
    <w:rsid w:val="45343151"/>
    <w:rsid w:val="453919CA"/>
    <w:rsid w:val="453A4373"/>
    <w:rsid w:val="453C0895"/>
    <w:rsid w:val="453E18D7"/>
    <w:rsid w:val="4544362E"/>
    <w:rsid w:val="454A6CBD"/>
    <w:rsid w:val="454D0C2C"/>
    <w:rsid w:val="454E7431"/>
    <w:rsid w:val="454F17BA"/>
    <w:rsid w:val="454F55AD"/>
    <w:rsid w:val="45563C08"/>
    <w:rsid w:val="45570BED"/>
    <w:rsid w:val="45572080"/>
    <w:rsid w:val="4559275B"/>
    <w:rsid w:val="455C03E1"/>
    <w:rsid w:val="45614E39"/>
    <w:rsid w:val="45685E1B"/>
    <w:rsid w:val="456B4E25"/>
    <w:rsid w:val="45731BFF"/>
    <w:rsid w:val="457F73BB"/>
    <w:rsid w:val="45855290"/>
    <w:rsid w:val="45856A09"/>
    <w:rsid w:val="4587101B"/>
    <w:rsid w:val="458B2213"/>
    <w:rsid w:val="4595455C"/>
    <w:rsid w:val="45A25AE9"/>
    <w:rsid w:val="45A46732"/>
    <w:rsid w:val="45A57BAB"/>
    <w:rsid w:val="45A731F4"/>
    <w:rsid w:val="45B0201C"/>
    <w:rsid w:val="45B2433A"/>
    <w:rsid w:val="45B32A0A"/>
    <w:rsid w:val="45B7129A"/>
    <w:rsid w:val="45BD54B0"/>
    <w:rsid w:val="45BF1EEC"/>
    <w:rsid w:val="45C30775"/>
    <w:rsid w:val="45CF283C"/>
    <w:rsid w:val="45D621FA"/>
    <w:rsid w:val="45EA57B3"/>
    <w:rsid w:val="45F7265C"/>
    <w:rsid w:val="45F926A5"/>
    <w:rsid w:val="45FA7EB6"/>
    <w:rsid w:val="46035131"/>
    <w:rsid w:val="460D54A1"/>
    <w:rsid w:val="460F4AB6"/>
    <w:rsid w:val="461358D5"/>
    <w:rsid w:val="46175EB0"/>
    <w:rsid w:val="461A7943"/>
    <w:rsid w:val="4620393A"/>
    <w:rsid w:val="46242CAB"/>
    <w:rsid w:val="46255316"/>
    <w:rsid w:val="46373E32"/>
    <w:rsid w:val="463A3CA4"/>
    <w:rsid w:val="463C7DA0"/>
    <w:rsid w:val="463D71DB"/>
    <w:rsid w:val="464167AA"/>
    <w:rsid w:val="46487415"/>
    <w:rsid w:val="464A0446"/>
    <w:rsid w:val="464A5989"/>
    <w:rsid w:val="464B5EB2"/>
    <w:rsid w:val="465055AB"/>
    <w:rsid w:val="465358D7"/>
    <w:rsid w:val="465463EA"/>
    <w:rsid w:val="46570DD6"/>
    <w:rsid w:val="465F3DCA"/>
    <w:rsid w:val="46615113"/>
    <w:rsid w:val="46620999"/>
    <w:rsid w:val="466227A1"/>
    <w:rsid w:val="46636318"/>
    <w:rsid w:val="466420F5"/>
    <w:rsid w:val="466C412C"/>
    <w:rsid w:val="46716009"/>
    <w:rsid w:val="46720739"/>
    <w:rsid w:val="46725C02"/>
    <w:rsid w:val="467611E9"/>
    <w:rsid w:val="46790C70"/>
    <w:rsid w:val="467D7370"/>
    <w:rsid w:val="468416AF"/>
    <w:rsid w:val="4684271E"/>
    <w:rsid w:val="46854FE7"/>
    <w:rsid w:val="46863636"/>
    <w:rsid w:val="469152D6"/>
    <w:rsid w:val="46921989"/>
    <w:rsid w:val="46952A17"/>
    <w:rsid w:val="46976071"/>
    <w:rsid w:val="469800AA"/>
    <w:rsid w:val="469A701B"/>
    <w:rsid w:val="469D2ABE"/>
    <w:rsid w:val="469D7DE5"/>
    <w:rsid w:val="46A03B64"/>
    <w:rsid w:val="46A20047"/>
    <w:rsid w:val="46A539B2"/>
    <w:rsid w:val="46A60FBB"/>
    <w:rsid w:val="46A73210"/>
    <w:rsid w:val="46AF1656"/>
    <w:rsid w:val="46B568F0"/>
    <w:rsid w:val="46B608C6"/>
    <w:rsid w:val="46B60A9E"/>
    <w:rsid w:val="46BA30C4"/>
    <w:rsid w:val="46BC19DC"/>
    <w:rsid w:val="46BF053D"/>
    <w:rsid w:val="46CA0935"/>
    <w:rsid w:val="46CF0839"/>
    <w:rsid w:val="46D221C5"/>
    <w:rsid w:val="46D40345"/>
    <w:rsid w:val="46D60867"/>
    <w:rsid w:val="46DA4D06"/>
    <w:rsid w:val="46DE1984"/>
    <w:rsid w:val="46EE5581"/>
    <w:rsid w:val="46F005C0"/>
    <w:rsid w:val="46F76B40"/>
    <w:rsid w:val="46FA1F66"/>
    <w:rsid w:val="46FB6EB2"/>
    <w:rsid w:val="47040499"/>
    <w:rsid w:val="47092513"/>
    <w:rsid w:val="47093130"/>
    <w:rsid w:val="47096DCE"/>
    <w:rsid w:val="470A255F"/>
    <w:rsid w:val="47120709"/>
    <w:rsid w:val="47166083"/>
    <w:rsid w:val="471E20BB"/>
    <w:rsid w:val="4724155A"/>
    <w:rsid w:val="472456F8"/>
    <w:rsid w:val="472B06F6"/>
    <w:rsid w:val="47375159"/>
    <w:rsid w:val="47406056"/>
    <w:rsid w:val="474840D9"/>
    <w:rsid w:val="474A3043"/>
    <w:rsid w:val="474B2B10"/>
    <w:rsid w:val="47516D3C"/>
    <w:rsid w:val="47615CC0"/>
    <w:rsid w:val="47643C7B"/>
    <w:rsid w:val="476E021D"/>
    <w:rsid w:val="477171FC"/>
    <w:rsid w:val="47797541"/>
    <w:rsid w:val="477B5067"/>
    <w:rsid w:val="477E3F91"/>
    <w:rsid w:val="477F593E"/>
    <w:rsid w:val="478009BC"/>
    <w:rsid w:val="47837860"/>
    <w:rsid w:val="478F4BC9"/>
    <w:rsid w:val="479D7EF2"/>
    <w:rsid w:val="47A4503D"/>
    <w:rsid w:val="47A73234"/>
    <w:rsid w:val="47A8106C"/>
    <w:rsid w:val="47B37855"/>
    <w:rsid w:val="47BC2E73"/>
    <w:rsid w:val="47C0706B"/>
    <w:rsid w:val="47C100FD"/>
    <w:rsid w:val="47C260C9"/>
    <w:rsid w:val="47C94AE5"/>
    <w:rsid w:val="47CA3131"/>
    <w:rsid w:val="47CA3659"/>
    <w:rsid w:val="47CB2D84"/>
    <w:rsid w:val="47D74B84"/>
    <w:rsid w:val="47D9255F"/>
    <w:rsid w:val="47E95DB7"/>
    <w:rsid w:val="47F16AD9"/>
    <w:rsid w:val="47FA67F9"/>
    <w:rsid w:val="48012706"/>
    <w:rsid w:val="48024E07"/>
    <w:rsid w:val="480F0310"/>
    <w:rsid w:val="48121DFF"/>
    <w:rsid w:val="48161EDC"/>
    <w:rsid w:val="481B25AB"/>
    <w:rsid w:val="481B3475"/>
    <w:rsid w:val="4823270D"/>
    <w:rsid w:val="483511A1"/>
    <w:rsid w:val="48363C3F"/>
    <w:rsid w:val="483C6367"/>
    <w:rsid w:val="48413448"/>
    <w:rsid w:val="4841782D"/>
    <w:rsid w:val="484A67E7"/>
    <w:rsid w:val="4850171B"/>
    <w:rsid w:val="48584C5F"/>
    <w:rsid w:val="4858530D"/>
    <w:rsid w:val="485B6180"/>
    <w:rsid w:val="485E7EFD"/>
    <w:rsid w:val="4864539F"/>
    <w:rsid w:val="486811BE"/>
    <w:rsid w:val="48735D3E"/>
    <w:rsid w:val="487638F9"/>
    <w:rsid w:val="48783A9F"/>
    <w:rsid w:val="48792DA2"/>
    <w:rsid w:val="48797A3E"/>
    <w:rsid w:val="487F5590"/>
    <w:rsid w:val="48850C1B"/>
    <w:rsid w:val="488566D3"/>
    <w:rsid w:val="48865A1F"/>
    <w:rsid w:val="48883DE9"/>
    <w:rsid w:val="48887C60"/>
    <w:rsid w:val="48895534"/>
    <w:rsid w:val="48A0432C"/>
    <w:rsid w:val="48A2691D"/>
    <w:rsid w:val="48A51C70"/>
    <w:rsid w:val="48A77590"/>
    <w:rsid w:val="48AC705D"/>
    <w:rsid w:val="48AF400D"/>
    <w:rsid w:val="48B1466D"/>
    <w:rsid w:val="48BC0D87"/>
    <w:rsid w:val="48C1111A"/>
    <w:rsid w:val="48C90EE0"/>
    <w:rsid w:val="48C96A27"/>
    <w:rsid w:val="48CA697E"/>
    <w:rsid w:val="48CF229B"/>
    <w:rsid w:val="48CF27D8"/>
    <w:rsid w:val="48D66860"/>
    <w:rsid w:val="48E5132C"/>
    <w:rsid w:val="48E86D8E"/>
    <w:rsid w:val="48ED4B44"/>
    <w:rsid w:val="48EF4217"/>
    <w:rsid w:val="48F85155"/>
    <w:rsid w:val="48FD65CC"/>
    <w:rsid w:val="48FE1300"/>
    <w:rsid w:val="49000159"/>
    <w:rsid w:val="490E6B6D"/>
    <w:rsid w:val="49101CE8"/>
    <w:rsid w:val="491069A0"/>
    <w:rsid w:val="4911573F"/>
    <w:rsid w:val="491541CE"/>
    <w:rsid w:val="49194517"/>
    <w:rsid w:val="491A729C"/>
    <w:rsid w:val="491C04ED"/>
    <w:rsid w:val="491F1204"/>
    <w:rsid w:val="491F2848"/>
    <w:rsid w:val="492126E4"/>
    <w:rsid w:val="49236E55"/>
    <w:rsid w:val="49263A68"/>
    <w:rsid w:val="49273631"/>
    <w:rsid w:val="49334FE8"/>
    <w:rsid w:val="493922C5"/>
    <w:rsid w:val="49402FD6"/>
    <w:rsid w:val="49416FD5"/>
    <w:rsid w:val="49461CB1"/>
    <w:rsid w:val="4948136D"/>
    <w:rsid w:val="494A20A8"/>
    <w:rsid w:val="494F4CB6"/>
    <w:rsid w:val="494F6EF5"/>
    <w:rsid w:val="49574696"/>
    <w:rsid w:val="49593D03"/>
    <w:rsid w:val="495B2E9B"/>
    <w:rsid w:val="495C5F77"/>
    <w:rsid w:val="495D0262"/>
    <w:rsid w:val="49607D7F"/>
    <w:rsid w:val="4962212A"/>
    <w:rsid w:val="496D3284"/>
    <w:rsid w:val="496E65A5"/>
    <w:rsid w:val="497440CE"/>
    <w:rsid w:val="4977185E"/>
    <w:rsid w:val="49780056"/>
    <w:rsid w:val="497A10CB"/>
    <w:rsid w:val="49802B7F"/>
    <w:rsid w:val="49897B9C"/>
    <w:rsid w:val="498A0193"/>
    <w:rsid w:val="498F6F1D"/>
    <w:rsid w:val="49904251"/>
    <w:rsid w:val="49911F2F"/>
    <w:rsid w:val="49921B79"/>
    <w:rsid w:val="499568F7"/>
    <w:rsid w:val="499D58F8"/>
    <w:rsid w:val="499D72DA"/>
    <w:rsid w:val="49A01472"/>
    <w:rsid w:val="49A104F8"/>
    <w:rsid w:val="49A22DA9"/>
    <w:rsid w:val="49A2590B"/>
    <w:rsid w:val="49A354E3"/>
    <w:rsid w:val="49A972CC"/>
    <w:rsid w:val="49B122D8"/>
    <w:rsid w:val="49B167B9"/>
    <w:rsid w:val="49B30948"/>
    <w:rsid w:val="49B74498"/>
    <w:rsid w:val="49B77222"/>
    <w:rsid w:val="49B84044"/>
    <w:rsid w:val="49BB4B49"/>
    <w:rsid w:val="49BD73EB"/>
    <w:rsid w:val="49BE436A"/>
    <w:rsid w:val="49BE5D15"/>
    <w:rsid w:val="49C56195"/>
    <w:rsid w:val="49C77B6B"/>
    <w:rsid w:val="49C82186"/>
    <w:rsid w:val="49C8531C"/>
    <w:rsid w:val="49CC1165"/>
    <w:rsid w:val="49D956A5"/>
    <w:rsid w:val="49F211CD"/>
    <w:rsid w:val="49F42993"/>
    <w:rsid w:val="4A0B78D0"/>
    <w:rsid w:val="4A0D1F02"/>
    <w:rsid w:val="4A120643"/>
    <w:rsid w:val="4A1208D3"/>
    <w:rsid w:val="4A176168"/>
    <w:rsid w:val="4A186D29"/>
    <w:rsid w:val="4A2723A4"/>
    <w:rsid w:val="4A312A93"/>
    <w:rsid w:val="4A33515C"/>
    <w:rsid w:val="4A3C18F2"/>
    <w:rsid w:val="4A3C2A1F"/>
    <w:rsid w:val="4A3E78BE"/>
    <w:rsid w:val="4A4534FA"/>
    <w:rsid w:val="4A453ED2"/>
    <w:rsid w:val="4A4910E0"/>
    <w:rsid w:val="4A4A41B1"/>
    <w:rsid w:val="4A4C7FEE"/>
    <w:rsid w:val="4A502BBF"/>
    <w:rsid w:val="4A510B46"/>
    <w:rsid w:val="4A645BA7"/>
    <w:rsid w:val="4A694B0A"/>
    <w:rsid w:val="4A6F700F"/>
    <w:rsid w:val="4A752206"/>
    <w:rsid w:val="4A7B7A6F"/>
    <w:rsid w:val="4A820D49"/>
    <w:rsid w:val="4A850E79"/>
    <w:rsid w:val="4A8F53DC"/>
    <w:rsid w:val="4A91532F"/>
    <w:rsid w:val="4A996C49"/>
    <w:rsid w:val="4AA55460"/>
    <w:rsid w:val="4AA97A71"/>
    <w:rsid w:val="4AAA2137"/>
    <w:rsid w:val="4AAF7F03"/>
    <w:rsid w:val="4AB06AAE"/>
    <w:rsid w:val="4AB17471"/>
    <w:rsid w:val="4AB23706"/>
    <w:rsid w:val="4AB5568D"/>
    <w:rsid w:val="4AB663B6"/>
    <w:rsid w:val="4ABF5CA8"/>
    <w:rsid w:val="4AC24F24"/>
    <w:rsid w:val="4AC302E6"/>
    <w:rsid w:val="4AC373B7"/>
    <w:rsid w:val="4AD70179"/>
    <w:rsid w:val="4ADC6030"/>
    <w:rsid w:val="4AE503CA"/>
    <w:rsid w:val="4AE8204F"/>
    <w:rsid w:val="4AE85B24"/>
    <w:rsid w:val="4AEC5530"/>
    <w:rsid w:val="4AF9326D"/>
    <w:rsid w:val="4AFA788A"/>
    <w:rsid w:val="4B0454B2"/>
    <w:rsid w:val="4B0B565B"/>
    <w:rsid w:val="4B0D0AAD"/>
    <w:rsid w:val="4B0F33EF"/>
    <w:rsid w:val="4B0F4579"/>
    <w:rsid w:val="4B127A66"/>
    <w:rsid w:val="4B1B3604"/>
    <w:rsid w:val="4B1D1F9E"/>
    <w:rsid w:val="4B1E39C0"/>
    <w:rsid w:val="4B303F1C"/>
    <w:rsid w:val="4B321510"/>
    <w:rsid w:val="4B336757"/>
    <w:rsid w:val="4B345DCE"/>
    <w:rsid w:val="4B373DFD"/>
    <w:rsid w:val="4B3B43DA"/>
    <w:rsid w:val="4B3C1E06"/>
    <w:rsid w:val="4B3D7327"/>
    <w:rsid w:val="4B505CF0"/>
    <w:rsid w:val="4B506800"/>
    <w:rsid w:val="4B5A0963"/>
    <w:rsid w:val="4B633B9B"/>
    <w:rsid w:val="4B655FDE"/>
    <w:rsid w:val="4B670764"/>
    <w:rsid w:val="4B730CC1"/>
    <w:rsid w:val="4B7F37D7"/>
    <w:rsid w:val="4B81297E"/>
    <w:rsid w:val="4B843D86"/>
    <w:rsid w:val="4B85187A"/>
    <w:rsid w:val="4B896423"/>
    <w:rsid w:val="4B8B2955"/>
    <w:rsid w:val="4B8D1160"/>
    <w:rsid w:val="4B8D5508"/>
    <w:rsid w:val="4B8F51A8"/>
    <w:rsid w:val="4B91084F"/>
    <w:rsid w:val="4BB40B2B"/>
    <w:rsid w:val="4BB44E60"/>
    <w:rsid w:val="4BB73535"/>
    <w:rsid w:val="4BBC3EE3"/>
    <w:rsid w:val="4BC11A80"/>
    <w:rsid w:val="4BD25C3F"/>
    <w:rsid w:val="4BE05178"/>
    <w:rsid w:val="4BE15528"/>
    <w:rsid w:val="4BE9732E"/>
    <w:rsid w:val="4BED13D4"/>
    <w:rsid w:val="4BF74312"/>
    <w:rsid w:val="4BF91E90"/>
    <w:rsid w:val="4BF9369F"/>
    <w:rsid w:val="4BFD6A98"/>
    <w:rsid w:val="4BFE7811"/>
    <w:rsid w:val="4C0034EE"/>
    <w:rsid w:val="4C00783C"/>
    <w:rsid w:val="4C0238F8"/>
    <w:rsid w:val="4C0772C6"/>
    <w:rsid w:val="4C0E3B8B"/>
    <w:rsid w:val="4C1676E6"/>
    <w:rsid w:val="4C1B2729"/>
    <w:rsid w:val="4C216365"/>
    <w:rsid w:val="4C2A6ADB"/>
    <w:rsid w:val="4C2C1F3D"/>
    <w:rsid w:val="4C3773B6"/>
    <w:rsid w:val="4C3862AD"/>
    <w:rsid w:val="4C395935"/>
    <w:rsid w:val="4C3A3C54"/>
    <w:rsid w:val="4C423D6E"/>
    <w:rsid w:val="4C457B98"/>
    <w:rsid w:val="4C4E0520"/>
    <w:rsid w:val="4C4E14FD"/>
    <w:rsid w:val="4C4F6918"/>
    <w:rsid w:val="4C5913AB"/>
    <w:rsid w:val="4C5B0D08"/>
    <w:rsid w:val="4C5B4D3F"/>
    <w:rsid w:val="4C65188A"/>
    <w:rsid w:val="4C7F5F80"/>
    <w:rsid w:val="4C800ACB"/>
    <w:rsid w:val="4C872A0F"/>
    <w:rsid w:val="4C880754"/>
    <w:rsid w:val="4C891ECB"/>
    <w:rsid w:val="4C8C252F"/>
    <w:rsid w:val="4C8E59E1"/>
    <w:rsid w:val="4C8F1A7A"/>
    <w:rsid w:val="4C935431"/>
    <w:rsid w:val="4C947432"/>
    <w:rsid w:val="4C9956D3"/>
    <w:rsid w:val="4CA41E7C"/>
    <w:rsid w:val="4CA52414"/>
    <w:rsid w:val="4CA80F94"/>
    <w:rsid w:val="4CB20939"/>
    <w:rsid w:val="4CC17850"/>
    <w:rsid w:val="4CCC0C5B"/>
    <w:rsid w:val="4CCD0FB4"/>
    <w:rsid w:val="4CD02CE7"/>
    <w:rsid w:val="4CD66AE1"/>
    <w:rsid w:val="4CDB2104"/>
    <w:rsid w:val="4CE11EE9"/>
    <w:rsid w:val="4CE61080"/>
    <w:rsid w:val="4CEC7ECD"/>
    <w:rsid w:val="4CEF0171"/>
    <w:rsid w:val="4CF2180D"/>
    <w:rsid w:val="4CF3546E"/>
    <w:rsid w:val="4CFC1A3C"/>
    <w:rsid w:val="4CFD0C8B"/>
    <w:rsid w:val="4CFF754E"/>
    <w:rsid w:val="4D15313C"/>
    <w:rsid w:val="4D165787"/>
    <w:rsid w:val="4D1B1509"/>
    <w:rsid w:val="4D1B5695"/>
    <w:rsid w:val="4D212EE6"/>
    <w:rsid w:val="4D280356"/>
    <w:rsid w:val="4D2B4AC9"/>
    <w:rsid w:val="4D3670F8"/>
    <w:rsid w:val="4D37462E"/>
    <w:rsid w:val="4D3A6833"/>
    <w:rsid w:val="4D3D6951"/>
    <w:rsid w:val="4D404F17"/>
    <w:rsid w:val="4D412D95"/>
    <w:rsid w:val="4D422FA5"/>
    <w:rsid w:val="4D437C10"/>
    <w:rsid w:val="4D4C033F"/>
    <w:rsid w:val="4D4E7BB0"/>
    <w:rsid w:val="4D506ABC"/>
    <w:rsid w:val="4D587A12"/>
    <w:rsid w:val="4D625881"/>
    <w:rsid w:val="4D635DCD"/>
    <w:rsid w:val="4D6665AB"/>
    <w:rsid w:val="4D680D9C"/>
    <w:rsid w:val="4D6C1262"/>
    <w:rsid w:val="4D772A80"/>
    <w:rsid w:val="4D7D0063"/>
    <w:rsid w:val="4D802E31"/>
    <w:rsid w:val="4D8208C5"/>
    <w:rsid w:val="4D854884"/>
    <w:rsid w:val="4D8B070C"/>
    <w:rsid w:val="4D8B29BA"/>
    <w:rsid w:val="4D8E3934"/>
    <w:rsid w:val="4D903EE5"/>
    <w:rsid w:val="4D915F08"/>
    <w:rsid w:val="4D930ED1"/>
    <w:rsid w:val="4D95480A"/>
    <w:rsid w:val="4D980C9A"/>
    <w:rsid w:val="4D9B4D96"/>
    <w:rsid w:val="4DA24990"/>
    <w:rsid w:val="4DA94885"/>
    <w:rsid w:val="4DB239C7"/>
    <w:rsid w:val="4DB55560"/>
    <w:rsid w:val="4DB57DB1"/>
    <w:rsid w:val="4DBE38DA"/>
    <w:rsid w:val="4DC80515"/>
    <w:rsid w:val="4DD67A08"/>
    <w:rsid w:val="4DD728CB"/>
    <w:rsid w:val="4DD926F3"/>
    <w:rsid w:val="4DE324E8"/>
    <w:rsid w:val="4DE96438"/>
    <w:rsid w:val="4DFC6D77"/>
    <w:rsid w:val="4E05512F"/>
    <w:rsid w:val="4E080D37"/>
    <w:rsid w:val="4E116331"/>
    <w:rsid w:val="4E146DE5"/>
    <w:rsid w:val="4E1974AF"/>
    <w:rsid w:val="4E217F74"/>
    <w:rsid w:val="4E2273F7"/>
    <w:rsid w:val="4E232710"/>
    <w:rsid w:val="4E244590"/>
    <w:rsid w:val="4E2803B1"/>
    <w:rsid w:val="4E315BCB"/>
    <w:rsid w:val="4E323E00"/>
    <w:rsid w:val="4E353A96"/>
    <w:rsid w:val="4E453822"/>
    <w:rsid w:val="4E46611C"/>
    <w:rsid w:val="4E4927F4"/>
    <w:rsid w:val="4E51033C"/>
    <w:rsid w:val="4E5718DD"/>
    <w:rsid w:val="4E5D76DE"/>
    <w:rsid w:val="4E645B44"/>
    <w:rsid w:val="4E653EFD"/>
    <w:rsid w:val="4E6557BF"/>
    <w:rsid w:val="4E7052BB"/>
    <w:rsid w:val="4E712D20"/>
    <w:rsid w:val="4E7328AB"/>
    <w:rsid w:val="4E747FFD"/>
    <w:rsid w:val="4E7726C6"/>
    <w:rsid w:val="4E7F00FF"/>
    <w:rsid w:val="4E81195C"/>
    <w:rsid w:val="4E8567CB"/>
    <w:rsid w:val="4E88043D"/>
    <w:rsid w:val="4E89397A"/>
    <w:rsid w:val="4E8967B0"/>
    <w:rsid w:val="4E8E4F50"/>
    <w:rsid w:val="4EA645D2"/>
    <w:rsid w:val="4EA763E0"/>
    <w:rsid w:val="4EAC5A56"/>
    <w:rsid w:val="4EAF1D8D"/>
    <w:rsid w:val="4EB16962"/>
    <w:rsid w:val="4EB37252"/>
    <w:rsid w:val="4EB851DA"/>
    <w:rsid w:val="4EBB3F9B"/>
    <w:rsid w:val="4EBF1598"/>
    <w:rsid w:val="4EC23758"/>
    <w:rsid w:val="4EC40038"/>
    <w:rsid w:val="4ED25D72"/>
    <w:rsid w:val="4EDE4B71"/>
    <w:rsid w:val="4EE0449A"/>
    <w:rsid w:val="4EE30163"/>
    <w:rsid w:val="4EE43E31"/>
    <w:rsid w:val="4EE53111"/>
    <w:rsid w:val="4EE83395"/>
    <w:rsid w:val="4EFC0CB9"/>
    <w:rsid w:val="4EFC3EC7"/>
    <w:rsid w:val="4F0B3E29"/>
    <w:rsid w:val="4F0D658C"/>
    <w:rsid w:val="4F0E534E"/>
    <w:rsid w:val="4F0F3F48"/>
    <w:rsid w:val="4F1B0E0D"/>
    <w:rsid w:val="4F1F413E"/>
    <w:rsid w:val="4F2309CE"/>
    <w:rsid w:val="4F236021"/>
    <w:rsid w:val="4F2417F9"/>
    <w:rsid w:val="4F390391"/>
    <w:rsid w:val="4F4128B4"/>
    <w:rsid w:val="4F472DFA"/>
    <w:rsid w:val="4F476973"/>
    <w:rsid w:val="4F496B4A"/>
    <w:rsid w:val="4F4B45C9"/>
    <w:rsid w:val="4F516C90"/>
    <w:rsid w:val="4F5304FA"/>
    <w:rsid w:val="4F5847FB"/>
    <w:rsid w:val="4F675005"/>
    <w:rsid w:val="4F687C61"/>
    <w:rsid w:val="4F6B70F2"/>
    <w:rsid w:val="4F6D2D8A"/>
    <w:rsid w:val="4F7065D1"/>
    <w:rsid w:val="4F742121"/>
    <w:rsid w:val="4F7476FD"/>
    <w:rsid w:val="4F7A5351"/>
    <w:rsid w:val="4F7E4952"/>
    <w:rsid w:val="4F837A29"/>
    <w:rsid w:val="4F86338A"/>
    <w:rsid w:val="4F8B5808"/>
    <w:rsid w:val="4F8E2544"/>
    <w:rsid w:val="4F8E4617"/>
    <w:rsid w:val="4F925571"/>
    <w:rsid w:val="4F936F2A"/>
    <w:rsid w:val="4F96364E"/>
    <w:rsid w:val="4F98380F"/>
    <w:rsid w:val="4F9A7781"/>
    <w:rsid w:val="4FA07208"/>
    <w:rsid w:val="4FA32FA9"/>
    <w:rsid w:val="4FA4526D"/>
    <w:rsid w:val="4FA87E37"/>
    <w:rsid w:val="4FB67AB1"/>
    <w:rsid w:val="4FCB2433"/>
    <w:rsid w:val="4FCC40FE"/>
    <w:rsid w:val="4FD24E42"/>
    <w:rsid w:val="4FD25A40"/>
    <w:rsid w:val="4FD67CAF"/>
    <w:rsid w:val="4FDB6E33"/>
    <w:rsid w:val="4FE21618"/>
    <w:rsid w:val="4FEB6442"/>
    <w:rsid w:val="4FED16FD"/>
    <w:rsid w:val="4FF226EC"/>
    <w:rsid w:val="4FF4644B"/>
    <w:rsid w:val="4FF7694A"/>
    <w:rsid w:val="4FFE6EE3"/>
    <w:rsid w:val="4FFF2653"/>
    <w:rsid w:val="5003470A"/>
    <w:rsid w:val="50063CE4"/>
    <w:rsid w:val="500719A8"/>
    <w:rsid w:val="500C1018"/>
    <w:rsid w:val="500D7377"/>
    <w:rsid w:val="50102806"/>
    <w:rsid w:val="50111DDB"/>
    <w:rsid w:val="501C32AE"/>
    <w:rsid w:val="501C5B18"/>
    <w:rsid w:val="501D7359"/>
    <w:rsid w:val="50251035"/>
    <w:rsid w:val="50263A4B"/>
    <w:rsid w:val="50342B46"/>
    <w:rsid w:val="503B6B5D"/>
    <w:rsid w:val="503E61C5"/>
    <w:rsid w:val="504471EB"/>
    <w:rsid w:val="50495A01"/>
    <w:rsid w:val="504E1059"/>
    <w:rsid w:val="505F6936"/>
    <w:rsid w:val="50605E04"/>
    <w:rsid w:val="506561EC"/>
    <w:rsid w:val="50675283"/>
    <w:rsid w:val="5068716D"/>
    <w:rsid w:val="506D6EB7"/>
    <w:rsid w:val="5073676B"/>
    <w:rsid w:val="507B63DF"/>
    <w:rsid w:val="50836016"/>
    <w:rsid w:val="50861EC1"/>
    <w:rsid w:val="5086679A"/>
    <w:rsid w:val="50886760"/>
    <w:rsid w:val="508B76B5"/>
    <w:rsid w:val="508F1D73"/>
    <w:rsid w:val="5091422F"/>
    <w:rsid w:val="509505A3"/>
    <w:rsid w:val="509529BA"/>
    <w:rsid w:val="50A16416"/>
    <w:rsid w:val="50A34159"/>
    <w:rsid w:val="50A52434"/>
    <w:rsid w:val="50AE60D6"/>
    <w:rsid w:val="50B11554"/>
    <w:rsid w:val="50B8253C"/>
    <w:rsid w:val="50B852D4"/>
    <w:rsid w:val="50B90894"/>
    <w:rsid w:val="50BA7486"/>
    <w:rsid w:val="50BD6A55"/>
    <w:rsid w:val="50BD73C3"/>
    <w:rsid w:val="50C0101E"/>
    <w:rsid w:val="50C34300"/>
    <w:rsid w:val="50C861CA"/>
    <w:rsid w:val="50C93EAB"/>
    <w:rsid w:val="50CB2653"/>
    <w:rsid w:val="50CE6DFA"/>
    <w:rsid w:val="50D91050"/>
    <w:rsid w:val="50DF514F"/>
    <w:rsid w:val="50DF7677"/>
    <w:rsid w:val="50E77CEB"/>
    <w:rsid w:val="50EB4629"/>
    <w:rsid w:val="50ED76FC"/>
    <w:rsid w:val="50EE4B69"/>
    <w:rsid w:val="50F23348"/>
    <w:rsid w:val="50FA25E0"/>
    <w:rsid w:val="51012A6E"/>
    <w:rsid w:val="51035B5C"/>
    <w:rsid w:val="5109365E"/>
    <w:rsid w:val="510E3386"/>
    <w:rsid w:val="511237B0"/>
    <w:rsid w:val="511F41C7"/>
    <w:rsid w:val="51332438"/>
    <w:rsid w:val="513464B0"/>
    <w:rsid w:val="51351444"/>
    <w:rsid w:val="513E2906"/>
    <w:rsid w:val="513E5A78"/>
    <w:rsid w:val="51413567"/>
    <w:rsid w:val="5142594D"/>
    <w:rsid w:val="514443A0"/>
    <w:rsid w:val="51495A98"/>
    <w:rsid w:val="514A25AB"/>
    <w:rsid w:val="514E0FD0"/>
    <w:rsid w:val="51501CB8"/>
    <w:rsid w:val="515370B5"/>
    <w:rsid w:val="51574EAB"/>
    <w:rsid w:val="515A279B"/>
    <w:rsid w:val="515B2415"/>
    <w:rsid w:val="515D328D"/>
    <w:rsid w:val="51620D5A"/>
    <w:rsid w:val="516841F5"/>
    <w:rsid w:val="51791BDC"/>
    <w:rsid w:val="51793107"/>
    <w:rsid w:val="517945D3"/>
    <w:rsid w:val="518759F5"/>
    <w:rsid w:val="51876394"/>
    <w:rsid w:val="518838B5"/>
    <w:rsid w:val="518941D1"/>
    <w:rsid w:val="518965D2"/>
    <w:rsid w:val="51923184"/>
    <w:rsid w:val="51A257E1"/>
    <w:rsid w:val="51A90576"/>
    <w:rsid w:val="51AA179A"/>
    <w:rsid w:val="51AB5B89"/>
    <w:rsid w:val="51AF2E52"/>
    <w:rsid w:val="51BD087D"/>
    <w:rsid w:val="51C3153F"/>
    <w:rsid w:val="51C62974"/>
    <w:rsid w:val="51C85DED"/>
    <w:rsid w:val="51CF2646"/>
    <w:rsid w:val="51D13C23"/>
    <w:rsid w:val="51DE5C87"/>
    <w:rsid w:val="51DF2695"/>
    <w:rsid w:val="51E401E6"/>
    <w:rsid w:val="51E53F74"/>
    <w:rsid w:val="51EB233D"/>
    <w:rsid w:val="51EB6210"/>
    <w:rsid w:val="51ED2C68"/>
    <w:rsid w:val="51FA70F1"/>
    <w:rsid w:val="51FC5177"/>
    <w:rsid w:val="52001040"/>
    <w:rsid w:val="520061BC"/>
    <w:rsid w:val="52012F22"/>
    <w:rsid w:val="52070680"/>
    <w:rsid w:val="520733F2"/>
    <w:rsid w:val="520F69AD"/>
    <w:rsid w:val="5210008F"/>
    <w:rsid w:val="52105CC9"/>
    <w:rsid w:val="52110CAF"/>
    <w:rsid w:val="52150B25"/>
    <w:rsid w:val="52151A7A"/>
    <w:rsid w:val="52193FA0"/>
    <w:rsid w:val="521A0C66"/>
    <w:rsid w:val="521F4817"/>
    <w:rsid w:val="52205124"/>
    <w:rsid w:val="52206369"/>
    <w:rsid w:val="52270757"/>
    <w:rsid w:val="523E3E2F"/>
    <w:rsid w:val="524326E1"/>
    <w:rsid w:val="524D1442"/>
    <w:rsid w:val="524F0B3F"/>
    <w:rsid w:val="524F25EC"/>
    <w:rsid w:val="5250487A"/>
    <w:rsid w:val="5252602A"/>
    <w:rsid w:val="525B1586"/>
    <w:rsid w:val="526064B1"/>
    <w:rsid w:val="52690C86"/>
    <w:rsid w:val="526A5229"/>
    <w:rsid w:val="527339B9"/>
    <w:rsid w:val="527449D1"/>
    <w:rsid w:val="52750312"/>
    <w:rsid w:val="527E7FA7"/>
    <w:rsid w:val="52852628"/>
    <w:rsid w:val="528549ED"/>
    <w:rsid w:val="52931C51"/>
    <w:rsid w:val="5297682A"/>
    <w:rsid w:val="5299782E"/>
    <w:rsid w:val="529F7607"/>
    <w:rsid w:val="52A66E27"/>
    <w:rsid w:val="52A77DD3"/>
    <w:rsid w:val="52A866CD"/>
    <w:rsid w:val="52AC289B"/>
    <w:rsid w:val="52AD7835"/>
    <w:rsid w:val="52BA2CF3"/>
    <w:rsid w:val="52BB27C1"/>
    <w:rsid w:val="52BB5896"/>
    <w:rsid w:val="52C80711"/>
    <w:rsid w:val="52CA1454"/>
    <w:rsid w:val="52CB426E"/>
    <w:rsid w:val="52D42966"/>
    <w:rsid w:val="52D83CBE"/>
    <w:rsid w:val="52DA0E76"/>
    <w:rsid w:val="52DE24A4"/>
    <w:rsid w:val="52E02E11"/>
    <w:rsid w:val="52E96027"/>
    <w:rsid w:val="52E96603"/>
    <w:rsid w:val="52EA53F9"/>
    <w:rsid w:val="52EC040A"/>
    <w:rsid w:val="52EC343D"/>
    <w:rsid w:val="52F24141"/>
    <w:rsid w:val="53016EAE"/>
    <w:rsid w:val="53022230"/>
    <w:rsid w:val="53037543"/>
    <w:rsid w:val="53040DD4"/>
    <w:rsid w:val="53092BE3"/>
    <w:rsid w:val="530D3EE7"/>
    <w:rsid w:val="530E50CD"/>
    <w:rsid w:val="53107CE9"/>
    <w:rsid w:val="53116663"/>
    <w:rsid w:val="53123854"/>
    <w:rsid w:val="531E2733"/>
    <w:rsid w:val="53200D63"/>
    <w:rsid w:val="53203EAE"/>
    <w:rsid w:val="5327111C"/>
    <w:rsid w:val="532C315D"/>
    <w:rsid w:val="532D5B2E"/>
    <w:rsid w:val="532F46A7"/>
    <w:rsid w:val="53305429"/>
    <w:rsid w:val="53317E3D"/>
    <w:rsid w:val="533456D4"/>
    <w:rsid w:val="5337618A"/>
    <w:rsid w:val="533F6CB7"/>
    <w:rsid w:val="5343392A"/>
    <w:rsid w:val="534658C8"/>
    <w:rsid w:val="5347211A"/>
    <w:rsid w:val="53476426"/>
    <w:rsid w:val="534870E9"/>
    <w:rsid w:val="534B241D"/>
    <w:rsid w:val="535548EC"/>
    <w:rsid w:val="535804D7"/>
    <w:rsid w:val="53590013"/>
    <w:rsid w:val="535B3604"/>
    <w:rsid w:val="535F4AA8"/>
    <w:rsid w:val="536135F8"/>
    <w:rsid w:val="5362532D"/>
    <w:rsid w:val="53636ECC"/>
    <w:rsid w:val="536621EA"/>
    <w:rsid w:val="536A65D2"/>
    <w:rsid w:val="537144E9"/>
    <w:rsid w:val="53854A37"/>
    <w:rsid w:val="53855149"/>
    <w:rsid w:val="538A03E0"/>
    <w:rsid w:val="538A0BE9"/>
    <w:rsid w:val="538A70F2"/>
    <w:rsid w:val="538C639C"/>
    <w:rsid w:val="538E4CE5"/>
    <w:rsid w:val="53935F6B"/>
    <w:rsid w:val="53A27394"/>
    <w:rsid w:val="53BE4CA5"/>
    <w:rsid w:val="53C50BB1"/>
    <w:rsid w:val="53C82E5F"/>
    <w:rsid w:val="53C961D5"/>
    <w:rsid w:val="53CA00F2"/>
    <w:rsid w:val="53CE2A2F"/>
    <w:rsid w:val="53DB1FEF"/>
    <w:rsid w:val="53DC6321"/>
    <w:rsid w:val="53DE489B"/>
    <w:rsid w:val="53DF0E48"/>
    <w:rsid w:val="53E021B5"/>
    <w:rsid w:val="53E15EE4"/>
    <w:rsid w:val="53E504ED"/>
    <w:rsid w:val="53E623AE"/>
    <w:rsid w:val="53E62704"/>
    <w:rsid w:val="53ED1D5A"/>
    <w:rsid w:val="53EF222C"/>
    <w:rsid w:val="53FB6A99"/>
    <w:rsid w:val="54013248"/>
    <w:rsid w:val="54036357"/>
    <w:rsid w:val="540C7B26"/>
    <w:rsid w:val="540E2C5F"/>
    <w:rsid w:val="54226C53"/>
    <w:rsid w:val="54260313"/>
    <w:rsid w:val="542653F0"/>
    <w:rsid w:val="543207E9"/>
    <w:rsid w:val="54323B36"/>
    <w:rsid w:val="543B1979"/>
    <w:rsid w:val="544071FE"/>
    <w:rsid w:val="54474D8C"/>
    <w:rsid w:val="54481953"/>
    <w:rsid w:val="544C0723"/>
    <w:rsid w:val="544C3972"/>
    <w:rsid w:val="544E23A2"/>
    <w:rsid w:val="54646830"/>
    <w:rsid w:val="54652573"/>
    <w:rsid w:val="54694C0F"/>
    <w:rsid w:val="546E3DF1"/>
    <w:rsid w:val="547A3FE7"/>
    <w:rsid w:val="547B296E"/>
    <w:rsid w:val="547C24E5"/>
    <w:rsid w:val="547D0D60"/>
    <w:rsid w:val="547F25F5"/>
    <w:rsid w:val="547F3870"/>
    <w:rsid w:val="548075C3"/>
    <w:rsid w:val="54833F1A"/>
    <w:rsid w:val="548F4C0D"/>
    <w:rsid w:val="549A005E"/>
    <w:rsid w:val="54A045BE"/>
    <w:rsid w:val="54A32323"/>
    <w:rsid w:val="54AB06B2"/>
    <w:rsid w:val="54AC5879"/>
    <w:rsid w:val="54BB10DA"/>
    <w:rsid w:val="54BC61EF"/>
    <w:rsid w:val="54BD7666"/>
    <w:rsid w:val="54BE4673"/>
    <w:rsid w:val="54BF029A"/>
    <w:rsid w:val="54C31BDE"/>
    <w:rsid w:val="54C62E16"/>
    <w:rsid w:val="54C62FAC"/>
    <w:rsid w:val="54CA6334"/>
    <w:rsid w:val="54CB0818"/>
    <w:rsid w:val="54CB2961"/>
    <w:rsid w:val="54CD55DE"/>
    <w:rsid w:val="54D12B00"/>
    <w:rsid w:val="54D85F2F"/>
    <w:rsid w:val="54D94F04"/>
    <w:rsid w:val="54D96C5B"/>
    <w:rsid w:val="54D97F95"/>
    <w:rsid w:val="54E52FEA"/>
    <w:rsid w:val="54E71FBE"/>
    <w:rsid w:val="54E87E5F"/>
    <w:rsid w:val="54EC7B95"/>
    <w:rsid w:val="54F75F49"/>
    <w:rsid w:val="55014944"/>
    <w:rsid w:val="55037AD6"/>
    <w:rsid w:val="550415F3"/>
    <w:rsid w:val="55095F10"/>
    <w:rsid w:val="550B34E2"/>
    <w:rsid w:val="55125158"/>
    <w:rsid w:val="551E60C8"/>
    <w:rsid w:val="551F5F7D"/>
    <w:rsid w:val="552133AA"/>
    <w:rsid w:val="552F5F65"/>
    <w:rsid w:val="553B4499"/>
    <w:rsid w:val="553E3E60"/>
    <w:rsid w:val="5547595B"/>
    <w:rsid w:val="55582FD5"/>
    <w:rsid w:val="55583BF0"/>
    <w:rsid w:val="555A417E"/>
    <w:rsid w:val="55625588"/>
    <w:rsid w:val="55645A1D"/>
    <w:rsid w:val="55661EFE"/>
    <w:rsid w:val="556B2AF1"/>
    <w:rsid w:val="556C0EF2"/>
    <w:rsid w:val="55736DD4"/>
    <w:rsid w:val="557374B7"/>
    <w:rsid w:val="55785A57"/>
    <w:rsid w:val="557B37BA"/>
    <w:rsid w:val="558C3F14"/>
    <w:rsid w:val="55903D39"/>
    <w:rsid w:val="55917864"/>
    <w:rsid w:val="55947A86"/>
    <w:rsid w:val="559A6E6A"/>
    <w:rsid w:val="55A75F06"/>
    <w:rsid w:val="55AA4A37"/>
    <w:rsid w:val="55B11B6C"/>
    <w:rsid w:val="55B35686"/>
    <w:rsid w:val="55BA6686"/>
    <w:rsid w:val="55BB56F2"/>
    <w:rsid w:val="55BC22BF"/>
    <w:rsid w:val="55BE4691"/>
    <w:rsid w:val="55CE5AA3"/>
    <w:rsid w:val="55D174F5"/>
    <w:rsid w:val="55EA0BA9"/>
    <w:rsid w:val="55EC5382"/>
    <w:rsid w:val="55EE4615"/>
    <w:rsid w:val="55F74CB5"/>
    <w:rsid w:val="55FA4D0E"/>
    <w:rsid w:val="55FE7561"/>
    <w:rsid w:val="5605469F"/>
    <w:rsid w:val="56073EC0"/>
    <w:rsid w:val="560A7E6C"/>
    <w:rsid w:val="560B1147"/>
    <w:rsid w:val="560B2F6D"/>
    <w:rsid w:val="560B706D"/>
    <w:rsid w:val="561251FE"/>
    <w:rsid w:val="561B4828"/>
    <w:rsid w:val="561D24FA"/>
    <w:rsid w:val="56227A76"/>
    <w:rsid w:val="562D65ED"/>
    <w:rsid w:val="56314CF2"/>
    <w:rsid w:val="56315C9D"/>
    <w:rsid w:val="56321D83"/>
    <w:rsid w:val="56326993"/>
    <w:rsid w:val="56391BCC"/>
    <w:rsid w:val="563A61B5"/>
    <w:rsid w:val="563E0929"/>
    <w:rsid w:val="564145E3"/>
    <w:rsid w:val="5646023F"/>
    <w:rsid w:val="56493AFC"/>
    <w:rsid w:val="56494E12"/>
    <w:rsid w:val="564E1C10"/>
    <w:rsid w:val="56522483"/>
    <w:rsid w:val="56583AFD"/>
    <w:rsid w:val="565A516F"/>
    <w:rsid w:val="565E3201"/>
    <w:rsid w:val="565F5246"/>
    <w:rsid w:val="5667424A"/>
    <w:rsid w:val="56675ED6"/>
    <w:rsid w:val="566B5553"/>
    <w:rsid w:val="566C46F5"/>
    <w:rsid w:val="56751227"/>
    <w:rsid w:val="56764C2E"/>
    <w:rsid w:val="567E2DCA"/>
    <w:rsid w:val="5681083A"/>
    <w:rsid w:val="56831B5C"/>
    <w:rsid w:val="56857E1C"/>
    <w:rsid w:val="568752C7"/>
    <w:rsid w:val="56893835"/>
    <w:rsid w:val="568D1E6A"/>
    <w:rsid w:val="569516E6"/>
    <w:rsid w:val="569A561C"/>
    <w:rsid w:val="569B3F8B"/>
    <w:rsid w:val="56A01DC8"/>
    <w:rsid w:val="56A34400"/>
    <w:rsid w:val="56AB404E"/>
    <w:rsid w:val="56B069E7"/>
    <w:rsid w:val="56B17FB5"/>
    <w:rsid w:val="56B912ED"/>
    <w:rsid w:val="56BC6349"/>
    <w:rsid w:val="56C0358B"/>
    <w:rsid w:val="56C0685E"/>
    <w:rsid w:val="56C06C27"/>
    <w:rsid w:val="56CC183F"/>
    <w:rsid w:val="56D41443"/>
    <w:rsid w:val="56D926C4"/>
    <w:rsid w:val="56DC53A8"/>
    <w:rsid w:val="56E504B2"/>
    <w:rsid w:val="56EA07E6"/>
    <w:rsid w:val="56F33533"/>
    <w:rsid w:val="56F50083"/>
    <w:rsid w:val="56F72DC2"/>
    <w:rsid w:val="56FF7421"/>
    <w:rsid w:val="570944FB"/>
    <w:rsid w:val="57153C7E"/>
    <w:rsid w:val="571A1A9E"/>
    <w:rsid w:val="571A7F08"/>
    <w:rsid w:val="572A0D84"/>
    <w:rsid w:val="5734516D"/>
    <w:rsid w:val="57363505"/>
    <w:rsid w:val="574E7F38"/>
    <w:rsid w:val="57571D1A"/>
    <w:rsid w:val="5759542D"/>
    <w:rsid w:val="575B1094"/>
    <w:rsid w:val="576043A3"/>
    <w:rsid w:val="576440A9"/>
    <w:rsid w:val="576752F7"/>
    <w:rsid w:val="576D74F5"/>
    <w:rsid w:val="57737475"/>
    <w:rsid w:val="57765441"/>
    <w:rsid w:val="578259EB"/>
    <w:rsid w:val="57833DEB"/>
    <w:rsid w:val="57875C12"/>
    <w:rsid w:val="578849BA"/>
    <w:rsid w:val="57890230"/>
    <w:rsid w:val="578973B5"/>
    <w:rsid w:val="578B45BC"/>
    <w:rsid w:val="579332C9"/>
    <w:rsid w:val="57984358"/>
    <w:rsid w:val="579C091F"/>
    <w:rsid w:val="579C553D"/>
    <w:rsid w:val="579E16D2"/>
    <w:rsid w:val="579E4B6F"/>
    <w:rsid w:val="57A8703D"/>
    <w:rsid w:val="57B140FD"/>
    <w:rsid w:val="57BA0794"/>
    <w:rsid w:val="57C23DC7"/>
    <w:rsid w:val="57C31A8B"/>
    <w:rsid w:val="57DB51C2"/>
    <w:rsid w:val="57F00A5B"/>
    <w:rsid w:val="57F20B03"/>
    <w:rsid w:val="580524DD"/>
    <w:rsid w:val="580B47C9"/>
    <w:rsid w:val="581563DE"/>
    <w:rsid w:val="581B418A"/>
    <w:rsid w:val="581C1F42"/>
    <w:rsid w:val="582055EE"/>
    <w:rsid w:val="582334BB"/>
    <w:rsid w:val="582D2236"/>
    <w:rsid w:val="58344BA2"/>
    <w:rsid w:val="58422286"/>
    <w:rsid w:val="58435516"/>
    <w:rsid w:val="58446F11"/>
    <w:rsid w:val="5849643A"/>
    <w:rsid w:val="58496BB7"/>
    <w:rsid w:val="584D50B5"/>
    <w:rsid w:val="5856096A"/>
    <w:rsid w:val="5856761D"/>
    <w:rsid w:val="585749D4"/>
    <w:rsid w:val="585B70CE"/>
    <w:rsid w:val="58612DB0"/>
    <w:rsid w:val="58695CD4"/>
    <w:rsid w:val="586B5E7C"/>
    <w:rsid w:val="58746525"/>
    <w:rsid w:val="58755BEE"/>
    <w:rsid w:val="58793717"/>
    <w:rsid w:val="587F0A2C"/>
    <w:rsid w:val="58806871"/>
    <w:rsid w:val="5880712A"/>
    <w:rsid w:val="58836A16"/>
    <w:rsid w:val="58890B0A"/>
    <w:rsid w:val="58893680"/>
    <w:rsid w:val="588B4B63"/>
    <w:rsid w:val="588E12E3"/>
    <w:rsid w:val="588E5385"/>
    <w:rsid w:val="5893055D"/>
    <w:rsid w:val="58AA7A32"/>
    <w:rsid w:val="58AB1DC4"/>
    <w:rsid w:val="58AD6F29"/>
    <w:rsid w:val="58AE51B1"/>
    <w:rsid w:val="58B21363"/>
    <w:rsid w:val="58B9548E"/>
    <w:rsid w:val="58BB136D"/>
    <w:rsid w:val="58C4770B"/>
    <w:rsid w:val="58C8515E"/>
    <w:rsid w:val="58CA6AC5"/>
    <w:rsid w:val="58D565DB"/>
    <w:rsid w:val="58DD37C3"/>
    <w:rsid w:val="58E11327"/>
    <w:rsid w:val="58E13BFE"/>
    <w:rsid w:val="58E13FAA"/>
    <w:rsid w:val="58E61054"/>
    <w:rsid w:val="58EC407D"/>
    <w:rsid w:val="58F10ED2"/>
    <w:rsid w:val="58F2184A"/>
    <w:rsid w:val="58F26816"/>
    <w:rsid w:val="58FB0478"/>
    <w:rsid w:val="58FF7C96"/>
    <w:rsid w:val="5902144A"/>
    <w:rsid w:val="59033664"/>
    <w:rsid w:val="5906606A"/>
    <w:rsid w:val="59095DC0"/>
    <w:rsid w:val="590E7202"/>
    <w:rsid w:val="59123351"/>
    <w:rsid w:val="592C02D2"/>
    <w:rsid w:val="592F3E21"/>
    <w:rsid w:val="59325586"/>
    <w:rsid w:val="59340F65"/>
    <w:rsid w:val="59343F8A"/>
    <w:rsid w:val="5934694B"/>
    <w:rsid w:val="59364D98"/>
    <w:rsid w:val="593C7B95"/>
    <w:rsid w:val="593F3E9F"/>
    <w:rsid w:val="59405D1A"/>
    <w:rsid w:val="59411161"/>
    <w:rsid w:val="59480C80"/>
    <w:rsid w:val="59482535"/>
    <w:rsid w:val="59483207"/>
    <w:rsid w:val="59511ADF"/>
    <w:rsid w:val="59581C7C"/>
    <w:rsid w:val="5958749C"/>
    <w:rsid w:val="595A5D23"/>
    <w:rsid w:val="595E2389"/>
    <w:rsid w:val="59656B86"/>
    <w:rsid w:val="596F046F"/>
    <w:rsid w:val="596F1BFB"/>
    <w:rsid w:val="597228F9"/>
    <w:rsid w:val="59733043"/>
    <w:rsid w:val="59752065"/>
    <w:rsid w:val="597A2EC3"/>
    <w:rsid w:val="59814880"/>
    <w:rsid w:val="59832A7F"/>
    <w:rsid w:val="598A28B7"/>
    <w:rsid w:val="598A3C6D"/>
    <w:rsid w:val="598A6915"/>
    <w:rsid w:val="598D647E"/>
    <w:rsid w:val="599215B6"/>
    <w:rsid w:val="599565C4"/>
    <w:rsid w:val="599569AC"/>
    <w:rsid w:val="59975F06"/>
    <w:rsid w:val="599B0EFC"/>
    <w:rsid w:val="599B3347"/>
    <w:rsid w:val="599D1861"/>
    <w:rsid w:val="59A50D93"/>
    <w:rsid w:val="59AD31FE"/>
    <w:rsid w:val="59BF1C6C"/>
    <w:rsid w:val="59D36AA9"/>
    <w:rsid w:val="59D507D0"/>
    <w:rsid w:val="59E87057"/>
    <w:rsid w:val="59E8793A"/>
    <w:rsid w:val="59EA2AD4"/>
    <w:rsid w:val="59EC1016"/>
    <w:rsid w:val="59F172B4"/>
    <w:rsid w:val="59F30AF9"/>
    <w:rsid w:val="59F3413A"/>
    <w:rsid w:val="59F60FA8"/>
    <w:rsid w:val="5A04552A"/>
    <w:rsid w:val="5A0B4BBF"/>
    <w:rsid w:val="5A0D4DA0"/>
    <w:rsid w:val="5A187832"/>
    <w:rsid w:val="5A1C6F22"/>
    <w:rsid w:val="5A1F5227"/>
    <w:rsid w:val="5A1F7B10"/>
    <w:rsid w:val="5A26078B"/>
    <w:rsid w:val="5A272E2D"/>
    <w:rsid w:val="5A2D3B58"/>
    <w:rsid w:val="5A413182"/>
    <w:rsid w:val="5A4864F4"/>
    <w:rsid w:val="5A4956B2"/>
    <w:rsid w:val="5A4B2D94"/>
    <w:rsid w:val="5A4C0F26"/>
    <w:rsid w:val="5A554AD0"/>
    <w:rsid w:val="5A6617BB"/>
    <w:rsid w:val="5A6C436B"/>
    <w:rsid w:val="5A721D72"/>
    <w:rsid w:val="5A7A3A0D"/>
    <w:rsid w:val="5A864337"/>
    <w:rsid w:val="5A8D5E87"/>
    <w:rsid w:val="5A8F063F"/>
    <w:rsid w:val="5A910A68"/>
    <w:rsid w:val="5A93347D"/>
    <w:rsid w:val="5A942977"/>
    <w:rsid w:val="5AA92788"/>
    <w:rsid w:val="5AA927F1"/>
    <w:rsid w:val="5AAC1AAA"/>
    <w:rsid w:val="5AB50FD9"/>
    <w:rsid w:val="5ABD13D9"/>
    <w:rsid w:val="5ABE6B32"/>
    <w:rsid w:val="5AC2550F"/>
    <w:rsid w:val="5AC46254"/>
    <w:rsid w:val="5ACC124B"/>
    <w:rsid w:val="5ACD59C5"/>
    <w:rsid w:val="5AD22D0E"/>
    <w:rsid w:val="5AD25E29"/>
    <w:rsid w:val="5AD81EAB"/>
    <w:rsid w:val="5ADD6AED"/>
    <w:rsid w:val="5AE76BC1"/>
    <w:rsid w:val="5AEC6AA2"/>
    <w:rsid w:val="5AED6EE6"/>
    <w:rsid w:val="5B054511"/>
    <w:rsid w:val="5B0E7B48"/>
    <w:rsid w:val="5B130536"/>
    <w:rsid w:val="5B1527A8"/>
    <w:rsid w:val="5B271DAF"/>
    <w:rsid w:val="5B2B7A81"/>
    <w:rsid w:val="5B3272AC"/>
    <w:rsid w:val="5B3C52B5"/>
    <w:rsid w:val="5B40209A"/>
    <w:rsid w:val="5B473AE9"/>
    <w:rsid w:val="5B4A70EE"/>
    <w:rsid w:val="5B507564"/>
    <w:rsid w:val="5B555E05"/>
    <w:rsid w:val="5B583E2B"/>
    <w:rsid w:val="5B6878FE"/>
    <w:rsid w:val="5B6912EE"/>
    <w:rsid w:val="5B7A2961"/>
    <w:rsid w:val="5B7B40AF"/>
    <w:rsid w:val="5B7B6945"/>
    <w:rsid w:val="5B832294"/>
    <w:rsid w:val="5B87762F"/>
    <w:rsid w:val="5B890BAF"/>
    <w:rsid w:val="5B8F0246"/>
    <w:rsid w:val="5B950F26"/>
    <w:rsid w:val="5B966B0C"/>
    <w:rsid w:val="5B9A38AB"/>
    <w:rsid w:val="5B9B4672"/>
    <w:rsid w:val="5B9D1438"/>
    <w:rsid w:val="5B9E191E"/>
    <w:rsid w:val="5B9F059B"/>
    <w:rsid w:val="5BA36C6C"/>
    <w:rsid w:val="5BB41599"/>
    <w:rsid w:val="5BBF6B1D"/>
    <w:rsid w:val="5BC42CCF"/>
    <w:rsid w:val="5BD16D46"/>
    <w:rsid w:val="5BDA2E82"/>
    <w:rsid w:val="5BDB1202"/>
    <w:rsid w:val="5BDE01DD"/>
    <w:rsid w:val="5BE0398E"/>
    <w:rsid w:val="5BE068CA"/>
    <w:rsid w:val="5BE06CCB"/>
    <w:rsid w:val="5BE15EB4"/>
    <w:rsid w:val="5BE70C9C"/>
    <w:rsid w:val="5BE73891"/>
    <w:rsid w:val="5BF606BC"/>
    <w:rsid w:val="5BFF4C02"/>
    <w:rsid w:val="5C012390"/>
    <w:rsid w:val="5C0477B5"/>
    <w:rsid w:val="5C0549F0"/>
    <w:rsid w:val="5C0F381E"/>
    <w:rsid w:val="5C134D0A"/>
    <w:rsid w:val="5C227446"/>
    <w:rsid w:val="5C2447C2"/>
    <w:rsid w:val="5C2C2C06"/>
    <w:rsid w:val="5C2E3D4E"/>
    <w:rsid w:val="5C302DB4"/>
    <w:rsid w:val="5C33495D"/>
    <w:rsid w:val="5C3573E8"/>
    <w:rsid w:val="5C38462F"/>
    <w:rsid w:val="5C391C9D"/>
    <w:rsid w:val="5C4A7029"/>
    <w:rsid w:val="5C524B49"/>
    <w:rsid w:val="5C567BAC"/>
    <w:rsid w:val="5C5C2559"/>
    <w:rsid w:val="5C5E06F3"/>
    <w:rsid w:val="5C606A7E"/>
    <w:rsid w:val="5C651375"/>
    <w:rsid w:val="5C651F1D"/>
    <w:rsid w:val="5C6D7D63"/>
    <w:rsid w:val="5C6F346E"/>
    <w:rsid w:val="5C7B58FA"/>
    <w:rsid w:val="5C811086"/>
    <w:rsid w:val="5C832EF9"/>
    <w:rsid w:val="5C847C07"/>
    <w:rsid w:val="5C8925AA"/>
    <w:rsid w:val="5C8C3341"/>
    <w:rsid w:val="5C8C45D7"/>
    <w:rsid w:val="5C8D4696"/>
    <w:rsid w:val="5C941EA6"/>
    <w:rsid w:val="5C96523B"/>
    <w:rsid w:val="5C967669"/>
    <w:rsid w:val="5C98297A"/>
    <w:rsid w:val="5C9C7C79"/>
    <w:rsid w:val="5C9E6D0E"/>
    <w:rsid w:val="5C9F3B3A"/>
    <w:rsid w:val="5CA15E1B"/>
    <w:rsid w:val="5CA84651"/>
    <w:rsid w:val="5CAB5A2E"/>
    <w:rsid w:val="5CAD69EE"/>
    <w:rsid w:val="5CB43FE9"/>
    <w:rsid w:val="5CB47D0C"/>
    <w:rsid w:val="5CB57F38"/>
    <w:rsid w:val="5CB737EC"/>
    <w:rsid w:val="5CB90DCB"/>
    <w:rsid w:val="5CC709AE"/>
    <w:rsid w:val="5CC77617"/>
    <w:rsid w:val="5CDA5CCB"/>
    <w:rsid w:val="5CDC7AC8"/>
    <w:rsid w:val="5CDE09AD"/>
    <w:rsid w:val="5CDE130D"/>
    <w:rsid w:val="5CDE7133"/>
    <w:rsid w:val="5CEA4F59"/>
    <w:rsid w:val="5CF01FB3"/>
    <w:rsid w:val="5CF446A3"/>
    <w:rsid w:val="5CF50D20"/>
    <w:rsid w:val="5CFA7DDF"/>
    <w:rsid w:val="5D060039"/>
    <w:rsid w:val="5D087C35"/>
    <w:rsid w:val="5D0C0D17"/>
    <w:rsid w:val="5D121A42"/>
    <w:rsid w:val="5D122732"/>
    <w:rsid w:val="5D155EF3"/>
    <w:rsid w:val="5D1872B7"/>
    <w:rsid w:val="5D19017E"/>
    <w:rsid w:val="5D1B609B"/>
    <w:rsid w:val="5D216721"/>
    <w:rsid w:val="5D2503C7"/>
    <w:rsid w:val="5D2A5FDD"/>
    <w:rsid w:val="5D310BBF"/>
    <w:rsid w:val="5D3216E3"/>
    <w:rsid w:val="5D334440"/>
    <w:rsid w:val="5D3540E7"/>
    <w:rsid w:val="5D3579D3"/>
    <w:rsid w:val="5D3F4512"/>
    <w:rsid w:val="5D4B03EC"/>
    <w:rsid w:val="5D4B3B72"/>
    <w:rsid w:val="5D4B7D01"/>
    <w:rsid w:val="5D5D366B"/>
    <w:rsid w:val="5D63417B"/>
    <w:rsid w:val="5D663874"/>
    <w:rsid w:val="5D6759B2"/>
    <w:rsid w:val="5D726960"/>
    <w:rsid w:val="5D8056CF"/>
    <w:rsid w:val="5D8167C6"/>
    <w:rsid w:val="5D827AE7"/>
    <w:rsid w:val="5D84626D"/>
    <w:rsid w:val="5D850F66"/>
    <w:rsid w:val="5D882498"/>
    <w:rsid w:val="5D88463C"/>
    <w:rsid w:val="5D8C0D5D"/>
    <w:rsid w:val="5D8C36CC"/>
    <w:rsid w:val="5D8D30BD"/>
    <w:rsid w:val="5D8E1670"/>
    <w:rsid w:val="5D8E4F86"/>
    <w:rsid w:val="5D8E5A81"/>
    <w:rsid w:val="5D916240"/>
    <w:rsid w:val="5D9C64D2"/>
    <w:rsid w:val="5DA03F1A"/>
    <w:rsid w:val="5DA34B77"/>
    <w:rsid w:val="5DA60259"/>
    <w:rsid w:val="5DA9695A"/>
    <w:rsid w:val="5DAC24BD"/>
    <w:rsid w:val="5DAD1AB9"/>
    <w:rsid w:val="5DB563E8"/>
    <w:rsid w:val="5DB91AE6"/>
    <w:rsid w:val="5DBC49B1"/>
    <w:rsid w:val="5DBF5D68"/>
    <w:rsid w:val="5DC1061A"/>
    <w:rsid w:val="5DC50736"/>
    <w:rsid w:val="5DCA5E66"/>
    <w:rsid w:val="5DCD7CA3"/>
    <w:rsid w:val="5DCE7CD7"/>
    <w:rsid w:val="5DD62627"/>
    <w:rsid w:val="5DDA3C5A"/>
    <w:rsid w:val="5DDA467A"/>
    <w:rsid w:val="5DDD7149"/>
    <w:rsid w:val="5DE02DF7"/>
    <w:rsid w:val="5DE66DA4"/>
    <w:rsid w:val="5DE75A11"/>
    <w:rsid w:val="5DE900BB"/>
    <w:rsid w:val="5DED3DD9"/>
    <w:rsid w:val="5DEE588B"/>
    <w:rsid w:val="5E0367F3"/>
    <w:rsid w:val="5E044C53"/>
    <w:rsid w:val="5E09310B"/>
    <w:rsid w:val="5E0B33D3"/>
    <w:rsid w:val="5E0E75A4"/>
    <w:rsid w:val="5E1B137E"/>
    <w:rsid w:val="5E1F1CD3"/>
    <w:rsid w:val="5E2210E5"/>
    <w:rsid w:val="5E274E0D"/>
    <w:rsid w:val="5E35139A"/>
    <w:rsid w:val="5E430CFF"/>
    <w:rsid w:val="5E4913EB"/>
    <w:rsid w:val="5E4C21AE"/>
    <w:rsid w:val="5E4E4F7E"/>
    <w:rsid w:val="5E4F778B"/>
    <w:rsid w:val="5E50089B"/>
    <w:rsid w:val="5E587C9C"/>
    <w:rsid w:val="5E5A5900"/>
    <w:rsid w:val="5E5B6BB2"/>
    <w:rsid w:val="5E5B7C2F"/>
    <w:rsid w:val="5E5D4CBB"/>
    <w:rsid w:val="5E624460"/>
    <w:rsid w:val="5E626323"/>
    <w:rsid w:val="5E68147C"/>
    <w:rsid w:val="5E695B2A"/>
    <w:rsid w:val="5E6B6FF1"/>
    <w:rsid w:val="5E86311F"/>
    <w:rsid w:val="5E86548A"/>
    <w:rsid w:val="5E8A4D55"/>
    <w:rsid w:val="5E8B0034"/>
    <w:rsid w:val="5E965490"/>
    <w:rsid w:val="5E9E326F"/>
    <w:rsid w:val="5E9F3129"/>
    <w:rsid w:val="5EA0592B"/>
    <w:rsid w:val="5EB31D18"/>
    <w:rsid w:val="5EB94833"/>
    <w:rsid w:val="5EC36F8C"/>
    <w:rsid w:val="5ED52BEC"/>
    <w:rsid w:val="5EDD0B3C"/>
    <w:rsid w:val="5EE258B2"/>
    <w:rsid w:val="5EE56E7D"/>
    <w:rsid w:val="5EE80245"/>
    <w:rsid w:val="5EEE772F"/>
    <w:rsid w:val="5EF132F8"/>
    <w:rsid w:val="5EFC201A"/>
    <w:rsid w:val="5EFE73BB"/>
    <w:rsid w:val="5F04026D"/>
    <w:rsid w:val="5F0552D8"/>
    <w:rsid w:val="5F070CD3"/>
    <w:rsid w:val="5F070F45"/>
    <w:rsid w:val="5F0868E9"/>
    <w:rsid w:val="5F0E6363"/>
    <w:rsid w:val="5F0F4198"/>
    <w:rsid w:val="5F1122A4"/>
    <w:rsid w:val="5F283DD1"/>
    <w:rsid w:val="5F284571"/>
    <w:rsid w:val="5F35643C"/>
    <w:rsid w:val="5F3A0ECC"/>
    <w:rsid w:val="5F3B0D62"/>
    <w:rsid w:val="5F454447"/>
    <w:rsid w:val="5F496AE3"/>
    <w:rsid w:val="5F4A0140"/>
    <w:rsid w:val="5F4E49A9"/>
    <w:rsid w:val="5F5304E5"/>
    <w:rsid w:val="5F557D24"/>
    <w:rsid w:val="5F61390F"/>
    <w:rsid w:val="5F6507A9"/>
    <w:rsid w:val="5F6A5F20"/>
    <w:rsid w:val="5F847158"/>
    <w:rsid w:val="5F8527A1"/>
    <w:rsid w:val="5F884ED8"/>
    <w:rsid w:val="5F8D262C"/>
    <w:rsid w:val="5F8E330E"/>
    <w:rsid w:val="5F936495"/>
    <w:rsid w:val="5F99713B"/>
    <w:rsid w:val="5F9A0389"/>
    <w:rsid w:val="5F9F5EE3"/>
    <w:rsid w:val="5FA767D8"/>
    <w:rsid w:val="5FAB0D25"/>
    <w:rsid w:val="5FAE368B"/>
    <w:rsid w:val="5FAE4CCA"/>
    <w:rsid w:val="5FB51466"/>
    <w:rsid w:val="5FB6148F"/>
    <w:rsid w:val="5FCB325D"/>
    <w:rsid w:val="5FCC6A31"/>
    <w:rsid w:val="5FDF212E"/>
    <w:rsid w:val="5FDF67B6"/>
    <w:rsid w:val="5FE10C8E"/>
    <w:rsid w:val="5FE34282"/>
    <w:rsid w:val="5FED06A9"/>
    <w:rsid w:val="5FF13CC0"/>
    <w:rsid w:val="5FF44DF9"/>
    <w:rsid w:val="5FFA456C"/>
    <w:rsid w:val="5FFA4853"/>
    <w:rsid w:val="6007576A"/>
    <w:rsid w:val="60143E86"/>
    <w:rsid w:val="60167164"/>
    <w:rsid w:val="601A587C"/>
    <w:rsid w:val="601B4091"/>
    <w:rsid w:val="602238F8"/>
    <w:rsid w:val="60244144"/>
    <w:rsid w:val="602C41B6"/>
    <w:rsid w:val="60311EBC"/>
    <w:rsid w:val="604017AE"/>
    <w:rsid w:val="6043648A"/>
    <w:rsid w:val="604654CE"/>
    <w:rsid w:val="604A57E6"/>
    <w:rsid w:val="604C521E"/>
    <w:rsid w:val="604F5EF6"/>
    <w:rsid w:val="6057558C"/>
    <w:rsid w:val="605E72F8"/>
    <w:rsid w:val="605F5AE3"/>
    <w:rsid w:val="606157F3"/>
    <w:rsid w:val="60627C46"/>
    <w:rsid w:val="606364CC"/>
    <w:rsid w:val="606429BD"/>
    <w:rsid w:val="60687CFB"/>
    <w:rsid w:val="607046CC"/>
    <w:rsid w:val="60720FD1"/>
    <w:rsid w:val="6072154F"/>
    <w:rsid w:val="60797945"/>
    <w:rsid w:val="60797E44"/>
    <w:rsid w:val="607D76B7"/>
    <w:rsid w:val="608061DE"/>
    <w:rsid w:val="60842FD7"/>
    <w:rsid w:val="60893541"/>
    <w:rsid w:val="608A1FF2"/>
    <w:rsid w:val="608C3A96"/>
    <w:rsid w:val="608D37A3"/>
    <w:rsid w:val="608D3B8C"/>
    <w:rsid w:val="608E25EC"/>
    <w:rsid w:val="609274B8"/>
    <w:rsid w:val="6093288A"/>
    <w:rsid w:val="60941647"/>
    <w:rsid w:val="609616BE"/>
    <w:rsid w:val="609B70E8"/>
    <w:rsid w:val="60A112BC"/>
    <w:rsid w:val="60A32A95"/>
    <w:rsid w:val="60AC6414"/>
    <w:rsid w:val="60AD1D1B"/>
    <w:rsid w:val="60AF1A29"/>
    <w:rsid w:val="60B8084B"/>
    <w:rsid w:val="60BB1228"/>
    <w:rsid w:val="60C32468"/>
    <w:rsid w:val="60D1379A"/>
    <w:rsid w:val="60D43678"/>
    <w:rsid w:val="60D9211B"/>
    <w:rsid w:val="60DE6B36"/>
    <w:rsid w:val="60DF2705"/>
    <w:rsid w:val="60DF555F"/>
    <w:rsid w:val="60E51627"/>
    <w:rsid w:val="60E5727A"/>
    <w:rsid w:val="60E67AE8"/>
    <w:rsid w:val="60EA3735"/>
    <w:rsid w:val="60ED6A37"/>
    <w:rsid w:val="60F02909"/>
    <w:rsid w:val="60F86CDC"/>
    <w:rsid w:val="610053BE"/>
    <w:rsid w:val="61015C82"/>
    <w:rsid w:val="610406CF"/>
    <w:rsid w:val="61065EB1"/>
    <w:rsid w:val="61092FF7"/>
    <w:rsid w:val="610D2F2B"/>
    <w:rsid w:val="610E3805"/>
    <w:rsid w:val="610F7407"/>
    <w:rsid w:val="612149B4"/>
    <w:rsid w:val="61217505"/>
    <w:rsid w:val="6123437B"/>
    <w:rsid w:val="612439E8"/>
    <w:rsid w:val="61266741"/>
    <w:rsid w:val="612D296F"/>
    <w:rsid w:val="612D68C5"/>
    <w:rsid w:val="612E1494"/>
    <w:rsid w:val="614555FE"/>
    <w:rsid w:val="614A3BE6"/>
    <w:rsid w:val="614A563B"/>
    <w:rsid w:val="614B3DCA"/>
    <w:rsid w:val="614C69C2"/>
    <w:rsid w:val="614D19CC"/>
    <w:rsid w:val="61502BE6"/>
    <w:rsid w:val="61512EAC"/>
    <w:rsid w:val="61546D6C"/>
    <w:rsid w:val="615479E2"/>
    <w:rsid w:val="61555D9E"/>
    <w:rsid w:val="615A5B14"/>
    <w:rsid w:val="615D1289"/>
    <w:rsid w:val="615D5699"/>
    <w:rsid w:val="615E5DA0"/>
    <w:rsid w:val="616332B5"/>
    <w:rsid w:val="6168626A"/>
    <w:rsid w:val="61694F5B"/>
    <w:rsid w:val="616A700D"/>
    <w:rsid w:val="616C41B8"/>
    <w:rsid w:val="616D073D"/>
    <w:rsid w:val="61731D22"/>
    <w:rsid w:val="617A3001"/>
    <w:rsid w:val="617D0928"/>
    <w:rsid w:val="61897126"/>
    <w:rsid w:val="61982206"/>
    <w:rsid w:val="619877AE"/>
    <w:rsid w:val="61A44839"/>
    <w:rsid w:val="61A464B4"/>
    <w:rsid w:val="61A524ED"/>
    <w:rsid w:val="61BE3173"/>
    <w:rsid w:val="61C52F7C"/>
    <w:rsid w:val="61C56B2B"/>
    <w:rsid w:val="61C65438"/>
    <w:rsid w:val="61C665BE"/>
    <w:rsid w:val="61CA523D"/>
    <w:rsid w:val="61D15BC1"/>
    <w:rsid w:val="61D874CA"/>
    <w:rsid w:val="61DA463A"/>
    <w:rsid w:val="61E145AD"/>
    <w:rsid w:val="61EA4E6B"/>
    <w:rsid w:val="61EB3425"/>
    <w:rsid w:val="61F52D89"/>
    <w:rsid w:val="61F76912"/>
    <w:rsid w:val="62025288"/>
    <w:rsid w:val="62067533"/>
    <w:rsid w:val="62071713"/>
    <w:rsid w:val="620971FF"/>
    <w:rsid w:val="620A7527"/>
    <w:rsid w:val="620B1CD1"/>
    <w:rsid w:val="620D65CF"/>
    <w:rsid w:val="620E43FD"/>
    <w:rsid w:val="62112067"/>
    <w:rsid w:val="62132F1F"/>
    <w:rsid w:val="62143D21"/>
    <w:rsid w:val="621B6763"/>
    <w:rsid w:val="621D44D9"/>
    <w:rsid w:val="62256A19"/>
    <w:rsid w:val="622A55FC"/>
    <w:rsid w:val="622B2701"/>
    <w:rsid w:val="62303335"/>
    <w:rsid w:val="623E00EC"/>
    <w:rsid w:val="624020DE"/>
    <w:rsid w:val="624548BE"/>
    <w:rsid w:val="62481B92"/>
    <w:rsid w:val="625150D0"/>
    <w:rsid w:val="62523C0A"/>
    <w:rsid w:val="625336A7"/>
    <w:rsid w:val="62572DC4"/>
    <w:rsid w:val="62584EFE"/>
    <w:rsid w:val="625A5497"/>
    <w:rsid w:val="625E2351"/>
    <w:rsid w:val="62685927"/>
    <w:rsid w:val="626C5300"/>
    <w:rsid w:val="626E44DD"/>
    <w:rsid w:val="62797EBD"/>
    <w:rsid w:val="62807CCC"/>
    <w:rsid w:val="6282163D"/>
    <w:rsid w:val="62890560"/>
    <w:rsid w:val="629D5986"/>
    <w:rsid w:val="62A22ABD"/>
    <w:rsid w:val="62A66FF8"/>
    <w:rsid w:val="62B77366"/>
    <w:rsid w:val="62BD338B"/>
    <w:rsid w:val="62C962FF"/>
    <w:rsid w:val="62CD2DEF"/>
    <w:rsid w:val="62D34ACF"/>
    <w:rsid w:val="62D44221"/>
    <w:rsid w:val="62DA2A79"/>
    <w:rsid w:val="62DE5397"/>
    <w:rsid w:val="62DE7680"/>
    <w:rsid w:val="62E122CB"/>
    <w:rsid w:val="62E43E32"/>
    <w:rsid w:val="62E821FD"/>
    <w:rsid w:val="62E91E86"/>
    <w:rsid w:val="62ED6533"/>
    <w:rsid w:val="62EE4CDB"/>
    <w:rsid w:val="630365A3"/>
    <w:rsid w:val="63036A0B"/>
    <w:rsid w:val="63047B58"/>
    <w:rsid w:val="6310630D"/>
    <w:rsid w:val="63134DEC"/>
    <w:rsid w:val="6316261D"/>
    <w:rsid w:val="63170869"/>
    <w:rsid w:val="63193DF9"/>
    <w:rsid w:val="631C7329"/>
    <w:rsid w:val="631D6B7A"/>
    <w:rsid w:val="632018C7"/>
    <w:rsid w:val="632434EB"/>
    <w:rsid w:val="632D285D"/>
    <w:rsid w:val="632D64F7"/>
    <w:rsid w:val="632F28ED"/>
    <w:rsid w:val="63344891"/>
    <w:rsid w:val="633B43EA"/>
    <w:rsid w:val="634149CA"/>
    <w:rsid w:val="634956B3"/>
    <w:rsid w:val="634A5EF4"/>
    <w:rsid w:val="634B18B4"/>
    <w:rsid w:val="6350668D"/>
    <w:rsid w:val="63530A1E"/>
    <w:rsid w:val="636C2F84"/>
    <w:rsid w:val="636D305D"/>
    <w:rsid w:val="63737FD4"/>
    <w:rsid w:val="637403DF"/>
    <w:rsid w:val="63780D57"/>
    <w:rsid w:val="63795892"/>
    <w:rsid w:val="637B6EF5"/>
    <w:rsid w:val="637F2B43"/>
    <w:rsid w:val="6382063C"/>
    <w:rsid w:val="63825FCC"/>
    <w:rsid w:val="63885D41"/>
    <w:rsid w:val="638C6C0F"/>
    <w:rsid w:val="638D09F3"/>
    <w:rsid w:val="63920DFC"/>
    <w:rsid w:val="63935AD5"/>
    <w:rsid w:val="639A01BB"/>
    <w:rsid w:val="639C62A4"/>
    <w:rsid w:val="63A91559"/>
    <w:rsid w:val="63AA4A9F"/>
    <w:rsid w:val="63AC10F5"/>
    <w:rsid w:val="63B0397B"/>
    <w:rsid w:val="63B26775"/>
    <w:rsid w:val="63B65836"/>
    <w:rsid w:val="63B758FA"/>
    <w:rsid w:val="63BB68AB"/>
    <w:rsid w:val="63C26FAC"/>
    <w:rsid w:val="63C65212"/>
    <w:rsid w:val="63C6642F"/>
    <w:rsid w:val="63C75D36"/>
    <w:rsid w:val="63D43F1B"/>
    <w:rsid w:val="63E2517C"/>
    <w:rsid w:val="63E37EF7"/>
    <w:rsid w:val="63E5010D"/>
    <w:rsid w:val="63EC0F18"/>
    <w:rsid w:val="63EF50C6"/>
    <w:rsid w:val="63F0548A"/>
    <w:rsid w:val="63FA2552"/>
    <w:rsid w:val="63FA618C"/>
    <w:rsid w:val="63FC5706"/>
    <w:rsid w:val="6402291D"/>
    <w:rsid w:val="64031A93"/>
    <w:rsid w:val="640720C1"/>
    <w:rsid w:val="640B1F8F"/>
    <w:rsid w:val="640D13B9"/>
    <w:rsid w:val="640D6A68"/>
    <w:rsid w:val="641013FB"/>
    <w:rsid w:val="6410427A"/>
    <w:rsid w:val="641066DF"/>
    <w:rsid w:val="64184969"/>
    <w:rsid w:val="641A631D"/>
    <w:rsid w:val="641F21C4"/>
    <w:rsid w:val="64205EF9"/>
    <w:rsid w:val="64237BE2"/>
    <w:rsid w:val="642C69BD"/>
    <w:rsid w:val="643469EA"/>
    <w:rsid w:val="6437387C"/>
    <w:rsid w:val="643E61A5"/>
    <w:rsid w:val="64412CB4"/>
    <w:rsid w:val="6441646E"/>
    <w:rsid w:val="64475BCD"/>
    <w:rsid w:val="6451379B"/>
    <w:rsid w:val="64546DA9"/>
    <w:rsid w:val="64630019"/>
    <w:rsid w:val="64644242"/>
    <w:rsid w:val="646A7333"/>
    <w:rsid w:val="646F7BBB"/>
    <w:rsid w:val="647A1DAD"/>
    <w:rsid w:val="647A760C"/>
    <w:rsid w:val="647E32AF"/>
    <w:rsid w:val="64856D00"/>
    <w:rsid w:val="648F3E34"/>
    <w:rsid w:val="648F5418"/>
    <w:rsid w:val="64947EA7"/>
    <w:rsid w:val="649718EC"/>
    <w:rsid w:val="649F26DA"/>
    <w:rsid w:val="64AB3504"/>
    <w:rsid w:val="64B051BD"/>
    <w:rsid w:val="64B45E2A"/>
    <w:rsid w:val="64B54C4F"/>
    <w:rsid w:val="64BF2941"/>
    <w:rsid w:val="64BF2E5F"/>
    <w:rsid w:val="64C80892"/>
    <w:rsid w:val="64C966BE"/>
    <w:rsid w:val="64CF4983"/>
    <w:rsid w:val="64D865AC"/>
    <w:rsid w:val="64DF41ED"/>
    <w:rsid w:val="64E04F1E"/>
    <w:rsid w:val="64E05696"/>
    <w:rsid w:val="64EA18FD"/>
    <w:rsid w:val="64ED414E"/>
    <w:rsid w:val="64EF0130"/>
    <w:rsid w:val="64EF032E"/>
    <w:rsid w:val="64F102BF"/>
    <w:rsid w:val="64F96F89"/>
    <w:rsid w:val="64FC29FD"/>
    <w:rsid w:val="64FE3B47"/>
    <w:rsid w:val="64FF4955"/>
    <w:rsid w:val="6505779C"/>
    <w:rsid w:val="65140C27"/>
    <w:rsid w:val="65222B6E"/>
    <w:rsid w:val="652A2225"/>
    <w:rsid w:val="652A2C63"/>
    <w:rsid w:val="653B62B2"/>
    <w:rsid w:val="653C00CC"/>
    <w:rsid w:val="653D48C7"/>
    <w:rsid w:val="6544003B"/>
    <w:rsid w:val="65462AB2"/>
    <w:rsid w:val="65465C3A"/>
    <w:rsid w:val="655460FF"/>
    <w:rsid w:val="6559070A"/>
    <w:rsid w:val="655A5855"/>
    <w:rsid w:val="655B3AA1"/>
    <w:rsid w:val="655F653C"/>
    <w:rsid w:val="65613BF2"/>
    <w:rsid w:val="6562146F"/>
    <w:rsid w:val="65621D71"/>
    <w:rsid w:val="65633124"/>
    <w:rsid w:val="65645B01"/>
    <w:rsid w:val="65673667"/>
    <w:rsid w:val="656D104A"/>
    <w:rsid w:val="656F20F3"/>
    <w:rsid w:val="6570190C"/>
    <w:rsid w:val="657643F7"/>
    <w:rsid w:val="6578051F"/>
    <w:rsid w:val="657A3E92"/>
    <w:rsid w:val="65812080"/>
    <w:rsid w:val="65866F62"/>
    <w:rsid w:val="658818B7"/>
    <w:rsid w:val="658854EC"/>
    <w:rsid w:val="65952AAB"/>
    <w:rsid w:val="659B5459"/>
    <w:rsid w:val="65A1330E"/>
    <w:rsid w:val="65A25BC8"/>
    <w:rsid w:val="65A51E1B"/>
    <w:rsid w:val="65A94FFA"/>
    <w:rsid w:val="65AC5DD0"/>
    <w:rsid w:val="65AD6A9C"/>
    <w:rsid w:val="65AF76AE"/>
    <w:rsid w:val="65B0017A"/>
    <w:rsid w:val="65B145D5"/>
    <w:rsid w:val="65B57D9B"/>
    <w:rsid w:val="65BD561F"/>
    <w:rsid w:val="65BE42B7"/>
    <w:rsid w:val="65C47AF2"/>
    <w:rsid w:val="65C539B4"/>
    <w:rsid w:val="65CC09C4"/>
    <w:rsid w:val="65CC7749"/>
    <w:rsid w:val="65CE47BF"/>
    <w:rsid w:val="65D0085F"/>
    <w:rsid w:val="65D5450D"/>
    <w:rsid w:val="65E315E1"/>
    <w:rsid w:val="65E751E7"/>
    <w:rsid w:val="65EA1953"/>
    <w:rsid w:val="65ED0819"/>
    <w:rsid w:val="65F07FE9"/>
    <w:rsid w:val="65FF4E58"/>
    <w:rsid w:val="66045203"/>
    <w:rsid w:val="661355E7"/>
    <w:rsid w:val="66162BAE"/>
    <w:rsid w:val="661A1D35"/>
    <w:rsid w:val="662B4832"/>
    <w:rsid w:val="662D490F"/>
    <w:rsid w:val="66300965"/>
    <w:rsid w:val="66345167"/>
    <w:rsid w:val="66382F41"/>
    <w:rsid w:val="66386E3C"/>
    <w:rsid w:val="6642153D"/>
    <w:rsid w:val="66426F5B"/>
    <w:rsid w:val="6642732F"/>
    <w:rsid w:val="66427514"/>
    <w:rsid w:val="66484986"/>
    <w:rsid w:val="664E04E3"/>
    <w:rsid w:val="664E1411"/>
    <w:rsid w:val="6654070E"/>
    <w:rsid w:val="66564B4F"/>
    <w:rsid w:val="66596602"/>
    <w:rsid w:val="666129E5"/>
    <w:rsid w:val="666510EF"/>
    <w:rsid w:val="666A6640"/>
    <w:rsid w:val="666B1C8B"/>
    <w:rsid w:val="666D0738"/>
    <w:rsid w:val="666D37EF"/>
    <w:rsid w:val="666E47D6"/>
    <w:rsid w:val="66705303"/>
    <w:rsid w:val="66714E5E"/>
    <w:rsid w:val="668634DB"/>
    <w:rsid w:val="6686636A"/>
    <w:rsid w:val="66866CB8"/>
    <w:rsid w:val="6688104A"/>
    <w:rsid w:val="668F7B2F"/>
    <w:rsid w:val="66901922"/>
    <w:rsid w:val="66955DAD"/>
    <w:rsid w:val="66A20992"/>
    <w:rsid w:val="66B23A7E"/>
    <w:rsid w:val="66B51C12"/>
    <w:rsid w:val="66BF49E4"/>
    <w:rsid w:val="66CC02D5"/>
    <w:rsid w:val="66CC53FC"/>
    <w:rsid w:val="66CE08C2"/>
    <w:rsid w:val="66CF2184"/>
    <w:rsid w:val="66D20BFB"/>
    <w:rsid w:val="66D228E4"/>
    <w:rsid w:val="66D34875"/>
    <w:rsid w:val="66D3745F"/>
    <w:rsid w:val="66D94970"/>
    <w:rsid w:val="66DF66B0"/>
    <w:rsid w:val="66E96858"/>
    <w:rsid w:val="66EA2C46"/>
    <w:rsid w:val="66EC5608"/>
    <w:rsid w:val="66F47D69"/>
    <w:rsid w:val="66F91386"/>
    <w:rsid w:val="67033B76"/>
    <w:rsid w:val="6705507A"/>
    <w:rsid w:val="67094900"/>
    <w:rsid w:val="670C61B1"/>
    <w:rsid w:val="670E5661"/>
    <w:rsid w:val="671D7131"/>
    <w:rsid w:val="671F2063"/>
    <w:rsid w:val="67212488"/>
    <w:rsid w:val="67230E17"/>
    <w:rsid w:val="67243AE8"/>
    <w:rsid w:val="67260D82"/>
    <w:rsid w:val="672F7595"/>
    <w:rsid w:val="673510AA"/>
    <w:rsid w:val="673A5DB8"/>
    <w:rsid w:val="673C52CE"/>
    <w:rsid w:val="674835A4"/>
    <w:rsid w:val="674A08D6"/>
    <w:rsid w:val="67506DC9"/>
    <w:rsid w:val="675443C8"/>
    <w:rsid w:val="675664A8"/>
    <w:rsid w:val="67572F0A"/>
    <w:rsid w:val="6760267D"/>
    <w:rsid w:val="67630966"/>
    <w:rsid w:val="676D7C3E"/>
    <w:rsid w:val="676E0C11"/>
    <w:rsid w:val="67771EB3"/>
    <w:rsid w:val="677816BC"/>
    <w:rsid w:val="6779303C"/>
    <w:rsid w:val="67893AC4"/>
    <w:rsid w:val="67897F92"/>
    <w:rsid w:val="67933C30"/>
    <w:rsid w:val="67934970"/>
    <w:rsid w:val="67973342"/>
    <w:rsid w:val="679A15A5"/>
    <w:rsid w:val="67A051CC"/>
    <w:rsid w:val="67A37D65"/>
    <w:rsid w:val="67A723E7"/>
    <w:rsid w:val="67A835DD"/>
    <w:rsid w:val="67AC675A"/>
    <w:rsid w:val="67AD23B2"/>
    <w:rsid w:val="67C0434F"/>
    <w:rsid w:val="67C36F06"/>
    <w:rsid w:val="67C4620E"/>
    <w:rsid w:val="67CF79C3"/>
    <w:rsid w:val="67D56F12"/>
    <w:rsid w:val="67DC12E8"/>
    <w:rsid w:val="67DC5B84"/>
    <w:rsid w:val="67DE05B4"/>
    <w:rsid w:val="67DF2BE3"/>
    <w:rsid w:val="67E0222A"/>
    <w:rsid w:val="67E33DD6"/>
    <w:rsid w:val="67E401B7"/>
    <w:rsid w:val="67E5172D"/>
    <w:rsid w:val="67E517D3"/>
    <w:rsid w:val="67E555F1"/>
    <w:rsid w:val="67E94652"/>
    <w:rsid w:val="67ED40A4"/>
    <w:rsid w:val="67EE565E"/>
    <w:rsid w:val="67F2090D"/>
    <w:rsid w:val="67F7311E"/>
    <w:rsid w:val="67F805E7"/>
    <w:rsid w:val="68061E6D"/>
    <w:rsid w:val="68132502"/>
    <w:rsid w:val="68184C55"/>
    <w:rsid w:val="681924FE"/>
    <w:rsid w:val="681C0784"/>
    <w:rsid w:val="683A3668"/>
    <w:rsid w:val="683B657B"/>
    <w:rsid w:val="684C2B48"/>
    <w:rsid w:val="68556949"/>
    <w:rsid w:val="685670DB"/>
    <w:rsid w:val="68567F31"/>
    <w:rsid w:val="685776BD"/>
    <w:rsid w:val="685B0970"/>
    <w:rsid w:val="685E3F7E"/>
    <w:rsid w:val="686E5523"/>
    <w:rsid w:val="687143A6"/>
    <w:rsid w:val="68732027"/>
    <w:rsid w:val="687A6873"/>
    <w:rsid w:val="687B7BF4"/>
    <w:rsid w:val="68847289"/>
    <w:rsid w:val="68873F5A"/>
    <w:rsid w:val="68881EFD"/>
    <w:rsid w:val="688F6C8F"/>
    <w:rsid w:val="688F6ECF"/>
    <w:rsid w:val="689141D9"/>
    <w:rsid w:val="68927129"/>
    <w:rsid w:val="68937A44"/>
    <w:rsid w:val="68960041"/>
    <w:rsid w:val="6896626F"/>
    <w:rsid w:val="689902EE"/>
    <w:rsid w:val="689E11ED"/>
    <w:rsid w:val="68A212DE"/>
    <w:rsid w:val="68AD5E16"/>
    <w:rsid w:val="68AE5A35"/>
    <w:rsid w:val="68B00491"/>
    <w:rsid w:val="68BC711D"/>
    <w:rsid w:val="68C276C2"/>
    <w:rsid w:val="68C7344F"/>
    <w:rsid w:val="68CC3AC4"/>
    <w:rsid w:val="68D018E9"/>
    <w:rsid w:val="68D9302B"/>
    <w:rsid w:val="68DC4A0D"/>
    <w:rsid w:val="68DD2FD2"/>
    <w:rsid w:val="68E07E51"/>
    <w:rsid w:val="68ED6741"/>
    <w:rsid w:val="68FD080C"/>
    <w:rsid w:val="6904711D"/>
    <w:rsid w:val="69052FFF"/>
    <w:rsid w:val="69062180"/>
    <w:rsid w:val="6908307A"/>
    <w:rsid w:val="69093F2E"/>
    <w:rsid w:val="690C7C5F"/>
    <w:rsid w:val="690E0A75"/>
    <w:rsid w:val="690E2220"/>
    <w:rsid w:val="69106407"/>
    <w:rsid w:val="6917167B"/>
    <w:rsid w:val="69183894"/>
    <w:rsid w:val="6918723F"/>
    <w:rsid w:val="691B0627"/>
    <w:rsid w:val="691E6439"/>
    <w:rsid w:val="692371DC"/>
    <w:rsid w:val="692B748B"/>
    <w:rsid w:val="692E1277"/>
    <w:rsid w:val="692F6285"/>
    <w:rsid w:val="6934442A"/>
    <w:rsid w:val="69397C33"/>
    <w:rsid w:val="694753FD"/>
    <w:rsid w:val="69494E41"/>
    <w:rsid w:val="69496E2A"/>
    <w:rsid w:val="694D1FB4"/>
    <w:rsid w:val="694E7F2A"/>
    <w:rsid w:val="69501690"/>
    <w:rsid w:val="696B4AEC"/>
    <w:rsid w:val="696E6E1B"/>
    <w:rsid w:val="69715EEF"/>
    <w:rsid w:val="69752E98"/>
    <w:rsid w:val="697B519D"/>
    <w:rsid w:val="697C5226"/>
    <w:rsid w:val="697E5EB5"/>
    <w:rsid w:val="697F058F"/>
    <w:rsid w:val="697F7C58"/>
    <w:rsid w:val="698209C9"/>
    <w:rsid w:val="6986719C"/>
    <w:rsid w:val="698851F4"/>
    <w:rsid w:val="69927C1F"/>
    <w:rsid w:val="69987043"/>
    <w:rsid w:val="699E183B"/>
    <w:rsid w:val="699F60B9"/>
    <w:rsid w:val="69A354E5"/>
    <w:rsid w:val="69A74324"/>
    <w:rsid w:val="69AC52A1"/>
    <w:rsid w:val="69B070C4"/>
    <w:rsid w:val="69B30239"/>
    <w:rsid w:val="69B856EB"/>
    <w:rsid w:val="69BC0CC4"/>
    <w:rsid w:val="69C85FED"/>
    <w:rsid w:val="69D32B08"/>
    <w:rsid w:val="69D76858"/>
    <w:rsid w:val="69E00314"/>
    <w:rsid w:val="69E15648"/>
    <w:rsid w:val="69E203DB"/>
    <w:rsid w:val="69E85706"/>
    <w:rsid w:val="69E859A8"/>
    <w:rsid w:val="69EF2F32"/>
    <w:rsid w:val="69F04562"/>
    <w:rsid w:val="69F07E03"/>
    <w:rsid w:val="69FB01E2"/>
    <w:rsid w:val="6A071FA7"/>
    <w:rsid w:val="6A0E7CDD"/>
    <w:rsid w:val="6A120FD0"/>
    <w:rsid w:val="6A12113C"/>
    <w:rsid w:val="6A133EB3"/>
    <w:rsid w:val="6A1F70BB"/>
    <w:rsid w:val="6A2519E8"/>
    <w:rsid w:val="6A255A2B"/>
    <w:rsid w:val="6A26016B"/>
    <w:rsid w:val="6A300070"/>
    <w:rsid w:val="6A304F08"/>
    <w:rsid w:val="6A4107BE"/>
    <w:rsid w:val="6A4A15E8"/>
    <w:rsid w:val="6A4C5A04"/>
    <w:rsid w:val="6A5110C5"/>
    <w:rsid w:val="6A58493C"/>
    <w:rsid w:val="6A5F7765"/>
    <w:rsid w:val="6A6373A0"/>
    <w:rsid w:val="6A687C25"/>
    <w:rsid w:val="6A6A33B7"/>
    <w:rsid w:val="6A6A49EF"/>
    <w:rsid w:val="6A6E7A18"/>
    <w:rsid w:val="6A7D3773"/>
    <w:rsid w:val="6A873080"/>
    <w:rsid w:val="6A883A57"/>
    <w:rsid w:val="6A894123"/>
    <w:rsid w:val="6A8B4A02"/>
    <w:rsid w:val="6A9A5A6C"/>
    <w:rsid w:val="6AA20EE9"/>
    <w:rsid w:val="6AA52E5A"/>
    <w:rsid w:val="6AB640D8"/>
    <w:rsid w:val="6AB77DDD"/>
    <w:rsid w:val="6AB8678A"/>
    <w:rsid w:val="6AC0177F"/>
    <w:rsid w:val="6AC5642B"/>
    <w:rsid w:val="6ACB56C8"/>
    <w:rsid w:val="6AD237D3"/>
    <w:rsid w:val="6AD37D94"/>
    <w:rsid w:val="6ADA5C94"/>
    <w:rsid w:val="6ADF1DBC"/>
    <w:rsid w:val="6AE70AF2"/>
    <w:rsid w:val="6AEB4130"/>
    <w:rsid w:val="6AEF0E71"/>
    <w:rsid w:val="6AF10F79"/>
    <w:rsid w:val="6AF13E00"/>
    <w:rsid w:val="6AFD62C2"/>
    <w:rsid w:val="6B0445E1"/>
    <w:rsid w:val="6B08276F"/>
    <w:rsid w:val="6B0A5D32"/>
    <w:rsid w:val="6B0B6EA7"/>
    <w:rsid w:val="6B163C22"/>
    <w:rsid w:val="6B1870F1"/>
    <w:rsid w:val="6B1908E3"/>
    <w:rsid w:val="6B1E0666"/>
    <w:rsid w:val="6B214C3A"/>
    <w:rsid w:val="6B284EAE"/>
    <w:rsid w:val="6B2D67D1"/>
    <w:rsid w:val="6B2E4BDC"/>
    <w:rsid w:val="6B3230C2"/>
    <w:rsid w:val="6B3A0170"/>
    <w:rsid w:val="6B3B3477"/>
    <w:rsid w:val="6B3E31D3"/>
    <w:rsid w:val="6B444C91"/>
    <w:rsid w:val="6B453759"/>
    <w:rsid w:val="6B45608D"/>
    <w:rsid w:val="6B474C81"/>
    <w:rsid w:val="6B585D0F"/>
    <w:rsid w:val="6B5E2AF5"/>
    <w:rsid w:val="6B674629"/>
    <w:rsid w:val="6B6A1A19"/>
    <w:rsid w:val="6B6C5677"/>
    <w:rsid w:val="6B736098"/>
    <w:rsid w:val="6B736831"/>
    <w:rsid w:val="6B78662D"/>
    <w:rsid w:val="6B81648B"/>
    <w:rsid w:val="6B840CF4"/>
    <w:rsid w:val="6B8C1DDE"/>
    <w:rsid w:val="6B8D3913"/>
    <w:rsid w:val="6B917985"/>
    <w:rsid w:val="6B957B53"/>
    <w:rsid w:val="6BA403FD"/>
    <w:rsid w:val="6BAB267B"/>
    <w:rsid w:val="6BAB7F58"/>
    <w:rsid w:val="6BAD06E4"/>
    <w:rsid w:val="6BAE5892"/>
    <w:rsid w:val="6BB02C9C"/>
    <w:rsid w:val="6BB22A30"/>
    <w:rsid w:val="6BB5618F"/>
    <w:rsid w:val="6BB922DD"/>
    <w:rsid w:val="6BBD31AD"/>
    <w:rsid w:val="6BBF33D8"/>
    <w:rsid w:val="6BCA0D31"/>
    <w:rsid w:val="6BCD1A5F"/>
    <w:rsid w:val="6BD50F30"/>
    <w:rsid w:val="6BD954FE"/>
    <w:rsid w:val="6BDA3731"/>
    <w:rsid w:val="6BDA5A31"/>
    <w:rsid w:val="6BDD6387"/>
    <w:rsid w:val="6BE0409F"/>
    <w:rsid w:val="6BE11226"/>
    <w:rsid w:val="6BE56596"/>
    <w:rsid w:val="6BE77CB5"/>
    <w:rsid w:val="6BF1529A"/>
    <w:rsid w:val="6BF329C9"/>
    <w:rsid w:val="6BF82039"/>
    <w:rsid w:val="6C067490"/>
    <w:rsid w:val="6C0B5D3D"/>
    <w:rsid w:val="6C0F552A"/>
    <w:rsid w:val="6C132282"/>
    <w:rsid w:val="6C1E57A4"/>
    <w:rsid w:val="6C2052D7"/>
    <w:rsid w:val="6C2474AD"/>
    <w:rsid w:val="6C254DED"/>
    <w:rsid w:val="6C2A3C97"/>
    <w:rsid w:val="6C300842"/>
    <w:rsid w:val="6C39351D"/>
    <w:rsid w:val="6C441522"/>
    <w:rsid w:val="6C444E98"/>
    <w:rsid w:val="6C44652A"/>
    <w:rsid w:val="6C450DC2"/>
    <w:rsid w:val="6C4743EF"/>
    <w:rsid w:val="6C49464D"/>
    <w:rsid w:val="6C5630FD"/>
    <w:rsid w:val="6C580C23"/>
    <w:rsid w:val="6C5D2B83"/>
    <w:rsid w:val="6C5E310E"/>
    <w:rsid w:val="6C693101"/>
    <w:rsid w:val="6C6C65A8"/>
    <w:rsid w:val="6C6E654D"/>
    <w:rsid w:val="6C6F6D68"/>
    <w:rsid w:val="6C713EE6"/>
    <w:rsid w:val="6C7225C0"/>
    <w:rsid w:val="6C724086"/>
    <w:rsid w:val="6C7A0146"/>
    <w:rsid w:val="6C7D1EE1"/>
    <w:rsid w:val="6C83148E"/>
    <w:rsid w:val="6C847309"/>
    <w:rsid w:val="6C87483E"/>
    <w:rsid w:val="6C932F62"/>
    <w:rsid w:val="6C970952"/>
    <w:rsid w:val="6C986CFB"/>
    <w:rsid w:val="6C993EDD"/>
    <w:rsid w:val="6CA16A6E"/>
    <w:rsid w:val="6CA35ACE"/>
    <w:rsid w:val="6CA36F99"/>
    <w:rsid w:val="6CA51F44"/>
    <w:rsid w:val="6CAC41D8"/>
    <w:rsid w:val="6CAD1DA8"/>
    <w:rsid w:val="6CC01FF7"/>
    <w:rsid w:val="6CC100DE"/>
    <w:rsid w:val="6CC172F0"/>
    <w:rsid w:val="6CC37577"/>
    <w:rsid w:val="6CC47E70"/>
    <w:rsid w:val="6CC83449"/>
    <w:rsid w:val="6CD4587A"/>
    <w:rsid w:val="6CD55F25"/>
    <w:rsid w:val="6CD7368A"/>
    <w:rsid w:val="6CDE5384"/>
    <w:rsid w:val="6CE73495"/>
    <w:rsid w:val="6CE8549F"/>
    <w:rsid w:val="6CEC511B"/>
    <w:rsid w:val="6CF4007D"/>
    <w:rsid w:val="6CFC39F3"/>
    <w:rsid w:val="6CFF6600"/>
    <w:rsid w:val="6D010C12"/>
    <w:rsid w:val="6D063E81"/>
    <w:rsid w:val="6D076851"/>
    <w:rsid w:val="6D127028"/>
    <w:rsid w:val="6D1F46E9"/>
    <w:rsid w:val="6D203CD5"/>
    <w:rsid w:val="6D223A04"/>
    <w:rsid w:val="6D263AE7"/>
    <w:rsid w:val="6D280683"/>
    <w:rsid w:val="6D2945A7"/>
    <w:rsid w:val="6D2D6CE1"/>
    <w:rsid w:val="6D2E1113"/>
    <w:rsid w:val="6D325F0F"/>
    <w:rsid w:val="6D401847"/>
    <w:rsid w:val="6D404A0F"/>
    <w:rsid w:val="6D420E52"/>
    <w:rsid w:val="6D4A0E9C"/>
    <w:rsid w:val="6D513FF0"/>
    <w:rsid w:val="6D5418EA"/>
    <w:rsid w:val="6D575E66"/>
    <w:rsid w:val="6D5821FC"/>
    <w:rsid w:val="6D5D1D1B"/>
    <w:rsid w:val="6D6634BF"/>
    <w:rsid w:val="6D674F00"/>
    <w:rsid w:val="6D6F789B"/>
    <w:rsid w:val="6D7A77E4"/>
    <w:rsid w:val="6D7F2DE1"/>
    <w:rsid w:val="6D80339C"/>
    <w:rsid w:val="6D825FB8"/>
    <w:rsid w:val="6D8F01E3"/>
    <w:rsid w:val="6D944001"/>
    <w:rsid w:val="6D9C799E"/>
    <w:rsid w:val="6DA20C00"/>
    <w:rsid w:val="6DA25EF4"/>
    <w:rsid w:val="6DA735E2"/>
    <w:rsid w:val="6DAD74FD"/>
    <w:rsid w:val="6DB26C1E"/>
    <w:rsid w:val="6DB60DFB"/>
    <w:rsid w:val="6DB76E46"/>
    <w:rsid w:val="6DB844B9"/>
    <w:rsid w:val="6DBB0278"/>
    <w:rsid w:val="6DBE57BB"/>
    <w:rsid w:val="6DBE72ED"/>
    <w:rsid w:val="6DC37EC0"/>
    <w:rsid w:val="6DCB20B7"/>
    <w:rsid w:val="6DCF52A4"/>
    <w:rsid w:val="6DCF62AA"/>
    <w:rsid w:val="6DDC10B9"/>
    <w:rsid w:val="6DE2058C"/>
    <w:rsid w:val="6DEA4B63"/>
    <w:rsid w:val="6DEC2574"/>
    <w:rsid w:val="6DEF5566"/>
    <w:rsid w:val="6DF04A10"/>
    <w:rsid w:val="6DFA5521"/>
    <w:rsid w:val="6DFC4AA0"/>
    <w:rsid w:val="6E017998"/>
    <w:rsid w:val="6E06616E"/>
    <w:rsid w:val="6E0857F3"/>
    <w:rsid w:val="6E0F7196"/>
    <w:rsid w:val="6E10735F"/>
    <w:rsid w:val="6E1B4FC1"/>
    <w:rsid w:val="6E1B5E12"/>
    <w:rsid w:val="6E343092"/>
    <w:rsid w:val="6E38181A"/>
    <w:rsid w:val="6E413541"/>
    <w:rsid w:val="6E4231C2"/>
    <w:rsid w:val="6E4B1B06"/>
    <w:rsid w:val="6E4C2E71"/>
    <w:rsid w:val="6E551BCA"/>
    <w:rsid w:val="6E6555FC"/>
    <w:rsid w:val="6E680706"/>
    <w:rsid w:val="6E692C0F"/>
    <w:rsid w:val="6E69339B"/>
    <w:rsid w:val="6E6B5DF0"/>
    <w:rsid w:val="6E712AD2"/>
    <w:rsid w:val="6E744537"/>
    <w:rsid w:val="6E765026"/>
    <w:rsid w:val="6E816B30"/>
    <w:rsid w:val="6E884AE3"/>
    <w:rsid w:val="6E8A3DD4"/>
    <w:rsid w:val="6E8D266C"/>
    <w:rsid w:val="6E8D6F11"/>
    <w:rsid w:val="6E8F434A"/>
    <w:rsid w:val="6E9402CA"/>
    <w:rsid w:val="6E9437CC"/>
    <w:rsid w:val="6E94517C"/>
    <w:rsid w:val="6E9A56D4"/>
    <w:rsid w:val="6E9B100B"/>
    <w:rsid w:val="6E9D4C90"/>
    <w:rsid w:val="6E9E00A9"/>
    <w:rsid w:val="6EA423CE"/>
    <w:rsid w:val="6EA57175"/>
    <w:rsid w:val="6EA659A9"/>
    <w:rsid w:val="6EAB117C"/>
    <w:rsid w:val="6EAB6500"/>
    <w:rsid w:val="6EB03503"/>
    <w:rsid w:val="6EB5091B"/>
    <w:rsid w:val="6EB56CDB"/>
    <w:rsid w:val="6EB57409"/>
    <w:rsid w:val="6EBD113C"/>
    <w:rsid w:val="6EBF37FB"/>
    <w:rsid w:val="6EC219F7"/>
    <w:rsid w:val="6EC2511F"/>
    <w:rsid w:val="6EC40957"/>
    <w:rsid w:val="6EC40EEB"/>
    <w:rsid w:val="6ECA4DDC"/>
    <w:rsid w:val="6ECB0D87"/>
    <w:rsid w:val="6ECF26EB"/>
    <w:rsid w:val="6ED35329"/>
    <w:rsid w:val="6EDB5368"/>
    <w:rsid w:val="6EDF0F78"/>
    <w:rsid w:val="6EE314EC"/>
    <w:rsid w:val="6EE823BE"/>
    <w:rsid w:val="6EF0327D"/>
    <w:rsid w:val="6EF03718"/>
    <w:rsid w:val="6EF05437"/>
    <w:rsid w:val="6EF51CC5"/>
    <w:rsid w:val="6EF709C0"/>
    <w:rsid w:val="6EF95624"/>
    <w:rsid w:val="6EFD3C23"/>
    <w:rsid w:val="6EFF7B3A"/>
    <w:rsid w:val="6F032CF4"/>
    <w:rsid w:val="6F122C84"/>
    <w:rsid w:val="6F137B0B"/>
    <w:rsid w:val="6F170E85"/>
    <w:rsid w:val="6F180EB2"/>
    <w:rsid w:val="6F195B8D"/>
    <w:rsid w:val="6F1D0D11"/>
    <w:rsid w:val="6F265765"/>
    <w:rsid w:val="6F27517A"/>
    <w:rsid w:val="6F283862"/>
    <w:rsid w:val="6F2C357C"/>
    <w:rsid w:val="6F2E6A7A"/>
    <w:rsid w:val="6F2E742D"/>
    <w:rsid w:val="6F3A008B"/>
    <w:rsid w:val="6F3A224F"/>
    <w:rsid w:val="6F3F5D0E"/>
    <w:rsid w:val="6F4374A7"/>
    <w:rsid w:val="6F497CF0"/>
    <w:rsid w:val="6F4A1175"/>
    <w:rsid w:val="6F4F2AD0"/>
    <w:rsid w:val="6F5170EF"/>
    <w:rsid w:val="6F573803"/>
    <w:rsid w:val="6F5F076F"/>
    <w:rsid w:val="6F616C26"/>
    <w:rsid w:val="6F62065E"/>
    <w:rsid w:val="6F6278FA"/>
    <w:rsid w:val="6F641FCA"/>
    <w:rsid w:val="6F660B27"/>
    <w:rsid w:val="6F671B40"/>
    <w:rsid w:val="6F6C4EF2"/>
    <w:rsid w:val="6F6F3E18"/>
    <w:rsid w:val="6F702DF7"/>
    <w:rsid w:val="6F70604F"/>
    <w:rsid w:val="6F77413C"/>
    <w:rsid w:val="6F7A2D7A"/>
    <w:rsid w:val="6F7D5DCF"/>
    <w:rsid w:val="6F7F195B"/>
    <w:rsid w:val="6F825AAD"/>
    <w:rsid w:val="6F8A2227"/>
    <w:rsid w:val="6F8E4EE0"/>
    <w:rsid w:val="6F984219"/>
    <w:rsid w:val="6F990219"/>
    <w:rsid w:val="6F9D1A7C"/>
    <w:rsid w:val="6FA973F6"/>
    <w:rsid w:val="6FB07E8C"/>
    <w:rsid w:val="6FB34A5A"/>
    <w:rsid w:val="6FBC45CE"/>
    <w:rsid w:val="6FC1266F"/>
    <w:rsid w:val="6FC66B94"/>
    <w:rsid w:val="6FD51D6F"/>
    <w:rsid w:val="6FD62245"/>
    <w:rsid w:val="6FDC417F"/>
    <w:rsid w:val="6FDD321A"/>
    <w:rsid w:val="6FE63978"/>
    <w:rsid w:val="6FE663C9"/>
    <w:rsid w:val="6FEA7394"/>
    <w:rsid w:val="6FF0428C"/>
    <w:rsid w:val="6FF404B4"/>
    <w:rsid w:val="6FF64DA3"/>
    <w:rsid w:val="6FFB2F37"/>
    <w:rsid w:val="70031100"/>
    <w:rsid w:val="7008242C"/>
    <w:rsid w:val="70121C98"/>
    <w:rsid w:val="701346E6"/>
    <w:rsid w:val="70175C4F"/>
    <w:rsid w:val="701A0903"/>
    <w:rsid w:val="701A4FCA"/>
    <w:rsid w:val="701A6547"/>
    <w:rsid w:val="70236A4E"/>
    <w:rsid w:val="70256C69"/>
    <w:rsid w:val="7028280A"/>
    <w:rsid w:val="702966B0"/>
    <w:rsid w:val="702C7775"/>
    <w:rsid w:val="70366AE2"/>
    <w:rsid w:val="70373538"/>
    <w:rsid w:val="7038625A"/>
    <w:rsid w:val="70396EE2"/>
    <w:rsid w:val="703A4175"/>
    <w:rsid w:val="703B41EF"/>
    <w:rsid w:val="70440DA9"/>
    <w:rsid w:val="70451C1A"/>
    <w:rsid w:val="70474830"/>
    <w:rsid w:val="7048188C"/>
    <w:rsid w:val="70487335"/>
    <w:rsid w:val="704F2F39"/>
    <w:rsid w:val="70571372"/>
    <w:rsid w:val="706322DC"/>
    <w:rsid w:val="7063386D"/>
    <w:rsid w:val="7063485A"/>
    <w:rsid w:val="70711B51"/>
    <w:rsid w:val="70770319"/>
    <w:rsid w:val="708B2BFA"/>
    <w:rsid w:val="708C6267"/>
    <w:rsid w:val="708E48F3"/>
    <w:rsid w:val="70960F83"/>
    <w:rsid w:val="709928BB"/>
    <w:rsid w:val="709B11EE"/>
    <w:rsid w:val="709F3676"/>
    <w:rsid w:val="70A2038F"/>
    <w:rsid w:val="70A43BB3"/>
    <w:rsid w:val="70A46B6C"/>
    <w:rsid w:val="70A671FB"/>
    <w:rsid w:val="70AE15AA"/>
    <w:rsid w:val="70B351DF"/>
    <w:rsid w:val="70B3540A"/>
    <w:rsid w:val="70B924A1"/>
    <w:rsid w:val="70BA57A2"/>
    <w:rsid w:val="70C02226"/>
    <w:rsid w:val="70C21BD5"/>
    <w:rsid w:val="70DB1354"/>
    <w:rsid w:val="70E74387"/>
    <w:rsid w:val="70E95688"/>
    <w:rsid w:val="70F44C82"/>
    <w:rsid w:val="70F6416C"/>
    <w:rsid w:val="70F65FDE"/>
    <w:rsid w:val="70F82823"/>
    <w:rsid w:val="70FA4EF2"/>
    <w:rsid w:val="70FD6488"/>
    <w:rsid w:val="71001814"/>
    <w:rsid w:val="71030E7B"/>
    <w:rsid w:val="7104197B"/>
    <w:rsid w:val="71053D85"/>
    <w:rsid w:val="711E34A6"/>
    <w:rsid w:val="71214620"/>
    <w:rsid w:val="71246003"/>
    <w:rsid w:val="712B0D1A"/>
    <w:rsid w:val="71312799"/>
    <w:rsid w:val="71367DEB"/>
    <w:rsid w:val="713C7666"/>
    <w:rsid w:val="714566E7"/>
    <w:rsid w:val="71567288"/>
    <w:rsid w:val="715979B9"/>
    <w:rsid w:val="715C187E"/>
    <w:rsid w:val="715F2F64"/>
    <w:rsid w:val="716A3ECC"/>
    <w:rsid w:val="716D279C"/>
    <w:rsid w:val="71720D3C"/>
    <w:rsid w:val="717368BB"/>
    <w:rsid w:val="717D2450"/>
    <w:rsid w:val="717D3473"/>
    <w:rsid w:val="71855C60"/>
    <w:rsid w:val="718646AC"/>
    <w:rsid w:val="71893F18"/>
    <w:rsid w:val="718A2BD2"/>
    <w:rsid w:val="719A6A46"/>
    <w:rsid w:val="719E4BD5"/>
    <w:rsid w:val="71A94AE6"/>
    <w:rsid w:val="71AA1FB4"/>
    <w:rsid w:val="71AA5E03"/>
    <w:rsid w:val="71AD2519"/>
    <w:rsid w:val="71AE30CB"/>
    <w:rsid w:val="71B731AC"/>
    <w:rsid w:val="71BC586A"/>
    <w:rsid w:val="71BE020A"/>
    <w:rsid w:val="71C4348E"/>
    <w:rsid w:val="71C4594D"/>
    <w:rsid w:val="71C45F70"/>
    <w:rsid w:val="71C525A0"/>
    <w:rsid w:val="71C77FC3"/>
    <w:rsid w:val="71D67195"/>
    <w:rsid w:val="71D707E2"/>
    <w:rsid w:val="71D72B63"/>
    <w:rsid w:val="71D90995"/>
    <w:rsid w:val="71E0184C"/>
    <w:rsid w:val="71E34117"/>
    <w:rsid w:val="71E34506"/>
    <w:rsid w:val="71E70ECE"/>
    <w:rsid w:val="71E90DAD"/>
    <w:rsid w:val="71EE722C"/>
    <w:rsid w:val="71F63772"/>
    <w:rsid w:val="71FA0D3D"/>
    <w:rsid w:val="72012AFB"/>
    <w:rsid w:val="72035696"/>
    <w:rsid w:val="720724DF"/>
    <w:rsid w:val="72086932"/>
    <w:rsid w:val="72120D05"/>
    <w:rsid w:val="72123FFF"/>
    <w:rsid w:val="721367E2"/>
    <w:rsid w:val="72146ED4"/>
    <w:rsid w:val="72172B83"/>
    <w:rsid w:val="7224182C"/>
    <w:rsid w:val="72285E6F"/>
    <w:rsid w:val="722860DC"/>
    <w:rsid w:val="72302B66"/>
    <w:rsid w:val="723137C3"/>
    <w:rsid w:val="72314AEC"/>
    <w:rsid w:val="723268A8"/>
    <w:rsid w:val="723765B7"/>
    <w:rsid w:val="723C4ABB"/>
    <w:rsid w:val="723F3DF5"/>
    <w:rsid w:val="72422F0F"/>
    <w:rsid w:val="72431E66"/>
    <w:rsid w:val="7247614E"/>
    <w:rsid w:val="724C5BB6"/>
    <w:rsid w:val="7259379E"/>
    <w:rsid w:val="725A46E9"/>
    <w:rsid w:val="726027C7"/>
    <w:rsid w:val="72620FB8"/>
    <w:rsid w:val="726B1F90"/>
    <w:rsid w:val="726B58A7"/>
    <w:rsid w:val="726C63B8"/>
    <w:rsid w:val="726E4B89"/>
    <w:rsid w:val="7278329D"/>
    <w:rsid w:val="727E1F3F"/>
    <w:rsid w:val="72816936"/>
    <w:rsid w:val="7287575B"/>
    <w:rsid w:val="7289422C"/>
    <w:rsid w:val="728C47EA"/>
    <w:rsid w:val="72906CD8"/>
    <w:rsid w:val="7292783B"/>
    <w:rsid w:val="72931A7D"/>
    <w:rsid w:val="72933884"/>
    <w:rsid w:val="729353D4"/>
    <w:rsid w:val="72973460"/>
    <w:rsid w:val="729A1FD4"/>
    <w:rsid w:val="729A6670"/>
    <w:rsid w:val="729D63A2"/>
    <w:rsid w:val="72A279FF"/>
    <w:rsid w:val="72A74598"/>
    <w:rsid w:val="72A82B27"/>
    <w:rsid w:val="72A91DE4"/>
    <w:rsid w:val="72AB1F98"/>
    <w:rsid w:val="72BD5D98"/>
    <w:rsid w:val="72BF50A2"/>
    <w:rsid w:val="72C00416"/>
    <w:rsid w:val="72C04D9A"/>
    <w:rsid w:val="72C60970"/>
    <w:rsid w:val="72C62F71"/>
    <w:rsid w:val="72D31546"/>
    <w:rsid w:val="72D40767"/>
    <w:rsid w:val="72D61995"/>
    <w:rsid w:val="72D705AD"/>
    <w:rsid w:val="72DA7FED"/>
    <w:rsid w:val="72DE5139"/>
    <w:rsid w:val="72E56AE8"/>
    <w:rsid w:val="72E81DB2"/>
    <w:rsid w:val="72F027CA"/>
    <w:rsid w:val="7301337F"/>
    <w:rsid w:val="7304264C"/>
    <w:rsid w:val="73062B16"/>
    <w:rsid w:val="73070C7F"/>
    <w:rsid w:val="730832A4"/>
    <w:rsid w:val="73126134"/>
    <w:rsid w:val="73186301"/>
    <w:rsid w:val="73201849"/>
    <w:rsid w:val="732114F1"/>
    <w:rsid w:val="73296CA2"/>
    <w:rsid w:val="732B15F3"/>
    <w:rsid w:val="7331676D"/>
    <w:rsid w:val="73355C60"/>
    <w:rsid w:val="73371506"/>
    <w:rsid w:val="733A6FFF"/>
    <w:rsid w:val="734034DC"/>
    <w:rsid w:val="73436693"/>
    <w:rsid w:val="734A66D2"/>
    <w:rsid w:val="73532762"/>
    <w:rsid w:val="73567B16"/>
    <w:rsid w:val="7357153F"/>
    <w:rsid w:val="735724C1"/>
    <w:rsid w:val="735A7717"/>
    <w:rsid w:val="735B536A"/>
    <w:rsid w:val="73690CCC"/>
    <w:rsid w:val="736B751F"/>
    <w:rsid w:val="736E5508"/>
    <w:rsid w:val="7373563A"/>
    <w:rsid w:val="737427E7"/>
    <w:rsid w:val="73780C77"/>
    <w:rsid w:val="737A4BD0"/>
    <w:rsid w:val="737F4BFF"/>
    <w:rsid w:val="737F7D7C"/>
    <w:rsid w:val="738C1FF8"/>
    <w:rsid w:val="739736D3"/>
    <w:rsid w:val="739949BE"/>
    <w:rsid w:val="739D2071"/>
    <w:rsid w:val="73A00791"/>
    <w:rsid w:val="73A40BF2"/>
    <w:rsid w:val="73A57F12"/>
    <w:rsid w:val="73AA0332"/>
    <w:rsid w:val="73AA4DAE"/>
    <w:rsid w:val="73B156EB"/>
    <w:rsid w:val="73B654C1"/>
    <w:rsid w:val="73B672AE"/>
    <w:rsid w:val="73BD1340"/>
    <w:rsid w:val="73BD483F"/>
    <w:rsid w:val="73BF3516"/>
    <w:rsid w:val="73C07BDE"/>
    <w:rsid w:val="73CC19BE"/>
    <w:rsid w:val="73CC466B"/>
    <w:rsid w:val="73D0787F"/>
    <w:rsid w:val="73DD455E"/>
    <w:rsid w:val="73E132B2"/>
    <w:rsid w:val="73E3242B"/>
    <w:rsid w:val="73E33B81"/>
    <w:rsid w:val="73E82590"/>
    <w:rsid w:val="73EA0F24"/>
    <w:rsid w:val="73EA1093"/>
    <w:rsid w:val="74060F68"/>
    <w:rsid w:val="740B08DB"/>
    <w:rsid w:val="740B323C"/>
    <w:rsid w:val="740D3A81"/>
    <w:rsid w:val="741607EC"/>
    <w:rsid w:val="741A3D6E"/>
    <w:rsid w:val="741C0CAC"/>
    <w:rsid w:val="74341BE0"/>
    <w:rsid w:val="74343D24"/>
    <w:rsid w:val="743E7BC1"/>
    <w:rsid w:val="744B4084"/>
    <w:rsid w:val="74562B20"/>
    <w:rsid w:val="745720FB"/>
    <w:rsid w:val="7462281D"/>
    <w:rsid w:val="74644330"/>
    <w:rsid w:val="74660C6A"/>
    <w:rsid w:val="746C4611"/>
    <w:rsid w:val="746F686F"/>
    <w:rsid w:val="747A71BB"/>
    <w:rsid w:val="747E6251"/>
    <w:rsid w:val="74855371"/>
    <w:rsid w:val="74860A69"/>
    <w:rsid w:val="74880872"/>
    <w:rsid w:val="748A0DF2"/>
    <w:rsid w:val="748E57CA"/>
    <w:rsid w:val="7490588E"/>
    <w:rsid w:val="74920186"/>
    <w:rsid w:val="749279E2"/>
    <w:rsid w:val="74945B6C"/>
    <w:rsid w:val="74A22FEC"/>
    <w:rsid w:val="74A3016A"/>
    <w:rsid w:val="74A305FA"/>
    <w:rsid w:val="74A961CA"/>
    <w:rsid w:val="74AA74EB"/>
    <w:rsid w:val="74AD708A"/>
    <w:rsid w:val="74AE1FDF"/>
    <w:rsid w:val="74B52129"/>
    <w:rsid w:val="74B56CA0"/>
    <w:rsid w:val="74B75095"/>
    <w:rsid w:val="74BA06CD"/>
    <w:rsid w:val="74CD4F0A"/>
    <w:rsid w:val="74DA424F"/>
    <w:rsid w:val="74DB6400"/>
    <w:rsid w:val="74DF0652"/>
    <w:rsid w:val="74E059E9"/>
    <w:rsid w:val="74E13391"/>
    <w:rsid w:val="74E34A80"/>
    <w:rsid w:val="74F520CC"/>
    <w:rsid w:val="74F61ADC"/>
    <w:rsid w:val="74F70D4C"/>
    <w:rsid w:val="74F92DE1"/>
    <w:rsid w:val="74FB60AC"/>
    <w:rsid w:val="74FC0CE6"/>
    <w:rsid w:val="74FC4399"/>
    <w:rsid w:val="74FC4DAB"/>
    <w:rsid w:val="75054C5D"/>
    <w:rsid w:val="750726BC"/>
    <w:rsid w:val="75081ABD"/>
    <w:rsid w:val="75086E6C"/>
    <w:rsid w:val="750A2EE1"/>
    <w:rsid w:val="750B6466"/>
    <w:rsid w:val="75174F71"/>
    <w:rsid w:val="7519611E"/>
    <w:rsid w:val="751A5108"/>
    <w:rsid w:val="751E2355"/>
    <w:rsid w:val="752740EC"/>
    <w:rsid w:val="75276B3E"/>
    <w:rsid w:val="75301321"/>
    <w:rsid w:val="75306EF5"/>
    <w:rsid w:val="75331920"/>
    <w:rsid w:val="75366031"/>
    <w:rsid w:val="75406A6D"/>
    <w:rsid w:val="75412490"/>
    <w:rsid w:val="75501EAA"/>
    <w:rsid w:val="75541094"/>
    <w:rsid w:val="75543D67"/>
    <w:rsid w:val="75560158"/>
    <w:rsid w:val="75571893"/>
    <w:rsid w:val="755A0E43"/>
    <w:rsid w:val="755C0A7E"/>
    <w:rsid w:val="755F571E"/>
    <w:rsid w:val="756A2405"/>
    <w:rsid w:val="756A32EB"/>
    <w:rsid w:val="756D6C1D"/>
    <w:rsid w:val="75713BE9"/>
    <w:rsid w:val="75734A39"/>
    <w:rsid w:val="7573748D"/>
    <w:rsid w:val="75804C0B"/>
    <w:rsid w:val="758F15EE"/>
    <w:rsid w:val="759117D7"/>
    <w:rsid w:val="75917C95"/>
    <w:rsid w:val="75986631"/>
    <w:rsid w:val="759A69FE"/>
    <w:rsid w:val="759B7F64"/>
    <w:rsid w:val="75A37622"/>
    <w:rsid w:val="75A40B1C"/>
    <w:rsid w:val="75A504C3"/>
    <w:rsid w:val="75AD2A41"/>
    <w:rsid w:val="75B359D4"/>
    <w:rsid w:val="75B4465C"/>
    <w:rsid w:val="75B6506C"/>
    <w:rsid w:val="75B66857"/>
    <w:rsid w:val="75B706B7"/>
    <w:rsid w:val="75BD20EC"/>
    <w:rsid w:val="75BF6733"/>
    <w:rsid w:val="75C051DE"/>
    <w:rsid w:val="75C51FAF"/>
    <w:rsid w:val="75C7194F"/>
    <w:rsid w:val="75CC76D6"/>
    <w:rsid w:val="75CF0DC4"/>
    <w:rsid w:val="75D34DCF"/>
    <w:rsid w:val="75D47B2D"/>
    <w:rsid w:val="75DF5510"/>
    <w:rsid w:val="75E06B5A"/>
    <w:rsid w:val="75E104AA"/>
    <w:rsid w:val="75EF084A"/>
    <w:rsid w:val="75EF5AB0"/>
    <w:rsid w:val="75F01AC5"/>
    <w:rsid w:val="75F231B7"/>
    <w:rsid w:val="75F45E20"/>
    <w:rsid w:val="75FC34E5"/>
    <w:rsid w:val="75FE6878"/>
    <w:rsid w:val="75FF15EC"/>
    <w:rsid w:val="76034895"/>
    <w:rsid w:val="760A0510"/>
    <w:rsid w:val="760C027A"/>
    <w:rsid w:val="7614205F"/>
    <w:rsid w:val="762070F0"/>
    <w:rsid w:val="76257D4C"/>
    <w:rsid w:val="762D51B0"/>
    <w:rsid w:val="76336E2A"/>
    <w:rsid w:val="763765D5"/>
    <w:rsid w:val="764E349C"/>
    <w:rsid w:val="765074D0"/>
    <w:rsid w:val="765130EC"/>
    <w:rsid w:val="76525694"/>
    <w:rsid w:val="76547F3D"/>
    <w:rsid w:val="765C7911"/>
    <w:rsid w:val="765D3DFE"/>
    <w:rsid w:val="76614532"/>
    <w:rsid w:val="76635834"/>
    <w:rsid w:val="76644A16"/>
    <w:rsid w:val="766E3A61"/>
    <w:rsid w:val="766F4763"/>
    <w:rsid w:val="767A51B9"/>
    <w:rsid w:val="767B20DE"/>
    <w:rsid w:val="76800247"/>
    <w:rsid w:val="76851440"/>
    <w:rsid w:val="76863E50"/>
    <w:rsid w:val="768E20AB"/>
    <w:rsid w:val="768E4D1E"/>
    <w:rsid w:val="768F5B89"/>
    <w:rsid w:val="769332B5"/>
    <w:rsid w:val="76941029"/>
    <w:rsid w:val="7696272C"/>
    <w:rsid w:val="769748D8"/>
    <w:rsid w:val="769F6846"/>
    <w:rsid w:val="76A36D6C"/>
    <w:rsid w:val="76A7005D"/>
    <w:rsid w:val="76AA29C3"/>
    <w:rsid w:val="76B10334"/>
    <w:rsid w:val="76BD10A6"/>
    <w:rsid w:val="76BD4467"/>
    <w:rsid w:val="76C33D66"/>
    <w:rsid w:val="76D14075"/>
    <w:rsid w:val="76D15500"/>
    <w:rsid w:val="76D972E7"/>
    <w:rsid w:val="76E568B0"/>
    <w:rsid w:val="76E9210F"/>
    <w:rsid w:val="76EC183B"/>
    <w:rsid w:val="76EC270D"/>
    <w:rsid w:val="76EC6DC4"/>
    <w:rsid w:val="76F746B4"/>
    <w:rsid w:val="76F97E66"/>
    <w:rsid w:val="7700458F"/>
    <w:rsid w:val="77011F02"/>
    <w:rsid w:val="770258C8"/>
    <w:rsid w:val="7704262D"/>
    <w:rsid w:val="7715533C"/>
    <w:rsid w:val="771620D3"/>
    <w:rsid w:val="771E7311"/>
    <w:rsid w:val="77273FDE"/>
    <w:rsid w:val="772D590E"/>
    <w:rsid w:val="772F60CD"/>
    <w:rsid w:val="7730505A"/>
    <w:rsid w:val="773B26D7"/>
    <w:rsid w:val="774329A5"/>
    <w:rsid w:val="7752067D"/>
    <w:rsid w:val="77545B4B"/>
    <w:rsid w:val="77551777"/>
    <w:rsid w:val="77687FDE"/>
    <w:rsid w:val="776A3649"/>
    <w:rsid w:val="776A4169"/>
    <w:rsid w:val="776B3A5E"/>
    <w:rsid w:val="7773561F"/>
    <w:rsid w:val="777764F0"/>
    <w:rsid w:val="7778124A"/>
    <w:rsid w:val="777970CF"/>
    <w:rsid w:val="777B267F"/>
    <w:rsid w:val="777B536C"/>
    <w:rsid w:val="777D379C"/>
    <w:rsid w:val="77827E55"/>
    <w:rsid w:val="77870057"/>
    <w:rsid w:val="77870586"/>
    <w:rsid w:val="778B6518"/>
    <w:rsid w:val="778C13D3"/>
    <w:rsid w:val="778F64CB"/>
    <w:rsid w:val="77934500"/>
    <w:rsid w:val="77970D50"/>
    <w:rsid w:val="779B01EF"/>
    <w:rsid w:val="779C75F3"/>
    <w:rsid w:val="779F6D77"/>
    <w:rsid w:val="779F78DF"/>
    <w:rsid w:val="77A47D42"/>
    <w:rsid w:val="77A77E2E"/>
    <w:rsid w:val="77AA1A00"/>
    <w:rsid w:val="77AE14F6"/>
    <w:rsid w:val="77BC25D5"/>
    <w:rsid w:val="77BC29AE"/>
    <w:rsid w:val="77C601E0"/>
    <w:rsid w:val="77CA03FC"/>
    <w:rsid w:val="77CB2546"/>
    <w:rsid w:val="77CD3F5A"/>
    <w:rsid w:val="77E32606"/>
    <w:rsid w:val="77E36F91"/>
    <w:rsid w:val="77EA1FDC"/>
    <w:rsid w:val="77ED2E8C"/>
    <w:rsid w:val="77F04ABF"/>
    <w:rsid w:val="77F062E5"/>
    <w:rsid w:val="77F87CE0"/>
    <w:rsid w:val="77FD715D"/>
    <w:rsid w:val="78004F73"/>
    <w:rsid w:val="7801379F"/>
    <w:rsid w:val="780716DC"/>
    <w:rsid w:val="78137A78"/>
    <w:rsid w:val="781936FE"/>
    <w:rsid w:val="781B51C3"/>
    <w:rsid w:val="78201D6E"/>
    <w:rsid w:val="78203A1F"/>
    <w:rsid w:val="78203C9F"/>
    <w:rsid w:val="78223817"/>
    <w:rsid w:val="78237AFA"/>
    <w:rsid w:val="782510E8"/>
    <w:rsid w:val="782A0EB8"/>
    <w:rsid w:val="782C03FB"/>
    <w:rsid w:val="783129C2"/>
    <w:rsid w:val="7832450C"/>
    <w:rsid w:val="783E0DD3"/>
    <w:rsid w:val="78405618"/>
    <w:rsid w:val="78406B45"/>
    <w:rsid w:val="784961AB"/>
    <w:rsid w:val="784B03A1"/>
    <w:rsid w:val="784B7F51"/>
    <w:rsid w:val="784C5F2A"/>
    <w:rsid w:val="785737AE"/>
    <w:rsid w:val="78583EFA"/>
    <w:rsid w:val="7867669F"/>
    <w:rsid w:val="787340DA"/>
    <w:rsid w:val="78736CC5"/>
    <w:rsid w:val="7875177A"/>
    <w:rsid w:val="78790AB1"/>
    <w:rsid w:val="787A14AE"/>
    <w:rsid w:val="787B0961"/>
    <w:rsid w:val="787C5B15"/>
    <w:rsid w:val="787E319F"/>
    <w:rsid w:val="787F3CE2"/>
    <w:rsid w:val="78833470"/>
    <w:rsid w:val="788343E3"/>
    <w:rsid w:val="788B2D27"/>
    <w:rsid w:val="788D35A6"/>
    <w:rsid w:val="78961215"/>
    <w:rsid w:val="789C2D14"/>
    <w:rsid w:val="78A119F3"/>
    <w:rsid w:val="78B31988"/>
    <w:rsid w:val="78BB06E7"/>
    <w:rsid w:val="78C6519C"/>
    <w:rsid w:val="78D6530D"/>
    <w:rsid w:val="78DB50B6"/>
    <w:rsid w:val="78DE36BD"/>
    <w:rsid w:val="78DF40C8"/>
    <w:rsid w:val="78EB2F73"/>
    <w:rsid w:val="78EC134A"/>
    <w:rsid w:val="78EC58E4"/>
    <w:rsid w:val="78ED2297"/>
    <w:rsid w:val="78F1587D"/>
    <w:rsid w:val="78F21EE2"/>
    <w:rsid w:val="78F31602"/>
    <w:rsid w:val="78F75E08"/>
    <w:rsid w:val="790321BA"/>
    <w:rsid w:val="7909537E"/>
    <w:rsid w:val="790B545D"/>
    <w:rsid w:val="790E22D2"/>
    <w:rsid w:val="790E35C2"/>
    <w:rsid w:val="791046EC"/>
    <w:rsid w:val="791F5E05"/>
    <w:rsid w:val="79216E7C"/>
    <w:rsid w:val="79245F6C"/>
    <w:rsid w:val="792B60E4"/>
    <w:rsid w:val="793042AC"/>
    <w:rsid w:val="79344C2C"/>
    <w:rsid w:val="793A7125"/>
    <w:rsid w:val="793D4AEA"/>
    <w:rsid w:val="793D5A81"/>
    <w:rsid w:val="793E680D"/>
    <w:rsid w:val="7941099B"/>
    <w:rsid w:val="7942051C"/>
    <w:rsid w:val="79462B0D"/>
    <w:rsid w:val="79515AAD"/>
    <w:rsid w:val="79585389"/>
    <w:rsid w:val="795B1C90"/>
    <w:rsid w:val="795F784E"/>
    <w:rsid w:val="79664B46"/>
    <w:rsid w:val="796940DC"/>
    <w:rsid w:val="7974053E"/>
    <w:rsid w:val="797A07A6"/>
    <w:rsid w:val="797E0345"/>
    <w:rsid w:val="798D6B97"/>
    <w:rsid w:val="79920BD7"/>
    <w:rsid w:val="7996693F"/>
    <w:rsid w:val="799B2770"/>
    <w:rsid w:val="799C6D9C"/>
    <w:rsid w:val="79A171F0"/>
    <w:rsid w:val="79A90DC0"/>
    <w:rsid w:val="79AA05EF"/>
    <w:rsid w:val="79AB58C9"/>
    <w:rsid w:val="79AC4296"/>
    <w:rsid w:val="79B13B01"/>
    <w:rsid w:val="79B85B1A"/>
    <w:rsid w:val="79BA0232"/>
    <w:rsid w:val="79BA2FA3"/>
    <w:rsid w:val="79C518CA"/>
    <w:rsid w:val="79C93EBD"/>
    <w:rsid w:val="79D63AA8"/>
    <w:rsid w:val="79DD2AC5"/>
    <w:rsid w:val="79DF4E27"/>
    <w:rsid w:val="79E23272"/>
    <w:rsid w:val="79E4456A"/>
    <w:rsid w:val="79E475C0"/>
    <w:rsid w:val="79EA0F72"/>
    <w:rsid w:val="79EC4A90"/>
    <w:rsid w:val="79EF6A05"/>
    <w:rsid w:val="79F65171"/>
    <w:rsid w:val="79F74A94"/>
    <w:rsid w:val="7A0021E5"/>
    <w:rsid w:val="7A014F47"/>
    <w:rsid w:val="7A1328A0"/>
    <w:rsid w:val="7A1A27B8"/>
    <w:rsid w:val="7A1C442D"/>
    <w:rsid w:val="7A2148DE"/>
    <w:rsid w:val="7A2269D3"/>
    <w:rsid w:val="7A243005"/>
    <w:rsid w:val="7A2706E0"/>
    <w:rsid w:val="7A2732B4"/>
    <w:rsid w:val="7A2863F7"/>
    <w:rsid w:val="7A2F5C7A"/>
    <w:rsid w:val="7A3062AF"/>
    <w:rsid w:val="7A3D4646"/>
    <w:rsid w:val="7A3D6ABC"/>
    <w:rsid w:val="7A4A6E7F"/>
    <w:rsid w:val="7A524148"/>
    <w:rsid w:val="7A557E70"/>
    <w:rsid w:val="7A655721"/>
    <w:rsid w:val="7A74248A"/>
    <w:rsid w:val="7A770803"/>
    <w:rsid w:val="7A787722"/>
    <w:rsid w:val="7A7A2D40"/>
    <w:rsid w:val="7A7D1D5F"/>
    <w:rsid w:val="7A883393"/>
    <w:rsid w:val="7A916166"/>
    <w:rsid w:val="7A9A50A7"/>
    <w:rsid w:val="7A9A5166"/>
    <w:rsid w:val="7AA02A8B"/>
    <w:rsid w:val="7AA31C03"/>
    <w:rsid w:val="7AA82035"/>
    <w:rsid w:val="7AAA2433"/>
    <w:rsid w:val="7AAC402E"/>
    <w:rsid w:val="7AAE6747"/>
    <w:rsid w:val="7AB127E6"/>
    <w:rsid w:val="7AB23B52"/>
    <w:rsid w:val="7AB2682F"/>
    <w:rsid w:val="7AB8141E"/>
    <w:rsid w:val="7AB842BE"/>
    <w:rsid w:val="7AB9534D"/>
    <w:rsid w:val="7ABD620D"/>
    <w:rsid w:val="7AC223B2"/>
    <w:rsid w:val="7AC27617"/>
    <w:rsid w:val="7AC8445E"/>
    <w:rsid w:val="7ACA1C6E"/>
    <w:rsid w:val="7AD21A6E"/>
    <w:rsid w:val="7AD367CB"/>
    <w:rsid w:val="7AD6584D"/>
    <w:rsid w:val="7AD851E3"/>
    <w:rsid w:val="7ADD69F0"/>
    <w:rsid w:val="7AE22B21"/>
    <w:rsid w:val="7AE814FA"/>
    <w:rsid w:val="7AEA34FE"/>
    <w:rsid w:val="7AEC0909"/>
    <w:rsid w:val="7AEE25C5"/>
    <w:rsid w:val="7AF013AC"/>
    <w:rsid w:val="7AF434A7"/>
    <w:rsid w:val="7AF6050D"/>
    <w:rsid w:val="7AF6119C"/>
    <w:rsid w:val="7AF635D2"/>
    <w:rsid w:val="7AF964E3"/>
    <w:rsid w:val="7B0F2394"/>
    <w:rsid w:val="7B110A0E"/>
    <w:rsid w:val="7B116E8C"/>
    <w:rsid w:val="7B133968"/>
    <w:rsid w:val="7B1A7272"/>
    <w:rsid w:val="7B1B473D"/>
    <w:rsid w:val="7B286A29"/>
    <w:rsid w:val="7B2D13A8"/>
    <w:rsid w:val="7B3D5BF7"/>
    <w:rsid w:val="7B3F0F56"/>
    <w:rsid w:val="7B436CCB"/>
    <w:rsid w:val="7B5E7CBA"/>
    <w:rsid w:val="7B654B35"/>
    <w:rsid w:val="7B6644F4"/>
    <w:rsid w:val="7B6770D5"/>
    <w:rsid w:val="7B6B53A5"/>
    <w:rsid w:val="7B727E52"/>
    <w:rsid w:val="7B740C94"/>
    <w:rsid w:val="7B7C5EFE"/>
    <w:rsid w:val="7B7C7536"/>
    <w:rsid w:val="7B8245FA"/>
    <w:rsid w:val="7B8855C2"/>
    <w:rsid w:val="7B9211CD"/>
    <w:rsid w:val="7B96015E"/>
    <w:rsid w:val="7B9A00B8"/>
    <w:rsid w:val="7B9C38B5"/>
    <w:rsid w:val="7B9E3B80"/>
    <w:rsid w:val="7B9F421D"/>
    <w:rsid w:val="7BA35B13"/>
    <w:rsid w:val="7BA627B7"/>
    <w:rsid w:val="7BA71A71"/>
    <w:rsid w:val="7BAB07ED"/>
    <w:rsid w:val="7BB10F32"/>
    <w:rsid w:val="7BB26780"/>
    <w:rsid w:val="7BBF5BC4"/>
    <w:rsid w:val="7BC179CE"/>
    <w:rsid w:val="7BC4799D"/>
    <w:rsid w:val="7BC6005E"/>
    <w:rsid w:val="7BCD6588"/>
    <w:rsid w:val="7BD15F6F"/>
    <w:rsid w:val="7BD6046B"/>
    <w:rsid w:val="7BDE7337"/>
    <w:rsid w:val="7BDF66C5"/>
    <w:rsid w:val="7BE72953"/>
    <w:rsid w:val="7BE729F6"/>
    <w:rsid w:val="7BE7369B"/>
    <w:rsid w:val="7BE940B9"/>
    <w:rsid w:val="7BEA20C6"/>
    <w:rsid w:val="7BED3F21"/>
    <w:rsid w:val="7BF00D0F"/>
    <w:rsid w:val="7BF511CA"/>
    <w:rsid w:val="7BF62BCA"/>
    <w:rsid w:val="7BF63931"/>
    <w:rsid w:val="7BF64585"/>
    <w:rsid w:val="7BFD3254"/>
    <w:rsid w:val="7C0162EE"/>
    <w:rsid w:val="7C0516B3"/>
    <w:rsid w:val="7C0C5DE6"/>
    <w:rsid w:val="7C0F1A0C"/>
    <w:rsid w:val="7C1324F6"/>
    <w:rsid w:val="7C167714"/>
    <w:rsid w:val="7C196B39"/>
    <w:rsid w:val="7C1D41F3"/>
    <w:rsid w:val="7C1E4188"/>
    <w:rsid w:val="7C1F4CE2"/>
    <w:rsid w:val="7C232457"/>
    <w:rsid w:val="7C2671A6"/>
    <w:rsid w:val="7C2C6092"/>
    <w:rsid w:val="7C351437"/>
    <w:rsid w:val="7C356278"/>
    <w:rsid w:val="7C4059FA"/>
    <w:rsid w:val="7C420B02"/>
    <w:rsid w:val="7C4744B7"/>
    <w:rsid w:val="7C480501"/>
    <w:rsid w:val="7C487A9A"/>
    <w:rsid w:val="7C493955"/>
    <w:rsid w:val="7C4E1C7E"/>
    <w:rsid w:val="7C521AEB"/>
    <w:rsid w:val="7C582EA0"/>
    <w:rsid w:val="7C5E1082"/>
    <w:rsid w:val="7C5E7021"/>
    <w:rsid w:val="7C693925"/>
    <w:rsid w:val="7C6B49A3"/>
    <w:rsid w:val="7C71250B"/>
    <w:rsid w:val="7C747922"/>
    <w:rsid w:val="7C7522FB"/>
    <w:rsid w:val="7C8120EB"/>
    <w:rsid w:val="7C8C60B1"/>
    <w:rsid w:val="7C927A47"/>
    <w:rsid w:val="7C931740"/>
    <w:rsid w:val="7C935100"/>
    <w:rsid w:val="7C9457B4"/>
    <w:rsid w:val="7C980749"/>
    <w:rsid w:val="7C982044"/>
    <w:rsid w:val="7C99717B"/>
    <w:rsid w:val="7CA4633A"/>
    <w:rsid w:val="7CB50A51"/>
    <w:rsid w:val="7CB83599"/>
    <w:rsid w:val="7CBE76BA"/>
    <w:rsid w:val="7CC017D7"/>
    <w:rsid w:val="7CC23715"/>
    <w:rsid w:val="7CC552AF"/>
    <w:rsid w:val="7CC61597"/>
    <w:rsid w:val="7CC93A51"/>
    <w:rsid w:val="7CCC21B1"/>
    <w:rsid w:val="7CCF61C4"/>
    <w:rsid w:val="7CCF713F"/>
    <w:rsid w:val="7CD208B8"/>
    <w:rsid w:val="7CD410F5"/>
    <w:rsid w:val="7CD46A33"/>
    <w:rsid w:val="7CD60893"/>
    <w:rsid w:val="7CD744FF"/>
    <w:rsid w:val="7CDA0DC1"/>
    <w:rsid w:val="7CE11653"/>
    <w:rsid w:val="7CE25575"/>
    <w:rsid w:val="7CE66ABB"/>
    <w:rsid w:val="7CEC7290"/>
    <w:rsid w:val="7CF265C1"/>
    <w:rsid w:val="7CF6498C"/>
    <w:rsid w:val="7CF90FE6"/>
    <w:rsid w:val="7D016DE2"/>
    <w:rsid w:val="7D046E11"/>
    <w:rsid w:val="7D090CD3"/>
    <w:rsid w:val="7D106A8D"/>
    <w:rsid w:val="7D13417C"/>
    <w:rsid w:val="7D1365F8"/>
    <w:rsid w:val="7D137C1B"/>
    <w:rsid w:val="7D1408F9"/>
    <w:rsid w:val="7D1A281A"/>
    <w:rsid w:val="7D1C03C9"/>
    <w:rsid w:val="7D1D79E5"/>
    <w:rsid w:val="7D2177E4"/>
    <w:rsid w:val="7D283B69"/>
    <w:rsid w:val="7D2F4975"/>
    <w:rsid w:val="7D3704A9"/>
    <w:rsid w:val="7D401599"/>
    <w:rsid w:val="7D440FF6"/>
    <w:rsid w:val="7D46384D"/>
    <w:rsid w:val="7D46670B"/>
    <w:rsid w:val="7D4E463F"/>
    <w:rsid w:val="7D4F6AF5"/>
    <w:rsid w:val="7D524187"/>
    <w:rsid w:val="7D59441D"/>
    <w:rsid w:val="7D5A2028"/>
    <w:rsid w:val="7D5F4656"/>
    <w:rsid w:val="7D633843"/>
    <w:rsid w:val="7D694918"/>
    <w:rsid w:val="7D6B2593"/>
    <w:rsid w:val="7D725CA6"/>
    <w:rsid w:val="7D801E4C"/>
    <w:rsid w:val="7D890D29"/>
    <w:rsid w:val="7D8C0B06"/>
    <w:rsid w:val="7D942F26"/>
    <w:rsid w:val="7D96554A"/>
    <w:rsid w:val="7D985A45"/>
    <w:rsid w:val="7D99341D"/>
    <w:rsid w:val="7D9E509F"/>
    <w:rsid w:val="7DA73B38"/>
    <w:rsid w:val="7DA91E94"/>
    <w:rsid w:val="7DAC5810"/>
    <w:rsid w:val="7DAF4DEE"/>
    <w:rsid w:val="7DB7580C"/>
    <w:rsid w:val="7DB9180E"/>
    <w:rsid w:val="7DBA70CF"/>
    <w:rsid w:val="7DC11FB7"/>
    <w:rsid w:val="7DC12ACC"/>
    <w:rsid w:val="7DC341F1"/>
    <w:rsid w:val="7DC80A1E"/>
    <w:rsid w:val="7DC81757"/>
    <w:rsid w:val="7DCC240B"/>
    <w:rsid w:val="7DCD49D8"/>
    <w:rsid w:val="7DCF0722"/>
    <w:rsid w:val="7DCF5E47"/>
    <w:rsid w:val="7DD00B8A"/>
    <w:rsid w:val="7DD22454"/>
    <w:rsid w:val="7DD41086"/>
    <w:rsid w:val="7DD460C7"/>
    <w:rsid w:val="7DDA30BE"/>
    <w:rsid w:val="7DDF6A31"/>
    <w:rsid w:val="7DE02FD8"/>
    <w:rsid w:val="7DE66481"/>
    <w:rsid w:val="7DE73FCA"/>
    <w:rsid w:val="7DE93766"/>
    <w:rsid w:val="7DEB1BAC"/>
    <w:rsid w:val="7DF04A0A"/>
    <w:rsid w:val="7DF23A1E"/>
    <w:rsid w:val="7DF31BC0"/>
    <w:rsid w:val="7DF34AE4"/>
    <w:rsid w:val="7E037407"/>
    <w:rsid w:val="7E093660"/>
    <w:rsid w:val="7E0A4764"/>
    <w:rsid w:val="7E0B4780"/>
    <w:rsid w:val="7E0E6C5F"/>
    <w:rsid w:val="7E17418B"/>
    <w:rsid w:val="7E180560"/>
    <w:rsid w:val="7E18269D"/>
    <w:rsid w:val="7E1A6EE4"/>
    <w:rsid w:val="7E247F1B"/>
    <w:rsid w:val="7E344268"/>
    <w:rsid w:val="7E3A4040"/>
    <w:rsid w:val="7E3D7B2B"/>
    <w:rsid w:val="7E420F60"/>
    <w:rsid w:val="7E44743A"/>
    <w:rsid w:val="7E46292D"/>
    <w:rsid w:val="7E4E2C9C"/>
    <w:rsid w:val="7E4E7C73"/>
    <w:rsid w:val="7E5170FD"/>
    <w:rsid w:val="7E552B20"/>
    <w:rsid w:val="7E555601"/>
    <w:rsid w:val="7E582619"/>
    <w:rsid w:val="7E612947"/>
    <w:rsid w:val="7E6277FD"/>
    <w:rsid w:val="7E644253"/>
    <w:rsid w:val="7E662F64"/>
    <w:rsid w:val="7E67623E"/>
    <w:rsid w:val="7E677E4E"/>
    <w:rsid w:val="7E693C24"/>
    <w:rsid w:val="7E725B75"/>
    <w:rsid w:val="7E743DD6"/>
    <w:rsid w:val="7E763BDD"/>
    <w:rsid w:val="7E7751E1"/>
    <w:rsid w:val="7E793FEF"/>
    <w:rsid w:val="7E81525E"/>
    <w:rsid w:val="7E8212A7"/>
    <w:rsid w:val="7E823065"/>
    <w:rsid w:val="7E871CD2"/>
    <w:rsid w:val="7E887B66"/>
    <w:rsid w:val="7E8A358E"/>
    <w:rsid w:val="7E8D5F63"/>
    <w:rsid w:val="7E924469"/>
    <w:rsid w:val="7E965DD6"/>
    <w:rsid w:val="7E987540"/>
    <w:rsid w:val="7E9D30C6"/>
    <w:rsid w:val="7EA57696"/>
    <w:rsid w:val="7EA752A9"/>
    <w:rsid w:val="7EA77E26"/>
    <w:rsid w:val="7EAB1BA6"/>
    <w:rsid w:val="7EAD11C4"/>
    <w:rsid w:val="7EB06B57"/>
    <w:rsid w:val="7EB831CA"/>
    <w:rsid w:val="7EBF641D"/>
    <w:rsid w:val="7EC51C8E"/>
    <w:rsid w:val="7EC54C8D"/>
    <w:rsid w:val="7ECC6C3E"/>
    <w:rsid w:val="7ED12B4C"/>
    <w:rsid w:val="7ED32749"/>
    <w:rsid w:val="7ED503E2"/>
    <w:rsid w:val="7ED61B84"/>
    <w:rsid w:val="7ED7102F"/>
    <w:rsid w:val="7ED87F1F"/>
    <w:rsid w:val="7EDC7D3C"/>
    <w:rsid w:val="7EDF3F47"/>
    <w:rsid w:val="7EE63894"/>
    <w:rsid w:val="7EE91A22"/>
    <w:rsid w:val="7EEA17FC"/>
    <w:rsid w:val="7EEF0511"/>
    <w:rsid w:val="7EFC4DFE"/>
    <w:rsid w:val="7EFC69B8"/>
    <w:rsid w:val="7F0052E1"/>
    <w:rsid w:val="7F0448D7"/>
    <w:rsid w:val="7F056430"/>
    <w:rsid w:val="7F057305"/>
    <w:rsid w:val="7F161884"/>
    <w:rsid w:val="7F175915"/>
    <w:rsid w:val="7F1A015C"/>
    <w:rsid w:val="7F1A63E1"/>
    <w:rsid w:val="7F1D7444"/>
    <w:rsid w:val="7F202B5D"/>
    <w:rsid w:val="7F2B5F6F"/>
    <w:rsid w:val="7F2C5FA9"/>
    <w:rsid w:val="7F2E670A"/>
    <w:rsid w:val="7F326768"/>
    <w:rsid w:val="7F3C1B71"/>
    <w:rsid w:val="7F432A3F"/>
    <w:rsid w:val="7F433BA7"/>
    <w:rsid w:val="7F445321"/>
    <w:rsid w:val="7F47047C"/>
    <w:rsid w:val="7F50041E"/>
    <w:rsid w:val="7F544113"/>
    <w:rsid w:val="7F585408"/>
    <w:rsid w:val="7F5A4CEC"/>
    <w:rsid w:val="7F5B1E5C"/>
    <w:rsid w:val="7F5D3B75"/>
    <w:rsid w:val="7F63023C"/>
    <w:rsid w:val="7F690DA5"/>
    <w:rsid w:val="7F6C76BD"/>
    <w:rsid w:val="7F707F2E"/>
    <w:rsid w:val="7F7C685D"/>
    <w:rsid w:val="7F8457D6"/>
    <w:rsid w:val="7F873BD8"/>
    <w:rsid w:val="7F932B0A"/>
    <w:rsid w:val="7F9406B5"/>
    <w:rsid w:val="7F943F93"/>
    <w:rsid w:val="7F9470D7"/>
    <w:rsid w:val="7F97153D"/>
    <w:rsid w:val="7F98574A"/>
    <w:rsid w:val="7F9C22D7"/>
    <w:rsid w:val="7F9D3C4C"/>
    <w:rsid w:val="7F9F7843"/>
    <w:rsid w:val="7FA5305A"/>
    <w:rsid w:val="7FC03E4B"/>
    <w:rsid w:val="7FC51111"/>
    <w:rsid w:val="7FCC6935"/>
    <w:rsid w:val="7FCF0E21"/>
    <w:rsid w:val="7FD45496"/>
    <w:rsid w:val="7FD51BE1"/>
    <w:rsid w:val="7FD85673"/>
    <w:rsid w:val="7FD90FCF"/>
    <w:rsid w:val="7FD920B0"/>
    <w:rsid w:val="7FDB7285"/>
    <w:rsid w:val="7FDC1263"/>
    <w:rsid w:val="7FDD454A"/>
    <w:rsid w:val="7FDF723A"/>
    <w:rsid w:val="7FE224D1"/>
    <w:rsid w:val="7FE351B2"/>
    <w:rsid w:val="7FE746F0"/>
    <w:rsid w:val="7FE90041"/>
    <w:rsid w:val="7FF61FA2"/>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99"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qFormat="1" w:unhideWhenUsed="0" w:uiPriority="0" w:semiHidden="0" w:name="E-mail Signature"/>
    <w:lsdException w:qFormat="1" w:unhideWhenUsed="0" w:uiPriority="0" w:semiHidden="0" w:name="Normal (Web)"/>
    <w:lsdException w:unhideWhenUsed="0" w:uiPriority="0" w:semiHidden="0" w:name="HTML Acronym"/>
    <w:lsdException w:qFormat="1"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4"/>
      <w:lang w:val="en-US" w:eastAsia="zh-CN" w:bidi="ar-SA"/>
    </w:rPr>
  </w:style>
  <w:style w:type="paragraph" w:styleId="4">
    <w:name w:val="heading 1"/>
    <w:basedOn w:val="1"/>
    <w:next w:val="1"/>
    <w:link w:val="486"/>
    <w:qFormat/>
    <w:uiPriority w:val="0"/>
    <w:pPr>
      <w:pageBreakBefore/>
      <w:widowControl/>
      <w:tabs>
        <w:tab w:val="left" w:pos="478"/>
      </w:tabs>
      <w:autoSpaceDE w:val="0"/>
      <w:autoSpaceDN w:val="0"/>
      <w:spacing w:before="240" w:beforeLines="0" w:beforeAutospacing="0" w:after="120" w:afterLines="0" w:afterAutospacing="0"/>
      <w:ind w:left="478" w:hanging="960"/>
      <w:jc w:val="center"/>
      <w:outlineLvl w:val="0"/>
    </w:pPr>
    <w:rPr>
      <w:rFonts w:ascii="宋体"/>
      <w:color w:val="000000"/>
      <w:kern w:val="0"/>
      <w:sz w:val="36"/>
    </w:rPr>
  </w:style>
  <w:style w:type="paragraph" w:styleId="5">
    <w:name w:val="heading 2"/>
    <w:basedOn w:val="1"/>
    <w:next w:val="1"/>
    <w:link w:val="484"/>
    <w:qFormat/>
    <w:uiPriority w:val="0"/>
    <w:pPr>
      <w:keepNext/>
      <w:keepLines/>
      <w:tabs>
        <w:tab w:val="left" w:pos="358"/>
      </w:tabs>
      <w:spacing w:before="400" w:beforeLines="0" w:beforeAutospacing="0" w:line="360" w:lineRule="auto"/>
      <w:ind w:left="358" w:hanging="420"/>
      <w:outlineLvl w:val="1"/>
    </w:pPr>
    <w:rPr>
      <w:b/>
      <w:sz w:val="32"/>
    </w:rPr>
  </w:style>
  <w:style w:type="paragraph" w:styleId="6">
    <w:name w:val="heading 3"/>
    <w:basedOn w:val="1"/>
    <w:next w:val="1"/>
    <w:link w:val="466"/>
    <w:qFormat/>
    <w:uiPriority w:val="0"/>
    <w:pPr>
      <w:keepNext/>
      <w:keepLines/>
      <w:tabs>
        <w:tab w:val="left" w:pos="778"/>
      </w:tabs>
      <w:spacing w:before="156" w:beforeLines="50" w:beforeAutospacing="0" w:after="156" w:afterLines="50" w:afterAutospacing="0" w:line="360" w:lineRule="auto"/>
      <w:ind w:firstLine="138" w:firstLineChars="49"/>
      <w:outlineLvl w:val="2"/>
    </w:pPr>
    <w:rPr>
      <w:rFonts w:ascii="Arial" w:hAnsi="宋体"/>
      <w:b/>
      <w:sz w:val="28"/>
    </w:rPr>
  </w:style>
  <w:style w:type="paragraph" w:styleId="7">
    <w:name w:val="heading 4"/>
    <w:basedOn w:val="1"/>
    <w:next w:val="1"/>
    <w:link w:val="532"/>
    <w:qFormat/>
    <w:uiPriority w:val="0"/>
    <w:pPr>
      <w:keepNext/>
      <w:keepLines/>
      <w:tabs>
        <w:tab w:val="left" w:pos="1198"/>
      </w:tabs>
      <w:spacing w:before="120" w:beforeLines="0" w:beforeAutospacing="0" w:line="360" w:lineRule="auto"/>
      <w:ind w:left="1198" w:hanging="420"/>
      <w:outlineLvl w:val="3"/>
    </w:pPr>
    <w:rPr>
      <w:b/>
      <w:sz w:val="28"/>
    </w:rPr>
  </w:style>
  <w:style w:type="paragraph" w:styleId="8">
    <w:name w:val="heading 5"/>
    <w:basedOn w:val="1"/>
    <w:next w:val="9"/>
    <w:link w:val="533"/>
    <w:qFormat/>
    <w:uiPriority w:val="0"/>
    <w:pPr>
      <w:keepNext/>
      <w:keepLines/>
      <w:tabs>
        <w:tab w:val="left" w:pos="1618"/>
      </w:tabs>
      <w:spacing w:before="60" w:beforeLines="0" w:beforeAutospacing="0" w:after="312" w:afterLines="100" w:afterAutospacing="0"/>
      <w:ind w:left="1618" w:hanging="420"/>
      <w:outlineLvl w:val="4"/>
    </w:pPr>
    <w:rPr>
      <w:b/>
    </w:rPr>
  </w:style>
  <w:style w:type="paragraph" w:styleId="10">
    <w:name w:val="heading 6"/>
    <w:basedOn w:val="1"/>
    <w:next w:val="9"/>
    <w:link w:val="527"/>
    <w:qFormat/>
    <w:uiPriority w:val="0"/>
    <w:pPr>
      <w:keepNext/>
      <w:keepLines/>
      <w:tabs>
        <w:tab w:val="left" w:pos="2038"/>
      </w:tabs>
      <w:spacing w:before="240" w:beforeLines="0" w:beforeAutospacing="0" w:after="64" w:afterLines="0" w:afterAutospacing="0" w:line="317" w:lineRule="auto"/>
      <w:ind w:left="2038" w:hanging="420"/>
      <w:outlineLvl w:val="5"/>
    </w:pPr>
    <w:rPr>
      <w:rFonts w:ascii="Arial" w:hAnsi="Arial" w:eastAsia="黑体"/>
    </w:rPr>
  </w:style>
  <w:style w:type="paragraph" w:styleId="11">
    <w:name w:val="heading 7"/>
    <w:basedOn w:val="1"/>
    <w:next w:val="1"/>
    <w:link w:val="522"/>
    <w:qFormat/>
    <w:uiPriority w:val="0"/>
    <w:pPr>
      <w:keepNext/>
      <w:keepLines/>
      <w:spacing w:before="240" w:beforeLines="0" w:beforeAutospacing="0" w:after="64" w:afterLines="0" w:afterAutospacing="0" w:line="317" w:lineRule="auto"/>
      <w:outlineLvl w:val="6"/>
    </w:pPr>
    <w:rPr>
      <w:b/>
    </w:rPr>
  </w:style>
  <w:style w:type="paragraph" w:styleId="12">
    <w:name w:val="heading 8"/>
    <w:basedOn w:val="1"/>
    <w:next w:val="1"/>
    <w:link w:val="526"/>
    <w:qFormat/>
    <w:uiPriority w:val="0"/>
    <w:pPr>
      <w:keepNext/>
      <w:keepLines/>
      <w:spacing w:before="240" w:beforeLines="0" w:beforeAutospacing="0" w:after="64" w:afterLines="0" w:afterAutospacing="0" w:line="317" w:lineRule="auto"/>
      <w:outlineLvl w:val="7"/>
    </w:pPr>
    <w:rPr>
      <w:rFonts w:ascii="Arial" w:hAnsi="Arial" w:eastAsia="黑体"/>
    </w:rPr>
  </w:style>
  <w:style w:type="paragraph" w:styleId="13">
    <w:name w:val="heading 9"/>
    <w:basedOn w:val="1"/>
    <w:next w:val="1"/>
    <w:link w:val="434"/>
    <w:qFormat/>
    <w:uiPriority w:val="0"/>
    <w:pPr>
      <w:keepNext/>
      <w:keepLines/>
      <w:spacing w:before="240" w:beforeLines="0" w:beforeAutospacing="0" w:after="64" w:afterLines="0" w:afterAutospacing="0" w:line="317" w:lineRule="auto"/>
      <w:outlineLvl w:val="8"/>
    </w:pPr>
    <w:rPr>
      <w:rFonts w:ascii="Arial" w:hAnsi="Arial" w:eastAsia="黑体"/>
      <w:sz w:val="21"/>
    </w:rPr>
  </w:style>
  <w:style w:type="character" w:default="1" w:styleId="84">
    <w:name w:val="Default Paragraph Font"/>
    <w:qFormat/>
    <w:uiPriority w:val="0"/>
  </w:style>
  <w:style w:type="table" w:default="1" w:styleId="82">
    <w:name w:val="Normal Table"/>
    <w:semiHidden/>
    <w:qFormat/>
    <w:uiPriority w:val="0"/>
    <w:pPr>
      <w:keepNext w:val="0"/>
      <w:keepLines w:val="0"/>
      <w:widowControl/>
      <w:suppressLineNumbers w:val="0"/>
      <w:spacing w:before="0" w:beforeAutospacing="0" w:after="0" w:afterAutospacing="0"/>
      <w:ind w:left="0" w:right="0"/>
    </w:pPr>
    <w:rPr>
      <w:rFonts w:ascii="Calibri" w:hAnsi="Calibri" w:eastAsia="宋体" w:cs="Times New Roman"/>
      <w:kern w:val="2"/>
      <w:sz w:val="21"/>
      <w:szCs w:val="22"/>
    </w:rPr>
    <w:tblPr>
      <w:tblLayout w:type="fixed"/>
      <w:tblCellMar>
        <w:top w:w="0" w:type="dxa"/>
        <w:left w:w="108" w:type="dxa"/>
        <w:bottom w:w="0" w:type="dxa"/>
        <w:right w:w="108" w:type="dxa"/>
      </w:tblCellMar>
    </w:tblPr>
  </w:style>
  <w:style w:type="paragraph" w:customStyle="1" w:styleId="2">
    <w:name w:val="Default"/>
    <w:next w:val="3"/>
    <w:qFormat/>
    <w:uiPriority w:val="0"/>
    <w:pPr>
      <w:widowControl w:val="0"/>
      <w:autoSpaceDE w:val="0"/>
      <w:autoSpaceDN w:val="0"/>
      <w:adjustRightInd w:val="0"/>
    </w:pPr>
    <w:rPr>
      <w:rFonts w:ascii="宋体" w:hAnsi="Times New Roman" w:eastAsia="宋体" w:cs="Times New Roman"/>
      <w:lang w:val="en-US" w:eastAsia="zh-CN" w:bidi="ar-SA"/>
    </w:rPr>
  </w:style>
  <w:style w:type="paragraph" w:customStyle="1" w:styleId="3">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9">
    <w:name w:val="正文缩进2"/>
    <w:basedOn w:val="1"/>
    <w:qFormat/>
    <w:uiPriority w:val="0"/>
    <w:pPr>
      <w:spacing w:before="60" w:beforeLines="0" w:beforeAutospacing="0"/>
      <w:ind w:firstLine="476"/>
    </w:pPr>
  </w:style>
  <w:style w:type="paragraph" w:styleId="14">
    <w:name w:val="List 3"/>
    <w:basedOn w:val="1"/>
    <w:qFormat/>
    <w:uiPriority w:val="0"/>
    <w:pPr>
      <w:ind w:left="100" w:leftChars="400" w:hanging="200" w:hangingChars="200"/>
    </w:pPr>
    <w:rPr>
      <w:sz w:val="21"/>
      <w:szCs w:val="24"/>
    </w:rPr>
  </w:style>
  <w:style w:type="paragraph" w:styleId="15">
    <w:name w:val="toc 7"/>
    <w:basedOn w:val="1"/>
    <w:next w:val="1"/>
    <w:qFormat/>
    <w:uiPriority w:val="0"/>
    <w:pPr>
      <w:ind w:left="1260"/>
      <w:jc w:val="left"/>
    </w:pPr>
    <w:rPr>
      <w:sz w:val="18"/>
    </w:rPr>
  </w:style>
  <w:style w:type="paragraph" w:styleId="16">
    <w:name w:val="List Number 2"/>
    <w:basedOn w:val="1"/>
    <w:qFormat/>
    <w:uiPriority w:val="0"/>
    <w:pPr>
      <w:numPr>
        <w:ilvl w:val="0"/>
        <w:numId w:val="1"/>
      </w:numPr>
      <w:spacing w:line="360" w:lineRule="auto"/>
      <w:jc w:val="left"/>
    </w:pPr>
    <w:rPr>
      <w:rFonts w:ascii="Arial" w:hAnsi="Arial" w:eastAsia="楷体_GB2312" w:cs="Arial"/>
      <w:sz w:val="28"/>
      <w:szCs w:val="24"/>
    </w:rPr>
  </w:style>
  <w:style w:type="paragraph" w:styleId="17">
    <w:name w:val="Note Heading"/>
    <w:basedOn w:val="1"/>
    <w:next w:val="1"/>
    <w:qFormat/>
    <w:uiPriority w:val="0"/>
    <w:pPr>
      <w:spacing w:line="360" w:lineRule="auto"/>
      <w:ind w:firstLine="200" w:firstLineChars="200"/>
      <w:jc w:val="center"/>
    </w:pPr>
    <w:rPr>
      <w:rFonts w:ascii="Arial" w:hAnsi="Arial" w:eastAsia="楷体_GB2312" w:cs="Arial"/>
      <w:sz w:val="28"/>
      <w:szCs w:val="24"/>
    </w:rPr>
  </w:style>
  <w:style w:type="paragraph" w:styleId="18">
    <w:name w:val="List Bullet 4"/>
    <w:basedOn w:val="1"/>
    <w:qFormat/>
    <w:uiPriority w:val="0"/>
    <w:pPr>
      <w:numPr>
        <w:ilvl w:val="0"/>
        <w:numId w:val="2"/>
      </w:numPr>
      <w:tabs>
        <w:tab w:val="left" w:pos="1620"/>
        <w:tab w:val="clear" w:pos="780"/>
      </w:tabs>
      <w:spacing w:line="360" w:lineRule="auto"/>
      <w:ind w:left="1620" w:leftChars="600"/>
      <w:jc w:val="left"/>
    </w:pPr>
    <w:rPr>
      <w:rFonts w:ascii="Arial" w:hAnsi="Arial" w:eastAsia="楷体_GB2312" w:cs="Arial"/>
      <w:sz w:val="28"/>
      <w:szCs w:val="24"/>
    </w:rPr>
  </w:style>
  <w:style w:type="paragraph" w:styleId="19">
    <w:name w:val="E-mail Signature"/>
    <w:basedOn w:val="1"/>
    <w:qFormat/>
    <w:uiPriority w:val="0"/>
    <w:pPr>
      <w:spacing w:line="360" w:lineRule="auto"/>
      <w:ind w:firstLine="200" w:firstLineChars="200"/>
      <w:jc w:val="left"/>
    </w:pPr>
    <w:rPr>
      <w:rFonts w:ascii="Arial" w:hAnsi="Arial" w:eastAsia="楷体_GB2312" w:cs="Arial"/>
      <w:sz w:val="28"/>
      <w:szCs w:val="24"/>
    </w:rPr>
  </w:style>
  <w:style w:type="paragraph" w:styleId="20">
    <w:name w:val="List Number"/>
    <w:basedOn w:val="1"/>
    <w:qFormat/>
    <w:uiPriority w:val="0"/>
    <w:pPr>
      <w:numPr>
        <w:ilvl w:val="0"/>
        <w:numId w:val="3"/>
      </w:numPr>
      <w:spacing w:line="360" w:lineRule="auto"/>
      <w:jc w:val="left"/>
    </w:pPr>
    <w:rPr>
      <w:rFonts w:ascii="Arial" w:hAnsi="Arial" w:eastAsia="楷体_GB2312" w:cs="Arial"/>
      <w:sz w:val="28"/>
      <w:szCs w:val="24"/>
    </w:rPr>
  </w:style>
  <w:style w:type="paragraph" w:styleId="21">
    <w:name w:val="Normal Indent"/>
    <w:basedOn w:val="1"/>
    <w:next w:val="22"/>
    <w:link w:val="499"/>
    <w:qFormat/>
    <w:uiPriority w:val="0"/>
    <w:pPr>
      <w:ind w:firstLine="420"/>
    </w:pPr>
    <w:rPr>
      <w:sz w:val="21"/>
    </w:rPr>
  </w:style>
  <w:style w:type="paragraph" w:styleId="22">
    <w:name w:val="Body Text Indent"/>
    <w:basedOn w:val="1"/>
    <w:next w:val="1"/>
    <w:link w:val="431"/>
    <w:qFormat/>
    <w:uiPriority w:val="99"/>
    <w:pPr>
      <w:spacing w:before="120" w:beforeLines="0" w:beforeAutospacing="0" w:after="120" w:afterLines="0" w:afterAutospacing="0" w:line="360" w:lineRule="auto"/>
      <w:ind w:firstLine="525"/>
    </w:pPr>
    <w:rPr>
      <w:rFonts w:ascii="宋体"/>
    </w:rPr>
  </w:style>
  <w:style w:type="paragraph" w:styleId="23">
    <w:name w:val="caption"/>
    <w:basedOn w:val="1"/>
    <w:next w:val="1"/>
    <w:link w:val="530"/>
    <w:qFormat/>
    <w:uiPriority w:val="0"/>
    <w:pPr>
      <w:spacing w:before="152" w:beforeLines="0" w:beforeAutospacing="0" w:after="160" w:afterLines="0" w:afterAutospacing="0" w:line="360" w:lineRule="auto"/>
      <w:ind w:firstLine="476"/>
    </w:pPr>
    <w:rPr>
      <w:rFonts w:ascii="Arial" w:hAnsi="Arial" w:eastAsia="黑体"/>
      <w:spacing w:val="10"/>
      <w:sz w:val="20"/>
    </w:rPr>
  </w:style>
  <w:style w:type="paragraph" w:styleId="24">
    <w:name w:val="index 5"/>
    <w:basedOn w:val="1"/>
    <w:next w:val="1"/>
    <w:qFormat/>
    <w:uiPriority w:val="0"/>
    <w:pPr>
      <w:tabs>
        <w:tab w:val="left" w:pos="5760"/>
      </w:tabs>
      <w:ind w:left="1920" w:leftChars="800"/>
      <w:jc w:val="left"/>
    </w:pPr>
  </w:style>
  <w:style w:type="paragraph" w:styleId="25">
    <w:name w:val="List Bullet"/>
    <w:basedOn w:val="1"/>
    <w:qFormat/>
    <w:uiPriority w:val="0"/>
    <w:pPr>
      <w:tabs>
        <w:tab w:val="left" w:pos="748"/>
      </w:tabs>
      <w:spacing w:line="360" w:lineRule="auto"/>
      <w:ind w:left="748" w:hanging="374"/>
    </w:pPr>
    <w:rPr>
      <w:sz w:val="21"/>
    </w:rPr>
  </w:style>
  <w:style w:type="paragraph" w:styleId="26">
    <w:name w:val="envelope address"/>
    <w:basedOn w:val="1"/>
    <w:qFormat/>
    <w:uiPriority w:val="0"/>
    <w:pPr>
      <w:snapToGrid w:val="0"/>
      <w:spacing w:line="360" w:lineRule="auto"/>
      <w:ind w:left="100" w:leftChars="1400" w:firstLine="200" w:firstLineChars="200"/>
      <w:jc w:val="left"/>
    </w:pPr>
    <w:rPr>
      <w:rFonts w:ascii="Arial" w:hAnsi="Arial" w:eastAsia="楷体_GB2312" w:cs="Arial"/>
      <w:szCs w:val="24"/>
    </w:rPr>
  </w:style>
  <w:style w:type="paragraph" w:styleId="27">
    <w:name w:val="Document Map"/>
    <w:basedOn w:val="1"/>
    <w:link w:val="503"/>
    <w:qFormat/>
    <w:uiPriority w:val="0"/>
    <w:pPr>
      <w:shd w:val="clear" w:color="auto" w:fill="000080"/>
    </w:pPr>
    <w:rPr>
      <w:shd w:val="clear" w:color="auto" w:fill="000080"/>
    </w:rPr>
  </w:style>
  <w:style w:type="paragraph" w:styleId="28">
    <w:name w:val="toa heading"/>
    <w:basedOn w:val="1"/>
    <w:next w:val="1"/>
    <w:qFormat/>
    <w:uiPriority w:val="0"/>
    <w:pPr>
      <w:autoSpaceDE w:val="0"/>
      <w:autoSpaceDN w:val="0"/>
      <w:adjustRightInd w:val="0"/>
      <w:snapToGrid w:val="0"/>
      <w:spacing w:before="120" w:beforeLines="0" w:line="360" w:lineRule="auto"/>
    </w:pPr>
    <w:rPr>
      <w:rFonts w:ascii="Arial" w:hAnsi="Arial"/>
      <w:snapToGrid w:val="0"/>
      <w:color w:val="000000"/>
      <w:kern w:val="0"/>
      <w:sz w:val="21"/>
    </w:rPr>
  </w:style>
  <w:style w:type="paragraph" w:styleId="29">
    <w:name w:val="annotation text"/>
    <w:basedOn w:val="1"/>
    <w:link w:val="534"/>
    <w:qFormat/>
    <w:uiPriority w:val="0"/>
    <w:pPr>
      <w:jc w:val="left"/>
    </w:pPr>
  </w:style>
  <w:style w:type="paragraph" w:styleId="30">
    <w:name w:val="Salutation"/>
    <w:basedOn w:val="1"/>
    <w:next w:val="1"/>
    <w:qFormat/>
    <w:uiPriority w:val="0"/>
    <w:pPr>
      <w:spacing w:line="360" w:lineRule="auto"/>
      <w:ind w:firstLine="200" w:firstLineChars="200"/>
      <w:jc w:val="left"/>
    </w:pPr>
    <w:rPr>
      <w:rFonts w:ascii="Arial" w:hAnsi="Arial" w:eastAsia="楷体_GB2312" w:cs="Arial"/>
      <w:sz w:val="28"/>
      <w:szCs w:val="24"/>
    </w:rPr>
  </w:style>
  <w:style w:type="paragraph" w:styleId="31">
    <w:name w:val="Body Text 3"/>
    <w:basedOn w:val="1"/>
    <w:qFormat/>
    <w:uiPriority w:val="0"/>
    <w:pPr>
      <w:spacing w:after="120" w:afterLines="0"/>
    </w:pPr>
    <w:rPr>
      <w:sz w:val="16"/>
      <w:szCs w:val="16"/>
    </w:rPr>
  </w:style>
  <w:style w:type="paragraph" w:styleId="32">
    <w:name w:val="Closing"/>
    <w:basedOn w:val="1"/>
    <w:qFormat/>
    <w:uiPriority w:val="0"/>
    <w:pPr>
      <w:spacing w:line="360" w:lineRule="auto"/>
      <w:ind w:left="100" w:leftChars="2100" w:firstLine="200" w:firstLineChars="200"/>
      <w:jc w:val="left"/>
    </w:pPr>
    <w:rPr>
      <w:rFonts w:ascii="Arial" w:hAnsi="Arial" w:eastAsia="楷体_GB2312" w:cs="Arial"/>
      <w:sz w:val="28"/>
      <w:szCs w:val="24"/>
    </w:rPr>
  </w:style>
  <w:style w:type="paragraph" w:styleId="33">
    <w:name w:val="List Bullet 3"/>
    <w:basedOn w:val="1"/>
    <w:qFormat/>
    <w:uiPriority w:val="0"/>
    <w:pPr>
      <w:numPr>
        <w:ilvl w:val="0"/>
        <w:numId w:val="4"/>
      </w:numPr>
      <w:tabs>
        <w:tab w:val="left" w:pos="1200"/>
        <w:tab w:val="clear" w:pos="360"/>
      </w:tabs>
      <w:spacing w:line="360" w:lineRule="auto"/>
      <w:ind w:left="1200" w:leftChars="400"/>
      <w:jc w:val="left"/>
    </w:pPr>
    <w:rPr>
      <w:rFonts w:ascii="Arial" w:hAnsi="Arial" w:eastAsia="楷体_GB2312" w:cs="Arial"/>
      <w:sz w:val="28"/>
      <w:szCs w:val="24"/>
    </w:rPr>
  </w:style>
  <w:style w:type="paragraph" w:styleId="34">
    <w:name w:val="Body Text"/>
    <w:basedOn w:val="1"/>
    <w:next w:val="1"/>
    <w:link w:val="465"/>
    <w:qFormat/>
    <w:uiPriority w:val="0"/>
    <w:pPr>
      <w:autoSpaceDE w:val="0"/>
      <w:autoSpaceDN w:val="0"/>
      <w:adjustRightInd w:val="0"/>
      <w:spacing w:line="480" w:lineRule="auto"/>
      <w:jc w:val="left"/>
    </w:pPr>
    <w:rPr>
      <w:rFonts w:ascii="宋体"/>
      <w:color w:val="FF0000"/>
      <w:kern w:val="0"/>
    </w:rPr>
  </w:style>
  <w:style w:type="paragraph" w:styleId="35">
    <w:name w:val="List Number 3"/>
    <w:basedOn w:val="1"/>
    <w:qFormat/>
    <w:uiPriority w:val="0"/>
    <w:pPr>
      <w:numPr>
        <w:ilvl w:val="0"/>
        <w:numId w:val="5"/>
      </w:numPr>
    </w:pPr>
    <w:rPr>
      <w:sz w:val="21"/>
      <w:szCs w:val="24"/>
    </w:rPr>
  </w:style>
  <w:style w:type="paragraph" w:styleId="36">
    <w:name w:val="List 2"/>
    <w:basedOn w:val="1"/>
    <w:qFormat/>
    <w:uiPriority w:val="0"/>
    <w:pPr>
      <w:ind w:left="100" w:leftChars="200" w:hanging="200" w:hangingChars="200"/>
    </w:pPr>
    <w:rPr>
      <w:sz w:val="21"/>
      <w:szCs w:val="24"/>
    </w:rPr>
  </w:style>
  <w:style w:type="paragraph" w:styleId="37">
    <w:name w:val="List Continue"/>
    <w:basedOn w:val="1"/>
    <w:qFormat/>
    <w:uiPriority w:val="0"/>
    <w:pPr>
      <w:spacing w:after="120" w:afterLines="0"/>
      <w:ind w:left="420" w:leftChars="200"/>
    </w:pPr>
    <w:rPr>
      <w:sz w:val="21"/>
      <w:szCs w:val="24"/>
    </w:rPr>
  </w:style>
  <w:style w:type="paragraph" w:styleId="38">
    <w:name w:val="Block Text"/>
    <w:basedOn w:val="1"/>
    <w:qFormat/>
    <w:uiPriority w:val="0"/>
    <w:pPr>
      <w:ind w:left="718" w:leftChars="342" w:right="373" w:firstLine="560" w:firstLineChars="200"/>
    </w:pPr>
    <w:rPr>
      <w:rFonts w:ascii="新宋体" w:eastAsia="新宋体"/>
      <w:color w:val="000000"/>
      <w:sz w:val="28"/>
      <w:szCs w:val="21"/>
      <w:lang w:val="zh-CN"/>
    </w:rPr>
  </w:style>
  <w:style w:type="paragraph" w:styleId="39">
    <w:name w:val="List Bullet 2"/>
    <w:basedOn w:val="1"/>
    <w:qFormat/>
    <w:uiPriority w:val="0"/>
    <w:pPr>
      <w:tabs>
        <w:tab w:val="left" w:pos="840"/>
      </w:tabs>
      <w:adjustRightInd w:val="0"/>
      <w:spacing w:line="312" w:lineRule="atLeast"/>
      <w:ind w:left="1350" w:hanging="510"/>
      <w:textAlignment w:val="baseline"/>
    </w:pPr>
    <w:rPr>
      <w:kern w:val="0"/>
      <w:sz w:val="21"/>
    </w:rPr>
  </w:style>
  <w:style w:type="paragraph" w:styleId="40">
    <w:name w:val="HTML Address"/>
    <w:basedOn w:val="1"/>
    <w:qFormat/>
    <w:uiPriority w:val="0"/>
    <w:pPr>
      <w:spacing w:line="360" w:lineRule="auto"/>
      <w:ind w:firstLine="200" w:firstLineChars="200"/>
      <w:jc w:val="left"/>
    </w:pPr>
    <w:rPr>
      <w:rFonts w:ascii="Arial" w:hAnsi="Arial" w:eastAsia="楷体_GB2312" w:cs="Arial"/>
      <w:i/>
      <w:iCs/>
      <w:sz w:val="28"/>
      <w:szCs w:val="24"/>
    </w:rPr>
  </w:style>
  <w:style w:type="paragraph" w:styleId="41">
    <w:name w:val="toc 5"/>
    <w:basedOn w:val="1"/>
    <w:next w:val="1"/>
    <w:qFormat/>
    <w:uiPriority w:val="0"/>
    <w:pPr>
      <w:ind w:left="840"/>
      <w:jc w:val="left"/>
    </w:pPr>
    <w:rPr>
      <w:sz w:val="18"/>
    </w:rPr>
  </w:style>
  <w:style w:type="paragraph" w:styleId="42">
    <w:name w:val="toc 3"/>
    <w:basedOn w:val="1"/>
    <w:next w:val="1"/>
    <w:qFormat/>
    <w:uiPriority w:val="39"/>
    <w:pPr>
      <w:tabs>
        <w:tab w:val="left" w:pos="845"/>
        <w:tab w:val="right" w:leader="dot" w:pos="9316"/>
      </w:tabs>
      <w:ind w:left="420"/>
      <w:jc w:val="left"/>
    </w:pPr>
    <w:rPr>
      <w:sz w:val="20"/>
    </w:rPr>
  </w:style>
  <w:style w:type="paragraph" w:styleId="43">
    <w:name w:val="Plain Text"/>
    <w:basedOn w:val="1"/>
    <w:next w:val="1"/>
    <w:link w:val="456"/>
    <w:qFormat/>
    <w:uiPriority w:val="99"/>
    <w:rPr>
      <w:rFonts w:ascii="宋体" w:hAnsi="Courier New"/>
      <w:sz w:val="21"/>
    </w:rPr>
  </w:style>
  <w:style w:type="paragraph" w:styleId="44">
    <w:name w:val="List Bullet 5"/>
    <w:basedOn w:val="1"/>
    <w:qFormat/>
    <w:uiPriority w:val="0"/>
    <w:pPr>
      <w:tabs>
        <w:tab w:val="left" w:pos="840"/>
      </w:tabs>
      <w:adjustRightInd w:val="0"/>
      <w:spacing w:line="312" w:lineRule="atLeast"/>
      <w:ind w:left="1350" w:hanging="510"/>
      <w:textAlignment w:val="baseline"/>
    </w:pPr>
    <w:rPr>
      <w:kern w:val="0"/>
      <w:sz w:val="21"/>
    </w:rPr>
  </w:style>
  <w:style w:type="paragraph" w:styleId="45">
    <w:name w:val="List Number 4"/>
    <w:basedOn w:val="1"/>
    <w:qFormat/>
    <w:uiPriority w:val="0"/>
    <w:pPr>
      <w:numPr>
        <w:ilvl w:val="0"/>
        <w:numId w:val="6"/>
      </w:numPr>
      <w:tabs>
        <w:tab w:val="left" w:pos="1620"/>
        <w:tab w:val="clear" w:pos="780"/>
      </w:tabs>
      <w:spacing w:line="360" w:lineRule="auto"/>
      <w:ind w:left="1620" w:leftChars="600"/>
      <w:jc w:val="left"/>
    </w:pPr>
    <w:rPr>
      <w:rFonts w:ascii="Arial" w:hAnsi="Arial" w:eastAsia="楷体_GB2312" w:cs="Arial"/>
      <w:sz w:val="28"/>
      <w:szCs w:val="24"/>
    </w:rPr>
  </w:style>
  <w:style w:type="paragraph" w:styleId="46">
    <w:name w:val="toc 8"/>
    <w:basedOn w:val="1"/>
    <w:next w:val="1"/>
    <w:qFormat/>
    <w:uiPriority w:val="0"/>
    <w:pPr>
      <w:ind w:left="2940" w:leftChars="1400"/>
    </w:pPr>
    <w:rPr>
      <w:sz w:val="21"/>
    </w:rPr>
  </w:style>
  <w:style w:type="paragraph" w:styleId="47">
    <w:name w:val="Date"/>
    <w:basedOn w:val="1"/>
    <w:next w:val="1"/>
    <w:link w:val="519"/>
    <w:qFormat/>
    <w:uiPriority w:val="99"/>
    <w:pPr>
      <w:widowControl/>
    </w:pPr>
    <w:rPr>
      <w:rFonts w:ascii="楷体_GB2312" w:eastAsia="楷体_GB2312"/>
      <w:kern w:val="0"/>
      <w:sz w:val="32"/>
    </w:rPr>
  </w:style>
  <w:style w:type="paragraph" w:styleId="48">
    <w:name w:val="Body Text Indent 2"/>
    <w:basedOn w:val="1"/>
    <w:link w:val="528"/>
    <w:qFormat/>
    <w:uiPriority w:val="0"/>
    <w:pPr>
      <w:spacing w:line="360" w:lineRule="auto"/>
      <w:ind w:left="718" w:firstLine="480" w:firstLineChars="200"/>
    </w:pPr>
    <w:rPr>
      <w:rFonts w:ascii="Arial" w:hAnsi="Arial" w:eastAsia="LineDraw"/>
    </w:rPr>
  </w:style>
  <w:style w:type="paragraph" w:styleId="49">
    <w:name w:val="List Continue 5"/>
    <w:basedOn w:val="1"/>
    <w:qFormat/>
    <w:uiPriority w:val="0"/>
    <w:pPr>
      <w:spacing w:after="120" w:afterLines="0" w:line="360" w:lineRule="auto"/>
      <w:ind w:left="2100" w:leftChars="1000" w:firstLine="200" w:firstLineChars="200"/>
      <w:jc w:val="left"/>
    </w:pPr>
    <w:rPr>
      <w:rFonts w:ascii="Arial" w:hAnsi="Arial" w:eastAsia="楷体_GB2312" w:cs="Arial"/>
      <w:sz w:val="28"/>
      <w:szCs w:val="24"/>
    </w:rPr>
  </w:style>
  <w:style w:type="paragraph" w:styleId="50">
    <w:name w:val="Balloon Text"/>
    <w:basedOn w:val="1"/>
    <w:link w:val="535"/>
    <w:qFormat/>
    <w:uiPriority w:val="99"/>
    <w:pPr>
      <w:adjustRightInd w:val="0"/>
      <w:spacing w:before="100" w:beforeLines="0" w:beforeAutospacing="1" w:after="100" w:afterLines="0" w:afterAutospacing="1" w:line="400" w:lineRule="atLeast"/>
      <w:ind w:firstLine="454"/>
      <w:textAlignment w:val="baseline"/>
    </w:pPr>
    <w:rPr>
      <w:rFonts w:ascii="宋体"/>
      <w:color w:val="FF0000"/>
    </w:rPr>
  </w:style>
  <w:style w:type="paragraph" w:styleId="51">
    <w:name w:val="footer"/>
    <w:basedOn w:val="1"/>
    <w:link w:val="525"/>
    <w:qFormat/>
    <w:uiPriority w:val="99"/>
    <w:pPr>
      <w:tabs>
        <w:tab w:val="center" w:pos="4153"/>
        <w:tab w:val="right" w:pos="8306"/>
      </w:tabs>
      <w:snapToGrid w:val="0"/>
      <w:jc w:val="left"/>
    </w:pPr>
    <w:rPr>
      <w:sz w:val="18"/>
    </w:rPr>
  </w:style>
  <w:style w:type="paragraph" w:styleId="52">
    <w:name w:val="envelope return"/>
    <w:basedOn w:val="1"/>
    <w:qFormat/>
    <w:uiPriority w:val="0"/>
    <w:pPr>
      <w:snapToGrid w:val="0"/>
      <w:spacing w:line="360" w:lineRule="auto"/>
      <w:ind w:firstLine="200" w:firstLineChars="200"/>
      <w:jc w:val="left"/>
    </w:pPr>
    <w:rPr>
      <w:rFonts w:ascii="Arial" w:hAnsi="Arial" w:eastAsia="楷体_GB2312" w:cs="Arial"/>
      <w:sz w:val="28"/>
      <w:szCs w:val="24"/>
    </w:rPr>
  </w:style>
  <w:style w:type="paragraph" w:styleId="53">
    <w:name w:val="header"/>
    <w:basedOn w:val="1"/>
    <w:link w:val="517"/>
    <w:qFormat/>
    <w:uiPriority w:val="99"/>
    <w:pPr>
      <w:widowControl/>
      <w:pBdr>
        <w:bottom w:val="single" w:color="auto" w:sz="6" w:space="1"/>
      </w:pBdr>
      <w:tabs>
        <w:tab w:val="center" w:pos="4153"/>
        <w:tab w:val="right" w:pos="8306"/>
      </w:tabs>
      <w:snapToGrid w:val="0"/>
      <w:jc w:val="center"/>
    </w:pPr>
    <w:rPr>
      <w:kern w:val="0"/>
      <w:sz w:val="18"/>
    </w:rPr>
  </w:style>
  <w:style w:type="paragraph" w:styleId="54">
    <w:name w:val="Signature"/>
    <w:basedOn w:val="1"/>
    <w:qFormat/>
    <w:uiPriority w:val="0"/>
    <w:pPr>
      <w:ind w:left="100" w:leftChars="2100"/>
    </w:pPr>
    <w:rPr>
      <w:sz w:val="21"/>
      <w:szCs w:val="24"/>
    </w:rPr>
  </w:style>
  <w:style w:type="paragraph" w:styleId="55">
    <w:name w:val="toc 1"/>
    <w:basedOn w:val="1"/>
    <w:next w:val="1"/>
    <w:qFormat/>
    <w:uiPriority w:val="39"/>
    <w:pPr>
      <w:spacing w:before="120" w:beforeLines="0" w:beforeAutospacing="0" w:after="120" w:afterLines="0" w:afterAutospacing="0"/>
      <w:jc w:val="left"/>
    </w:pPr>
    <w:rPr>
      <w:b/>
      <w:caps/>
      <w:sz w:val="20"/>
    </w:rPr>
  </w:style>
  <w:style w:type="paragraph" w:styleId="56">
    <w:name w:val="List Continue 4"/>
    <w:basedOn w:val="1"/>
    <w:qFormat/>
    <w:uiPriority w:val="0"/>
    <w:pPr>
      <w:spacing w:after="120" w:afterLines="0"/>
      <w:ind w:left="1680" w:leftChars="800"/>
    </w:pPr>
    <w:rPr>
      <w:sz w:val="21"/>
      <w:szCs w:val="24"/>
    </w:rPr>
  </w:style>
  <w:style w:type="paragraph" w:styleId="57">
    <w:name w:val="toc 4"/>
    <w:basedOn w:val="1"/>
    <w:next w:val="1"/>
    <w:qFormat/>
    <w:uiPriority w:val="39"/>
    <w:pPr>
      <w:ind w:left="630"/>
      <w:jc w:val="left"/>
    </w:pPr>
    <w:rPr>
      <w:sz w:val="18"/>
    </w:rPr>
  </w:style>
  <w:style w:type="paragraph" w:styleId="58">
    <w:name w:val="index heading"/>
    <w:basedOn w:val="1"/>
    <w:next w:val="59"/>
    <w:qFormat/>
    <w:uiPriority w:val="0"/>
    <w:pPr>
      <w:spacing w:after="120" w:afterLines="0" w:afterAutospacing="0" w:line="360" w:lineRule="exact"/>
    </w:pPr>
    <w:rPr>
      <w:sz w:val="21"/>
    </w:rPr>
  </w:style>
  <w:style w:type="paragraph" w:styleId="59">
    <w:name w:val="index 1"/>
    <w:basedOn w:val="1"/>
    <w:next w:val="1"/>
    <w:qFormat/>
    <w:uiPriority w:val="0"/>
  </w:style>
  <w:style w:type="paragraph" w:styleId="60">
    <w:name w:val="Subtitle"/>
    <w:basedOn w:val="1"/>
    <w:qFormat/>
    <w:uiPriority w:val="0"/>
    <w:pPr>
      <w:adjustRightInd w:val="0"/>
      <w:spacing w:after="60" w:afterLines="0" w:line="360" w:lineRule="atLeast"/>
      <w:jc w:val="center"/>
      <w:textAlignment w:val="baseline"/>
    </w:pPr>
    <w:rPr>
      <w:rFonts w:ascii="Arial" w:hAnsi="Arial" w:eastAsia="黑体"/>
      <w:i/>
      <w:kern w:val="0"/>
    </w:rPr>
  </w:style>
  <w:style w:type="paragraph" w:styleId="61">
    <w:name w:val="List Number 5"/>
    <w:basedOn w:val="1"/>
    <w:qFormat/>
    <w:uiPriority w:val="0"/>
    <w:pPr>
      <w:tabs>
        <w:tab w:val="left" w:pos="2040"/>
      </w:tabs>
      <w:spacing w:line="360" w:lineRule="auto"/>
      <w:ind w:left="2040" w:leftChars="800" w:hanging="360" w:hangingChars="200"/>
      <w:jc w:val="left"/>
    </w:pPr>
    <w:rPr>
      <w:rFonts w:ascii="Arial" w:hAnsi="Arial" w:eastAsia="楷体_GB2312" w:cs="Arial"/>
      <w:sz w:val="28"/>
      <w:szCs w:val="24"/>
    </w:rPr>
  </w:style>
  <w:style w:type="paragraph" w:styleId="62">
    <w:name w:val="List"/>
    <w:basedOn w:val="1"/>
    <w:qFormat/>
    <w:uiPriority w:val="0"/>
    <w:pPr>
      <w:ind w:left="200" w:hanging="200" w:hangingChars="200"/>
    </w:pPr>
    <w:rPr>
      <w:sz w:val="21"/>
      <w:szCs w:val="24"/>
    </w:rPr>
  </w:style>
  <w:style w:type="paragraph" w:styleId="63">
    <w:name w:val="footnote text"/>
    <w:basedOn w:val="1"/>
    <w:semiHidden/>
    <w:qFormat/>
    <w:uiPriority w:val="0"/>
    <w:pPr>
      <w:snapToGrid w:val="0"/>
      <w:jc w:val="left"/>
    </w:pPr>
    <w:rPr>
      <w:rFonts w:eastAsia="仿宋_GB2312"/>
      <w:sz w:val="18"/>
    </w:rPr>
  </w:style>
  <w:style w:type="paragraph" w:styleId="64">
    <w:name w:val="toc 6"/>
    <w:basedOn w:val="1"/>
    <w:next w:val="1"/>
    <w:qFormat/>
    <w:uiPriority w:val="0"/>
    <w:pPr>
      <w:ind w:left="2100" w:leftChars="1000"/>
    </w:pPr>
    <w:rPr>
      <w:sz w:val="21"/>
    </w:rPr>
  </w:style>
  <w:style w:type="paragraph" w:styleId="65">
    <w:name w:val="List 5"/>
    <w:basedOn w:val="1"/>
    <w:qFormat/>
    <w:uiPriority w:val="0"/>
    <w:pPr>
      <w:spacing w:line="360" w:lineRule="auto"/>
      <w:ind w:left="100" w:leftChars="800" w:hanging="200" w:hangingChars="200"/>
      <w:jc w:val="left"/>
    </w:pPr>
    <w:rPr>
      <w:rFonts w:ascii="Arial" w:hAnsi="Arial" w:eastAsia="楷体_GB2312" w:cs="Arial"/>
      <w:sz w:val="28"/>
      <w:szCs w:val="24"/>
    </w:rPr>
  </w:style>
  <w:style w:type="paragraph" w:styleId="66">
    <w:name w:val="Body Text Indent 3"/>
    <w:basedOn w:val="1"/>
    <w:link w:val="472"/>
    <w:qFormat/>
    <w:uiPriority w:val="0"/>
    <w:pPr>
      <w:spacing w:line="360" w:lineRule="auto"/>
      <w:ind w:firstLine="480"/>
    </w:pPr>
    <w:rPr>
      <w:rFonts w:ascii="Arial" w:hAnsi="Arial"/>
      <w:color w:val="FF0000"/>
    </w:rPr>
  </w:style>
  <w:style w:type="paragraph" w:styleId="67">
    <w:name w:val="table of figures"/>
    <w:basedOn w:val="1"/>
    <w:next w:val="1"/>
    <w:qFormat/>
    <w:uiPriority w:val="0"/>
    <w:pPr>
      <w:ind w:left="420" w:hanging="420"/>
      <w:jc w:val="left"/>
    </w:pPr>
    <w:rPr>
      <w:smallCaps/>
      <w:sz w:val="20"/>
    </w:rPr>
  </w:style>
  <w:style w:type="paragraph" w:styleId="68">
    <w:name w:val="toc 2"/>
    <w:basedOn w:val="1"/>
    <w:next w:val="1"/>
    <w:qFormat/>
    <w:uiPriority w:val="39"/>
    <w:pPr>
      <w:tabs>
        <w:tab w:val="left" w:pos="600"/>
        <w:tab w:val="right" w:leader="dot" w:pos="9019"/>
      </w:tabs>
      <w:ind w:left="210"/>
      <w:jc w:val="left"/>
    </w:pPr>
    <w:rPr>
      <w:smallCaps/>
      <w:sz w:val="20"/>
    </w:rPr>
  </w:style>
  <w:style w:type="paragraph" w:styleId="69">
    <w:name w:val="toc 9"/>
    <w:basedOn w:val="34"/>
    <w:next w:val="1"/>
    <w:qFormat/>
    <w:uiPriority w:val="0"/>
    <w:pPr>
      <w:autoSpaceDE/>
      <w:autoSpaceDN/>
      <w:spacing w:before="100" w:beforeLines="0" w:beforeAutospacing="1" w:after="100" w:afterLines="0" w:afterAutospacing="1" w:line="400" w:lineRule="atLeast"/>
      <w:ind w:left="1920" w:firstLine="454"/>
      <w:textAlignment w:val="baseline"/>
    </w:pPr>
    <w:rPr>
      <w:rFonts w:ascii="Times New Roman"/>
      <w:color w:val="auto"/>
      <w:sz w:val="18"/>
    </w:rPr>
  </w:style>
  <w:style w:type="paragraph" w:styleId="70">
    <w:name w:val="Body Text 2"/>
    <w:basedOn w:val="1"/>
    <w:qFormat/>
    <w:uiPriority w:val="0"/>
    <w:pPr>
      <w:spacing w:after="120" w:afterLines="0" w:afterAutospacing="0" w:line="480" w:lineRule="auto"/>
    </w:pPr>
    <w:rPr>
      <w:sz w:val="21"/>
    </w:rPr>
  </w:style>
  <w:style w:type="paragraph" w:styleId="71">
    <w:name w:val="List 4"/>
    <w:basedOn w:val="1"/>
    <w:qFormat/>
    <w:uiPriority w:val="0"/>
    <w:pPr>
      <w:ind w:left="100" w:leftChars="600" w:hanging="200" w:hangingChars="200"/>
    </w:pPr>
    <w:rPr>
      <w:sz w:val="21"/>
      <w:szCs w:val="24"/>
    </w:rPr>
  </w:style>
  <w:style w:type="paragraph" w:styleId="72">
    <w:name w:val="List Continue 2"/>
    <w:basedOn w:val="1"/>
    <w:qFormat/>
    <w:uiPriority w:val="0"/>
    <w:pPr>
      <w:spacing w:after="120" w:afterLines="0"/>
      <w:ind w:left="840" w:leftChars="400"/>
    </w:pPr>
    <w:rPr>
      <w:sz w:val="21"/>
      <w:szCs w:val="24"/>
    </w:rPr>
  </w:style>
  <w:style w:type="paragraph" w:styleId="73">
    <w:name w:val="Message Header"/>
    <w:basedOn w:val="1"/>
    <w:qFormat/>
    <w:uiPriority w:val="0"/>
    <w:pPr>
      <w:pBdr>
        <w:top w:val="single" w:color="auto" w:sz="6" w:space="1"/>
        <w:left w:val="single" w:color="auto" w:sz="6" w:space="1"/>
        <w:bottom w:val="single" w:color="auto" w:sz="6" w:space="1"/>
        <w:right w:val="single" w:color="auto" w:sz="6" w:space="1"/>
      </w:pBdr>
      <w:shd w:val="pct20" w:color="auto" w:fill="auto"/>
      <w:spacing w:line="360" w:lineRule="auto"/>
      <w:ind w:left="1080" w:leftChars="500" w:hanging="1080" w:hangingChars="500"/>
      <w:jc w:val="left"/>
    </w:pPr>
    <w:rPr>
      <w:rFonts w:ascii="Arial" w:hAnsi="Arial" w:eastAsia="楷体_GB2312" w:cs="Arial"/>
      <w:szCs w:val="24"/>
    </w:rPr>
  </w:style>
  <w:style w:type="paragraph" w:styleId="74">
    <w:name w:val="HTML Preformatted"/>
    <w:basedOn w:val="1"/>
    <w:link w:val="452"/>
    <w:qFormat/>
    <w:uiPriority w:val="99"/>
    <w:pPr>
      <w:spacing w:line="360" w:lineRule="auto"/>
      <w:ind w:firstLine="200" w:firstLineChars="200"/>
      <w:jc w:val="left"/>
    </w:pPr>
    <w:rPr>
      <w:rFonts w:ascii="Courier New" w:hAnsi="Courier New" w:eastAsia="楷体_GB2312"/>
      <w:sz w:val="20"/>
    </w:rPr>
  </w:style>
  <w:style w:type="paragraph" w:styleId="75">
    <w:name w:val="Normal (Web)"/>
    <w:basedOn w:val="1"/>
    <w:link w:val="510"/>
    <w:qFormat/>
    <w:uiPriority w:val="0"/>
    <w:pPr>
      <w:widowControl/>
      <w:spacing w:before="100" w:beforeLines="0" w:beforeAutospacing="1" w:after="100" w:afterLines="0" w:afterAutospacing="1"/>
      <w:jc w:val="left"/>
    </w:pPr>
    <w:rPr>
      <w:rFonts w:ascii="宋体" w:hAnsi="宋体"/>
      <w:kern w:val="0"/>
      <w:sz w:val="22"/>
    </w:rPr>
  </w:style>
  <w:style w:type="paragraph" w:styleId="76">
    <w:name w:val="List Continue 3"/>
    <w:basedOn w:val="1"/>
    <w:qFormat/>
    <w:uiPriority w:val="0"/>
    <w:pPr>
      <w:spacing w:after="120" w:afterLines="0"/>
      <w:ind w:left="1260" w:leftChars="600"/>
    </w:pPr>
    <w:rPr>
      <w:sz w:val="21"/>
      <w:szCs w:val="24"/>
    </w:rPr>
  </w:style>
  <w:style w:type="paragraph" w:styleId="77">
    <w:name w:val="Title"/>
    <w:basedOn w:val="1"/>
    <w:next w:val="1"/>
    <w:link w:val="464"/>
    <w:qFormat/>
    <w:uiPriority w:val="0"/>
    <w:pPr>
      <w:spacing w:before="240" w:beforeLines="0" w:after="60" w:afterLines="0" w:line="360" w:lineRule="auto"/>
      <w:ind w:firstLine="200" w:firstLineChars="200"/>
      <w:jc w:val="center"/>
      <w:outlineLvl w:val="0"/>
    </w:pPr>
    <w:rPr>
      <w:rFonts w:ascii="Arial" w:hAnsi="Arial" w:eastAsia="楷体_GB2312" w:cs="Arial"/>
      <w:b/>
      <w:bCs/>
      <w:sz w:val="32"/>
      <w:szCs w:val="32"/>
    </w:rPr>
  </w:style>
  <w:style w:type="paragraph" w:styleId="78">
    <w:name w:val="annotation subject"/>
    <w:basedOn w:val="29"/>
    <w:next w:val="29"/>
    <w:qFormat/>
    <w:uiPriority w:val="0"/>
    <w:rPr>
      <w:b/>
    </w:rPr>
  </w:style>
  <w:style w:type="paragraph" w:styleId="79">
    <w:name w:val="Body Text First Indent"/>
    <w:basedOn w:val="34"/>
    <w:next w:val="1"/>
    <w:link w:val="531"/>
    <w:qFormat/>
    <w:uiPriority w:val="0"/>
    <w:pPr>
      <w:spacing w:line="300" w:lineRule="auto"/>
      <w:ind w:firstLine="476"/>
    </w:pPr>
  </w:style>
  <w:style w:type="paragraph" w:styleId="80">
    <w:name w:val="Body Text First Indent 2"/>
    <w:basedOn w:val="22"/>
    <w:next w:val="81"/>
    <w:qFormat/>
    <w:uiPriority w:val="0"/>
    <w:pPr>
      <w:spacing w:before="0" w:beforeLines="0" w:beforeAutospacing="0" w:line="240" w:lineRule="auto"/>
      <w:ind w:left="420" w:leftChars="200" w:firstLine="420" w:firstLineChars="200"/>
    </w:pPr>
    <w:rPr>
      <w:rFonts w:hint="default" w:ascii="Times New Roman"/>
    </w:rPr>
  </w:style>
  <w:style w:type="paragraph" w:customStyle="1" w:styleId="81">
    <w:name w:val="xl53"/>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b/>
      <w:bCs/>
      <w:kern w:val="0"/>
      <w:sz w:val="20"/>
    </w:rPr>
  </w:style>
  <w:style w:type="table" w:styleId="83">
    <w:name w:val="Table Grid"/>
    <w:basedOn w:val="82"/>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85">
    <w:name w:val="Strong"/>
    <w:qFormat/>
    <w:uiPriority w:val="0"/>
    <w:rPr>
      <w:b/>
    </w:rPr>
  </w:style>
  <w:style w:type="character" w:styleId="86">
    <w:name w:val="page number"/>
    <w:basedOn w:val="84"/>
    <w:qFormat/>
    <w:uiPriority w:val="0"/>
  </w:style>
  <w:style w:type="character" w:styleId="87">
    <w:name w:val="FollowedHyperlink"/>
    <w:qFormat/>
    <w:uiPriority w:val="0"/>
    <w:rPr>
      <w:color w:val="800080"/>
      <w:u w:val="single"/>
    </w:rPr>
  </w:style>
  <w:style w:type="character" w:styleId="88">
    <w:name w:val="Emphasis"/>
    <w:qFormat/>
    <w:uiPriority w:val="0"/>
    <w:rPr>
      <w:color w:val="CC0033"/>
    </w:rPr>
  </w:style>
  <w:style w:type="character" w:styleId="89">
    <w:name w:val="line number"/>
    <w:basedOn w:val="84"/>
    <w:qFormat/>
    <w:uiPriority w:val="0"/>
  </w:style>
  <w:style w:type="character" w:styleId="90">
    <w:name w:val="Hyperlink"/>
    <w:qFormat/>
    <w:uiPriority w:val="99"/>
    <w:rPr>
      <w:color w:val="0000FF"/>
      <w:u w:val="single"/>
    </w:rPr>
  </w:style>
  <w:style w:type="character" w:styleId="91">
    <w:name w:val="annotation reference"/>
    <w:qFormat/>
    <w:uiPriority w:val="0"/>
    <w:rPr>
      <w:sz w:val="21"/>
    </w:rPr>
  </w:style>
  <w:style w:type="paragraph" w:customStyle="1" w:styleId="92">
    <w:name w:val="BodyText1I2"/>
    <w:basedOn w:val="93"/>
    <w:qFormat/>
    <w:uiPriority w:val="0"/>
    <w:pPr>
      <w:spacing w:after="120" w:line="240" w:lineRule="auto"/>
      <w:ind w:left="200" w:leftChars="200" w:firstLine="200" w:firstLineChars="200"/>
    </w:pPr>
    <w:rPr>
      <w:rFonts w:ascii="Calibri" w:hAnsi="Calibri"/>
      <w:sz w:val="21"/>
      <w:szCs w:val="22"/>
    </w:rPr>
  </w:style>
  <w:style w:type="paragraph" w:customStyle="1" w:styleId="93">
    <w:name w:val="BodyTextIndent"/>
    <w:basedOn w:val="1"/>
    <w:qFormat/>
    <w:uiPriority w:val="0"/>
    <w:pPr>
      <w:spacing w:line="200" w:lineRule="exact"/>
      <w:ind w:firstLine="301"/>
    </w:pPr>
    <w:rPr>
      <w:rFonts w:ascii="宋体" w:hAnsi="Courier New"/>
      <w:spacing w:val="-4"/>
      <w:sz w:val="18"/>
    </w:rPr>
  </w:style>
  <w:style w:type="paragraph" w:customStyle="1" w:styleId="94">
    <w:name w:val="xl102"/>
    <w:basedOn w:val="1"/>
    <w:qFormat/>
    <w:uiPriority w:val="0"/>
    <w:pPr>
      <w:widowControl/>
      <w:shd w:val="clear" w:color="auto" w:fill="C0C0C0"/>
      <w:spacing w:before="100" w:beforeLines="0" w:beforeAutospacing="1" w:after="100" w:afterLines="0" w:afterAutospacing="1"/>
      <w:jc w:val="left"/>
    </w:pPr>
    <w:rPr>
      <w:rFonts w:ascii="Arial" w:hAnsi="Arial" w:cs="Arial"/>
      <w:color w:val="000000"/>
      <w:kern w:val="0"/>
      <w:szCs w:val="24"/>
    </w:rPr>
  </w:style>
  <w:style w:type="paragraph" w:customStyle="1" w:styleId="95">
    <w:name w:val="样式 标题 4 + 小四"/>
    <w:basedOn w:val="7"/>
    <w:link w:val="437"/>
    <w:qFormat/>
    <w:uiPriority w:val="0"/>
    <w:pPr>
      <w:numPr>
        <w:ilvl w:val="0"/>
        <w:numId w:val="0"/>
      </w:numPr>
      <w:tabs>
        <w:tab w:val="left" w:pos="1919"/>
        <w:tab w:val="clear" w:pos="1198"/>
      </w:tabs>
      <w:spacing w:before="280" w:beforeLines="0" w:after="290" w:afterLines="0" w:line="377" w:lineRule="auto"/>
      <w:ind w:left="1547" w:hanging="708"/>
      <w:jc w:val="left"/>
    </w:pPr>
    <w:rPr>
      <w:rFonts w:ascii="Arial" w:hAnsi="Arial" w:eastAsia="楷体_GB2312" w:cs="Arial"/>
      <w:bCs/>
      <w:sz w:val="24"/>
      <w:szCs w:val="28"/>
    </w:rPr>
  </w:style>
  <w:style w:type="paragraph" w:customStyle="1" w:styleId="96">
    <w:name w:val=" Char Char Char1 Char Char Char Char"/>
    <w:basedOn w:val="1"/>
    <w:qFormat/>
    <w:uiPriority w:val="0"/>
    <w:rPr>
      <w:rFonts w:ascii="仿宋_GB2312" w:eastAsia="仿宋_GB2312"/>
      <w:b/>
      <w:sz w:val="32"/>
    </w:rPr>
  </w:style>
  <w:style w:type="paragraph" w:customStyle="1" w:styleId="97">
    <w:name w:val="1.1.1"/>
    <w:basedOn w:val="1"/>
    <w:qFormat/>
    <w:uiPriority w:val="0"/>
    <w:pPr>
      <w:tabs>
        <w:tab w:val="left" w:pos="0"/>
        <w:tab w:val="left" w:pos="1134"/>
        <w:tab w:val="left" w:pos="8505"/>
      </w:tabs>
      <w:autoSpaceDE w:val="0"/>
      <w:autoSpaceDN w:val="0"/>
      <w:adjustRightInd w:val="0"/>
      <w:spacing w:before="240" w:beforeLines="0" w:after="60" w:afterLines="0" w:line="360" w:lineRule="atLeast"/>
    </w:pPr>
    <w:rPr>
      <w:rFonts w:ascii="宋体"/>
      <w:b/>
      <w:kern w:val="0"/>
    </w:rPr>
  </w:style>
  <w:style w:type="paragraph" w:customStyle="1" w:styleId="98">
    <w:name w:val="样式 行距: 1.5 倍行距 首行缩进:  2 字符"/>
    <w:basedOn w:val="1"/>
    <w:qFormat/>
    <w:uiPriority w:val="0"/>
    <w:pPr>
      <w:spacing w:line="360" w:lineRule="auto"/>
      <w:ind w:firstLine="480" w:firstLineChars="200"/>
    </w:pPr>
  </w:style>
  <w:style w:type="paragraph" w:customStyle="1" w:styleId="99">
    <w:name w:val="标题一"/>
    <w:basedOn w:val="1"/>
    <w:qFormat/>
    <w:uiPriority w:val="0"/>
    <w:pPr>
      <w:keepLines/>
      <w:widowControl/>
      <w:topLinePunct/>
      <w:adjustRightInd w:val="0"/>
      <w:snapToGrid w:val="0"/>
      <w:spacing w:before="100" w:beforeAutospacing="1" w:after="100" w:afterAutospacing="1"/>
      <w:jc w:val="center"/>
      <w:outlineLvl w:val="0"/>
    </w:pPr>
    <w:rPr>
      <w:rFonts w:ascii="宋体" w:hAnsi="宋体"/>
      <w:b/>
      <w:kern w:val="0"/>
      <w:sz w:val="28"/>
      <w:szCs w:val="21"/>
    </w:rPr>
  </w:style>
  <w:style w:type="paragraph" w:customStyle="1" w:styleId="100">
    <w:name w:val="reader-word-layer reader-word-s1-8"/>
    <w:basedOn w:val="1"/>
    <w:qFormat/>
    <w:uiPriority w:val="0"/>
    <w:pPr>
      <w:widowControl/>
      <w:spacing w:before="100" w:beforeAutospacing="1" w:after="100" w:afterAutospacing="1"/>
      <w:jc w:val="left"/>
    </w:pPr>
    <w:rPr>
      <w:rFonts w:ascii="宋体" w:hAnsi="宋体" w:cs="宋体"/>
      <w:kern w:val="0"/>
    </w:rPr>
  </w:style>
  <w:style w:type="paragraph" w:customStyle="1" w:styleId="101">
    <w:name w:val="xl44"/>
    <w:basedOn w:val="1"/>
    <w:qFormat/>
    <w:uiPriority w:val="0"/>
    <w:pPr>
      <w:widowControl/>
      <w:spacing w:before="100" w:beforeAutospacing="1" w:after="100" w:afterAutospacing="1"/>
      <w:jc w:val="center"/>
    </w:pPr>
    <w:rPr>
      <w:rFonts w:hint="eastAsia" w:ascii="华文新魏" w:hAnsi="宋体" w:eastAsia="华文新魏"/>
      <w:b/>
      <w:bCs/>
      <w:kern w:val="0"/>
      <w:sz w:val="32"/>
      <w:szCs w:val="32"/>
    </w:rPr>
  </w:style>
  <w:style w:type="paragraph" w:customStyle="1" w:styleId="102">
    <w:name w:val="框内说明"/>
    <w:basedOn w:val="1"/>
    <w:qFormat/>
    <w:uiPriority w:val="0"/>
    <w:pPr>
      <w:adjustRightInd w:val="0"/>
      <w:snapToGrid w:val="0"/>
    </w:pPr>
    <w:rPr>
      <w:kern w:val="0"/>
      <w:sz w:val="21"/>
    </w:rPr>
  </w:style>
  <w:style w:type="paragraph" w:customStyle="1" w:styleId="103">
    <w:name w:val="正文文本 21"/>
    <w:basedOn w:val="1"/>
    <w:qFormat/>
    <w:uiPriority w:val="0"/>
    <w:pPr>
      <w:adjustRightInd w:val="0"/>
      <w:spacing w:after="60" w:afterLines="0" w:line="360" w:lineRule="atLeast"/>
      <w:ind w:left="57" w:right="57"/>
      <w:jc w:val="center"/>
      <w:textAlignment w:val="baseline"/>
    </w:pPr>
    <w:rPr>
      <w:rFonts w:ascii="Arial" w:hAnsi="Arial" w:eastAsia="黑体"/>
      <w:kern w:val="0"/>
      <w:sz w:val="21"/>
    </w:rPr>
  </w:style>
  <w:style w:type="paragraph" w:customStyle="1" w:styleId="104">
    <w:name w:val="正文文字2"/>
    <w:basedOn w:val="34"/>
    <w:qFormat/>
    <w:uiPriority w:val="0"/>
    <w:pPr>
      <w:autoSpaceDE/>
      <w:autoSpaceDN/>
      <w:spacing w:after="60" w:afterLines="0" w:line="360" w:lineRule="atLeast"/>
      <w:ind w:left="72" w:right="72"/>
      <w:jc w:val="center"/>
      <w:textAlignment w:val="baseline"/>
    </w:pPr>
    <w:rPr>
      <w:rFonts w:ascii="Arial" w:eastAsia="黑体"/>
      <w:color w:val="auto"/>
      <w:sz w:val="21"/>
      <w:lang w:val="en-US" w:eastAsia="zh-CN"/>
    </w:rPr>
  </w:style>
  <w:style w:type="paragraph" w:customStyle="1" w:styleId="105">
    <w:name w:val="Char Char Char Char"/>
    <w:basedOn w:val="1"/>
    <w:qFormat/>
    <w:uiPriority w:val="0"/>
    <w:rPr>
      <w:rFonts w:ascii="仿宋_GB2312" w:eastAsia="仿宋_GB2312"/>
      <w:b/>
      <w:sz w:val="32"/>
    </w:rPr>
  </w:style>
  <w:style w:type="paragraph" w:customStyle="1" w:styleId="106">
    <w:name w:val="正文1"/>
    <w:basedOn w:val="1"/>
    <w:qFormat/>
    <w:uiPriority w:val="0"/>
    <w:pPr>
      <w:spacing w:before="60" w:beforeLines="0" w:beforeAutospacing="0" w:after="60" w:afterLines="0" w:afterAutospacing="0" w:line="360" w:lineRule="auto"/>
      <w:ind w:left="1080"/>
      <w:outlineLvl w:val="6"/>
    </w:pPr>
  </w:style>
  <w:style w:type="paragraph" w:customStyle="1" w:styleId="107">
    <w:name w:val="正文段"/>
    <w:basedOn w:val="1"/>
    <w:link w:val="428"/>
    <w:qFormat/>
    <w:uiPriority w:val="0"/>
    <w:pPr>
      <w:widowControl/>
      <w:snapToGrid w:val="0"/>
      <w:spacing w:after="156" w:afterLines="50"/>
      <w:ind w:firstLine="200" w:firstLineChars="200"/>
    </w:pPr>
    <w:rPr>
      <w:kern w:val="0"/>
    </w:rPr>
  </w:style>
  <w:style w:type="paragraph" w:customStyle="1" w:styleId="108">
    <w:name w:val="xl110"/>
    <w:basedOn w:val="1"/>
    <w:qFormat/>
    <w:uiPriority w:val="0"/>
    <w:pPr>
      <w:widowControl/>
      <w:spacing w:before="100" w:beforeLines="0" w:beforeAutospacing="1" w:after="100" w:afterLines="0" w:afterAutospacing="1"/>
      <w:jc w:val="left"/>
    </w:pPr>
    <w:rPr>
      <w:rFonts w:ascii="宋体" w:hAnsi="宋体" w:cs="宋体"/>
      <w:color w:val="000000"/>
      <w:kern w:val="0"/>
      <w:szCs w:val="24"/>
    </w:rPr>
  </w:style>
  <w:style w:type="paragraph" w:customStyle="1" w:styleId="109">
    <w:name w:val="Style Heading 3h3Heading 3 - oldLevel 3 HeadH3level_3PIM 3se..."/>
    <w:basedOn w:val="6"/>
    <w:qFormat/>
    <w:uiPriority w:val="0"/>
    <w:pPr>
      <w:tabs>
        <w:tab w:val="left" w:pos="1260"/>
        <w:tab w:val="clear" w:pos="778"/>
      </w:tabs>
      <w:spacing w:before="260" w:beforeLines="0" w:beforeAutospacing="0" w:after="260" w:afterLines="0" w:afterAutospacing="0" w:line="413" w:lineRule="auto"/>
      <w:ind w:left="1260"/>
    </w:pPr>
    <w:rPr>
      <w:rFonts w:ascii="Times New Roman" w:hAnsi="Times New Roman"/>
      <w:sz w:val="32"/>
    </w:rPr>
  </w:style>
  <w:style w:type="paragraph" w:customStyle="1" w:styleId="110">
    <w:name w:val="正文＋小四＋缩进2字符"/>
    <w:basedOn w:val="1"/>
    <w:qFormat/>
    <w:uiPriority w:val="0"/>
    <w:pPr>
      <w:spacing w:line="360" w:lineRule="auto"/>
      <w:ind w:firstLine="200" w:firstLineChars="200"/>
    </w:pPr>
  </w:style>
  <w:style w:type="paragraph" w:customStyle="1" w:styleId="111">
    <w:name w:val="普通(网站)1"/>
    <w:basedOn w:val="1"/>
    <w:next w:val="1"/>
    <w:qFormat/>
    <w:uiPriority w:val="0"/>
    <w:pPr>
      <w:widowControl/>
      <w:spacing w:before="100" w:beforeLines="0" w:beforeAutospacing="0" w:after="100" w:afterLines="0" w:afterAutospacing="0"/>
      <w:jc w:val="left"/>
    </w:pPr>
    <w:rPr>
      <w:rFonts w:ascii="宋体"/>
      <w:color w:val="000000"/>
      <w:kern w:val="0"/>
      <w:sz w:val="22"/>
    </w:rPr>
  </w:style>
  <w:style w:type="paragraph" w:customStyle="1" w:styleId="112">
    <w:name w:val="标题3下的宋体"/>
    <w:qFormat/>
    <w:uiPriority w:val="0"/>
    <w:pPr>
      <w:widowControl w:val="0"/>
      <w:adjustRightInd w:val="0"/>
      <w:snapToGrid w:val="0"/>
      <w:spacing w:before="62" w:beforeLines="20" w:after="62" w:afterLines="20" w:line="300" w:lineRule="auto"/>
      <w:ind w:left="300" w:leftChars="300" w:firstLine="200" w:firstLineChars="200"/>
      <w:jc w:val="both"/>
    </w:pPr>
    <w:rPr>
      <w:rFonts w:ascii="Times New Roman" w:hAnsi="Times New Roman" w:eastAsia="宋体" w:cs="Times New Roman"/>
      <w:kern w:val="2"/>
      <w:sz w:val="28"/>
      <w:szCs w:val="28"/>
      <w:lang w:val="en-US" w:eastAsia="zh-CN" w:bidi="ar-SA"/>
    </w:rPr>
  </w:style>
  <w:style w:type="paragraph" w:customStyle="1" w:styleId="113">
    <w:name w:val="列表编号 21"/>
    <w:basedOn w:val="1"/>
    <w:next w:val="1"/>
    <w:qFormat/>
    <w:uiPriority w:val="0"/>
    <w:pPr>
      <w:widowControl/>
      <w:tabs>
        <w:tab w:val="left" w:pos="420"/>
        <w:tab w:val="left" w:pos="1697"/>
      </w:tabs>
      <w:spacing w:after="50" w:afterLines="0" w:afterAutospacing="0"/>
      <w:ind w:left="1697" w:hanging="420"/>
      <w:jc w:val="left"/>
    </w:pPr>
    <w:rPr>
      <w:color w:val="000000"/>
      <w:kern w:val="0"/>
    </w:rPr>
  </w:style>
  <w:style w:type="paragraph" w:customStyle="1" w:styleId="114">
    <w:name w:val="表格项目符号"/>
    <w:basedOn w:val="1"/>
    <w:next w:val="1"/>
    <w:qFormat/>
    <w:uiPriority w:val="0"/>
    <w:pPr>
      <w:widowControl/>
      <w:tabs>
        <w:tab w:val="left" w:pos="249"/>
      </w:tabs>
      <w:snapToGrid w:val="0"/>
      <w:spacing w:line="300" w:lineRule="auto"/>
      <w:ind w:left="249" w:hanging="249"/>
    </w:pPr>
    <w:rPr>
      <w:color w:val="000000"/>
      <w:sz w:val="21"/>
    </w:rPr>
  </w:style>
  <w:style w:type="paragraph" w:customStyle="1" w:styleId="115">
    <w:name w:val="章节标题2"/>
    <w:basedOn w:val="1"/>
    <w:next w:val="116"/>
    <w:qFormat/>
    <w:uiPriority w:val="0"/>
    <w:pPr>
      <w:keepNext/>
      <w:keepLines/>
      <w:numPr>
        <w:ilvl w:val="1"/>
        <w:numId w:val="3"/>
      </w:numPr>
      <w:spacing w:before="260" w:after="260" w:line="415" w:lineRule="auto"/>
      <w:outlineLvl w:val="1"/>
    </w:pPr>
    <w:rPr>
      <w:b/>
      <w:bCs/>
      <w:sz w:val="32"/>
      <w:szCs w:val="32"/>
    </w:rPr>
  </w:style>
  <w:style w:type="paragraph" w:customStyle="1" w:styleId="116">
    <w:name w:val="章节标题3"/>
    <w:basedOn w:val="1"/>
    <w:qFormat/>
    <w:uiPriority w:val="0"/>
    <w:pPr>
      <w:keepNext/>
      <w:keepLines/>
      <w:numPr>
        <w:ilvl w:val="2"/>
        <w:numId w:val="3"/>
      </w:numPr>
      <w:spacing w:before="260" w:after="260" w:line="415" w:lineRule="auto"/>
      <w:outlineLvl w:val="2"/>
    </w:pPr>
    <w:rPr>
      <w:b/>
      <w:bCs/>
      <w:sz w:val="30"/>
      <w:szCs w:val="32"/>
    </w:rPr>
  </w:style>
  <w:style w:type="paragraph" w:customStyle="1" w:styleId="117">
    <w:name w:val="xl111"/>
    <w:basedOn w:val="1"/>
    <w:qFormat/>
    <w:uiPriority w:val="0"/>
    <w:pPr>
      <w:widowControl/>
      <w:spacing w:before="100" w:beforeLines="0" w:beforeAutospacing="1" w:after="100" w:afterLines="0" w:afterAutospacing="1"/>
      <w:jc w:val="left"/>
    </w:pPr>
    <w:rPr>
      <w:rFonts w:ascii="宋体" w:hAnsi="宋体" w:cs="宋体"/>
      <w:kern w:val="0"/>
      <w:szCs w:val="24"/>
    </w:rPr>
  </w:style>
  <w:style w:type="paragraph" w:customStyle="1" w:styleId="118">
    <w:name w:val="样式 列表编号 + 段后: 0.5 行"/>
    <w:basedOn w:val="20"/>
    <w:qFormat/>
    <w:uiPriority w:val="99"/>
    <w:pPr>
      <w:tabs>
        <w:tab w:val="left" w:pos="720"/>
      </w:tabs>
      <w:ind w:left="720"/>
    </w:pPr>
  </w:style>
  <w:style w:type="paragraph" w:customStyle="1" w:styleId="119">
    <w:name w:val="xl81"/>
    <w:basedOn w:val="1"/>
    <w:qFormat/>
    <w:uiPriority w:val="0"/>
    <w:pPr>
      <w:widowControl/>
      <w:shd w:val="clear" w:color="auto" w:fill="CCFFCC"/>
      <w:spacing w:before="100" w:beforeLines="0" w:beforeAutospacing="1" w:after="100" w:afterLines="0" w:afterAutospacing="1"/>
      <w:jc w:val="left"/>
    </w:pPr>
    <w:rPr>
      <w:rFonts w:ascii="Arial" w:hAnsi="Arial" w:cs="Arial"/>
      <w:color w:val="000000"/>
      <w:kern w:val="0"/>
      <w:szCs w:val="24"/>
    </w:rPr>
  </w:style>
  <w:style w:type="paragraph" w:customStyle="1" w:styleId="120">
    <w:name w:val="封面"/>
    <w:basedOn w:val="1"/>
    <w:qFormat/>
    <w:uiPriority w:val="0"/>
    <w:pPr>
      <w:keepLines/>
      <w:widowControl/>
      <w:topLinePunct/>
      <w:adjustRightInd w:val="0"/>
      <w:snapToGrid w:val="0"/>
      <w:spacing w:before="100" w:beforeAutospacing="1" w:after="100" w:afterAutospacing="1"/>
      <w:ind w:firstLine="200" w:firstLineChars="200"/>
      <w:jc w:val="center"/>
    </w:pPr>
    <w:rPr>
      <w:rFonts w:ascii="宋体" w:hAnsi="宋体" w:eastAsia="楷体_GB2312"/>
      <w:kern w:val="0"/>
      <w:sz w:val="36"/>
      <w:szCs w:val="21"/>
    </w:rPr>
  </w:style>
  <w:style w:type="paragraph" w:customStyle="1" w:styleId="12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22">
    <w:name w:val="xl106"/>
    <w:basedOn w:val="1"/>
    <w:qFormat/>
    <w:uiPriority w:val="0"/>
    <w:pPr>
      <w:widowControl/>
      <w:spacing w:before="100" w:beforeLines="0" w:beforeAutospacing="1" w:after="100" w:afterLines="0" w:afterAutospacing="1"/>
      <w:jc w:val="center"/>
    </w:pPr>
    <w:rPr>
      <w:rFonts w:ascii="Arial" w:hAnsi="Arial" w:cs="Arial"/>
      <w:color w:val="000000"/>
      <w:kern w:val="0"/>
      <w:szCs w:val="24"/>
    </w:rPr>
  </w:style>
  <w:style w:type="paragraph" w:customStyle="1" w:styleId="123">
    <w:name w:val="xl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kern w:val="0"/>
      <w:sz w:val="20"/>
    </w:rPr>
  </w:style>
  <w:style w:type="paragraph" w:customStyle="1" w:styleId="124">
    <w:name w:val=" Char2"/>
    <w:basedOn w:val="1"/>
    <w:qFormat/>
    <w:uiPriority w:val="0"/>
    <w:rPr>
      <w:rFonts w:ascii="仿宋_GB2312" w:eastAsia="仿宋_GB2312"/>
      <w:b/>
      <w:sz w:val="32"/>
    </w:rPr>
  </w:style>
  <w:style w:type="paragraph" w:customStyle="1" w:styleId="125">
    <w:name w:val="xl100"/>
    <w:basedOn w:val="1"/>
    <w:qFormat/>
    <w:uiPriority w:val="0"/>
    <w:pPr>
      <w:widowControl/>
      <w:shd w:val="clear" w:color="auto" w:fill="99CCFF"/>
      <w:spacing w:before="100" w:beforeLines="0" w:beforeAutospacing="1" w:after="100" w:afterLines="0" w:afterAutospacing="1"/>
      <w:jc w:val="left"/>
    </w:pPr>
    <w:rPr>
      <w:rFonts w:ascii="Arial" w:hAnsi="Arial" w:cs="Arial"/>
      <w:b/>
      <w:bCs/>
      <w:color w:val="000000"/>
      <w:kern w:val="0"/>
      <w:szCs w:val="24"/>
    </w:rPr>
  </w:style>
  <w:style w:type="paragraph" w:customStyle="1" w:styleId="126">
    <w:name w:val="列出段落1"/>
    <w:basedOn w:val="1"/>
    <w:qFormat/>
    <w:uiPriority w:val="0"/>
    <w:pPr>
      <w:ind w:firstLine="420" w:firstLineChars="200"/>
    </w:pPr>
    <w:rPr>
      <w:rFonts w:ascii="Calibri" w:hAnsi="Calibri"/>
      <w:sz w:val="21"/>
      <w:szCs w:val="22"/>
    </w:rPr>
  </w:style>
  <w:style w:type="paragraph" w:customStyle="1" w:styleId="127">
    <w:name w:val="xl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b/>
      <w:bCs/>
      <w:kern w:val="0"/>
      <w:sz w:val="20"/>
    </w:rPr>
  </w:style>
  <w:style w:type="paragraph" w:customStyle="1" w:styleId="128">
    <w:name w:val="表格"/>
    <w:basedOn w:val="1"/>
    <w:qFormat/>
    <w:uiPriority w:val="0"/>
    <w:pPr>
      <w:jc w:val="left"/>
    </w:pPr>
    <w:rPr>
      <w:sz w:val="18"/>
    </w:rPr>
  </w:style>
  <w:style w:type="paragraph" w:customStyle="1" w:styleId="129">
    <w:name w:val="彩色列表 - 强调文字颜色 11"/>
    <w:basedOn w:val="1"/>
    <w:qFormat/>
    <w:uiPriority w:val="0"/>
    <w:pPr>
      <w:ind w:firstLine="200" w:firstLineChars="200"/>
    </w:pPr>
    <w:rPr>
      <w:sz w:val="21"/>
      <w:szCs w:val="24"/>
    </w:rPr>
  </w:style>
  <w:style w:type="paragraph" w:customStyle="1" w:styleId="130">
    <w:name w:val="Unknown Style"/>
    <w:basedOn w:val="1"/>
    <w:next w:val="1"/>
    <w:qFormat/>
    <w:uiPriority w:val="0"/>
    <w:pPr>
      <w:widowControl/>
    </w:pPr>
    <w:rPr>
      <w:color w:val="000000"/>
      <w:sz w:val="21"/>
    </w:rPr>
  </w:style>
  <w:style w:type="paragraph" w:customStyle="1" w:styleId="131">
    <w:name w:val="xl67"/>
    <w:basedOn w:val="1"/>
    <w:qFormat/>
    <w:uiPriority w:val="0"/>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jc w:val="center"/>
      <w:textAlignment w:val="bottom"/>
    </w:pPr>
    <w:rPr>
      <w:rFonts w:ascii="宋体" w:hAnsi="宋体"/>
      <w:b/>
      <w:bCs/>
      <w:kern w:val="0"/>
      <w:sz w:val="20"/>
    </w:rPr>
  </w:style>
  <w:style w:type="paragraph" w:customStyle="1" w:styleId="132">
    <w:name w:val="项目2"/>
    <w:basedOn w:val="1"/>
    <w:qFormat/>
    <w:uiPriority w:val="0"/>
    <w:pPr>
      <w:tabs>
        <w:tab w:val="left" w:pos="840"/>
      </w:tabs>
      <w:spacing w:line="360" w:lineRule="auto"/>
      <w:ind w:left="840" w:hanging="420"/>
    </w:pPr>
  </w:style>
  <w:style w:type="paragraph" w:customStyle="1" w:styleId="133">
    <w:name w:val="前言、引言标题"/>
    <w:next w:val="1"/>
    <w:qFormat/>
    <w:uiPriority w:val="0"/>
    <w:pPr>
      <w:numPr>
        <w:ilvl w:val="0"/>
        <w:numId w:val="7"/>
      </w:num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134">
    <w:name w:val="_Style 129"/>
    <w:semiHidden/>
    <w:qFormat/>
    <w:uiPriority w:val="99"/>
    <w:rPr>
      <w:rFonts w:ascii="Times New Roman" w:hAnsi="Times New Roman" w:eastAsia="宋体" w:cs="Times New Roman"/>
      <w:kern w:val="2"/>
      <w:sz w:val="24"/>
      <w:lang w:val="en-US" w:eastAsia="zh-CN" w:bidi="ar-SA"/>
    </w:rPr>
  </w:style>
  <w:style w:type="paragraph" w:customStyle="1" w:styleId="135">
    <w:name w:val="样式 标题 2"/>
    <w:basedOn w:val="5"/>
    <w:next w:val="1"/>
    <w:qFormat/>
    <w:uiPriority w:val="0"/>
    <w:pPr>
      <w:keepLines w:val="0"/>
      <w:tabs>
        <w:tab w:val="clear" w:pos="358"/>
      </w:tabs>
      <w:spacing w:before="0" w:beforeLines="0" w:after="156" w:afterLines="50" w:line="480" w:lineRule="auto"/>
      <w:ind w:left="0" w:firstLine="0"/>
    </w:pPr>
    <w:rPr>
      <w:rFonts w:ascii="仿宋_GB2312" w:hAnsi="仿宋_GB2312" w:eastAsia="仿宋_GB2312" w:cs="Arial"/>
      <w:szCs w:val="24"/>
      <w:lang w:val="en-US" w:eastAsia="zh-CN"/>
    </w:rPr>
  </w:style>
  <w:style w:type="paragraph" w:customStyle="1" w:styleId="136">
    <w:name w:val="xl90"/>
    <w:basedOn w:val="1"/>
    <w:qFormat/>
    <w:uiPriority w:val="0"/>
    <w:pPr>
      <w:widowControl/>
      <w:spacing w:before="100" w:beforeLines="0" w:beforeAutospacing="1" w:after="100" w:afterLines="0" w:afterAutospacing="1"/>
      <w:jc w:val="center"/>
    </w:pPr>
    <w:rPr>
      <w:rFonts w:ascii="幼圆" w:hAnsi="宋体" w:eastAsia="幼圆" w:cs="宋体"/>
      <w:color w:val="000000"/>
      <w:kern w:val="0"/>
      <w:szCs w:val="24"/>
    </w:rPr>
  </w:style>
  <w:style w:type="paragraph" w:customStyle="1" w:styleId="137">
    <w:name w:val="xl83"/>
    <w:basedOn w:val="1"/>
    <w:qFormat/>
    <w:uiPriority w:val="0"/>
    <w:pPr>
      <w:widowControl/>
      <w:shd w:val="clear" w:color="auto" w:fill="CCFFCC"/>
      <w:spacing w:before="100" w:beforeLines="0" w:beforeAutospacing="1" w:after="100" w:afterLines="0" w:afterAutospacing="1"/>
      <w:jc w:val="center"/>
    </w:pPr>
    <w:rPr>
      <w:rFonts w:ascii="Arial" w:hAnsi="Arial" w:cs="Arial"/>
      <w:color w:val="000000"/>
      <w:kern w:val="0"/>
      <w:szCs w:val="24"/>
    </w:rPr>
  </w:style>
  <w:style w:type="paragraph" w:customStyle="1" w:styleId="138">
    <w:name w:val=" Char Char Char Char Char Char Char Char Char Char Char Char Char Char Char Char Char Char"/>
    <w:basedOn w:val="1"/>
    <w:qFormat/>
    <w:uiPriority w:val="0"/>
    <w:pPr>
      <w:spacing w:before="156" w:beforeLines="50" w:after="312" w:afterLines="100" w:line="480" w:lineRule="exact"/>
      <w:jc w:val="center"/>
    </w:pPr>
    <w:rPr>
      <w:color w:val="000000"/>
      <w:sz w:val="28"/>
      <w:szCs w:val="52"/>
    </w:rPr>
  </w:style>
  <w:style w:type="paragraph" w:customStyle="1" w:styleId="139">
    <w:name w:val="列表项目符号 21"/>
    <w:basedOn w:val="1"/>
    <w:next w:val="1"/>
    <w:qFormat/>
    <w:uiPriority w:val="0"/>
    <w:pPr>
      <w:widowControl/>
      <w:tabs>
        <w:tab w:val="left" w:pos="420"/>
      </w:tabs>
      <w:ind w:left="420" w:hanging="420"/>
    </w:pPr>
    <w:rPr>
      <w:color w:val="000000"/>
      <w:sz w:val="21"/>
    </w:rPr>
  </w:style>
  <w:style w:type="paragraph" w:customStyle="1" w:styleId="140">
    <w:name w:val="xl30"/>
    <w:basedOn w:val="1"/>
    <w:qFormat/>
    <w:uiPriority w:val="0"/>
    <w:pPr>
      <w:widowControl/>
      <w:pBdr>
        <w:top w:val="single" w:color="auto" w:sz="6" w:space="0"/>
        <w:left w:val="single" w:color="auto" w:sz="6" w:space="0"/>
        <w:bottom w:val="single" w:color="auto" w:sz="6" w:space="0"/>
        <w:right w:val="single" w:color="auto" w:sz="6" w:space="0"/>
      </w:pBdr>
      <w:adjustRightInd w:val="0"/>
      <w:spacing w:before="100" w:beforeLines="0" w:after="100" w:afterLines="0"/>
      <w:jc w:val="left"/>
      <w:textAlignment w:val="center"/>
    </w:pPr>
    <w:rPr>
      <w:rFonts w:ascii="Arial Unicode MS" w:hAnsi="Arial Unicode MS"/>
      <w:b/>
      <w:color w:val="000000"/>
      <w:kern w:val="0"/>
      <w:sz w:val="20"/>
    </w:rPr>
  </w:style>
  <w:style w:type="paragraph" w:customStyle="1" w:styleId="141">
    <w:name w:val="Normal"/>
    <w:qFormat/>
    <w:uiPriority w:val="0"/>
    <w:pPr>
      <w:widowControl w:val="0"/>
      <w:jc w:val="both"/>
    </w:pPr>
    <w:rPr>
      <w:rFonts w:hint="eastAsia" w:ascii="Times New Roman" w:hAnsi="Times New Roman" w:eastAsia="宋体" w:cs="Times New Roman"/>
      <w:kern w:val="2"/>
      <w:sz w:val="21"/>
      <w:szCs w:val="22"/>
      <w:lang w:val="en-US" w:eastAsia="zh-CN" w:bidi="ar-SA"/>
    </w:rPr>
  </w:style>
  <w:style w:type="paragraph" w:customStyle="1" w:styleId="142">
    <w:name w:val="ss6"/>
    <w:basedOn w:val="1"/>
    <w:qFormat/>
    <w:uiPriority w:val="0"/>
    <w:pPr>
      <w:widowControl/>
      <w:spacing w:before="100" w:beforeAutospacing="1" w:after="100" w:afterAutospacing="1" w:line="330" w:lineRule="atLeast"/>
      <w:jc w:val="left"/>
    </w:pPr>
    <w:rPr>
      <w:rFonts w:hint="eastAsia" w:ascii="宋体" w:hAnsi="宋体"/>
      <w:color w:val="0072BB"/>
      <w:kern w:val="0"/>
      <w:sz w:val="18"/>
      <w:szCs w:val="18"/>
    </w:rPr>
  </w:style>
  <w:style w:type="paragraph" w:customStyle="1" w:styleId="143">
    <w:name w:val="标准小四"/>
    <w:basedOn w:val="1"/>
    <w:qFormat/>
    <w:uiPriority w:val="0"/>
    <w:pPr>
      <w:spacing w:line="360" w:lineRule="auto"/>
      <w:ind w:firstLine="480" w:firstLineChars="200"/>
    </w:pPr>
    <w:rPr>
      <w:rFonts w:ascii="Arial" w:hAnsi="Arial"/>
      <w:szCs w:val="21"/>
    </w:rPr>
  </w:style>
  <w:style w:type="paragraph" w:customStyle="1" w:styleId="144">
    <w:name w:val="章节标题4"/>
    <w:basedOn w:val="1"/>
    <w:qFormat/>
    <w:uiPriority w:val="0"/>
    <w:pPr>
      <w:keepNext/>
      <w:keepLines/>
      <w:numPr>
        <w:ilvl w:val="3"/>
        <w:numId w:val="3"/>
      </w:numPr>
      <w:spacing w:before="280" w:after="290" w:line="377" w:lineRule="auto"/>
      <w:outlineLvl w:val="3"/>
    </w:pPr>
    <w:rPr>
      <w:b/>
      <w:bCs/>
      <w:sz w:val="28"/>
      <w:szCs w:val="28"/>
    </w:rPr>
  </w:style>
  <w:style w:type="paragraph" w:customStyle="1" w:styleId="145">
    <w:name w:val="文章标题 2"/>
    <w:basedOn w:val="5"/>
    <w:next w:val="1"/>
    <w:qFormat/>
    <w:uiPriority w:val="0"/>
    <w:pPr>
      <w:numPr>
        <w:ilvl w:val="0"/>
        <w:numId w:val="0"/>
      </w:numPr>
      <w:spacing w:before="260" w:beforeLines="0" w:beforeAutospacing="0" w:after="260" w:afterLines="0" w:afterAutospacing="0" w:line="413" w:lineRule="auto"/>
    </w:pPr>
    <w:rPr>
      <w:rFonts w:ascii="黑体" w:hAnsi="Arial" w:eastAsia="黑体"/>
      <w:b w:val="0"/>
    </w:rPr>
  </w:style>
  <w:style w:type="paragraph" w:customStyle="1" w:styleId="146">
    <w:name w:val="xl70"/>
    <w:basedOn w:val="1"/>
    <w:qFormat/>
    <w:uiPriority w:val="0"/>
    <w:pPr>
      <w:widowControl/>
      <w:spacing w:before="100" w:beforeLines="0" w:beforeAutospacing="1" w:after="100" w:afterLines="0" w:afterAutospacing="1"/>
      <w:jc w:val="left"/>
    </w:pPr>
    <w:rPr>
      <w:rFonts w:ascii="宋体" w:hAnsi="宋体" w:cs="宋体"/>
      <w:kern w:val="0"/>
      <w:szCs w:val="24"/>
    </w:rPr>
  </w:style>
  <w:style w:type="paragraph" w:customStyle="1" w:styleId="147">
    <w:name w:val="样式2"/>
    <w:basedOn w:val="4"/>
    <w:link w:val="445"/>
    <w:qFormat/>
    <w:uiPriority w:val="0"/>
    <w:pPr>
      <w:keepNext/>
      <w:keepLines/>
      <w:pageBreakBefore w:val="0"/>
      <w:widowControl w:val="0"/>
      <w:tabs>
        <w:tab w:val="left" w:pos="1130"/>
        <w:tab w:val="clear" w:pos="478"/>
      </w:tabs>
      <w:autoSpaceDE/>
      <w:autoSpaceDN/>
      <w:spacing w:before="340" w:after="330" w:line="578" w:lineRule="auto"/>
      <w:ind w:left="1130" w:hanging="420"/>
      <w:jc w:val="both"/>
    </w:pPr>
    <w:rPr>
      <w:rFonts w:ascii="黑体" w:eastAsia="黑体"/>
      <w:b/>
      <w:bCs/>
      <w:color w:val="auto"/>
      <w:kern w:val="44"/>
      <w:sz w:val="32"/>
      <w:szCs w:val="32"/>
    </w:rPr>
  </w:style>
  <w:style w:type="paragraph" w:customStyle="1" w:styleId="148">
    <w:name w:val="flType"/>
    <w:basedOn w:val="1"/>
    <w:qFormat/>
    <w:uiPriority w:val="0"/>
    <w:pPr>
      <w:adjustRightInd w:val="0"/>
      <w:spacing w:before="560" w:beforeLines="0" w:after="120" w:afterLines="0" w:line="360" w:lineRule="auto"/>
      <w:jc w:val="center"/>
      <w:textAlignment w:val="baseline"/>
    </w:pPr>
    <w:rPr>
      <w:rFonts w:ascii="Arial" w:eastAsia="黑体"/>
      <w:kern w:val="0"/>
      <w:sz w:val="28"/>
    </w:rPr>
  </w:style>
  <w:style w:type="paragraph" w:customStyle="1" w:styleId="149">
    <w:name w:val="正文文本样式"/>
    <w:link w:val="524"/>
    <w:qFormat/>
    <w:uiPriority w:val="0"/>
    <w:pPr>
      <w:spacing w:line="360" w:lineRule="auto"/>
      <w:ind w:firstLine="200" w:firstLineChars="200"/>
    </w:pPr>
    <w:rPr>
      <w:rFonts w:ascii="Arial" w:hAnsi="Arial" w:eastAsia="宋体" w:cs="Times New Roman"/>
      <w:kern w:val="2"/>
      <w:sz w:val="24"/>
      <w:szCs w:val="22"/>
      <w:lang w:val="en-US" w:eastAsia="zh-CN" w:bidi="ar-SA"/>
    </w:rPr>
  </w:style>
  <w:style w:type="paragraph" w:customStyle="1" w:styleId="150">
    <w:name w:val="xl33"/>
    <w:basedOn w:val="1"/>
    <w:qFormat/>
    <w:uiPriority w:val="0"/>
    <w:pPr>
      <w:widowControl/>
      <w:spacing w:before="100" w:beforeLines="0" w:beforeAutospacing="1" w:after="100" w:afterLines="0" w:afterAutospacing="1"/>
      <w:jc w:val="left"/>
    </w:pPr>
    <w:rPr>
      <w:rFonts w:ascii="宋体" w:hAnsi="宋体"/>
      <w:kern w:val="0"/>
      <w:szCs w:val="24"/>
    </w:rPr>
  </w:style>
  <w:style w:type="paragraph" w:customStyle="1" w:styleId="151">
    <w:name w:val="标题4——4"/>
    <w:basedOn w:val="7"/>
    <w:next w:val="1"/>
    <w:qFormat/>
    <w:uiPriority w:val="0"/>
    <w:pPr>
      <w:tabs>
        <w:tab w:val="clear" w:pos="1198"/>
      </w:tabs>
      <w:spacing w:beforeLines="50"/>
      <w:ind w:left="0" w:right="2" w:firstLine="0"/>
    </w:pPr>
    <w:rPr>
      <w:rFonts w:ascii="Arial" w:hAnsi="Arial" w:eastAsia="楷体_GB2312"/>
      <w:b w:val="0"/>
      <w:szCs w:val="30"/>
      <w:lang w:val="en-US" w:eastAsia="zh-CN"/>
    </w:rPr>
  </w:style>
  <w:style w:type="paragraph" w:customStyle="1" w:styleId="152">
    <w:name w:val="标题6"/>
    <w:basedOn w:val="1"/>
    <w:next w:val="4"/>
    <w:qFormat/>
    <w:uiPriority w:val="0"/>
    <w:pPr>
      <w:widowControl/>
      <w:snapToGrid w:val="0"/>
      <w:spacing w:before="156" w:beforeLines="50" w:beforeAutospacing="0" w:after="156" w:afterLines="50" w:afterAutospacing="0" w:line="520" w:lineRule="atLeast"/>
      <w:ind w:firstLine="200" w:firstLineChars="200"/>
    </w:pPr>
  </w:style>
  <w:style w:type="paragraph" w:customStyle="1" w:styleId="153">
    <w:name w:val="xl24"/>
    <w:basedOn w:val="1"/>
    <w:qFormat/>
    <w:uiPriority w:val="0"/>
    <w:pPr>
      <w:widowControl/>
      <w:pBdr>
        <w:top w:val="single" w:color="auto" w:sz="6" w:space="0"/>
        <w:left w:val="single" w:color="auto" w:sz="6" w:space="0"/>
        <w:bottom w:val="single" w:color="auto" w:sz="6" w:space="0"/>
        <w:right w:val="single" w:color="auto" w:sz="6" w:space="0"/>
      </w:pBdr>
      <w:adjustRightInd w:val="0"/>
      <w:spacing w:before="100" w:beforeLines="0" w:after="100" w:afterLines="0"/>
      <w:jc w:val="center"/>
      <w:textAlignment w:val="center"/>
    </w:pPr>
    <w:rPr>
      <w:rFonts w:ascii="Arial Unicode MS" w:hAnsi="Arial Unicode MS"/>
      <w:b/>
      <w:color w:val="000000"/>
      <w:kern w:val="0"/>
      <w:sz w:val="20"/>
    </w:rPr>
  </w:style>
  <w:style w:type="paragraph" w:customStyle="1" w:styleId="154">
    <w:name w:val="此正文"/>
    <w:basedOn w:val="1"/>
    <w:next w:val="1"/>
    <w:qFormat/>
    <w:uiPriority w:val="0"/>
    <w:pPr>
      <w:widowControl/>
      <w:spacing w:line="360" w:lineRule="auto"/>
      <w:ind w:firstLine="480"/>
    </w:pPr>
    <w:rPr>
      <w:color w:val="000000"/>
    </w:rPr>
  </w:style>
  <w:style w:type="paragraph" w:customStyle="1" w:styleId="155">
    <w:name w:val="样式 正文文本缩进 2 + Century Gothic 四号 行距: 多倍行距 1.75 字行"/>
    <w:basedOn w:val="1"/>
    <w:qFormat/>
    <w:uiPriority w:val="0"/>
    <w:pPr>
      <w:adjustRightInd w:val="0"/>
      <w:snapToGrid w:val="0"/>
      <w:spacing w:line="396" w:lineRule="auto"/>
      <w:ind w:firstLine="207" w:firstLineChars="207"/>
    </w:pPr>
    <w:rPr>
      <w:rFonts w:ascii="Century Gothic"/>
      <w:sz w:val="28"/>
    </w:rPr>
  </w:style>
  <w:style w:type="paragraph" w:customStyle="1" w:styleId="156">
    <w:name w:val="标题 2-2"/>
    <w:basedOn w:val="5"/>
    <w:qFormat/>
    <w:uiPriority w:val="0"/>
    <w:pPr>
      <w:snapToGrid w:val="0"/>
      <w:spacing w:after="156" w:afterLines="50" w:line="360" w:lineRule="auto"/>
    </w:pPr>
    <w:rPr>
      <w:rFonts w:ascii="仿宋_GB2312" w:hAnsi="Times New Roman" w:eastAsia="仿宋_GB2312" w:cs="宋体"/>
      <w:i/>
      <w:lang w:eastAsia="zh-CN"/>
    </w:rPr>
  </w:style>
  <w:style w:type="paragraph" w:customStyle="1" w:styleId="157">
    <w:name w:val="font5"/>
    <w:basedOn w:val="1"/>
    <w:qFormat/>
    <w:uiPriority w:val="0"/>
    <w:pPr>
      <w:widowControl/>
      <w:adjustRightInd w:val="0"/>
      <w:spacing w:before="100" w:beforeLines="0" w:after="100" w:afterLines="0"/>
      <w:jc w:val="left"/>
      <w:textAlignment w:val="baseline"/>
    </w:pPr>
    <w:rPr>
      <w:rFonts w:ascii="宋体" w:hAnsi="宋体"/>
      <w:color w:val="000000"/>
      <w:kern w:val="0"/>
      <w:sz w:val="21"/>
    </w:rPr>
  </w:style>
  <w:style w:type="paragraph" w:customStyle="1" w:styleId="158">
    <w:name w:val="IBM 正文"/>
    <w:basedOn w:val="1"/>
    <w:qFormat/>
    <w:uiPriority w:val="0"/>
    <w:pPr>
      <w:spacing w:line="400" w:lineRule="exact"/>
    </w:pPr>
    <w:rPr>
      <w:spacing w:val="20"/>
    </w:rPr>
  </w:style>
  <w:style w:type="paragraph" w:customStyle="1" w:styleId="159">
    <w:name w:val="xl80"/>
    <w:basedOn w:val="1"/>
    <w:qFormat/>
    <w:uiPriority w:val="0"/>
    <w:pPr>
      <w:widowControl/>
      <w:shd w:val="clear" w:color="auto" w:fill="CCFFCC"/>
      <w:spacing w:before="100" w:beforeLines="0" w:beforeAutospacing="1" w:after="100" w:afterLines="0" w:afterAutospacing="1"/>
      <w:jc w:val="left"/>
    </w:pPr>
    <w:rPr>
      <w:rFonts w:ascii="Arial" w:hAnsi="Arial" w:cs="Arial"/>
      <w:color w:val="000000"/>
      <w:kern w:val="0"/>
      <w:szCs w:val="24"/>
    </w:rPr>
  </w:style>
  <w:style w:type="paragraph" w:customStyle="1" w:styleId="160">
    <w:name w:val="页眉与页脚"/>
    <w:qFormat/>
    <w:uiPriority w:val="0"/>
    <w:pPr>
      <w:tabs>
        <w:tab w:val="right" w:pos="9020"/>
      </w:tabs>
    </w:pPr>
    <w:rPr>
      <w:rFonts w:ascii="Helvetica Neue" w:hAnsi="Helvetica Neue" w:eastAsia="Arial Unicode MS" w:cs="Arial Unicode MS"/>
      <w:color w:val="000000"/>
      <w:sz w:val="24"/>
      <w:szCs w:val="24"/>
      <w:lang w:val="en-US" w:eastAsia="zh-CN" w:bidi="ar-SA"/>
    </w:rPr>
  </w:style>
  <w:style w:type="paragraph" w:customStyle="1" w:styleId="161">
    <w:name w:val="xl78"/>
    <w:basedOn w:val="1"/>
    <w:qFormat/>
    <w:uiPriority w:val="0"/>
    <w:pPr>
      <w:widowControl/>
      <w:shd w:val="clear" w:color="auto" w:fill="99CCFF"/>
      <w:spacing w:before="100" w:beforeLines="0" w:beforeAutospacing="1" w:after="100" w:afterLines="0" w:afterAutospacing="1"/>
      <w:jc w:val="center"/>
    </w:pPr>
    <w:rPr>
      <w:rFonts w:ascii="Arial" w:hAnsi="Arial" w:cs="Arial"/>
      <w:color w:val="000000"/>
      <w:kern w:val="0"/>
      <w:szCs w:val="24"/>
    </w:rPr>
  </w:style>
  <w:style w:type="paragraph" w:customStyle="1" w:styleId="162">
    <w:name w:val="标准正文"/>
    <w:basedOn w:val="1"/>
    <w:next w:val="1"/>
    <w:qFormat/>
    <w:uiPriority w:val="0"/>
    <w:pPr>
      <w:widowControl/>
      <w:spacing w:after="50" w:afterLines="0" w:afterAutospacing="0"/>
      <w:ind w:firstLine="200"/>
    </w:pPr>
    <w:rPr>
      <w:color w:val="000000"/>
    </w:rPr>
  </w:style>
  <w:style w:type="paragraph" w:customStyle="1" w:styleId="163">
    <w:name w:val="超链接1"/>
    <w:basedOn w:val="1"/>
    <w:next w:val="1"/>
    <w:qFormat/>
    <w:uiPriority w:val="0"/>
    <w:pPr>
      <w:widowControl/>
    </w:pPr>
    <w:rPr>
      <w:color w:val="0000FF"/>
      <w:sz w:val="21"/>
      <w:u w:val="single" w:color="000000"/>
    </w:rPr>
  </w:style>
  <w:style w:type="paragraph" w:customStyle="1" w:styleId="164">
    <w:name w:val="ÕýÎÄ"/>
    <w:qFormat/>
    <w:uiPriority w:val="0"/>
    <w:pPr>
      <w:widowControl w:val="0"/>
      <w:overflowPunct w:val="0"/>
      <w:autoSpaceDE w:val="0"/>
      <w:autoSpaceDN w:val="0"/>
      <w:adjustRightInd w:val="0"/>
      <w:spacing w:line="351" w:lineRule="atLeast"/>
      <w:ind w:firstLine="419"/>
      <w:jc w:val="both"/>
      <w:textAlignment w:val="baseline"/>
    </w:pPr>
    <w:rPr>
      <w:rFonts w:ascii="Times New Roman" w:hAnsi="Times New Roman" w:eastAsia="宋体" w:cs="Times New Roman"/>
      <w:color w:val="000000"/>
      <w:sz w:val="21"/>
      <w:lang w:val="en-US" w:eastAsia="zh-CN" w:bidi="ar-SA"/>
    </w:rPr>
  </w:style>
  <w:style w:type="paragraph" w:customStyle="1" w:styleId="165">
    <w:name w:val="font23"/>
    <w:basedOn w:val="1"/>
    <w:qFormat/>
    <w:uiPriority w:val="0"/>
    <w:pPr>
      <w:widowControl/>
      <w:spacing w:before="100" w:beforeLines="0" w:beforeAutospacing="1" w:after="100" w:afterLines="0" w:afterAutospacing="1"/>
      <w:jc w:val="left"/>
    </w:pPr>
    <w:rPr>
      <w:rFonts w:ascii="宋体" w:hAnsi="宋体" w:cs="宋体"/>
      <w:color w:val="000000"/>
      <w:kern w:val="0"/>
      <w:szCs w:val="24"/>
    </w:rPr>
  </w:style>
  <w:style w:type="paragraph" w:customStyle="1" w:styleId="166">
    <w:name w:val="正文11"/>
    <w:basedOn w:val="1"/>
    <w:qFormat/>
    <w:uiPriority w:val="0"/>
    <w:pPr>
      <w:adjustRightInd w:val="0"/>
      <w:spacing w:before="80" w:after="80" w:line="312" w:lineRule="atLeast"/>
      <w:ind w:firstLine="425"/>
    </w:pPr>
    <w:rPr>
      <w:kern w:val="0"/>
      <w:sz w:val="21"/>
    </w:rPr>
  </w:style>
  <w:style w:type="paragraph" w:customStyle="1" w:styleId="167">
    <w:name w:val="默认段落字体 Para Char Char Char Char Char Char Char Char Char1 Char Char Char Char"/>
    <w:basedOn w:val="1"/>
    <w:qFormat/>
    <w:uiPriority w:val="0"/>
    <w:rPr>
      <w:rFonts w:ascii="Tahoma" w:hAnsi="Tahoma"/>
    </w:rPr>
  </w:style>
  <w:style w:type="paragraph" w:customStyle="1" w:styleId="168">
    <w:name w:val="xl57"/>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b/>
      <w:bCs/>
      <w:kern w:val="0"/>
      <w:sz w:val="20"/>
    </w:rPr>
  </w:style>
  <w:style w:type="paragraph" w:customStyle="1" w:styleId="169">
    <w:name w:val="普通表格2"/>
    <w:basedOn w:val="1"/>
    <w:next w:val="1"/>
    <w:qFormat/>
    <w:uiPriority w:val="0"/>
    <w:pPr>
      <w:widowControl/>
      <w:jc w:val="left"/>
    </w:pPr>
    <w:rPr>
      <w:color w:val="000000"/>
      <w:kern w:val="0"/>
    </w:rPr>
  </w:style>
  <w:style w:type="paragraph" w:customStyle="1" w:styleId="170">
    <w:name w:val="章节标题5"/>
    <w:basedOn w:val="1"/>
    <w:qFormat/>
    <w:uiPriority w:val="0"/>
    <w:pPr>
      <w:keepNext/>
      <w:keepLines/>
      <w:numPr>
        <w:ilvl w:val="4"/>
        <w:numId w:val="3"/>
      </w:numPr>
      <w:spacing w:before="50" w:beforeLines="50" w:after="50" w:afterLines="50" w:line="377" w:lineRule="auto"/>
      <w:outlineLvl w:val="4"/>
    </w:pPr>
    <w:rPr>
      <w:b/>
      <w:bCs/>
      <w:szCs w:val="24"/>
    </w:rPr>
  </w:style>
  <w:style w:type="paragraph" w:customStyle="1" w:styleId="171">
    <w:name w:val="WPSOffice手动目录 1"/>
    <w:qFormat/>
    <w:uiPriority w:val="0"/>
    <w:rPr>
      <w:rFonts w:ascii="Times New Roman" w:hAnsi="Times New Roman" w:eastAsia="宋体" w:cs="Times New Roman"/>
      <w:lang w:val="en-US" w:eastAsia="zh-CN" w:bidi="ar-SA"/>
    </w:rPr>
  </w:style>
  <w:style w:type="paragraph" w:customStyle="1" w:styleId="172">
    <w:name w:val="xl40"/>
    <w:basedOn w:val="1"/>
    <w:qFormat/>
    <w:uiPriority w:val="0"/>
    <w:pPr>
      <w:widowControl/>
      <w:pBdr>
        <w:top w:val="single" w:color="auto" w:sz="4" w:space="0"/>
        <w:left w:val="single" w:color="auto" w:sz="4" w:space="0"/>
        <w:bottom w:val="single" w:color="auto" w:sz="4" w:space="0"/>
      </w:pBdr>
      <w:spacing w:before="100" w:beforeAutospacing="1" w:after="100" w:afterAutospacing="1"/>
      <w:jc w:val="right"/>
    </w:pPr>
    <w:rPr>
      <w:rFonts w:ascii="宋体" w:hAnsi="宋体"/>
      <w:b/>
      <w:bCs/>
      <w:kern w:val="0"/>
      <w:sz w:val="20"/>
    </w:rPr>
  </w:style>
  <w:style w:type="paragraph" w:customStyle="1" w:styleId="173">
    <w:name w:val="xl5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kern w:val="0"/>
      <w:sz w:val="20"/>
    </w:rPr>
  </w:style>
  <w:style w:type="paragraph" w:customStyle="1" w:styleId="174">
    <w:name w:val="font18"/>
    <w:basedOn w:val="1"/>
    <w:qFormat/>
    <w:uiPriority w:val="0"/>
    <w:pPr>
      <w:widowControl/>
      <w:spacing w:before="100" w:beforeLines="0" w:beforeAutospacing="1" w:after="100" w:afterLines="0" w:afterAutospacing="1"/>
      <w:jc w:val="left"/>
    </w:pPr>
    <w:rPr>
      <w:rFonts w:ascii="宋体" w:hAnsi="宋体" w:cs="宋体"/>
      <w:color w:val="000000"/>
      <w:kern w:val="0"/>
      <w:szCs w:val="24"/>
    </w:rPr>
  </w:style>
  <w:style w:type="paragraph" w:customStyle="1" w:styleId="175">
    <w:name w:val="文字缩进 2"/>
    <w:basedOn w:val="34"/>
    <w:qFormat/>
    <w:uiPriority w:val="0"/>
    <w:pPr>
      <w:autoSpaceDE/>
      <w:autoSpaceDN/>
      <w:spacing w:before="100" w:beforeLines="0" w:beforeAutospacing="1" w:after="100" w:afterLines="0" w:afterAutospacing="1" w:line="400" w:lineRule="atLeast"/>
      <w:ind w:left="851"/>
      <w:jc w:val="both"/>
      <w:textAlignment w:val="baseline"/>
    </w:pPr>
    <w:rPr>
      <w:rFonts w:ascii="Times New Roman"/>
      <w:color w:val="auto"/>
    </w:rPr>
  </w:style>
  <w:style w:type="paragraph" w:customStyle="1" w:styleId="176">
    <w:name w:val="小标题"/>
    <w:basedOn w:val="1"/>
    <w:next w:val="1"/>
    <w:qFormat/>
    <w:uiPriority w:val="0"/>
    <w:pPr>
      <w:spacing w:line="360" w:lineRule="auto"/>
      <w:ind w:firstLine="200" w:firstLineChars="200"/>
      <w:jc w:val="left"/>
    </w:pPr>
    <w:rPr>
      <w:rFonts w:ascii="宋体" w:hAnsi="宋体"/>
      <w:b/>
      <w:bCs/>
      <w:sz w:val="21"/>
      <w:szCs w:val="24"/>
    </w:rPr>
  </w:style>
  <w:style w:type="paragraph" w:customStyle="1" w:styleId="177">
    <w:name w:val="图号"/>
    <w:basedOn w:val="1"/>
    <w:qFormat/>
    <w:uiPriority w:val="0"/>
    <w:pPr>
      <w:widowControl/>
      <w:overflowPunct w:val="0"/>
      <w:autoSpaceDE w:val="0"/>
      <w:autoSpaceDN w:val="0"/>
      <w:adjustRightInd w:val="0"/>
      <w:snapToGrid w:val="0"/>
      <w:jc w:val="right"/>
    </w:pPr>
    <w:rPr>
      <w:rFonts w:hint="eastAsia" w:ascii="宋体"/>
      <w:kern w:val="0"/>
      <w:sz w:val="21"/>
    </w:rPr>
  </w:style>
  <w:style w:type="paragraph" w:customStyle="1" w:styleId="178">
    <w:name w:val="表格1"/>
    <w:basedOn w:val="1"/>
    <w:qFormat/>
    <w:uiPriority w:val="0"/>
    <w:pPr>
      <w:widowControl/>
      <w:topLinePunct/>
      <w:spacing w:line="360" w:lineRule="auto"/>
    </w:pPr>
    <w:rPr>
      <w:rFonts w:ascii="楷体_GB2312" w:eastAsia="楷体_GB2312"/>
      <w:kern w:val="0"/>
      <w:sz w:val="21"/>
      <w:szCs w:val="21"/>
    </w:rPr>
  </w:style>
  <w:style w:type="paragraph" w:customStyle="1" w:styleId="179">
    <w:name w:val="GP正文(无首行缩进)"/>
    <w:qFormat/>
    <w:uiPriority w:val="99"/>
    <w:pPr>
      <w:widowControl w:val="0"/>
      <w:spacing w:line="360" w:lineRule="auto"/>
    </w:pPr>
    <w:rPr>
      <w:rFonts w:ascii="Times New Roman" w:hAnsi="Times New Roman" w:eastAsia="宋体" w:cs="Times New Roman"/>
      <w:color w:val="000000"/>
      <w:kern w:val="1"/>
      <w:sz w:val="24"/>
      <w:szCs w:val="21"/>
      <w:lang w:val="en-US" w:eastAsia="zh-CN" w:bidi="ar-SA"/>
    </w:rPr>
  </w:style>
  <w:style w:type="paragraph" w:customStyle="1" w:styleId="180">
    <w:name w:val="投标文件3"/>
    <w:basedOn w:val="1"/>
    <w:qFormat/>
    <w:uiPriority w:val="0"/>
    <w:pPr>
      <w:widowControl/>
      <w:spacing w:line="360" w:lineRule="auto"/>
    </w:pPr>
    <w:rPr>
      <w:rFonts w:ascii="宋体" w:hAnsi="Courier New" w:eastAsia="黑体"/>
      <w:b/>
      <w:sz w:val="30"/>
    </w:rPr>
  </w:style>
  <w:style w:type="paragraph" w:customStyle="1" w:styleId="181">
    <w:name w:val="Char Char Char Char Char Char Char Char Char Char"/>
    <w:basedOn w:val="27"/>
    <w:qFormat/>
    <w:uiPriority w:val="0"/>
    <w:rPr>
      <w:rFonts w:ascii="Tahoma" w:hAnsi="Tahoma"/>
    </w:rPr>
  </w:style>
  <w:style w:type="paragraph" w:customStyle="1" w:styleId="182">
    <w:name w:val="xl112"/>
    <w:basedOn w:val="1"/>
    <w:qFormat/>
    <w:uiPriority w:val="0"/>
    <w:pPr>
      <w:widowControl/>
      <w:spacing w:before="100" w:beforeLines="0" w:beforeAutospacing="1" w:after="100" w:afterLines="0" w:afterAutospacing="1"/>
      <w:jc w:val="left"/>
    </w:pPr>
    <w:rPr>
      <w:rFonts w:ascii="宋体" w:hAnsi="宋体" w:cs="宋体"/>
      <w:color w:val="000000"/>
      <w:kern w:val="0"/>
      <w:szCs w:val="24"/>
    </w:rPr>
  </w:style>
  <w:style w:type="paragraph" w:customStyle="1" w:styleId="183">
    <w:name w:val="xl99"/>
    <w:basedOn w:val="1"/>
    <w:qFormat/>
    <w:uiPriority w:val="0"/>
    <w:pPr>
      <w:widowControl/>
      <w:spacing w:before="100" w:beforeLines="0" w:beforeAutospacing="1" w:after="100" w:afterLines="0" w:afterAutospacing="1"/>
      <w:jc w:val="left"/>
    </w:pPr>
    <w:rPr>
      <w:rFonts w:ascii="Arial" w:hAnsi="Arial" w:cs="Arial"/>
      <w:color w:val="000000"/>
      <w:kern w:val="0"/>
      <w:szCs w:val="24"/>
    </w:rPr>
  </w:style>
  <w:style w:type="paragraph" w:customStyle="1" w:styleId="184">
    <w:name w:val="_Style 179"/>
    <w:basedOn w:val="4"/>
    <w:next w:val="1"/>
    <w:qFormat/>
    <w:uiPriority w:val="0"/>
    <w:pPr>
      <w:keepNext/>
      <w:keepLines/>
      <w:pageBreakBefore w:val="0"/>
      <w:tabs>
        <w:tab w:val="clear" w:pos="478"/>
      </w:tabs>
      <w:autoSpaceDE/>
      <w:autoSpaceDN/>
      <w:spacing w:before="480" w:beforeLines="0" w:after="0" w:afterLines="0" w:line="276" w:lineRule="auto"/>
      <w:ind w:left="0" w:firstLine="0"/>
      <w:jc w:val="left"/>
      <w:outlineLvl w:val="9"/>
    </w:pPr>
    <w:rPr>
      <w:rFonts w:ascii="Cambria" w:hAnsi="Cambria"/>
      <w:b/>
      <w:bCs/>
      <w:color w:val="365F91"/>
      <w:sz w:val="28"/>
      <w:szCs w:val="28"/>
      <w:lang w:val="en-US" w:eastAsia="zh-CN"/>
    </w:rPr>
  </w:style>
  <w:style w:type="paragraph" w:customStyle="1" w:styleId="185">
    <w:name w:val="样式 仿宋_GB2312 四号 黑色 行距: 1.5 倍行距"/>
    <w:basedOn w:val="1"/>
    <w:qFormat/>
    <w:uiPriority w:val="0"/>
    <w:pPr>
      <w:suppressAutoHyphens/>
      <w:spacing w:before="156" w:line="360" w:lineRule="auto"/>
      <w:ind w:firstLine="560" w:firstLineChars="200"/>
      <w:jc w:val="left"/>
    </w:pPr>
    <w:rPr>
      <w:rFonts w:ascii="仿宋_GB2312" w:eastAsia="仿宋_GB2312"/>
      <w:color w:val="000000"/>
      <w:kern w:val="1"/>
      <w:sz w:val="28"/>
      <w:lang w:eastAsia="ar-SA"/>
    </w:rPr>
  </w:style>
  <w:style w:type="paragraph" w:customStyle="1" w:styleId="186">
    <w:name w:val="2 Char Char Char Char Char Char Char"/>
    <w:basedOn w:val="1"/>
    <w:qFormat/>
    <w:uiPriority w:val="0"/>
    <w:rPr>
      <w:rFonts w:ascii="Tahoma" w:hAnsi="Tahoma"/>
    </w:rPr>
  </w:style>
  <w:style w:type="paragraph" w:customStyle="1" w:styleId="187">
    <w:name w:val="--规划正文"/>
    <w:basedOn w:val="1"/>
    <w:qFormat/>
    <w:uiPriority w:val="0"/>
    <w:pPr>
      <w:spacing w:line="360" w:lineRule="auto"/>
      <w:ind w:firstLine="200" w:firstLineChars="200"/>
    </w:pPr>
    <w:rPr>
      <w:sz w:val="21"/>
      <w:szCs w:val="20"/>
    </w:rPr>
  </w:style>
  <w:style w:type="paragraph" w:customStyle="1" w:styleId="188">
    <w:name w:val="正文_0_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89">
    <w:name w:val="方点"/>
    <w:basedOn w:val="1"/>
    <w:qFormat/>
    <w:uiPriority w:val="0"/>
    <w:pPr>
      <w:spacing w:before="156" w:beforeLines="50"/>
    </w:pPr>
    <w:rPr>
      <w:b/>
      <w:bCs/>
    </w:rPr>
  </w:style>
  <w:style w:type="paragraph" w:customStyle="1" w:styleId="190">
    <w:name w:val="xl91"/>
    <w:basedOn w:val="1"/>
    <w:qFormat/>
    <w:uiPriority w:val="0"/>
    <w:pPr>
      <w:widowControl/>
      <w:spacing w:before="100" w:beforeLines="0" w:beforeAutospacing="1" w:after="100" w:afterLines="0" w:afterAutospacing="1"/>
      <w:jc w:val="center"/>
    </w:pPr>
    <w:rPr>
      <w:rFonts w:ascii="Arial" w:hAnsi="Arial" w:cs="Arial"/>
      <w:kern w:val="0"/>
      <w:szCs w:val="24"/>
    </w:rPr>
  </w:style>
  <w:style w:type="paragraph" w:customStyle="1" w:styleId="191">
    <w:name w:val="抬头"/>
    <w:basedOn w:val="1"/>
    <w:qFormat/>
    <w:uiPriority w:val="0"/>
    <w:pPr>
      <w:widowControl/>
      <w:topLinePunct/>
      <w:ind w:firstLine="600" w:firstLineChars="200"/>
      <w:jc w:val="center"/>
    </w:pPr>
    <w:rPr>
      <w:kern w:val="0"/>
      <w:sz w:val="30"/>
      <w:szCs w:val="30"/>
    </w:rPr>
  </w:style>
  <w:style w:type="paragraph" w:customStyle="1" w:styleId="192">
    <w:name w:val="desp"/>
    <w:basedOn w:val="1"/>
    <w:qFormat/>
    <w:uiPriority w:val="0"/>
    <w:pPr>
      <w:widowControl/>
      <w:spacing w:before="100" w:beforeLines="0" w:beforeAutospacing="1" w:after="100" w:afterLines="0" w:afterAutospacing="1" w:line="360" w:lineRule="auto"/>
      <w:ind w:firstLine="200" w:firstLineChars="200"/>
      <w:jc w:val="left"/>
    </w:pPr>
    <w:rPr>
      <w:rFonts w:ascii="Arial Unicode MS" w:hAnsi="Arial Unicode MS" w:eastAsia="楷体_GB2312" w:cs="Arial"/>
      <w:color w:val="3E4A59"/>
      <w:kern w:val="0"/>
      <w:szCs w:val="24"/>
    </w:rPr>
  </w:style>
  <w:style w:type="paragraph" w:customStyle="1" w:styleId="193">
    <w:name w:val="默认段落字体 Para Char Char Char Char"/>
    <w:basedOn w:val="1"/>
    <w:qFormat/>
    <w:uiPriority w:val="0"/>
    <w:pPr>
      <w:spacing w:line="240" w:lineRule="atLeast"/>
      <w:ind w:left="420" w:firstLine="420"/>
    </w:pPr>
    <w:rPr>
      <w:kern w:val="0"/>
      <w:sz w:val="21"/>
      <w:szCs w:val="21"/>
    </w:rPr>
  </w:style>
  <w:style w:type="paragraph" w:customStyle="1" w:styleId="194">
    <w:name w:val="五级条标题"/>
    <w:basedOn w:val="195"/>
    <w:next w:val="121"/>
    <w:qFormat/>
    <w:uiPriority w:val="0"/>
    <w:pPr>
      <w:numPr>
        <w:ilvl w:val="6"/>
        <w:numId w:val="7"/>
      </w:numPr>
      <w:outlineLvl w:val="6"/>
    </w:pPr>
  </w:style>
  <w:style w:type="paragraph" w:customStyle="1" w:styleId="195">
    <w:name w:val="四级条标题"/>
    <w:basedOn w:val="196"/>
    <w:next w:val="121"/>
    <w:qFormat/>
    <w:uiPriority w:val="0"/>
    <w:pPr>
      <w:numPr>
        <w:ilvl w:val="5"/>
        <w:numId w:val="7"/>
      </w:numPr>
      <w:outlineLvl w:val="5"/>
    </w:pPr>
  </w:style>
  <w:style w:type="paragraph" w:customStyle="1" w:styleId="196">
    <w:name w:val="三级条标题"/>
    <w:basedOn w:val="197"/>
    <w:next w:val="121"/>
    <w:qFormat/>
    <w:uiPriority w:val="0"/>
    <w:pPr>
      <w:numPr>
        <w:ilvl w:val="4"/>
        <w:numId w:val="7"/>
      </w:numPr>
      <w:outlineLvl w:val="4"/>
    </w:pPr>
  </w:style>
  <w:style w:type="paragraph" w:customStyle="1" w:styleId="197">
    <w:name w:val="二级条标题"/>
    <w:basedOn w:val="198"/>
    <w:next w:val="121"/>
    <w:qFormat/>
    <w:uiPriority w:val="0"/>
    <w:pPr>
      <w:numPr>
        <w:ilvl w:val="3"/>
        <w:numId w:val="7"/>
      </w:numPr>
      <w:outlineLvl w:val="3"/>
    </w:pPr>
  </w:style>
  <w:style w:type="paragraph" w:customStyle="1" w:styleId="198">
    <w:name w:val="一级条标题"/>
    <w:next w:val="121"/>
    <w:qFormat/>
    <w:uiPriority w:val="0"/>
    <w:pPr>
      <w:numPr>
        <w:ilvl w:val="2"/>
        <w:numId w:val="7"/>
      </w:numPr>
      <w:outlineLvl w:val="2"/>
    </w:pPr>
    <w:rPr>
      <w:rFonts w:ascii="Times New Roman" w:hAnsi="Times New Roman" w:eastAsia="黑体" w:cs="Times New Roman"/>
      <w:sz w:val="21"/>
      <w:lang w:val="en-US" w:eastAsia="zh-CN" w:bidi="ar-SA"/>
    </w:rPr>
  </w:style>
  <w:style w:type="paragraph" w:customStyle="1" w:styleId="199">
    <w:name w:val="xl6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kern w:val="0"/>
      <w:sz w:val="20"/>
    </w:rPr>
  </w:style>
  <w:style w:type="paragraph" w:customStyle="1" w:styleId="200">
    <w:name w:val="标题3定义"/>
    <w:basedOn w:val="1"/>
    <w:qFormat/>
    <w:uiPriority w:val="0"/>
    <w:pPr>
      <w:tabs>
        <w:tab w:val="left" w:pos="360"/>
      </w:tabs>
      <w:ind w:left="360" w:hanging="360"/>
    </w:pPr>
    <w:rPr>
      <w:rFonts w:ascii="Calibri" w:hAnsi="Calibri"/>
      <w:sz w:val="21"/>
      <w:szCs w:val="22"/>
    </w:rPr>
  </w:style>
  <w:style w:type="paragraph" w:customStyle="1" w:styleId="201">
    <w:name w:val="xl41"/>
    <w:basedOn w:val="1"/>
    <w:qFormat/>
    <w:uiPriority w:val="0"/>
    <w:pPr>
      <w:widowControl/>
      <w:pBdr>
        <w:top w:val="single" w:color="auto" w:sz="4" w:space="0"/>
        <w:bottom w:val="single" w:color="auto" w:sz="4" w:space="0"/>
      </w:pBdr>
      <w:spacing w:before="100" w:beforeAutospacing="1" w:after="100" w:afterAutospacing="1"/>
      <w:jc w:val="right"/>
    </w:pPr>
    <w:rPr>
      <w:rFonts w:ascii="宋体" w:hAnsi="宋体"/>
      <w:b/>
      <w:bCs/>
      <w:kern w:val="0"/>
      <w:sz w:val="20"/>
    </w:rPr>
  </w:style>
  <w:style w:type="paragraph" w:customStyle="1" w:styleId="202">
    <w:name w:val="样式 标题 2 + 宋体 小四 段前: 5 磅 段后: 5 磅 行距: 单倍行距"/>
    <w:basedOn w:val="5"/>
    <w:qFormat/>
    <w:uiPriority w:val="0"/>
    <w:pPr>
      <w:tabs>
        <w:tab w:val="left" w:pos="720"/>
        <w:tab w:val="clear" w:pos="358"/>
      </w:tabs>
      <w:adjustRightInd w:val="0"/>
      <w:spacing w:before="100" w:beforeLines="0" w:beforeAutospacing="1" w:after="100" w:afterLines="0" w:afterAutospacing="1" w:line="240" w:lineRule="auto"/>
      <w:ind w:left="0" w:firstLine="0"/>
      <w:jc w:val="left"/>
      <w:textAlignment w:val="baseline"/>
    </w:pPr>
    <w:rPr>
      <w:rFonts w:ascii="宋体" w:hAnsi="宋体"/>
      <w:b w:val="0"/>
      <w:kern w:val="0"/>
      <w:sz w:val="28"/>
    </w:rPr>
  </w:style>
  <w:style w:type="paragraph" w:customStyle="1" w:styleId="203">
    <w:name w:val="Body Text 2"/>
    <w:basedOn w:val="1"/>
    <w:qFormat/>
    <w:uiPriority w:val="0"/>
    <w:pPr>
      <w:adjustRightInd w:val="0"/>
      <w:spacing w:line="300" w:lineRule="auto"/>
      <w:jc w:val="center"/>
    </w:pPr>
    <w:rPr>
      <w:rFonts w:hint="eastAsia" w:ascii="宋体" w:hAnsi="宋体"/>
    </w:rPr>
  </w:style>
  <w:style w:type="paragraph" w:customStyle="1" w:styleId="204">
    <w:name w:val="List Paragraph2"/>
    <w:basedOn w:val="1"/>
    <w:qFormat/>
    <w:uiPriority w:val="0"/>
    <w:pPr>
      <w:ind w:firstLine="420" w:firstLineChars="200"/>
    </w:pPr>
    <w:rPr>
      <w:rFonts w:ascii="Calibri" w:hAnsi="Calibri"/>
      <w:sz w:val="21"/>
      <w:szCs w:val="22"/>
    </w:rPr>
  </w:style>
  <w:style w:type="paragraph" w:customStyle="1" w:styleId="205">
    <w:name w:val="xl109"/>
    <w:basedOn w:val="1"/>
    <w:qFormat/>
    <w:uiPriority w:val="0"/>
    <w:pPr>
      <w:widowControl/>
      <w:spacing w:before="100" w:beforeLines="0" w:beforeAutospacing="1" w:after="100" w:afterLines="0" w:afterAutospacing="1"/>
      <w:jc w:val="center"/>
    </w:pPr>
    <w:rPr>
      <w:rFonts w:ascii="幼圆" w:hAnsi="宋体" w:eastAsia="幼圆" w:cs="宋体"/>
      <w:color w:val="000000"/>
      <w:kern w:val="0"/>
      <w:szCs w:val="24"/>
    </w:rPr>
  </w:style>
  <w:style w:type="paragraph" w:customStyle="1" w:styleId="206">
    <w:name w:val="xl79"/>
    <w:basedOn w:val="1"/>
    <w:qFormat/>
    <w:uiPriority w:val="0"/>
    <w:pPr>
      <w:widowControl/>
      <w:shd w:val="clear" w:color="auto" w:fill="CCFFCC"/>
      <w:spacing w:before="100" w:beforeLines="0" w:beforeAutospacing="1" w:after="100" w:afterLines="0" w:afterAutospacing="1"/>
      <w:jc w:val="left"/>
    </w:pPr>
    <w:rPr>
      <w:rFonts w:ascii="华文细黑" w:hAnsi="华文细黑" w:eastAsia="华文细黑" w:cs="宋体"/>
      <w:b/>
      <w:bCs/>
      <w:color w:val="000000"/>
      <w:kern w:val="0"/>
      <w:szCs w:val="24"/>
    </w:rPr>
  </w:style>
  <w:style w:type="paragraph" w:customStyle="1" w:styleId="207">
    <w:name w:val="xl108"/>
    <w:basedOn w:val="1"/>
    <w:qFormat/>
    <w:uiPriority w:val="0"/>
    <w:pPr>
      <w:widowControl/>
      <w:spacing w:before="100" w:beforeLines="0" w:beforeAutospacing="1" w:after="100" w:afterLines="0" w:afterAutospacing="1"/>
      <w:jc w:val="center"/>
    </w:pPr>
    <w:rPr>
      <w:rFonts w:ascii="Arial" w:hAnsi="Arial" w:cs="Arial"/>
      <w:kern w:val="0"/>
      <w:szCs w:val="24"/>
    </w:rPr>
  </w:style>
  <w:style w:type="paragraph" w:customStyle="1" w:styleId="208">
    <w:name w:val="Heading1"/>
    <w:basedOn w:val="1"/>
    <w:next w:val="1"/>
    <w:qFormat/>
    <w:uiPriority w:val="0"/>
    <w:pPr>
      <w:keepNext/>
      <w:keepLines/>
      <w:spacing w:before="340" w:after="330" w:line="578" w:lineRule="auto"/>
      <w:ind w:left="425" w:hanging="425"/>
    </w:pPr>
    <w:rPr>
      <w:rFonts w:eastAsia="仿宋_GB2312"/>
      <w:b/>
      <w:kern w:val="44"/>
      <w:sz w:val="44"/>
      <w:szCs w:val="20"/>
    </w:rPr>
  </w:style>
  <w:style w:type="paragraph" w:customStyle="1" w:styleId="209">
    <w:name w:val="章标题"/>
    <w:next w:val="121"/>
    <w:qFormat/>
    <w:uiPriority w:val="0"/>
    <w:pPr>
      <w:numPr>
        <w:ilvl w:val="1"/>
        <w:numId w:val="7"/>
      </w:numPr>
      <w:spacing w:before="156" w:beforeLines="50" w:after="156" w:afterLines="50"/>
      <w:jc w:val="both"/>
      <w:outlineLvl w:val="1"/>
    </w:pPr>
    <w:rPr>
      <w:rFonts w:ascii="黑体" w:hAnsi="Times New Roman" w:eastAsia="黑体" w:cs="Times New Roman"/>
      <w:sz w:val="21"/>
      <w:lang w:val="en-US" w:eastAsia="zh-CN" w:bidi="ar-SA"/>
    </w:rPr>
  </w:style>
  <w:style w:type="paragraph" w:customStyle="1" w:styleId="210">
    <w:name w:val="正文文字缩进3"/>
    <w:basedOn w:val="34"/>
    <w:qFormat/>
    <w:uiPriority w:val="0"/>
    <w:pPr>
      <w:autoSpaceDE/>
      <w:autoSpaceDN/>
      <w:spacing w:before="100" w:beforeLines="0" w:beforeAutospacing="1" w:after="100" w:afterLines="0" w:afterAutospacing="1" w:line="400" w:lineRule="atLeast"/>
      <w:ind w:left="600" w:leftChars="600"/>
      <w:jc w:val="both"/>
      <w:textAlignment w:val="baseline"/>
    </w:pPr>
    <w:rPr>
      <w:rFonts w:ascii="Times New Roman"/>
      <w:color w:val="auto"/>
    </w:rPr>
  </w:style>
  <w:style w:type="paragraph" w:customStyle="1" w:styleId="211">
    <w:name w:val="xl61"/>
    <w:basedOn w:val="1"/>
    <w:qFormat/>
    <w:uiPriority w:val="0"/>
    <w:pPr>
      <w:widowControl/>
      <w:pBdr>
        <w:top w:val="single" w:color="auto" w:sz="4" w:space="0"/>
        <w:left w:val="single" w:color="auto" w:sz="4" w:space="0"/>
        <w:right w:val="single" w:color="auto" w:sz="4" w:space="0"/>
      </w:pBdr>
      <w:shd w:val="clear" w:color="auto" w:fill="FFFFFF"/>
      <w:spacing w:before="100" w:beforeAutospacing="1" w:after="100" w:afterAutospacing="1"/>
      <w:jc w:val="center"/>
    </w:pPr>
    <w:rPr>
      <w:rFonts w:ascii="宋体" w:hAnsi="宋体"/>
      <w:b/>
      <w:bCs/>
      <w:kern w:val="0"/>
      <w:sz w:val="20"/>
    </w:rPr>
  </w:style>
  <w:style w:type="paragraph" w:customStyle="1" w:styleId="212">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b/>
      <w:bCs/>
      <w:kern w:val="0"/>
      <w:sz w:val="20"/>
    </w:rPr>
  </w:style>
  <w:style w:type="paragraph" w:customStyle="1" w:styleId="213">
    <w:name w:val="样式1"/>
    <w:basedOn w:val="1"/>
    <w:link w:val="508"/>
    <w:qFormat/>
    <w:uiPriority w:val="0"/>
    <w:pPr>
      <w:jc w:val="center"/>
    </w:pPr>
    <w:rPr>
      <w:rFonts w:ascii="宋体" w:hAnsi="宋体"/>
      <w:b/>
      <w:bCs/>
      <w:sz w:val="44"/>
      <w:szCs w:val="24"/>
    </w:rPr>
  </w:style>
  <w:style w:type="paragraph" w:customStyle="1" w:styleId="214">
    <w:name w:val="List2"/>
    <w:basedOn w:val="1"/>
    <w:qFormat/>
    <w:uiPriority w:val="0"/>
    <w:pPr>
      <w:tabs>
        <w:tab w:val="left" w:pos="643"/>
        <w:tab w:val="left" w:pos="840"/>
      </w:tabs>
      <w:spacing w:line="360" w:lineRule="auto"/>
      <w:ind w:left="643" w:hanging="420"/>
    </w:pPr>
  </w:style>
  <w:style w:type="paragraph" w:customStyle="1" w:styleId="215">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b/>
      <w:bCs/>
      <w:kern w:val="0"/>
      <w:sz w:val="20"/>
    </w:rPr>
  </w:style>
  <w:style w:type="paragraph" w:customStyle="1" w:styleId="216">
    <w:name w:val="正文两字缩进"/>
    <w:basedOn w:val="80"/>
    <w:qFormat/>
    <w:uiPriority w:val="0"/>
    <w:pPr>
      <w:tabs>
        <w:tab w:val="right" w:leader="dot" w:pos="8302"/>
      </w:tabs>
      <w:spacing w:before="156" w:beforeLines="50" w:beforeAutospacing="0" w:after="156" w:afterLines="50" w:afterAutospacing="0" w:line="360" w:lineRule="auto"/>
      <w:ind w:left="0" w:leftChars="0" w:firstLine="480"/>
      <w:jc w:val="left"/>
    </w:pPr>
    <w:rPr>
      <w:rFonts w:ascii="宋体" w:hAnsi="宋体"/>
    </w:rPr>
  </w:style>
  <w:style w:type="paragraph" w:customStyle="1" w:styleId="217">
    <w:name w:val="font0"/>
    <w:basedOn w:val="1"/>
    <w:qFormat/>
    <w:uiPriority w:val="0"/>
    <w:pPr>
      <w:widowControl/>
      <w:spacing w:before="100" w:beforeLines="0" w:beforeAutospacing="1" w:after="100" w:afterLines="0" w:afterAutospacing="1"/>
      <w:jc w:val="left"/>
    </w:pPr>
    <w:rPr>
      <w:rFonts w:ascii="宋体" w:hAnsi="宋体" w:cs="宋体"/>
      <w:kern w:val="0"/>
      <w:szCs w:val="24"/>
    </w:rPr>
  </w:style>
  <w:style w:type="paragraph" w:customStyle="1" w:styleId="218">
    <w:name w:val="文章标题 1"/>
    <w:basedOn w:val="4"/>
    <w:next w:val="1"/>
    <w:qFormat/>
    <w:uiPriority w:val="0"/>
    <w:pPr>
      <w:keepNext/>
      <w:keepLines/>
      <w:widowControl w:val="0"/>
      <w:numPr>
        <w:ilvl w:val="0"/>
        <w:numId w:val="0"/>
      </w:numPr>
      <w:autoSpaceDE/>
      <w:autoSpaceDN/>
      <w:spacing w:before="120" w:beforeLines="0" w:beforeAutospacing="0" w:after="480" w:afterLines="0" w:afterAutospacing="0" w:line="360" w:lineRule="auto"/>
      <w:textAlignment w:val="top"/>
    </w:pPr>
    <w:rPr>
      <w:rFonts w:hint="default" w:ascii="Times New Roman" w:eastAsia="黑体"/>
      <w:color w:val="auto"/>
      <w:kern w:val="2"/>
      <w:sz w:val="44"/>
    </w:rPr>
  </w:style>
  <w:style w:type="paragraph" w:customStyle="1" w:styleId="219">
    <w:name w:val="xl27"/>
    <w:basedOn w:val="1"/>
    <w:qFormat/>
    <w:uiPriority w:val="0"/>
    <w:pPr>
      <w:widowControl/>
      <w:pBdr>
        <w:top w:val="single" w:color="auto" w:sz="6" w:space="0"/>
        <w:left w:val="single" w:color="auto" w:sz="6" w:space="0"/>
        <w:bottom w:val="single" w:color="auto" w:sz="6" w:space="0"/>
        <w:right w:val="single" w:color="auto" w:sz="6" w:space="0"/>
      </w:pBdr>
      <w:adjustRightInd w:val="0"/>
      <w:spacing w:before="100" w:beforeLines="0" w:after="100" w:afterLines="0"/>
      <w:jc w:val="center"/>
      <w:textAlignment w:val="center"/>
    </w:pPr>
    <w:rPr>
      <w:rFonts w:ascii="Arial Unicode MS" w:hAnsi="Arial Unicode MS"/>
      <w:kern w:val="0"/>
      <w:sz w:val="21"/>
    </w:rPr>
  </w:style>
  <w:style w:type="paragraph" w:customStyle="1" w:styleId="220">
    <w:name w:val="Char Char Char Char1"/>
    <w:basedOn w:val="1"/>
    <w:qFormat/>
    <w:uiPriority w:val="0"/>
    <w:rPr>
      <w:rFonts w:ascii="Tahoma" w:hAnsi="Tahoma"/>
    </w:rPr>
  </w:style>
  <w:style w:type="paragraph" w:customStyle="1" w:styleId="221">
    <w:name w:val="xl68"/>
    <w:basedOn w:val="1"/>
    <w:qFormat/>
    <w:uiPriority w:val="0"/>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jc w:val="center"/>
      <w:textAlignment w:val="bottom"/>
    </w:pPr>
    <w:rPr>
      <w:b/>
      <w:bCs/>
      <w:kern w:val="0"/>
      <w:sz w:val="20"/>
    </w:rPr>
  </w:style>
  <w:style w:type="paragraph" w:customStyle="1" w:styleId="222">
    <w:name w:val="xl74"/>
    <w:basedOn w:val="1"/>
    <w:qFormat/>
    <w:uiPriority w:val="0"/>
    <w:pPr>
      <w:widowControl/>
      <w:spacing w:before="100" w:beforeLines="0" w:beforeAutospacing="1" w:after="100" w:afterLines="0" w:afterAutospacing="1"/>
      <w:jc w:val="center"/>
    </w:pPr>
    <w:rPr>
      <w:rFonts w:ascii="幼圆" w:hAnsi="宋体" w:eastAsia="幼圆" w:cs="宋体"/>
      <w:b/>
      <w:bCs/>
      <w:color w:val="000000"/>
      <w:kern w:val="0"/>
      <w:szCs w:val="24"/>
    </w:rPr>
  </w:style>
  <w:style w:type="paragraph" w:customStyle="1" w:styleId="223">
    <w:name w:val="样式29"/>
    <w:basedOn w:val="1"/>
    <w:qFormat/>
    <w:uiPriority w:val="0"/>
    <w:pPr>
      <w:widowControl/>
      <w:spacing w:line="440" w:lineRule="exact"/>
      <w:ind w:firstLine="200" w:firstLineChars="200"/>
      <w:jc w:val="left"/>
    </w:pPr>
    <w:rPr>
      <w:spacing w:val="6"/>
      <w:kern w:val="0"/>
    </w:rPr>
  </w:style>
  <w:style w:type="paragraph" w:customStyle="1" w:styleId="224">
    <w:name w:val="xl85"/>
    <w:basedOn w:val="1"/>
    <w:qFormat/>
    <w:uiPriority w:val="0"/>
    <w:pPr>
      <w:widowControl/>
      <w:shd w:val="clear" w:color="auto" w:fill="C0C0C0"/>
      <w:spacing w:before="100" w:beforeLines="0" w:beforeAutospacing="1" w:after="100" w:afterLines="0" w:afterAutospacing="1"/>
      <w:jc w:val="left"/>
    </w:pPr>
    <w:rPr>
      <w:rFonts w:ascii="Arial" w:hAnsi="Arial" w:cs="Arial"/>
      <w:color w:val="000000"/>
      <w:kern w:val="0"/>
      <w:szCs w:val="24"/>
    </w:rPr>
  </w:style>
  <w:style w:type="paragraph" w:customStyle="1" w:styleId="225">
    <w:name w:val="标书正文:  0.74 厘米"/>
    <w:basedOn w:val="1"/>
    <w:link w:val="482"/>
    <w:qFormat/>
    <w:uiPriority w:val="0"/>
    <w:pPr>
      <w:snapToGrid w:val="0"/>
      <w:spacing w:line="360" w:lineRule="auto"/>
      <w:ind w:firstLine="420"/>
    </w:pPr>
  </w:style>
  <w:style w:type="paragraph" w:customStyle="1" w:styleId="226">
    <w:name w:val="文档正文"/>
    <w:basedOn w:val="1"/>
    <w:qFormat/>
    <w:uiPriority w:val="0"/>
    <w:pPr>
      <w:adjustRightInd w:val="0"/>
      <w:spacing w:line="480" w:lineRule="atLeast"/>
      <w:ind w:firstLine="567" w:firstLineChars="200"/>
    </w:pPr>
    <w:rPr>
      <w:rFonts w:hint="eastAsia" w:ascii="宋体" w:hAnsi="宋体"/>
      <w:kern w:val="0"/>
      <w:sz w:val="28"/>
    </w:rPr>
  </w:style>
  <w:style w:type="paragraph" w:customStyle="1" w:styleId="227">
    <w:name w:val="xl73"/>
    <w:basedOn w:val="1"/>
    <w:qFormat/>
    <w:uiPriority w:val="0"/>
    <w:pPr>
      <w:widowControl/>
      <w:spacing w:before="100" w:beforeLines="0" w:beforeAutospacing="1" w:after="100" w:afterLines="0" w:afterAutospacing="1"/>
      <w:jc w:val="center"/>
    </w:pPr>
    <w:rPr>
      <w:rFonts w:ascii="幼圆" w:hAnsi="宋体" w:eastAsia="幼圆" w:cs="宋体"/>
      <w:b/>
      <w:bCs/>
      <w:color w:val="000000"/>
      <w:kern w:val="0"/>
      <w:szCs w:val="24"/>
    </w:rPr>
  </w:style>
  <w:style w:type="paragraph" w:customStyle="1" w:styleId="228">
    <w:name w:val="TABLE3"/>
    <w:basedOn w:val="1"/>
    <w:next w:val="1"/>
    <w:qFormat/>
    <w:uiPriority w:val="0"/>
    <w:pPr>
      <w:jc w:val="center"/>
    </w:pPr>
    <w:rPr>
      <w:snapToGrid/>
      <w:sz w:val="24"/>
      <w:szCs w:val="24"/>
    </w:rPr>
  </w:style>
  <w:style w:type="paragraph" w:customStyle="1" w:styleId="229">
    <w:name w:val="tabletext"/>
    <w:basedOn w:val="1"/>
    <w:qFormat/>
    <w:uiPriority w:val="0"/>
    <w:pPr>
      <w:widowControl/>
      <w:spacing w:before="100" w:beforeAutospacing="1" w:after="100" w:afterAutospacing="1"/>
      <w:jc w:val="left"/>
    </w:pPr>
    <w:rPr>
      <w:rFonts w:ascii="宋体" w:hAnsi="宋体" w:cs="宋体"/>
      <w:kern w:val="0"/>
      <w:szCs w:val="24"/>
    </w:rPr>
  </w:style>
  <w:style w:type="paragraph" w:customStyle="1" w:styleId="230">
    <w:name w:val="flName"/>
    <w:basedOn w:val="231"/>
    <w:qFormat/>
    <w:uiPriority w:val="0"/>
    <w:rPr>
      <w:sz w:val="32"/>
    </w:rPr>
  </w:style>
  <w:style w:type="paragraph" w:customStyle="1" w:styleId="231">
    <w:name w:val="flNote"/>
    <w:basedOn w:val="1"/>
    <w:qFormat/>
    <w:uiPriority w:val="0"/>
    <w:pPr>
      <w:adjustRightInd w:val="0"/>
      <w:spacing w:before="320" w:beforeLines="0" w:after="160" w:afterLines="0" w:line="360" w:lineRule="auto"/>
      <w:jc w:val="center"/>
      <w:textAlignment w:val="baseline"/>
    </w:pPr>
    <w:rPr>
      <w:rFonts w:ascii="Arial" w:eastAsia="黑体"/>
      <w:kern w:val="0"/>
      <w:sz w:val="30"/>
    </w:rPr>
  </w:style>
  <w:style w:type="paragraph" w:customStyle="1" w:styleId="232">
    <w:name w:val="xl69"/>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b/>
      <w:bCs/>
      <w:kern w:val="0"/>
      <w:sz w:val="20"/>
    </w:rPr>
  </w:style>
  <w:style w:type="paragraph" w:customStyle="1" w:styleId="233">
    <w:name w:val="font12"/>
    <w:basedOn w:val="1"/>
    <w:qFormat/>
    <w:uiPriority w:val="0"/>
    <w:pPr>
      <w:widowControl/>
      <w:spacing w:before="100" w:beforeLines="0" w:beforeAutospacing="1" w:after="100" w:afterLines="0" w:afterAutospacing="1"/>
      <w:jc w:val="left"/>
    </w:pPr>
    <w:rPr>
      <w:rFonts w:ascii="宋体" w:hAnsi="宋体" w:cs="宋体"/>
      <w:color w:val="000000"/>
      <w:kern w:val="0"/>
      <w:szCs w:val="24"/>
    </w:rPr>
  </w:style>
  <w:style w:type="paragraph" w:customStyle="1" w:styleId="234">
    <w:name w:val="xl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kern w:val="0"/>
      <w:sz w:val="20"/>
    </w:rPr>
  </w:style>
  <w:style w:type="paragraph" w:customStyle="1" w:styleId="235">
    <w:name w:val="自定义正文"/>
    <w:basedOn w:val="1"/>
    <w:link w:val="468"/>
    <w:qFormat/>
    <w:uiPriority w:val="0"/>
    <w:pPr>
      <w:spacing w:before="120" w:after="120" w:line="480" w:lineRule="exact"/>
      <w:ind w:firstLine="200" w:firstLineChars="200"/>
      <w:jc w:val="left"/>
    </w:pPr>
    <w:rPr>
      <w:rFonts w:ascii="仿宋_GB2312" w:eastAsia="仿宋_GB2312"/>
      <w:kern w:val="0"/>
    </w:rPr>
  </w:style>
  <w:style w:type="paragraph" w:customStyle="1" w:styleId="236">
    <w:name w:val="xl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kern w:val="0"/>
      <w:sz w:val="18"/>
      <w:szCs w:val="18"/>
    </w:rPr>
  </w:style>
  <w:style w:type="paragraph" w:customStyle="1" w:styleId="237">
    <w:name w:val="空半行"/>
    <w:basedOn w:val="1"/>
    <w:qFormat/>
    <w:uiPriority w:val="0"/>
    <w:pPr>
      <w:adjustRightInd w:val="0"/>
      <w:spacing w:line="120" w:lineRule="exact"/>
      <w:textAlignment w:val="baseline"/>
    </w:pPr>
    <w:rPr>
      <w:rFonts w:eastAsia="仿宋_GB2312"/>
      <w:color w:val="FFFFFF"/>
      <w:kern w:val="0"/>
      <w:sz w:val="30"/>
    </w:rPr>
  </w:style>
  <w:style w:type="paragraph" w:customStyle="1" w:styleId="238">
    <w:name w:val="章节标题6"/>
    <w:basedOn w:val="1"/>
    <w:qFormat/>
    <w:uiPriority w:val="0"/>
    <w:pPr>
      <w:keepNext/>
      <w:keepLines/>
      <w:numPr>
        <w:ilvl w:val="5"/>
        <w:numId w:val="3"/>
      </w:numPr>
      <w:spacing w:before="156" w:after="156" w:line="320" w:lineRule="auto"/>
      <w:outlineLvl w:val="5"/>
    </w:pPr>
    <w:rPr>
      <w:rFonts w:ascii="Arial" w:hAnsi="Arial" w:eastAsia="黑体"/>
      <w:b/>
      <w:bCs/>
      <w:szCs w:val="24"/>
    </w:rPr>
  </w:style>
  <w:style w:type="paragraph" w:customStyle="1" w:styleId="239">
    <w:name w:val="UserStyle_89"/>
    <w:basedOn w:val="1"/>
    <w:qFormat/>
    <w:uiPriority w:val="0"/>
    <w:pPr>
      <w:ind w:firstLine="420"/>
      <w:jc w:val="left"/>
    </w:pPr>
    <w:rPr>
      <w:kern w:val="0"/>
    </w:rPr>
  </w:style>
  <w:style w:type="paragraph" w:customStyle="1" w:styleId="240">
    <w:name w:val="Char3 Char Char Char"/>
    <w:basedOn w:val="1"/>
    <w:qFormat/>
    <w:uiPriority w:val="0"/>
    <w:pPr>
      <w:widowControl/>
      <w:spacing w:after="160" w:line="240" w:lineRule="exact"/>
      <w:ind w:firstLine="200" w:firstLineChars="200"/>
      <w:jc w:val="left"/>
    </w:pPr>
    <w:rPr>
      <w:szCs w:val="24"/>
    </w:rPr>
  </w:style>
  <w:style w:type="paragraph" w:customStyle="1" w:styleId="241">
    <w:name w:val="简单回函地址"/>
    <w:basedOn w:val="1"/>
    <w:qFormat/>
    <w:uiPriority w:val="0"/>
    <w:rPr>
      <w:sz w:val="21"/>
      <w:szCs w:val="24"/>
    </w:rPr>
  </w:style>
  <w:style w:type="paragraph" w:customStyle="1" w:styleId="242">
    <w:name w:val="xl26"/>
    <w:basedOn w:val="1"/>
    <w:qFormat/>
    <w:uiPriority w:val="0"/>
    <w:pPr>
      <w:widowControl/>
      <w:pBdr>
        <w:top w:val="single" w:color="auto" w:sz="6" w:space="0"/>
        <w:left w:val="single" w:color="auto" w:sz="6" w:space="0"/>
        <w:bottom w:val="single" w:color="auto" w:sz="6" w:space="0"/>
        <w:right w:val="single" w:color="auto" w:sz="6" w:space="0"/>
      </w:pBdr>
      <w:adjustRightInd w:val="0"/>
      <w:spacing w:before="100" w:beforeLines="0" w:after="100" w:afterLines="0"/>
      <w:jc w:val="center"/>
      <w:textAlignment w:val="center"/>
    </w:pPr>
    <w:rPr>
      <w:kern w:val="0"/>
    </w:rPr>
  </w:style>
  <w:style w:type="paragraph" w:customStyle="1" w:styleId="243">
    <w:name w:val="标准文本"/>
    <w:basedOn w:val="1"/>
    <w:link w:val="450"/>
    <w:qFormat/>
    <w:uiPriority w:val="0"/>
    <w:pPr>
      <w:spacing w:line="360" w:lineRule="auto"/>
      <w:ind w:firstLine="480" w:firstLineChars="200"/>
    </w:pPr>
    <w:rPr>
      <w:kern w:val="0"/>
    </w:rPr>
  </w:style>
  <w:style w:type="paragraph" w:customStyle="1" w:styleId="244">
    <w:name w:val="样式 样式 标题 1 + 黑体 三号 + 段前: 1 行 段后: 1 行"/>
    <w:basedOn w:val="1"/>
    <w:qFormat/>
    <w:uiPriority w:val="0"/>
    <w:pPr>
      <w:keepNext/>
      <w:keepLines/>
      <w:tabs>
        <w:tab w:val="left" w:pos="1021"/>
      </w:tabs>
      <w:spacing w:before="312" w:beforeLines="100" w:beforeAutospacing="0" w:after="312" w:afterLines="100" w:afterAutospacing="0" w:line="360" w:lineRule="auto"/>
      <w:ind w:firstLine="482"/>
      <w:outlineLvl w:val="0"/>
    </w:pPr>
    <w:rPr>
      <w:rFonts w:ascii="Arial" w:hAnsi="Arial" w:eastAsia="黑体"/>
      <w:b/>
      <w:spacing w:val="10"/>
      <w:kern w:val="44"/>
      <w:sz w:val="32"/>
    </w:rPr>
  </w:style>
  <w:style w:type="paragraph" w:customStyle="1" w:styleId="245">
    <w:name w:val="标题3级"/>
    <w:qFormat/>
    <w:uiPriority w:val="0"/>
    <w:pPr>
      <w:tabs>
        <w:tab w:val="left" w:pos="1260"/>
      </w:tabs>
      <w:spacing w:line="360" w:lineRule="auto"/>
      <w:ind w:left="1260" w:hanging="420"/>
      <w:jc w:val="both"/>
      <w:outlineLvl w:val="2"/>
    </w:pPr>
    <w:rPr>
      <w:rFonts w:ascii="Arial" w:hAnsi="Arial" w:eastAsia="黑体" w:cs="Times New Roman"/>
      <w:b/>
      <w:sz w:val="30"/>
      <w:lang w:val="en-US" w:eastAsia="zh-CN" w:bidi="ar-SA"/>
    </w:rPr>
  </w:style>
  <w:style w:type="paragraph" w:customStyle="1" w:styleId="246">
    <w:name w:val="样式5"/>
    <w:basedOn w:val="1"/>
    <w:link w:val="494"/>
    <w:qFormat/>
    <w:uiPriority w:val="0"/>
    <w:pPr>
      <w:spacing w:before="50" w:beforeLines="0" w:beforeAutospacing="0" w:after="75" w:afterLines="0" w:afterAutospacing="0"/>
      <w:outlineLvl w:val="2"/>
    </w:pPr>
    <w:rPr>
      <w:rFonts w:ascii="宋体" w:hAnsi="宋体"/>
      <w:b/>
      <w:bCs/>
      <w:color w:val="000000"/>
      <w:kern w:val="44"/>
      <w:sz w:val="28"/>
      <w:szCs w:val="32"/>
    </w:rPr>
  </w:style>
  <w:style w:type="paragraph" w:customStyle="1" w:styleId="247">
    <w:name w:val="样式 首行缩进:  2 字符"/>
    <w:basedOn w:val="1"/>
    <w:qFormat/>
    <w:uiPriority w:val="0"/>
    <w:pPr>
      <w:spacing w:after="120" w:afterLines="0" w:afterAutospacing="0" w:line="360" w:lineRule="auto"/>
      <w:ind w:firstLine="480" w:firstLineChars="200"/>
    </w:pPr>
  </w:style>
  <w:style w:type="paragraph" w:customStyle="1" w:styleId="248">
    <w:name w:val="首行缩进:  2 字符"/>
    <w:basedOn w:val="1"/>
    <w:next w:val="1"/>
    <w:link w:val="518"/>
    <w:qFormat/>
    <w:uiPriority w:val="0"/>
    <w:pPr>
      <w:widowControl/>
      <w:spacing w:line="440" w:lineRule="exact"/>
      <w:ind w:firstLine="480" w:firstLineChars="200"/>
      <w:jc w:val="left"/>
    </w:pPr>
    <w:rPr>
      <w:rFonts w:eastAsia="仿宋_GB2312" w:cs="宋体"/>
      <w:kern w:val="0"/>
    </w:rPr>
  </w:style>
  <w:style w:type="paragraph" w:customStyle="1" w:styleId="249">
    <w:name w:val="文章标题 3 Char"/>
    <w:basedOn w:val="6"/>
    <w:next w:val="1"/>
    <w:link w:val="474"/>
    <w:qFormat/>
    <w:uiPriority w:val="0"/>
    <w:pPr>
      <w:numPr>
        <w:ilvl w:val="0"/>
        <w:numId w:val="0"/>
      </w:numPr>
      <w:spacing w:before="260" w:beforeLines="0" w:beforeAutospacing="0" w:after="260" w:afterLines="0" w:afterAutospacing="0" w:line="413" w:lineRule="auto"/>
      <w:ind w:left="-7" w:firstLine="567"/>
    </w:pPr>
    <w:rPr>
      <w:rFonts w:hAnsi="Arial" w:eastAsia="黑体"/>
      <w:b w:val="0"/>
    </w:rPr>
  </w:style>
  <w:style w:type="paragraph" w:customStyle="1" w:styleId="250">
    <w:name w:val="样式 标题 3h33rd levelH3Level 3 Headsect1.2.3BOD 0l3CTHeadi..."/>
    <w:basedOn w:val="6"/>
    <w:qFormat/>
    <w:uiPriority w:val="0"/>
    <w:pPr>
      <w:numPr>
        <w:ilvl w:val="0"/>
        <w:numId w:val="0"/>
      </w:numPr>
      <w:tabs>
        <w:tab w:val="left" w:pos="420"/>
        <w:tab w:val="clear" w:pos="778"/>
      </w:tabs>
      <w:spacing w:before="200" w:beforeLines="0" w:beforeAutospacing="0" w:after="0" w:afterLines="0" w:afterAutospacing="0"/>
      <w:ind w:left="420" w:hanging="420"/>
    </w:pPr>
    <w:rPr>
      <w:rFonts w:ascii="宋体" w:eastAsia="楷体_GB2312"/>
      <w:sz w:val="24"/>
    </w:rPr>
  </w:style>
  <w:style w:type="paragraph" w:customStyle="1" w:styleId="251">
    <w:name w:val="表格项目符号 2"/>
    <w:basedOn w:val="1"/>
    <w:next w:val="1"/>
    <w:qFormat/>
    <w:uiPriority w:val="0"/>
    <w:pPr>
      <w:widowControl/>
      <w:tabs>
        <w:tab w:val="left" w:pos="624"/>
      </w:tabs>
      <w:snapToGrid w:val="0"/>
      <w:spacing w:line="300" w:lineRule="auto"/>
      <w:ind w:left="623" w:hanging="374"/>
    </w:pPr>
    <w:rPr>
      <w:color w:val="000000"/>
      <w:sz w:val="21"/>
    </w:rPr>
  </w:style>
  <w:style w:type="paragraph" w:customStyle="1" w:styleId="252">
    <w:name w:val="p15"/>
    <w:basedOn w:val="1"/>
    <w:qFormat/>
    <w:uiPriority w:val="0"/>
    <w:pPr>
      <w:widowControl/>
      <w:spacing w:before="100" w:beforeAutospacing="1" w:after="100" w:afterAutospacing="1"/>
      <w:jc w:val="left"/>
    </w:pPr>
    <w:rPr>
      <w:rFonts w:ascii="宋体" w:hAnsi="宋体" w:cs="宋体"/>
      <w:kern w:val="0"/>
      <w:szCs w:val="24"/>
    </w:rPr>
  </w:style>
  <w:style w:type="paragraph" w:customStyle="1" w:styleId="253">
    <w:name w:val=" Char"/>
    <w:basedOn w:val="27"/>
    <w:link w:val="537"/>
    <w:qFormat/>
    <w:uiPriority w:val="0"/>
    <w:rPr>
      <w:rFonts w:ascii="宋体"/>
      <w:color w:val="FF0000"/>
      <w:kern w:val="0"/>
      <w:lang w:val="en-US" w:eastAsia="zh-CN"/>
    </w:rPr>
  </w:style>
  <w:style w:type="paragraph" w:customStyle="1" w:styleId="254">
    <w:name w:val="p0"/>
    <w:basedOn w:val="1"/>
    <w:qFormat/>
    <w:uiPriority w:val="99"/>
    <w:pPr>
      <w:widowControl/>
      <w:spacing w:before="100" w:beforeLines="0" w:beforeAutospacing="1" w:after="100" w:afterLines="0" w:afterAutospacing="1"/>
      <w:jc w:val="left"/>
    </w:pPr>
    <w:rPr>
      <w:rFonts w:ascii="宋体" w:hAnsi="宋体"/>
      <w:kern w:val="0"/>
    </w:rPr>
  </w:style>
  <w:style w:type="paragraph" w:customStyle="1" w:styleId="255">
    <w:name w:val="xl97"/>
    <w:basedOn w:val="1"/>
    <w:qFormat/>
    <w:uiPriority w:val="0"/>
    <w:pPr>
      <w:widowControl/>
      <w:spacing w:before="100" w:beforeLines="0" w:beforeAutospacing="1" w:after="100" w:afterLines="0" w:afterAutospacing="1"/>
      <w:jc w:val="left"/>
    </w:pPr>
    <w:rPr>
      <w:rFonts w:ascii="幼圆" w:hAnsi="宋体" w:eastAsia="幼圆" w:cs="宋体"/>
      <w:kern w:val="0"/>
      <w:szCs w:val="24"/>
    </w:rPr>
  </w:style>
  <w:style w:type="paragraph" w:customStyle="1" w:styleId="256">
    <w:name w:val="xl72"/>
    <w:basedOn w:val="1"/>
    <w:qFormat/>
    <w:uiPriority w:val="0"/>
    <w:pPr>
      <w:widowControl/>
      <w:spacing w:before="100" w:beforeLines="0" w:beforeAutospacing="1" w:after="100" w:afterLines="0" w:afterAutospacing="1"/>
      <w:jc w:val="center"/>
    </w:pPr>
    <w:rPr>
      <w:rFonts w:ascii="Arial" w:hAnsi="Arial" w:cs="Arial"/>
      <w:color w:val="000000"/>
      <w:kern w:val="0"/>
      <w:szCs w:val="24"/>
    </w:rPr>
  </w:style>
  <w:style w:type="paragraph" w:customStyle="1" w:styleId="257">
    <w:name w:val="indent"/>
    <w:basedOn w:val="1"/>
    <w:qFormat/>
    <w:uiPriority w:val="0"/>
    <w:pPr>
      <w:widowControl/>
      <w:spacing w:before="100" w:beforeLines="0" w:beforeAutospacing="1" w:after="100" w:afterLines="0" w:afterAutospacing="1" w:line="360" w:lineRule="auto"/>
      <w:ind w:firstLine="200" w:firstLineChars="200"/>
      <w:jc w:val="left"/>
    </w:pPr>
    <w:rPr>
      <w:rFonts w:ascii="Arial Unicode MS" w:hAnsi="Arial Unicode MS" w:eastAsia="楷体_GB2312" w:cs="Arial"/>
      <w:color w:val="3E4A59"/>
      <w:kern w:val="0"/>
      <w:szCs w:val="24"/>
    </w:rPr>
  </w:style>
  <w:style w:type="paragraph" w:customStyle="1" w:styleId="258">
    <w:name w:val="文档结构图1"/>
    <w:basedOn w:val="1"/>
    <w:next w:val="1"/>
    <w:qFormat/>
    <w:uiPriority w:val="0"/>
    <w:pPr>
      <w:widowControl/>
      <w:shd w:val="clear" w:color="auto" w:fill="000080"/>
    </w:pPr>
    <w:rPr>
      <w:color w:val="000000"/>
      <w:sz w:val="21"/>
    </w:rPr>
  </w:style>
  <w:style w:type="paragraph" w:customStyle="1" w:styleId="259">
    <w:name w:val="xl22"/>
    <w:basedOn w:val="1"/>
    <w:qFormat/>
    <w:uiPriority w:val="0"/>
    <w:pPr>
      <w:widowControl/>
      <w:pBdr>
        <w:left w:val="single" w:color="auto" w:sz="4" w:space="0"/>
        <w:bottom w:val="single" w:color="auto" w:sz="4" w:space="0"/>
        <w:right w:val="single" w:color="auto" w:sz="4" w:space="0"/>
      </w:pBdr>
      <w:spacing w:before="100" w:beforeLines="0" w:beforeAutospacing="1" w:after="100" w:afterLines="0" w:afterAutospacing="1"/>
      <w:jc w:val="center"/>
      <w:textAlignment w:val="center"/>
    </w:pPr>
    <w:rPr>
      <w:rFonts w:ascii="Arial Unicode MS" w:hAnsi="Arial Unicode MS" w:eastAsia="Arial Unicode MS" w:cs="Arial Unicode MS"/>
      <w:kern w:val="0"/>
      <w:szCs w:val="24"/>
    </w:rPr>
  </w:style>
  <w:style w:type="paragraph" w:customStyle="1" w:styleId="260">
    <w:name w:val="纯文本2"/>
    <w:basedOn w:val="1"/>
    <w:next w:val="1"/>
    <w:qFormat/>
    <w:uiPriority w:val="0"/>
    <w:rPr>
      <w:rFonts w:ascii="宋体"/>
      <w:color w:val="000000"/>
      <w:sz w:val="21"/>
    </w:rPr>
  </w:style>
  <w:style w:type="paragraph" w:customStyle="1" w:styleId="261">
    <w:name w:val="xl5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b/>
      <w:bCs/>
      <w:kern w:val="0"/>
      <w:sz w:val="20"/>
    </w:rPr>
  </w:style>
  <w:style w:type="paragraph" w:customStyle="1" w:styleId="262">
    <w:name w:val="font11"/>
    <w:basedOn w:val="1"/>
    <w:qFormat/>
    <w:uiPriority w:val="0"/>
    <w:pPr>
      <w:widowControl/>
      <w:spacing w:before="100" w:beforeLines="0" w:beforeAutospacing="1" w:after="100" w:afterLines="0" w:afterAutospacing="1"/>
      <w:jc w:val="left"/>
    </w:pPr>
    <w:rPr>
      <w:kern w:val="0"/>
      <w:sz w:val="20"/>
    </w:rPr>
  </w:style>
  <w:style w:type="paragraph" w:customStyle="1" w:styleId="263">
    <w:name w:val="font1"/>
    <w:basedOn w:val="1"/>
    <w:qFormat/>
    <w:uiPriority w:val="0"/>
    <w:pPr>
      <w:widowControl/>
      <w:spacing w:before="100" w:beforeAutospacing="1" w:after="100" w:afterAutospacing="1"/>
      <w:jc w:val="left"/>
    </w:pPr>
    <w:rPr>
      <w:rFonts w:hint="eastAsia" w:ascii="宋体" w:hAnsi="宋体"/>
      <w:kern w:val="0"/>
      <w:szCs w:val="24"/>
    </w:rPr>
  </w:style>
  <w:style w:type="paragraph" w:customStyle="1" w:styleId="264">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265">
    <w:name w:val="正文 + 12 磅"/>
    <w:basedOn w:val="21"/>
    <w:qFormat/>
    <w:uiPriority w:val="0"/>
    <w:pPr>
      <w:spacing w:line="360" w:lineRule="auto"/>
      <w:ind w:firstLine="560"/>
    </w:pPr>
    <w:rPr>
      <w:rFonts w:ascii="宋体" w:hAnsi="宋体"/>
      <w:sz w:val="24"/>
    </w:rPr>
  </w:style>
  <w:style w:type="paragraph" w:customStyle="1" w:styleId="266">
    <w:name w:val="缺省文本"/>
    <w:basedOn w:val="1"/>
    <w:qFormat/>
    <w:uiPriority w:val="0"/>
    <w:pPr>
      <w:autoSpaceDE w:val="0"/>
      <w:autoSpaceDN w:val="0"/>
      <w:adjustRightInd w:val="0"/>
      <w:jc w:val="left"/>
    </w:pPr>
    <w:rPr>
      <w:kern w:val="0"/>
    </w:rPr>
  </w:style>
  <w:style w:type="paragraph" w:customStyle="1" w:styleId="267">
    <w:name w:val="font22"/>
    <w:basedOn w:val="1"/>
    <w:qFormat/>
    <w:uiPriority w:val="0"/>
    <w:pPr>
      <w:widowControl/>
      <w:spacing w:before="100" w:beforeLines="0" w:beforeAutospacing="1" w:after="100" w:afterLines="0" w:afterAutospacing="1"/>
      <w:jc w:val="left"/>
    </w:pPr>
    <w:rPr>
      <w:rFonts w:ascii="宋体" w:hAnsi="宋体" w:cs="宋体"/>
      <w:kern w:val="0"/>
      <w:szCs w:val="24"/>
    </w:rPr>
  </w:style>
  <w:style w:type="paragraph" w:customStyle="1" w:styleId="268">
    <w:name w:val="样式10"/>
    <w:basedOn w:val="1"/>
    <w:qFormat/>
    <w:uiPriority w:val="0"/>
    <w:pPr>
      <w:tabs>
        <w:tab w:val="left" w:pos="987"/>
      </w:tabs>
      <w:ind w:left="987" w:firstLine="199"/>
    </w:pPr>
    <w:rPr>
      <w:b/>
      <w:sz w:val="21"/>
    </w:rPr>
  </w:style>
  <w:style w:type="paragraph" w:customStyle="1" w:styleId="269">
    <w:name w:val="Char Char Char"/>
    <w:basedOn w:val="1"/>
    <w:qFormat/>
    <w:uiPriority w:val="0"/>
    <w:rPr>
      <w:rFonts w:ascii="Tahoma" w:hAnsi="Tahoma"/>
    </w:rPr>
  </w:style>
  <w:style w:type="paragraph" w:customStyle="1" w:styleId="270">
    <w:name w:val="xl94"/>
    <w:basedOn w:val="1"/>
    <w:qFormat/>
    <w:uiPriority w:val="0"/>
    <w:pPr>
      <w:widowControl/>
      <w:spacing w:before="100" w:beforeLines="0" w:beforeAutospacing="1" w:after="100" w:afterLines="0" w:afterAutospacing="1"/>
      <w:jc w:val="left"/>
    </w:pPr>
    <w:rPr>
      <w:rFonts w:ascii="幼圆" w:hAnsi="宋体" w:eastAsia="幼圆" w:cs="宋体"/>
      <w:kern w:val="0"/>
      <w:szCs w:val="24"/>
    </w:rPr>
  </w:style>
  <w:style w:type="paragraph" w:customStyle="1" w:styleId="271">
    <w:name w:val="xl98"/>
    <w:basedOn w:val="1"/>
    <w:qFormat/>
    <w:uiPriority w:val="0"/>
    <w:pPr>
      <w:widowControl/>
      <w:spacing w:before="100" w:beforeLines="0" w:beforeAutospacing="1" w:after="100" w:afterLines="0" w:afterAutospacing="1"/>
      <w:jc w:val="center"/>
    </w:pPr>
    <w:rPr>
      <w:rFonts w:ascii="幼圆" w:hAnsi="宋体" w:eastAsia="幼圆" w:cs="宋体"/>
      <w:kern w:val="0"/>
      <w:szCs w:val="24"/>
    </w:rPr>
  </w:style>
  <w:style w:type="paragraph" w:customStyle="1" w:styleId="272">
    <w:name w:val="My正文"/>
    <w:basedOn w:val="1"/>
    <w:qFormat/>
    <w:uiPriority w:val="0"/>
    <w:pPr>
      <w:adjustRightInd w:val="0"/>
      <w:spacing w:before="120" w:beforeLines="0" w:beforeAutospacing="0" w:line="360" w:lineRule="auto"/>
      <w:ind w:firstLine="567"/>
    </w:pPr>
    <w:rPr>
      <w:rFonts w:ascii="Arial" w:hAnsi="Arial"/>
      <w:kern w:val="0"/>
    </w:rPr>
  </w:style>
  <w:style w:type="paragraph" w:customStyle="1" w:styleId="273">
    <w:name w:val="样式 标题 2 + 段前: 1 行 段后: 1 行"/>
    <w:basedOn w:val="5"/>
    <w:qFormat/>
    <w:uiPriority w:val="0"/>
    <w:pPr>
      <w:tabs>
        <w:tab w:val="left" w:pos="840"/>
        <w:tab w:val="clear" w:pos="358"/>
      </w:tabs>
      <w:spacing w:before="312" w:beforeLines="100" w:beforeAutospacing="0" w:after="312" w:afterLines="100" w:afterAutospacing="0"/>
      <w:ind w:left="840"/>
    </w:pPr>
    <w:rPr>
      <w:rFonts w:ascii="Arial" w:hAnsi="Arial" w:eastAsia="黑体"/>
      <w:spacing w:val="10"/>
      <w:sz w:val="30"/>
    </w:rPr>
  </w:style>
  <w:style w:type="paragraph" w:customStyle="1" w:styleId="274">
    <w:name w:val="表格文字"/>
    <w:basedOn w:val="1"/>
    <w:next w:val="34"/>
    <w:qFormat/>
    <w:uiPriority w:val="0"/>
    <w:rPr>
      <w:rFonts w:ascii="Arial" w:hAnsi="Arial"/>
      <w:snapToGrid/>
      <w:kern w:val="2"/>
      <w:szCs w:val="21"/>
    </w:rPr>
  </w:style>
  <w:style w:type="paragraph" w:customStyle="1" w:styleId="275">
    <w:name w:val="font8"/>
    <w:basedOn w:val="1"/>
    <w:qFormat/>
    <w:uiPriority w:val="0"/>
    <w:pPr>
      <w:widowControl/>
      <w:adjustRightInd w:val="0"/>
      <w:spacing w:before="100" w:beforeLines="0" w:after="100" w:afterLines="0"/>
      <w:jc w:val="left"/>
      <w:textAlignment w:val="baseline"/>
    </w:pPr>
    <w:rPr>
      <w:rFonts w:ascii="宋体" w:hAnsi="宋体"/>
      <w:b/>
      <w:color w:val="000000"/>
      <w:kern w:val="0"/>
      <w:sz w:val="20"/>
    </w:rPr>
  </w:style>
  <w:style w:type="paragraph" w:customStyle="1" w:styleId="276">
    <w:name w:val="正文文字4"/>
    <w:basedOn w:val="1"/>
    <w:qFormat/>
    <w:uiPriority w:val="0"/>
    <w:pPr>
      <w:spacing w:before="60" w:beforeLines="0" w:after="60" w:afterLines="0" w:line="500" w:lineRule="exact"/>
      <w:ind w:left="1436" w:firstLine="592"/>
    </w:pPr>
    <w:rPr>
      <w:sz w:val="28"/>
    </w:rPr>
  </w:style>
  <w:style w:type="paragraph" w:customStyle="1" w:styleId="277">
    <w:name w:val="正文 A"/>
    <w:qFormat/>
    <w:uiPriority w:val="0"/>
    <w:pPr>
      <w:widowControl w:val="0"/>
      <w:jc w:val="both"/>
    </w:pPr>
    <w:rPr>
      <w:rFonts w:hint="eastAsia" w:ascii="Arial Unicode MS" w:hAnsi="Arial Unicode MS" w:eastAsia="Times New Roman" w:cs="Arial Unicode MS"/>
      <w:color w:val="000000"/>
      <w:kern w:val="2"/>
      <w:sz w:val="21"/>
      <w:szCs w:val="21"/>
      <w:lang w:val="en-US" w:eastAsia="zh-CN" w:bidi="ar-SA"/>
    </w:rPr>
  </w:style>
  <w:style w:type="paragraph" w:customStyle="1" w:styleId="278">
    <w:name w:val="Char1"/>
    <w:basedOn w:val="1"/>
    <w:qFormat/>
    <w:uiPriority w:val="0"/>
    <w:rPr>
      <w:rFonts w:ascii="仿宋_GB2312" w:eastAsia="仿宋_GB2312"/>
      <w:b/>
      <w:sz w:val="32"/>
      <w:szCs w:val="32"/>
    </w:rPr>
  </w:style>
  <w:style w:type="paragraph" w:customStyle="1" w:styleId="279">
    <w:name w:val="font16"/>
    <w:basedOn w:val="1"/>
    <w:qFormat/>
    <w:uiPriority w:val="0"/>
    <w:pPr>
      <w:widowControl/>
      <w:spacing w:before="100" w:beforeLines="0" w:beforeAutospacing="1" w:after="100" w:afterLines="0" w:afterAutospacing="1"/>
      <w:jc w:val="left"/>
    </w:pPr>
    <w:rPr>
      <w:rFonts w:ascii="宋体" w:hAnsi="宋体" w:cs="宋体"/>
      <w:kern w:val="0"/>
      <w:sz w:val="18"/>
      <w:szCs w:val="18"/>
    </w:rPr>
  </w:style>
  <w:style w:type="paragraph" w:customStyle="1" w:styleId="280">
    <w:name w:val="默认段落字体 Para Char Char Char Char Char Char Char"/>
    <w:basedOn w:val="1"/>
    <w:qFormat/>
    <w:uiPriority w:val="0"/>
    <w:rPr>
      <w:rFonts w:ascii="Tahoma" w:hAnsi="Tahoma"/>
      <w:b/>
    </w:rPr>
  </w:style>
  <w:style w:type="paragraph" w:customStyle="1" w:styleId="281">
    <w:name w:val="序号正文"/>
    <w:basedOn w:val="1"/>
    <w:qFormat/>
    <w:uiPriority w:val="0"/>
    <w:pPr>
      <w:numPr>
        <w:ilvl w:val="0"/>
        <w:numId w:val="8"/>
      </w:numPr>
      <w:spacing w:line="300" w:lineRule="auto"/>
    </w:pPr>
    <w:rPr>
      <w:rFonts w:ascii="宋体" w:hAnsi="宋体"/>
    </w:rPr>
  </w:style>
  <w:style w:type="paragraph" w:customStyle="1" w:styleId="282">
    <w:name w:val="My标题4"/>
    <w:basedOn w:val="6"/>
    <w:next w:val="1"/>
    <w:qFormat/>
    <w:uiPriority w:val="0"/>
    <w:pPr>
      <w:numPr>
        <w:ilvl w:val="0"/>
        <w:numId w:val="0"/>
      </w:numPr>
      <w:tabs>
        <w:tab w:val="left" w:pos="425"/>
        <w:tab w:val="clear" w:pos="778"/>
      </w:tabs>
      <w:spacing w:before="260" w:beforeLines="0" w:beforeAutospacing="0" w:after="260" w:afterLines="0" w:afterAutospacing="0" w:line="413" w:lineRule="auto"/>
      <w:ind w:left="425" w:hanging="425"/>
    </w:pPr>
    <w:rPr>
      <w:rFonts w:ascii="Times New Roman" w:hAnsi="Times New Roman" w:eastAsia="宋体"/>
      <w:b w:val="0"/>
      <w:sz w:val="24"/>
    </w:rPr>
  </w:style>
  <w:style w:type="paragraph" w:customStyle="1" w:styleId="283">
    <w:name w:val="MSO_Para"/>
    <w:qFormat/>
    <w:uiPriority w:val="0"/>
    <w:pPr>
      <w:spacing w:before="99" w:line="250" w:lineRule="atLeast"/>
    </w:pPr>
    <w:rPr>
      <w:rFonts w:ascii="Palatino Linotype" w:hAnsi="Palatino Linotype" w:eastAsia="宋体" w:cs="Times New Roman"/>
      <w:sz w:val="21"/>
      <w:lang w:val="en-US" w:eastAsia="en-US" w:bidi="ar-SA"/>
    </w:rPr>
  </w:style>
  <w:style w:type="paragraph" w:customStyle="1" w:styleId="284">
    <w:name w:val="_Style 3"/>
    <w:basedOn w:val="1"/>
    <w:qFormat/>
    <w:uiPriority w:val="0"/>
    <w:pPr>
      <w:spacing w:line="360" w:lineRule="auto"/>
      <w:ind w:firstLine="420" w:firstLineChars="200"/>
    </w:pPr>
    <w:rPr>
      <w:szCs w:val="24"/>
    </w:rPr>
  </w:style>
  <w:style w:type="paragraph" w:customStyle="1" w:styleId="285">
    <w:name w:val=" Char Char Char Char Char"/>
    <w:basedOn w:val="1"/>
    <w:qFormat/>
    <w:uiPriority w:val="0"/>
    <w:pPr>
      <w:tabs>
        <w:tab w:val="left" w:pos="980"/>
      </w:tabs>
      <w:ind w:left="980" w:hanging="420"/>
    </w:pPr>
    <w:rPr>
      <w:rFonts w:ascii="Tahoma" w:hAnsi="Tahoma"/>
    </w:rPr>
  </w:style>
  <w:style w:type="paragraph" w:customStyle="1" w:styleId="286">
    <w:name w:val="PP 行"/>
    <w:basedOn w:val="54"/>
    <w:qFormat/>
    <w:uiPriority w:val="0"/>
  </w:style>
  <w:style w:type="paragraph" w:customStyle="1" w:styleId="287">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0"/>
    </w:rPr>
  </w:style>
  <w:style w:type="paragraph" w:customStyle="1" w:styleId="288">
    <w:name w:val="My标题3"/>
    <w:basedOn w:val="6"/>
    <w:next w:val="1"/>
    <w:qFormat/>
    <w:uiPriority w:val="0"/>
    <w:pPr>
      <w:numPr>
        <w:ilvl w:val="0"/>
        <w:numId w:val="0"/>
      </w:numPr>
      <w:tabs>
        <w:tab w:val="left" w:pos="1080"/>
        <w:tab w:val="clear" w:pos="778"/>
      </w:tabs>
      <w:spacing w:before="260" w:beforeLines="0" w:beforeAutospacing="0" w:after="260" w:afterLines="0" w:afterAutospacing="0" w:line="413" w:lineRule="auto"/>
      <w:ind w:left="709" w:hanging="709"/>
    </w:pPr>
    <w:rPr>
      <w:rFonts w:ascii="Arial" w:hAnsi="Arial" w:eastAsia="宋体"/>
      <w:b w:val="0"/>
      <w:sz w:val="24"/>
    </w:rPr>
  </w:style>
  <w:style w:type="paragraph" w:customStyle="1" w:styleId="289">
    <w:name w:val="正文2"/>
    <w:basedOn w:val="1"/>
    <w:link w:val="455"/>
    <w:qFormat/>
    <w:uiPriority w:val="99"/>
    <w:pPr>
      <w:spacing w:before="60" w:beforeLines="0" w:beforeAutospacing="0" w:after="60" w:afterLines="0" w:afterAutospacing="0" w:line="360" w:lineRule="auto"/>
      <w:outlineLvl w:val="7"/>
    </w:pPr>
  </w:style>
  <w:style w:type="paragraph" w:customStyle="1" w:styleId="290">
    <w:name w:val="正文缩进 2"/>
    <w:basedOn w:val="1"/>
    <w:qFormat/>
    <w:uiPriority w:val="0"/>
    <w:pPr>
      <w:adjustRightInd w:val="0"/>
      <w:spacing w:line="400" w:lineRule="atLeast"/>
      <w:ind w:left="400" w:leftChars="400" w:firstLine="454"/>
      <w:textAlignment w:val="baseline"/>
    </w:pPr>
    <w:rPr>
      <w:kern w:val="0"/>
    </w:rPr>
  </w:style>
  <w:style w:type="paragraph" w:customStyle="1" w:styleId="291">
    <w:name w:val="xl45"/>
    <w:basedOn w:val="1"/>
    <w:qFormat/>
    <w:uiPriority w:val="0"/>
    <w:pPr>
      <w:widowControl/>
      <w:pBdr>
        <w:bottom w:val="single" w:color="auto" w:sz="4" w:space="0"/>
      </w:pBdr>
      <w:spacing w:before="100" w:beforeAutospacing="1" w:after="100" w:afterAutospacing="1"/>
      <w:jc w:val="right"/>
    </w:pPr>
    <w:rPr>
      <w:rFonts w:hint="eastAsia" w:ascii="华文宋体" w:hAnsi="宋体" w:eastAsia="华文宋体"/>
      <w:b/>
      <w:bCs/>
      <w:kern w:val="0"/>
      <w:sz w:val="20"/>
    </w:rPr>
  </w:style>
  <w:style w:type="paragraph" w:customStyle="1" w:styleId="292">
    <w:name w:val="character"/>
    <w:basedOn w:val="1"/>
    <w:qFormat/>
    <w:uiPriority w:val="0"/>
    <w:pPr>
      <w:ind w:firstLine="480" w:firstLineChars="200"/>
    </w:pPr>
    <w:rPr>
      <w:rFonts w:ascii="Arial" w:hAnsi="Arial"/>
      <w:szCs w:val="21"/>
    </w:rPr>
  </w:style>
  <w:style w:type="paragraph" w:customStyle="1" w:styleId="293">
    <w:name w:val="font26"/>
    <w:basedOn w:val="1"/>
    <w:qFormat/>
    <w:uiPriority w:val="0"/>
    <w:pPr>
      <w:widowControl/>
      <w:spacing w:before="100" w:beforeLines="0" w:beforeAutospacing="1" w:after="100" w:afterLines="0" w:afterAutospacing="1"/>
      <w:jc w:val="left"/>
    </w:pPr>
    <w:rPr>
      <w:rFonts w:ascii="Courier New" w:hAnsi="Courier New" w:cs="Courier New"/>
      <w:kern w:val="0"/>
      <w:szCs w:val="24"/>
    </w:rPr>
  </w:style>
  <w:style w:type="paragraph" w:customStyle="1" w:styleId="294">
    <w:name w:val="样式 宋体"/>
    <w:basedOn w:val="1"/>
    <w:next w:val="1"/>
    <w:qFormat/>
    <w:uiPriority w:val="0"/>
    <w:pPr>
      <w:widowControl/>
    </w:pPr>
    <w:rPr>
      <w:rFonts w:ascii="宋体"/>
      <w:color w:val="000000"/>
    </w:rPr>
  </w:style>
  <w:style w:type="paragraph" w:customStyle="1" w:styleId="295">
    <w:name w:val="xl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kern w:val="0"/>
      <w:sz w:val="18"/>
      <w:szCs w:val="18"/>
    </w:rPr>
  </w:style>
  <w:style w:type="paragraph" w:customStyle="1" w:styleId="296">
    <w:name w:val="xl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18"/>
      <w:szCs w:val="18"/>
    </w:rPr>
  </w:style>
  <w:style w:type="paragraph" w:styleId="297">
    <w:name w:val="No Spacing"/>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298">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b/>
      <w:bCs/>
      <w:kern w:val="0"/>
      <w:sz w:val="20"/>
    </w:rPr>
  </w:style>
  <w:style w:type="paragraph" w:customStyle="1" w:styleId="299">
    <w:name w:val="Char"/>
    <w:basedOn w:val="27"/>
    <w:qFormat/>
    <w:uiPriority w:val="0"/>
    <w:rPr>
      <w:rFonts w:ascii="Tahoma" w:hAnsi="Tahoma"/>
    </w:rPr>
  </w:style>
  <w:style w:type="paragraph" w:customStyle="1" w:styleId="300">
    <w:name w:val="系统标题"/>
    <w:basedOn w:val="1"/>
    <w:qFormat/>
    <w:uiPriority w:val="0"/>
    <w:pPr>
      <w:tabs>
        <w:tab w:val="left" w:pos="780"/>
      </w:tabs>
      <w:ind w:left="780" w:hanging="360"/>
    </w:pPr>
    <w:rPr>
      <w:sz w:val="21"/>
      <w:szCs w:val="24"/>
    </w:rPr>
  </w:style>
  <w:style w:type="paragraph" w:customStyle="1" w:styleId="301">
    <w:name w:val="注"/>
    <w:basedOn w:val="1"/>
    <w:qFormat/>
    <w:uiPriority w:val="0"/>
    <w:pPr>
      <w:adjustRightInd w:val="0"/>
      <w:spacing w:line="360" w:lineRule="atLeast"/>
      <w:ind w:left="840" w:hanging="420"/>
      <w:textAlignment w:val="baseline"/>
    </w:pPr>
    <w:rPr>
      <w:kern w:val="0"/>
      <w:sz w:val="21"/>
    </w:rPr>
  </w:style>
  <w:style w:type="paragraph" w:customStyle="1" w:styleId="302">
    <w:name w:val="wtext"/>
    <w:basedOn w:val="1"/>
    <w:qFormat/>
    <w:uiPriority w:val="0"/>
    <w:pPr>
      <w:widowControl/>
      <w:spacing w:before="100" w:beforeLines="0" w:beforeAutospacing="1" w:after="100" w:afterLines="0" w:afterAutospacing="1"/>
      <w:jc w:val="left"/>
    </w:pPr>
    <w:rPr>
      <w:rFonts w:ascii="宋体" w:hAnsi="宋体"/>
      <w:kern w:val="0"/>
    </w:rPr>
  </w:style>
  <w:style w:type="paragraph" w:customStyle="1" w:styleId="303">
    <w:name w:val="font13"/>
    <w:basedOn w:val="1"/>
    <w:qFormat/>
    <w:uiPriority w:val="0"/>
    <w:pPr>
      <w:widowControl/>
      <w:spacing w:before="100" w:beforeLines="0" w:beforeAutospacing="1" w:after="100" w:afterLines="0" w:afterAutospacing="1"/>
      <w:jc w:val="left"/>
    </w:pPr>
    <w:rPr>
      <w:rFonts w:ascii="宋体" w:hAnsi="宋体" w:cs="宋体"/>
      <w:kern w:val="0"/>
      <w:szCs w:val="24"/>
    </w:rPr>
  </w:style>
  <w:style w:type="paragraph" w:customStyle="1" w:styleId="304">
    <w:name w:val="heading"/>
    <w:basedOn w:val="1"/>
    <w:next w:val="1"/>
    <w:qFormat/>
    <w:uiPriority w:val="0"/>
    <w:pPr>
      <w:keepNext/>
      <w:keepLines/>
      <w:spacing w:before="260" w:beforeLines="0" w:beforeAutospacing="0" w:after="260" w:afterLines="0" w:afterAutospacing="0" w:line="413" w:lineRule="auto"/>
    </w:pPr>
    <w:rPr>
      <w:rFonts w:ascii="Arial" w:hAnsi="Arial" w:eastAsia="黑体"/>
      <w:b/>
      <w:sz w:val="32"/>
    </w:rPr>
  </w:style>
  <w:style w:type="paragraph" w:customStyle="1" w:styleId="305">
    <w:name w:val="正文文本缩进 31"/>
    <w:basedOn w:val="1"/>
    <w:next w:val="1"/>
    <w:qFormat/>
    <w:uiPriority w:val="0"/>
    <w:pPr>
      <w:widowControl/>
      <w:spacing w:line="360" w:lineRule="auto"/>
      <w:ind w:firstLine="420"/>
    </w:pPr>
    <w:rPr>
      <w:rFonts w:ascii="宋体"/>
      <w:color w:val="000000"/>
    </w:rPr>
  </w:style>
  <w:style w:type="paragraph" w:customStyle="1" w:styleId="306">
    <w:name w:val="样式 左 首行缩进:  0.74 厘米 段前: 5 磅 段后: 5 磅 行距: 1.5 倍行距"/>
    <w:basedOn w:val="1"/>
    <w:qFormat/>
    <w:uiPriority w:val="0"/>
    <w:pPr>
      <w:spacing w:before="100" w:beforeLines="0" w:beforeAutospacing="0" w:after="100" w:afterLines="0" w:afterAutospacing="0" w:line="360" w:lineRule="auto"/>
      <w:ind w:firstLine="420"/>
      <w:jc w:val="left"/>
    </w:pPr>
  </w:style>
  <w:style w:type="paragraph" w:customStyle="1" w:styleId="307">
    <w:name w:val="Char Char1 Char Char Char Char Char Char Char Char Char Char Char Char Char Char Char Char"/>
    <w:basedOn w:val="1"/>
    <w:qFormat/>
    <w:uiPriority w:val="0"/>
    <w:pPr>
      <w:widowControl/>
      <w:spacing w:after="160" w:afterLines="0" w:afterAutospacing="0" w:line="240" w:lineRule="exact"/>
      <w:jc w:val="left"/>
    </w:pPr>
    <w:rPr>
      <w:rFonts w:ascii="Verdana" w:hAnsi="Verdana"/>
      <w:kern w:val="0"/>
      <w:sz w:val="20"/>
      <w:lang w:eastAsia="en-US"/>
    </w:rPr>
  </w:style>
  <w:style w:type="paragraph" w:customStyle="1" w:styleId="308">
    <w:name w:val="排列"/>
    <w:basedOn w:val="1"/>
    <w:qFormat/>
    <w:uiPriority w:val="0"/>
    <w:pPr>
      <w:jc w:val="center"/>
    </w:pPr>
    <w:rPr>
      <w:rFonts w:ascii="楷体_GB2312" w:hAnsi="Courier New" w:eastAsia="楷体_GB2312"/>
      <w:sz w:val="21"/>
    </w:rPr>
  </w:style>
  <w:style w:type="paragraph" w:customStyle="1" w:styleId="309">
    <w:name w:val="样式 标题 1H1 + 三号"/>
    <w:basedOn w:val="4"/>
    <w:qFormat/>
    <w:uiPriority w:val="0"/>
    <w:pPr>
      <w:keepNext/>
      <w:keepLines/>
      <w:widowControl w:val="0"/>
      <w:numPr>
        <w:ilvl w:val="0"/>
        <w:numId w:val="0"/>
      </w:numPr>
      <w:tabs>
        <w:tab w:val="left" w:pos="425"/>
        <w:tab w:val="clear" w:pos="478"/>
      </w:tabs>
      <w:autoSpaceDE/>
      <w:autoSpaceDN/>
      <w:spacing w:before="340" w:beforeLines="0" w:beforeAutospacing="0" w:after="330" w:afterLines="0" w:afterAutospacing="0" w:line="576" w:lineRule="auto"/>
      <w:ind w:left="425" w:hanging="425"/>
      <w:jc w:val="both"/>
    </w:pPr>
    <w:rPr>
      <w:rFonts w:hint="default" w:ascii="Times New Roman"/>
      <w:b/>
      <w:color w:val="auto"/>
      <w:kern w:val="44"/>
      <w:sz w:val="32"/>
    </w:rPr>
  </w:style>
  <w:style w:type="paragraph" w:customStyle="1" w:styleId="310">
    <w:name w:val="默认段落字体1 Char Char"/>
    <w:basedOn w:val="1"/>
    <w:qFormat/>
    <w:uiPriority w:val="0"/>
    <w:rPr>
      <w:rFonts w:ascii="仿宋_GB2312" w:eastAsia="仿宋_GB2312"/>
      <w:b/>
      <w:sz w:val="32"/>
      <w:szCs w:val="32"/>
    </w:rPr>
  </w:style>
  <w:style w:type="paragraph" w:customStyle="1" w:styleId="311">
    <w:name w:val="font25"/>
    <w:basedOn w:val="1"/>
    <w:qFormat/>
    <w:uiPriority w:val="0"/>
    <w:pPr>
      <w:widowControl/>
      <w:spacing w:before="100" w:beforeLines="0" w:beforeAutospacing="1" w:after="100" w:afterLines="0" w:afterAutospacing="1"/>
      <w:jc w:val="left"/>
    </w:pPr>
    <w:rPr>
      <w:rFonts w:ascii="宋体" w:hAnsi="宋体" w:cs="宋体"/>
      <w:color w:val="000000"/>
      <w:kern w:val="0"/>
      <w:szCs w:val="24"/>
    </w:rPr>
  </w:style>
  <w:style w:type="paragraph" w:customStyle="1" w:styleId="312">
    <w:name w:val=" Char1"/>
    <w:basedOn w:val="1"/>
    <w:qFormat/>
    <w:uiPriority w:val="0"/>
    <w:rPr>
      <w:rFonts w:ascii="仿宋_GB2312" w:eastAsia="仿宋_GB2312"/>
      <w:b/>
      <w:sz w:val="32"/>
    </w:rPr>
  </w:style>
  <w:style w:type="paragraph" w:customStyle="1" w:styleId="313">
    <w:name w:val="font24"/>
    <w:basedOn w:val="1"/>
    <w:qFormat/>
    <w:uiPriority w:val="0"/>
    <w:pPr>
      <w:widowControl/>
      <w:spacing w:before="100" w:beforeLines="0" w:beforeAutospacing="1" w:after="100" w:afterLines="0" w:afterAutospacing="1"/>
      <w:jc w:val="left"/>
    </w:pPr>
    <w:rPr>
      <w:rFonts w:ascii="宋体" w:hAnsi="宋体" w:cs="宋体"/>
      <w:kern w:val="0"/>
      <w:szCs w:val="24"/>
    </w:rPr>
  </w:style>
  <w:style w:type="paragraph" w:customStyle="1" w:styleId="314">
    <w:name w:val="font10"/>
    <w:basedOn w:val="1"/>
    <w:qFormat/>
    <w:uiPriority w:val="0"/>
    <w:pPr>
      <w:widowControl/>
      <w:spacing w:before="100" w:beforeLines="0" w:beforeAutospacing="1" w:after="100" w:afterLines="0" w:afterAutospacing="1"/>
      <w:jc w:val="left"/>
    </w:pPr>
    <w:rPr>
      <w:rFonts w:ascii="Arial" w:hAnsi="Arial" w:cs="Arial"/>
      <w:color w:val="000000"/>
      <w:kern w:val="0"/>
      <w:szCs w:val="24"/>
    </w:rPr>
  </w:style>
  <w:style w:type="paragraph" w:customStyle="1" w:styleId="315">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Arial" w:hAnsi="Arial" w:cs="Arial"/>
      <w:kern w:val="0"/>
      <w:sz w:val="20"/>
    </w:rPr>
  </w:style>
  <w:style w:type="paragraph" w:customStyle="1" w:styleId="316">
    <w:name w:val="font9"/>
    <w:basedOn w:val="1"/>
    <w:qFormat/>
    <w:uiPriority w:val="0"/>
    <w:pPr>
      <w:widowControl/>
      <w:adjustRightInd w:val="0"/>
      <w:spacing w:before="100" w:beforeLines="0" w:after="100" w:afterLines="0"/>
      <w:jc w:val="left"/>
      <w:textAlignment w:val="baseline"/>
    </w:pPr>
    <w:rPr>
      <w:rFonts w:ascii="宋体" w:hAnsi="宋体"/>
      <w:kern w:val="0"/>
      <w:sz w:val="18"/>
    </w:rPr>
  </w:style>
  <w:style w:type="paragraph" w:customStyle="1" w:styleId="317">
    <w:name w:val="xl63"/>
    <w:basedOn w:val="1"/>
    <w:qFormat/>
    <w:uiPriority w:val="0"/>
    <w:pPr>
      <w:widowControl/>
      <w:pBdr>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b/>
      <w:bCs/>
      <w:kern w:val="0"/>
      <w:sz w:val="20"/>
    </w:rPr>
  </w:style>
  <w:style w:type="paragraph" w:customStyle="1" w:styleId="318">
    <w:name w:val="正文编号4"/>
    <w:basedOn w:val="1"/>
    <w:qFormat/>
    <w:uiPriority w:val="0"/>
    <w:pPr>
      <w:spacing w:before="60" w:beforeLines="0" w:after="60" w:afterLines="0" w:line="500" w:lineRule="exact"/>
      <w:ind w:left="1404" w:hanging="432"/>
    </w:pPr>
    <w:rPr>
      <w:sz w:val="28"/>
    </w:rPr>
  </w:style>
  <w:style w:type="paragraph" w:customStyle="1" w:styleId="319">
    <w:name w:val="xl28"/>
    <w:basedOn w:val="1"/>
    <w:qFormat/>
    <w:uiPriority w:val="0"/>
    <w:pPr>
      <w:widowControl/>
      <w:pBdr>
        <w:top w:val="single" w:color="auto" w:sz="6" w:space="0"/>
        <w:left w:val="single" w:color="auto" w:sz="6" w:space="0"/>
        <w:bottom w:val="single" w:color="auto" w:sz="6" w:space="0"/>
        <w:right w:val="single" w:color="auto" w:sz="6" w:space="0"/>
      </w:pBdr>
      <w:adjustRightInd w:val="0"/>
      <w:spacing w:before="100" w:beforeLines="0" w:after="100" w:afterLines="0"/>
      <w:jc w:val="center"/>
      <w:textAlignment w:val="center"/>
    </w:pPr>
    <w:rPr>
      <w:color w:val="000000"/>
      <w:kern w:val="0"/>
      <w:sz w:val="21"/>
    </w:rPr>
  </w:style>
  <w:style w:type="paragraph" w:customStyle="1" w:styleId="320">
    <w:name w:val="正文样式"/>
    <w:basedOn w:val="1"/>
    <w:link w:val="542"/>
    <w:qFormat/>
    <w:uiPriority w:val="0"/>
    <w:pPr>
      <w:spacing w:line="360" w:lineRule="auto"/>
      <w:ind w:firstLine="200" w:firstLineChars="200"/>
    </w:pPr>
    <w:rPr>
      <w:rFonts w:cs="宋体"/>
      <w:sz w:val="21"/>
    </w:rPr>
  </w:style>
  <w:style w:type="paragraph" w:customStyle="1" w:styleId="321">
    <w:name w:val="正文文字1"/>
    <w:basedOn w:val="34"/>
    <w:qFormat/>
    <w:uiPriority w:val="0"/>
    <w:pPr>
      <w:autoSpaceDE/>
      <w:autoSpaceDN/>
      <w:spacing w:line="360" w:lineRule="atLeast"/>
      <w:ind w:left="72" w:right="72"/>
      <w:jc w:val="both"/>
      <w:textAlignment w:val="baseline"/>
    </w:pPr>
    <w:rPr>
      <w:rFonts w:ascii="Times New Roman"/>
      <w:color w:val="auto"/>
      <w:sz w:val="21"/>
      <w:lang w:val="en-US" w:eastAsia="zh-CN"/>
    </w:rPr>
  </w:style>
  <w:style w:type="paragraph" w:customStyle="1" w:styleId="322">
    <w:name w:val="功能列表"/>
    <w:basedOn w:val="1"/>
    <w:qFormat/>
    <w:uiPriority w:val="0"/>
    <w:pPr>
      <w:tabs>
        <w:tab w:val="left" w:pos="720"/>
        <w:tab w:val="left" w:pos="900"/>
      </w:tabs>
      <w:spacing w:line="360" w:lineRule="auto"/>
      <w:ind w:left="900" w:hanging="420"/>
    </w:pPr>
  </w:style>
  <w:style w:type="paragraph" w:customStyle="1" w:styleId="323">
    <w:name w:val="xl107"/>
    <w:basedOn w:val="1"/>
    <w:qFormat/>
    <w:uiPriority w:val="0"/>
    <w:pPr>
      <w:widowControl/>
      <w:spacing w:before="100" w:beforeLines="0" w:beforeAutospacing="1" w:after="100" w:afterLines="0" w:afterAutospacing="1"/>
      <w:jc w:val="left"/>
    </w:pPr>
    <w:rPr>
      <w:rFonts w:ascii="幼圆" w:hAnsi="宋体" w:eastAsia="幼圆" w:cs="宋体"/>
      <w:color w:val="000000"/>
      <w:kern w:val="0"/>
      <w:szCs w:val="24"/>
    </w:rPr>
  </w:style>
  <w:style w:type="paragraph" w:customStyle="1" w:styleId="324">
    <w:name w:val="标题 8 +"/>
    <w:basedOn w:val="11"/>
    <w:qFormat/>
    <w:uiPriority w:val="0"/>
    <w:rPr>
      <w:kern w:val="0"/>
    </w:rPr>
  </w:style>
  <w:style w:type="paragraph" w:customStyle="1" w:styleId="325">
    <w:name w:val="xl96"/>
    <w:basedOn w:val="1"/>
    <w:qFormat/>
    <w:uiPriority w:val="0"/>
    <w:pPr>
      <w:widowControl/>
      <w:spacing w:before="100" w:beforeLines="0" w:beforeAutospacing="1" w:after="100" w:afterLines="0" w:afterAutospacing="1"/>
      <w:jc w:val="center"/>
      <w:textAlignment w:val="bottom"/>
    </w:pPr>
    <w:rPr>
      <w:rFonts w:ascii="幼圆" w:hAnsi="宋体" w:eastAsia="幼圆" w:cs="宋体"/>
      <w:kern w:val="0"/>
      <w:szCs w:val="24"/>
    </w:rPr>
  </w:style>
  <w:style w:type="paragraph" w:customStyle="1" w:styleId="326">
    <w:name w:val="样式4"/>
    <w:basedOn w:val="22"/>
    <w:qFormat/>
    <w:uiPriority w:val="0"/>
    <w:pPr>
      <w:snapToGrid w:val="0"/>
      <w:spacing w:before="0" w:after="0"/>
      <w:ind w:firstLine="539"/>
    </w:pPr>
    <w:rPr>
      <w:rFonts w:ascii="Times New Roman"/>
      <w:lang w:val="en-US" w:eastAsia="zh-CN"/>
    </w:rPr>
  </w:style>
  <w:style w:type="paragraph" w:customStyle="1" w:styleId="327">
    <w:name w:val="xl46"/>
    <w:basedOn w:val="1"/>
    <w:qFormat/>
    <w:uiPriority w:val="0"/>
    <w:pPr>
      <w:widowControl/>
      <w:spacing w:before="100" w:beforeLines="0" w:beforeAutospacing="1" w:after="100" w:afterLines="0" w:afterAutospacing="1"/>
      <w:jc w:val="center"/>
    </w:pPr>
    <w:rPr>
      <w:rFonts w:hint="eastAsia" w:ascii="黑体" w:hAnsi="宋体" w:eastAsia="黑体"/>
      <w:kern w:val="0"/>
      <w:sz w:val="36"/>
      <w:szCs w:val="36"/>
    </w:rPr>
  </w:style>
  <w:style w:type="paragraph" w:customStyle="1" w:styleId="328">
    <w:name w:val="font15"/>
    <w:basedOn w:val="1"/>
    <w:qFormat/>
    <w:uiPriority w:val="0"/>
    <w:pPr>
      <w:widowControl/>
      <w:spacing w:before="100" w:beforeLines="0" w:beforeAutospacing="1" w:after="100" w:afterLines="0" w:afterAutospacing="1"/>
      <w:jc w:val="left"/>
    </w:pPr>
    <w:rPr>
      <w:rFonts w:ascii="华文细黑" w:hAnsi="华文细黑" w:eastAsia="华文细黑" w:cs="宋体"/>
      <w:b/>
      <w:bCs/>
      <w:color w:val="000000"/>
      <w:kern w:val="0"/>
      <w:szCs w:val="24"/>
    </w:rPr>
  </w:style>
  <w:style w:type="paragraph" w:customStyle="1" w:styleId="329">
    <w:name w:val="xl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kern w:val="0"/>
      <w:sz w:val="20"/>
    </w:rPr>
  </w:style>
  <w:style w:type="paragraph" w:customStyle="1" w:styleId="330">
    <w:name w:val="xl89"/>
    <w:basedOn w:val="1"/>
    <w:qFormat/>
    <w:uiPriority w:val="0"/>
    <w:pPr>
      <w:widowControl/>
      <w:spacing w:before="100" w:beforeLines="0" w:beforeAutospacing="1" w:after="100" w:afterLines="0" w:afterAutospacing="1"/>
      <w:jc w:val="left"/>
    </w:pPr>
    <w:rPr>
      <w:rFonts w:ascii="幼圆" w:hAnsi="宋体" w:eastAsia="幼圆" w:cs="宋体"/>
      <w:color w:val="000000"/>
      <w:kern w:val="0"/>
      <w:szCs w:val="24"/>
    </w:rPr>
  </w:style>
  <w:style w:type="paragraph" w:customStyle="1" w:styleId="331">
    <w:name w:val="style1"/>
    <w:basedOn w:val="1"/>
    <w:qFormat/>
    <w:uiPriority w:val="0"/>
    <w:pPr>
      <w:widowControl/>
      <w:spacing w:before="100" w:beforeLines="0" w:beforeAutospacing="1" w:after="100" w:afterLines="0" w:afterAutospacing="1" w:line="360" w:lineRule="auto"/>
      <w:ind w:firstLine="200" w:firstLineChars="200"/>
      <w:jc w:val="left"/>
    </w:pPr>
    <w:rPr>
      <w:rFonts w:ascii="宋体" w:hAnsi="宋体" w:cs="宋体"/>
      <w:color w:val="FFFFFF"/>
      <w:kern w:val="0"/>
      <w:sz w:val="28"/>
      <w:szCs w:val="24"/>
    </w:rPr>
  </w:style>
  <w:style w:type="paragraph" w:customStyle="1" w:styleId="332">
    <w:name w:val="样式 标题 2 + 段前: 自动 段后: 自动 行距: 1.5 倍行距"/>
    <w:basedOn w:val="5"/>
    <w:qFormat/>
    <w:uiPriority w:val="0"/>
    <w:pPr>
      <w:numPr>
        <w:ilvl w:val="0"/>
        <w:numId w:val="0"/>
      </w:numPr>
      <w:tabs>
        <w:tab w:val="left" w:pos="567"/>
        <w:tab w:val="clear" w:pos="358"/>
      </w:tabs>
      <w:adjustRightInd w:val="0"/>
      <w:spacing w:before="100" w:beforeLines="0" w:beforeAutospacing="1" w:after="100" w:afterLines="0" w:afterAutospacing="1"/>
      <w:ind w:left="567" w:hanging="567"/>
      <w:jc w:val="left"/>
      <w:textAlignment w:val="baseline"/>
    </w:pPr>
    <w:rPr>
      <w:rFonts w:ascii="Arial" w:hAnsi="Arial"/>
      <w:b w:val="0"/>
      <w:kern w:val="0"/>
      <w:sz w:val="30"/>
    </w:rPr>
  </w:style>
  <w:style w:type="paragraph" w:customStyle="1" w:styleId="333">
    <w:name w:val="无列表1"/>
    <w:basedOn w:val="1"/>
    <w:next w:val="1"/>
    <w:qFormat/>
    <w:uiPriority w:val="0"/>
    <w:pPr>
      <w:widowControl/>
      <w:jc w:val="left"/>
    </w:pPr>
    <w:rPr>
      <w:color w:val="000000"/>
      <w:kern w:val="0"/>
    </w:rPr>
  </w:style>
  <w:style w:type="paragraph" w:customStyle="1" w:styleId="334">
    <w:name w:val="xl82"/>
    <w:basedOn w:val="1"/>
    <w:qFormat/>
    <w:uiPriority w:val="0"/>
    <w:pPr>
      <w:widowControl/>
      <w:shd w:val="clear" w:color="auto" w:fill="CCFFCC"/>
      <w:spacing w:before="100" w:beforeLines="0" w:beforeAutospacing="1" w:after="100" w:afterLines="0" w:afterAutospacing="1"/>
      <w:jc w:val="center"/>
    </w:pPr>
    <w:rPr>
      <w:rFonts w:ascii="Arial" w:hAnsi="Arial" w:cs="Arial"/>
      <w:color w:val="000000"/>
      <w:kern w:val="0"/>
      <w:szCs w:val="24"/>
    </w:rPr>
  </w:style>
  <w:style w:type="paragraph" w:customStyle="1" w:styleId="335">
    <w:name w:val=" Char Char1 Char Char Char Char Char Char Char Char"/>
    <w:basedOn w:val="1"/>
    <w:qFormat/>
    <w:uiPriority w:val="0"/>
    <w:pPr>
      <w:widowControl/>
      <w:spacing w:after="160" w:line="240" w:lineRule="exact"/>
      <w:jc w:val="left"/>
    </w:pPr>
    <w:rPr>
      <w:sz w:val="21"/>
      <w:szCs w:val="24"/>
    </w:rPr>
  </w:style>
  <w:style w:type="paragraph" w:customStyle="1" w:styleId="336">
    <w:name w:val="标题5"/>
    <w:basedOn w:val="7"/>
    <w:next w:val="1"/>
    <w:qFormat/>
    <w:uiPriority w:val="0"/>
    <w:pPr>
      <w:keepLines w:val="0"/>
      <w:tabs>
        <w:tab w:val="clear" w:pos="1198"/>
      </w:tabs>
      <w:spacing w:before="312" w:beforeLines="100"/>
      <w:ind w:left="0" w:firstLine="0"/>
    </w:pPr>
    <w:rPr>
      <w:rFonts w:ascii="宋体" w:hAnsi="宋体"/>
      <w:bCs/>
      <w:sz w:val="24"/>
      <w:szCs w:val="24"/>
      <w:lang w:val="en-US" w:eastAsia="zh-CN"/>
    </w:rPr>
  </w:style>
  <w:style w:type="paragraph" w:customStyle="1" w:styleId="337">
    <w:name w:val="font19"/>
    <w:basedOn w:val="1"/>
    <w:qFormat/>
    <w:uiPriority w:val="0"/>
    <w:pPr>
      <w:widowControl/>
      <w:spacing w:before="100" w:beforeLines="0" w:beforeAutospacing="1" w:after="100" w:afterLines="0" w:afterAutospacing="1"/>
      <w:jc w:val="left"/>
    </w:pPr>
    <w:rPr>
      <w:rFonts w:ascii="宋体" w:hAnsi="宋体" w:cs="宋体"/>
      <w:kern w:val="0"/>
      <w:sz w:val="18"/>
      <w:szCs w:val="18"/>
    </w:rPr>
  </w:style>
  <w:style w:type="paragraph" w:customStyle="1" w:styleId="338">
    <w:name w:val="PlainText"/>
    <w:basedOn w:val="1"/>
    <w:next w:val="1"/>
    <w:qFormat/>
    <w:uiPriority w:val="0"/>
    <w:rPr>
      <w:rFonts w:ascii="宋体" w:hAnsi="Courier New"/>
      <w:sz w:val="21"/>
    </w:rPr>
  </w:style>
  <w:style w:type="paragraph" w:customStyle="1" w:styleId="339">
    <w:name w:val="My标题1"/>
    <w:basedOn w:val="4"/>
    <w:next w:val="1"/>
    <w:qFormat/>
    <w:uiPriority w:val="0"/>
    <w:pPr>
      <w:keepNext/>
      <w:keepLines/>
      <w:pageBreakBefore w:val="0"/>
      <w:widowControl w:val="0"/>
      <w:numPr>
        <w:ilvl w:val="0"/>
        <w:numId w:val="0"/>
      </w:numPr>
      <w:tabs>
        <w:tab w:val="left" w:pos="425"/>
        <w:tab w:val="clear" w:pos="478"/>
      </w:tabs>
      <w:autoSpaceDE/>
      <w:autoSpaceDN/>
      <w:adjustRightInd w:val="0"/>
      <w:spacing w:before="120" w:beforeLines="0" w:beforeAutospacing="0" w:after="360" w:afterLines="0" w:afterAutospacing="0" w:line="360" w:lineRule="auto"/>
      <w:ind w:left="425" w:hanging="425"/>
      <w:jc w:val="left"/>
      <w:textAlignment w:val="baseline"/>
    </w:pPr>
    <w:rPr>
      <w:rFonts w:hint="default" w:ascii="Arial" w:hAnsi="Arial"/>
      <w:b/>
      <w:color w:val="auto"/>
      <w:kern w:val="44"/>
      <w:sz w:val="32"/>
    </w:rPr>
  </w:style>
  <w:style w:type="paragraph" w:customStyle="1" w:styleId="340">
    <w:name w:val="Plain Text"/>
    <w:basedOn w:val="141"/>
    <w:qFormat/>
    <w:uiPriority w:val="0"/>
    <w:pPr>
      <w:numPr>
        <w:ilvl w:val="0"/>
        <w:numId w:val="9"/>
      </w:numPr>
      <w:autoSpaceDE w:val="0"/>
      <w:autoSpaceDN w:val="0"/>
      <w:adjustRightInd w:val="0"/>
      <w:ind w:left="0" w:firstLine="0"/>
      <w:textAlignment w:val="baseline"/>
    </w:pPr>
    <w:rPr>
      <w:rFonts w:ascii="宋体" w:hAnsi="Tms Rmn"/>
      <w:kern w:val="0"/>
      <w:sz w:val="21"/>
    </w:rPr>
  </w:style>
  <w:style w:type="paragraph" w:customStyle="1" w:styleId="341">
    <w:name w:val="xl29"/>
    <w:basedOn w:val="1"/>
    <w:qFormat/>
    <w:uiPriority w:val="0"/>
    <w:pPr>
      <w:widowControl/>
      <w:pBdr>
        <w:top w:val="single" w:color="auto" w:sz="6" w:space="0"/>
        <w:left w:val="single" w:color="auto" w:sz="6" w:space="0"/>
        <w:bottom w:val="single" w:color="auto" w:sz="6" w:space="0"/>
        <w:right w:val="single" w:color="auto" w:sz="6" w:space="0"/>
      </w:pBdr>
      <w:adjustRightInd w:val="0"/>
      <w:spacing w:before="100" w:beforeLines="0" w:after="100" w:afterLines="0"/>
      <w:jc w:val="left"/>
      <w:textAlignment w:val="center"/>
    </w:pPr>
    <w:rPr>
      <w:rFonts w:ascii="Arial Unicode MS" w:hAnsi="Arial Unicode MS"/>
      <w:color w:val="000000"/>
      <w:kern w:val="0"/>
      <w:sz w:val="21"/>
    </w:rPr>
  </w:style>
  <w:style w:type="paragraph" w:customStyle="1" w:styleId="342">
    <w:name w:val="正文文本缩进1"/>
    <w:basedOn w:val="1"/>
    <w:next w:val="1"/>
    <w:qFormat/>
    <w:uiPriority w:val="0"/>
    <w:pPr>
      <w:widowControl/>
      <w:spacing w:after="120" w:afterLines="0" w:afterAutospacing="0"/>
      <w:ind w:left="420"/>
    </w:pPr>
    <w:rPr>
      <w:color w:val="000000"/>
      <w:sz w:val="21"/>
    </w:rPr>
  </w:style>
  <w:style w:type="paragraph" w:customStyle="1" w:styleId="343">
    <w:name w:val="my标题5"/>
    <w:basedOn w:val="1"/>
    <w:qFormat/>
    <w:uiPriority w:val="0"/>
    <w:pPr>
      <w:tabs>
        <w:tab w:val="left" w:pos="992"/>
      </w:tabs>
      <w:ind w:left="992" w:hanging="992"/>
    </w:pPr>
  </w:style>
  <w:style w:type="paragraph" w:customStyle="1" w:styleId="344">
    <w:name w:val="无缩进正文"/>
    <w:basedOn w:val="1"/>
    <w:qFormat/>
    <w:uiPriority w:val="0"/>
    <w:pPr>
      <w:adjustRightInd w:val="0"/>
      <w:textAlignment w:val="baseline"/>
    </w:pPr>
    <w:rPr>
      <w:kern w:val="0"/>
      <w:sz w:val="21"/>
    </w:rPr>
  </w:style>
  <w:style w:type="paragraph" w:customStyle="1" w:styleId="345">
    <w:name w:val="xl84"/>
    <w:basedOn w:val="1"/>
    <w:qFormat/>
    <w:uiPriority w:val="0"/>
    <w:pPr>
      <w:widowControl/>
      <w:shd w:val="clear" w:color="auto" w:fill="C0C0C0"/>
      <w:spacing w:before="100" w:beforeLines="0" w:beforeAutospacing="1" w:after="100" w:afterLines="0" w:afterAutospacing="1"/>
      <w:jc w:val="left"/>
    </w:pPr>
    <w:rPr>
      <w:rFonts w:ascii="华文细黑" w:hAnsi="华文细黑" w:eastAsia="华文细黑" w:cs="宋体"/>
      <w:b/>
      <w:bCs/>
      <w:color w:val="000000"/>
      <w:kern w:val="0"/>
      <w:szCs w:val="24"/>
    </w:rPr>
  </w:style>
  <w:style w:type="paragraph" w:customStyle="1" w:styleId="346">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kern w:val="0"/>
      <w:szCs w:val="24"/>
    </w:rPr>
  </w:style>
  <w:style w:type="paragraph" w:customStyle="1" w:styleId="347">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0"/>
    </w:rPr>
  </w:style>
  <w:style w:type="paragraph" w:customStyle="1" w:styleId="348">
    <w:name w:val="正文文字3"/>
    <w:basedOn w:val="1"/>
    <w:qFormat/>
    <w:uiPriority w:val="0"/>
    <w:pPr>
      <w:spacing w:before="60" w:beforeLines="0" w:after="60" w:afterLines="0" w:line="500" w:lineRule="exact"/>
      <w:ind w:left="1020" w:firstLine="592"/>
    </w:pPr>
    <w:rPr>
      <w:sz w:val="28"/>
    </w:rPr>
  </w:style>
  <w:style w:type="paragraph" w:customStyle="1" w:styleId="349">
    <w:name w:val="List Paragraph1"/>
    <w:basedOn w:val="1"/>
    <w:qFormat/>
    <w:uiPriority w:val="99"/>
    <w:pPr>
      <w:ind w:firstLine="420" w:firstLineChars="200"/>
    </w:pPr>
    <w:rPr>
      <w:szCs w:val="21"/>
    </w:rPr>
  </w:style>
  <w:style w:type="paragraph" w:customStyle="1" w:styleId="350">
    <w:name w:val="正文3"/>
    <w:basedOn w:val="1"/>
    <w:qFormat/>
    <w:uiPriority w:val="0"/>
    <w:pPr>
      <w:spacing w:before="60" w:beforeLines="0" w:beforeAutospacing="0" w:after="60" w:afterLines="0" w:afterAutospacing="0" w:line="360" w:lineRule="auto"/>
      <w:outlineLvl w:val="8"/>
    </w:pPr>
  </w:style>
  <w:style w:type="paragraph" w:customStyle="1" w:styleId="351">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0"/>
    </w:rPr>
  </w:style>
  <w:style w:type="paragraph" w:customStyle="1" w:styleId="352">
    <w:name w:val="无列表2"/>
    <w:basedOn w:val="1"/>
    <w:next w:val="1"/>
    <w:qFormat/>
    <w:uiPriority w:val="0"/>
    <w:pPr>
      <w:jc w:val="left"/>
    </w:pPr>
    <w:rPr>
      <w:color w:val="000000"/>
      <w:kern w:val="0"/>
    </w:rPr>
  </w:style>
  <w:style w:type="paragraph" w:customStyle="1" w:styleId="353">
    <w:name w:val="正文文字缩进2"/>
    <w:basedOn w:val="34"/>
    <w:qFormat/>
    <w:uiPriority w:val="0"/>
    <w:pPr>
      <w:autoSpaceDE/>
      <w:autoSpaceDN/>
      <w:spacing w:before="100" w:beforeLines="0" w:beforeAutospacing="1" w:after="100" w:afterLines="0" w:afterAutospacing="1" w:line="400" w:lineRule="atLeast"/>
      <w:ind w:left="400" w:leftChars="400"/>
      <w:jc w:val="both"/>
      <w:textAlignment w:val="baseline"/>
    </w:pPr>
    <w:rPr>
      <w:rFonts w:ascii="Times New Roman"/>
      <w:color w:val="auto"/>
    </w:rPr>
  </w:style>
  <w:style w:type="paragraph" w:customStyle="1" w:styleId="354">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kern w:val="0"/>
      <w:sz w:val="20"/>
    </w:rPr>
  </w:style>
  <w:style w:type="paragraph" w:customStyle="1" w:styleId="355">
    <w:name w:val="xl62"/>
    <w:basedOn w:val="1"/>
    <w:qFormat/>
    <w:uiPriority w:val="0"/>
    <w:pPr>
      <w:widowControl/>
      <w:pBdr>
        <w:left w:val="single" w:color="auto" w:sz="4" w:space="0"/>
        <w:right w:val="single" w:color="auto" w:sz="4" w:space="0"/>
      </w:pBdr>
      <w:shd w:val="clear" w:color="auto" w:fill="FFFFFF"/>
      <w:spacing w:before="100" w:beforeAutospacing="1" w:after="100" w:afterAutospacing="1"/>
      <w:jc w:val="center"/>
    </w:pPr>
    <w:rPr>
      <w:rFonts w:ascii="宋体" w:hAnsi="宋体"/>
      <w:b/>
      <w:bCs/>
      <w:kern w:val="0"/>
      <w:sz w:val="20"/>
    </w:rPr>
  </w:style>
  <w:style w:type="paragraph" w:customStyle="1" w:styleId="356">
    <w:name w:val="xl39"/>
    <w:basedOn w:val="1"/>
    <w:qFormat/>
    <w:uiPriority w:val="0"/>
    <w:pPr>
      <w:widowControl/>
      <w:spacing w:before="100" w:beforeLines="0" w:beforeAutospacing="1" w:after="100" w:afterLines="0" w:afterAutospacing="1"/>
      <w:jc w:val="center"/>
    </w:pPr>
    <w:rPr>
      <w:rFonts w:hint="eastAsia" w:ascii="宋体" w:hAnsi="宋体"/>
      <w:kern w:val="0"/>
    </w:rPr>
  </w:style>
  <w:style w:type="paragraph" w:customStyle="1" w:styleId="357">
    <w:name w:val="xl93"/>
    <w:basedOn w:val="1"/>
    <w:qFormat/>
    <w:uiPriority w:val="0"/>
    <w:pPr>
      <w:widowControl/>
      <w:shd w:val="clear" w:color="auto" w:fill="99CCFF"/>
      <w:spacing w:before="100" w:beforeLines="0" w:beforeAutospacing="1" w:after="100" w:afterLines="0" w:afterAutospacing="1"/>
      <w:jc w:val="left"/>
    </w:pPr>
    <w:rPr>
      <w:rFonts w:ascii="宋体" w:hAnsi="宋体" w:cs="宋体"/>
      <w:b/>
      <w:bCs/>
      <w:color w:val="000000"/>
      <w:kern w:val="0"/>
      <w:szCs w:val="24"/>
    </w:rPr>
  </w:style>
  <w:style w:type="paragraph" w:customStyle="1" w:styleId="358">
    <w:name w:val="Char Char Char Char Char Char Char"/>
    <w:basedOn w:val="1"/>
    <w:qFormat/>
    <w:uiPriority w:val="0"/>
    <w:pPr>
      <w:widowControl/>
      <w:spacing w:after="160" w:afterLines="0" w:afterAutospacing="0" w:line="240" w:lineRule="exact"/>
      <w:jc w:val="left"/>
    </w:pPr>
    <w:rPr>
      <w:rFonts w:ascii="Arial" w:hAnsi="Arial" w:eastAsia="Times New Roman"/>
      <w:b/>
      <w:kern w:val="0"/>
      <w:lang w:eastAsia="en-US"/>
    </w:rPr>
  </w:style>
  <w:style w:type="paragraph" w:customStyle="1" w:styleId="359">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Cs w:val="24"/>
    </w:rPr>
  </w:style>
  <w:style w:type="paragraph" w:customStyle="1" w:styleId="360">
    <w:name w:val="样式 仿宋_GB2312 行距: 1.5 倍行距"/>
    <w:basedOn w:val="1"/>
    <w:qFormat/>
    <w:uiPriority w:val="0"/>
    <w:pPr>
      <w:spacing w:line="360" w:lineRule="auto"/>
      <w:ind w:firstLine="480" w:firstLineChars="200"/>
    </w:pPr>
    <w:rPr>
      <w:rFonts w:ascii="宋体" w:hAnsi="宋体"/>
    </w:rPr>
  </w:style>
  <w:style w:type="paragraph" w:customStyle="1" w:styleId="361">
    <w:name w:val="正文缩进 3"/>
    <w:basedOn w:val="1"/>
    <w:qFormat/>
    <w:uiPriority w:val="0"/>
    <w:pPr>
      <w:adjustRightInd w:val="0"/>
      <w:spacing w:line="400" w:lineRule="atLeast"/>
      <w:ind w:left="600" w:leftChars="600" w:firstLine="454"/>
      <w:textAlignment w:val="baseline"/>
    </w:pPr>
    <w:rPr>
      <w:kern w:val="0"/>
    </w:rPr>
  </w:style>
  <w:style w:type="paragraph" w:customStyle="1" w:styleId="362">
    <w:name w:val="font17"/>
    <w:basedOn w:val="1"/>
    <w:qFormat/>
    <w:uiPriority w:val="0"/>
    <w:pPr>
      <w:widowControl/>
      <w:spacing w:before="100" w:beforeLines="0" w:beforeAutospacing="1" w:after="100" w:afterLines="0" w:afterAutospacing="1"/>
      <w:jc w:val="left"/>
    </w:pPr>
    <w:rPr>
      <w:rFonts w:ascii="宋体" w:hAnsi="宋体" w:cs="宋体"/>
      <w:kern w:val="0"/>
      <w:sz w:val="22"/>
      <w:szCs w:val="22"/>
    </w:rPr>
  </w:style>
  <w:style w:type="paragraph" w:customStyle="1" w:styleId="363">
    <w:name w:val="页码1"/>
    <w:basedOn w:val="1"/>
    <w:next w:val="1"/>
    <w:qFormat/>
    <w:uiPriority w:val="0"/>
    <w:pPr>
      <w:widowControl/>
    </w:pPr>
    <w:rPr>
      <w:color w:val="000000"/>
      <w:sz w:val="21"/>
    </w:rPr>
  </w:style>
  <w:style w:type="paragraph" w:customStyle="1" w:styleId="364">
    <w:name w:val="xl75"/>
    <w:basedOn w:val="1"/>
    <w:qFormat/>
    <w:uiPriority w:val="0"/>
    <w:pPr>
      <w:widowControl/>
      <w:spacing w:before="100" w:beforeLines="0" w:beforeAutospacing="1" w:after="100" w:afterLines="0" w:afterAutospacing="1"/>
      <w:jc w:val="center"/>
    </w:pPr>
    <w:rPr>
      <w:rFonts w:ascii="幼圆" w:hAnsi="宋体" w:eastAsia="幼圆" w:cs="宋体"/>
      <w:b/>
      <w:bCs/>
      <w:color w:val="000000"/>
      <w:kern w:val="0"/>
      <w:szCs w:val="24"/>
    </w:rPr>
  </w:style>
  <w:style w:type="paragraph" w:customStyle="1" w:styleId="365">
    <w:name w:val="My标题2"/>
    <w:basedOn w:val="5"/>
    <w:next w:val="1"/>
    <w:qFormat/>
    <w:uiPriority w:val="0"/>
    <w:pPr>
      <w:numPr>
        <w:ilvl w:val="0"/>
        <w:numId w:val="0"/>
      </w:numPr>
      <w:tabs>
        <w:tab w:val="left" w:pos="720"/>
        <w:tab w:val="clear" w:pos="358"/>
      </w:tabs>
      <w:adjustRightInd w:val="0"/>
      <w:spacing w:before="360" w:beforeLines="0" w:beforeAutospacing="0" w:after="120" w:afterLines="0" w:afterAutospacing="0"/>
      <w:ind w:left="567" w:hanging="567"/>
      <w:jc w:val="left"/>
      <w:textAlignment w:val="baseline"/>
    </w:pPr>
    <w:rPr>
      <w:rFonts w:ascii="Arial" w:hAnsi="Arial"/>
      <w:kern w:val="0"/>
      <w:sz w:val="24"/>
    </w:rPr>
  </w:style>
  <w:style w:type="paragraph" w:customStyle="1" w:styleId="366">
    <w:name w:val="xl76"/>
    <w:basedOn w:val="1"/>
    <w:qFormat/>
    <w:uiPriority w:val="0"/>
    <w:pPr>
      <w:widowControl/>
      <w:shd w:val="clear" w:color="auto" w:fill="99CCFF"/>
      <w:spacing w:before="100" w:beforeLines="0" w:beforeAutospacing="1" w:after="100" w:afterLines="0" w:afterAutospacing="1"/>
      <w:jc w:val="left"/>
    </w:pPr>
    <w:rPr>
      <w:rFonts w:ascii="Arial" w:hAnsi="Arial" w:cs="Arial"/>
      <w:b/>
      <w:bCs/>
      <w:color w:val="000000"/>
      <w:kern w:val="0"/>
      <w:szCs w:val="24"/>
    </w:rPr>
  </w:style>
  <w:style w:type="paragraph" w:customStyle="1" w:styleId="367">
    <w:name w:val="standdate"/>
    <w:basedOn w:val="51"/>
    <w:qFormat/>
    <w:uiPriority w:val="0"/>
    <w:rPr>
      <w:szCs w:val="18"/>
      <w:lang w:val="en-US" w:eastAsia="zh-CN"/>
    </w:rPr>
  </w:style>
  <w:style w:type="paragraph" w:customStyle="1" w:styleId="368">
    <w:name w:val="xl104"/>
    <w:basedOn w:val="1"/>
    <w:qFormat/>
    <w:uiPriority w:val="0"/>
    <w:pPr>
      <w:widowControl/>
      <w:spacing w:before="100" w:beforeLines="0" w:beforeAutospacing="1" w:after="100" w:afterLines="0" w:afterAutospacing="1"/>
      <w:jc w:val="left"/>
    </w:pPr>
    <w:rPr>
      <w:rFonts w:ascii="宋体" w:hAnsi="宋体" w:cs="宋体"/>
      <w:color w:val="000000"/>
      <w:kern w:val="0"/>
      <w:szCs w:val="24"/>
    </w:rPr>
  </w:style>
  <w:style w:type="paragraph" w:customStyle="1" w:styleId="369">
    <w:name w:val="xl38"/>
    <w:basedOn w:val="1"/>
    <w:qFormat/>
    <w:uiPriority w:val="0"/>
    <w:pPr>
      <w:widowControl/>
      <w:pBdr>
        <w:top w:val="single" w:color="auto" w:sz="4" w:space="0"/>
        <w:left w:val="single" w:color="auto" w:sz="4" w:space="0"/>
        <w:bottom w:val="single" w:color="auto" w:sz="4" w:space="0"/>
      </w:pBdr>
      <w:shd w:val="clear" w:color="auto" w:fill="000080"/>
      <w:spacing w:before="100" w:beforeAutospacing="1" w:after="100" w:afterAutospacing="1"/>
      <w:jc w:val="left"/>
    </w:pPr>
    <w:rPr>
      <w:rFonts w:ascii="宋体" w:hAnsi="宋体"/>
      <w:b/>
      <w:bCs/>
      <w:color w:val="FFFFFF"/>
      <w:kern w:val="0"/>
      <w:sz w:val="20"/>
    </w:rPr>
  </w:style>
  <w:style w:type="paragraph" w:customStyle="1" w:styleId="370">
    <w:name w:val="font20"/>
    <w:basedOn w:val="1"/>
    <w:qFormat/>
    <w:uiPriority w:val="0"/>
    <w:pPr>
      <w:widowControl/>
      <w:spacing w:before="100" w:beforeLines="0" w:beforeAutospacing="1" w:after="100" w:afterLines="0" w:afterAutospacing="1"/>
      <w:jc w:val="left"/>
    </w:pPr>
    <w:rPr>
      <w:rFonts w:ascii="宋体" w:hAnsi="宋体" w:cs="宋体"/>
      <w:kern w:val="0"/>
      <w:sz w:val="40"/>
      <w:szCs w:val="40"/>
    </w:rPr>
  </w:style>
  <w:style w:type="paragraph" w:customStyle="1" w:styleId="371">
    <w:name w:val="font6"/>
    <w:basedOn w:val="1"/>
    <w:qFormat/>
    <w:uiPriority w:val="0"/>
    <w:pPr>
      <w:widowControl/>
      <w:adjustRightInd w:val="0"/>
      <w:spacing w:before="100" w:beforeLines="0" w:after="100" w:afterLines="0"/>
      <w:jc w:val="left"/>
      <w:textAlignment w:val="baseline"/>
    </w:pPr>
    <w:rPr>
      <w:color w:val="000000"/>
      <w:kern w:val="0"/>
      <w:sz w:val="21"/>
    </w:rPr>
  </w:style>
  <w:style w:type="paragraph" w:customStyle="1" w:styleId="372">
    <w:name w:val=" Char Char Char Char Char Char Char Char Char Char"/>
    <w:basedOn w:val="1"/>
    <w:qFormat/>
    <w:uiPriority w:val="0"/>
    <w:rPr>
      <w:sz w:val="21"/>
    </w:rPr>
  </w:style>
  <w:style w:type="paragraph" w:customStyle="1" w:styleId="373">
    <w:name w:val="图脚"/>
    <w:basedOn w:val="1"/>
    <w:qFormat/>
    <w:uiPriority w:val="0"/>
    <w:pPr>
      <w:tabs>
        <w:tab w:val="left" w:pos="900"/>
      </w:tabs>
      <w:ind w:left="900" w:hanging="420"/>
      <w:jc w:val="center"/>
    </w:pPr>
    <w:rPr>
      <w:rFonts w:eastAsia="黑体"/>
    </w:rPr>
  </w:style>
  <w:style w:type="paragraph" w:customStyle="1" w:styleId="374">
    <w:name w:val="Headings Font"/>
    <w:basedOn w:val="1"/>
    <w:next w:val="34"/>
    <w:qFormat/>
    <w:uiPriority w:val="0"/>
    <w:pPr>
      <w:keepNext/>
      <w:spacing w:line="280" w:lineRule="atLeast"/>
      <w:jc w:val="left"/>
    </w:pPr>
    <w:rPr>
      <w:rFonts w:ascii="Arial" w:hAnsi="Arial"/>
      <w:kern w:val="0"/>
      <w:sz w:val="22"/>
      <w:szCs w:val="24"/>
      <w:lang w:val="en-GB"/>
    </w:rPr>
  </w:style>
  <w:style w:type="paragraph" w:customStyle="1" w:styleId="375">
    <w:name w:val="xl5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b/>
      <w:bCs/>
      <w:kern w:val="0"/>
      <w:sz w:val="20"/>
    </w:rPr>
  </w:style>
  <w:style w:type="paragraph" w:customStyle="1" w:styleId="376">
    <w:name w:val="3 Char"/>
    <w:basedOn w:val="1"/>
    <w:qFormat/>
    <w:uiPriority w:val="0"/>
    <w:pPr>
      <w:widowControl/>
      <w:spacing w:line="400" w:lineRule="exact"/>
      <w:jc w:val="center"/>
    </w:pPr>
    <w:rPr>
      <w:rFonts w:ascii="Verdana" w:hAnsi="Verdana"/>
      <w:kern w:val="0"/>
      <w:sz w:val="21"/>
      <w:lang w:eastAsia="en-US"/>
    </w:rPr>
  </w:style>
  <w:style w:type="paragraph" w:customStyle="1" w:styleId="377">
    <w:name w:val="xl71"/>
    <w:basedOn w:val="1"/>
    <w:qFormat/>
    <w:uiPriority w:val="0"/>
    <w:pPr>
      <w:widowControl/>
      <w:spacing w:before="100" w:beforeLines="0" w:beforeAutospacing="1" w:after="100" w:afterLines="0" w:afterAutospacing="1"/>
      <w:jc w:val="left"/>
    </w:pPr>
    <w:rPr>
      <w:rFonts w:ascii="Arial" w:hAnsi="Arial" w:cs="Arial"/>
      <w:color w:val="000000"/>
      <w:kern w:val="0"/>
      <w:szCs w:val="24"/>
    </w:rPr>
  </w:style>
  <w:style w:type="paragraph" w:customStyle="1" w:styleId="378">
    <w:name w:val="正文文本1"/>
    <w:basedOn w:val="1"/>
    <w:qFormat/>
    <w:uiPriority w:val="0"/>
    <w:pPr>
      <w:spacing w:after="120" w:afterLines="0" w:afterAutospacing="0"/>
    </w:pPr>
    <w:rPr>
      <w:sz w:val="21"/>
    </w:rPr>
  </w:style>
  <w:style w:type="paragraph" w:customStyle="1" w:styleId="379">
    <w:name w:val="xl25"/>
    <w:basedOn w:val="1"/>
    <w:qFormat/>
    <w:uiPriority w:val="0"/>
    <w:pPr>
      <w:widowControl/>
      <w:pBdr>
        <w:top w:val="single" w:color="auto" w:sz="6" w:space="0"/>
        <w:left w:val="single" w:color="auto" w:sz="6" w:space="0"/>
        <w:bottom w:val="single" w:color="auto" w:sz="6" w:space="0"/>
        <w:right w:val="single" w:color="auto" w:sz="6" w:space="0"/>
      </w:pBdr>
      <w:adjustRightInd w:val="0"/>
      <w:spacing w:before="100" w:beforeLines="0" w:after="100" w:afterLines="0"/>
      <w:jc w:val="center"/>
      <w:textAlignment w:val="center"/>
    </w:pPr>
    <w:rPr>
      <w:rFonts w:ascii="Arial Unicode MS" w:hAnsi="Arial Unicode MS"/>
      <w:color w:val="000000"/>
      <w:kern w:val="0"/>
      <w:sz w:val="21"/>
    </w:rPr>
  </w:style>
  <w:style w:type="paragraph" w:customStyle="1" w:styleId="380">
    <w:name w:val="样式编号"/>
    <w:basedOn w:val="34"/>
    <w:qFormat/>
    <w:uiPriority w:val="0"/>
    <w:pPr>
      <w:widowControl/>
      <w:autoSpaceDE/>
      <w:autoSpaceDN/>
      <w:adjustRightInd/>
      <w:spacing w:after="156" w:afterLines="50" w:line="300" w:lineRule="auto"/>
      <w:jc w:val="both"/>
    </w:pPr>
    <w:rPr>
      <w:rFonts w:ascii="Times New Roman" w:eastAsia="仿宋_GB2312"/>
      <w:color w:val="auto"/>
      <w:spacing w:val="-10"/>
      <w:szCs w:val="24"/>
      <w:lang w:val="en-US" w:eastAsia="zh-CN"/>
    </w:rPr>
  </w:style>
  <w:style w:type="paragraph" w:customStyle="1" w:styleId="381">
    <w:name w:val="xl101"/>
    <w:basedOn w:val="1"/>
    <w:qFormat/>
    <w:uiPriority w:val="0"/>
    <w:pPr>
      <w:widowControl/>
      <w:shd w:val="clear" w:color="auto" w:fill="CCFFCC"/>
      <w:spacing w:before="100" w:beforeLines="0" w:beforeAutospacing="1" w:after="100" w:afterLines="0" w:afterAutospacing="1"/>
      <w:jc w:val="left"/>
    </w:pPr>
    <w:rPr>
      <w:rFonts w:ascii="Arial" w:hAnsi="Arial" w:cs="Arial"/>
      <w:color w:val="000000"/>
      <w:kern w:val="0"/>
      <w:szCs w:val="24"/>
    </w:rPr>
  </w:style>
  <w:style w:type="paragraph" w:customStyle="1" w:styleId="382">
    <w:name w:val="目录"/>
    <w:basedOn w:val="1"/>
    <w:qFormat/>
    <w:uiPriority w:val="0"/>
    <w:pPr>
      <w:widowControl/>
      <w:spacing w:line="480" w:lineRule="auto"/>
      <w:jc w:val="center"/>
    </w:pPr>
    <w:rPr>
      <w:rFonts w:ascii="宋体"/>
      <w:b/>
      <w:kern w:val="0"/>
    </w:rPr>
  </w:style>
  <w:style w:type="paragraph" w:customStyle="1" w:styleId="383">
    <w:name w:val="已访问的超链接1"/>
    <w:basedOn w:val="1"/>
    <w:next w:val="1"/>
    <w:qFormat/>
    <w:uiPriority w:val="0"/>
    <w:pPr>
      <w:widowControl/>
    </w:pPr>
    <w:rPr>
      <w:color w:val="800080"/>
      <w:sz w:val="21"/>
      <w:u w:val="single" w:color="000000"/>
    </w:rPr>
  </w:style>
  <w:style w:type="paragraph" w:customStyle="1" w:styleId="384">
    <w:name w:val="xl86"/>
    <w:basedOn w:val="1"/>
    <w:qFormat/>
    <w:uiPriority w:val="0"/>
    <w:pPr>
      <w:widowControl/>
      <w:shd w:val="clear" w:color="auto" w:fill="C0C0C0"/>
      <w:spacing w:before="100" w:beforeLines="0" w:beforeAutospacing="1" w:after="100" w:afterLines="0" w:afterAutospacing="1"/>
      <w:jc w:val="left"/>
    </w:pPr>
    <w:rPr>
      <w:rFonts w:ascii="Arial" w:hAnsi="Arial" w:cs="Arial"/>
      <w:color w:val="000000"/>
      <w:kern w:val="0"/>
      <w:szCs w:val="24"/>
    </w:rPr>
  </w:style>
  <w:style w:type="paragraph" w:customStyle="1" w:styleId="385">
    <w:name w:val="font7"/>
    <w:basedOn w:val="1"/>
    <w:qFormat/>
    <w:uiPriority w:val="0"/>
    <w:pPr>
      <w:widowControl/>
      <w:adjustRightInd w:val="0"/>
      <w:spacing w:before="100" w:beforeLines="0" w:after="100" w:afterLines="0"/>
      <w:jc w:val="left"/>
      <w:textAlignment w:val="baseline"/>
    </w:pPr>
    <w:rPr>
      <w:rFonts w:ascii="宋体" w:hAnsi="宋体"/>
      <w:b/>
      <w:color w:val="000000"/>
      <w:kern w:val="0"/>
      <w:sz w:val="20"/>
    </w:rPr>
  </w:style>
  <w:style w:type="paragraph" w:customStyle="1" w:styleId="386">
    <w:name w:val="文档正文（外部）"/>
    <w:basedOn w:val="1"/>
    <w:qFormat/>
    <w:uiPriority w:val="0"/>
    <w:pPr>
      <w:spacing w:line="360" w:lineRule="auto"/>
    </w:pPr>
    <w:rPr>
      <w:sz w:val="28"/>
    </w:rPr>
  </w:style>
  <w:style w:type="paragraph" w:customStyle="1" w:styleId="387">
    <w:name w:val="xl95"/>
    <w:basedOn w:val="1"/>
    <w:qFormat/>
    <w:uiPriority w:val="0"/>
    <w:pPr>
      <w:widowControl/>
      <w:spacing w:before="100" w:beforeLines="0" w:beforeAutospacing="1" w:after="100" w:afterLines="0" w:afterAutospacing="1"/>
      <w:jc w:val="center"/>
    </w:pPr>
    <w:rPr>
      <w:rFonts w:ascii="幼圆" w:hAnsi="宋体" w:eastAsia="幼圆" w:cs="宋体"/>
      <w:kern w:val="0"/>
      <w:szCs w:val="24"/>
    </w:rPr>
  </w:style>
  <w:style w:type="paragraph" w:customStyle="1" w:styleId="388">
    <w:name w:val="样式 样式 正文首行缩进 2 + 首行缩进:  2 字符 + 首行缩进:  2 字符"/>
    <w:basedOn w:val="1"/>
    <w:qFormat/>
    <w:uiPriority w:val="0"/>
    <w:pPr>
      <w:spacing w:line="360" w:lineRule="auto"/>
      <w:ind w:firstLine="480" w:firstLineChars="200"/>
    </w:pPr>
  </w:style>
  <w:style w:type="paragraph" w:customStyle="1" w:styleId="389">
    <w:name w:val="xl105"/>
    <w:basedOn w:val="1"/>
    <w:qFormat/>
    <w:uiPriority w:val="0"/>
    <w:pPr>
      <w:widowControl/>
      <w:spacing w:before="100" w:beforeLines="0" w:beforeAutospacing="1" w:after="100" w:afterLines="0" w:afterAutospacing="1"/>
      <w:jc w:val="left"/>
    </w:pPr>
    <w:rPr>
      <w:rFonts w:ascii="宋体" w:hAnsi="宋体" w:cs="宋体"/>
      <w:kern w:val="0"/>
      <w:szCs w:val="24"/>
    </w:rPr>
  </w:style>
  <w:style w:type="paragraph" w:customStyle="1" w:styleId="390">
    <w:name w:val="产品正文 Char1 Char"/>
    <w:basedOn w:val="1"/>
    <w:qFormat/>
    <w:uiPriority w:val="0"/>
    <w:pPr>
      <w:numPr>
        <w:ilvl w:val="0"/>
        <w:numId w:val="10"/>
      </w:numPr>
      <w:spacing w:line="360" w:lineRule="auto"/>
      <w:ind w:left="0" w:firstLine="200" w:firstLineChars="200"/>
    </w:pPr>
    <w:rPr>
      <w:bCs/>
      <w:sz w:val="18"/>
      <w:szCs w:val="18"/>
    </w:rPr>
  </w:style>
  <w:style w:type="paragraph" w:customStyle="1" w:styleId="391">
    <w:name w:val="章节标题1"/>
    <w:basedOn w:val="1"/>
    <w:next w:val="115"/>
    <w:qFormat/>
    <w:uiPriority w:val="0"/>
    <w:pPr>
      <w:keepNext/>
      <w:keepLines/>
      <w:tabs>
        <w:tab w:val="left" w:pos="900"/>
      </w:tabs>
      <w:spacing w:before="340" w:after="330" w:line="578" w:lineRule="auto"/>
      <w:ind w:left="900" w:hanging="420"/>
      <w:outlineLvl w:val="0"/>
    </w:pPr>
    <w:rPr>
      <w:b/>
      <w:bCs/>
      <w:kern w:val="44"/>
      <w:sz w:val="36"/>
      <w:szCs w:val="44"/>
    </w:rPr>
  </w:style>
  <w:style w:type="paragraph" w:customStyle="1" w:styleId="392">
    <w:name w:val="文本正文"/>
    <w:basedOn w:val="1"/>
    <w:qFormat/>
    <w:uiPriority w:val="0"/>
    <w:pPr>
      <w:spacing w:before="156" w:beforeLines="0" w:beforeAutospacing="0" w:after="156" w:afterLines="0" w:afterAutospacing="0" w:line="360" w:lineRule="auto"/>
      <w:ind w:firstLine="480"/>
    </w:pPr>
    <w:rPr>
      <w:color w:val="000000"/>
      <w:sz w:val="21"/>
    </w:rPr>
  </w:style>
  <w:style w:type="paragraph" w:customStyle="1" w:styleId="393">
    <w:name w:val=" Char Char Char"/>
    <w:basedOn w:val="1"/>
    <w:qFormat/>
    <w:uiPriority w:val="0"/>
    <w:rPr>
      <w:rFonts w:ascii="Tahoma" w:hAnsi="Tahoma"/>
    </w:rPr>
  </w:style>
  <w:style w:type="paragraph" w:customStyle="1" w:styleId="394">
    <w:name w:val="样式3"/>
    <w:basedOn w:val="1"/>
    <w:qFormat/>
    <w:uiPriority w:val="0"/>
    <w:pPr>
      <w:ind w:left="1980"/>
    </w:pPr>
    <w:rPr>
      <w:sz w:val="21"/>
    </w:rPr>
  </w:style>
  <w:style w:type="paragraph" w:customStyle="1" w:styleId="395">
    <w:name w:val="样式 首行缩进:  0.74 厘米"/>
    <w:basedOn w:val="1"/>
    <w:qFormat/>
    <w:uiPriority w:val="0"/>
    <w:pPr>
      <w:spacing w:line="360" w:lineRule="auto"/>
      <w:ind w:firstLine="420"/>
    </w:pPr>
    <w:rPr>
      <w:sz w:val="21"/>
    </w:rPr>
  </w:style>
  <w:style w:type="paragraph" w:customStyle="1" w:styleId="396">
    <w:name w:val="myp1111"/>
    <w:basedOn w:val="1"/>
    <w:next w:val="1"/>
    <w:qFormat/>
    <w:uiPriority w:val="0"/>
    <w:pPr>
      <w:widowControl/>
    </w:pPr>
    <w:rPr>
      <w:rFonts w:ascii="ˎ̥" w:hAnsi="ˎ̥"/>
      <w:color w:val="000000"/>
      <w:sz w:val="20"/>
    </w:rPr>
  </w:style>
  <w:style w:type="paragraph" w:customStyle="1" w:styleId="397">
    <w:name w:val="正文字缩2字"/>
    <w:basedOn w:val="1"/>
    <w:qFormat/>
    <w:uiPriority w:val="0"/>
    <w:pPr>
      <w:spacing w:before="60" w:beforeLines="0" w:beforeAutospacing="0" w:after="60" w:afterLines="0" w:afterAutospacing="0" w:line="360" w:lineRule="auto"/>
      <w:ind w:left="200" w:leftChars="200" w:firstLine="200" w:firstLineChars="200"/>
    </w:pPr>
  </w:style>
  <w:style w:type="paragraph" w:customStyle="1" w:styleId="398">
    <w:name w:val="文字缩进 3"/>
    <w:basedOn w:val="34"/>
    <w:qFormat/>
    <w:uiPriority w:val="0"/>
    <w:pPr>
      <w:autoSpaceDE/>
      <w:autoSpaceDN/>
      <w:spacing w:before="100" w:beforeLines="0" w:beforeAutospacing="1" w:after="100" w:afterLines="0" w:afterAutospacing="1" w:line="400" w:lineRule="atLeast"/>
      <w:ind w:left="1276"/>
      <w:jc w:val="both"/>
      <w:textAlignment w:val="baseline"/>
    </w:pPr>
    <w:rPr>
      <w:rFonts w:ascii="Times New Roman"/>
      <w:color w:val="auto"/>
    </w:rPr>
  </w:style>
  <w:style w:type="paragraph" w:customStyle="1" w:styleId="399">
    <w:name w:val="xl92"/>
    <w:basedOn w:val="1"/>
    <w:qFormat/>
    <w:uiPriority w:val="0"/>
    <w:pPr>
      <w:widowControl/>
      <w:spacing w:before="100" w:beforeLines="0" w:beforeAutospacing="1" w:after="100" w:afterLines="0" w:afterAutospacing="1"/>
      <w:jc w:val="center"/>
    </w:pPr>
    <w:rPr>
      <w:rFonts w:ascii="宋体" w:hAnsi="宋体" w:cs="宋体"/>
      <w:kern w:val="0"/>
      <w:szCs w:val="24"/>
    </w:rPr>
  </w:style>
  <w:style w:type="paragraph" w:customStyle="1" w:styleId="400">
    <w:name w:val="样式 首行缩进:  0.85 厘米"/>
    <w:basedOn w:val="1"/>
    <w:qFormat/>
    <w:uiPriority w:val="0"/>
    <w:pPr>
      <w:tabs>
        <w:tab w:val="left" w:pos="1080"/>
        <w:tab w:val="left" w:pos="1200"/>
      </w:tabs>
      <w:spacing w:before="156" w:beforeLines="50" w:beforeAutospacing="0" w:after="156" w:afterLines="50" w:afterAutospacing="0" w:line="360" w:lineRule="auto"/>
      <w:ind w:left="420" w:firstLine="120"/>
      <w:jc w:val="left"/>
    </w:pPr>
    <w:rPr>
      <w:rFonts w:ascii="Arial"/>
    </w:rPr>
  </w:style>
  <w:style w:type="paragraph" w:customStyle="1" w:styleId="401">
    <w:name w:val="xl56"/>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b/>
      <w:bCs/>
      <w:kern w:val="0"/>
      <w:sz w:val="20"/>
    </w:rPr>
  </w:style>
  <w:style w:type="paragraph" w:customStyle="1" w:styleId="402">
    <w:name w:val=" Char Char Char Char Char Char Char"/>
    <w:basedOn w:val="1"/>
    <w:qFormat/>
    <w:uiPriority w:val="0"/>
    <w:rPr>
      <w:rFonts w:ascii="仿宋_GB2312" w:eastAsia="仿宋_GB2312"/>
      <w:b/>
      <w:sz w:val="32"/>
    </w:rPr>
  </w:style>
  <w:style w:type="paragraph" w:customStyle="1" w:styleId="403">
    <w:name w:val="xl88"/>
    <w:basedOn w:val="1"/>
    <w:qFormat/>
    <w:uiPriority w:val="0"/>
    <w:pPr>
      <w:widowControl/>
      <w:shd w:val="clear" w:color="auto" w:fill="C0C0C0"/>
      <w:spacing w:before="100" w:beforeLines="0" w:beforeAutospacing="1" w:after="100" w:afterLines="0" w:afterAutospacing="1"/>
      <w:jc w:val="center"/>
    </w:pPr>
    <w:rPr>
      <w:rFonts w:ascii="Arial" w:hAnsi="Arial" w:cs="Arial"/>
      <w:color w:val="000000"/>
      <w:kern w:val="0"/>
      <w:szCs w:val="24"/>
    </w:rPr>
  </w:style>
  <w:style w:type="paragraph" w:customStyle="1" w:styleId="404">
    <w:name w:val="列表编号 31"/>
    <w:basedOn w:val="1"/>
    <w:next w:val="1"/>
    <w:qFormat/>
    <w:uiPriority w:val="0"/>
    <w:pPr>
      <w:widowControl/>
      <w:tabs>
        <w:tab w:val="left" w:pos="482"/>
        <w:tab w:val="left" w:pos="840"/>
      </w:tabs>
      <w:spacing w:after="50" w:afterLines="0" w:afterAutospacing="0"/>
      <w:ind w:left="482" w:hanging="340"/>
      <w:jc w:val="left"/>
    </w:pPr>
    <w:rPr>
      <w:color w:val="000000"/>
      <w:kern w:val="0"/>
    </w:rPr>
  </w:style>
  <w:style w:type="paragraph" w:customStyle="1" w:styleId="405">
    <w:name w:val="font14"/>
    <w:basedOn w:val="1"/>
    <w:qFormat/>
    <w:uiPriority w:val="0"/>
    <w:pPr>
      <w:widowControl/>
      <w:spacing w:before="100" w:beforeLines="0" w:beforeAutospacing="1" w:after="100" w:afterLines="0" w:afterAutospacing="1"/>
      <w:jc w:val="left"/>
    </w:pPr>
    <w:rPr>
      <w:rFonts w:ascii="宋体" w:hAnsi="宋体" w:cs="宋体"/>
      <w:color w:val="000000"/>
      <w:kern w:val="0"/>
      <w:szCs w:val="24"/>
    </w:rPr>
  </w:style>
  <w:style w:type="paragraph" w:customStyle="1" w:styleId="406">
    <w:name w:val="xl43"/>
    <w:basedOn w:val="1"/>
    <w:qFormat/>
    <w:uiPriority w:val="0"/>
    <w:pPr>
      <w:widowControl/>
      <w:pBdr>
        <w:top w:val="single" w:color="auto" w:sz="4" w:space="0"/>
        <w:bottom w:val="single" w:color="auto" w:sz="4" w:space="0"/>
      </w:pBdr>
      <w:spacing w:before="100" w:beforeAutospacing="1" w:after="100" w:afterAutospacing="1"/>
      <w:jc w:val="center"/>
    </w:pPr>
    <w:rPr>
      <w:rFonts w:ascii="宋体" w:hAnsi="宋体"/>
      <w:b/>
      <w:bCs/>
      <w:kern w:val="0"/>
      <w:sz w:val="20"/>
    </w:rPr>
  </w:style>
  <w:style w:type="paragraph" w:customStyle="1" w:styleId="407">
    <w:name w:val="表正文"/>
    <w:basedOn w:val="1"/>
    <w:next w:val="43"/>
    <w:qFormat/>
    <w:uiPriority w:val="0"/>
    <w:rPr>
      <w:rFonts w:ascii="宋体" w:hAnsi="Courier New"/>
      <w:sz w:val="21"/>
    </w:rPr>
  </w:style>
  <w:style w:type="paragraph" w:customStyle="1" w:styleId="408">
    <w:name w:val="文字缩进"/>
    <w:basedOn w:val="34"/>
    <w:qFormat/>
    <w:uiPriority w:val="0"/>
    <w:pPr>
      <w:autoSpaceDE/>
      <w:autoSpaceDN/>
      <w:spacing w:before="100" w:beforeLines="0" w:beforeAutospacing="1" w:after="100" w:afterLines="0" w:afterAutospacing="1" w:line="400" w:lineRule="atLeast"/>
      <w:ind w:left="425"/>
      <w:jc w:val="both"/>
      <w:textAlignment w:val="baseline"/>
    </w:pPr>
    <w:rPr>
      <w:rFonts w:ascii="Times New Roman"/>
      <w:color w:val="auto"/>
    </w:rPr>
  </w:style>
  <w:style w:type="paragraph" w:customStyle="1" w:styleId="409">
    <w:name w:val="Char Char Char Char Char Char Char Char Char Char Char Char Char Char Char"/>
    <w:basedOn w:val="1"/>
    <w:qFormat/>
    <w:uiPriority w:val="0"/>
    <w:pPr>
      <w:widowControl/>
      <w:spacing w:line="400" w:lineRule="exact"/>
      <w:jc w:val="center"/>
    </w:pPr>
    <w:rPr>
      <w:rFonts w:ascii="Verdana" w:hAnsi="Verdana"/>
      <w:kern w:val="0"/>
      <w:sz w:val="21"/>
      <w:lang w:eastAsia="en-US"/>
    </w:rPr>
  </w:style>
  <w:style w:type="paragraph" w:customStyle="1" w:styleId="410">
    <w:name w:val="文本正文2"/>
    <w:basedOn w:val="1"/>
    <w:qFormat/>
    <w:uiPriority w:val="0"/>
    <w:pPr>
      <w:spacing w:before="156" w:beforeLines="0" w:beforeAutospacing="0" w:after="156" w:afterLines="0" w:afterAutospacing="0" w:line="360" w:lineRule="auto"/>
    </w:pPr>
    <w:rPr>
      <w:color w:val="000000"/>
      <w:sz w:val="21"/>
    </w:rPr>
  </w:style>
  <w:style w:type="paragraph" w:customStyle="1" w:styleId="411">
    <w:name w:val="My编号1"/>
    <w:basedOn w:val="1"/>
    <w:qFormat/>
    <w:uiPriority w:val="0"/>
    <w:pPr>
      <w:adjustRightInd w:val="0"/>
      <w:spacing w:before="120" w:beforeLines="0" w:beforeAutospacing="0" w:line="360" w:lineRule="auto"/>
      <w:textAlignment w:val="baseline"/>
    </w:pPr>
    <w:rPr>
      <w:rFonts w:ascii="Arial" w:hAnsi="Arial"/>
      <w:kern w:val="0"/>
    </w:rPr>
  </w:style>
  <w:style w:type="paragraph" w:customStyle="1" w:styleId="412">
    <w:name w:val="页头专用"/>
    <w:basedOn w:val="1"/>
    <w:next w:val="1"/>
    <w:qFormat/>
    <w:uiPriority w:val="0"/>
    <w:pPr>
      <w:spacing w:line="360" w:lineRule="auto"/>
      <w:ind w:firstLine="200" w:firstLineChars="200"/>
      <w:jc w:val="left"/>
    </w:pPr>
    <w:rPr>
      <w:rFonts w:ascii="宋体" w:hAnsi="宋体"/>
      <w:b/>
      <w:sz w:val="28"/>
      <w:szCs w:val="24"/>
      <w:u w:val="single"/>
    </w:rPr>
  </w:style>
  <w:style w:type="paragraph" w:customStyle="1" w:styleId="413">
    <w:name w:val="正文首行缩进 21"/>
    <w:basedOn w:val="1"/>
    <w:next w:val="1"/>
    <w:qFormat/>
    <w:uiPriority w:val="0"/>
    <w:pPr>
      <w:widowControl/>
      <w:spacing w:after="120" w:afterLines="0" w:afterAutospacing="0"/>
      <w:ind w:firstLine="210"/>
    </w:pPr>
    <w:rPr>
      <w:color w:val="000000"/>
      <w:sz w:val="21"/>
    </w:rPr>
  </w:style>
  <w:style w:type="paragraph" w:customStyle="1" w:styleId="414">
    <w:name w:val="xl87"/>
    <w:basedOn w:val="1"/>
    <w:qFormat/>
    <w:uiPriority w:val="0"/>
    <w:pPr>
      <w:widowControl/>
      <w:shd w:val="clear" w:color="auto" w:fill="C0C0C0"/>
      <w:spacing w:before="100" w:beforeLines="0" w:beforeAutospacing="1" w:after="100" w:afterLines="0" w:afterAutospacing="1"/>
      <w:jc w:val="center"/>
    </w:pPr>
    <w:rPr>
      <w:rFonts w:ascii="Arial" w:hAnsi="Arial" w:cs="Arial"/>
      <w:color w:val="000000"/>
      <w:kern w:val="0"/>
      <w:szCs w:val="24"/>
    </w:rPr>
  </w:style>
  <w:style w:type="paragraph" w:customStyle="1" w:styleId="415">
    <w:name w:val="正文图标题"/>
    <w:next w:val="121"/>
    <w:qFormat/>
    <w:uiPriority w:val="0"/>
    <w:pPr>
      <w:jc w:val="center"/>
    </w:pPr>
    <w:rPr>
      <w:rFonts w:ascii="黑体" w:hAnsi="Times New Roman" w:eastAsia="黑体" w:cs="Times New Roman"/>
      <w:sz w:val="21"/>
      <w:lang w:val="en-US" w:eastAsia="zh-CN" w:bidi="ar-SA"/>
    </w:rPr>
  </w:style>
  <w:style w:type="paragraph" w:customStyle="1" w:styleId="416">
    <w:name w:val="普通表格1"/>
    <w:basedOn w:val="1"/>
    <w:next w:val="1"/>
    <w:qFormat/>
    <w:uiPriority w:val="0"/>
    <w:pPr>
      <w:widowControl/>
      <w:jc w:val="left"/>
    </w:pPr>
    <w:rPr>
      <w:color w:val="000000"/>
      <w:kern w:val="0"/>
    </w:rPr>
  </w:style>
  <w:style w:type="paragraph" w:customStyle="1" w:styleId="417">
    <w:name w:val=" Char Char Char Char Char Char Char Char Char Char Char Char Char Char Char Char"/>
    <w:basedOn w:val="1"/>
    <w:qFormat/>
    <w:uiPriority w:val="0"/>
    <w:rPr>
      <w:rFonts w:ascii="Tahoma" w:hAnsi="Tahoma"/>
    </w:rPr>
  </w:style>
  <w:style w:type="paragraph" w:customStyle="1" w:styleId="418">
    <w:name w:val="表格2"/>
    <w:basedOn w:val="1"/>
    <w:qFormat/>
    <w:uiPriority w:val="0"/>
    <w:pPr>
      <w:keepLines/>
      <w:widowControl/>
      <w:topLinePunct/>
      <w:adjustRightInd w:val="0"/>
      <w:snapToGrid w:val="0"/>
      <w:spacing w:before="100" w:beforeAutospacing="1" w:after="100" w:afterAutospacing="1"/>
    </w:pPr>
    <w:rPr>
      <w:rFonts w:ascii="宋体" w:hAnsi="宋体"/>
      <w:kern w:val="0"/>
      <w:szCs w:val="21"/>
    </w:rPr>
  </w:style>
  <w:style w:type="paragraph" w:styleId="419">
    <w:name w:val="List Paragraph"/>
    <w:basedOn w:val="1"/>
    <w:qFormat/>
    <w:uiPriority w:val="34"/>
    <w:pPr>
      <w:ind w:firstLine="420" w:firstLineChars="200"/>
    </w:pPr>
    <w:rPr>
      <w:rFonts w:ascii="Verdana" w:hAnsi="Verdana" w:eastAsia="微软雅黑"/>
      <w:sz w:val="21"/>
    </w:rPr>
  </w:style>
  <w:style w:type="paragraph" w:customStyle="1" w:styleId="420">
    <w:name w:val="样式 标题 22nd levelh22Header 2H2 + 四号 段前: 6 磅 段后: 6 磅 行距: 1..."/>
    <w:basedOn w:val="5"/>
    <w:qFormat/>
    <w:uiPriority w:val="0"/>
    <w:pPr>
      <w:numPr>
        <w:ilvl w:val="0"/>
        <w:numId w:val="0"/>
      </w:numPr>
      <w:tabs>
        <w:tab w:val="left" w:pos="425"/>
        <w:tab w:val="clear" w:pos="358"/>
      </w:tabs>
      <w:spacing w:before="120" w:beforeLines="0" w:beforeAutospacing="0" w:after="120" w:afterLines="0" w:afterAutospacing="0"/>
      <w:ind w:left="425" w:hanging="425"/>
    </w:pPr>
    <w:rPr>
      <w:rFonts w:ascii="Arial" w:hAnsi="Arial"/>
      <w:sz w:val="28"/>
    </w:rPr>
  </w:style>
  <w:style w:type="paragraph" w:customStyle="1" w:styleId="421">
    <w:name w:val="样式 标题 1H1章节1l0Section HeadHeader1h1Level 1 HeadPIM 1He..."/>
    <w:basedOn w:val="4"/>
    <w:qFormat/>
    <w:uiPriority w:val="0"/>
    <w:pPr>
      <w:keepNext/>
      <w:keepLines/>
      <w:pageBreakBefore w:val="0"/>
      <w:widowControl w:val="0"/>
      <w:numPr>
        <w:ilvl w:val="0"/>
        <w:numId w:val="0"/>
      </w:numPr>
      <w:autoSpaceDE/>
      <w:autoSpaceDN/>
      <w:spacing w:before="340" w:beforeLines="0" w:beforeAutospacing="0" w:after="330" w:afterLines="0" w:afterAutospacing="0" w:line="576" w:lineRule="auto"/>
      <w:jc w:val="both"/>
    </w:pPr>
    <w:rPr>
      <w:rFonts w:hint="default" w:ascii="Times New Roman"/>
      <w:b/>
      <w:color w:val="auto"/>
      <w:kern w:val="44"/>
      <w:sz w:val="44"/>
    </w:rPr>
  </w:style>
  <w:style w:type="paragraph" w:customStyle="1" w:styleId="422">
    <w:name w:val="xl103"/>
    <w:basedOn w:val="1"/>
    <w:qFormat/>
    <w:uiPriority w:val="0"/>
    <w:pPr>
      <w:widowControl/>
      <w:spacing w:before="100" w:beforeLines="0" w:beforeAutospacing="1" w:after="100" w:afterLines="0" w:afterAutospacing="1"/>
      <w:jc w:val="left"/>
    </w:pPr>
    <w:rPr>
      <w:rFonts w:ascii="Arial" w:hAnsi="Arial" w:cs="Arial"/>
      <w:kern w:val="0"/>
      <w:szCs w:val="24"/>
    </w:rPr>
  </w:style>
  <w:style w:type="paragraph" w:customStyle="1" w:styleId="423">
    <w:name w:val="纯文本1"/>
    <w:basedOn w:val="1"/>
    <w:qFormat/>
    <w:uiPriority w:val="0"/>
    <w:pPr>
      <w:widowControl/>
      <w:tabs>
        <w:tab w:val="left" w:pos="840"/>
      </w:tabs>
      <w:spacing w:line="360" w:lineRule="auto"/>
      <w:ind w:left="840" w:hanging="420"/>
    </w:pPr>
    <w:rPr>
      <w:rFonts w:ascii="宋体"/>
      <w:color w:val="000000"/>
    </w:rPr>
  </w:style>
  <w:style w:type="paragraph" w:customStyle="1" w:styleId="424">
    <w:name w:val="xl77"/>
    <w:basedOn w:val="1"/>
    <w:qFormat/>
    <w:uiPriority w:val="0"/>
    <w:pPr>
      <w:widowControl/>
      <w:shd w:val="clear" w:color="auto" w:fill="99CCFF"/>
      <w:spacing w:before="100" w:beforeLines="0" w:beforeAutospacing="1" w:after="100" w:afterLines="0" w:afterAutospacing="1"/>
      <w:jc w:val="center"/>
    </w:pPr>
    <w:rPr>
      <w:rFonts w:ascii="Arial" w:hAnsi="Arial" w:cs="Arial"/>
      <w:color w:val="000000"/>
      <w:kern w:val="0"/>
      <w:szCs w:val="24"/>
    </w:rPr>
  </w:style>
  <w:style w:type="paragraph" w:customStyle="1" w:styleId="425">
    <w:name w:val="gb231212"/>
    <w:basedOn w:val="1"/>
    <w:qFormat/>
    <w:uiPriority w:val="0"/>
    <w:pPr>
      <w:widowControl/>
      <w:spacing w:before="100" w:beforeLines="0" w:beforeAutospacing="1" w:after="100" w:afterLines="0" w:afterAutospacing="1"/>
      <w:jc w:val="left"/>
    </w:pPr>
    <w:rPr>
      <w:rFonts w:ascii="宋体" w:hAnsi="宋体" w:cs="宋体"/>
      <w:kern w:val="0"/>
      <w:szCs w:val="24"/>
    </w:rPr>
  </w:style>
  <w:style w:type="paragraph" w:customStyle="1" w:styleId="426">
    <w:name w:val="华宇段落1"/>
    <w:basedOn w:val="1"/>
    <w:qFormat/>
    <w:uiPriority w:val="0"/>
    <w:pPr>
      <w:spacing w:before="156" w:beforeLines="50" w:after="156" w:afterLines="50" w:line="360" w:lineRule="auto"/>
      <w:ind w:firstLine="480" w:firstLineChars="200"/>
    </w:pPr>
    <w:rPr>
      <w:rFonts w:eastAsia="仿宋_GB2312"/>
      <w:bCs/>
      <w:sz w:val="28"/>
      <w:szCs w:val="24"/>
    </w:rPr>
  </w:style>
  <w:style w:type="paragraph" w:customStyle="1" w:styleId="427">
    <w:name w:val="标段"/>
    <w:basedOn w:val="1"/>
    <w:qFormat/>
    <w:uiPriority w:val="0"/>
    <w:pPr>
      <w:widowControl/>
      <w:topLinePunct/>
      <w:ind w:firstLine="200" w:firstLineChars="200"/>
      <w:outlineLvl w:val="1"/>
    </w:pPr>
    <w:rPr>
      <w:rFonts w:ascii="宋体" w:hAnsi="宋体"/>
      <w:kern w:val="0"/>
      <w:szCs w:val="21"/>
      <w:u w:val="thick"/>
    </w:rPr>
  </w:style>
  <w:style w:type="character" w:customStyle="1" w:styleId="428">
    <w:name w:val="正文段 Char"/>
    <w:link w:val="107"/>
    <w:qFormat/>
    <w:uiPriority w:val="0"/>
    <w:rPr>
      <w:sz w:val="24"/>
    </w:rPr>
  </w:style>
  <w:style w:type="character" w:customStyle="1" w:styleId="429">
    <w:name w:val="p121"/>
    <w:qFormat/>
    <w:uiPriority w:val="0"/>
    <w:rPr>
      <w:rFonts w:hint="default" w:ascii="_x000B__x000C_" w:hAnsi="_x000B__x000C_"/>
      <w:sz w:val="24"/>
      <w:szCs w:val="24"/>
    </w:rPr>
  </w:style>
  <w:style w:type="character" w:customStyle="1" w:styleId="430">
    <w:name w:val="highlight"/>
    <w:basedOn w:val="84"/>
    <w:qFormat/>
    <w:uiPriority w:val="0"/>
  </w:style>
  <w:style w:type="character" w:customStyle="1" w:styleId="431">
    <w:name w:val="正文文本缩进 Char"/>
    <w:link w:val="22"/>
    <w:qFormat/>
    <w:uiPriority w:val="99"/>
    <w:rPr>
      <w:rFonts w:ascii="宋体"/>
      <w:kern w:val="2"/>
      <w:sz w:val="24"/>
    </w:rPr>
  </w:style>
  <w:style w:type="character" w:customStyle="1" w:styleId="432">
    <w:name w:val="b1"/>
    <w:qFormat/>
    <w:uiPriority w:val="0"/>
    <w:rPr>
      <w:rFonts w:hint="default" w:ascii="Courier New" w:hAnsi="Courier New"/>
      <w:b/>
      <w:color w:val="FF0000"/>
      <w:u w:val="none"/>
    </w:rPr>
  </w:style>
  <w:style w:type="character" w:customStyle="1" w:styleId="433">
    <w:name w:val="正文首行缩进 Char Char Char Char Char Char Char Char Char Char Char Char Char Char Char Char Char Char Char Char Char1"/>
    <w:qFormat/>
    <w:uiPriority w:val="0"/>
    <w:rPr>
      <w:rFonts w:eastAsia="宋体"/>
      <w:kern w:val="2"/>
      <w:sz w:val="24"/>
      <w:lang w:val="en-US" w:eastAsia="zh-CN"/>
    </w:rPr>
  </w:style>
  <w:style w:type="character" w:customStyle="1" w:styleId="434">
    <w:name w:val="标题 9 Char"/>
    <w:link w:val="13"/>
    <w:qFormat/>
    <w:uiPriority w:val="0"/>
    <w:rPr>
      <w:rFonts w:ascii="Arial" w:hAnsi="Arial" w:eastAsia="黑体"/>
      <w:kern w:val="2"/>
      <w:sz w:val="21"/>
      <w:lang w:val="en-US" w:eastAsia="zh-CN" w:bidi="ar-SA"/>
    </w:rPr>
  </w:style>
  <w:style w:type="character" w:customStyle="1" w:styleId="435">
    <w:name w:val="Footer Char"/>
    <w:qFormat/>
    <w:locked/>
    <w:uiPriority w:val="0"/>
    <w:rPr>
      <w:rFonts w:cs="Times New Roman"/>
      <w:sz w:val="18"/>
      <w:szCs w:val="18"/>
    </w:rPr>
  </w:style>
  <w:style w:type="character" w:customStyle="1" w:styleId="436">
    <w:name w:val="mc2"/>
    <w:qFormat/>
    <w:uiPriority w:val="0"/>
    <w:rPr>
      <w:color w:val="0E2DCD"/>
      <w:sz w:val="21"/>
      <w:szCs w:val="21"/>
    </w:rPr>
  </w:style>
  <w:style w:type="character" w:customStyle="1" w:styleId="437">
    <w:name w:val="样式 标题 4 + 小四 Char Char"/>
    <w:link w:val="95"/>
    <w:qFormat/>
    <w:uiPriority w:val="0"/>
    <w:rPr>
      <w:rFonts w:ascii="Arial" w:hAnsi="Arial" w:eastAsia="楷体_GB2312" w:cs="Arial"/>
      <w:b/>
      <w:bCs/>
      <w:kern w:val="2"/>
      <w:sz w:val="24"/>
      <w:szCs w:val="28"/>
      <w:lang w:val="en-US" w:eastAsia="zh-CN" w:bidi="ar-SA"/>
    </w:rPr>
  </w:style>
  <w:style w:type="character" w:customStyle="1" w:styleId="438">
    <w:name w:val="Char Char3"/>
    <w:qFormat/>
    <w:uiPriority w:val="0"/>
    <w:rPr>
      <w:rFonts w:eastAsia="宋体"/>
      <w:kern w:val="2"/>
      <w:sz w:val="21"/>
      <w:szCs w:val="24"/>
      <w:lang w:val="en-US" w:eastAsia="zh-CN" w:bidi="ar-SA"/>
    </w:rPr>
  </w:style>
  <w:style w:type="character" w:customStyle="1" w:styleId="439">
    <w:name w:val="普通文字 Char Char"/>
    <w:qFormat/>
    <w:uiPriority w:val="0"/>
    <w:rPr>
      <w:rFonts w:ascii="宋体" w:hAnsi="Courier New" w:eastAsia="宋体"/>
      <w:kern w:val="2"/>
      <w:sz w:val="21"/>
      <w:lang w:val="en-US" w:eastAsia="zh-CN"/>
    </w:rPr>
  </w:style>
  <w:style w:type="character" w:customStyle="1" w:styleId="440">
    <w:name w:val="节 Char"/>
    <w:qFormat/>
    <w:uiPriority w:val="0"/>
    <w:rPr>
      <w:rFonts w:ascii="Arial" w:hAnsi="Arial" w:eastAsia="宋体"/>
      <w:b/>
      <w:spacing w:val="14"/>
      <w:kern w:val="24"/>
      <w:sz w:val="32"/>
      <w:lang w:val="en-US" w:eastAsia="zh-CN" w:bidi="ar-SA"/>
    </w:rPr>
  </w:style>
  <w:style w:type="character" w:customStyle="1" w:styleId="441">
    <w:name w:val="第三层条 Char"/>
    <w:qFormat/>
    <w:uiPriority w:val="0"/>
    <w:rPr>
      <w:rFonts w:ascii="Arial" w:hAnsi="Arial" w:eastAsia="黑体"/>
      <w:b/>
      <w:kern w:val="2"/>
      <w:sz w:val="28"/>
      <w:lang w:val="en-US" w:eastAsia="zh-CN" w:bidi="ar-SA"/>
    </w:rPr>
  </w:style>
  <w:style w:type="character" w:customStyle="1" w:styleId="442">
    <w:name w:val="font131"/>
    <w:basedOn w:val="84"/>
    <w:qFormat/>
    <w:uiPriority w:val="0"/>
    <w:rPr>
      <w:rFonts w:ascii="Calibri" w:hAnsi="Calibri" w:cs="Calibri"/>
      <w:color w:val="000000"/>
      <w:sz w:val="22"/>
      <w:szCs w:val="22"/>
      <w:u w:val="none"/>
    </w:rPr>
  </w:style>
  <w:style w:type="character" w:customStyle="1" w:styleId="443">
    <w:name w:val="point_normal1"/>
    <w:qFormat/>
    <w:uiPriority w:val="0"/>
    <w:rPr>
      <w:rFonts w:hint="default" w:ascii="Arial" w:hAnsi="Arial"/>
      <w:sz w:val="22"/>
    </w:rPr>
  </w:style>
  <w:style w:type="character" w:customStyle="1" w:styleId="444">
    <w:name w:val="styletemp1"/>
    <w:qFormat/>
    <w:uiPriority w:val="0"/>
    <w:rPr>
      <w:color w:val="282828"/>
      <w:spacing w:val="15"/>
      <w:sz w:val="18"/>
    </w:rPr>
  </w:style>
  <w:style w:type="character" w:customStyle="1" w:styleId="445">
    <w:name w:val="样式2 Char"/>
    <w:link w:val="147"/>
    <w:qFormat/>
    <w:uiPriority w:val="0"/>
    <w:rPr>
      <w:rFonts w:ascii="黑体" w:hAnsi="Calibri" w:eastAsia="黑体"/>
      <w:b/>
      <w:bCs/>
      <w:kern w:val="44"/>
      <w:sz w:val="32"/>
      <w:szCs w:val="32"/>
    </w:rPr>
  </w:style>
  <w:style w:type="character" w:customStyle="1" w:styleId="446">
    <w:name w:val="Body Text Indent Char"/>
    <w:qFormat/>
    <w:locked/>
    <w:uiPriority w:val="0"/>
    <w:rPr>
      <w:rFonts w:ascii="Times New Roman" w:hAnsi="Times New Roman"/>
      <w:sz w:val="24"/>
    </w:rPr>
  </w:style>
  <w:style w:type="character" w:customStyle="1" w:styleId="447">
    <w:name w:val="title-blue"/>
    <w:basedOn w:val="84"/>
    <w:qFormat/>
    <w:uiPriority w:val="0"/>
  </w:style>
  <w:style w:type="character" w:customStyle="1" w:styleId="448">
    <w:name w:val="标题 1 Char"/>
    <w:qFormat/>
    <w:uiPriority w:val="0"/>
    <w:rPr>
      <w:rFonts w:ascii="宋体" w:hAnsi="宋体"/>
      <w:b/>
      <w:bCs/>
      <w:kern w:val="44"/>
      <w:sz w:val="28"/>
      <w:szCs w:val="28"/>
    </w:rPr>
  </w:style>
  <w:style w:type="character" w:customStyle="1" w:styleId="449">
    <w:name w:val="font21"/>
    <w:basedOn w:val="84"/>
    <w:qFormat/>
    <w:uiPriority w:val="0"/>
    <w:rPr>
      <w:rFonts w:hint="default" w:ascii="Times New Roman" w:hAnsi="Times New Roman" w:cs="Times New Roman"/>
      <w:color w:val="000000"/>
      <w:sz w:val="22"/>
      <w:szCs w:val="22"/>
      <w:u w:val="none"/>
    </w:rPr>
  </w:style>
  <w:style w:type="character" w:customStyle="1" w:styleId="450">
    <w:name w:val="标准文本 Char Char"/>
    <w:link w:val="243"/>
    <w:qFormat/>
    <w:locked/>
    <w:uiPriority w:val="0"/>
    <w:rPr>
      <w:sz w:val="24"/>
      <w:lang w:bidi="ar-SA"/>
    </w:rPr>
  </w:style>
  <w:style w:type="character" w:customStyle="1" w:styleId="451">
    <w:name w:val="style91"/>
    <w:qFormat/>
    <w:uiPriority w:val="0"/>
    <w:rPr>
      <w:sz w:val="21"/>
      <w:szCs w:val="21"/>
    </w:rPr>
  </w:style>
  <w:style w:type="character" w:customStyle="1" w:styleId="452">
    <w:name w:val="HTML 预设格式 Char"/>
    <w:link w:val="74"/>
    <w:qFormat/>
    <w:uiPriority w:val="99"/>
    <w:rPr>
      <w:rFonts w:ascii="Courier New" w:hAnsi="Courier New" w:eastAsia="楷体_GB2312" w:cs="Courier New"/>
      <w:kern w:val="2"/>
    </w:rPr>
  </w:style>
  <w:style w:type="character" w:customStyle="1" w:styleId="453">
    <w:name w:val="HTML 预设格式 Char1"/>
    <w:semiHidden/>
    <w:qFormat/>
    <w:uiPriority w:val="99"/>
    <w:rPr>
      <w:rFonts w:ascii="Courier New" w:hAnsi="Courier New" w:cs="Courier New"/>
      <w:kern w:val="2"/>
    </w:rPr>
  </w:style>
  <w:style w:type="character" w:customStyle="1" w:styleId="454">
    <w:name w:val="标题 2字符"/>
    <w:qFormat/>
    <w:uiPriority w:val="0"/>
    <w:rPr>
      <w:b/>
      <w:kern w:val="2"/>
      <w:sz w:val="32"/>
    </w:rPr>
  </w:style>
  <w:style w:type="character" w:customStyle="1" w:styleId="455">
    <w:name w:val="正文2 Char"/>
    <w:link w:val="289"/>
    <w:qFormat/>
    <w:locked/>
    <w:uiPriority w:val="99"/>
    <w:rPr>
      <w:kern w:val="2"/>
      <w:sz w:val="24"/>
    </w:rPr>
  </w:style>
  <w:style w:type="character" w:customStyle="1" w:styleId="456">
    <w:name w:val="纯文本 Char"/>
    <w:link w:val="43"/>
    <w:qFormat/>
    <w:uiPriority w:val="99"/>
    <w:rPr>
      <w:rFonts w:ascii="宋体" w:hAnsi="Courier New"/>
      <w:kern w:val="2"/>
      <w:sz w:val="21"/>
    </w:rPr>
  </w:style>
  <w:style w:type="character" w:customStyle="1" w:styleId="457">
    <w:name w:val="main1"/>
    <w:qFormat/>
    <w:uiPriority w:val="0"/>
    <w:rPr>
      <w:rFonts w:hint="default" w:ascii="ˎ̥" w:hAnsi="ˎ̥"/>
      <w:sz w:val="21"/>
    </w:rPr>
  </w:style>
  <w:style w:type="character" w:customStyle="1" w:styleId="458">
    <w:name w:val="title14"/>
    <w:qFormat/>
    <w:uiPriority w:val="0"/>
  </w:style>
  <w:style w:type="character" w:customStyle="1" w:styleId="459">
    <w:name w:val="Heading 2 Char"/>
    <w:qFormat/>
    <w:locked/>
    <w:uiPriority w:val="0"/>
    <w:rPr>
      <w:rFonts w:ascii="Cambria" w:hAnsi="Cambria" w:eastAsia="黑体" w:cs="Times New Roman"/>
      <w:b/>
      <w:bCs/>
      <w:sz w:val="32"/>
      <w:szCs w:val="32"/>
    </w:rPr>
  </w:style>
  <w:style w:type="character" w:customStyle="1" w:styleId="460">
    <w:name w:val="title_sub_blue1"/>
    <w:qFormat/>
    <w:uiPriority w:val="0"/>
    <w:rPr>
      <w:rFonts w:hint="default" w:ascii="Arial" w:hAnsi="Arial" w:cs="Arial"/>
      <w:b/>
      <w:bCs/>
      <w:color w:val="16344F"/>
      <w:spacing w:val="0"/>
      <w:sz w:val="20"/>
      <w:szCs w:val="20"/>
      <w:u w:val="none"/>
    </w:rPr>
  </w:style>
  <w:style w:type="character" w:customStyle="1" w:styleId="461">
    <w:name w:val="ptb181"/>
    <w:qFormat/>
    <w:uiPriority w:val="0"/>
    <w:rPr>
      <w:rFonts w:ascii="Verdana" w:hAnsi="Verdana"/>
      <w:b/>
      <w:color w:val="000000"/>
      <w:sz w:val="27"/>
    </w:rPr>
  </w:style>
  <w:style w:type="character" w:customStyle="1" w:styleId="462">
    <w:name w:val="txt_cn_121"/>
    <w:qFormat/>
    <w:uiPriority w:val="0"/>
    <w:rPr>
      <w:rFonts w:hint="default" w:ascii="Arial" w:hAnsi="Arial" w:cs="Arial"/>
      <w:color w:val="666666"/>
      <w:sz w:val="18"/>
      <w:szCs w:val="18"/>
      <w:u w:val="none"/>
    </w:rPr>
  </w:style>
  <w:style w:type="character" w:customStyle="1" w:styleId="463">
    <w:name w:val="font31"/>
    <w:basedOn w:val="84"/>
    <w:qFormat/>
    <w:uiPriority w:val="0"/>
    <w:rPr>
      <w:rFonts w:hint="eastAsia" w:ascii="仿宋_GB2312" w:eastAsia="仿宋_GB2312"/>
      <w:color w:val="000000"/>
      <w:sz w:val="22"/>
      <w:szCs w:val="22"/>
      <w:u w:val="none"/>
    </w:rPr>
  </w:style>
  <w:style w:type="character" w:customStyle="1" w:styleId="464">
    <w:name w:val="标题 Char"/>
    <w:link w:val="77"/>
    <w:qFormat/>
    <w:uiPriority w:val="0"/>
    <w:rPr>
      <w:rFonts w:ascii="Arial" w:hAnsi="Arial" w:eastAsia="楷体_GB2312" w:cs="Arial"/>
      <w:b/>
      <w:bCs/>
      <w:kern w:val="2"/>
      <w:sz w:val="32"/>
      <w:szCs w:val="32"/>
      <w:lang w:val="en-US" w:eastAsia="zh-CN" w:bidi="ar-SA"/>
    </w:rPr>
  </w:style>
  <w:style w:type="character" w:customStyle="1" w:styleId="465">
    <w:name w:val="正文文本 Char"/>
    <w:link w:val="34"/>
    <w:qFormat/>
    <w:uiPriority w:val="0"/>
    <w:rPr>
      <w:rFonts w:ascii="宋体"/>
      <w:color w:val="FF0000"/>
      <w:sz w:val="24"/>
    </w:rPr>
  </w:style>
  <w:style w:type="character" w:customStyle="1" w:styleId="466">
    <w:name w:val="标题 3 Char1"/>
    <w:link w:val="6"/>
    <w:qFormat/>
    <w:uiPriority w:val="0"/>
    <w:rPr>
      <w:rFonts w:ascii="Arial" w:hAnsi="宋体"/>
      <w:b/>
      <w:kern w:val="2"/>
      <w:sz w:val="28"/>
    </w:rPr>
  </w:style>
  <w:style w:type="character" w:customStyle="1" w:styleId="467">
    <w:name w:val="标题 4 Char Char Char"/>
    <w:qFormat/>
    <w:uiPriority w:val="0"/>
    <w:rPr>
      <w:rFonts w:ascii="Arial" w:hAnsi="Arial" w:eastAsia="黑体"/>
      <w:b/>
      <w:bCs/>
      <w:kern w:val="2"/>
      <w:sz w:val="28"/>
      <w:szCs w:val="28"/>
      <w:lang w:val="en-US" w:eastAsia="zh-CN" w:bidi="ar-SA"/>
    </w:rPr>
  </w:style>
  <w:style w:type="character" w:customStyle="1" w:styleId="468">
    <w:name w:val="自定义正文 Char"/>
    <w:link w:val="235"/>
    <w:qFormat/>
    <w:locked/>
    <w:uiPriority w:val="0"/>
    <w:rPr>
      <w:rFonts w:ascii="仿宋_GB2312" w:eastAsia="仿宋_GB2312"/>
      <w:sz w:val="24"/>
      <w:lang w:bidi="ar-SA"/>
    </w:rPr>
  </w:style>
  <w:style w:type="character" w:customStyle="1" w:styleId="469">
    <w:name w:val=" Char Char7"/>
    <w:qFormat/>
    <w:uiPriority w:val="0"/>
    <w:rPr>
      <w:rFonts w:ascii="Times New Roman" w:hAnsi="Times New Roman"/>
      <w:kern w:val="2"/>
      <w:sz w:val="24"/>
      <w:szCs w:val="24"/>
    </w:rPr>
  </w:style>
  <w:style w:type="character" w:customStyle="1" w:styleId="470">
    <w:name w:val="正文缩进1 Char"/>
    <w:qFormat/>
    <w:uiPriority w:val="0"/>
    <w:rPr>
      <w:rFonts w:eastAsia="宋体"/>
      <w:kern w:val="2"/>
      <w:sz w:val="21"/>
      <w:lang w:val="en-US" w:eastAsia="zh-CN"/>
    </w:rPr>
  </w:style>
  <w:style w:type="character" w:customStyle="1" w:styleId="471">
    <w:name w:val=" Char Char13"/>
    <w:qFormat/>
    <w:uiPriority w:val="0"/>
    <w:rPr>
      <w:rFonts w:ascii="Arial" w:hAnsi="Arial" w:eastAsia="仿宋_GB2312"/>
      <w:b/>
      <w:bCs/>
      <w:kern w:val="2"/>
      <w:sz w:val="28"/>
      <w:szCs w:val="32"/>
    </w:rPr>
  </w:style>
  <w:style w:type="character" w:customStyle="1" w:styleId="472">
    <w:name w:val="正文文本缩进 3 Char"/>
    <w:link w:val="66"/>
    <w:qFormat/>
    <w:uiPriority w:val="0"/>
    <w:rPr>
      <w:rFonts w:ascii="Arial" w:hAnsi="Arial"/>
      <w:color w:val="FF0000"/>
      <w:kern w:val="2"/>
      <w:sz w:val="24"/>
    </w:rPr>
  </w:style>
  <w:style w:type="character" w:customStyle="1" w:styleId="473">
    <w:name w:val=" Char Char24"/>
    <w:qFormat/>
    <w:uiPriority w:val="0"/>
    <w:rPr>
      <w:rFonts w:ascii="Arial" w:hAnsi="宋体"/>
      <w:b/>
      <w:kern w:val="2"/>
      <w:sz w:val="28"/>
    </w:rPr>
  </w:style>
  <w:style w:type="character" w:customStyle="1" w:styleId="474">
    <w:name w:val="文章标题 3 Char Char Char"/>
    <w:link w:val="249"/>
    <w:qFormat/>
    <w:uiPriority w:val="0"/>
    <w:rPr>
      <w:rFonts w:ascii="Arial" w:hAnsi="Arial" w:eastAsia="黑体"/>
      <w:kern w:val="2"/>
      <w:sz w:val="28"/>
      <w:lang w:val="en-US" w:eastAsia="zh-CN"/>
    </w:rPr>
  </w:style>
  <w:style w:type="character" w:customStyle="1" w:styleId="475">
    <w:name w:val="font01"/>
    <w:basedOn w:val="84"/>
    <w:qFormat/>
    <w:uiPriority w:val="0"/>
    <w:rPr>
      <w:rFonts w:hint="default" w:ascii="Times New Roman" w:hAnsi="Times New Roman" w:cs="Times New Roman"/>
      <w:color w:val="000000"/>
      <w:sz w:val="21"/>
      <w:szCs w:val="21"/>
      <w:u w:val="none"/>
    </w:rPr>
  </w:style>
  <w:style w:type="character" w:customStyle="1" w:styleId="476">
    <w:name w:val="H5 Char"/>
    <w:qFormat/>
    <w:uiPriority w:val="0"/>
    <w:rPr>
      <w:rFonts w:ascii="宋体" w:eastAsia="宋体"/>
      <w:b/>
      <w:color w:val="FF0000"/>
      <w:kern w:val="2"/>
      <w:sz w:val="24"/>
      <w:lang w:val="en-US" w:eastAsia="zh-CN"/>
    </w:rPr>
  </w:style>
  <w:style w:type="character" w:customStyle="1" w:styleId="477">
    <w:name w:val="TITRE1 Char"/>
    <w:qFormat/>
    <w:uiPriority w:val="0"/>
    <w:rPr>
      <w:rFonts w:eastAsia="宋体"/>
      <w:b/>
      <w:bCs/>
      <w:kern w:val="44"/>
      <w:sz w:val="44"/>
      <w:szCs w:val="44"/>
      <w:lang w:val="en-US" w:eastAsia="zh-CN" w:bidi="ar-SA"/>
    </w:rPr>
  </w:style>
  <w:style w:type="character" w:customStyle="1" w:styleId="478">
    <w:name w:val="正文首行缩进 Char Char Char Char Char Char Char Char Char Char Char Char Char Char Char Char Char Char Char Char Char Char1"/>
    <w:qFormat/>
    <w:uiPriority w:val="0"/>
    <w:rPr>
      <w:rFonts w:eastAsia="宋体"/>
      <w:kern w:val="2"/>
      <w:sz w:val="24"/>
      <w:lang w:val="en-US" w:eastAsia="zh-CN"/>
    </w:rPr>
  </w:style>
  <w:style w:type="character" w:customStyle="1" w:styleId="479">
    <w:name w:val="font3"/>
    <w:basedOn w:val="84"/>
    <w:qFormat/>
    <w:uiPriority w:val="0"/>
  </w:style>
  <w:style w:type="character" w:customStyle="1" w:styleId="480">
    <w:name w:val="Heading 4 Char"/>
    <w:qFormat/>
    <w:locked/>
    <w:uiPriority w:val="0"/>
    <w:rPr>
      <w:rFonts w:ascii="Cambria" w:hAnsi="Cambria" w:eastAsia="黑体" w:cs="Times New Roman"/>
      <w:b/>
      <w:bCs/>
      <w:sz w:val="28"/>
      <w:szCs w:val="28"/>
    </w:rPr>
  </w:style>
  <w:style w:type="character" w:customStyle="1" w:styleId="481">
    <w:name w:val="tx1"/>
    <w:qFormat/>
    <w:uiPriority w:val="0"/>
    <w:rPr>
      <w:b/>
    </w:rPr>
  </w:style>
  <w:style w:type="character" w:customStyle="1" w:styleId="482">
    <w:name w:val="标书正文:  0.74 厘米 Char"/>
    <w:link w:val="225"/>
    <w:qFormat/>
    <w:uiPriority w:val="0"/>
    <w:rPr>
      <w:rFonts w:eastAsia="宋体"/>
      <w:kern w:val="2"/>
      <w:sz w:val="24"/>
      <w:lang w:val="en-US" w:eastAsia="zh-CN" w:bidi="ar-SA"/>
    </w:rPr>
  </w:style>
  <w:style w:type="character" w:customStyle="1" w:styleId="483">
    <w:name w:val="标题 1 Char Char"/>
    <w:qFormat/>
    <w:uiPriority w:val="0"/>
    <w:rPr>
      <w:rFonts w:eastAsia="宋体"/>
      <w:b/>
      <w:spacing w:val="-2"/>
      <w:sz w:val="24"/>
      <w:lang w:val="en-US" w:eastAsia="zh-CN" w:bidi="ar-SA"/>
    </w:rPr>
  </w:style>
  <w:style w:type="character" w:customStyle="1" w:styleId="484">
    <w:name w:val="标题 2 Char"/>
    <w:link w:val="5"/>
    <w:qFormat/>
    <w:uiPriority w:val="0"/>
    <w:rPr>
      <w:b/>
      <w:kern w:val="2"/>
      <w:sz w:val="32"/>
    </w:rPr>
  </w:style>
  <w:style w:type="character" w:customStyle="1" w:styleId="485">
    <w:name w:val="title_emph1"/>
    <w:qFormat/>
    <w:uiPriority w:val="0"/>
    <w:rPr>
      <w:rFonts w:hint="default" w:ascii="Arial" w:hAnsi="Arial"/>
      <w:b/>
      <w:sz w:val="18"/>
    </w:rPr>
  </w:style>
  <w:style w:type="character" w:customStyle="1" w:styleId="486">
    <w:name w:val="标题 1 Char1"/>
    <w:link w:val="4"/>
    <w:qFormat/>
    <w:uiPriority w:val="0"/>
    <w:rPr>
      <w:rFonts w:ascii="宋体"/>
      <w:color w:val="000000"/>
      <w:sz w:val="36"/>
    </w:rPr>
  </w:style>
  <w:style w:type="character" w:customStyle="1" w:styleId="487">
    <w:name w:val="Heading 1 Char"/>
    <w:qFormat/>
    <w:locked/>
    <w:uiPriority w:val="0"/>
    <w:rPr>
      <w:rFonts w:ascii="Times New Roman" w:hAnsi="Times New Roman" w:eastAsia="宋体" w:cs="Times New Roman"/>
      <w:b/>
      <w:bCs/>
      <w:kern w:val="44"/>
      <w:sz w:val="44"/>
      <w:szCs w:val="44"/>
    </w:rPr>
  </w:style>
  <w:style w:type="character" w:customStyle="1" w:styleId="488">
    <w:name w:val="textfont1"/>
    <w:qFormat/>
    <w:uiPriority w:val="0"/>
    <w:rPr>
      <w:spacing w:val="31680"/>
      <w:sz w:val="26"/>
    </w:rPr>
  </w:style>
  <w:style w:type="character" w:customStyle="1" w:styleId="489">
    <w:name w:val="font101"/>
    <w:basedOn w:val="84"/>
    <w:qFormat/>
    <w:uiPriority w:val="0"/>
    <w:rPr>
      <w:rFonts w:hint="default" w:ascii="Arial" w:hAnsi="Arial" w:cs="Arial"/>
      <w:color w:val="000000"/>
      <w:sz w:val="22"/>
      <w:szCs w:val="22"/>
      <w:u w:val="none"/>
    </w:rPr>
  </w:style>
  <w:style w:type="character" w:customStyle="1" w:styleId="490">
    <w:name w:val="Normal Indent Char"/>
    <w:qFormat/>
    <w:locked/>
    <w:uiPriority w:val="0"/>
    <w:rPr>
      <w:rFonts w:ascii="Times New Roman" w:hAnsi="Times New Roman"/>
    </w:rPr>
  </w:style>
  <w:style w:type="character" w:customStyle="1" w:styleId="491">
    <w:name w:val="pi1"/>
    <w:qFormat/>
    <w:uiPriority w:val="0"/>
    <w:rPr>
      <w:color w:val="0000FF"/>
    </w:rPr>
  </w:style>
  <w:style w:type="character" w:customStyle="1" w:styleId="492">
    <w:name w:val="b titlename wangputoptitle"/>
    <w:qFormat/>
    <w:uiPriority w:val="0"/>
  </w:style>
  <w:style w:type="character" w:customStyle="1" w:styleId="493">
    <w:name w:val="正文缩进4"/>
    <w:qFormat/>
    <w:uiPriority w:val="0"/>
    <w:rPr>
      <w:rFonts w:eastAsia="宋体"/>
      <w:sz w:val="24"/>
      <w:lang w:val="en-US" w:eastAsia="zh-CN"/>
    </w:rPr>
  </w:style>
  <w:style w:type="character" w:customStyle="1" w:styleId="494">
    <w:name w:val="样式5 Char"/>
    <w:link w:val="246"/>
    <w:qFormat/>
    <w:uiPriority w:val="0"/>
    <w:rPr>
      <w:rFonts w:ascii="宋体" w:hAnsi="宋体" w:eastAsia="宋体"/>
      <w:b/>
      <w:bCs/>
      <w:color w:val="000000"/>
      <w:kern w:val="44"/>
      <w:sz w:val="28"/>
      <w:szCs w:val="32"/>
      <w:lang w:val="en-US" w:eastAsia="zh-CN" w:bidi="ar-SA"/>
    </w:rPr>
  </w:style>
  <w:style w:type="character" w:customStyle="1" w:styleId="495">
    <w:name w:val="Date Char"/>
    <w:qFormat/>
    <w:locked/>
    <w:uiPriority w:val="0"/>
    <w:rPr>
      <w:rFonts w:ascii="楷体_GB2312" w:eastAsia="楷体_GB2312" w:cs="Times New Roman"/>
      <w:sz w:val="32"/>
    </w:rPr>
  </w:style>
  <w:style w:type="character" w:customStyle="1" w:styleId="496">
    <w:name w:val="Header Char"/>
    <w:qFormat/>
    <w:locked/>
    <w:uiPriority w:val="0"/>
    <w:rPr>
      <w:rFonts w:cs="Times New Roman"/>
      <w:sz w:val="18"/>
      <w:szCs w:val="18"/>
    </w:rPr>
  </w:style>
  <w:style w:type="character" w:customStyle="1" w:styleId="497">
    <w:name w:val="unnamed51"/>
    <w:qFormat/>
    <w:uiPriority w:val="0"/>
    <w:rPr>
      <w:sz w:val="22"/>
      <w:szCs w:val="22"/>
    </w:rPr>
  </w:style>
  <w:style w:type="character" w:customStyle="1" w:styleId="498">
    <w:name w:val="H6 Char"/>
    <w:qFormat/>
    <w:uiPriority w:val="0"/>
    <w:rPr>
      <w:rFonts w:ascii="Arial" w:hAnsi="Arial" w:eastAsia="黑体"/>
      <w:b/>
      <w:kern w:val="2"/>
      <w:sz w:val="24"/>
      <w:lang w:val="en-US" w:eastAsia="zh-CN" w:bidi="ar-SA"/>
    </w:rPr>
  </w:style>
  <w:style w:type="character" w:customStyle="1" w:styleId="499">
    <w:name w:val="正文缩进 Char"/>
    <w:link w:val="21"/>
    <w:qFormat/>
    <w:uiPriority w:val="0"/>
    <w:rPr>
      <w:rFonts w:eastAsia="宋体"/>
      <w:kern w:val="2"/>
      <w:sz w:val="21"/>
      <w:lang w:val="en-US" w:eastAsia="zh-CN"/>
    </w:rPr>
  </w:style>
  <w:style w:type="character" w:customStyle="1" w:styleId="500">
    <w:name w:val="font122"/>
    <w:basedOn w:val="84"/>
    <w:qFormat/>
    <w:uiPriority w:val="0"/>
    <w:rPr>
      <w:rFonts w:hint="eastAsia" w:ascii="宋体" w:hAnsi="宋体" w:eastAsia="宋体" w:cs="宋体"/>
      <w:color w:val="000000"/>
      <w:sz w:val="22"/>
      <w:szCs w:val="22"/>
      <w:u w:val="none"/>
    </w:rPr>
  </w:style>
  <w:style w:type="character" w:customStyle="1" w:styleId="501">
    <w:name w:val="sony121"/>
    <w:qFormat/>
    <w:uiPriority w:val="0"/>
    <w:rPr>
      <w:rFonts w:hint="eastAsia" w:ascii="宋体" w:hAnsi="宋体" w:eastAsia="宋体"/>
      <w:sz w:val="18"/>
      <w:szCs w:val="18"/>
    </w:rPr>
  </w:style>
  <w:style w:type="character" w:customStyle="1" w:styleId="502">
    <w:name w:val="t1"/>
    <w:qFormat/>
    <w:uiPriority w:val="0"/>
    <w:rPr>
      <w:color w:val="990000"/>
    </w:rPr>
  </w:style>
  <w:style w:type="character" w:customStyle="1" w:styleId="503">
    <w:name w:val="文档结构图 Char"/>
    <w:link w:val="27"/>
    <w:qFormat/>
    <w:uiPriority w:val="0"/>
    <w:rPr>
      <w:kern w:val="2"/>
      <w:sz w:val="24"/>
      <w:shd w:val="clear" w:color="auto" w:fill="000080"/>
    </w:rPr>
  </w:style>
  <w:style w:type="character" w:customStyle="1" w:styleId="504">
    <w:name w:val=" Char Char11"/>
    <w:qFormat/>
    <w:uiPriority w:val="0"/>
    <w:rPr>
      <w:sz w:val="18"/>
      <w:szCs w:val="18"/>
    </w:rPr>
  </w:style>
  <w:style w:type="character" w:customStyle="1" w:styleId="505">
    <w:name w:val="NormalCharacter"/>
    <w:semiHidden/>
    <w:qFormat/>
    <w:uiPriority w:val="0"/>
  </w:style>
  <w:style w:type="character" w:customStyle="1" w:styleId="506">
    <w:name w:val="highlight1"/>
    <w:qFormat/>
    <w:uiPriority w:val="0"/>
    <w:rPr>
      <w:sz w:val="21"/>
    </w:rPr>
  </w:style>
  <w:style w:type="character" w:customStyle="1" w:styleId="507">
    <w:name w:val="抬头 Char"/>
    <w:qFormat/>
    <w:uiPriority w:val="0"/>
    <w:rPr>
      <w:rFonts w:eastAsia="宋体"/>
      <w:sz w:val="30"/>
      <w:szCs w:val="30"/>
      <w:lang w:val="en-US" w:eastAsia="zh-CN" w:bidi="ar-SA"/>
    </w:rPr>
  </w:style>
  <w:style w:type="character" w:customStyle="1" w:styleId="508">
    <w:name w:val="样式1 Char"/>
    <w:link w:val="213"/>
    <w:qFormat/>
    <w:uiPriority w:val="0"/>
    <w:rPr>
      <w:rFonts w:ascii="宋体" w:hAnsi="宋体" w:eastAsia="宋体"/>
      <w:b/>
      <w:bCs/>
      <w:kern w:val="2"/>
      <w:sz w:val="44"/>
      <w:szCs w:val="24"/>
      <w:lang w:val="en-US" w:eastAsia="zh-CN" w:bidi="ar-SA"/>
    </w:rPr>
  </w:style>
  <w:style w:type="character" w:customStyle="1" w:styleId="509">
    <w:name w:val="标段 Char"/>
    <w:qFormat/>
    <w:uiPriority w:val="0"/>
    <w:rPr>
      <w:rFonts w:ascii="宋体" w:hAnsi="宋体" w:eastAsia="宋体"/>
      <w:sz w:val="24"/>
      <w:szCs w:val="21"/>
      <w:u w:val="thick"/>
      <w:lang w:val="en-US" w:eastAsia="zh-CN" w:bidi="ar-SA"/>
    </w:rPr>
  </w:style>
  <w:style w:type="character" w:customStyle="1" w:styleId="510">
    <w:name w:val="普通(网站) Char"/>
    <w:link w:val="75"/>
    <w:qFormat/>
    <w:uiPriority w:val="0"/>
    <w:rPr>
      <w:rFonts w:ascii="宋体" w:hAnsi="宋体"/>
      <w:sz w:val="22"/>
    </w:rPr>
  </w:style>
  <w:style w:type="character" w:customStyle="1" w:styleId="511">
    <w:name w:val="正文文本缩进字符"/>
    <w:qFormat/>
    <w:uiPriority w:val="0"/>
    <w:rPr>
      <w:rFonts w:ascii="宋体"/>
      <w:kern w:val="2"/>
      <w:sz w:val="24"/>
    </w:rPr>
  </w:style>
  <w:style w:type="character" w:customStyle="1" w:styleId="512">
    <w:name w:val="标题 4 Char Char"/>
    <w:qFormat/>
    <w:uiPriority w:val="0"/>
    <w:rPr>
      <w:rFonts w:ascii="Arial" w:hAnsi="Arial" w:eastAsia="黑体"/>
      <w:b/>
      <w:kern w:val="2"/>
      <w:sz w:val="28"/>
      <w:lang w:val="en-US" w:eastAsia="zh-CN"/>
    </w:rPr>
  </w:style>
  <w:style w:type="character" w:customStyle="1" w:styleId="513">
    <w:name w:val=" Char Char14"/>
    <w:qFormat/>
    <w:uiPriority w:val="0"/>
    <w:rPr>
      <w:rFonts w:ascii="Times New Roman" w:hAnsi="Times New Roman" w:eastAsia="仿宋_GB2312"/>
      <w:b/>
      <w:bCs/>
      <w:kern w:val="44"/>
      <w:sz w:val="30"/>
      <w:szCs w:val="44"/>
    </w:rPr>
  </w:style>
  <w:style w:type="character" w:customStyle="1" w:styleId="514">
    <w:name w:val="Char Char1"/>
    <w:qFormat/>
    <w:uiPriority w:val="0"/>
    <w:rPr>
      <w:kern w:val="2"/>
      <w:sz w:val="21"/>
      <w:szCs w:val="24"/>
    </w:rPr>
  </w:style>
  <w:style w:type="character" w:customStyle="1" w:styleId="515">
    <w:name w:val="font51"/>
    <w:basedOn w:val="84"/>
    <w:qFormat/>
    <w:uiPriority w:val="0"/>
    <w:rPr>
      <w:rFonts w:hint="eastAsia" w:ascii="宋体" w:hAnsi="宋体" w:eastAsia="宋体" w:cs="宋体"/>
      <w:b/>
      <w:color w:val="000000"/>
      <w:sz w:val="24"/>
      <w:szCs w:val="24"/>
      <w:u w:val="none"/>
    </w:rPr>
  </w:style>
  <w:style w:type="character" w:customStyle="1" w:styleId="516">
    <w:name w:val="ask-title2"/>
    <w:basedOn w:val="84"/>
    <w:qFormat/>
    <w:uiPriority w:val="0"/>
  </w:style>
  <w:style w:type="character" w:customStyle="1" w:styleId="517">
    <w:name w:val="页眉 Char"/>
    <w:link w:val="53"/>
    <w:qFormat/>
    <w:uiPriority w:val="99"/>
    <w:rPr>
      <w:sz w:val="18"/>
    </w:rPr>
  </w:style>
  <w:style w:type="character" w:customStyle="1" w:styleId="518">
    <w:name w:val="首行缩进:  2 字符 Char Char"/>
    <w:link w:val="248"/>
    <w:qFormat/>
    <w:uiPriority w:val="0"/>
    <w:rPr>
      <w:rFonts w:eastAsia="仿宋_GB2312" w:cs="宋体"/>
      <w:sz w:val="24"/>
      <w:lang w:val="en-US" w:eastAsia="zh-CN" w:bidi="ar-SA"/>
    </w:rPr>
  </w:style>
  <w:style w:type="character" w:customStyle="1" w:styleId="519">
    <w:name w:val="日期 Char"/>
    <w:link w:val="47"/>
    <w:qFormat/>
    <w:uiPriority w:val="99"/>
    <w:rPr>
      <w:rFonts w:ascii="楷体_GB2312" w:eastAsia="楷体_GB2312"/>
      <w:sz w:val="32"/>
    </w:rPr>
  </w:style>
  <w:style w:type="character" w:customStyle="1" w:styleId="520">
    <w:name w:val="ns1"/>
    <w:qFormat/>
    <w:uiPriority w:val="0"/>
    <w:rPr>
      <w:color w:val="FF0000"/>
    </w:rPr>
  </w:style>
  <w:style w:type="character" w:customStyle="1" w:styleId="521">
    <w:name w:val="m1"/>
    <w:qFormat/>
    <w:uiPriority w:val="0"/>
    <w:rPr>
      <w:color w:val="0000FF"/>
    </w:rPr>
  </w:style>
  <w:style w:type="character" w:customStyle="1" w:styleId="522">
    <w:name w:val="标题 7 Char"/>
    <w:link w:val="11"/>
    <w:qFormat/>
    <w:uiPriority w:val="0"/>
    <w:rPr>
      <w:rFonts w:eastAsia="宋体"/>
      <w:b/>
      <w:kern w:val="2"/>
      <w:sz w:val="24"/>
      <w:lang w:val="en-US" w:eastAsia="zh-CN" w:bidi="ar-SA"/>
    </w:rPr>
  </w:style>
  <w:style w:type="character" w:customStyle="1" w:styleId="523">
    <w:name w:val=" Char Char8"/>
    <w:qFormat/>
    <w:uiPriority w:val="0"/>
    <w:rPr>
      <w:rFonts w:ascii="Times New Roman" w:hAnsi="Times New Roman"/>
      <w:kern w:val="2"/>
      <w:sz w:val="24"/>
      <w:szCs w:val="21"/>
    </w:rPr>
  </w:style>
  <w:style w:type="character" w:customStyle="1" w:styleId="524">
    <w:name w:val="正文文本样式 Char"/>
    <w:link w:val="149"/>
    <w:qFormat/>
    <w:uiPriority w:val="0"/>
    <w:rPr>
      <w:rFonts w:ascii="Arial" w:hAnsi="Arial"/>
      <w:kern w:val="2"/>
      <w:sz w:val="24"/>
      <w:szCs w:val="22"/>
      <w:lang w:val="en-US" w:eastAsia="zh-CN" w:bidi="ar-SA"/>
    </w:rPr>
  </w:style>
  <w:style w:type="character" w:customStyle="1" w:styleId="525">
    <w:name w:val="页脚 Char"/>
    <w:link w:val="51"/>
    <w:qFormat/>
    <w:uiPriority w:val="99"/>
    <w:rPr>
      <w:kern w:val="2"/>
      <w:sz w:val="18"/>
    </w:rPr>
  </w:style>
  <w:style w:type="character" w:customStyle="1" w:styleId="526">
    <w:name w:val="标题 8 Char"/>
    <w:link w:val="12"/>
    <w:qFormat/>
    <w:uiPriority w:val="0"/>
    <w:rPr>
      <w:rFonts w:ascii="Arial" w:hAnsi="Arial" w:eastAsia="黑体"/>
      <w:kern w:val="2"/>
      <w:sz w:val="24"/>
      <w:lang w:val="en-US" w:eastAsia="zh-CN" w:bidi="ar-SA"/>
    </w:rPr>
  </w:style>
  <w:style w:type="character" w:customStyle="1" w:styleId="527">
    <w:name w:val="标题 6 Char"/>
    <w:link w:val="10"/>
    <w:qFormat/>
    <w:uiPriority w:val="0"/>
    <w:rPr>
      <w:rFonts w:ascii="Arial" w:hAnsi="Arial" w:eastAsia="黑体"/>
      <w:kern w:val="2"/>
      <w:sz w:val="24"/>
    </w:rPr>
  </w:style>
  <w:style w:type="character" w:customStyle="1" w:styleId="528">
    <w:name w:val="正文文本缩进 2 Char"/>
    <w:link w:val="48"/>
    <w:qFormat/>
    <w:uiPriority w:val="0"/>
    <w:rPr>
      <w:rFonts w:ascii="Arial" w:hAnsi="Arial" w:eastAsia="LineDraw"/>
      <w:kern w:val="2"/>
      <w:sz w:val="24"/>
    </w:rPr>
  </w:style>
  <w:style w:type="character" w:customStyle="1" w:styleId="529">
    <w:name w:val="标题一 Char"/>
    <w:qFormat/>
    <w:uiPriority w:val="0"/>
    <w:rPr>
      <w:rFonts w:ascii="宋体" w:hAnsi="宋体" w:eastAsia="宋体"/>
      <w:b/>
      <w:sz w:val="28"/>
      <w:szCs w:val="21"/>
      <w:lang w:val="en-US" w:eastAsia="zh-CN" w:bidi="ar-SA"/>
    </w:rPr>
  </w:style>
  <w:style w:type="character" w:customStyle="1" w:styleId="530">
    <w:name w:val="题注 Char"/>
    <w:link w:val="23"/>
    <w:qFormat/>
    <w:uiPriority w:val="0"/>
    <w:rPr>
      <w:rFonts w:ascii="Arial" w:hAnsi="Arial" w:eastAsia="黑体"/>
      <w:spacing w:val="10"/>
      <w:kern w:val="2"/>
    </w:rPr>
  </w:style>
  <w:style w:type="character" w:customStyle="1" w:styleId="531">
    <w:name w:val="正文首行缩进 Char"/>
    <w:link w:val="79"/>
    <w:qFormat/>
    <w:uiPriority w:val="0"/>
    <w:rPr>
      <w:kern w:val="2"/>
      <w:sz w:val="24"/>
    </w:rPr>
  </w:style>
  <w:style w:type="character" w:customStyle="1" w:styleId="532">
    <w:name w:val="标题 4 Char"/>
    <w:link w:val="7"/>
    <w:qFormat/>
    <w:uiPriority w:val="0"/>
    <w:rPr>
      <w:b/>
      <w:kern w:val="2"/>
      <w:sz w:val="28"/>
    </w:rPr>
  </w:style>
  <w:style w:type="character" w:customStyle="1" w:styleId="533">
    <w:name w:val="标题 5 Char"/>
    <w:link w:val="8"/>
    <w:qFormat/>
    <w:uiPriority w:val="0"/>
    <w:rPr>
      <w:b/>
      <w:kern w:val="2"/>
      <w:sz w:val="24"/>
    </w:rPr>
  </w:style>
  <w:style w:type="character" w:customStyle="1" w:styleId="534">
    <w:name w:val="批注文字 Char"/>
    <w:link w:val="29"/>
    <w:qFormat/>
    <w:uiPriority w:val="0"/>
    <w:rPr>
      <w:kern w:val="2"/>
      <w:sz w:val="24"/>
    </w:rPr>
  </w:style>
  <w:style w:type="character" w:customStyle="1" w:styleId="535">
    <w:name w:val="批注框文本 Char"/>
    <w:link w:val="50"/>
    <w:semiHidden/>
    <w:qFormat/>
    <w:uiPriority w:val="99"/>
    <w:rPr>
      <w:rFonts w:ascii="宋体" w:eastAsia="宋体"/>
      <w:color w:val="FF0000"/>
      <w:kern w:val="2"/>
      <w:sz w:val="24"/>
      <w:lang w:val="en-US" w:eastAsia="zh-CN" w:bidi="ar-SA"/>
    </w:rPr>
  </w:style>
  <w:style w:type="character" w:customStyle="1" w:styleId="536">
    <w:name w:val="特点标题 Char"/>
    <w:qFormat/>
    <w:uiPriority w:val="0"/>
    <w:rPr>
      <w:rFonts w:ascii="宋体"/>
      <w:kern w:val="2"/>
      <w:sz w:val="24"/>
    </w:rPr>
  </w:style>
  <w:style w:type="character" w:customStyle="1" w:styleId="537">
    <w:name w:val=" Char Char Char Char Char Char Char Char Char"/>
    <w:link w:val="253"/>
    <w:qFormat/>
    <w:uiPriority w:val="0"/>
    <w:rPr>
      <w:rFonts w:ascii="宋体" w:eastAsia="宋体"/>
      <w:color w:val="FF0000"/>
      <w:sz w:val="24"/>
      <w:lang w:val="en-US" w:eastAsia="zh-CN"/>
    </w:rPr>
  </w:style>
  <w:style w:type="character" w:customStyle="1" w:styleId="538">
    <w:name w:val="标题 3 Char"/>
    <w:qFormat/>
    <w:uiPriority w:val="0"/>
    <w:rPr>
      <w:rFonts w:hint="eastAsia" w:ascii="宋体" w:hAnsi="宋体" w:eastAsia="宋体"/>
      <w:b/>
      <w:bCs/>
      <w:kern w:val="2"/>
      <w:sz w:val="21"/>
      <w:szCs w:val="32"/>
      <w:lang w:val="en-US" w:eastAsia="zh-CN" w:bidi="ar-SA"/>
    </w:rPr>
  </w:style>
  <w:style w:type="character" w:customStyle="1" w:styleId="539">
    <w:name w:val="p12"/>
    <w:basedOn w:val="84"/>
    <w:qFormat/>
    <w:uiPriority w:val="0"/>
  </w:style>
  <w:style w:type="character" w:customStyle="1" w:styleId="540">
    <w:name w:val="Heading 3 Char"/>
    <w:qFormat/>
    <w:locked/>
    <w:uiPriority w:val="0"/>
    <w:rPr>
      <w:rFonts w:ascii="Times New Roman" w:hAnsi="Times New Roman" w:eastAsia="黑体" w:cs="Times New Roman"/>
      <w:b/>
      <w:bCs/>
      <w:sz w:val="32"/>
      <w:szCs w:val="32"/>
    </w:rPr>
  </w:style>
  <w:style w:type="character" w:customStyle="1" w:styleId="541">
    <w:name w:val="text_121"/>
    <w:qFormat/>
    <w:uiPriority w:val="0"/>
    <w:rPr>
      <w:rFonts w:hint="default" w:ascii="sө_x0002_" w:hAnsi="sө_x0002_"/>
      <w:color w:val="000000"/>
      <w:sz w:val="15"/>
      <w:szCs w:val="15"/>
    </w:rPr>
  </w:style>
  <w:style w:type="character" w:customStyle="1" w:styleId="542">
    <w:name w:val="正文样式 Char"/>
    <w:link w:val="320"/>
    <w:qFormat/>
    <w:uiPriority w:val="0"/>
    <w:rPr>
      <w:rFonts w:eastAsia="宋体" w:cs="宋体"/>
      <w:kern w:val="2"/>
      <w:sz w:val="21"/>
      <w:lang w:val="en-US" w:eastAsia="zh-CN" w:bidi="ar-SA"/>
    </w:rPr>
  </w:style>
  <w:style w:type="character" w:customStyle="1" w:styleId="543">
    <w:name w:val=" Char Char12"/>
    <w:qFormat/>
    <w:uiPriority w:val="0"/>
    <w:rPr>
      <w:sz w:val="18"/>
      <w:szCs w:val="18"/>
    </w:rPr>
  </w:style>
  <w:style w:type="character" w:customStyle="1" w:styleId="544">
    <w:name w:val="font111"/>
    <w:basedOn w:val="84"/>
    <w:qFormat/>
    <w:uiPriority w:val="0"/>
    <w:rPr>
      <w:rFonts w:hint="eastAsia" w:ascii="黑体" w:hAnsi="宋体" w:eastAsia="黑体" w:cs="黑体"/>
      <w:color w:val="000000"/>
      <w:sz w:val="22"/>
      <w:szCs w:val="22"/>
      <w:u w:val="none"/>
    </w:rPr>
  </w:style>
  <w:style w:type="character" w:customStyle="1" w:styleId="545">
    <w:name w:val="font151"/>
    <w:basedOn w:val="84"/>
    <w:qFormat/>
    <w:uiPriority w:val="0"/>
    <w:rPr>
      <w:rFonts w:hint="default" w:ascii="Calibri" w:hAnsi="Calibri" w:cs="Calibri"/>
      <w:color w:val="000000"/>
      <w:sz w:val="22"/>
      <w:szCs w:val="22"/>
      <w:u w:val="none"/>
    </w:rPr>
  </w:style>
  <w:style w:type="character" w:customStyle="1" w:styleId="546">
    <w:name w:val="font141"/>
    <w:basedOn w:val="84"/>
    <w:qFormat/>
    <w:uiPriority w:val="0"/>
    <w:rPr>
      <w:rFonts w:hint="eastAsia" w:ascii="黑体" w:hAnsi="宋体" w:eastAsia="黑体" w:cs="黑体"/>
      <w:color w:val="000000"/>
      <w:sz w:val="22"/>
      <w:szCs w:val="22"/>
      <w:u w:val="none"/>
    </w:rPr>
  </w:style>
  <w:style w:type="character" w:customStyle="1" w:styleId="547">
    <w:name w:val="font91"/>
    <w:basedOn w:val="84"/>
    <w:qFormat/>
    <w:uiPriority w:val="0"/>
    <w:rPr>
      <w:rFonts w:ascii="Segoe UI Symbol" w:hAnsi="Segoe UI Symbol" w:eastAsia="Segoe UI Symbol" w:cs="Segoe UI Symbol"/>
      <w:color w:val="000000"/>
      <w:sz w:val="22"/>
      <w:szCs w:val="22"/>
      <w:u w:val="none"/>
    </w:rPr>
  </w:style>
  <w:style w:type="paragraph" w:customStyle="1" w:styleId="548">
    <w:name w:val="list number ＋left spaceing"/>
    <w:basedOn w:val="20"/>
    <w:qFormat/>
    <w:uiPriority w:val="0"/>
    <w:pPr>
      <w:widowControl/>
      <w:tabs>
        <w:tab w:val="left" w:pos="360"/>
      </w:tabs>
      <w:spacing w:line="360" w:lineRule="auto"/>
      <w:ind w:left="0"/>
      <w:jc w:val="left"/>
    </w:pPr>
    <w:rPr>
      <w:rFonts w:ascii="Times New Roman" w:hAnsi="Times New Roman" w:eastAsia="宋体" w:cs="Times New Roman"/>
      <w:kern w:val="0"/>
    </w:rPr>
  </w:style>
  <w:style w:type="character" w:customStyle="1" w:styleId="549">
    <w:name w:val="font61"/>
    <w:basedOn w:val="84"/>
    <w:qFormat/>
    <w:uiPriority w:val="0"/>
    <w:rPr>
      <w:rFonts w:hint="eastAsia" w:ascii="宋体" w:hAnsi="宋体" w:eastAsia="宋体" w:cs="宋体"/>
      <w:color w:val="000000"/>
      <w:sz w:val="21"/>
      <w:szCs w:val="21"/>
      <w:u w:val="none"/>
    </w:rPr>
  </w:style>
  <w:style w:type="character" w:customStyle="1" w:styleId="550">
    <w:name w:val="font41"/>
    <w:basedOn w:val="84"/>
    <w:qFormat/>
    <w:uiPriority w:val="0"/>
    <w:rPr>
      <w:rFonts w:hint="eastAsia" w:ascii="宋体" w:hAnsi="宋体" w:eastAsia="宋体" w:cs="宋体"/>
      <w:bCs/>
      <w:color w:val="000000"/>
      <w:sz w:val="18"/>
      <w:szCs w:val="18"/>
      <w:u w:val="none"/>
    </w:rPr>
  </w:style>
  <w:style w:type="paragraph" w:customStyle="1" w:styleId="551">
    <w:name w:val="Body Text First Indent 2"/>
    <w:basedOn w:val="552"/>
    <w:qFormat/>
    <w:uiPriority w:val="0"/>
    <w:pPr>
      <w:spacing w:after="120" w:afterLines="0" w:line="240" w:lineRule="auto"/>
      <w:ind w:left="420" w:leftChars="200" w:firstLine="420"/>
    </w:pPr>
    <w:rPr>
      <w:rFonts w:ascii="Times New Roman" w:hAnsi="Times New Roman" w:eastAsia="宋体" w:cs="宋体"/>
      <w:sz w:val="21"/>
      <w:szCs w:val="21"/>
    </w:rPr>
  </w:style>
  <w:style w:type="paragraph" w:customStyle="1" w:styleId="552">
    <w:name w:val="Body Text Indent1"/>
    <w:basedOn w:val="1"/>
    <w:next w:val="1"/>
    <w:qFormat/>
    <w:uiPriority w:val="0"/>
    <w:pPr>
      <w:spacing w:after="120" w:afterLines="0"/>
      <w:ind w:left="420" w:leftChars="200"/>
    </w:pPr>
    <w:rPr>
      <w:color w:val="000000"/>
      <w:sz w:val="21"/>
      <w:szCs w:val="21"/>
    </w:rPr>
  </w:style>
  <w:style w:type="paragraph" w:customStyle="1" w:styleId="553">
    <w:name w:val="正文缩进1"/>
    <w:basedOn w:val="1"/>
    <w:next w:val="22"/>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554">
    <w:name w:val="索引 11"/>
    <w:basedOn w:val="1"/>
    <w:next w:val="1"/>
    <w:qFormat/>
    <w:uiPriority w:val="99"/>
    <w:pPr>
      <w:adjustRightInd/>
      <w:spacing w:line="360" w:lineRule="auto"/>
    </w:pPr>
    <w:rPr>
      <w:rFonts w:ascii="仿宋_GB2312" w:eastAsia="仿宋_GB2312"/>
      <w:sz w:val="24"/>
      <w:szCs w:val="20"/>
    </w:rPr>
  </w:style>
  <w:style w:type="paragraph" w:customStyle="1" w:styleId="555">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556">
    <w:name w:val="font81"/>
    <w:basedOn w:val="84"/>
    <w:qFormat/>
    <w:uiPriority w:val="0"/>
    <w:rPr>
      <w:rFonts w:ascii="Symbol" w:hAnsi="Symbol" w:cs="Symbol"/>
      <w:color w:val="000000"/>
      <w:sz w:val="22"/>
      <w:szCs w:val="22"/>
      <w:u w:val="none"/>
    </w:rPr>
  </w:style>
  <w:style w:type="paragraph" w:customStyle="1" w:styleId="557">
    <w:name w:val="列表段落1"/>
    <w:basedOn w:val="1"/>
    <w:next w:val="29"/>
    <w:qFormat/>
    <w:uiPriority w:val="0"/>
    <w:pPr>
      <w:ind w:firstLine="420" w:firstLineChars="200"/>
    </w:pPr>
  </w:style>
  <w:style w:type="character" w:customStyle="1" w:styleId="558">
    <w:name w:val="font112"/>
    <w:basedOn w:val="84"/>
    <w:qFormat/>
    <w:uiPriority w:val="0"/>
    <w:rPr>
      <w:rFonts w:hint="eastAsia" w:ascii="宋体" w:hAnsi="宋体" w:eastAsia="宋体" w:cs="宋体"/>
      <w:color w:val="000000"/>
      <w:sz w:val="18"/>
      <w:szCs w:val="18"/>
      <w:u w:val="none"/>
      <w:vertAlign w:val="superscript"/>
    </w:rPr>
  </w:style>
  <w:style w:type="paragraph" w:customStyle="1" w:styleId="559">
    <w:name w:val="纯文本_0_0"/>
    <w:basedOn w:val="1"/>
    <w:qFormat/>
    <w:uiPriority w:val="0"/>
    <w:pPr>
      <w:adjustRightInd/>
    </w:pPr>
    <w:rPr>
      <w:rFonts w:ascii="宋体" w:hAnsi="Courier New"/>
      <w:szCs w:val="21"/>
    </w:rPr>
  </w:style>
  <w:style w:type="paragraph" w:customStyle="1" w:styleId="560">
    <w:name w:val="[Normal]"/>
    <w:qFormat/>
    <w:uiPriority w:val="0"/>
    <w:rPr>
      <w:rFonts w:ascii="宋体" w:hAnsi="宋体" w:eastAsia="宋体" w:cs="Times New Roman"/>
      <w:sz w:val="24"/>
      <w:lang w:val="zh-CN" w:eastAsia="zh-CN" w:bidi="ar-SA"/>
    </w:rPr>
  </w:style>
  <w:style w:type="paragraph" w:customStyle="1" w:styleId="561">
    <w:name w:val="Table Text"/>
    <w:basedOn w:val="1"/>
    <w:qFormat/>
    <w:uiPriority w:val="0"/>
    <w:pPr>
      <w:widowControl/>
      <w:spacing w:before="60" w:after="60"/>
      <w:jc w:val="left"/>
    </w:pPr>
    <w:rPr>
      <w:kern w:val="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8" Type="http://schemas.openxmlformats.org/officeDocument/2006/relationships/fontTable" Target="fontTable.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44.png"/><Relationship Id="rId54" Type="http://schemas.openxmlformats.org/officeDocument/2006/relationships/image" Target="media/image43.png"/><Relationship Id="rId53" Type="http://schemas.openxmlformats.org/officeDocument/2006/relationships/image" Target="media/image42.png"/><Relationship Id="rId52" Type="http://schemas.openxmlformats.org/officeDocument/2006/relationships/image" Target="media/image41.png"/><Relationship Id="rId51" Type="http://schemas.openxmlformats.org/officeDocument/2006/relationships/image" Target="media/image40.png"/><Relationship Id="rId50" Type="http://schemas.openxmlformats.org/officeDocument/2006/relationships/image" Target="media/image39.png"/><Relationship Id="rId5" Type="http://schemas.openxmlformats.org/officeDocument/2006/relationships/footer" Target="footer1.xml"/><Relationship Id="rId49" Type="http://schemas.openxmlformats.org/officeDocument/2006/relationships/image" Target="media/image38.png"/><Relationship Id="rId48" Type="http://schemas.openxmlformats.org/officeDocument/2006/relationships/image" Target="media/image37.png"/><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header" Target="header2.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98</Pages>
  <Words>22200</Words>
  <Characters>24358</Characters>
  <Lines>228</Lines>
  <Paragraphs>64</Paragraphs>
  <TotalTime>40</TotalTime>
  <ScaleCrop>false</ScaleCrop>
  <LinksUpToDate>false</LinksUpToDate>
  <CharactersWithSpaces>25534</CharactersWithSpaces>
  <Application>WPS Office_11.8.6.8556_F1E327BC-269C-435d-A152-05C5408002CA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2021-03-22T03:02:00Z</dcterms:created>
  <dc:creator>zlj</dc:creator>
  <cp:lastModifiedBy>学学</cp:lastModifiedBy>
  <cp:lastPrinted>2025-05-27T02:06:00Z</cp:lastPrinted>
  <dcterms:modified xsi:type="dcterms:W3CDTF">2025-07-01T03:39:24Z</dcterms:modified>
  <dc:title>sxwh</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2052-11.8.6.8556</vt:lpwstr>
  </property>
  <property fmtid="{D5CDD505-2E9C-101B-9397-08002B2CF9AE}" pid="3" name="ICV">
    <vt:lpwstr>E6E1587A29174DE88B464A4C87D1E5D7_13</vt:lpwstr>
  </property>
  <property fmtid="{D5CDD505-2E9C-101B-9397-08002B2CF9AE}" pid="4" name="KSOTemplateDocerSaveRecord">
    <vt:lpwstr>eyJoZGlkIjoiZGIyM2FiNzIzNmY0ODM0YzM0YTE0MTVkM2M1NjUzMGMiLCJ1c2VySWQiOiI5NDE4MzIxNDEifQ==</vt:lpwstr>
  </property>
</Properties>
</file>