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9E197">
      <w:pPr>
        <w:snapToGrid w:val="0"/>
        <w:spacing w:before="120" w:after="120" w:line="480" w:lineRule="auto"/>
        <w:jc w:val="center"/>
        <w:rPr>
          <w:rFonts w:hint="eastAsia" w:ascii="仿宋" w:hAnsi="仿宋" w:eastAsia="仿宋" w:cs="仿宋"/>
          <w:b/>
          <w:bCs/>
          <w:color w:val="auto"/>
          <w:sz w:val="24"/>
          <w:szCs w:val="24"/>
          <w:highlight w:val="none"/>
          <w:u w:val="none"/>
          <w:lang w:val="en-US" w:eastAsia="zh-CN"/>
        </w:rPr>
      </w:pPr>
      <w:bookmarkStart w:id="0" w:name="_Hlt67893495"/>
      <w:bookmarkEnd w:id="0"/>
      <w:r>
        <w:rPr>
          <w:rFonts w:hint="eastAsia" w:ascii="仿宋" w:hAnsi="仿宋" w:eastAsia="仿宋" w:cs="仿宋"/>
          <w:b/>
          <w:bCs/>
          <w:color w:val="auto"/>
          <w:sz w:val="24"/>
          <w:szCs w:val="24"/>
          <w:highlight w:val="none"/>
          <w:u w:val="none"/>
          <w:lang w:val="en-US" w:eastAsia="zh-CN"/>
        </w:rPr>
        <w:t xml:space="preserve"> </w:t>
      </w:r>
    </w:p>
    <w:p w14:paraId="2E1641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4"/>
          <w:szCs w:val="44"/>
          <w:highlight w:val="none"/>
          <w:u w:val="none"/>
          <w:lang w:val="zh-CN"/>
        </w:rPr>
      </w:pPr>
      <w:r>
        <w:rPr>
          <w:rFonts w:hint="eastAsia" w:ascii="仿宋" w:hAnsi="仿宋" w:eastAsia="仿宋" w:cs="仿宋"/>
          <w:b/>
          <w:bCs/>
          <w:color w:val="auto"/>
          <w:sz w:val="44"/>
          <w:szCs w:val="44"/>
          <w:highlight w:val="none"/>
          <w:u w:val="none"/>
          <w:lang w:val="zh-CN"/>
        </w:rPr>
        <w:t>星柯光电双回路110kV电力接入工程涉路和涉航安评采购项目</w:t>
      </w:r>
    </w:p>
    <w:p w14:paraId="5FAD4AE8">
      <w:pPr>
        <w:snapToGrid w:val="0"/>
        <w:spacing w:before="120" w:after="120" w:line="48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项目编号: </w:t>
      </w:r>
      <w:r>
        <w:rPr>
          <w:rFonts w:hint="eastAsia" w:ascii="仿宋" w:hAnsi="仿宋" w:eastAsia="仿宋" w:cs="仿宋"/>
          <w:color w:val="auto"/>
          <w:sz w:val="28"/>
          <w:szCs w:val="28"/>
          <w:highlight w:val="none"/>
          <w:lang w:eastAsia="zh-CN"/>
        </w:rPr>
        <w:t>绍柯企{2025}</w:t>
      </w:r>
      <w:r>
        <w:rPr>
          <w:rFonts w:hint="eastAsia" w:ascii="仿宋" w:hAnsi="仿宋" w:eastAsia="仿宋" w:cs="仿宋"/>
          <w:color w:val="auto"/>
          <w:sz w:val="28"/>
          <w:szCs w:val="28"/>
          <w:highlight w:val="none"/>
          <w:lang w:val="en-US" w:eastAsia="zh-CN"/>
        </w:rPr>
        <w:t>843</w:t>
      </w:r>
      <w:r>
        <w:rPr>
          <w:rFonts w:hint="eastAsia" w:ascii="仿宋" w:hAnsi="仿宋" w:eastAsia="仿宋" w:cs="仿宋"/>
          <w:color w:val="auto"/>
          <w:sz w:val="28"/>
          <w:szCs w:val="28"/>
          <w:highlight w:val="none"/>
          <w:lang w:eastAsia="zh-CN"/>
        </w:rPr>
        <w:t>号</w:t>
      </w:r>
    </w:p>
    <w:p w14:paraId="2FA64A60">
      <w:pPr>
        <w:pStyle w:val="14"/>
        <w:rPr>
          <w:rFonts w:hint="eastAsia" w:ascii="仿宋" w:hAnsi="仿宋" w:eastAsia="仿宋" w:cs="仿宋"/>
          <w:color w:val="auto"/>
          <w:highlight w:val="none"/>
        </w:rPr>
      </w:pPr>
    </w:p>
    <w:p w14:paraId="1AEEF0A6">
      <w:pPr>
        <w:rPr>
          <w:rFonts w:hint="eastAsia" w:ascii="仿宋" w:hAnsi="仿宋" w:eastAsia="仿宋" w:cs="仿宋"/>
          <w:color w:val="auto"/>
          <w:highlight w:val="none"/>
        </w:rPr>
      </w:pPr>
    </w:p>
    <w:p w14:paraId="2EB997D1">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6DF9AE8E">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7C2D300">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4ECAEA99">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9B0E6EB">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4436EFF">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0A9B3AE2">
      <w:pPr>
        <w:pStyle w:val="14"/>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w:t>
      </w:r>
      <w:r>
        <w:rPr>
          <w:rFonts w:hint="eastAsia" w:ascii="仿宋" w:hAnsi="仿宋" w:eastAsia="仿宋" w:cs="仿宋"/>
          <w:b/>
          <w:color w:val="auto"/>
          <w:sz w:val="40"/>
          <w:szCs w:val="40"/>
          <w:highlight w:val="none"/>
          <w:lang w:val="en-US" w:eastAsia="zh-CN"/>
        </w:rPr>
        <w:t>电子招投标</w:t>
      </w:r>
      <w:r>
        <w:rPr>
          <w:rFonts w:hint="eastAsia" w:ascii="仿宋" w:hAnsi="仿宋" w:eastAsia="仿宋" w:cs="仿宋"/>
          <w:b/>
          <w:color w:val="auto"/>
          <w:sz w:val="40"/>
          <w:szCs w:val="40"/>
          <w:highlight w:val="none"/>
          <w:lang w:eastAsia="zh-CN"/>
        </w:rPr>
        <w:t>）</w:t>
      </w:r>
    </w:p>
    <w:p w14:paraId="591898F9">
      <w:pPr>
        <w:pStyle w:val="14"/>
        <w:jc w:val="center"/>
        <w:rPr>
          <w:rFonts w:hint="eastAsia" w:ascii="仿宋" w:hAnsi="仿宋" w:eastAsia="仿宋" w:cs="仿宋"/>
          <w:b/>
          <w:color w:val="auto"/>
          <w:sz w:val="40"/>
          <w:szCs w:val="40"/>
          <w:highlight w:val="none"/>
          <w:lang w:eastAsia="zh-CN"/>
        </w:rPr>
      </w:pPr>
    </w:p>
    <w:p w14:paraId="2B3A901A">
      <w:pPr>
        <w:pStyle w:val="14"/>
        <w:jc w:val="center"/>
        <w:rPr>
          <w:rFonts w:hint="eastAsia" w:ascii="仿宋" w:hAnsi="仿宋" w:eastAsia="仿宋" w:cs="仿宋"/>
          <w:b/>
          <w:color w:val="auto"/>
          <w:sz w:val="40"/>
          <w:szCs w:val="40"/>
          <w:highlight w:val="none"/>
          <w:lang w:eastAsia="zh-CN"/>
        </w:rPr>
      </w:pPr>
    </w:p>
    <w:p w14:paraId="49311E6A">
      <w:pPr>
        <w:rPr>
          <w:rFonts w:hint="eastAsia" w:ascii="仿宋" w:hAnsi="仿宋" w:eastAsia="仿宋" w:cs="仿宋"/>
          <w:color w:val="auto"/>
          <w:highlight w:val="none"/>
          <w:lang w:eastAsia="zh-CN"/>
        </w:rPr>
      </w:pPr>
    </w:p>
    <w:p w14:paraId="6AC96F4F">
      <w:pPr>
        <w:rPr>
          <w:rFonts w:hint="eastAsia" w:ascii="仿宋" w:hAnsi="仿宋" w:eastAsia="仿宋" w:cs="仿宋"/>
          <w:color w:val="auto"/>
          <w:highlight w:val="none"/>
        </w:rPr>
      </w:pPr>
    </w:p>
    <w:p w14:paraId="00C8518E">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eastAsia="zh-CN"/>
        </w:rPr>
        <w:t>浙江绍兴杭绍临空示范区开发集团有限公司</w:t>
      </w:r>
    </w:p>
    <w:p w14:paraId="62EB685F">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val="en-US" w:eastAsia="zh-CN"/>
        </w:rPr>
        <w:t>万邦工程管理咨询有限公司</w:t>
      </w:r>
    </w:p>
    <w:p w14:paraId="20D79AD3">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18</w:t>
      </w:r>
      <w:r>
        <w:rPr>
          <w:rFonts w:hint="eastAsia" w:ascii="仿宋" w:hAnsi="仿宋" w:eastAsia="仿宋" w:cs="仿宋"/>
          <w:bCs/>
          <w:color w:val="auto"/>
          <w:sz w:val="32"/>
          <w:szCs w:val="32"/>
          <w:highlight w:val="none"/>
        </w:rPr>
        <w:t>日</w:t>
      </w:r>
    </w:p>
    <w:p w14:paraId="737D0157">
      <w:pPr>
        <w:pStyle w:val="4"/>
        <w:numPr>
          <w:ilvl w:val="0"/>
          <w:numId w:val="0"/>
        </w:numPr>
        <w:ind w:leftChars="0"/>
        <w:rPr>
          <w:rFonts w:hint="eastAsia" w:ascii="仿宋" w:hAnsi="仿宋" w:eastAsia="仿宋" w:cs="仿宋"/>
          <w:color w:val="auto"/>
          <w:highlight w:val="none"/>
        </w:rPr>
      </w:pPr>
    </w:p>
    <w:p w14:paraId="64623B5C">
      <w:pPr>
        <w:spacing w:line="360" w:lineRule="auto"/>
        <w:ind w:firstLine="964" w:firstLineChars="20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25E40772">
      <w:pPr>
        <w:spacing w:line="360" w:lineRule="auto"/>
        <w:ind w:left="0" w:leftChars="0" w:firstLine="0" w:firstLineChars="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C5BBC8D">
      <w:pPr>
        <w:spacing w:line="360" w:lineRule="auto"/>
        <w:rPr>
          <w:rFonts w:hint="eastAsia" w:ascii="仿宋" w:hAnsi="仿宋" w:eastAsia="仿宋" w:cs="仿宋"/>
          <w:color w:val="auto"/>
          <w:sz w:val="32"/>
          <w:szCs w:val="32"/>
          <w:highlight w:val="none"/>
        </w:rPr>
      </w:pPr>
    </w:p>
    <w:p w14:paraId="04FC5FE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C6FB8B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2732FD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61E6D4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12C32EF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3F10A8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D54225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E592B0B">
      <w:pPr>
        <w:spacing w:line="360" w:lineRule="auto"/>
        <w:ind w:firstLine="549" w:firstLineChars="229"/>
        <w:rPr>
          <w:rFonts w:hint="eastAsia" w:ascii="仿宋" w:hAnsi="仿宋" w:eastAsia="仿宋" w:cs="仿宋"/>
          <w:color w:val="auto"/>
          <w:sz w:val="24"/>
          <w:highlight w:val="none"/>
        </w:rPr>
      </w:pPr>
    </w:p>
    <w:p w14:paraId="0985F499">
      <w:pPr>
        <w:spacing w:line="360" w:lineRule="auto"/>
        <w:ind w:firstLine="549" w:firstLineChars="229"/>
        <w:rPr>
          <w:rFonts w:hint="eastAsia" w:ascii="仿宋" w:hAnsi="仿宋" w:eastAsia="仿宋" w:cs="仿宋"/>
          <w:color w:val="auto"/>
          <w:sz w:val="24"/>
          <w:highlight w:val="none"/>
        </w:rPr>
      </w:pPr>
    </w:p>
    <w:p w14:paraId="0EB4CCD5">
      <w:pPr>
        <w:spacing w:line="360" w:lineRule="auto"/>
        <w:ind w:firstLine="549" w:firstLineChars="229"/>
        <w:rPr>
          <w:rFonts w:hint="eastAsia" w:ascii="仿宋" w:hAnsi="仿宋" w:eastAsia="仿宋" w:cs="仿宋"/>
          <w:color w:val="auto"/>
          <w:sz w:val="24"/>
          <w:highlight w:val="none"/>
        </w:rPr>
      </w:pPr>
    </w:p>
    <w:p w14:paraId="11425217">
      <w:pPr>
        <w:spacing w:line="360" w:lineRule="auto"/>
        <w:ind w:firstLine="549" w:firstLineChars="229"/>
        <w:rPr>
          <w:rFonts w:hint="eastAsia" w:ascii="仿宋" w:hAnsi="仿宋" w:eastAsia="仿宋" w:cs="仿宋"/>
          <w:color w:val="auto"/>
          <w:sz w:val="24"/>
          <w:highlight w:val="none"/>
        </w:rPr>
      </w:pPr>
    </w:p>
    <w:p w14:paraId="63E7CABE">
      <w:pPr>
        <w:spacing w:line="360" w:lineRule="auto"/>
        <w:ind w:firstLine="549" w:firstLineChars="229"/>
        <w:rPr>
          <w:rFonts w:hint="eastAsia" w:ascii="仿宋" w:hAnsi="仿宋" w:eastAsia="仿宋" w:cs="仿宋"/>
          <w:color w:val="auto"/>
          <w:sz w:val="24"/>
          <w:highlight w:val="none"/>
        </w:rPr>
      </w:pPr>
    </w:p>
    <w:p w14:paraId="65E404C3">
      <w:pPr>
        <w:spacing w:line="360" w:lineRule="auto"/>
        <w:ind w:firstLine="549" w:firstLineChars="229"/>
        <w:rPr>
          <w:rFonts w:hint="eastAsia" w:ascii="仿宋" w:hAnsi="仿宋" w:eastAsia="仿宋" w:cs="仿宋"/>
          <w:color w:val="auto"/>
          <w:sz w:val="24"/>
          <w:highlight w:val="none"/>
        </w:rPr>
      </w:pPr>
    </w:p>
    <w:p w14:paraId="286193C8">
      <w:pPr>
        <w:spacing w:line="360" w:lineRule="auto"/>
        <w:ind w:firstLine="549" w:firstLineChars="229"/>
        <w:rPr>
          <w:rFonts w:hint="eastAsia" w:ascii="仿宋" w:hAnsi="仿宋" w:eastAsia="仿宋" w:cs="仿宋"/>
          <w:color w:val="auto"/>
          <w:sz w:val="24"/>
          <w:highlight w:val="none"/>
        </w:rPr>
      </w:pPr>
    </w:p>
    <w:p w14:paraId="5DDAAC7D">
      <w:pPr>
        <w:spacing w:line="360" w:lineRule="auto"/>
        <w:ind w:firstLine="549" w:firstLineChars="229"/>
        <w:rPr>
          <w:rFonts w:hint="eastAsia" w:ascii="仿宋" w:hAnsi="仿宋" w:eastAsia="仿宋" w:cs="仿宋"/>
          <w:color w:val="auto"/>
          <w:sz w:val="24"/>
          <w:highlight w:val="none"/>
        </w:rPr>
      </w:pPr>
    </w:p>
    <w:p w14:paraId="7A4A009D">
      <w:pPr>
        <w:spacing w:line="360" w:lineRule="auto"/>
        <w:ind w:firstLine="549" w:firstLineChars="229"/>
        <w:rPr>
          <w:rFonts w:hint="eastAsia" w:ascii="仿宋" w:hAnsi="仿宋" w:eastAsia="仿宋" w:cs="仿宋"/>
          <w:color w:val="auto"/>
          <w:sz w:val="24"/>
          <w:highlight w:val="none"/>
        </w:rPr>
      </w:pPr>
    </w:p>
    <w:p w14:paraId="690DD5B8">
      <w:pPr>
        <w:spacing w:line="360" w:lineRule="auto"/>
        <w:ind w:firstLine="549" w:firstLineChars="229"/>
        <w:rPr>
          <w:rFonts w:hint="eastAsia" w:ascii="仿宋" w:hAnsi="仿宋" w:eastAsia="仿宋" w:cs="仿宋"/>
          <w:color w:val="auto"/>
          <w:sz w:val="24"/>
          <w:highlight w:val="none"/>
        </w:rPr>
      </w:pPr>
    </w:p>
    <w:p w14:paraId="7DC8DD3D">
      <w:pPr>
        <w:spacing w:line="360" w:lineRule="auto"/>
        <w:ind w:firstLine="549" w:firstLineChars="229"/>
        <w:rPr>
          <w:rFonts w:hint="eastAsia" w:ascii="仿宋" w:hAnsi="仿宋" w:eastAsia="仿宋" w:cs="仿宋"/>
          <w:color w:val="auto"/>
          <w:sz w:val="24"/>
          <w:highlight w:val="none"/>
        </w:rPr>
      </w:pPr>
    </w:p>
    <w:p w14:paraId="32CA648B">
      <w:pPr>
        <w:spacing w:line="360" w:lineRule="auto"/>
        <w:ind w:firstLine="549" w:firstLineChars="229"/>
        <w:rPr>
          <w:rFonts w:hint="eastAsia" w:ascii="仿宋" w:hAnsi="仿宋" w:eastAsia="仿宋" w:cs="仿宋"/>
          <w:color w:val="auto"/>
          <w:sz w:val="24"/>
          <w:highlight w:val="none"/>
        </w:rPr>
      </w:pPr>
    </w:p>
    <w:p w14:paraId="6787E3D6">
      <w:pPr>
        <w:spacing w:line="360" w:lineRule="auto"/>
        <w:rPr>
          <w:rFonts w:hint="eastAsia" w:ascii="仿宋" w:hAnsi="仿宋" w:eastAsia="仿宋" w:cs="仿宋"/>
          <w:color w:val="auto"/>
          <w:sz w:val="24"/>
          <w:highlight w:val="none"/>
        </w:rPr>
      </w:pPr>
    </w:p>
    <w:p w14:paraId="09EA5ED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354BF68">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018FBF71">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szCs w:val="28"/>
          <w:highlight w:val="none"/>
        </w:rPr>
      </w:pPr>
      <w:r>
        <w:rPr>
          <w:rFonts w:hint="eastAsia" w:ascii="仿宋" w:hAnsi="仿宋" w:eastAsia="仿宋" w:cs="仿宋"/>
          <w:b/>
          <w:bCs/>
          <w:color w:val="auto"/>
          <w:sz w:val="24"/>
          <w:szCs w:val="28"/>
          <w:highlight w:val="none"/>
          <w:u w:val="single"/>
          <w:lang w:eastAsia="zh-CN"/>
        </w:rPr>
        <w:t>星柯光电双回路110kV电力接入工程涉路和涉航安评采购项目</w:t>
      </w:r>
      <w:r>
        <w:rPr>
          <w:rFonts w:hint="eastAsia" w:ascii="仿宋" w:hAnsi="仿宋" w:eastAsia="仿宋" w:cs="仿宋"/>
          <w:color w:val="auto"/>
          <w:sz w:val="24"/>
          <w:szCs w:val="28"/>
          <w:highlight w:val="none"/>
        </w:rPr>
        <w:t>的潜在投标人应在</w:t>
      </w:r>
      <w:r>
        <w:rPr>
          <w:rFonts w:hint="eastAsia" w:ascii="仿宋" w:hAnsi="仿宋" w:eastAsia="仿宋" w:cs="仿宋"/>
          <w:color w:val="auto"/>
          <w:sz w:val="24"/>
          <w:szCs w:val="28"/>
          <w:highlight w:val="none"/>
          <w:u w:val="single"/>
        </w:rPr>
        <w:t>乐采云系统在线</w:t>
      </w:r>
      <w:r>
        <w:rPr>
          <w:rFonts w:hint="eastAsia" w:ascii="仿宋" w:hAnsi="仿宋" w:eastAsia="仿宋" w:cs="仿宋"/>
          <w:color w:val="auto"/>
          <w:sz w:val="24"/>
          <w:szCs w:val="28"/>
          <w:highlight w:val="none"/>
        </w:rPr>
        <w:t>获取招标文件，并于</w:t>
      </w:r>
      <w:r>
        <w:rPr>
          <w:rFonts w:hint="eastAsia" w:ascii="仿宋" w:hAnsi="仿宋" w:eastAsia="仿宋" w:cs="仿宋"/>
          <w:b/>
          <w:bCs/>
          <w:color w:val="auto"/>
          <w:sz w:val="24"/>
          <w:szCs w:val="28"/>
          <w:highlight w:val="none"/>
        </w:rPr>
        <w:t>202</w:t>
      </w:r>
      <w:r>
        <w:rPr>
          <w:rFonts w:hint="eastAsia" w:ascii="仿宋" w:hAnsi="仿宋" w:eastAsia="仿宋" w:cs="仿宋"/>
          <w:b/>
          <w:bCs/>
          <w:color w:val="auto"/>
          <w:sz w:val="24"/>
          <w:szCs w:val="28"/>
          <w:highlight w:val="none"/>
          <w:lang w:val="en-US" w:eastAsia="zh-CN"/>
        </w:rPr>
        <w:t>5</w:t>
      </w:r>
      <w:r>
        <w:rPr>
          <w:rFonts w:hint="eastAsia" w:ascii="仿宋" w:hAnsi="仿宋" w:eastAsia="仿宋" w:cs="仿宋"/>
          <w:b/>
          <w:bCs/>
          <w:color w:val="auto"/>
          <w:sz w:val="24"/>
          <w:szCs w:val="28"/>
          <w:highlight w:val="none"/>
        </w:rPr>
        <w:t>年</w:t>
      </w:r>
      <w:r>
        <w:rPr>
          <w:rFonts w:hint="eastAsia" w:ascii="仿宋" w:hAnsi="仿宋" w:eastAsia="仿宋" w:cs="仿宋"/>
          <w:b/>
          <w:bCs/>
          <w:color w:val="auto"/>
          <w:sz w:val="24"/>
          <w:szCs w:val="28"/>
          <w:highlight w:val="none"/>
          <w:lang w:val="en-US" w:eastAsia="zh-CN"/>
        </w:rPr>
        <w:t>7</w:t>
      </w:r>
      <w:r>
        <w:rPr>
          <w:rFonts w:hint="eastAsia" w:ascii="仿宋" w:hAnsi="仿宋" w:eastAsia="仿宋" w:cs="仿宋"/>
          <w:b/>
          <w:bCs/>
          <w:color w:val="auto"/>
          <w:sz w:val="24"/>
          <w:szCs w:val="28"/>
          <w:highlight w:val="none"/>
        </w:rPr>
        <w:t>月</w:t>
      </w:r>
      <w:r>
        <w:rPr>
          <w:rFonts w:hint="eastAsia" w:ascii="仿宋" w:hAnsi="仿宋" w:eastAsia="仿宋" w:cs="仿宋"/>
          <w:b/>
          <w:bCs/>
          <w:color w:val="auto"/>
          <w:sz w:val="24"/>
          <w:szCs w:val="28"/>
          <w:highlight w:val="none"/>
          <w:lang w:val="en-US" w:eastAsia="zh-CN"/>
        </w:rPr>
        <w:t>28</w:t>
      </w:r>
      <w:r>
        <w:rPr>
          <w:rFonts w:hint="eastAsia" w:ascii="仿宋" w:hAnsi="仿宋" w:eastAsia="仿宋" w:cs="仿宋"/>
          <w:b/>
          <w:bCs/>
          <w:color w:val="auto"/>
          <w:sz w:val="24"/>
          <w:szCs w:val="28"/>
          <w:highlight w:val="none"/>
        </w:rPr>
        <w:t>日</w:t>
      </w:r>
      <w:r>
        <w:rPr>
          <w:rFonts w:hint="eastAsia" w:ascii="仿宋" w:hAnsi="仿宋" w:eastAsia="仿宋" w:cs="仿宋"/>
          <w:b/>
          <w:bCs/>
          <w:color w:val="auto"/>
          <w:sz w:val="24"/>
          <w:szCs w:val="28"/>
          <w:highlight w:val="none"/>
          <w:lang w:val="en-US" w:eastAsia="zh-CN"/>
        </w:rPr>
        <w:t>14</w:t>
      </w:r>
      <w:r>
        <w:rPr>
          <w:rFonts w:hint="eastAsia" w:ascii="仿宋" w:hAnsi="仿宋" w:eastAsia="仿宋" w:cs="仿宋"/>
          <w:b/>
          <w:bCs/>
          <w:color w:val="auto"/>
          <w:sz w:val="24"/>
          <w:szCs w:val="28"/>
          <w:highlight w:val="none"/>
        </w:rPr>
        <w:t>点</w:t>
      </w:r>
      <w:r>
        <w:rPr>
          <w:rFonts w:hint="eastAsia" w:ascii="仿宋" w:hAnsi="仿宋" w:eastAsia="仿宋" w:cs="仿宋"/>
          <w:b/>
          <w:bCs/>
          <w:color w:val="auto"/>
          <w:sz w:val="24"/>
          <w:szCs w:val="28"/>
          <w:highlight w:val="none"/>
          <w:lang w:val="en-US" w:eastAsia="zh-CN"/>
        </w:rPr>
        <w:t>0</w:t>
      </w:r>
      <w:r>
        <w:rPr>
          <w:rFonts w:hint="eastAsia" w:ascii="仿宋" w:hAnsi="仿宋" w:eastAsia="仿宋" w:cs="仿宋"/>
          <w:b/>
          <w:bCs/>
          <w:color w:val="auto"/>
          <w:sz w:val="24"/>
          <w:szCs w:val="28"/>
          <w:highlight w:val="none"/>
        </w:rPr>
        <w:t>0分</w:t>
      </w:r>
      <w:r>
        <w:rPr>
          <w:rFonts w:hint="eastAsia" w:ascii="仿宋" w:hAnsi="仿宋" w:eastAsia="仿宋" w:cs="仿宋"/>
          <w:bCs/>
          <w:color w:val="auto"/>
          <w:sz w:val="24"/>
          <w:szCs w:val="28"/>
          <w:highlight w:val="none"/>
        </w:rPr>
        <w:t>（北京时间）前递交投标文件</w:t>
      </w:r>
      <w:r>
        <w:rPr>
          <w:rFonts w:hint="eastAsia" w:ascii="仿宋" w:hAnsi="仿宋" w:eastAsia="仿宋" w:cs="仿宋"/>
          <w:color w:val="auto"/>
          <w:sz w:val="24"/>
          <w:szCs w:val="28"/>
          <w:highlight w:val="none"/>
        </w:rPr>
        <w:t>。</w:t>
      </w:r>
    </w:p>
    <w:p w14:paraId="49056AEF">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11" w:name="_Toc35393621"/>
      <w:bookmarkStart w:id="12" w:name="_Toc35393790"/>
      <w:bookmarkStart w:id="13" w:name="_Toc28359079"/>
      <w:bookmarkStart w:id="14" w:name="_Toc28359002"/>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bookmarkEnd w:id="15"/>
    <w:p w14:paraId="06A5ACC3">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"https://pay.zcygov.cn/purchaseplan_front/" \l "/plan/list/view?id=1000000000013124186" \t "https://www.zcygov.cn/delegation-order/_procurement-entrust_/order/orderInfo/create/100015198_330699_030202/1000000000013124186/_blank"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28"/>
          <w:highlight w:val="none"/>
          <w:lang w:eastAsia="zh-CN"/>
        </w:rPr>
        <w:t>绍柯企{2025}843号</w:t>
      </w:r>
      <w:r>
        <w:rPr>
          <w:rFonts w:hint="eastAsia" w:ascii="仿宋" w:hAnsi="仿宋" w:eastAsia="仿宋" w:cs="仿宋"/>
          <w:color w:val="auto"/>
          <w:sz w:val="24"/>
          <w:szCs w:val="28"/>
          <w:highlight w:val="none"/>
        </w:rPr>
        <w:fldChar w:fldCharType="end"/>
      </w:r>
    </w:p>
    <w:p w14:paraId="28B0EFA9">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lang w:eastAsia="zh-CN"/>
        </w:rPr>
        <w:t>星柯光电双回路110kV电力接入工程涉路和涉航安评采购项目</w:t>
      </w:r>
    </w:p>
    <w:p w14:paraId="367CC8EB">
      <w:pPr>
        <w:pageBreakBefore w:val="0"/>
        <w:kinsoku/>
        <w:wordWrap/>
        <w:overflowPunct/>
        <w:topLinePunct w:val="0"/>
        <w:autoSpaceDE/>
        <w:autoSpaceDN/>
        <w:bidi w:val="0"/>
        <w:adjustRightInd/>
        <w:snapToGrid/>
        <w:spacing w:line="400" w:lineRule="exact"/>
        <w:ind w:firstLine="542" w:firstLineChars="225"/>
        <w:jc w:val="left"/>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预算金额（元）</w:t>
      </w:r>
      <w:r>
        <w:rPr>
          <w:rFonts w:hint="eastAsia" w:ascii="仿宋" w:hAnsi="仿宋" w:eastAsia="仿宋" w:cs="仿宋"/>
          <w:b/>
          <w:bCs/>
          <w:color w:val="auto"/>
          <w:sz w:val="24"/>
          <w:szCs w:val="28"/>
          <w:highlight w:val="none"/>
          <w:lang w:eastAsia="zh-CN"/>
        </w:rPr>
        <w:t>：</w:t>
      </w:r>
      <w:r>
        <w:rPr>
          <w:rFonts w:hint="eastAsia" w:ascii="仿宋" w:hAnsi="仿宋" w:eastAsia="仿宋" w:cs="仿宋"/>
          <w:b/>
          <w:bCs/>
          <w:color w:val="auto"/>
          <w:sz w:val="24"/>
          <w:szCs w:val="28"/>
          <w:highlight w:val="none"/>
          <w:lang w:val="en-US" w:eastAsia="zh-CN"/>
        </w:rPr>
        <w:t>594400元</w:t>
      </w:r>
    </w:p>
    <w:p w14:paraId="58550915">
      <w:pPr>
        <w:pageBreakBefore w:val="0"/>
        <w:kinsoku/>
        <w:wordWrap/>
        <w:overflowPunct/>
        <w:topLinePunct w:val="0"/>
        <w:autoSpaceDE/>
        <w:autoSpaceDN/>
        <w:bidi w:val="0"/>
        <w:adjustRightInd/>
        <w:snapToGrid/>
        <w:spacing w:line="400" w:lineRule="exact"/>
        <w:ind w:firstLine="542" w:firstLineChars="225"/>
        <w:jc w:val="left"/>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最高限价（元）：</w:t>
      </w:r>
      <w:r>
        <w:rPr>
          <w:rFonts w:hint="eastAsia" w:ascii="仿宋" w:hAnsi="仿宋" w:eastAsia="仿宋" w:cs="仿宋"/>
          <w:b/>
          <w:bCs/>
          <w:color w:val="auto"/>
          <w:sz w:val="24"/>
          <w:szCs w:val="28"/>
          <w:highlight w:val="none"/>
          <w:lang w:val="en-US" w:eastAsia="zh-CN"/>
        </w:rPr>
        <w:t>594400</w:t>
      </w:r>
      <w:r>
        <w:rPr>
          <w:rFonts w:hint="eastAsia" w:ascii="仿宋" w:hAnsi="仿宋" w:eastAsia="仿宋" w:cs="仿宋"/>
          <w:b/>
          <w:bCs/>
          <w:color w:val="auto"/>
          <w:sz w:val="24"/>
          <w:szCs w:val="28"/>
          <w:highlight w:val="none"/>
        </w:rPr>
        <w:t>元</w:t>
      </w:r>
    </w:p>
    <w:p w14:paraId="573052F5">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采购需求：详见招标文件 </w:t>
      </w:r>
    </w:p>
    <w:p w14:paraId="40375AB6">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标项名称：</w:t>
      </w:r>
      <w:r>
        <w:rPr>
          <w:rFonts w:hint="eastAsia" w:ascii="仿宋" w:hAnsi="仿宋" w:eastAsia="仿宋" w:cs="仿宋"/>
          <w:color w:val="auto"/>
          <w:sz w:val="24"/>
          <w:szCs w:val="28"/>
          <w:highlight w:val="none"/>
          <w:lang w:eastAsia="zh-CN"/>
        </w:rPr>
        <w:t>星柯光电双回路110kV电力接入工程涉路和涉航安评采购项目</w:t>
      </w:r>
    </w:p>
    <w:p w14:paraId="6F8A3B65">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简要规格描述或项目基本概况介绍、用途：星柯光电双回路110kV电力接入工程的涉路和涉航安评</w:t>
      </w:r>
      <w:r>
        <w:rPr>
          <w:rFonts w:hint="eastAsia" w:ascii="仿宋" w:hAnsi="仿宋" w:eastAsia="仿宋" w:cs="仿宋"/>
          <w:color w:val="auto"/>
          <w:sz w:val="24"/>
          <w:szCs w:val="28"/>
          <w:highlight w:val="none"/>
          <w:lang w:val="en-US" w:eastAsia="zh-CN"/>
        </w:rPr>
        <w:t>服务</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A线江桃（涉路施工线路6处，涉航施工线路4处）、B线余渚（涉路施工线路3处，涉航施工线路5处）</w:t>
      </w:r>
      <w:r>
        <w:rPr>
          <w:rFonts w:hint="eastAsia" w:ascii="仿宋" w:hAnsi="仿宋" w:eastAsia="仿宋" w:cs="仿宋"/>
          <w:color w:val="auto"/>
          <w:sz w:val="24"/>
          <w:szCs w:val="28"/>
          <w:highlight w:val="none"/>
          <w:lang w:eastAsia="zh-CN"/>
        </w:rPr>
        <w:t>。</w:t>
      </w:r>
    </w:p>
    <w:p w14:paraId="410900EC">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合同履行期限：详见招标文件</w:t>
      </w:r>
    </w:p>
    <w:p w14:paraId="22C53B1C">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本项目（</w:t>
      </w:r>
      <w:r>
        <w:rPr>
          <w:rFonts w:hint="eastAsia" w:ascii="仿宋" w:hAnsi="仿宋" w:eastAsia="仿宋" w:cs="仿宋"/>
          <w:color w:val="auto"/>
          <w:sz w:val="24"/>
          <w:szCs w:val="28"/>
          <w:highlight w:val="none"/>
          <w:lang w:val="en-US" w:eastAsia="zh-CN"/>
        </w:rPr>
        <w:t>否</w:t>
      </w:r>
      <w:r>
        <w:rPr>
          <w:rFonts w:hint="eastAsia" w:ascii="仿宋" w:hAnsi="仿宋" w:eastAsia="仿宋" w:cs="仿宋"/>
          <w:color w:val="auto"/>
          <w:sz w:val="24"/>
          <w:szCs w:val="28"/>
          <w:highlight w:val="none"/>
        </w:rPr>
        <w:t>）接受联合体投标</w:t>
      </w:r>
      <w:r>
        <w:rPr>
          <w:rFonts w:hint="eastAsia" w:ascii="仿宋" w:hAnsi="仿宋" w:eastAsia="仿宋" w:cs="仿宋"/>
          <w:color w:val="auto"/>
          <w:sz w:val="24"/>
          <w:szCs w:val="28"/>
          <w:highlight w:val="none"/>
          <w:lang w:eastAsia="zh-CN"/>
        </w:rPr>
        <w:t>。</w:t>
      </w:r>
    </w:p>
    <w:p w14:paraId="308EFCA6">
      <w:pPr>
        <w:pStyle w:val="4"/>
        <w:pageBreakBefore w:val="0"/>
        <w:numPr>
          <w:ilvl w:val="0"/>
          <w:numId w:val="0"/>
        </w:numPr>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color w:val="auto"/>
          <w:sz w:val="24"/>
          <w:szCs w:val="28"/>
          <w:highlight w:val="none"/>
        </w:rPr>
      </w:pPr>
      <w:bookmarkStart w:id="16" w:name="_Toc35393622"/>
      <w:bookmarkStart w:id="17" w:name="_Toc35393791"/>
      <w:bookmarkStart w:id="18" w:name="_Toc28359003"/>
      <w:bookmarkStart w:id="19" w:name="_Toc28359080"/>
      <w:r>
        <w:rPr>
          <w:rFonts w:hint="eastAsia" w:ascii="仿宋" w:hAnsi="仿宋" w:eastAsia="仿宋" w:cs="仿宋"/>
          <w:color w:val="auto"/>
          <w:sz w:val="24"/>
          <w:szCs w:val="28"/>
          <w:highlight w:val="none"/>
        </w:rPr>
        <w:t>二、申请人的资格要求：</w:t>
      </w:r>
      <w:bookmarkEnd w:id="16"/>
      <w:bookmarkEnd w:id="17"/>
      <w:bookmarkEnd w:id="18"/>
      <w:bookmarkEnd w:id="19"/>
    </w:p>
    <w:p w14:paraId="1FCD7EBC">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满足《中华人民共和国政府采购法》第二十二条规定；且未被“信用中国”（www.creditchina.gov.cn）、中国政府采购网（www.ccgp.gov.cn）列入失信被执行人、重大税收违法</w:t>
      </w:r>
      <w:r>
        <w:rPr>
          <w:rFonts w:hint="eastAsia" w:ascii="仿宋" w:hAnsi="仿宋" w:eastAsia="仿宋" w:cs="仿宋"/>
          <w:color w:val="auto"/>
          <w:sz w:val="24"/>
          <w:szCs w:val="28"/>
          <w:highlight w:val="none"/>
          <w:lang w:val="en-US" w:eastAsia="zh-CN"/>
        </w:rPr>
        <w:t>失信主体</w:t>
      </w:r>
      <w:r>
        <w:rPr>
          <w:rFonts w:hint="eastAsia" w:ascii="仿宋" w:hAnsi="仿宋" w:eastAsia="仿宋" w:cs="仿宋"/>
          <w:color w:val="auto"/>
          <w:sz w:val="24"/>
          <w:szCs w:val="28"/>
          <w:highlight w:val="none"/>
        </w:rPr>
        <w:t>、政府采购严重违法失信行为记录名单；</w:t>
      </w:r>
    </w:p>
    <w:p w14:paraId="63799A53">
      <w:pPr>
        <w:pStyle w:val="6"/>
        <w:ind w:firstLine="482" w:firstLineChars="200"/>
        <w:rPr>
          <w:rFonts w:hint="eastAsia" w:ascii="仿宋" w:hAnsi="仿宋" w:eastAsia="仿宋" w:cs="仿宋"/>
          <w:color w:val="auto"/>
          <w:sz w:val="24"/>
          <w:szCs w:val="28"/>
          <w:highlight w:val="none"/>
          <w:lang w:eastAsia="zh-CN"/>
        </w:rPr>
      </w:pPr>
      <w:bookmarkStart w:id="20" w:name="_Toc28359081"/>
      <w:bookmarkStart w:id="21" w:name="_Toc28359004"/>
      <w:r>
        <w:rPr>
          <w:rFonts w:hint="eastAsia" w:ascii="仿宋" w:hAnsi="仿宋" w:eastAsia="仿宋" w:cs="仿宋"/>
          <w:b/>
          <w:bCs/>
          <w:color w:val="auto"/>
          <w:sz w:val="24"/>
          <w:szCs w:val="28"/>
          <w:highlight w:val="none"/>
        </w:rPr>
        <w:t>本项目的特定资格要求：</w:t>
      </w:r>
      <w:r>
        <w:rPr>
          <w:rFonts w:hint="eastAsia" w:ascii="仿宋" w:hAnsi="仿宋" w:eastAsia="仿宋" w:cs="仿宋"/>
          <w:color w:val="auto"/>
          <w:sz w:val="24"/>
          <w:szCs w:val="28"/>
          <w:highlight w:val="none"/>
        </w:rPr>
        <w:t>投标人须在全国投资项目在线审批监管平台（http://www.tzxm.gov.cn/index.html）工程咨询单位名录（备案专业：</w:t>
      </w:r>
      <w:r>
        <w:rPr>
          <w:rFonts w:hint="eastAsia" w:ascii="仿宋" w:hAnsi="仿宋" w:eastAsia="仿宋" w:cs="仿宋"/>
          <w:color w:val="auto"/>
          <w:sz w:val="24"/>
          <w:szCs w:val="28"/>
          <w:highlight w:val="none"/>
          <w:lang w:val="en-US" w:eastAsia="zh-CN"/>
        </w:rPr>
        <w:t>公路工程及水运（含港口河海工程）</w:t>
      </w:r>
      <w:r>
        <w:rPr>
          <w:rFonts w:hint="eastAsia" w:ascii="仿宋" w:hAnsi="仿宋" w:eastAsia="仿宋" w:cs="仿宋"/>
          <w:color w:val="auto"/>
          <w:sz w:val="24"/>
          <w:szCs w:val="28"/>
          <w:highlight w:val="none"/>
        </w:rPr>
        <w:t>）中</w:t>
      </w:r>
      <w:r>
        <w:rPr>
          <w:rFonts w:hint="eastAsia" w:ascii="仿宋" w:hAnsi="仿宋" w:eastAsia="仿宋" w:cs="仿宋"/>
          <w:color w:val="auto"/>
          <w:sz w:val="24"/>
          <w:szCs w:val="28"/>
          <w:highlight w:val="none"/>
          <w:lang w:eastAsia="zh-CN"/>
        </w:rPr>
        <w:t>。</w:t>
      </w:r>
    </w:p>
    <w:p w14:paraId="65B2FD8B">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22" w:name="_Toc35393792"/>
      <w:bookmarkStart w:id="23" w:name="_Toc35393623"/>
      <w:r>
        <w:rPr>
          <w:rFonts w:hint="eastAsia" w:ascii="仿宋" w:hAnsi="仿宋" w:eastAsia="仿宋" w:cs="仿宋"/>
          <w:color w:val="auto"/>
          <w:sz w:val="24"/>
          <w:szCs w:val="28"/>
          <w:highlight w:val="none"/>
        </w:rPr>
        <w:t>三、获取招标文件</w:t>
      </w:r>
      <w:bookmarkEnd w:id="20"/>
      <w:bookmarkEnd w:id="21"/>
      <w:bookmarkEnd w:id="22"/>
      <w:bookmarkEnd w:id="23"/>
    </w:p>
    <w:p w14:paraId="5AD6B1D0">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时间：至</w:t>
      </w:r>
      <w:r>
        <w:rPr>
          <w:rFonts w:hint="eastAsia" w:ascii="仿宋" w:hAnsi="仿宋" w:eastAsia="仿宋" w:cs="仿宋"/>
          <w:b/>
          <w:bCs w:val="0"/>
          <w:color w:val="auto"/>
          <w:sz w:val="24"/>
          <w:szCs w:val="28"/>
          <w:highlight w:val="none"/>
          <w:u w:val="single"/>
        </w:rPr>
        <w:t>202</w:t>
      </w:r>
      <w:r>
        <w:rPr>
          <w:rFonts w:hint="eastAsia" w:ascii="仿宋" w:hAnsi="仿宋" w:eastAsia="仿宋" w:cs="仿宋"/>
          <w:b/>
          <w:bCs w:val="0"/>
          <w:color w:val="auto"/>
          <w:sz w:val="24"/>
          <w:szCs w:val="28"/>
          <w:highlight w:val="none"/>
          <w:u w:val="single"/>
          <w:lang w:val="en-US" w:eastAsia="zh-CN"/>
        </w:rPr>
        <w:t>5</w:t>
      </w:r>
      <w:r>
        <w:rPr>
          <w:rFonts w:hint="eastAsia" w:ascii="仿宋" w:hAnsi="仿宋" w:eastAsia="仿宋" w:cs="仿宋"/>
          <w:b/>
          <w:bCs w:val="0"/>
          <w:color w:val="auto"/>
          <w:sz w:val="24"/>
          <w:szCs w:val="28"/>
          <w:highlight w:val="none"/>
          <w:u w:val="single"/>
        </w:rPr>
        <w:t>年</w:t>
      </w:r>
      <w:r>
        <w:rPr>
          <w:rFonts w:hint="eastAsia" w:ascii="仿宋" w:hAnsi="仿宋" w:eastAsia="仿宋" w:cs="仿宋"/>
          <w:b/>
          <w:bCs w:val="0"/>
          <w:color w:val="auto"/>
          <w:sz w:val="24"/>
          <w:szCs w:val="28"/>
          <w:highlight w:val="none"/>
          <w:u w:val="single"/>
          <w:lang w:val="en-US" w:eastAsia="zh-CN"/>
        </w:rPr>
        <w:t>7</w:t>
      </w:r>
      <w:r>
        <w:rPr>
          <w:rFonts w:hint="eastAsia" w:ascii="仿宋" w:hAnsi="仿宋" w:eastAsia="仿宋" w:cs="仿宋"/>
          <w:b/>
          <w:bCs w:val="0"/>
          <w:color w:val="auto"/>
          <w:sz w:val="24"/>
          <w:szCs w:val="28"/>
          <w:highlight w:val="none"/>
          <w:u w:val="single"/>
        </w:rPr>
        <w:t>月</w:t>
      </w:r>
      <w:r>
        <w:rPr>
          <w:rFonts w:hint="eastAsia" w:ascii="仿宋" w:hAnsi="仿宋" w:eastAsia="仿宋" w:cs="仿宋"/>
          <w:b/>
          <w:bCs w:val="0"/>
          <w:color w:val="auto"/>
          <w:sz w:val="24"/>
          <w:szCs w:val="28"/>
          <w:highlight w:val="none"/>
          <w:u w:val="single"/>
          <w:lang w:val="en-US" w:eastAsia="zh-CN"/>
        </w:rPr>
        <w:t>28</w:t>
      </w:r>
      <w:r>
        <w:rPr>
          <w:rFonts w:hint="eastAsia" w:ascii="仿宋" w:hAnsi="仿宋" w:eastAsia="仿宋" w:cs="仿宋"/>
          <w:b/>
          <w:bCs w:val="0"/>
          <w:color w:val="auto"/>
          <w:sz w:val="24"/>
          <w:szCs w:val="28"/>
          <w:highlight w:val="none"/>
          <w:u w:val="single"/>
        </w:rPr>
        <w:t>日</w:t>
      </w:r>
      <w:r>
        <w:rPr>
          <w:rFonts w:hint="eastAsia" w:ascii="仿宋" w:hAnsi="仿宋" w:eastAsia="仿宋" w:cs="仿宋"/>
          <w:b/>
          <w:bCs w:val="0"/>
          <w:color w:val="auto"/>
          <w:sz w:val="24"/>
          <w:szCs w:val="28"/>
          <w:highlight w:val="none"/>
        </w:rPr>
        <w:t>，</w:t>
      </w:r>
      <w:r>
        <w:rPr>
          <w:rFonts w:hint="eastAsia" w:ascii="仿宋" w:hAnsi="仿宋" w:eastAsia="仿宋" w:cs="仿宋"/>
          <w:color w:val="auto"/>
          <w:sz w:val="24"/>
          <w:szCs w:val="28"/>
          <w:highlight w:val="none"/>
        </w:rPr>
        <w:t>每天上午</w:t>
      </w:r>
      <w:r>
        <w:rPr>
          <w:rFonts w:hint="eastAsia" w:ascii="仿宋" w:hAnsi="仿宋" w:eastAsia="仿宋" w:cs="仿宋"/>
          <w:snapToGrid w:val="0"/>
          <w:color w:val="auto"/>
          <w:sz w:val="24"/>
          <w:szCs w:val="28"/>
          <w:highlight w:val="none"/>
        </w:rPr>
        <w:t>00:00至12:00</w:t>
      </w:r>
      <w:r>
        <w:rPr>
          <w:rFonts w:hint="eastAsia" w:ascii="仿宋" w:hAnsi="仿宋" w:eastAsia="仿宋" w:cs="仿宋"/>
          <w:color w:val="auto"/>
          <w:sz w:val="24"/>
          <w:szCs w:val="28"/>
          <w:highlight w:val="none"/>
        </w:rPr>
        <w:t>，下午</w:t>
      </w:r>
      <w:r>
        <w:rPr>
          <w:rFonts w:hint="eastAsia" w:ascii="仿宋" w:hAnsi="仿宋" w:eastAsia="仿宋" w:cs="仿宋"/>
          <w:snapToGrid w:val="0"/>
          <w:color w:val="auto"/>
          <w:sz w:val="24"/>
          <w:szCs w:val="28"/>
          <w:highlight w:val="none"/>
        </w:rPr>
        <w:t>12:00至23:59</w:t>
      </w:r>
      <w:r>
        <w:rPr>
          <w:rFonts w:hint="eastAsia" w:ascii="仿宋" w:hAnsi="仿宋" w:eastAsia="仿宋" w:cs="仿宋"/>
          <w:color w:val="auto"/>
          <w:sz w:val="24"/>
          <w:szCs w:val="28"/>
          <w:highlight w:val="none"/>
        </w:rPr>
        <w:t>（北京时间，线上获取法定节假日均可，线下获取文件法定节假日除外）</w:t>
      </w:r>
    </w:p>
    <w:p w14:paraId="5F26E65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地点（网址）：乐采云平台（https://www.lecaiyun.com）；</w:t>
      </w:r>
    </w:p>
    <w:p w14:paraId="1325B346">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方式：供应商</w:t>
      </w:r>
      <w:r>
        <w:rPr>
          <w:rFonts w:hint="eastAsia" w:ascii="仿宋" w:hAnsi="仿宋" w:eastAsia="仿宋" w:cs="仿宋"/>
          <w:color w:val="auto"/>
          <w:sz w:val="24"/>
          <w:szCs w:val="28"/>
          <w:highlight w:val="none"/>
          <w:lang w:val="en-US" w:eastAsia="zh-CN"/>
        </w:rPr>
        <w:t>登录</w:t>
      </w:r>
      <w:r>
        <w:rPr>
          <w:rFonts w:hint="eastAsia" w:ascii="仿宋" w:hAnsi="仿宋" w:eastAsia="仿宋" w:cs="仿宋"/>
          <w:color w:val="auto"/>
          <w:sz w:val="24"/>
          <w:szCs w:val="28"/>
          <w:highlight w:val="none"/>
        </w:rPr>
        <w:t>乐采云平台https://www.lecaiyun.com，在线申请获取采购文件（进入“项目采购”应用，在获取采购文件菜单中选择项目，申请获取采购文件）。公告页面附件招标文件可以下载，仅供浏览使用；</w:t>
      </w:r>
    </w:p>
    <w:p w14:paraId="4A9BAE40">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售价：</w:t>
      </w:r>
      <w:r>
        <w:rPr>
          <w:rFonts w:hint="eastAsia" w:ascii="仿宋" w:hAnsi="仿宋" w:eastAsia="仿宋" w:cs="仿宋"/>
          <w:color w:val="auto"/>
          <w:sz w:val="24"/>
          <w:szCs w:val="28"/>
          <w:highlight w:val="none"/>
          <w:u w:val="single"/>
        </w:rPr>
        <w:t>0元</w:t>
      </w:r>
      <w:r>
        <w:rPr>
          <w:rFonts w:hint="eastAsia" w:ascii="仿宋" w:hAnsi="仿宋" w:eastAsia="仿宋" w:cs="仿宋"/>
          <w:color w:val="auto"/>
          <w:sz w:val="24"/>
          <w:szCs w:val="28"/>
          <w:highlight w:val="none"/>
        </w:rPr>
        <w:t>。</w:t>
      </w:r>
    </w:p>
    <w:p w14:paraId="71F4715B">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24" w:name="_Toc28359082"/>
      <w:bookmarkStart w:id="25" w:name="_Toc28359005"/>
      <w:bookmarkStart w:id="26" w:name="_Toc35393793"/>
      <w:bookmarkStart w:id="27" w:name="_Toc35393624"/>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14:paraId="7B6A10A1">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提交投标文件截止时间：</w:t>
      </w:r>
      <w:r>
        <w:rPr>
          <w:rFonts w:hint="eastAsia" w:ascii="仿宋" w:hAnsi="仿宋" w:eastAsia="仿宋" w:cs="仿宋"/>
          <w:b/>
          <w:bCs w:val="0"/>
          <w:color w:val="auto"/>
          <w:sz w:val="24"/>
          <w:szCs w:val="28"/>
          <w:highlight w:val="none"/>
          <w:u w:val="single"/>
          <w:lang w:val="en-US" w:eastAsia="zh-CN"/>
        </w:rPr>
        <w:t>2025</w:t>
      </w:r>
      <w:r>
        <w:rPr>
          <w:rFonts w:hint="eastAsia" w:ascii="仿宋" w:hAnsi="仿宋" w:eastAsia="仿宋" w:cs="仿宋"/>
          <w:b/>
          <w:bCs w:val="0"/>
          <w:color w:val="auto"/>
          <w:sz w:val="24"/>
          <w:szCs w:val="28"/>
          <w:highlight w:val="none"/>
          <w:u w:val="single"/>
        </w:rPr>
        <w:t>年</w:t>
      </w:r>
      <w:r>
        <w:rPr>
          <w:rFonts w:hint="eastAsia" w:ascii="仿宋" w:hAnsi="仿宋" w:eastAsia="仿宋" w:cs="仿宋"/>
          <w:b/>
          <w:bCs w:val="0"/>
          <w:color w:val="auto"/>
          <w:sz w:val="24"/>
          <w:szCs w:val="28"/>
          <w:highlight w:val="none"/>
          <w:u w:val="single"/>
          <w:lang w:val="en-US" w:eastAsia="zh-CN"/>
        </w:rPr>
        <w:t>7</w:t>
      </w:r>
      <w:r>
        <w:rPr>
          <w:rFonts w:hint="eastAsia" w:ascii="仿宋" w:hAnsi="仿宋" w:eastAsia="仿宋" w:cs="仿宋"/>
          <w:b/>
          <w:bCs w:val="0"/>
          <w:color w:val="auto"/>
          <w:sz w:val="24"/>
          <w:szCs w:val="28"/>
          <w:highlight w:val="none"/>
          <w:u w:val="single"/>
        </w:rPr>
        <w:t>月</w:t>
      </w:r>
      <w:r>
        <w:rPr>
          <w:rFonts w:hint="eastAsia" w:ascii="仿宋" w:hAnsi="仿宋" w:eastAsia="仿宋" w:cs="仿宋"/>
          <w:b/>
          <w:bCs w:val="0"/>
          <w:color w:val="auto"/>
          <w:sz w:val="24"/>
          <w:szCs w:val="28"/>
          <w:highlight w:val="none"/>
          <w:u w:val="single"/>
          <w:lang w:val="en-US" w:eastAsia="zh-CN"/>
        </w:rPr>
        <w:t>28</w:t>
      </w:r>
      <w:r>
        <w:rPr>
          <w:rFonts w:hint="eastAsia" w:ascii="仿宋" w:hAnsi="仿宋" w:eastAsia="仿宋" w:cs="仿宋"/>
          <w:b/>
          <w:bCs w:val="0"/>
          <w:color w:val="auto"/>
          <w:sz w:val="24"/>
          <w:szCs w:val="28"/>
          <w:highlight w:val="none"/>
          <w:u w:val="single"/>
        </w:rPr>
        <w:t>日</w:t>
      </w:r>
      <w:r>
        <w:rPr>
          <w:rFonts w:hint="eastAsia" w:ascii="仿宋" w:hAnsi="仿宋" w:eastAsia="仿宋" w:cs="仿宋"/>
          <w:b/>
          <w:bCs w:val="0"/>
          <w:color w:val="auto"/>
          <w:sz w:val="24"/>
          <w:szCs w:val="28"/>
          <w:highlight w:val="none"/>
          <w:u w:val="single"/>
          <w:lang w:val="en-US" w:eastAsia="zh-CN"/>
        </w:rPr>
        <w:t>14:00</w:t>
      </w:r>
      <w:r>
        <w:rPr>
          <w:rFonts w:hint="eastAsia" w:ascii="仿宋" w:hAnsi="仿宋" w:eastAsia="仿宋" w:cs="仿宋"/>
          <w:color w:val="auto"/>
          <w:sz w:val="24"/>
          <w:szCs w:val="28"/>
          <w:highlight w:val="none"/>
        </w:rPr>
        <w:t>（北京时间）</w:t>
      </w:r>
    </w:p>
    <w:p w14:paraId="637D4ADC">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投标地点（网址）：乐采云平台（https://www.lecaiyun.com）</w:t>
      </w:r>
    </w:p>
    <w:p w14:paraId="59075BEB">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w:t>
      </w:r>
      <w:r>
        <w:rPr>
          <w:rFonts w:hint="eastAsia" w:ascii="仿宋" w:hAnsi="仿宋" w:eastAsia="仿宋" w:cs="仿宋"/>
          <w:b/>
          <w:bCs w:val="0"/>
          <w:color w:val="auto"/>
          <w:sz w:val="24"/>
          <w:szCs w:val="28"/>
          <w:highlight w:val="none"/>
          <w:u w:val="single"/>
          <w:lang w:val="en-US" w:eastAsia="zh-CN"/>
        </w:rPr>
        <w:t>2025</w:t>
      </w:r>
      <w:r>
        <w:rPr>
          <w:rFonts w:hint="eastAsia" w:ascii="仿宋" w:hAnsi="仿宋" w:eastAsia="仿宋" w:cs="仿宋"/>
          <w:b/>
          <w:bCs w:val="0"/>
          <w:color w:val="auto"/>
          <w:sz w:val="24"/>
          <w:szCs w:val="28"/>
          <w:highlight w:val="none"/>
          <w:u w:val="single"/>
        </w:rPr>
        <w:t>年</w:t>
      </w:r>
      <w:r>
        <w:rPr>
          <w:rFonts w:hint="eastAsia" w:ascii="仿宋" w:hAnsi="仿宋" w:eastAsia="仿宋" w:cs="仿宋"/>
          <w:b/>
          <w:bCs w:val="0"/>
          <w:color w:val="auto"/>
          <w:sz w:val="24"/>
          <w:szCs w:val="28"/>
          <w:highlight w:val="none"/>
          <w:u w:val="single"/>
          <w:lang w:val="en-US" w:eastAsia="zh-CN"/>
        </w:rPr>
        <w:t>7</w:t>
      </w:r>
      <w:r>
        <w:rPr>
          <w:rFonts w:hint="eastAsia" w:ascii="仿宋" w:hAnsi="仿宋" w:eastAsia="仿宋" w:cs="仿宋"/>
          <w:b/>
          <w:bCs w:val="0"/>
          <w:color w:val="auto"/>
          <w:sz w:val="24"/>
          <w:szCs w:val="28"/>
          <w:highlight w:val="none"/>
          <w:u w:val="single"/>
        </w:rPr>
        <w:t>月</w:t>
      </w:r>
      <w:r>
        <w:rPr>
          <w:rFonts w:hint="eastAsia" w:ascii="仿宋" w:hAnsi="仿宋" w:eastAsia="仿宋" w:cs="仿宋"/>
          <w:b/>
          <w:bCs w:val="0"/>
          <w:color w:val="auto"/>
          <w:sz w:val="24"/>
          <w:szCs w:val="28"/>
          <w:highlight w:val="none"/>
          <w:u w:val="single"/>
          <w:lang w:val="en-US" w:eastAsia="zh-CN"/>
        </w:rPr>
        <w:t>28</w:t>
      </w:r>
      <w:r>
        <w:rPr>
          <w:rFonts w:hint="eastAsia" w:ascii="仿宋" w:hAnsi="仿宋" w:eastAsia="仿宋" w:cs="仿宋"/>
          <w:b/>
          <w:bCs w:val="0"/>
          <w:color w:val="auto"/>
          <w:sz w:val="24"/>
          <w:szCs w:val="28"/>
          <w:highlight w:val="none"/>
          <w:u w:val="single"/>
        </w:rPr>
        <w:t>日</w:t>
      </w:r>
      <w:r>
        <w:rPr>
          <w:rFonts w:hint="eastAsia" w:ascii="仿宋" w:hAnsi="仿宋" w:eastAsia="仿宋" w:cs="仿宋"/>
          <w:b/>
          <w:bCs w:val="0"/>
          <w:color w:val="auto"/>
          <w:sz w:val="24"/>
          <w:szCs w:val="28"/>
          <w:highlight w:val="none"/>
          <w:u w:val="single"/>
          <w:lang w:val="en-US" w:eastAsia="zh-CN"/>
        </w:rPr>
        <w:t>14:00</w:t>
      </w:r>
    </w:p>
    <w:p w14:paraId="27DE84C2">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开标地点（网址）：绍兴市柯桥区清风路轨道交通集团大楼</w:t>
      </w:r>
      <w:r>
        <w:rPr>
          <w:rFonts w:hint="eastAsia" w:ascii="仿宋" w:hAnsi="仿宋" w:eastAsia="仿宋" w:cs="仿宋"/>
          <w:b/>
          <w:bCs/>
          <w:color w:val="auto"/>
          <w:sz w:val="24"/>
          <w:szCs w:val="28"/>
          <w:highlight w:val="none"/>
        </w:rPr>
        <w:t>1216室</w:t>
      </w:r>
      <w:r>
        <w:rPr>
          <w:rFonts w:hint="eastAsia" w:ascii="仿宋" w:hAnsi="仿宋" w:eastAsia="仿宋" w:cs="仿宋"/>
          <w:color w:val="auto"/>
          <w:sz w:val="24"/>
          <w:szCs w:val="28"/>
          <w:highlight w:val="none"/>
        </w:rPr>
        <w:t>会议室通过乐采云平台（https://www.lecaiyun.com）在线</w:t>
      </w:r>
      <w:r>
        <w:rPr>
          <w:rFonts w:hint="eastAsia" w:ascii="仿宋" w:hAnsi="仿宋" w:eastAsia="仿宋" w:cs="仿宋"/>
          <w:color w:val="auto"/>
          <w:sz w:val="24"/>
          <w:szCs w:val="28"/>
          <w:highlight w:val="none"/>
          <w:lang w:val="en-US" w:eastAsia="zh-CN"/>
        </w:rPr>
        <w:t>开标</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 xml:space="preserve"> </w:t>
      </w:r>
    </w:p>
    <w:p w14:paraId="37385FD9">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28" w:name="_Toc28359084"/>
      <w:bookmarkStart w:id="29" w:name="_Toc35393794"/>
      <w:bookmarkStart w:id="30" w:name="_Toc35393625"/>
      <w:bookmarkStart w:id="31" w:name="_Toc28359007"/>
      <w:r>
        <w:rPr>
          <w:rFonts w:hint="eastAsia" w:ascii="仿宋" w:hAnsi="仿宋" w:eastAsia="仿宋" w:cs="仿宋"/>
          <w:color w:val="auto"/>
          <w:sz w:val="24"/>
          <w:szCs w:val="28"/>
          <w:highlight w:val="none"/>
        </w:rPr>
        <w:t>五、公告期限</w:t>
      </w:r>
      <w:bookmarkEnd w:id="28"/>
      <w:bookmarkEnd w:id="29"/>
      <w:bookmarkEnd w:id="30"/>
      <w:bookmarkEnd w:id="31"/>
    </w:p>
    <w:p w14:paraId="33614BC4">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08337F7B">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32" w:name="_Toc35393626"/>
      <w:bookmarkStart w:id="33" w:name="_Toc35393795"/>
      <w:r>
        <w:rPr>
          <w:rFonts w:hint="eastAsia" w:ascii="仿宋" w:hAnsi="仿宋" w:eastAsia="仿宋" w:cs="仿宋"/>
          <w:color w:val="auto"/>
          <w:sz w:val="24"/>
          <w:szCs w:val="28"/>
          <w:highlight w:val="none"/>
        </w:rPr>
        <w:t>六、其他补充事宜</w:t>
      </w:r>
      <w:bookmarkEnd w:id="32"/>
      <w:bookmarkEnd w:id="33"/>
    </w:p>
    <w:p w14:paraId="3E89A886">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有企业采购监督管理部门投诉。质疑函范本、投诉书范本请到浙江政府采购网下载专区下载。</w:t>
      </w:r>
    </w:p>
    <w:p w14:paraId="159E2D80">
      <w:pPr>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2.其他事项：</w:t>
      </w:r>
      <w:r>
        <w:rPr>
          <w:rFonts w:hint="eastAsia" w:ascii="仿宋" w:hAnsi="仿宋" w:eastAsia="仿宋" w:cs="仿宋"/>
          <w:color w:val="auto"/>
          <w:sz w:val="24"/>
          <w:highlight w:val="none"/>
        </w:rPr>
        <w:t xml:space="preserve">电子招投标的说明：①电子招投标：本项目以数据电文形式，依托“乐采云平台（www.lecaiyun.com）”进行招投标活动，不接受纸质投标文件；②投标准备：注册账号--点击“商家入驻”，进行国企采购供应商资料填写；申领CA数字证书---申领流程详见“浙江政府采购网-下载专区-电子交易客户端-CA驱动和申领流程”；安装“乐采云电子投标客户端”----前往“浙江企业采购信息服务网-在线下载-乐采云电子投标客户端下载”进行下载并安装；③招标文件的获取：使用账号登录或者使用CA登录乐采云平台；进入“项目采购”应用，在获取采购文件菜单中选择项目，获取招标文件；④投标文件的制作：在“乐采云电子投标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w:t>
      </w:r>
    </w:p>
    <w:p w14:paraId="033F4B43">
      <w:pPr>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供应商”。（3）招标文件公告期限与招标公告的公告期限一致。</w:t>
      </w:r>
    </w:p>
    <w:p w14:paraId="6510B0AB">
      <w:pPr>
        <w:pStyle w:val="4"/>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8"/>
          <w:highlight w:val="none"/>
        </w:rPr>
      </w:pPr>
      <w:bookmarkStart w:id="34" w:name="_Toc35393796"/>
      <w:bookmarkStart w:id="35" w:name="_Toc35393627"/>
      <w:bookmarkStart w:id="36" w:name="_Toc28359008"/>
      <w:bookmarkStart w:id="37" w:name="_Toc28359085"/>
      <w:r>
        <w:rPr>
          <w:rFonts w:hint="eastAsia" w:ascii="仿宋" w:hAnsi="仿宋" w:eastAsia="仿宋" w:cs="仿宋"/>
          <w:color w:val="auto"/>
          <w:sz w:val="24"/>
          <w:szCs w:val="28"/>
          <w:highlight w:val="none"/>
        </w:rPr>
        <w:t>七、对本次采购提出询问、质疑、投诉，请按以下方式联系。</w:t>
      </w:r>
      <w:bookmarkEnd w:id="34"/>
      <w:bookmarkEnd w:id="35"/>
      <w:bookmarkEnd w:id="36"/>
      <w:bookmarkEnd w:id="37"/>
    </w:p>
    <w:p w14:paraId="131DDBF7">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D470558">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   名称：</w:t>
      </w:r>
      <w:r>
        <w:rPr>
          <w:rFonts w:hint="eastAsia" w:ascii="仿宋" w:hAnsi="仿宋" w:eastAsia="仿宋" w:cs="仿宋"/>
          <w:color w:val="auto"/>
          <w:sz w:val="24"/>
          <w:szCs w:val="28"/>
          <w:highlight w:val="none"/>
          <w:lang w:eastAsia="zh-CN"/>
        </w:rPr>
        <w:t>浙江绍兴杭绍临空示范区开发集团有限公司</w:t>
      </w:r>
    </w:p>
    <w:p w14:paraId="0D322809">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地址：柯桥区钱清街道万绣路车辆基地培训中心</w:t>
      </w:r>
    </w:p>
    <w:p w14:paraId="45FAE015">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w:t>
      </w:r>
    </w:p>
    <w:p w14:paraId="7DEE249E">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   项目联系人（询问）：寿</w:t>
      </w:r>
      <w:r>
        <w:rPr>
          <w:rFonts w:hint="eastAsia" w:ascii="仿宋" w:hAnsi="仿宋" w:eastAsia="仿宋" w:cs="仿宋"/>
          <w:color w:val="auto"/>
          <w:sz w:val="24"/>
          <w:szCs w:val="28"/>
          <w:highlight w:val="none"/>
          <w:lang w:val="en-US" w:eastAsia="zh-CN"/>
        </w:rPr>
        <w:t>工</w:t>
      </w:r>
    </w:p>
    <w:p w14:paraId="0490FF8D">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   项目联系方式（询问）：0575</w:t>
      </w:r>
      <w:r>
        <w:rPr>
          <w:rFonts w:hint="eastAsia" w:ascii="仿宋" w:hAnsi="仿宋" w:eastAsia="仿宋" w:cs="仿宋"/>
          <w:color w:val="auto"/>
          <w:sz w:val="24"/>
          <w:szCs w:val="28"/>
          <w:highlight w:val="none"/>
          <w:lang w:val="en-US" w:eastAsia="zh-CN"/>
        </w:rPr>
        <w:t>-</w:t>
      </w:r>
      <w:r>
        <w:rPr>
          <w:rFonts w:hint="eastAsia" w:ascii="仿宋" w:hAnsi="仿宋" w:eastAsia="仿宋" w:cs="仿宋"/>
          <w:color w:val="auto"/>
          <w:sz w:val="24"/>
          <w:szCs w:val="28"/>
          <w:highlight w:val="none"/>
        </w:rPr>
        <w:t>84111665</w:t>
      </w:r>
    </w:p>
    <w:p w14:paraId="0974FC83">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质疑联系人：沈工</w:t>
      </w:r>
    </w:p>
    <w:p w14:paraId="571707AA">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质疑联系方式：0575-84111181</w:t>
      </w:r>
    </w:p>
    <w:p w14:paraId="7C240990">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2.采购代理机构信息</w:t>
      </w:r>
    </w:p>
    <w:p w14:paraId="370C233B">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万邦工程管理咨询有限公司</w:t>
      </w:r>
    </w:p>
    <w:p w14:paraId="646742C6">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地址：绍兴市迪荡街道黄金时代大厦3幢1628室</w:t>
      </w:r>
    </w:p>
    <w:p w14:paraId="6B216426">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传真：/</w:t>
      </w:r>
    </w:p>
    <w:p w14:paraId="6F4658B4">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项目联系人（询问）：杨</w:t>
      </w:r>
      <w:r>
        <w:rPr>
          <w:rFonts w:hint="eastAsia" w:ascii="仿宋" w:hAnsi="仿宋" w:eastAsia="仿宋" w:cs="仿宋"/>
          <w:color w:val="auto"/>
          <w:sz w:val="24"/>
          <w:highlight w:val="none"/>
          <w:lang w:val="en-US" w:eastAsia="zh-CN"/>
        </w:rPr>
        <w:t>工</w:t>
      </w:r>
    </w:p>
    <w:p w14:paraId="5EE26C73">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项目联系方式（询问）：13615852252</w:t>
      </w:r>
    </w:p>
    <w:p w14:paraId="2F5786CD">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质疑联系人：</w:t>
      </w:r>
      <w:r>
        <w:rPr>
          <w:rFonts w:hint="eastAsia" w:ascii="仿宋" w:hAnsi="仿宋" w:eastAsia="仿宋" w:cs="仿宋"/>
          <w:color w:val="auto"/>
          <w:sz w:val="24"/>
          <w:highlight w:val="none"/>
          <w:lang w:val="en-US" w:eastAsia="zh-CN"/>
        </w:rPr>
        <w:t>李工</w:t>
      </w:r>
    </w:p>
    <w:p w14:paraId="1D39972D">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质疑联系方式：0575-88050769</w:t>
      </w:r>
    </w:p>
    <w:p w14:paraId="54DEC68A">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3.采购监督管理部门 </w:t>
      </w:r>
    </w:p>
    <w:p w14:paraId="72662D77">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   名称：</w:t>
      </w:r>
      <w:r>
        <w:rPr>
          <w:rFonts w:hint="eastAsia" w:ascii="仿宋" w:hAnsi="仿宋" w:eastAsia="仿宋" w:cs="仿宋"/>
          <w:color w:val="auto"/>
          <w:sz w:val="24"/>
          <w:szCs w:val="28"/>
          <w:highlight w:val="none"/>
          <w:lang w:eastAsia="zh-CN"/>
        </w:rPr>
        <w:t>浙江绍兴杭绍临空示范区开发集团有限公司</w:t>
      </w:r>
    </w:p>
    <w:p w14:paraId="3C499ACC">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w:t>
      </w:r>
      <w:r>
        <w:rPr>
          <w:rFonts w:hint="eastAsia" w:ascii="仿宋" w:hAnsi="仿宋" w:eastAsia="仿宋" w:cs="仿宋"/>
          <w:color w:val="auto"/>
          <w:sz w:val="24"/>
          <w:highlight w:val="none"/>
        </w:rPr>
        <w:t>柯桥区钱清街道万绣路车辆基地培训中心</w:t>
      </w:r>
    </w:p>
    <w:p w14:paraId="60C0C52D">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w:t>
      </w:r>
      <w:r>
        <w:rPr>
          <w:rFonts w:hint="eastAsia" w:ascii="仿宋" w:hAnsi="仿宋" w:eastAsia="仿宋" w:cs="仿宋"/>
          <w:snapToGrid w:val="0"/>
          <w:color w:val="auto"/>
          <w:kern w:val="0"/>
          <w:sz w:val="24"/>
          <w:szCs w:val="28"/>
          <w:highlight w:val="none"/>
        </w:rPr>
        <w:t>/</w:t>
      </w:r>
      <w:r>
        <w:rPr>
          <w:rFonts w:hint="eastAsia" w:ascii="仿宋" w:hAnsi="仿宋" w:eastAsia="仿宋" w:cs="仿宋"/>
          <w:color w:val="auto"/>
          <w:sz w:val="24"/>
          <w:szCs w:val="28"/>
          <w:highlight w:val="none"/>
        </w:rPr>
        <w:t> </w:t>
      </w:r>
    </w:p>
    <w:p w14:paraId="65410974">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联系人：</w:t>
      </w:r>
      <w:r>
        <w:rPr>
          <w:rFonts w:hint="eastAsia" w:ascii="仿宋" w:hAnsi="仿宋" w:eastAsia="仿宋" w:cs="仿宋"/>
          <w:snapToGrid w:val="0"/>
          <w:color w:val="auto"/>
          <w:kern w:val="0"/>
          <w:sz w:val="24"/>
          <w:szCs w:val="28"/>
          <w:highlight w:val="none"/>
        </w:rPr>
        <w:t>金工</w:t>
      </w:r>
    </w:p>
    <w:p w14:paraId="6D0D8ED0">
      <w:pPr>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napToGrid w:val="0"/>
          <w:color w:val="auto"/>
          <w:kern w:val="0"/>
          <w:sz w:val="24"/>
          <w:szCs w:val="28"/>
          <w:highlight w:val="none"/>
          <w:lang w:val="en-US" w:eastAsia="zh-CN"/>
        </w:rPr>
      </w:pPr>
      <w:r>
        <w:rPr>
          <w:rFonts w:hint="eastAsia" w:ascii="仿宋" w:hAnsi="仿宋" w:eastAsia="仿宋" w:cs="仿宋"/>
          <w:color w:val="auto"/>
          <w:sz w:val="24"/>
          <w:szCs w:val="28"/>
          <w:highlight w:val="none"/>
        </w:rPr>
        <w:t>   监督投诉电话：</w:t>
      </w:r>
      <w:r>
        <w:rPr>
          <w:rFonts w:hint="eastAsia" w:ascii="仿宋" w:hAnsi="仿宋" w:eastAsia="仿宋" w:cs="仿宋"/>
          <w:snapToGrid w:val="0"/>
          <w:color w:val="auto"/>
          <w:kern w:val="0"/>
          <w:sz w:val="24"/>
          <w:szCs w:val="28"/>
          <w:highlight w:val="none"/>
        </w:rPr>
        <w:t>0575-8411</w:t>
      </w:r>
      <w:r>
        <w:rPr>
          <w:rFonts w:hint="eastAsia" w:ascii="仿宋" w:hAnsi="仿宋" w:eastAsia="仿宋" w:cs="仿宋"/>
          <w:snapToGrid w:val="0"/>
          <w:color w:val="auto"/>
          <w:kern w:val="0"/>
          <w:sz w:val="24"/>
          <w:szCs w:val="28"/>
          <w:highlight w:val="none"/>
          <w:lang w:val="en-US" w:eastAsia="zh-CN"/>
        </w:rPr>
        <w:t>1821。</w:t>
      </w:r>
    </w:p>
    <w:p w14:paraId="05C122B7">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若对项目采购电子交易系统操作有疑问，可登录</w:t>
      </w:r>
      <w:r>
        <w:rPr>
          <w:rFonts w:hint="eastAsia" w:ascii="仿宋" w:hAnsi="仿宋" w:eastAsia="仿宋" w:cs="仿宋"/>
          <w:color w:val="auto"/>
          <w:kern w:val="0"/>
          <w:sz w:val="24"/>
          <w:szCs w:val="24"/>
          <w:highlight w:val="none"/>
          <w:lang w:eastAsia="zh-CN"/>
        </w:rPr>
        <w:t>乐采云平台（https://www.lecaiyun.com）</w:t>
      </w:r>
      <w:r>
        <w:rPr>
          <w:rFonts w:hint="eastAsia" w:ascii="仿宋" w:hAnsi="仿宋" w:eastAsia="仿宋" w:cs="仿宋"/>
          <w:color w:val="auto"/>
          <w:kern w:val="0"/>
          <w:sz w:val="24"/>
          <w:szCs w:val="24"/>
          <w:highlight w:val="none"/>
        </w:rPr>
        <w:t>，点击右侧咨询小采，获取采小蜜智能服务管家帮助，或拨打</w:t>
      </w:r>
      <w:r>
        <w:rPr>
          <w:rFonts w:hint="eastAsia" w:ascii="仿宋" w:hAnsi="仿宋" w:eastAsia="仿宋" w:cs="仿宋"/>
          <w:color w:val="auto"/>
          <w:kern w:val="0"/>
          <w:sz w:val="24"/>
          <w:szCs w:val="24"/>
          <w:highlight w:val="none"/>
          <w:lang w:val="en-US" w:eastAsia="zh-CN"/>
        </w:rPr>
        <w:t>乐</w:t>
      </w:r>
      <w:r>
        <w:rPr>
          <w:rFonts w:hint="eastAsia" w:ascii="仿宋" w:hAnsi="仿宋" w:eastAsia="仿宋" w:cs="仿宋"/>
          <w:color w:val="auto"/>
          <w:kern w:val="0"/>
          <w:sz w:val="24"/>
          <w:szCs w:val="24"/>
          <w:highlight w:val="none"/>
        </w:rPr>
        <w:t>采云服务热线95763获取热线服务帮助。 </w:t>
      </w:r>
    </w:p>
    <w:p w14:paraId="44B7E45D">
      <w:pPr>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CA问题联系电话（人工）：汇信CA 400-888-4636；天谷CA 400-087-8198。</w:t>
      </w:r>
    </w:p>
    <w:p w14:paraId="7EB6B48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BEACEBA">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4"/>
        <w:gridCol w:w="2004"/>
        <w:gridCol w:w="6251"/>
      </w:tblGrid>
      <w:tr w14:paraId="4DE6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tblHeader/>
        </w:trPr>
        <w:tc>
          <w:tcPr>
            <w:tcW w:w="684" w:type="dxa"/>
            <w:noWrap w:val="0"/>
            <w:vAlign w:val="center"/>
          </w:tcPr>
          <w:p w14:paraId="4973CBCE">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2004" w:type="dxa"/>
            <w:noWrap w:val="0"/>
            <w:vAlign w:val="center"/>
          </w:tcPr>
          <w:p w14:paraId="3A50330F">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事项</w:t>
            </w:r>
          </w:p>
        </w:tc>
        <w:tc>
          <w:tcPr>
            <w:tcW w:w="6251" w:type="dxa"/>
            <w:noWrap w:val="0"/>
            <w:vAlign w:val="center"/>
          </w:tcPr>
          <w:p w14:paraId="4F4BFCDA">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本项目的特别规定</w:t>
            </w:r>
          </w:p>
        </w:tc>
      </w:tr>
      <w:tr w14:paraId="7B3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1" w:hRule="atLeast"/>
          <w:tblHeader/>
        </w:trPr>
        <w:tc>
          <w:tcPr>
            <w:tcW w:w="684" w:type="dxa"/>
            <w:noWrap w:val="0"/>
            <w:vAlign w:val="center"/>
          </w:tcPr>
          <w:p w14:paraId="30DEE85A">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004" w:type="dxa"/>
            <w:noWrap w:val="0"/>
            <w:vAlign w:val="center"/>
          </w:tcPr>
          <w:p w14:paraId="38BFEDD8">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报价要求</w:t>
            </w:r>
          </w:p>
        </w:tc>
        <w:tc>
          <w:tcPr>
            <w:tcW w:w="6251" w:type="dxa"/>
            <w:noWrap w:val="0"/>
            <w:vAlign w:val="center"/>
          </w:tcPr>
          <w:p w14:paraId="76392938">
            <w:pPr>
              <w:snapToGrid w:val="0"/>
              <w:spacing w:line="240" w:lineRule="auto"/>
              <w:jc w:val="left"/>
              <w:rPr>
                <w:rFonts w:hint="eastAsia" w:ascii="仿宋" w:hAnsi="仿宋" w:eastAsia="仿宋" w:cs="仿宋"/>
                <w:color w:val="auto"/>
                <w:sz w:val="22"/>
                <w:szCs w:val="24"/>
                <w:highlight w:val="none"/>
              </w:rPr>
            </w:pPr>
            <w:r>
              <w:rPr>
                <w:rFonts w:hint="eastAsia" w:ascii="仿宋" w:hAnsi="仿宋" w:eastAsia="仿宋" w:cs="仿宋"/>
                <w:b/>
                <w:bCs/>
                <w:color w:val="auto"/>
                <w:sz w:val="22"/>
                <w:szCs w:val="24"/>
                <w:highlight w:val="none"/>
                <w:u w:val="single"/>
              </w:rPr>
              <w:t>有关本项目开展所需的</w:t>
            </w:r>
            <w:r>
              <w:rPr>
                <w:rFonts w:hint="eastAsia" w:ascii="仿宋" w:hAnsi="仿宋" w:eastAsia="仿宋" w:cs="仿宋"/>
                <w:b/>
                <w:bCs/>
                <w:color w:val="auto"/>
                <w:sz w:val="24"/>
                <w:szCs w:val="28"/>
                <w:highlight w:val="none"/>
                <w:u w:val="single"/>
                <w:lang w:val="en-US" w:eastAsia="zh-CN"/>
              </w:rPr>
              <w:t>人工、材料、分析、评估、评审会务（包含专家评审费用）、出具报告、管理、保险、税费及不可预见费用等</w:t>
            </w:r>
            <w:r>
              <w:rPr>
                <w:rFonts w:hint="eastAsia" w:ascii="仿宋" w:hAnsi="仿宋" w:eastAsia="仿宋" w:cs="仿宋"/>
                <w:b/>
                <w:bCs/>
                <w:color w:val="auto"/>
                <w:sz w:val="24"/>
                <w:szCs w:val="28"/>
                <w:highlight w:val="none"/>
                <w:u w:val="single"/>
              </w:rPr>
              <w:t>费用均计入报价</w:t>
            </w:r>
            <w:r>
              <w:rPr>
                <w:rFonts w:hint="eastAsia" w:ascii="仿宋" w:hAnsi="仿宋" w:eastAsia="仿宋" w:cs="仿宋"/>
                <w:color w:val="auto"/>
                <w:sz w:val="22"/>
                <w:szCs w:val="24"/>
                <w:highlight w:val="none"/>
              </w:rPr>
              <w:t>。《投标（开标）一览表》是报价的唯一载体。</w:t>
            </w:r>
            <w:r>
              <w:rPr>
                <w:rFonts w:hint="eastAsia" w:ascii="仿宋" w:hAnsi="仿宋" w:eastAsia="仿宋" w:cs="仿宋"/>
                <w:b/>
                <w:bCs/>
                <w:color w:val="auto"/>
                <w:sz w:val="22"/>
                <w:szCs w:val="22"/>
                <w:highlight w:val="none"/>
              </w:rPr>
              <w:t>如投标人在</w:t>
            </w:r>
            <w:r>
              <w:rPr>
                <w:rFonts w:hint="eastAsia" w:ascii="仿宋" w:hAnsi="仿宋" w:eastAsia="仿宋" w:cs="仿宋"/>
                <w:b/>
                <w:bCs/>
                <w:color w:val="auto"/>
                <w:sz w:val="22"/>
                <w:szCs w:val="22"/>
                <w:highlight w:val="none"/>
                <w:lang w:eastAsia="zh-CN"/>
              </w:rPr>
              <w:t>乐采</w:t>
            </w:r>
            <w:r>
              <w:rPr>
                <w:rFonts w:hint="eastAsia" w:ascii="仿宋" w:hAnsi="仿宋" w:eastAsia="仿宋" w:cs="仿宋"/>
                <w:b/>
                <w:bCs/>
                <w:color w:val="auto"/>
                <w:sz w:val="22"/>
                <w:szCs w:val="22"/>
                <w:highlight w:val="none"/>
              </w:rPr>
              <w:t>云平台填写的投标报价与投标文件报价文件中开标一览表（报价表）不一致的，以报价文件中开标一览表（报价表）为准</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4"/>
                <w:highlight w:val="none"/>
              </w:rPr>
              <w:t>投标文件中价格全部采用人民币报价。招标文件未列明，而投标人认为必需的费用也需列入报价。</w:t>
            </w:r>
          </w:p>
          <w:p w14:paraId="3A63C8BA">
            <w:pPr>
              <w:snapToGrid w:val="0"/>
              <w:spacing w:line="240" w:lineRule="auto"/>
              <w:jc w:val="left"/>
              <w:rPr>
                <w:rFonts w:hint="eastAsia" w:ascii="仿宋" w:hAnsi="仿宋" w:eastAsia="仿宋" w:cs="仿宋"/>
                <w:b/>
                <w:color w:val="auto"/>
                <w:kern w:val="0"/>
                <w:sz w:val="22"/>
                <w:szCs w:val="22"/>
                <w:highlight w:val="none"/>
                <w:lang w:val="zh-CN"/>
              </w:rPr>
            </w:pPr>
            <w:r>
              <w:rPr>
                <w:rFonts w:hint="eastAsia" w:ascii="仿宋" w:hAnsi="仿宋" w:eastAsia="仿宋" w:cs="仿宋"/>
                <w:b/>
                <w:color w:val="auto"/>
                <w:kern w:val="0"/>
                <w:sz w:val="22"/>
                <w:szCs w:val="22"/>
                <w:highlight w:val="none"/>
                <w:lang w:val="zh-CN"/>
              </w:rPr>
              <w:t>投标报价出现下列情形的，投标无效：</w:t>
            </w:r>
          </w:p>
          <w:p w14:paraId="59E05304">
            <w:pPr>
              <w:snapToGrid w:val="0"/>
              <w:spacing w:line="240" w:lineRule="auto"/>
              <w:jc w:val="left"/>
              <w:rPr>
                <w:rFonts w:hint="eastAsia" w:ascii="仿宋" w:hAnsi="仿宋" w:eastAsia="仿宋" w:cs="仿宋"/>
                <w:b/>
                <w:color w:val="auto"/>
                <w:kern w:val="0"/>
                <w:sz w:val="22"/>
                <w:szCs w:val="22"/>
                <w:highlight w:val="none"/>
                <w:lang w:val="zh-CN"/>
              </w:rPr>
            </w:pPr>
            <w:r>
              <w:rPr>
                <w:rFonts w:hint="eastAsia" w:ascii="仿宋" w:hAnsi="仿宋" w:eastAsia="仿宋" w:cs="仿宋"/>
                <w:b/>
                <w:color w:val="auto"/>
                <w:sz w:val="22"/>
                <w:szCs w:val="22"/>
                <w:highlight w:val="none"/>
              </w:rPr>
              <w:t>▲</w:t>
            </w:r>
            <w:r>
              <w:rPr>
                <w:rFonts w:hint="eastAsia" w:ascii="仿宋" w:hAnsi="仿宋" w:eastAsia="仿宋" w:cs="仿宋"/>
                <w:b/>
                <w:color w:val="auto"/>
                <w:kern w:val="0"/>
                <w:sz w:val="22"/>
                <w:szCs w:val="22"/>
                <w:highlight w:val="none"/>
                <w:lang w:val="zh-CN"/>
              </w:rPr>
              <w:t>投标文件出现不是唯一的、有选择性投标报价的；</w:t>
            </w:r>
          </w:p>
          <w:p w14:paraId="5345EE96">
            <w:pPr>
              <w:snapToGrid w:val="0"/>
              <w:spacing w:line="240" w:lineRule="auto"/>
              <w:jc w:val="left"/>
              <w:rPr>
                <w:rFonts w:hint="eastAsia" w:ascii="仿宋" w:hAnsi="仿宋" w:eastAsia="仿宋" w:cs="仿宋"/>
                <w:color w:val="auto"/>
                <w:kern w:val="0"/>
                <w:sz w:val="22"/>
                <w:szCs w:val="22"/>
                <w:highlight w:val="none"/>
                <w:lang w:val="zh-CN"/>
              </w:rPr>
            </w:pPr>
            <w:r>
              <w:rPr>
                <w:rFonts w:hint="eastAsia" w:ascii="仿宋" w:hAnsi="仿宋" w:eastAsia="仿宋" w:cs="仿宋"/>
                <w:b/>
                <w:color w:val="auto"/>
                <w:sz w:val="22"/>
                <w:szCs w:val="22"/>
                <w:highlight w:val="none"/>
              </w:rPr>
              <w:t>▲投标报价高于本项目采购预算或者最高限价的;</w:t>
            </w:r>
          </w:p>
          <w:p w14:paraId="1D825484">
            <w:pPr>
              <w:spacing w:line="240" w:lineRule="auto"/>
              <w:rPr>
                <w:rFonts w:hint="eastAsia" w:ascii="仿宋" w:hAnsi="仿宋" w:eastAsia="仿宋" w:cs="仿宋"/>
                <w:b/>
                <w:color w:val="auto"/>
                <w:sz w:val="22"/>
                <w:szCs w:val="20"/>
                <w:highlight w:val="none"/>
              </w:rPr>
            </w:pPr>
            <w:r>
              <w:rPr>
                <w:rFonts w:hint="eastAsia" w:ascii="仿宋" w:hAnsi="仿宋" w:eastAsia="仿宋" w:cs="仿宋"/>
                <w:b/>
                <w:color w:val="auto"/>
                <w:sz w:val="22"/>
                <w:szCs w:val="22"/>
                <w:highlight w:val="none"/>
              </w:rPr>
              <w:t>▲</w:t>
            </w:r>
            <w:r>
              <w:rPr>
                <w:rFonts w:hint="eastAsia" w:ascii="仿宋" w:hAnsi="仿宋" w:eastAsia="仿宋" w:cs="仿宋"/>
                <w:b/>
                <w:color w:val="auto"/>
                <w:kern w:val="0"/>
                <w:sz w:val="22"/>
                <w:szCs w:val="22"/>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auto"/>
                <w:sz w:val="22"/>
                <w:szCs w:val="20"/>
                <w:highlight w:val="none"/>
              </w:rPr>
              <w:t>;</w:t>
            </w:r>
          </w:p>
          <w:p w14:paraId="6C35B20B">
            <w:pPr>
              <w:snapToGrid w:val="0"/>
              <w:spacing w:line="240" w:lineRule="auto"/>
              <w:jc w:val="left"/>
              <w:rPr>
                <w:rFonts w:hint="eastAsia" w:ascii="仿宋" w:hAnsi="仿宋" w:eastAsia="仿宋" w:cs="仿宋"/>
                <w:color w:val="auto"/>
                <w:sz w:val="20"/>
                <w:szCs w:val="22"/>
                <w:highlight w:val="none"/>
                <w:lang w:val="en-US" w:eastAsia="zh-CN"/>
              </w:rPr>
            </w:pPr>
            <w:r>
              <w:rPr>
                <w:rFonts w:hint="eastAsia" w:ascii="仿宋" w:hAnsi="仿宋" w:eastAsia="仿宋" w:cs="仿宋"/>
                <w:b/>
                <w:bCs w:val="0"/>
                <w:color w:val="auto"/>
                <w:sz w:val="22"/>
                <w:szCs w:val="22"/>
                <w:highlight w:val="none"/>
              </w:rPr>
              <w:t>▲</w:t>
            </w:r>
            <w:r>
              <w:rPr>
                <w:rFonts w:hint="eastAsia" w:ascii="仿宋" w:hAnsi="仿宋" w:eastAsia="仿宋" w:cs="仿宋"/>
                <w:b/>
                <w:bCs/>
                <w:color w:val="auto"/>
                <w:sz w:val="22"/>
                <w:szCs w:val="22"/>
                <w:highlight w:val="none"/>
                <w:lang w:val="zh-CN"/>
              </w:rPr>
              <w:t>报价低于项目预算50%</w:t>
            </w:r>
            <w:r>
              <w:rPr>
                <w:rFonts w:hint="eastAsia" w:ascii="仿宋" w:hAnsi="仿宋" w:eastAsia="仿宋" w:cs="仿宋"/>
                <w:b/>
                <w:bCs/>
                <w:color w:val="auto"/>
                <w:sz w:val="22"/>
                <w:szCs w:val="22"/>
                <w:highlight w:val="none"/>
              </w:rPr>
              <w:t>的投标报价，投标人</w:t>
            </w:r>
            <w:r>
              <w:rPr>
                <w:rFonts w:hint="eastAsia" w:ascii="仿宋" w:hAnsi="仿宋" w:eastAsia="仿宋" w:cs="仿宋"/>
                <w:b/>
                <w:bCs/>
                <w:color w:val="auto"/>
                <w:sz w:val="22"/>
                <w:szCs w:val="22"/>
                <w:highlight w:val="none"/>
                <w:lang w:val="en-US" w:eastAsia="zh-CN"/>
              </w:rPr>
              <w:t>应在</w:t>
            </w:r>
            <w:r>
              <w:rPr>
                <w:rFonts w:hint="eastAsia" w:ascii="仿宋" w:hAnsi="仿宋" w:eastAsia="仿宋" w:cs="仿宋"/>
                <w:b/>
                <w:bCs/>
                <w:color w:val="auto"/>
                <w:sz w:val="22"/>
                <w:szCs w:val="22"/>
                <w:highlight w:val="none"/>
              </w:rPr>
              <w:t>投标文件中提供成本测算资料</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rPr>
              <w:t>未在投标文件中提供成本测算资料</w:t>
            </w:r>
            <w:r>
              <w:rPr>
                <w:rFonts w:hint="eastAsia" w:ascii="仿宋" w:hAnsi="仿宋" w:eastAsia="仿宋" w:cs="仿宋"/>
                <w:b/>
                <w:bCs/>
                <w:color w:val="auto"/>
                <w:sz w:val="22"/>
                <w:szCs w:val="22"/>
                <w:highlight w:val="none"/>
                <w:lang w:val="en-US" w:eastAsia="zh-CN"/>
              </w:rPr>
              <w:t>的，将被</w:t>
            </w:r>
            <w:r>
              <w:rPr>
                <w:rFonts w:hint="eastAsia" w:ascii="仿宋" w:hAnsi="仿宋" w:eastAsia="仿宋" w:cs="仿宋"/>
                <w:b/>
                <w:bCs/>
                <w:color w:val="auto"/>
                <w:sz w:val="22"/>
                <w:szCs w:val="22"/>
                <w:highlight w:val="none"/>
              </w:rPr>
              <w:t>视为投标人不能证明其报价合理性</w:t>
            </w:r>
            <w:r>
              <w:rPr>
                <w:rFonts w:hint="eastAsia" w:ascii="仿宋" w:hAnsi="仿宋" w:eastAsia="仿宋" w:cs="仿宋"/>
                <w:b/>
                <w:bCs/>
                <w:color w:val="auto"/>
                <w:sz w:val="22"/>
                <w:szCs w:val="22"/>
                <w:highlight w:val="none"/>
                <w:lang w:eastAsia="zh-CN"/>
              </w:rPr>
              <w:t>；</w:t>
            </w:r>
          </w:p>
          <w:p w14:paraId="0FDC6C44">
            <w:pPr>
              <w:spacing w:line="240" w:lineRule="auto"/>
              <w:rPr>
                <w:rFonts w:hint="eastAsia" w:ascii="仿宋" w:hAnsi="仿宋" w:eastAsia="仿宋" w:cs="仿宋"/>
                <w:color w:val="auto"/>
                <w:sz w:val="22"/>
                <w:szCs w:val="20"/>
                <w:highlight w:val="none"/>
              </w:rPr>
            </w:pPr>
            <w:r>
              <w:rPr>
                <w:rFonts w:hint="eastAsia" w:ascii="仿宋" w:hAnsi="仿宋" w:eastAsia="仿宋" w:cs="仿宋"/>
                <w:b/>
                <w:color w:val="auto"/>
                <w:sz w:val="22"/>
                <w:szCs w:val="22"/>
                <w:highlight w:val="none"/>
              </w:rPr>
              <w:t>▲《投标（开标）一览表》填写不完整或字迹不能辨认或有漏项的,经评标委员会认定属于重大偏差的；</w:t>
            </w:r>
          </w:p>
          <w:p w14:paraId="6A5888A8">
            <w:pPr>
              <w:spacing w:line="240" w:lineRule="auto"/>
              <w:rPr>
                <w:rFonts w:hint="eastAsia" w:ascii="仿宋" w:hAnsi="仿宋" w:eastAsia="仿宋" w:cs="仿宋"/>
                <w:color w:val="auto"/>
                <w:sz w:val="22"/>
                <w:szCs w:val="22"/>
                <w:highlight w:val="none"/>
              </w:rPr>
            </w:pPr>
            <w:r>
              <w:rPr>
                <w:rFonts w:hint="eastAsia" w:ascii="仿宋" w:hAnsi="仿宋" w:eastAsia="仿宋" w:cs="仿宋"/>
                <w:b/>
                <w:color w:val="auto"/>
                <w:kern w:val="0"/>
                <w:sz w:val="22"/>
                <w:szCs w:val="22"/>
                <w:highlight w:val="none"/>
              </w:rPr>
              <w:t>▲投标人对根据修正原则修正后的报价不确认的</w:t>
            </w:r>
            <w:r>
              <w:rPr>
                <w:rFonts w:hint="eastAsia" w:ascii="仿宋" w:hAnsi="仿宋" w:eastAsia="仿宋" w:cs="仿宋"/>
                <w:b/>
                <w:color w:val="auto"/>
                <w:sz w:val="22"/>
                <w:szCs w:val="22"/>
                <w:highlight w:val="none"/>
              </w:rPr>
              <w:t>。</w:t>
            </w:r>
          </w:p>
        </w:tc>
      </w:tr>
      <w:tr w14:paraId="0776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tblHeader/>
        </w:trPr>
        <w:tc>
          <w:tcPr>
            <w:tcW w:w="684" w:type="dxa"/>
            <w:noWrap w:val="0"/>
            <w:vAlign w:val="center"/>
          </w:tcPr>
          <w:p w14:paraId="646FF5D9">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004" w:type="dxa"/>
            <w:noWrap w:val="0"/>
            <w:vAlign w:val="center"/>
          </w:tcPr>
          <w:p w14:paraId="75119E1A">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项目采购类型</w:t>
            </w:r>
          </w:p>
        </w:tc>
        <w:tc>
          <w:tcPr>
            <w:tcW w:w="6251" w:type="dxa"/>
            <w:noWrap w:val="0"/>
            <w:vAlign w:val="center"/>
          </w:tcPr>
          <w:p w14:paraId="50B2FF5D">
            <w:pPr>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本项目为</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b/>
                <w:bCs/>
                <w:color w:val="auto"/>
                <w:sz w:val="22"/>
                <w:szCs w:val="22"/>
                <w:highlight w:val="none"/>
                <w:u w:val="single"/>
              </w:rPr>
              <w:t>服务类</w:t>
            </w:r>
            <w:r>
              <w:rPr>
                <w:rFonts w:hint="eastAsia" w:ascii="仿宋" w:hAnsi="仿宋" w:eastAsia="仿宋" w:cs="仿宋"/>
                <w:b/>
                <w:bCs/>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采购项目</w:t>
            </w:r>
          </w:p>
        </w:tc>
      </w:tr>
      <w:tr w14:paraId="0FCD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1" w:hRule="atLeast"/>
          <w:tblHeader/>
        </w:trPr>
        <w:tc>
          <w:tcPr>
            <w:tcW w:w="684" w:type="dxa"/>
            <w:noWrap w:val="0"/>
            <w:vAlign w:val="center"/>
          </w:tcPr>
          <w:p w14:paraId="24225210">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004" w:type="dxa"/>
            <w:noWrap w:val="0"/>
            <w:vAlign w:val="center"/>
          </w:tcPr>
          <w:p w14:paraId="01923800">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分包或转包</w:t>
            </w:r>
          </w:p>
        </w:tc>
        <w:tc>
          <w:tcPr>
            <w:tcW w:w="6251" w:type="dxa"/>
            <w:noWrap w:val="0"/>
            <w:vAlign w:val="center"/>
          </w:tcPr>
          <w:p w14:paraId="66039DC7">
            <w:pPr>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（1）采购人不</w:t>
            </w:r>
            <w:r>
              <w:rPr>
                <w:rFonts w:hint="eastAsia" w:ascii="仿宋" w:hAnsi="仿宋" w:eastAsia="仿宋" w:cs="仿宋"/>
                <w:b/>
                <w:color w:val="auto"/>
                <w:sz w:val="22"/>
                <w:szCs w:val="22"/>
                <w:highlight w:val="none"/>
              </w:rPr>
              <w:t>同意</w:t>
            </w:r>
            <w:r>
              <w:rPr>
                <w:rFonts w:hint="eastAsia" w:ascii="仿宋" w:hAnsi="仿宋" w:eastAsia="仿宋" w:cs="仿宋"/>
                <w:color w:val="auto"/>
                <w:sz w:val="22"/>
                <w:szCs w:val="22"/>
                <w:highlight w:val="none"/>
              </w:rPr>
              <w:t xml:space="preserve">分包； </w:t>
            </w:r>
          </w:p>
          <w:p w14:paraId="3BC60713">
            <w:pPr>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（2）本项目不得转包。</w:t>
            </w:r>
          </w:p>
        </w:tc>
      </w:tr>
      <w:tr w14:paraId="085F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00" w:hRule="atLeast"/>
          <w:tblHeader/>
        </w:trPr>
        <w:tc>
          <w:tcPr>
            <w:tcW w:w="684" w:type="dxa"/>
            <w:noWrap w:val="0"/>
            <w:vAlign w:val="center"/>
          </w:tcPr>
          <w:p w14:paraId="40CC0781">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004" w:type="dxa"/>
            <w:noWrap w:val="0"/>
            <w:vAlign w:val="center"/>
          </w:tcPr>
          <w:p w14:paraId="1A7AFB6B">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投标文件的份数</w:t>
            </w:r>
          </w:p>
        </w:tc>
        <w:tc>
          <w:tcPr>
            <w:tcW w:w="6251" w:type="dxa"/>
            <w:noWrap w:val="0"/>
            <w:vAlign w:val="center"/>
          </w:tcPr>
          <w:p w14:paraId="1E0EF1F1">
            <w:pPr>
              <w:spacing w:line="24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本项目实行电子投标。供应商应准备电子投标文件参与投标：电子投标文件，按乐采云平台项目采购-电子招投标操作指南及本招标文件要求递交。</w:t>
            </w:r>
          </w:p>
          <w:p w14:paraId="17FC6BF5">
            <w:pPr>
              <w:spacing w:line="24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▲未传输递交电子投标文件的，投标无效。</w:t>
            </w:r>
          </w:p>
          <w:p w14:paraId="49E97B6C">
            <w:pPr>
              <w:spacing w:line="24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▲未在系统解密时间内完成解密的，视为投标人自行放弃投标，投标无效。</w:t>
            </w:r>
          </w:p>
        </w:tc>
      </w:tr>
      <w:tr w14:paraId="262C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blHeader/>
        </w:trPr>
        <w:tc>
          <w:tcPr>
            <w:tcW w:w="684" w:type="dxa"/>
            <w:noWrap w:val="0"/>
            <w:vAlign w:val="center"/>
          </w:tcPr>
          <w:p w14:paraId="6ED7E28F">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004" w:type="dxa"/>
            <w:noWrap w:val="0"/>
            <w:vAlign w:val="center"/>
          </w:tcPr>
          <w:p w14:paraId="7ACC0EF1">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开标前答疑会或现场考察</w:t>
            </w:r>
          </w:p>
        </w:tc>
        <w:tc>
          <w:tcPr>
            <w:tcW w:w="6251" w:type="dxa"/>
            <w:noWrap w:val="0"/>
            <w:vAlign w:val="center"/>
          </w:tcPr>
          <w:p w14:paraId="6927F4A8">
            <w:pPr>
              <w:pStyle w:val="10"/>
              <w:spacing w:line="240" w:lineRule="auto"/>
              <w:rPr>
                <w:rFonts w:hint="eastAsia" w:ascii="仿宋" w:hAnsi="仿宋" w:eastAsia="仿宋" w:cs="仿宋"/>
                <w:snapToGrid/>
                <w:color w:val="auto"/>
                <w:sz w:val="22"/>
                <w:szCs w:val="18"/>
                <w:highlight w:val="none"/>
              </w:rPr>
            </w:pPr>
            <w:r>
              <w:rPr>
                <w:rFonts w:hint="eastAsia" w:ascii="仿宋" w:hAnsi="仿宋" w:eastAsia="仿宋" w:cs="仿宋"/>
                <w:b/>
                <w:snapToGrid/>
                <w:color w:val="auto"/>
                <w:sz w:val="22"/>
                <w:szCs w:val="18"/>
                <w:highlight w:val="none"/>
              </w:rPr>
              <w:t>不组织。</w:t>
            </w:r>
          </w:p>
        </w:tc>
      </w:tr>
      <w:tr w14:paraId="5666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blHeader/>
        </w:trPr>
        <w:tc>
          <w:tcPr>
            <w:tcW w:w="684" w:type="dxa"/>
            <w:noWrap w:val="0"/>
            <w:vAlign w:val="center"/>
          </w:tcPr>
          <w:p w14:paraId="22153883">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004" w:type="dxa"/>
            <w:noWrap w:val="0"/>
            <w:vAlign w:val="center"/>
          </w:tcPr>
          <w:p w14:paraId="153F2B92">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样品提供</w:t>
            </w:r>
          </w:p>
        </w:tc>
        <w:tc>
          <w:tcPr>
            <w:tcW w:w="6251" w:type="dxa"/>
            <w:noWrap w:val="0"/>
            <w:vAlign w:val="center"/>
          </w:tcPr>
          <w:p w14:paraId="46DC7E02">
            <w:pPr>
              <w:pStyle w:val="10"/>
              <w:spacing w:line="240" w:lineRule="auto"/>
              <w:rPr>
                <w:rFonts w:hint="eastAsia" w:ascii="仿宋" w:hAnsi="仿宋" w:eastAsia="仿宋" w:cs="仿宋"/>
                <w:b/>
                <w:color w:val="auto"/>
                <w:sz w:val="22"/>
                <w:szCs w:val="20"/>
                <w:highlight w:val="none"/>
              </w:rPr>
            </w:pPr>
            <w:r>
              <w:rPr>
                <w:rFonts w:hint="eastAsia" w:ascii="仿宋" w:hAnsi="仿宋" w:eastAsia="仿宋" w:cs="仿宋"/>
                <w:b/>
                <w:snapToGrid/>
                <w:color w:val="auto"/>
                <w:sz w:val="22"/>
                <w:szCs w:val="18"/>
                <w:highlight w:val="none"/>
              </w:rPr>
              <w:t>不要求。</w:t>
            </w:r>
          </w:p>
        </w:tc>
      </w:tr>
      <w:tr w14:paraId="1C4F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blHeader/>
        </w:trPr>
        <w:tc>
          <w:tcPr>
            <w:tcW w:w="684" w:type="dxa"/>
            <w:noWrap w:val="0"/>
            <w:vAlign w:val="center"/>
          </w:tcPr>
          <w:p w14:paraId="444FA637">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004" w:type="dxa"/>
            <w:noWrap w:val="0"/>
            <w:vAlign w:val="center"/>
          </w:tcPr>
          <w:p w14:paraId="7210ABC2">
            <w:pPr>
              <w:snapToGrid w:val="0"/>
              <w:spacing w:line="240" w:lineRule="auto"/>
              <w:jc w:val="center"/>
              <w:rPr>
                <w:rFonts w:hint="eastAsia" w:ascii="仿宋" w:hAnsi="仿宋" w:eastAsia="仿宋" w:cs="仿宋"/>
                <w:bCs/>
                <w:color w:val="auto"/>
                <w:sz w:val="22"/>
                <w:szCs w:val="22"/>
                <w:highlight w:val="none"/>
              </w:rPr>
            </w:pPr>
            <w:r>
              <w:rPr>
                <w:rFonts w:hint="eastAsia" w:ascii="仿宋" w:hAnsi="仿宋" w:eastAsia="仿宋" w:cs="仿宋"/>
                <w:b/>
                <w:color w:val="auto"/>
                <w:sz w:val="22"/>
                <w:szCs w:val="22"/>
                <w:highlight w:val="none"/>
              </w:rPr>
              <w:t>演示</w:t>
            </w:r>
          </w:p>
        </w:tc>
        <w:tc>
          <w:tcPr>
            <w:tcW w:w="6251" w:type="dxa"/>
            <w:noWrap w:val="0"/>
            <w:vAlign w:val="center"/>
          </w:tcPr>
          <w:p w14:paraId="2D5039B8">
            <w:pPr>
              <w:snapToGrid w:val="0"/>
              <w:spacing w:line="240" w:lineRule="auto"/>
              <w:rPr>
                <w:rFonts w:hint="eastAsia" w:ascii="仿宋" w:hAnsi="仿宋" w:eastAsia="仿宋" w:cs="仿宋"/>
                <w:b/>
                <w:color w:val="auto"/>
                <w:kern w:val="0"/>
                <w:sz w:val="22"/>
                <w:szCs w:val="22"/>
                <w:highlight w:val="none"/>
                <w:lang w:val="zh-CN"/>
              </w:rPr>
            </w:pPr>
            <w:r>
              <w:rPr>
                <w:rFonts w:hint="eastAsia" w:ascii="仿宋" w:hAnsi="仿宋" w:eastAsia="仿宋" w:cs="仿宋"/>
                <w:b/>
                <w:color w:val="auto"/>
                <w:kern w:val="28"/>
                <w:sz w:val="22"/>
                <w:szCs w:val="22"/>
                <w:highlight w:val="none"/>
              </w:rPr>
              <w:t>不组织。</w:t>
            </w:r>
          </w:p>
        </w:tc>
      </w:tr>
      <w:tr w14:paraId="0780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tblHeader/>
        </w:trPr>
        <w:tc>
          <w:tcPr>
            <w:tcW w:w="684" w:type="dxa"/>
            <w:noWrap w:val="0"/>
            <w:vAlign w:val="center"/>
          </w:tcPr>
          <w:p w14:paraId="25E77C47">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2004" w:type="dxa"/>
            <w:noWrap w:val="0"/>
            <w:vAlign w:val="center"/>
          </w:tcPr>
          <w:p w14:paraId="56E590DE">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采购代理机构代理费用</w:t>
            </w:r>
          </w:p>
        </w:tc>
        <w:tc>
          <w:tcPr>
            <w:tcW w:w="6251" w:type="dxa"/>
            <w:noWrap w:val="0"/>
            <w:vAlign w:val="center"/>
          </w:tcPr>
          <w:p w14:paraId="5E2B2382">
            <w:pPr>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采购人支付</w:t>
            </w:r>
          </w:p>
        </w:tc>
      </w:tr>
      <w:tr w14:paraId="4A63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tblHeader/>
        </w:trPr>
        <w:tc>
          <w:tcPr>
            <w:tcW w:w="684" w:type="dxa"/>
            <w:noWrap w:val="0"/>
            <w:vAlign w:val="center"/>
          </w:tcPr>
          <w:p w14:paraId="6530F871">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2004" w:type="dxa"/>
            <w:noWrap w:val="0"/>
            <w:vAlign w:val="center"/>
          </w:tcPr>
          <w:p w14:paraId="1FDC3B0F">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投标保证金缴纳</w:t>
            </w:r>
          </w:p>
        </w:tc>
        <w:tc>
          <w:tcPr>
            <w:tcW w:w="6251" w:type="dxa"/>
            <w:noWrap w:val="0"/>
            <w:vAlign w:val="center"/>
          </w:tcPr>
          <w:p w14:paraId="1EBBD7C4">
            <w:pPr>
              <w:pStyle w:val="5"/>
              <w:spacing w:line="240" w:lineRule="auto"/>
              <w:ind w:firstLine="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不收取投标保证金</w:t>
            </w:r>
          </w:p>
        </w:tc>
      </w:tr>
      <w:tr w14:paraId="70A7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tblHeader/>
        </w:trPr>
        <w:tc>
          <w:tcPr>
            <w:tcW w:w="684" w:type="dxa"/>
            <w:noWrap w:val="0"/>
            <w:vAlign w:val="center"/>
          </w:tcPr>
          <w:p w14:paraId="76CF0978">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2004" w:type="dxa"/>
            <w:noWrap w:val="0"/>
            <w:vAlign w:val="center"/>
          </w:tcPr>
          <w:p w14:paraId="43939D20">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履约保证金金额</w:t>
            </w:r>
          </w:p>
        </w:tc>
        <w:tc>
          <w:tcPr>
            <w:tcW w:w="6251" w:type="dxa"/>
            <w:noWrap w:val="0"/>
            <w:vAlign w:val="center"/>
          </w:tcPr>
          <w:p w14:paraId="57F1BF3A">
            <w:pPr>
              <w:pStyle w:val="5"/>
              <w:spacing w:line="240" w:lineRule="auto"/>
              <w:ind w:firstLine="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 </w:t>
            </w:r>
            <w:r>
              <w:rPr>
                <w:rFonts w:hint="eastAsia" w:ascii="仿宋" w:hAnsi="仿宋" w:eastAsia="仿宋" w:cs="仿宋"/>
                <w:color w:val="auto"/>
                <w:sz w:val="22"/>
                <w:szCs w:val="20"/>
                <w:highlight w:val="none"/>
              </w:rPr>
              <w:t>无</w:t>
            </w:r>
          </w:p>
        </w:tc>
      </w:tr>
      <w:tr w14:paraId="0350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4" w:hRule="atLeast"/>
          <w:tblHeader/>
        </w:trPr>
        <w:tc>
          <w:tcPr>
            <w:tcW w:w="684" w:type="dxa"/>
            <w:noWrap w:val="0"/>
            <w:vAlign w:val="center"/>
          </w:tcPr>
          <w:p w14:paraId="421EE327">
            <w:pPr>
              <w:snapToGrid w:val="0"/>
              <w:spacing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2004" w:type="dxa"/>
            <w:noWrap w:val="0"/>
            <w:vAlign w:val="center"/>
          </w:tcPr>
          <w:p w14:paraId="68409B6D">
            <w:pPr>
              <w:snapToGrid w:val="0"/>
              <w:spacing w:line="24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电子招投标说明</w:t>
            </w:r>
          </w:p>
        </w:tc>
        <w:tc>
          <w:tcPr>
            <w:tcW w:w="6251" w:type="dxa"/>
            <w:noWrap w:val="0"/>
            <w:vAlign w:val="center"/>
          </w:tcPr>
          <w:p w14:paraId="40BAFF1E">
            <w:pPr>
              <w:spacing w:line="240" w:lineRule="auto"/>
              <w:ind w:firstLine="440" w:firstLineChars="200"/>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（1）电子招投标：本项目以数据电文形式，依托</w:t>
            </w:r>
            <w:r>
              <w:rPr>
                <w:rFonts w:hint="eastAsia" w:ascii="仿宋" w:hAnsi="仿宋" w:eastAsia="仿宋" w:cs="仿宋"/>
                <w:color w:val="auto"/>
                <w:sz w:val="22"/>
                <w:szCs w:val="22"/>
                <w:highlight w:val="none"/>
              </w:rPr>
              <w:t>“乐采云平台（www.lecaiyun.com）”</w:t>
            </w:r>
            <w:r>
              <w:rPr>
                <w:rFonts w:hint="eastAsia" w:ascii="仿宋" w:hAnsi="仿宋" w:eastAsia="仿宋" w:cs="仿宋"/>
                <w:color w:val="auto"/>
                <w:sz w:val="22"/>
                <w:szCs w:val="24"/>
                <w:highlight w:val="none"/>
              </w:rPr>
              <w:t>进行招投标活动，不接受纸质投标文件。</w:t>
            </w:r>
          </w:p>
          <w:p w14:paraId="17B73E8A">
            <w:pPr>
              <w:spacing w:line="24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准备：注册账号--点击“商家入驻”，进行国企采购供应商资料填写；申领CA数字证书---申领流程详见“浙江政府采购网-下载专区-电子交易客户端-CA驱动和申领流程”；安装“乐采云电子投标客户端”----前往“浙江企业采购信息服务网-在线下载-乐采云电子投标客户端下载”进行下载并安装；</w:t>
            </w:r>
          </w:p>
          <w:p w14:paraId="62DADE9E">
            <w:pPr>
              <w:spacing w:line="24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（3）招标文件的获取：使用账号登录或者使用CA登录乐采云平台；进入“项目采购”应用，在获取采购文件菜单中选择项目，获取招标文件</w:t>
            </w:r>
          </w:p>
          <w:p w14:paraId="06C79407">
            <w:pPr>
              <w:spacing w:line="24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投标文件的制作：在“乐采云电子投标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w:t>
            </w:r>
          </w:p>
          <w:p w14:paraId="42D4FB82">
            <w:pPr>
              <w:spacing w:line="240" w:lineRule="auto"/>
              <w:ind w:firstLine="440" w:firstLineChars="200"/>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（5）投标文件的传输递交：投标人在投标截止时间前将加密的投标文件上传至</w:t>
            </w:r>
            <w:r>
              <w:rPr>
                <w:rFonts w:hint="eastAsia" w:ascii="仿宋" w:hAnsi="仿宋" w:eastAsia="仿宋" w:cs="仿宋"/>
                <w:color w:val="auto"/>
                <w:sz w:val="22"/>
                <w:szCs w:val="22"/>
                <w:highlight w:val="none"/>
              </w:rPr>
              <w:t>乐采云平台</w:t>
            </w:r>
            <w:r>
              <w:rPr>
                <w:rFonts w:hint="eastAsia" w:ascii="仿宋" w:hAnsi="仿宋" w:eastAsia="仿宋" w:cs="仿宋"/>
                <w:color w:val="auto"/>
                <w:sz w:val="22"/>
                <w:szCs w:val="24"/>
                <w:highlight w:val="none"/>
              </w:rPr>
              <w:t>。</w:t>
            </w:r>
          </w:p>
          <w:p w14:paraId="56BDA210">
            <w:pPr>
              <w:spacing w:line="240" w:lineRule="auto"/>
              <w:ind w:firstLine="440" w:firstLineChars="200"/>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（6）投标文件的解密：投标人按照平台提示和招标文件的规定在开始解密后0.5小时内完成在线解密。</w:t>
            </w:r>
          </w:p>
          <w:p w14:paraId="09DB8613">
            <w:pPr>
              <w:spacing w:line="240" w:lineRule="auto"/>
              <w:ind w:firstLine="440" w:firstLineChars="200"/>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（7）具体操作指南：</w:t>
            </w:r>
            <w:r>
              <w:rPr>
                <w:rFonts w:hint="eastAsia" w:ascii="仿宋" w:hAnsi="仿宋" w:eastAsia="仿宋" w:cs="仿宋"/>
                <w:color w:val="auto"/>
                <w:sz w:val="22"/>
                <w:szCs w:val="22"/>
                <w:highlight w:val="none"/>
              </w:rPr>
              <w:t>详见乐采云平台“服务中心-帮助文档-项目采购-电子招投标-供应商”</w:t>
            </w:r>
            <w:r>
              <w:rPr>
                <w:rFonts w:hint="eastAsia" w:ascii="仿宋" w:hAnsi="仿宋" w:eastAsia="仿宋" w:cs="仿宋"/>
                <w:color w:val="auto"/>
                <w:sz w:val="22"/>
                <w:szCs w:val="24"/>
                <w:highlight w:val="none"/>
              </w:rPr>
              <w:t>。</w:t>
            </w:r>
          </w:p>
        </w:tc>
      </w:tr>
    </w:tbl>
    <w:p w14:paraId="0501EBE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6306C27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38" w:name="_Toc164416483"/>
      <w:bookmarkStart w:id="39" w:name="第三部分"/>
      <w:r>
        <w:rPr>
          <w:rFonts w:hint="eastAsia" w:ascii="仿宋" w:hAnsi="仿宋" w:eastAsia="仿宋" w:cs="仿宋"/>
          <w:b/>
          <w:color w:val="auto"/>
          <w:sz w:val="32"/>
          <w:szCs w:val="20"/>
          <w:highlight w:val="none"/>
        </w:rPr>
        <w:t>一、总则</w:t>
      </w:r>
    </w:p>
    <w:p w14:paraId="41C09783">
      <w:pPr>
        <w:snapToGrid w:val="0"/>
        <w:spacing w:line="360" w:lineRule="auto"/>
        <w:ind w:firstLine="482" w:firstLineChars="20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013174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86887B">
      <w:pPr>
        <w:adjustRightInd/>
        <w:spacing w:line="360" w:lineRule="auto"/>
        <w:ind w:firstLine="482" w:firstLineChars="20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A72754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CEED70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ED6708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CBFC0A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0C8B0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4B73A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2.6“电子交易平台”系指本项目国企采购活动所依托的乐采云平台（https://</w:t>
      </w:r>
      <w:r>
        <w:rPr>
          <w:rFonts w:hint="eastAsia" w:ascii="仿宋" w:hAnsi="仿宋" w:eastAsia="仿宋" w:cs="仿宋"/>
          <w:color w:val="auto"/>
          <w:szCs w:val="21"/>
          <w:highlight w:val="none"/>
          <w:shd w:val="clear" w:color="auto" w:fill="FFFFFF"/>
        </w:rPr>
        <w:fldChar w:fldCharType="begin"/>
      </w:r>
      <w:r>
        <w:rPr>
          <w:rFonts w:hint="eastAsia" w:ascii="仿宋" w:hAnsi="仿宋" w:eastAsia="仿宋" w:cs="仿宋"/>
          <w:color w:val="auto"/>
          <w:szCs w:val="21"/>
          <w:highlight w:val="none"/>
          <w:shd w:val="clear" w:color="auto" w:fill="FFFFFF"/>
        </w:rPr>
        <w:instrText xml:space="preserve"> HYPERLINK "http://www.lecaiyun.com/" \t "_blank" </w:instrText>
      </w:r>
      <w:r>
        <w:rPr>
          <w:rFonts w:hint="eastAsia" w:ascii="仿宋" w:hAnsi="仿宋" w:eastAsia="仿宋" w:cs="仿宋"/>
          <w:color w:val="auto"/>
          <w:szCs w:val="21"/>
          <w:highlight w:val="none"/>
          <w:shd w:val="clear" w:color="auto" w:fill="FFFFFF"/>
        </w:rPr>
        <w:fldChar w:fldCharType="separate"/>
      </w:r>
      <w:r>
        <w:rPr>
          <w:rStyle w:val="21"/>
          <w:rFonts w:hint="eastAsia" w:ascii="仿宋" w:hAnsi="仿宋" w:eastAsia="仿宋" w:cs="仿宋"/>
          <w:color w:val="auto"/>
          <w:sz w:val="21"/>
          <w:szCs w:val="21"/>
          <w:highlight w:val="none"/>
          <w:shd w:val="clear" w:color="auto" w:fill="FFFFFF"/>
        </w:rPr>
        <w:t>www.lecaiyun.com</w:t>
      </w:r>
      <w:r>
        <w:rPr>
          <w:rFonts w:hint="eastAsia" w:ascii="仿宋" w:hAnsi="仿宋" w:eastAsia="仿宋" w:cs="仿宋"/>
          <w:color w:val="auto"/>
          <w:szCs w:val="21"/>
          <w:highlight w:val="none"/>
          <w:shd w:val="clear" w:color="auto" w:fill="FFFFFF"/>
        </w:rPr>
        <w:fldChar w:fldCharType="end"/>
      </w:r>
      <w:r>
        <w:rPr>
          <w:rFonts w:hint="eastAsia" w:ascii="仿宋" w:hAnsi="仿宋" w:eastAsia="仿宋" w:cs="仿宋"/>
          <w:color w:val="auto"/>
          <w:sz w:val="24"/>
          <w:highlight w:val="none"/>
        </w:rPr>
        <w:t>/）。</w:t>
      </w:r>
    </w:p>
    <w:p w14:paraId="462E580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 系指实质性要求条款，“★”系产品采购项目中单一产品或核心产品。</w:t>
      </w:r>
    </w:p>
    <w:p w14:paraId="09FADB8F">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询问、质疑、投诉</w:t>
      </w:r>
    </w:p>
    <w:p w14:paraId="56B24F31">
      <w:pPr>
        <w:spacing w:line="360" w:lineRule="auto"/>
        <w:ind w:firstLine="480" w:firstLineChars="200"/>
        <w:rPr>
          <w:rFonts w:hint="eastAsia" w:ascii="仿宋" w:hAnsi="仿宋" w:eastAsia="仿宋" w:cs="仿宋"/>
          <w:color w:val="auto"/>
          <w:sz w:val="24"/>
          <w:highlight w:val="none"/>
          <w:lang w:val="zh-CN"/>
        </w:rPr>
      </w:pPr>
      <w:bookmarkStart w:id="40" w:name="_Hlt74714665"/>
      <w:bookmarkEnd w:id="40"/>
      <w:bookmarkStart w:id="41" w:name="_Hlt74729768"/>
      <w:bookmarkEnd w:id="41"/>
      <w:bookmarkStart w:id="42" w:name="_Hlt68072990"/>
      <w:bookmarkEnd w:id="42"/>
      <w:bookmarkStart w:id="43" w:name="_Hlt74730295"/>
      <w:bookmarkEnd w:id="43"/>
      <w:bookmarkStart w:id="44" w:name="_Hlt75236290"/>
      <w:bookmarkEnd w:id="44"/>
      <w:bookmarkStart w:id="45" w:name="_Hlt74707468"/>
      <w:bookmarkEnd w:id="45"/>
      <w:bookmarkStart w:id="46" w:name="_Hlt68057669"/>
      <w:bookmarkEnd w:id="46"/>
      <w:bookmarkStart w:id="47" w:name="_Toc91899879"/>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.1在线询问、质疑、投诉</w:t>
      </w:r>
    </w:p>
    <w:p w14:paraId="42B22B9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val="zh-CN"/>
        </w:rPr>
        <w:t>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提起投诉。</w:t>
      </w:r>
    </w:p>
    <w:p w14:paraId="7A14124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.2供应商询问</w:t>
      </w:r>
    </w:p>
    <w:p w14:paraId="1CDB293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国企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6F342A5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.3供应商质疑</w:t>
      </w:r>
    </w:p>
    <w:p w14:paraId="32F4E5C7">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.1提出质疑的供应商应当是参与所质疑项目采购活动的供应商。潜在供应商已依法获取其可质疑的采购文件的，可以对该文件提出质疑。</w:t>
      </w:r>
    </w:p>
    <w:p w14:paraId="1BC79BB3">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2C4E7B2B">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val="en-US" w:eastAsia="zh-CN"/>
        </w:rPr>
        <w:t>3</w:t>
      </w:r>
      <w:r>
        <w:rPr>
          <w:rFonts w:hint="eastAsia" w:ascii="仿宋" w:hAnsi="仿宋" w:eastAsia="仿宋" w:cs="仿宋"/>
          <w:snapToGrid/>
          <w:color w:val="auto"/>
          <w:kern w:val="2"/>
          <w:sz w:val="24"/>
          <w:szCs w:val="24"/>
          <w:highlight w:val="none"/>
        </w:rPr>
        <w:t>.3.2.1对采购文件提出质疑的，质疑期限为供应商获得采购文件之日或者采购文件公告期限届满之日起计算。</w:t>
      </w:r>
      <w:r>
        <w:rPr>
          <w:rFonts w:hint="eastAsia" w:ascii="仿宋" w:hAnsi="仿宋" w:eastAsia="仿宋" w:cs="仿宋"/>
          <w:color w:val="auto"/>
          <w:sz w:val="24"/>
          <w:szCs w:val="24"/>
          <w:highlight w:val="none"/>
        </w:rPr>
        <w:t>采购文件在公告期限届满之日后获得的，应当自采购文件公告期限届满之日起计算，且应当在采购响应截止时间之前提出。</w:t>
      </w:r>
    </w:p>
    <w:p w14:paraId="7247E319">
      <w:pPr>
        <w:pStyle w:val="1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.3.2.2对采购过程提出质疑的，质疑期限为各采购程序环节结束之日起计算。4.3.2.3对采购结果提出质疑的，质疑期限自采购结果公告期限届满之日起计算。</w:t>
      </w:r>
    </w:p>
    <w:p w14:paraId="500E4608">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w:t>
      </w:r>
      <w:r>
        <w:rPr>
          <w:rFonts w:hint="eastAsia" w:ascii="仿宋" w:hAnsi="仿宋" w:eastAsia="仿宋" w:cs="仿宋"/>
          <w:color w:val="auto"/>
          <w:sz w:val="24"/>
          <w:szCs w:val="24"/>
          <w:highlight w:val="none"/>
        </w:rPr>
        <w:t>供应商提出质疑应当提交质疑函和必要的证明材料。质疑函应当包括下列内容：</w:t>
      </w:r>
    </w:p>
    <w:p w14:paraId="2403485E">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.3.3.1供应商的姓名或者名称、地址、邮编、联系人及联系电话；</w:t>
      </w:r>
    </w:p>
    <w:p w14:paraId="1E240BF2">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.3.3.2质疑项目的名称、编号；</w:t>
      </w:r>
    </w:p>
    <w:p w14:paraId="210BF13B">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.3.3.3具体、明确的质疑事项和与质疑事项相关的请求；</w:t>
      </w:r>
    </w:p>
    <w:p w14:paraId="2DFEDC1B">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.3.3.4事实依据；</w:t>
      </w:r>
    </w:p>
    <w:p w14:paraId="1F8CE6B6">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.3.3.5必要的法律依据；</w:t>
      </w:r>
    </w:p>
    <w:p w14:paraId="647D967A">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.3.3.6提出质疑的日期。</w:t>
      </w:r>
    </w:p>
    <w:p w14:paraId="04582005">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9C280A5">
      <w:pPr>
        <w:pStyle w:val="10"/>
        <w:spacing w:line="360" w:lineRule="auto"/>
        <w:ind w:firstLine="480" w:firstLineChars="200"/>
        <w:rPr>
          <w:rFonts w:hint="eastAsia" w:ascii="仿宋" w:hAnsi="仿宋" w:eastAsia="仿宋" w:cs="仿宋"/>
          <w:i w:val="0"/>
          <w:color w:val="auto"/>
          <w:sz w:val="24"/>
          <w:szCs w:val="24"/>
          <w:highlight w:val="none"/>
        </w:rPr>
      </w:pPr>
      <w:r>
        <w:rPr>
          <w:rFonts w:hint="eastAsia" w:ascii="仿宋" w:hAnsi="仿宋" w:eastAsia="仿宋" w:cs="仿宋"/>
          <w:i w:val="0"/>
          <w:color w:val="auto"/>
          <w:sz w:val="24"/>
          <w:szCs w:val="24"/>
          <w:highlight w:val="none"/>
        </w:rPr>
        <w:t>质疑函范本及制作说明详见附件2。</w:t>
      </w:r>
    </w:p>
    <w:p w14:paraId="07E92B29">
      <w:pPr>
        <w:pStyle w:val="1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.3.4对同一采购程序环节的质疑，供应商须在法定质疑期内一次性提出。</w:t>
      </w:r>
    </w:p>
    <w:p w14:paraId="08C4A1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5采购人或者采购代理机构应当在收到供应商的书面质疑后七个工作日内作出答复，并以书面形式通知质疑供应商和其他与质疑处理结果有利害关系的国企采购当事人，但答复的内容不得涉及商业秘密。采购人或者采购代理机构将质疑答复内容及时在浙江政府采购网的“其他公告”栏目公开质疑答复，答复内容应当完整，但涉及国家秘密、个人隐私、商业秘密以及法律、法规规定应予保密的信息内容除外。</w:t>
      </w:r>
    </w:p>
    <w:p w14:paraId="6DE5E9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.6询问或者质疑事项可能影响采购结果的，采购人应当暂停签订合同，已经签订合同的，应当中止履行合同。</w:t>
      </w:r>
    </w:p>
    <w:p w14:paraId="6136F11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.4供应商投诉</w:t>
      </w:r>
    </w:p>
    <w:p w14:paraId="0F482C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.4.1质疑供应商对采购人、采购代理机构的答复不满意或者采购人、采购代理机构未在规定的时间内作出答复的，可以在答复期满后十五个工作日内向同级国企采购监督管理部门提出投诉。</w:t>
      </w:r>
    </w:p>
    <w:p w14:paraId="4D9610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3AADF4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.4.3供应商投诉应当有明确的请求和必要的证明材料。</w:t>
      </w:r>
    </w:p>
    <w:p w14:paraId="085F1C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rPr>
        <w:t>.4.4 以联合体形式参加国企采购活动的，其投诉应当由组成联合体的所有供应商共同提出。</w:t>
      </w:r>
    </w:p>
    <w:p w14:paraId="25D018E5">
      <w:pPr>
        <w:spacing w:line="360" w:lineRule="auto"/>
        <w:ind w:left="420" w:leftChars="200"/>
        <w:rPr>
          <w:rFonts w:hint="eastAsia" w:ascii="仿宋" w:hAnsi="仿宋" w:eastAsia="仿宋" w:cs="仿宋"/>
          <w:i/>
          <w:color w:val="auto"/>
          <w:sz w:val="32"/>
          <w:szCs w:val="32"/>
          <w:highlight w:val="none"/>
        </w:rPr>
      </w:pPr>
      <w:r>
        <w:rPr>
          <w:rFonts w:hint="eastAsia" w:ascii="仿宋" w:hAnsi="仿宋" w:eastAsia="仿宋" w:cs="仿宋"/>
          <w:i/>
          <w:color w:val="auto"/>
          <w:highlight w:val="none"/>
        </w:rPr>
        <w:t>投诉书范本及制作说明详见附件3。</w:t>
      </w:r>
    </w:p>
    <w:p w14:paraId="62B9469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w:t>
      </w:r>
      <w:bookmarkEnd w:id="47"/>
      <w:r>
        <w:rPr>
          <w:rFonts w:hint="eastAsia" w:ascii="仿宋" w:hAnsi="仿宋" w:eastAsia="仿宋" w:cs="仿宋"/>
          <w:b/>
          <w:color w:val="auto"/>
          <w:sz w:val="32"/>
          <w:szCs w:val="20"/>
          <w:highlight w:val="none"/>
        </w:rPr>
        <w:t>的构成、澄清、修改</w:t>
      </w:r>
    </w:p>
    <w:p w14:paraId="19195352">
      <w:pPr>
        <w:pStyle w:val="10"/>
        <w:spacing w:line="360" w:lineRule="auto"/>
        <w:ind w:firstLine="482" w:firstLineChars="200"/>
        <w:rPr>
          <w:rFonts w:hint="eastAsia" w:ascii="仿宋" w:hAnsi="仿宋" w:eastAsia="仿宋" w:cs="仿宋"/>
          <w:b/>
          <w:color w:val="auto"/>
          <w:sz w:val="24"/>
          <w:szCs w:val="24"/>
          <w:highlight w:val="none"/>
        </w:rPr>
      </w:pPr>
      <w:bookmarkStart w:id="48" w:name="_Toc91899880"/>
      <w:bookmarkStart w:id="49" w:name="_Hlt74730307"/>
      <w:r>
        <w:rPr>
          <w:rFonts w:hint="eastAsia" w:ascii="仿宋" w:hAnsi="仿宋" w:eastAsia="仿宋" w:cs="仿宋"/>
          <w:b/>
          <w:color w:val="auto"/>
          <w:sz w:val="24"/>
          <w:szCs w:val="24"/>
          <w:highlight w:val="none"/>
        </w:rPr>
        <w:t>4．招标文件的构成</w:t>
      </w:r>
      <w:bookmarkEnd w:id="48"/>
    </w:p>
    <w:bookmarkEnd w:id="49"/>
    <w:p w14:paraId="7E80469E">
      <w:pPr>
        <w:pStyle w:val="10"/>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招标文件包括下列文件及附件</w:t>
      </w:r>
    </w:p>
    <w:p w14:paraId="1A2C1B2A">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14:paraId="458B613D">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投标人须知</w:t>
      </w:r>
    </w:p>
    <w:p w14:paraId="47558640">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14:paraId="1FC2F17D">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14:paraId="1A7C5379">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14:paraId="7BBB23E0">
      <w:pPr>
        <w:pStyle w:val="10"/>
        <w:numPr>
          <w:ilvl w:val="0"/>
          <w:numId w:val="2"/>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14:paraId="22F9913A">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澄清或者修改等公告、内容亦为招标文件的组成部分，投标人须自行于招标公告所在网站获取相关信息（浙江政府采购网网址http://www.zjzfcg.gov.cn）</w:t>
      </w:r>
      <w:r>
        <w:rPr>
          <w:rFonts w:hint="eastAsia" w:ascii="仿宋" w:hAnsi="仿宋" w:eastAsia="仿宋" w:cs="仿宋"/>
          <w:color w:val="auto"/>
          <w:sz w:val="24"/>
          <w:highlight w:val="none"/>
        </w:rPr>
        <w:t>。</w:t>
      </w:r>
    </w:p>
    <w:p w14:paraId="5E7896BA">
      <w:pPr>
        <w:pStyle w:val="1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招标文件的澄清、修改</w:t>
      </w:r>
    </w:p>
    <w:p w14:paraId="3F34C56C">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1AF63582">
      <w:pPr>
        <w:adjustRightInd/>
        <w:spacing w:line="360" w:lineRule="auto"/>
        <w:jc w:val="center"/>
        <w:outlineLvl w:val="0"/>
        <w:rPr>
          <w:rFonts w:hint="eastAsia" w:ascii="仿宋" w:hAnsi="仿宋" w:eastAsia="仿宋" w:cs="仿宋"/>
          <w:b/>
          <w:color w:val="auto"/>
          <w:sz w:val="32"/>
          <w:szCs w:val="20"/>
          <w:highlight w:val="none"/>
        </w:rPr>
      </w:pPr>
      <w:bookmarkStart w:id="50" w:name="_Hlt75236011"/>
      <w:bookmarkEnd w:id="50"/>
      <w:bookmarkStart w:id="51" w:name="_Toc91899884"/>
      <w:r>
        <w:rPr>
          <w:rFonts w:hint="eastAsia" w:ascii="仿宋" w:hAnsi="仿宋" w:eastAsia="仿宋" w:cs="仿宋"/>
          <w:b/>
          <w:color w:val="auto"/>
          <w:sz w:val="32"/>
          <w:szCs w:val="20"/>
          <w:highlight w:val="none"/>
        </w:rPr>
        <w:t>三、投标</w:t>
      </w:r>
      <w:bookmarkEnd w:id="51"/>
    </w:p>
    <w:p w14:paraId="065C7B9C">
      <w:pPr>
        <w:pStyle w:val="10"/>
        <w:spacing w:line="360" w:lineRule="auto"/>
        <w:ind w:firstLine="482" w:firstLineChars="200"/>
        <w:rPr>
          <w:rFonts w:hint="eastAsia" w:ascii="仿宋" w:hAnsi="仿宋" w:eastAsia="仿宋" w:cs="仿宋"/>
          <w:b/>
          <w:color w:val="auto"/>
          <w:sz w:val="24"/>
          <w:szCs w:val="24"/>
          <w:highlight w:val="none"/>
        </w:rPr>
      </w:pPr>
      <w:bookmarkStart w:id="52" w:name="_Toc91899892"/>
      <w:bookmarkStart w:id="53" w:name="_Toc86216991"/>
      <w:r>
        <w:rPr>
          <w:rFonts w:hint="eastAsia" w:ascii="仿宋" w:hAnsi="仿宋" w:eastAsia="仿宋" w:cs="仿宋"/>
          <w:b/>
          <w:color w:val="auto"/>
          <w:sz w:val="24"/>
          <w:szCs w:val="24"/>
          <w:highlight w:val="none"/>
        </w:rPr>
        <w:t>6.招标文件的获取</w:t>
      </w:r>
    </w:p>
    <w:p w14:paraId="4F065B2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14:paraId="426A3736">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14:paraId="7E89EF83">
      <w:pPr>
        <w:pStyle w:val="1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7.开标前答疑会或现场考察</w:t>
      </w:r>
    </w:p>
    <w:p w14:paraId="3A24B816">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4B6B8035">
      <w:pPr>
        <w:pStyle w:val="10"/>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8.投标保证金</w:t>
      </w:r>
    </w:p>
    <w:p w14:paraId="5E0FE602">
      <w:pPr>
        <w:pStyle w:val="22"/>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0AC6C8E0">
      <w:pPr>
        <w:pStyle w:val="1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投标文件的语言</w:t>
      </w:r>
    </w:p>
    <w:p w14:paraId="1C1A675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B17DC72">
      <w:pPr>
        <w:pStyle w:val="1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投标文件的组成</w:t>
      </w:r>
    </w:p>
    <w:p w14:paraId="09B2CD81">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投标文件应当包括以下主要内容：</w:t>
      </w:r>
      <w:r>
        <w:rPr>
          <w:rFonts w:hint="eastAsia" w:ascii="仿宋" w:hAnsi="仿宋" w:eastAsia="仿宋" w:cs="仿宋"/>
          <w:b/>
          <w:color w:val="auto"/>
          <w:sz w:val="24"/>
          <w:szCs w:val="24"/>
          <w:highlight w:val="none"/>
        </w:rPr>
        <w:t>资格文件、商务技术文件、报价文件。其中电子投标文件中所需加盖公章部分均应采用电子签章。</w:t>
      </w:r>
      <w:r>
        <w:rPr>
          <w:rFonts w:hint="eastAsia" w:ascii="仿宋" w:hAnsi="仿宋" w:eastAsia="仿宋" w:cs="仿宋"/>
          <w:color w:val="auto"/>
          <w:sz w:val="24"/>
          <w:szCs w:val="24"/>
          <w:highlight w:val="none"/>
        </w:rPr>
        <w:t>投标文件应当对招标文件提出的要求和条件作出明确响应。</w:t>
      </w:r>
    </w:p>
    <w:p w14:paraId="47F98966">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应包括以下内容：</w:t>
      </w:r>
      <w:r>
        <w:rPr>
          <w:rFonts w:hint="eastAsia" w:ascii="仿宋" w:hAnsi="仿宋" w:eastAsia="仿宋" w:cs="仿宋"/>
          <w:color w:val="auto"/>
          <w:kern w:val="0"/>
          <w:sz w:val="24"/>
          <w:highlight w:val="none"/>
        </w:rPr>
        <w:t>证明其符合《中华人民共和国政府采购法》规定的供应商基本条件和采购项目对供应商的特定条件</w:t>
      </w:r>
      <w:r>
        <w:rPr>
          <w:rFonts w:hint="eastAsia" w:ascii="仿宋" w:hAnsi="仿宋" w:eastAsia="仿宋" w:cs="仿宋"/>
          <w:color w:val="auto"/>
          <w:sz w:val="24"/>
          <w:highlight w:val="none"/>
        </w:rPr>
        <w:t>（如果项目要求）</w:t>
      </w:r>
      <w:r>
        <w:rPr>
          <w:rFonts w:hint="eastAsia" w:ascii="仿宋" w:hAnsi="仿宋" w:eastAsia="仿宋" w:cs="仿宋"/>
          <w:color w:val="auto"/>
          <w:kern w:val="0"/>
          <w:sz w:val="24"/>
          <w:highlight w:val="none"/>
        </w:rPr>
        <w:t>的有关资格证明文件。</w:t>
      </w:r>
    </w:p>
    <w:p w14:paraId="7BBF4E0B">
      <w:pPr>
        <w:snapToGrid w:val="0"/>
        <w:spacing w:line="360" w:lineRule="auto"/>
        <w:ind w:firstLine="480" w:firstLineChars="200"/>
        <w:rPr>
          <w:rFonts w:hint="eastAsia" w:ascii="仿宋" w:hAnsi="仿宋" w:eastAsia="仿宋" w:cs="仿宋"/>
          <w:b/>
          <w:strike/>
          <w:color w:val="auto"/>
          <w:sz w:val="24"/>
          <w:highlight w:val="none"/>
        </w:rPr>
      </w:pPr>
      <w:bookmarkStart w:id="54" w:name="_Hlt68072998"/>
      <w:bookmarkEnd w:id="54"/>
      <w:bookmarkStart w:id="55" w:name="_Hlt68073093"/>
      <w:bookmarkEnd w:id="55"/>
      <w:bookmarkStart w:id="56" w:name="_Hlt68403820"/>
      <w:bookmarkEnd w:id="56"/>
      <w:r>
        <w:rPr>
          <w:rFonts w:hint="eastAsia" w:ascii="仿宋" w:hAnsi="仿宋" w:eastAsia="仿宋" w:cs="仿宋"/>
          <w:color w:val="auto"/>
          <w:sz w:val="24"/>
          <w:highlight w:val="none"/>
        </w:rPr>
        <w:t>10.1.1营业执照(或事业法人登记证或其他工商等登记证明材料)复印件、税务登记证(或其它依法缴纳税收的相关材料)复印件、社保登记证（或其它依法缴纳社会保障资金的相关材料）复印件；</w:t>
      </w:r>
      <w:r>
        <w:rPr>
          <w:rFonts w:hint="eastAsia" w:ascii="仿宋" w:hAnsi="仿宋" w:eastAsia="仿宋" w:cs="仿宋"/>
          <w:b/>
          <w:color w:val="auto"/>
          <w:sz w:val="24"/>
          <w:highlight w:val="none"/>
        </w:rPr>
        <w:t>实施“多证合一、一照一码”登记制度改革的，只需提供改革后取得的营业执照复印件</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（以联合体形式进行</w:t>
      </w:r>
      <w:r>
        <w:rPr>
          <w:rFonts w:hint="eastAsia" w:ascii="仿宋" w:hAnsi="仿宋" w:eastAsia="仿宋" w:cs="仿宋"/>
          <w:b/>
          <w:color w:val="auto"/>
          <w:kern w:val="0"/>
          <w:sz w:val="24"/>
          <w:highlight w:val="none"/>
          <w:lang w:eastAsia="zh-CN"/>
        </w:rPr>
        <w:t>国企</w:t>
      </w:r>
      <w:r>
        <w:rPr>
          <w:rFonts w:hint="eastAsia" w:ascii="仿宋" w:hAnsi="仿宋" w:eastAsia="仿宋" w:cs="仿宋"/>
          <w:b/>
          <w:color w:val="auto"/>
          <w:kern w:val="0"/>
          <w:sz w:val="24"/>
          <w:highlight w:val="none"/>
        </w:rPr>
        <w:t>采购的，参加联合体的供应商均应当提供）</w:t>
      </w:r>
    </w:p>
    <w:p w14:paraId="45189245">
      <w:pPr>
        <w:pStyle w:val="1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44F6AEC9">
      <w:pPr>
        <w:pStyle w:val="1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10.1.2投标声明函；</w:t>
      </w:r>
      <w:r>
        <w:rPr>
          <w:rFonts w:hint="eastAsia" w:ascii="仿宋" w:hAnsi="仿宋" w:eastAsia="仿宋" w:cs="仿宋"/>
          <w:b/>
          <w:bCs/>
          <w:color w:val="auto"/>
          <w:sz w:val="24"/>
          <w:highlight w:val="none"/>
        </w:rPr>
        <w:t>（如以联合体形式参加政府采购活动的，只需联合体牵头人提供）</w:t>
      </w:r>
    </w:p>
    <w:p w14:paraId="5133B471">
      <w:pPr>
        <w:pStyle w:val="1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10.1.3法定代表人授权书；如投标人代表系法定代表人，无需提供法定代表人授权委托书；</w:t>
      </w:r>
      <w:r>
        <w:rPr>
          <w:rFonts w:hint="eastAsia" w:ascii="仿宋" w:hAnsi="仿宋" w:eastAsia="仿宋" w:cs="仿宋"/>
          <w:b/>
          <w:bCs/>
          <w:color w:val="auto"/>
          <w:sz w:val="24"/>
          <w:highlight w:val="none"/>
        </w:rPr>
        <w:t>如以联合体形式参加</w:t>
      </w:r>
      <w:r>
        <w:rPr>
          <w:rFonts w:hint="eastAsia" w:ascii="仿宋" w:hAnsi="仿宋" w:eastAsia="仿宋" w:cs="仿宋"/>
          <w:b/>
          <w:bCs/>
          <w:color w:val="auto"/>
          <w:sz w:val="24"/>
          <w:highlight w:val="none"/>
          <w:lang w:eastAsia="zh-CN"/>
        </w:rPr>
        <w:t>国企</w:t>
      </w:r>
      <w:r>
        <w:rPr>
          <w:rFonts w:hint="eastAsia" w:ascii="仿宋" w:hAnsi="仿宋" w:eastAsia="仿宋" w:cs="仿宋"/>
          <w:b/>
          <w:bCs/>
          <w:color w:val="auto"/>
          <w:sz w:val="24"/>
          <w:highlight w:val="none"/>
        </w:rPr>
        <w:t>采购活动的，只需提供联合体牵头人法定代表人授权委托书；</w:t>
      </w:r>
    </w:p>
    <w:p w14:paraId="386B711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10.1.4法定代表人及其授权代表的身份证复印件（正反面复印件）；如投标人代表系法定代表人，只需提供其身份证复印件（正反面复印件）；</w:t>
      </w:r>
    </w:p>
    <w:p w14:paraId="0C8CC22D">
      <w:pPr>
        <w:spacing w:line="360" w:lineRule="auto"/>
        <w:ind w:firstLine="480" w:firstLineChars="200"/>
        <w:rPr>
          <w:rFonts w:hint="eastAsia" w:ascii="仿宋" w:hAnsi="仿宋" w:eastAsia="仿宋" w:cs="仿宋"/>
          <w:strike/>
          <w:dstrike w:val="0"/>
          <w:color w:val="auto"/>
          <w:sz w:val="24"/>
          <w:highlight w:val="none"/>
          <w:lang w:val="zh-CN"/>
        </w:rPr>
      </w:pPr>
      <w:r>
        <w:rPr>
          <w:rFonts w:hint="eastAsia" w:ascii="仿宋" w:hAnsi="仿宋" w:eastAsia="仿宋" w:cs="仿宋"/>
          <w:strike/>
          <w:dstrike w:val="0"/>
          <w:color w:val="auto"/>
          <w:sz w:val="24"/>
          <w:highlight w:val="none"/>
          <w:lang w:val="zh-CN"/>
        </w:rPr>
        <w:t>10.1.5联合体协议书（如有）；</w:t>
      </w:r>
    </w:p>
    <w:p w14:paraId="7B6375B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10.1.6符合特定资格条件的有关证明材料（</w:t>
      </w:r>
      <w:r>
        <w:rPr>
          <w:rFonts w:hint="eastAsia" w:ascii="仿宋" w:hAnsi="仿宋" w:eastAsia="仿宋" w:cs="仿宋"/>
          <w:color w:val="auto"/>
          <w:sz w:val="24"/>
          <w:highlight w:val="none"/>
          <w:lang w:val="en-US" w:eastAsia="zh-CN"/>
        </w:rPr>
        <w:t>网站截图</w:t>
      </w:r>
      <w:r>
        <w:rPr>
          <w:rFonts w:hint="eastAsia" w:ascii="仿宋" w:hAnsi="仿宋" w:eastAsia="仿宋" w:cs="仿宋"/>
          <w:color w:val="auto"/>
          <w:sz w:val="24"/>
          <w:highlight w:val="none"/>
          <w:lang w:val="zh-CN"/>
        </w:rPr>
        <w:t>）:</w:t>
      </w:r>
    </w:p>
    <w:p w14:paraId="0E1FF600">
      <w:pPr>
        <w:pStyle w:val="1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（1）投标人须在全国投资项目在线审批监管平台（http://www.tzxm.gov.cn/index.html）工程咨询单位名录（备案专业：公路工程及水运（含港口河海工程）的截图（截图内容包含投标人名称及备案专业）。</w:t>
      </w:r>
    </w:p>
    <w:p w14:paraId="1A378D1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10.2 投标人的</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文件应包括以下内容：</w:t>
      </w:r>
    </w:p>
    <w:p w14:paraId="51E1208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技术响应表；</w:t>
      </w:r>
    </w:p>
    <w:p w14:paraId="799F0EA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商务响应表；</w:t>
      </w:r>
    </w:p>
    <w:p w14:paraId="1A3C8F8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项目实施方案</w:t>
      </w:r>
      <w:r>
        <w:rPr>
          <w:rFonts w:hint="eastAsia" w:ascii="仿宋" w:hAnsi="仿宋" w:eastAsia="仿宋" w:cs="仿宋"/>
          <w:color w:val="auto"/>
          <w:kern w:val="0"/>
          <w:sz w:val="24"/>
          <w:highlight w:val="none"/>
          <w:lang w:val="zh-CN"/>
        </w:rPr>
        <w:t>；</w:t>
      </w:r>
    </w:p>
    <w:p w14:paraId="4FF12E9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项目负责人情况表</w:t>
      </w:r>
      <w:r>
        <w:rPr>
          <w:rFonts w:hint="eastAsia" w:ascii="仿宋" w:hAnsi="仿宋" w:eastAsia="仿宋" w:cs="仿宋"/>
          <w:color w:val="auto"/>
          <w:kern w:val="0"/>
          <w:sz w:val="24"/>
          <w:highlight w:val="none"/>
          <w:lang w:val="zh-CN"/>
        </w:rPr>
        <w:t>；</w:t>
      </w:r>
    </w:p>
    <w:p w14:paraId="658DF27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项目组人员名单；</w:t>
      </w:r>
    </w:p>
    <w:p w14:paraId="5B85781F">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6D9ED24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val="zh-CN"/>
        </w:rPr>
        <w:t>优惠条件及特殊承诺（如有）；</w:t>
      </w:r>
    </w:p>
    <w:p w14:paraId="3D3266F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val="zh-CN"/>
        </w:rPr>
        <w:t>投标人认为需要的其他商务技术文件或说明。</w:t>
      </w:r>
    </w:p>
    <w:p w14:paraId="03C56AB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 xml:space="preserve">10.3 </w:t>
      </w:r>
      <w:r>
        <w:rPr>
          <w:rFonts w:hint="eastAsia" w:ascii="仿宋" w:hAnsi="仿宋" w:eastAsia="仿宋" w:cs="仿宋"/>
          <w:color w:val="auto"/>
          <w:sz w:val="24"/>
          <w:highlight w:val="none"/>
        </w:rPr>
        <w:t>投标人的</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应包括以下内容：</w:t>
      </w:r>
    </w:p>
    <w:p w14:paraId="36AE40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w:t>
      </w:r>
      <w:r>
        <w:rPr>
          <w:rFonts w:hint="eastAsia" w:ascii="仿宋" w:hAnsi="仿宋" w:eastAsia="仿宋" w:cs="仿宋"/>
          <w:color w:val="auto"/>
          <w:sz w:val="24"/>
          <w:szCs w:val="28"/>
          <w:highlight w:val="none"/>
        </w:rPr>
        <w:t>开标一览表(报价表)</w:t>
      </w:r>
      <w:r>
        <w:rPr>
          <w:rFonts w:hint="eastAsia" w:ascii="仿宋" w:hAnsi="仿宋" w:eastAsia="仿宋" w:cs="仿宋"/>
          <w:color w:val="auto"/>
          <w:sz w:val="24"/>
          <w:highlight w:val="none"/>
        </w:rPr>
        <w:t>。</w:t>
      </w:r>
    </w:p>
    <w:p w14:paraId="33AF5FB9">
      <w:pPr>
        <w:pStyle w:val="22"/>
        <w:snapToGrid w:val="0"/>
        <w:spacing w:before="0"/>
        <w:ind w:firstLine="482"/>
        <w:outlineLvl w:val="9"/>
        <w:rPr>
          <w:rFonts w:hint="eastAsia" w:ascii="仿宋" w:hAnsi="仿宋" w:eastAsia="仿宋" w:cs="仿宋"/>
          <w:b/>
          <w:color w:val="auto"/>
          <w:szCs w:val="24"/>
          <w:highlight w:val="none"/>
        </w:rPr>
      </w:pPr>
      <w:bookmarkStart w:id="57" w:name="_Toc91899887"/>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570E9F4">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14:paraId="5C0F78C3">
      <w:pPr>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11.1投标文件分为资格文件、商务技术文件、报价文件三部分。各投标人在编制投标文件时请按照招标文件第六部分规定的格式进行，“商务文件”可在招标文件规定的格式基础上适当调整，以使内容更加完备，混乱的编排导致投标文件被误读或评标委员会查找不到有效文件是投标人的风险。</w:t>
      </w:r>
    </w:p>
    <w:p w14:paraId="125434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11.2投标人进行电子投标应安装客户端软件—“乐采云电子交易客户端”，并按照招标文件和电子交易平台的要求编制并加密投标文件。投标人未按规定加密的投标文件，电子交易平台将拒收并提示。</w:t>
      </w:r>
    </w:p>
    <w:bookmarkEnd w:id="57"/>
    <w:p w14:paraId="5F1F987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11.3使用“乐采云电子交易客户端”需要提前申领CA数字证书，申领流程请自行前往“浙江政府采购网-下载专区-电子交易客户端-CA驱动和申领流程”进行查阅。</w:t>
      </w:r>
    </w:p>
    <w:p w14:paraId="3E8BBB9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12.投标文件的签署、盖章</w:t>
      </w:r>
    </w:p>
    <w:p w14:paraId="6045BFB3">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12.1投标文件按照招标文件第六部分格式要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szCs w:val="24"/>
          <w:highlight w:val="none"/>
        </w:rPr>
        <w:t>其中电子投标文件中所需加盖公章部分均应采用电子签章（联合体投标的，投标人可加盖实体印章）</w:t>
      </w:r>
    </w:p>
    <w:p w14:paraId="60964F78">
      <w:pPr>
        <w:pStyle w:val="22"/>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8600CA1">
      <w:pPr>
        <w:pStyle w:val="2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12.2为确保网上操作合法、有效和安全，投标人应当在投标截止时间前完成在“</w:t>
      </w:r>
      <w:r>
        <w:rPr>
          <w:rFonts w:hint="eastAsia" w:ascii="仿宋" w:hAnsi="仿宋" w:eastAsia="仿宋" w:cs="仿宋"/>
          <w:color w:val="auto"/>
          <w:highlight w:val="none"/>
          <w:lang w:val="en-US" w:eastAsia="zh-CN"/>
        </w:rPr>
        <w:t>乐采</w:t>
      </w:r>
      <w:r>
        <w:rPr>
          <w:rFonts w:hint="eastAsia" w:ascii="仿宋" w:hAnsi="仿宋" w:eastAsia="仿宋" w:cs="仿宋"/>
          <w:color w:val="auto"/>
          <w:highlight w:val="none"/>
        </w:rPr>
        <w:t>云平台”的身份认证，确保在电子投标过程中能够对相关数据电文进行加密和使用电子签名。</w:t>
      </w:r>
    </w:p>
    <w:bookmarkEnd w:id="52"/>
    <w:bookmarkEnd w:id="53"/>
    <w:p w14:paraId="12E48716">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投标文件的提交、补充、修改、撤回</w:t>
      </w:r>
    </w:p>
    <w:p w14:paraId="19D5D66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124B8F">
      <w:pPr>
        <w:pStyle w:val="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13.2电子交易平台收到投标文件，将妥善保存并即时向供应商发出确认回执通知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在投标截止时间前，除供应商补充、修改或者撤回投标文件外，任何单位和个人不得解密或提取投标文件。</w:t>
      </w:r>
    </w:p>
    <w:p w14:paraId="2D94C499">
      <w:pPr>
        <w:pStyle w:val="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13.3采购代理机构可以视情况延长投标文件提交的截止时间。在上述情况下，采购代理机构与投标人以前在投标截止期方面的全部权利、责任和义务，将适用于延长至新的投标截止期。</w:t>
      </w:r>
    </w:p>
    <w:p w14:paraId="725AEAF1">
      <w:pPr>
        <w:pStyle w:val="2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14.投标文件的无效处理</w:t>
      </w:r>
    </w:p>
    <w:p w14:paraId="5FAA5546">
      <w:pPr>
        <w:pStyle w:val="8"/>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有招标文件第四部分“投标无效”章节</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211C7296">
      <w:pPr>
        <w:pStyle w:val="2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15.投标有效期</w:t>
      </w:r>
    </w:p>
    <w:p w14:paraId="6E9CABA4">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15.1投标有效期为从提交投标文件的截止之日起90天。</w:t>
      </w:r>
    </w:p>
    <w:p w14:paraId="6EB0C85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CF32DCD">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15.2投标文件合格投递后，自投标截止日期起，在投标有效期内有效。投标有效期内，投标人不得撤销或更换投标文件。</w:t>
      </w:r>
    </w:p>
    <w:p w14:paraId="689F9457">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15.3在原定投标有效期满之前，如果出现特殊情况，采购代理机构可以以公告形式通知投标人延长投标有效期。投标人同意延长的，不得要求或被允许修改其投标文件，投标人拒绝延长的，其投标无效。</w:t>
      </w:r>
    </w:p>
    <w:p w14:paraId="6D3C6A2B">
      <w:pPr>
        <w:adjustRightInd/>
        <w:spacing w:line="360" w:lineRule="auto"/>
        <w:jc w:val="center"/>
        <w:outlineLvl w:val="0"/>
        <w:rPr>
          <w:rFonts w:hint="eastAsia" w:ascii="仿宋" w:hAnsi="仿宋" w:eastAsia="仿宋" w:cs="仿宋"/>
          <w:b/>
          <w:color w:val="auto"/>
          <w:sz w:val="32"/>
          <w:szCs w:val="20"/>
          <w:highlight w:val="none"/>
        </w:rPr>
      </w:pPr>
      <w:bookmarkStart w:id="58" w:name="_Toc91899897"/>
      <w:r>
        <w:rPr>
          <w:rFonts w:hint="eastAsia" w:ascii="仿宋" w:hAnsi="仿宋" w:eastAsia="仿宋" w:cs="仿宋"/>
          <w:b/>
          <w:color w:val="auto"/>
          <w:sz w:val="32"/>
          <w:szCs w:val="20"/>
          <w:highlight w:val="none"/>
        </w:rPr>
        <w:t>四、开标</w:t>
      </w:r>
      <w:bookmarkEnd w:id="58"/>
      <w:r>
        <w:rPr>
          <w:rFonts w:hint="eastAsia" w:ascii="仿宋" w:hAnsi="仿宋" w:eastAsia="仿宋" w:cs="仿宋"/>
          <w:b/>
          <w:color w:val="auto"/>
          <w:sz w:val="32"/>
          <w:szCs w:val="20"/>
          <w:highlight w:val="none"/>
        </w:rPr>
        <w:t>、资格审查与信用信息查询</w:t>
      </w:r>
    </w:p>
    <w:p w14:paraId="40EFBD7E">
      <w:pPr>
        <w:pStyle w:val="24"/>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16.开标</w:t>
      </w:r>
      <w:r>
        <w:rPr>
          <w:rFonts w:hint="eastAsia" w:ascii="仿宋" w:hAnsi="仿宋" w:eastAsia="仿宋" w:cs="仿宋"/>
          <w:color w:val="auto"/>
          <w:sz w:val="24"/>
          <w:highlight w:val="none"/>
        </w:rPr>
        <w:t xml:space="preserve"> </w:t>
      </w:r>
    </w:p>
    <w:p w14:paraId="5C9A25D3">
      <w:pPr>
        <w:pStyle w:val="2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16.1采购代理机构按照招标文件规定的时间通过电子交易平台组织开标，所有投标人均应当准时在线参加。投标人不足3家的，不得开标。</w:t>
      </w:r>
    </w:p>
    <w:p w14:paraId="14FC6BF9">
      <w:pPr>
        <w:pStyle w:val="2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16.2开标时，电子交易平台按开标时间自动提取所有投标文件。采购代理机构依托电子交易平台发起开始解密指令，投标人按照平台提示和招标文件的规定在0.5小时内完成在线解密。</w:t>
      </w:r>
    </w:p>
    <w:p w14:paraId="7DCF044D">
      <w:pPr>
        <w:pStyle w:val="24"/>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highlight w:val="none"/>
        </w:rPr>
        <w:t>17、资格审查</w:t>
      </w:r>
    </w:p>
    <w:p w14:paraId="792D7189">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17.1开标后，采购人或采购代理机构将依法对投标人的资格进行审查。</w:t>
      </w:r>
    </w:p>
    <w:p w14:paraId="6E2B2D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17.2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04BC7EA3">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17.3投标人未按照招标文件要求提供与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95932BC">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17.4对未通过资格审查的投标人，采购人或采购代理机构告知其未通过的原因。</w:t>
      </w:r>
    </w:p>
    <w:p w14:paraId="386AEACA">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17.5合格投标人不足3家的，不再评标。</w:t>
      </w:r>
    </w:p>
    <w:p w14:paraId="699845E7">
      <w:pPr>
        <w:pStyle w:val="2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18、信用信息查询</w:t>
      </w:r>
    </w:p>
    <w:p w14:paraId="0F7993EA">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18.1信用信息查询渠道及截止时间：采购人或采购代理机构将通过“信用中国”网站(www.creditchina.gov.cn)、中国政府采购网(www.ccgp.gov.cn)渠道查询投标人投标截止时间前的信用记录。</w:t>
      </w:r>
    </w:p>
    <w:p w14:paraId="0F754131">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18.2信用信息查询记录和证据留存的具体方式：现场查询的投标人的信用记录、查询结果经确认后将与采购文件一起存档。</w:t>
      </w:r>
    </w:p>
    <w:p w14:paraId="536F50A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18.3信用信息的使用规则：经查询列入失信被执行人名单、重大税收违法案件当事人名单、政府采购严重违法失信行为记录名单的投标人将被拒绝参与国企采购活动。</w:t>
      </w:r>
    </w:p>
    <w:p w14:paraId="06B77B73">
      <w:pPr>
        <w:pStyle w:val="2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B6860F7">
      <w:pPr>
        <w:adjustRightInd/>
        <w:spacing w:line="360" w:lineRule="auto"/>
        <w:jc w:val="center"/>
        <w:outlineLvl w:val="0"/>
        <w:rPr>
          <w:rFonts w:hint="eastAsia" w:ascii="仿宋" w:hAnsi="仿宋" w:eastAsia="仿宋" w:cs="仿宋"/>
          <w:b/>
          <w:color w:val="auto"/>
          <w:sz w:val="32"/>
          <w:szCs w:val="20"/>
          <w:highlight w:val="none"/>
        </w:rPr>
      </w:pPr>
      <w:bookmarkStart w:id="59" w:name="_Hlt75236101"/>
      <w:bookmarkEnd w:id="59"/>
      <w:bookmarkStart w:id="60" w:name="_Toc91899902"/>
      <w:r>
        <w:rPr>
          <w:rFonts w:hint="eastAsia" w:ascii="仿宋" w:hAnsi="仿宋" w:eastAsia="仿宋" w:cs="仿宋"/>
          <w:b/>
          <w:color w:val="auto"/>
          <w:sz w:val="32"/>
          <w:szCs w:val="20"/>
          <w:highlight w:val="none"/>
        </w:rPr>
        <w:t>五、评标</w:t>
      </w:r>
      <w:bookmarkEnd w:id="60"/>
    </w:p>
    <w:p w14:paraId="2EFE519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详见招标文件第四部分“评标方法及评分标准”。</w:t>
      </w:r>
    </w:p>
    <w:p w14:paraId="3CDF37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14:paraId="6BFDA444">
      <w:pPr>
        <w:pStyle w:val="8"/>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20. 确定中标供应商</w:t>
      </w:r>
    </w:p>
    <w:p w14:paraId="11139853">
      <w:pPr>
        <w:pStyle w:val="2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采购代理机构将自评审结束之日起2个工作日内将评审报告送交采购人。采购人将自收到评审报告之日起5个工作日内在评审报告推荐的中标候选人中按顺序确定中标供应商。</w:t>
      </w:r>
    </w:p>
    <w:p w14:paraId="799E09FA">
      <w:pPr>
        <w:pStyle w:val="22"/>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 中标通知书与中标结果公告</w:t>
      </w:r>
    </w:p>
    <w:p w14:paraId="1DF2FDCB">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21.1采购代理机构将在自中标人确定之日起2个工作日内，发布招标公告的网站上公告中标结果，同时发出中标通知书（中标人可在乐采云平台自行下载中标通知书）。</w:t>
      </w:r>
    </w:p>
    <w:p w14:paraId="7A8A1751">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57E6F9D0">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21.3公告期限为1个工作日。</w:t>
      </w:r>
    </w:p>
    <w:p w14:paraId="38D6981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七、电子交易活动的中止</w:t>
      </w:r>
    </w:p>
    <w:p w14:paraId="7AB7A09C">
      <w:pPr>
        <w:pStyle w:val="22"/>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szCs w:val="24"/>
          <w:highlight w:val="none"/>
        </w:rPr>
        <w:t>2.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334D503">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22.1电子交易平台发生故障而无法登录访问的； </w:t>
      </w:r>
    </w:p>
    <w:p w14:paraId="0A47A3A5">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22.2电子交易平台应用或数据库出现错误，不能进行正常操作的；</w:t>
      </w:r>
    </w:p>
    <w:p w14:paraId="25910E79">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22.3电子交易平台发现严重安全漏洞，有潜在泄密危险的；</w:t>
      </w:r>
    </w:p>
    <w:p w14:paraId="17F21055">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22.4病毒发作导致不能进行正常操作的； </w:t>
      </w:r>
    </w:p>
    <w:p w14:paraId="54EA595A">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22.5其他无法保证电子交易的公平、公正和安全的情况。</w:t>
      </w:r>
    </w:p>
    <w:p w14:paraId="08D9ADE5">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2F33D1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八、合同授予</w:t>
      </w:r>
    </w:p>
    <w:p w14:paraId="18251CA3">
      <w:pPr>
        <w:pStyle w:val="8"/>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23. </w:t>
      </w:r>
      <w:r>
        <w:rPr>
          <w:rFonts w:hint="eastAsia" w:ascii="仿宋" w:hAnsi="仿宋" w:eastAsia="仿宋" w:cs="仿宋"/>
          <w:color w:val="auto"/>
          <w:highlight w:val="none"/>
        </w:rPr>
        <w:t>合同主要条款详见第五部分拟签订的合同文本。</w:t>
      </w:r>
    </w:p>
    <w:p w14:paraId="78F5EF61">
      <w:pPr>
        <w:pStyle w:val="8"/>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24. 合同的签订</w:t>
      </w:r>
    </w:p>
    <w:p w14:paraId="16995A4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采购合同，并在签订之日起2个工作日内将</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采购合同在浙江政府采购网上公告（采购合同中</w:t>
      </w:r>
      <w:r>
        <w:rPr>
          <w:rFonts w:hint="eastAsia" w:ascii="仿宋" w:hAnsi="仿宋" w:eastAsia="仿宋" w:cs="仿宋"/>
          <w:color w:val="auto"/>
          <w:spacing w:val="0"/>
          <w:kern w:val="0"/>
          <w:sz w:val="24"/>
          <w:szCs w:val="24"/>
          <w:highlight w:val="none"/>
        </w:rPr>
        <w:t>涉及国家秘密、商业秘密和个人隐私</w:t>
      </w:r>
      <w:r>
        <w:rPr>
          <w:rFonts w:hint="eastAsia" w:ascii="仿宋" w:hAnsi="仿宋" w:eastAsia="仿宋" w:cs="仿宋"/>
          <w:color w:val="auto"/>
          <w:kern w:val="0"/>
          <w:sz w:val="24"/>
          <w:highlight w:val="none"/>
        </w:rPr>
        <w:t>的内容除外）。鼓励采购人视情况缩减采购合同签订时限，提高采购效率，杜绝“冷、硬、横、推”等不当行为。除不可抗力等特殊情况外，原则上采购人应当在中标通知书发出之日起十日内，与中标供应商按照采购文件确定的事项签订</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采购合同。</w:t>
      </w:r>
    </w:p>
    <w:p w14:paraId="428242DE">
      <w:pPr>
        <w:pStyle w:val="22"/>
        <w:snapToGrid w:val="0"/>
        <w:spacing w:before="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lang w:val="zh-CN"/>
        </w:rPr>
        <w:t>.2中标人按规定的时间、地点，由法定代表人或其授权代表与采购人代表签订合同。如中标人为联合体的，由联合体成员各方法定代表人或其授权代表与采购人代表签订合同。</w:t>
      </w:r>
    </w:p>
    <w:p w14:paraId="789F38A0">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2</w:t>
      </w:r>
      <w:r>
        <w:rPr>
          <w:rFonts w:hint="eastAsia" w:ascii="仿宋" w:hAnsi="仿宋" w:eastAsia="仿宋" w:cs="仿宋"/>
          <w:color w:val="auto"/>
          <w:kern w:val="0"/>
          <w:sz w:val="24"/>
          <w:szCs w:val="20"/>
          <w:highlight w:val="none"/>
          <w:lang w:val="en-US" w:eastAsia="zh-CN"/>
        </w:rPr>
        <w:t>4</w:t>
      </w:r>
      <w:r>
        <w:rPr>
          <w:rFonts w:hint="eastAsia" w:ascii="仿宋" w:hAnsi="仿宋" w:eastAsia="仿宋" w:cs="仿宋"/>
          <w:color w:val="auto"/>
          <w:kern w:val="0"/>
          <w:sz w:val="24"/>
          <w:szCs w:val="20"/>
          <w:highlight w:val="none"/>
          <w:lang w:val="zh-CN"/>
        </w:rPr>
        <w:t>.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31951B2B">
      <w:pPr>
        <w:pStyle w:val="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.4鼓励采购人与中标供应商根据招标文件、投标文件等内容通过</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采购电子交易平台在线签订合同，自动备案。</w:t>
      </w:r>
    </w:p>
    <w:p w14:paraId="28DBDE8B">
      <w:pPr>
        <w:pStyle w:val="8"/>
        <w:spacing w:line="360" w:lineRule="auto"/>
        <w:ind w:firstLine="482"/>
        <w:rPr>
          <w:rFonts w:hint="eastAsia" w:ascii="仿宋" w:hAnsi="仿宋" w:eastAsia="仿宋" w:cs="仿宋"/>
          <w:color w:val="auto"/>
          <w:highlight w:val="none"/>
        </w:rPr>
      </w:pPr>
      <w:r>
        <w:rPr>
          <w:rFonts w:hint="eastAsia" w:ascii="仿宋" w:hAnsi="仿宋" w:eastAsia="仿宋" w:cs="仿宋"/>
          <w:b/>
          <w:color w:val="auto"/>
          <w:highlight w:val="none"/>
        </w:rPr>
        <w:t>25. 履约保证金：</w:t>
      </w:r>
      <w:r>
        <w:rPr>
          <w:rFonts w:hint="eastAsia" w:ascii="仿宋" w:hAnsi="仿宋" w:eastAsia="仿宋" w:cs="仿宋"/>
          <w:b/>
          <w:color w:val="auto"/>
          <w:kern w:val="0"/>
          <w:highlight w:val="none"/>
        </w:rPr>
        <w:t>无</w:t>
      </w:r>
    </w:p>
    <w:p w14:paraId="0C30CBF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九</w:t>
      </w:r>
      <w:r>
        <w:rPr>
          <w:rFonts w:hint="eastAsia" w:ascii="仿宋" w:hAnsi="仿宋" w:eastAsia="仿宋" w:cs="仿宋"/>
          <w:b/>
          <w:color w:val="auto"/>
          <w:sz w:val="32"/>
          <w:szCs w:val="20"/>
          <w:highlight w:val="none"/>
        </w:rPr>
        <w:t>、履约验收</w:t>
      </w:r>
    </w:p>
    <w:p w14:paraId="38892574">
      <w:pPr>
        <w:pStyle w:val="8"/>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.履约验收</w:t>
      </w:r>
    </w:p>
    <w:p w14:paraId="08E1FF84">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.1采购人自行组织或委托采购代理机构对供应商进行履约验收，出具验收书，存档备查。如果发现与合同中要求不符，供应商须承担由此发生的一切损失和费用，并承担相应的法律责任。</w:t>
      </w:r>
    </w:p>
    <w:p w14:paraId="59F8B68C">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EBB2E2A">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.3采购人可以邀请参加本项目的其他投标人或者第三方机构参与验收。参与验收的投标人或者第三方机构的意见作为验收书的参考资料一并存档。</w:t>
      </w:r>
    </w:p>
    <w:p w14:paraId="3BCB04AD">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4国有企业向社会公众提供的公共服务项目验收时应当邀请服务对象参与并出具意见，国有企业向社会公众提供的公共服务项目以及合同金额达到分散采购限额标准的项目验收结果应于验收结束后及时在浙江政府采购网公开。</w:t>
      </w:r>
    </w:p>
    <w:p w14:paraId="0A50D2E8">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27.5 采购合同的履行、违约责任和解决争议的方式等适用《中华人民共和国</w:t>
      </w:r>
      <w:r>
        <w:rPr>
          <w:rFonts w:hint="eastAsia" w:ascii="仿宋" w:hAnsi="仿宋" w:eastAsia="仿宋" w:cs="仿宋"/>
          <w:color w:val="auto"/>
          <w:kern w:val="0"/>
          <w:sz w:val="24"/>
          <w:highlight w:val="none"/>
          <w:lang w:val="en-US" w:eastAsia="zh-CN"/>
        </w:rPr>
        <w:t>民法典</w:t>
      </w:r>
      <w:r>
        <w:rPr>
          <w:rFonts w:hint="eastAsia" w:ascii="仿宋" w:hAnsi="仿宋" w:eastAsia="仿宋" w:cs="仿宋"/>
          <w:color w:val="auto"/>
          <w:kern w:val="0"/>
          <w:sz w:val="24"/>
          <w:highlight w:val="none"/>
        </w:rPr>
        <w:t>》。</w:t>
      </w:r>
    </w:p>
    <w:p w14:paraId="4963F43D">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27.6供应商在履约过程中有法律法规规定的违法违规情形的，采购人应当及时报告本级国有企业采购监督管理部门。</w:t>
      </w:r>
    </w:p>
    <w:p w14:paraId="2BAB2098">
      <w:pPr>
        <w:tabs>
          <w:tab w:val="left" w:pos="0"/>
        </w:tabs>
        <w:spacing w:line="360" w:lineRule="auto"/>
        <w:jc w:val="left"/>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020" w:right="723" w:bottom="938" w:left="1103" w:header="680" w:footer="567" w:gutter="0"/>
          <w:cols w:space="720" w:num="1"/>
          <w:titlePg/>
          <w:docGrid w:linePitch="312" w:charSpace="0"/>
        </w:sectPr>
      </w:pPr>
    </w:p>
    <w:bookmarkEnd w:id="38"/>
    <w:bookmarkEnd w:id="39"/>
    <w:p w14:paraId="6040BB0E">
      <w:pPr>
        <w:spacing w:line="360" w:lineRule="auto"/>
        <w:jc w:val="center"/>
        <w:outlineLvl w:val="0"/>
        <w:rPr>
          <w:rFonts w:hint="eastAsia" w:ascii="仿宋" w:hAnsi="仿宋" w:eastAsia="仿宋" w:cs="仿宋"/>
          <w:b/>
          <w:color w:val="auto"/>
          <w:sz w:val="36"/>
          <w:szCs w:val="36"/>
          <w:highlight w:val="none"/>
        </w:rPr>
      </w:pPr>
      <w:bookmarkStart w:id="61" w:name="第四部分"/>
      <w:r>
        <w:rPr>
          <w:rFonts w:hint="eastAsia" w:ascii="仿宋" w:hAnsi="仿宋" w:eastAsia="仿宋" w:cs="仿宋"/>
          <w:b/>
          <w:color w:val="auto"/>
          <w:sz w:val="36"/>
          <w:szCs w:val="36"/>
          <w:highlight w:val="none"/>
        </w:rPr>
        <w:t>第三部分 采购需求</w:t>
      </w:r>
    </w:p>
    <w:p w14:paraId="032C3DA9">
      <w:pPr>
        <w:snapToGrid w:val="0"/>
        <w:spacing w:before="120" w:beforeLines="50" w:after="120" w:after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w:t>
      </w:r>
    </w:p>
    <w:p w14:paraId="23BA28DB">
      <w:pPr>
        <w:spacing w:line="360" w:lineRule="auto"/>
        <w:ind w:firstLine="480" w:firstLineChars="200"/>
        <w:rPr>
          <w:rStyle w:val="25"/>
          <w:rFonts w:hint="eastAsia" w:ascii="仿宋" w:hAnsi="仿宋" w:eastAsia="仿宋" w:cs="仿宋"/>
          <w:color w:val="auto"/>
          <w:kern w:val="2"/>
          <w:sz w:val="24"/>
          <w:szCs w:val="24"/>
          <w:highlight w:val="none"/>
        </w:rPr>
      </w:pPr>
      <w:r>
        <w:rPr>
          <w:rStyle w:val="25"/>
          <w:rFonts w:hint="eastAsia" w:ascii="仿宋" w:hAnsi="仿宋" w:eastAsia="仿宋" w:cs="仿宋"/>
          <w:color w:val="auto"/>
          <w:kern w:val="2"/>
          <w:sz w:val="24"/>
          <w:szCs w:val="24"/>
          <w:highlight w:val="none"/>
        </w:rPr>
        <w:t>1.需求中不允许偏离的实质性要求和条件，以“▲”号标明。</w:t>
      </w:r>
    </w:p>
    <w:p w14:paraId="1EC49FC6">
      <w:pPr>
        <w:spacing w:line="360" w:lineRule="auto"/>
        <w:ind w:firstLine="480" w:firstLineChars="200"/>
        <w:rPr>
          <w:rStyle w:val="25"/>
          <w:rFonts w:hint="eastAsia" w:ascii="仿宋" w:hAnsi="仿宋" w:eastAsia="仿宋" w:cs="仿宋"/>
          <w:color w:val="auto"/>
          <w:kern w:val="2"/>
          <w:sz w:val="24"/>
          <w:szCs w:val="24"/>
          <w:highlight w:val="none"/>
        </w:rPr>
      </w:pPr>
      <w:r>
        <w:rPr>
          <w:rStyle w:val="25"/>
          <w:rFonts w:hint="eastAsia" w:ascii="仿宋" w:hAnsi="仿宋" w:eastAsia="仿宋" w:cs="仿宋"/>
          <w:color w:val="auto"/>
          <w:kern w:val="2"/>
          <w:sz w:val="24"/>
          <w:szCs w:val="24"/>
          <w:highlight w:val="none"/>
        </w:rPr>
        <w:t>2.单一产品采购项目中的该产品或者非单一产品采购项目的核心产品，以“★”标明。</w:t>
      </w:r>
    </w:p>
    <w:p w14:paraId="4A9E3B3B">
      <w:pPr>
        <w:spacing w:line="360" w:lineRule="auto"/>
        <w:ind w:firstLine="480" w:firstLineChars="200"/>
        <w:rPr>
          <w:rStyle w:val="25"/>
          <w:rFonts w:hint="eastAsia" w:ascii="仿宋" w:hAnsi="仿宋" w:eastAsia="仿宋" w:cs="仿宋"/>
          <w:color w:val="auto"/>
          <w:kern w:val="2"/>
          <w:sz w:val="24"/>
          <w:szCs w:val="24"/>
          <w:highlight w:val="none"/>
        </w:rPr>
      </w:pPr>
      <w:r>
        <w:rPr>
          <w:rStyle w:val="25"/>
          <w:rFonts w:hint="eastAsia" w:ascii="仿宋" w:hAnsi="仿宋" w:eastAsia="仿宋" w:cs="仿宋"/>
          <w:color w:val="auto"/>
          <w:kern w:val="2"/>
          <w:sz w:val="24"/>
          <w:szCs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67650B33">
      <w:pPr>
        <w:snapToGrid w:val="0"/>
        <w:spacing w:line="360" w:lineRule="auto"/>
        <w:rPr>
          <w:rFonts w:hint="eastAsia" w:ascii="仿宋" w:hAnsi="仿宋" w:eastAsia="仿宋" w:cs="仿宋"/>
          <w:color w:val="auto"/>
          <w:kern w:val="0"/>
          <w:sz w:val="24"/>
          <w:highlight w:val="none"/>
        </w:rPr>
      </w:pPr>
    </w:p>
    <w:p w14:paraId="59C1A9B1">
      <w:pPr>
        <w:snapToGrid w:val="0"/>
        <w:spacing w:line="360" w:lineRule="auto"/>
        <w:rPr>
          <w:rFonts w:hint="eastAsia" w:ascii="仿宋" w:hAnsi="仿宋" w:eastAsia="仿宋" w:cs="仿宋"/>
          <w:color w:val="auto"/>
          <w:kern w:val="0"/>
          <w:sz w:val="24"/>
          <w:highlight w:val="none"/>
        </w:rPr>
      </w:pPr>
    </w:p>
    <w:p w14:paraId="1B1AA32A">
      <w:pPr>
        <w:snapToGrid w:val="0"/>
        <w:spacing w:line="360" w:lineRule="auto"/>
        <w:rPr>
          <w:rFonts w:hint="eastAsia" w:ascii="仿宋" w:hAnsi="仿宋" w:eastAsia="仿宋" w:cs="仿宋"/>
          <w:color w:val="auto"/>
          <w:kern w:val="0"/>
          <w:sz w:val="24"/>
          <w:highlight w:val="none"/>
        </w:rPr>
      </w:pPr>
    </w:p>
    <w:p w14:paraId="3E8DBC63">
      <w:pPr>
        <w:snapToGrid w:val="0"/>
        <w:spacing w:line="360" w:lineRule="auto"/>
        <w:rPr>
          <w:rFonts w:hint="eastAsia" w:ascii="仿宋" w:hAnsi="仿宋" w:eastAsia="仿宋" w:cs="仿宋"/>
          <w:color w:val="auto"/>
          <w:kern w:val="0"/>
          <w:sz w:val="24"/>
          <w:highlight w:val="none"/>
        </w:rPr>
      </w:pPr>
    </w:p>
    <w:p w14:paraId="0823DE85">
      <w:pPr>
        <w:snapToGrid w:val="0"/>
        <w:spacing w:line="360" w:lineRule="auto"/>
        <w:rPr>
          <w:rFonts w:hint="eastAsia" w:ascii="仿宋" w:hAnsi="仿宋" w:eastAsia="仿宋" w:cs="仿宋"/>
          <w:color w:val="auto"/>
          <w:kern w:val="0"/>
          <w:sz w:val="24"/>
          <w:highlight w:val="none"/>
        </w:rPr>
      </w:pPr>
    </w:p>
    <w:p w14:paraId="3A9581A2">
      <w:pPr>
        <w:snapToGrid w:val="0"/>
        <w:spacing w:line="360" w:lineRule="auto"/>
        <w:rPr>
          <w:rFonts w:hint="eastAsia" w:ascii="仿宋" w:hAnsi="仿宋" w:eastAsia="仿宋" w:cs="仿宋"/>
          <w:color w:val="auto"/>
          <w:kern w:val="0"/>
          <w:sz w:val="24"/>
          <w:highlight w:val="none"/>
        </w:rPr>
      </w:pPr>
    </w:p>
    <w:p w14:paraId="050CEC8C">
      <w:pPr>
        <w:snapToGrid w:val="0"/>
        <w:spacing w:line="360" w:lineRule="auto"/>
        <w:rPr>
          <w:rFonts w:hint="eastAsia" w:ascii="仿宋" w:hAnsi="仿宋" w:eastAsia="仿宋" w:cs="仿宋"/>
          <w:color w:val="auto"/>
          <w:kern w:val="0"/>
          <w:sz w:val="24"/>
          <w:highlight w:val="none"/>
        </w:rPr>
      </w:pPr>
    </w:p>
    <w:p w14:paraId="6AE32449">
      <w:pPr>
        <w:snapToGrid w:val="0"/>
        <w:spacing w:line="360" w:lineRule="auto"/>
        <w:rPr>
          <w:rFonts w:hint="eastAsia" w:ascii="仿宋" w:hAnsi="仿宋" w:eastAsia="仿宋" w:cs="仿宋"/>
          <w:color w:val="auto"/>
          <w:kern w:val="0"/>
          <w:sz w:val="24"/>
          <w:highlight w:val="none"/>
        </w:rPr>
      </w:pPr>
    </w:p>
    <w:p w14:paraId="63D4E767">
      <w:pPr>
        <w:snapToGrid w:val="0"/>
        <w:spacing w:line="360" w:lineRule="auto"/>
        <w:rPr>
          <w:rFonts w:hint="eastAsia" w:ascii="仿宋" w:hAnsi="仿宋" w:eastAsia="仿宋" w:cs="仿宋"/>
          <w:color w:val="auto"/>
          <w:kern w:val="0"/>
          <w:sz w:val="24"/>
          <w:highlight w:val="none"/>
        </w:rPr>
      </w:pPr>
    </w:p>
    <w:p w14:paraId="422D2627">
      <w:pPr>
        <w:snapToGrid w:val="0"/>
        <w:spacing w:line="360" w:lineRule="auto"/>
        <w:rPr>
          <w:rFonts w:hint="eastAsia" w:ascii="仿宋" w:hAnsi="仿宋" w:eastAsia="仿宋" w:cs="仿宋"/>
          <w:color w:val="auto"/>
          <w:kern w:val="0"/>
          <w:sz w:val="24"/>
          <w:highlight w:val="none"/>
        </w:rPr>
      </w:pPr>
    </w:p>
    <w:p w14:paraId="695D52A4">
      <w:pPr>
        <w:snapToGrid w:val="0"/>
        <w:spacing w:line="360" w:lineRule="auto"/>
        <w:rPr>
          <w:rFonts w:hint="eastAsia" w:ascii="仿宋" w:hAnsi="仿宋" w:eastAsia="仿宋" w:cs="仿宋"/>
          <w:color w:val="auto"/>
          <w:kern w:val="0"/>
          <w:sz w:val="24"/>
          <w:highlight w:val="none"/>
        </w:rPr>
      </w:pPr>
    </w:p>
    <w:p w14:paraId="79A7AB37">
      <w:pPr>
        <w:snapToGrid w:val="0"/>
        <w:spacing w:line="360" w:lineRule="auto"/>
        <w:rPr>
          <w:rFonts w:hint="eastAsia" w:ascii="仿宋" w:hAnsi="仿宋" w:eastAsia="仿宋" w:cs="仿宋"/>
          <w:color w:val="auto"/>
          <w:kern w:val="0"/>
          <w:sz w:val="24"/>
          <w:highlight w:val="none"/>
        </w:rPr>
      </w:pPr>
    </w:p>
    <w:p w14:paraId="52795869">
      <w:pPr>
        <w:snapToGrid w:val="0"/>
        <w:spacing w:line="360" w:lineRule="auto"/>
        <w:rPr>
          <w:rFonts w:hint="eastAsia" w:ascii="仿宋" w:hAnsi="仿宋" w:eastAsia="仿宋" w:cs="仿宋"/>
          <w:color w:val="auto"/>
          <w:kern w:val="0"/>
          <w:sz w:val="24"/>
          <w:highlight w:val="none"/>
        </w:rPr>
      </w:pPr>
    </w:p>
    <w:p w14:paraId="76E36F92">
      <w:pPr>
        <w:snapToGrid w:val="0"/>
        <w:spacing w:line="360" w:lineRule="auto"/>
        <w:rPr>
          <w:rFonts w:hint="eastAsia" w:ascii="仿宋" w:hAnsi="仿宋" w:eastAsia="仿宋" w:cs="仿宋"/>
          <w:color w:val="auto"/>
          <w:kern w:val="0"/>
          <w:sz w:val="24"/>
          <w:highlight w:val="none"/>
        </w:rPr>
      </w:pPr>
    </w:p>
    <w:p w14:paraId="4BD4FBB9">
      <w:pPr>
        <w:snapToGrid w:val="0"/>
        <w:spacing w:line="360" w:lineRule="auto"/>
        <w:rPr>
          <w:rFonts w:hint="eastAsia" w:ascii="仿宋" w:hAnsi="仿宋" w:eastAsia="仿宋" w:cs="仿宋"/>
          <w:color w:val="auto"/>
          <w:kern w:val="0"/>
          <w:sz w:val="24"/>
          <w:highlight w:val="none"/>
        </w:rPr>
      </w:pPr>
    </w:p>
    <w:p w14:paraId="1C30CDD0">
      <w:pPr>
        <w:snapToGrid w:val="0"/>
        <w:spacing w:line="360" w:lineRule="auto"/>
        <w:rPr>
          <w:rFonts w:hint="eastAsia" w:ascii="仿宋" w:hAnsi="仿宋" w:eastAsia="仿宋" w:cs="仿宋"/>
          <w:color w:val="auto"/>
          <w:kern w:val="0"/>
          <w:sz w:val="24"/>
          <w:highlight w:val="none"/>
        </w:rPr>
      </w:pPr>
    </w:p>
    <w:p w14:paraId="1DB3FF44">
      <w:pPr>
        <w:snapToGrid w:val="0"/>
        <w:spacing w:line="360" w:lineRule="auto"/>
        <w:rPr>
          <w:rFonts w:hint="eastAsia" w:ascii="仿宋" w:hAnsi="仿宋" w:eastAsia="仿宋" w:cs="仿宋"/>
          <w:color w:val="auto"/>
          <w:kern w:val="0"/>
          <w:sz w:val="24"/>
          <w:highlight w:val="none"/>
        </w:rPr>
      </w:pPr>
    </w:p>
    <w:p w14:paraId="57540ADF">
      <w:pPr>
        <w:snapToGrid w:val="0"/>
        <w:spacing w:line="48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一、服务清单及要求</w:t>
      </w:r>
    </w:p>
    <w:p w14:paraId="39A0C3D0">
      <w:pPr>
        <w:snapToGrid w:val="0"/>
        <w:spacing w:line="480" w:lineRule="auto"/>
        <w:ind w:left="0" w:leftChars="0" w:firstLine="420" w:firstLineChars="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一、服务内容</w:t>
      </w:r>
    </w:p>
    <w:p w14:paraId="20B84B5F">
      <w:pPr>
        <w:numPr>
          <w:ilvl w:val="0"/>
          <w:numId w:val="0"/>
        </w:numPr>
        <w:adjustRightInd/>
        <w:snapToGrid w:val="0"/>
        <w:spacing w:line="360" w:lineRule="auto"/>
        <w:ind w:left="420" w:leftChars="0" w:firstLine="140" w:firstLineChars="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1.1项目</w:t>
      </w:r>
      <w:r>
        <w:rPr>
          <w:rFonts w:hint="eastAsia" w:ascii="仿宋" w:hAnsi="仿宋" w:eastAsia="仿宋" w:cs="仿宋"/>
          <w:b/>
          <w:color w:val="auto"/>
          <w:sz w:val="24"/>
          <w:highlight w:val="none"/>
        </w:rPr>
        <w:t>概况</w:t>
      </w:r>
    </w:p>
    <w:p w14:paraId="7F92D2B7">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项目名称：</w:t>
      </w:r>
      <w:r>
        <w:rPr>
          <w:rFonts w:hint="eastAsia" w:ascii="仿宋" w:hAnsi="仿宋" w:eastAsia="仿宋" w:cs="仿宋"/>
          <w:color w:val="auto"/>
          <w:sz w:val="24"/>
          <w:szCs w:val="28"/>
          <w:highlight w:val="none"/>
          <w:lang w:eastAsia="zh-CN"/>
        </w:rPr>
        <w:t>星柯光电双回路110kV电力接入工程涉路和涉航安评采购项目</w:t>
      </w:r>
    </w:p>
    <w:p w14:paraId="7D95F51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项目</w:t>
      </w:r>
      <w:r>
        <w:rPr>
          <w:rFonts w:hint="eastAsia" w:ascii="仿宋" w:hAnsi="仿宋" w:eastAsia="仿宋" w:cs="仿宋"/>
          <w:color w:val="auto"/>
          <w:sz w:val="24"/>
          <w:szCs w:val="28"/>
          <w:highlight w:val="none"/>
          <w:lang w:eastAsia="zh-CN"/>
        </w:rPr>
        <w:t>地点：浙江省</w:t>
      </w:r>
      <w:r>
        <w:rPr>
          <w:rFonts w:hint="eastAsia" w:ascii="仿宋" w:hAnsi="仿宋" w:eastAsia="仿宋" w:cs="仿宋"/>
          <w:color w:val="auto"/>
          <w:sz w:val="24"/>
          <w:szCs w:val="28"/>
          <w:highlight w:val="none"/>
          <w:lang w:val="en-US" w:eastAsia="zh-CN"/>
        </w:rPr>
        <w:t>绍兴市柯桥区</w:t>
      </w:r>
    </w:p>
    <w:p w14:paraId="3BB8751A">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项目概况</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因星柯光电双回路110kV电力接入工程建设涉及9处涉路和9处涉航</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具体施工位置详见下列清单。</w:t>
      </w:r>
    </w:p>
    <w:p w14:paraId="4F795407">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A线江桃-星柯光电涉路涉航施工位置</w:t>
      </w:r>
    </w:p>
    <w:p w14:paraId="4385E5B9">
      <w:pPr>
        <w:rPr>
          <w:rFonts w:hint="eastAsia" w:ascii="仿宋" w:hAnsi="仿宋" w:eastAsia="仿宋" w:cs="仿宋"/>
          <w:color w:val="auto"/>
          <w:sz w:val="24"/>
          <w:szCs w:val="24"/>
          <w:highlight w:val="none"/>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0C5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569D870">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涉路施工电缆段</w:t>
            </w:r>
          </w:p>
        </w:tc>
        <w:tc>
          <w:tcPr>
            <w:tcW w:w="2841" w:type="dxa"/>
          </w:tcPr>
          <w:p w14:paraId="7DA98E6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敷设方式</w:t>
            </w:r>
          </w:p>
        </w:tc>
        <w:tc>
          <w:tcPr>
            <w:tcW w:w="2841" w:type="dxa"/>
          </w:tcPr>
          <w:p w14:paraId="591E63C5">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交叉穿（跨）越</w:t>
            </w:r>
          </w:p>
        </w:tc>
      </w:tr>
      <w:tr w14:paraId="2FCA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53C863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A3-2#-A3-3#</w:t>
            </w:r>
          </w:p>
        </w:tc>
        <w:tc>
          <w:tcPr>
            <w:tcW w:w="2841" w:type="dxa"/>
          </w:tcPr>
          <w:p w14:paraId="1978415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28AC670F">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杨绍线县道（钱茅线）</w:t>
            </w:r>
          </w:p>
        </w:tc>
      </w:tr>
      <w:tr w14:paraId="69F2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BBC342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A8-5#-A8-6#</w:t>
            </w:r>
          </w:p>
        </w:tc>
        <w:tc>
          <w:tcPr>
            <w:tcW w:w="2841" w:type="dxa"/>
          </w:tcPr>
          <w:p w14:paraId="5A5205D9">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07E55C31">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104国道</w:t>
            </w:r>
          </w:p>
        </w:tc>
      </w:tr>
      <w:tr w14:paraId="04D6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959CAE2">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A1-1#-A2-9#</w:t>
            </w:r>
          </w:p>
        </w:tc>
        <w:tc>
          <w:tcPr>
            <w:tcW w:w="2841" w:type="dxa"/>
          </w:tcPr>
          <w:p w14:paraId="250EF239">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排管、顶管</w:t>
            </w:r>
          </w:p>
        </w:tc>
        <w:tc>
          <w:tcPr>
            <w:tcW w:w="2841" w:type="dxa"/>
          </w:tcPr>
          <w:p w14:paraId="5195313D">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平行杭金衢连接线</w:t>
            </w:r>
          </w:p>
        </w:tc>
      </w:tr>
      <w:tr w14:paraId="22D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58CF60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A3-3#-A4-2</w:t>
            </w:r>
          </w:p>
        </w:tc>
        <w:tc>
          <w:tcPr>
            <w:tcW w:w="2841" w:type="dxa"/>
          </w:tcPr>
          <w:p w14:paraId="7E452072">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排管</w:t>
            </w:r>
          </w:p>
        </w:tc>
        <w:tc>
          <w:tcPr>
            <w:tcW w:w="2841" w:type="dxa"/>
          </w:tcPr>
          <w:p w14:paraId="22DC5055">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平行杨绍线</w:t>
            </w:r>
          </w:p>
        </w:tc>
      </w:tr>
    </w:tbl>
    <w:p w14:paraId="3EB32352">
      <w:pPr>
        <w:rPr>
          <w:rFonts w:hint="eastAsia" w:ascii="仿宋" w:hAnsi="仿宋" w:eastAsia="仿宋" w:cs="仿宋"/>
          <w:color w:val="auto"/>
          <w:sz w:val="24"/>
          <w:szCs w:val="24"/>
          <w:highlight w:val="none"/>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4E9A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FFD760">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涉路施工架空段</w:t>
            </w:r>
          </w:p>
        </w:tc>
        <w:tc>
          <w:tcPr>
            <w:tcW w:w="2841" w:type="dxa"/>
          </w:tcPr>
          <w:p w14:paraId="47D223B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跨越方式</w:t>
            </w:r>
          </w:p>
        </w:tc>
        <w:tc>
          <w:tcPr>
            <w:tcW w:w="2841" w:type="dxa"/>
          </w:tcPr>
          <w:p w14:paraId="208BC94D">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交叉穿（跨）越</w:t>
            </w:r>
          </w:p>
        </w:tc>
      </w:tr>
      <w:tr w14:paraId="0D9E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8A591BF">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3#塔-4#塔</w:t>
            </w:r>
          </w:p>
        </w:tc>
        <w:tc>
          <w:tcPr>
            <w:tcW w:w="2841" w:type="dxa"/>
          </w:tcPr>
          <w:p w14:paraId="4267186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架空跨越</w:t>
            </w:r>
          </w:p>
        </w:tc>
        <w:tc>
          <w:tcPr>
            <w:tcW w:w="2841" w:type="dxa"/>
          </w:tcPr>
          <w:p w14:paraId="6EBFFB4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江夏线</w:t>
            </w:r>
          </w:p>
        </w:tc>
      </w:tr>
      <w:tr w14:paraId="71D0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A9674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9#塔-10#塔</w:t>
            </w:r>
          </w:p>
        </w:tc>
        <w:tc>
          <w:tcPr>
            <w:tcW w:w="2841" w:type="dxa"/>
          </w:tcPr>
          <w:p w14:paraId="6851D858">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架空跨越</w:t>
            </w:r>
          </w:p>
        </w:tc>
        <w:tc>
          <w:tcPr>
            <w:tcW w:w="2841" w:type="dxa"/>
          </w:tcPr>
          <w:p w14:paraId="645E29B3">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杭金衢连接线</w:t>
            </w:r>
          </w:p>
        </w:tc>
      </w:tr>
    </w:tbl>
    <w:p w14:paraId="2AE3E110">
      <w:pPr>
        <w:rPr>
          <w:rFonts w:hint="eastAsia" w:ascii="仿宋" w:hAnsi="仿宋" w:eastAsia="仿宋" w:cs="仿宋"/>
          <w:color w:val="auto"/>
          <w:sz w:val="24"/>
          <w:szCs w:val="24"/>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F0A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01986C0C">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涉航施工电缆段</w:t>
            </w:r>
          </w:p>
        </w:tc>
        <w:tc>
          <w:tcPr>
            <w:tcW w:w="2841" w:type="dxa"/>
            <w:shd w:val="clear" w:color="auto" w:fill="auto"/>
            <w:vAlign w:val="top"/>
          </w:tcPr>
          <w:p w14:paraId="127818E7">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敷设方式</w:t>
            </w:r>
          </w:p>
        </w:tc>
        <w:tc>
          <w:tcPr>
            <w:tcW w:w="2841" w:type="dxa"/>
            <w:shd w:val="clear" w:color="auto" w:fill="auto"/>
            <w:vAlign w:val="top"/>
          </w:tcPr>
          <w:p w14:paraId="10B2D02D">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交叉穿（跨）越</w:t>
            </w:r>
          </w:p>
        </w:tc>
      </w:tr>
      <w:tr w14:paraId="43B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CE7A65">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A4-3#-A4-4#</w:t>
            </w:r>
          </w:p>
        </w:tc>
        <w:tc>
          <w:tcPr>
            <w:tcW w:w="2841" w:type="dxa"/>
          </w:tcPr>
          <w:p w14:paraId="37FB9BB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4A53FC6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穿越九曲河</w:t>
            </w:r>
          </w:p>
        </w:tc>
      </w:tr>
      <w:tr w14:paraId="56F9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8FE4FA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A8-1#-A8-2#</w:t>
            </w:r>
          </w:p>
        </w:tc>
        <w:tc>
          <w:tcPr>
            <w:tcW w:w="2841" w:type="dxa"/>
          </w:tcPr>
          <w:p w14:paraId="79372BE7">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269385C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南运河九曲河</w:t>
            </w:r>
          </w:p>
        </w:tc>
      </w:tr>
      <w:tr w14:paraId="6163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90146ED">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A8-4#-A8-5#</w:t>
            </w:r>
          </w:p>
        </w:tc>
        <w:tc>
          <w:tcPr>
            <w:tcW w:w="2841" w:type="dxa"/>
          </w:tcPr>
          <w:p w14:paraId="0B4A1222">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7F378867">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穿越萧曹运河</w:t>
            </w:r>
          </w:p>
        </w:tc>
      </w:tr>
      <w:tr w14:paraId="7A3D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4B86F5">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A12-4#-A12-5#</w:t>
            </w:r>
          </w:p>
        </w:tc>
        <w:tc>
          <w:tcPr>
            <w:tcW w:w="2841" w:type="dxa"/>
          </w:tcPr>
          <w:p w14:paraId="62E142DC">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2841" w:type="dxa"/>
          </w:tcPr>
          <w:p w14:paraId="0C524776">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穿越钱海线</w:t>
            </w:r>
          </w:p>
        </w:tc>
      </w:tr>
    </w:tbl>
    <w:p w14:paraId="57F027A3">
      <w:pPr>
        <w:jc w:val="center"/>
        <w:rPr>
          <w:rFonts w:hint="eastAsia" w:ascii="仿宋" w:hAnsi="仿宋" w:eastAsia="仿宋" w:cs="仿宋"/>
          <w:color w:val="auto"/>
          <w:sz w:val="24"/>
          <w:szCs w:val="24"/>
          <w:highlight w:val="none"/>
          <w:lang w:val="en-US" w:eastAsia="zh-CN"/>
        </w:rPr>
      </w:pPr>
    </w:p>
    <w:p w14:paraId="774DFC35">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B线余渚-星柯光电涉路涉航施工位置</w:t>
      </w:r>
    </w:p>
    <w:p w14:paraId="37B64F1B">
      <w:pPr>
        <w:rPr>
          <w:rFonts w:hint="eastAsia" w:ascii="仿宋" w:hAnsi="仿宋" w:eastAsia="仿宋" w:cs="仿宋"/>
          <w:color w:val="auto"/>
          <w:sz w:val="24"/>
          <w:szCs w:val="24"/>
          <w:highlight w:val="none"/>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C2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F84931">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涉路施工电缆段</w:t>
            </w:r>
          </w:p>
        </w:tc>
        <w:tc>
          <w:tcPr>
            <w:tcW w:w="2841" w:type="dxa"/>
          </w:tcPr>
          <w:p w14:paraId="4CB0CAFF">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敷设方式</w:t>
            </w:r>
          </w:p>
        </w:tc>
        <w:tc>
          <w:tcPr>
            <w:tcW w:w="2841" w:type="dxa"/>
          </w:tcPr>
          <w:p w14:paraId="33F7E56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交叉穿（跨）越</w:t>
            </w:r>
          </w:p>
        </w:tc>
      </w:tr>
      <w:tr w14:paraId="656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5CCB0E82">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B3-5#-B3-6#</w:t>
            </w:r>
          </w:p>
        </w:tc>
        <w:tc>
          <w:tcPr>
            <w:tcW w:w="2841" w:type="dxa"/>
            <w:vAlign w:val="top"/>
          </w:tcPr>
          <w:p w14:paraId="36873B4F">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2841" w:type="dxa"/>
            <w:vAlign w:val="top"/>
          </w:tcPr>
          <w:p w14:paraId="61411A63">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穿越临杭大道</w:t>
            </w:r>
          </w:p>
        </w:tc>
      </w:tr>
      <w:tr w14:paraId="0BD7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129958E5">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B3-6#-B8-5#</w:t>
            </w:r>
          </w:p>
        </w:tc>
        <w:tc>
          <w:tcPr>
            <w:tcW w:w="2841" w:type="dxa"/>
            <w:vAlign w:val="top"/>
          </w:tcPr>
          <w:p w14:paraId="7D017D02">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顶管、排管</w:t>
            </w:r>
          </w:p>
        </w:tc>
        <w:tc>
          <w:tcPr>
            <w:tcW w:w="2841" w:type="dxa"/>
            <w:vAlign w:val="top"/>
          </w:tcPr>
          <w:p w14:paraId="44303427">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平行临杭大道</w:t>
            </w:r>
          </w:p>
        </w:tc>
      </w:tr>
      <w:tr w14:paraId="20A9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7E9D5971">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B5-7#-B5-8#</w:t>
            </w:r>
          </w:p>
        </w:tc>
        <w:tc>
          <w:tcPr>
            <w:tcW w:w="2841" w:type="dxa"/>
            <w:vAlign w:val="top"/>
          </w:tcPr>
          <w:p w14:paraId="222905FA">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2841" w:type="dxa"/>
            <w:vAlign w:val="top"/>
          </w:tcPr>
          <w:p w14:paraId="1F6E01DB">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京岚线（104）</w:t>
            </w:r>
          </w:p>
        </w:tc>
      </w:tr>
    </w:tbl>
    <w:p w14:paraId="2BC27193">
      <w:pPr>
        <w:rPr>
          <w:rFonts w:hint="eastAsia" w:ascii="仿宋" w:hAnsi="仿宋" w:eastAsia="仿宋" w:cs="仿宋"/>
          <w:color w:val="auto"/>
          <w:sz w:val="24"/>
          <w:szCs w:val="24"/>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ED0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64C32229">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涉航施工电缆段</w:t>
            </w:r>
          </w:p>
        </w:tc>
        <w:tc>
          <w:tcPr>
            <w:tcW w:w="2841" w:type="dxa"/>
            <w:shd w:val="clear" w:color="auto" w:fill="auto"/>
            <w:vAlign w:val="top"/>
          </w:tcPr>
          <w:p w14:paraId="32CBBC4F">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敷设方式</w:t>
            </w:r>
          </w:p>
        </w:tc>
        <w:tc>
          <w:tcPr>
            <w:tcW w:w="2841" w:type="dxa"/>
            <w:shd w:val="clear" w:color="auto" w:fill="auto"/>
            <w:vAlign w:val="top"/>
          </w:tcPr>
          <w:p w14:paraId="7F032FA6">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交叉穿（跨）越</w:t>
            </w:r>
          </w:p>
        </w:tc>
      </w:tr>
      <w:tr w14:paraId="562F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0DC4EBD4">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B3-3#-B3-4#</w:t>
            </w:r>
          </w:p>
        </w:tc>
        <w:tc>
          <w:tcPr>
            <w:tcW w:w="2841" w:type="dxa"/>
            <w:shd w:val="clear" w:color="auto" w:fill="auto"/>
            <w:vAlign w:val="top"/>
          </w:tcPr>
          <w:p w14:paraId="35CE7BB4">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顶管</w:t>
            </w:r>
          </w:p>
        </w:tc>
        <w:tc>
          <w:tcPr>
            <w:tcW w:w="2841" w:type="dxa"/>
            <w:shd w:val="clear" w:color="auto" w:fill="auto"/>
            <w:vAlign w:val="top"/>
          </w:tcPr>
          <w:p w14:paraId="7F9E7E86">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穿越官娄江</w:t>
            </w:r>
          </w:p>
        </w:tc>
      </w:tr>
      <w:tr w14:paraId="79D7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2A111CAE">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B4-2#-B4-3#</w:t>
            </w:r>
          </w:p>
        </w:tc>
        <w:tc>
          <w:tcPr>
            <w:tcW w:w="2841" w:type="dxa"/>
            <w:shd w:val="clear" w:color="auto" w:fill="auto"/>
            <w:vAlign w:val="top"/>
          </w:tcPr>
          <w:p w14:paraId="5C5C9CD9">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顶管</w:t>
            </w:r>
          </w:p>
        </w:tc>
        <w:tc>
          <w:tcPr>
            <w:tcW w:w="2841" w:type="dxa"/>
            <w:shd w:val="clear" w:color="auto" w:fill="auto"/>
            <w:vAlign w:val="top"/>
          </w:tcPr>
          <w:p w14:paraId="7DDAFD69">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穿越南塘线</w:t>
            </w:r>
          </w:p>
        </w:tc>
      </w:tr>
      <w:tr w14:paraId="0CDA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52BCA882">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B5-7#-B5-8#</w:t>
            </w:r>
          </w:p>
        </w:tc>
        <w:tc>
          <w:tcPr>
            <w:tcW w:w="2841" w:type="dxa"/>
            <w:shd w:val="clear" w:color="auto" w:fill="auto"/>
            <w:vAlign w:val="top"/>
          </w:tcPr>
          <w:p w14:paraId="22292B27">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顶管</w:t>
            </w:r>
          </w:p>
        </w:tc>
        <w:tc>
          <w:tcPr>
            <w:tcW w:w="2841" w:type="dxa"/>
            <w:shd w:val="clear" w:color="auto" w:fill="auto"/>
            <w:vAlign w:val="top"/>
          </w:tcPr>
          <w:p w14:paraId="469D5E54">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穿越萧绍运河</w:t>
            </w:r>
          </w:p>
        </w:tc>
      </w:tr>
      <w:tr w14:paraId="2C2A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52911303">
            <w:p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B10-5#-B10-6#</w:t>
            </w:r>
          </w:p>
        </w:tc>
        <w:tc>
          <w:tcPr>
            <w:tcW w:w="2841" w:type="dxa"/>
            <w:shd w:val="clear" w:color="auto" w:fill="auto"/>
            <w:vAlign w:val="top"/>
          </w:tcPr>
          <w:p w14:paraId="77E8E754">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2841" w:type="dxa"/>
            <w:shd w:val="clear" w:color="auto" w:fill="auto"/>
            <w:vAlign w:val="top"/>
          </w:tcPr>
          <w:p w14:paraId="0D2BD410">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穿越钱海线</w:t>
            </w:r>
          </w:p>
        </w:tc>
      </w:tr>
      <w:tr w14:paraId="669E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27D75858">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B5-1#-B5-2#</w:t>
            </w:r>
          </w:p>
        </w:tc>
        <w:tc>
          <w:tcPr>
            <w:tcW w:w="2841" w:type="dxa"/>
            <w:shd w:val="clear" w:color="auto" w:fill="auto"/>
            <w:vAlign w:val="top"/>
          </w:tcPr>
          <w:p w14:paraId="2BA53037">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2841" w:type="dxa"/>
            <w:shd w:val="clear" w:color="auto" w:fill="auto"/>
            <w:vAlign w:val="top"/>
          </w:tcPr>
          <w:p w14:paraId="3CC758EE">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穿越行龙线</w:t>
            </w:r>
          </w:p>
        </w:tc>
      </w:tr>
    </w:tbl>
    <w:p w14:paraId="1F9899F7">
      <w:pPr>
        <w:numPr>
          <w:ilvl w:val="0"/>
          <w:numId w:val="0"/>
        </w:numPr>
        <w:adjustRightInd/>
        <w:snapToGrid w:val="0"/>
        <w:spacing w:line="360" w:lineRule="auto"/>
        <w:ind w:left="420" w:leftChars="0" w:firstLine="140" w:firstLineChars="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范围</w:t>
      </w:r>
      <w:r>
        <w:rPr>
          <w:rFonts w:hint="eastAsia" w:ascii="仿宋" w:hAnsi="仿宋" w:eastAsia="仿宋" w:cs="仿宋"/>
          <w:b/>
          <w:color w:val="auto"/>
          <w:sz w:val="24"/>
          <w:highlight w:val="none"/>
        </w:rPr>
        <w:t>：</w:t>
      </w:r>
    </w:p>
    <w:p w14:paraId="7DC9A164">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ascii="宋体" w:hAnsi="宋体" w:eastAsia="宋体" w:cs="宋体"/>
          <w:color w:val="auto"/>
          <w:sz w:val="24"/>
          <w:szCs w:val="24"/>
          <w:highlight w:val="none"/>
          <w:u w:val="none"/>
          <w:shd w:val="clear" w:color="auto" w:fill="auto"/>
        </w:rPr>
      </w:pPr>
      <w:r>
        <w:rPr>
          <w:rFonts w:hint="eastAsia" w:ascii="仿宋" w:hAnsi="仿宋" w:eastAsia="仿宋" w:cs="仿宋"/>
          <w:color w:val="auto"/>
          <w:sz w:val="24"/>
          <w:szCs w:val="28"/>
          <w:highlight w:val="none"/>
          <w:lang w:val="en-US" w:eastAsia="zh-CN"/>
        </w:rPr>
        <w:t>编制关于星柯光电双回路110kV电力接入工程建设所涉区域的9处涉路和9处涉航的施工安全评估报告的、组织并召开相关安全评估的专家论证会议、配合业主单位完成相关审批手续的办理及协助成果审批等相关技术服务咨询工作。具体范围如下：</w:t>
      </w:r>
    </w:p>
    <w:p w14:paraId="6A6BA909">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①按照国家相关规范，因工程建设对现状和规划公路、市政道路影响而编制的涉路安全评估报告、承担组织专家审查、负责完成公路、市政道路报批的手续办理及协助成果审批等相关技术服务咨询工作，主要包括高速公路、地方道路（省道、县道）、市政道路；</w:t>
      </w:r>
    </w:p>
    <w:p w14:paraId="37B0ED3D">
      <w:pPr>
        <w:keepNext w:val="0"/>
        <w:keepLines w:val="0"/>
        <w:pageBreakBefore w:val="0"/>
        <w:widowControl w:val="0"/>
        <w:kinsoku/>
        <w:wordWrap/>
        <w:overflowPunct/>
        <w:topLinePunct w:val="0"/>
        <w:autoSpaceDE/>
        <w:autoSpaceDN/>
        <w:bidi w:val="0"/>
        <w:adjustRightInd/>
        <w:snapToGrid/>
        <w:spacing w:line="440" w:lineRule="exact"/>
        <w:ind w:firstLine="484" w:firstLineChars="202"/>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②按照国家相关规范，因工程建设对航道通航影响而编制的通航安全保障措施、承担组织专家审查、负责完成海事报批的手续办理及协助成果审批等相关技术服务咨询工作（含航道扫测等基础数据收集工作），航道主要包括IV级及以上（省级及以上审批）、V级及以下（市级审批）。</w:t>
      </w:r>
    </w:p>
    <w:p w14:paraId="6CF51204">
      <w:pPr>
        <w:keepNext w:val="0"/>
        <w:keepLines w:val="0"/>
        <w:pageBreakBefore w:val="0"/>
        <w:widowControl w:val="0"/>
        <w:kinsoku/>
        <w:wordWrap/>
        <w:overflowPunct/>
        <w:topLinePunct w:val="0"/>
        <w:autoSpaceDE/>
        <w:autoSpaceDN/>
        <w:bidi w:val="0"/>
        <w:adjustRightInd w:val="0"/>
        <w:snapToGrid w:val="0"/>
        <w:spacing w:before="120" w:line="360" w:lineRule="auto"/>
        <w:ind w:left="0" w:leftChars="0" w:firstLine="420" w:firstLineChars="0"/>
        <w:textAlignment w:val="auto"/>
        <w:outlineLvl w:val="1"/>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二、报价要求</w:t>
      </w:r>
    </w:p>
    <w:p w14:paraId="31BFB84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1、投标人根据提供的工程量清单及招标要求，结合自身管理经验和技术水平，提出本想的安评服务报价。</w:t>
      </w:r>
    </w:p>
    <w:p w14:paraId="1AE30640">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本次项目的投标单价为综合单价，应包括为本工程安评服务内容可能发生的各项费用，如人工、材料、分析、评估、评审会务（包含专家评审费用）、出具报告、管理、保险、税费及不可预见费用等，即完成本项目的全部费用。</w:t>
      </w:r>
    </w:p>
    <w:p w14:paraId="36CD5746">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3、投标人应在充分考虑项目的技术含量、难易程度、市场风险及复杂性等因素的基础上进行竞争性报价，一切风险及采购人要求的工作内容、范围视为已包含在投标报价中，在合同实施期间招标人将不予调价。</w:t>
      </w:r>
    </w:p>
    <w:p w14:paraId="5688C4AA">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4、投标报价和中标后的工程价款均以人民币结算和支付。</w:t>
      </w:r>
    </w:p>
    <w:p w14:paraId="7238FF3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5、投标综合单价、合价均取整数，精确到元。</w:t>
      </w:r>
    </w:p>
    <w:p w14:paraId="1F6BB07E">
      <w:pPr>
        <w:keepNext w:val="0"/>
        <w:keepLines w:val="0"/>
        <w:pageBreakBefore w:val="0"/>
        <w:widowControl w:val="0"/>
        <w:kinsoku/>
        <w:wordWrap/>
        <w:overflowPunct/>
        <w:topLinePunct w:val="0"/>
        <w:autoSpaceDE/>
        <w:autoSpaceDN/>
        <w:bidi w:val="0"/>
        <w:adjustRightInd w:val="0"/>
        <w:snapToGrid w:val="0"/>
        <w:spacing w:before="120" w:line="360" w:lineRule="auto"/>
        <w:ind w:left="0" w:leftChars="0" w:firstLine="420" w:firstLineChars="0"/>
        <w:textAlignment w:val="auto"/>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rPr>
        <w:t>、踏勘现场</w:t>
      </w:r>
    </w:p>
    <w:p w14:paraId="10A8B21A">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本项目投标人应对现场条件与其周围环境进行现场踏勘，以获取需自己负责的有关投标准备和签署合同所需的所有资料，现场考察的费用由投标人自己承担。对于投标人经现场考察而获得的任何资料、信息等，招标人均不为其准确性负任何责任。</w:t>
      </w:r>
    </w:p>
    <w:p w14:paraId="356D2A8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2、现场考察的日期、时间由投标人自行组织。</w:t>
      </w:r>
    </w:p>
    <w:p w14:paraId="014918B6">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3、招标人在招标文件中向投标人提供了部分参考数量，这些参考数量是招标人经过初步调查研究后整理的，仅供投标人参考。</w:t>
      </w:r>
    </w:p>
    <w:p w14:paraId="167B429E">
      <w:pPr>
        <w:keepNext w:val="0"/>
        <w:keepLines w:val="0"/>
        <w:pageBreakBefore w:val="0"/>
        <w:widowControl w:val="0"/>
        <w:kinsoku/>
        <w:wordWrap/>
        <w:overflowPunct/>
        <w:topLinePunct w:val="0"/>
        <w:autoSpaceDE/>
        <w:autoSpaceDN/>
        <w:bidi w:val="0"/>
        <w:adjustRightInd w:val="0"/>
        <w:snapToGrid w:val="0"/>
        <w:spacing w:before="120" w:line="360" w:lineRule="auto"/>
        <w:ind w:left="0" w:leftChars="0" w:firstLine="420" w:firstLineChars="0"/>
        <w:textAlignment w:val="auto"/>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en-US" w:eastAsia="zh-CN"/>
        </w:rPr>
        <w:t>其他</w:t>
      </w:r>
      <w:r>
        <w:rPr>
          <w:rFonts w:hint="eastAsia" w:ascii="仿宋" w:hAnsi="仿宋" w:eastAsia="仿宋" w:cs="仿宋"/>
          <w:b/>
          <w:color w:val="auto"/>
          <w:kern w:val="0"/>
          <w:sz w:val="24"/>
          <w:highlight w:val="none"/>
        </w:rPr>
        <w:t>要求及说明</w:t>
      </w:r>
    </w:p>
    <w:p w14:paraId="112EB96D">
      <w:pPr>
        <w:autoSpaceDE w:val="0"/>
        <w:autoSpaceDN w:val="0"/>
        <w:spacing w:line="360" w:lineRule="auto"/>
        <w:ind w:left="0" w:leftChars="0" w:firstLine="561" w:firstLineChars="233"/>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1、主要内容</w:t>
      </w:r>
    </w:p>
    <w:p w14:paraId="24DF3630">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本项目施工安全性评价必须满足，但不局限于以下主要内容：</w:t>
      </w:r>
    </w:p>
    <w:p w14:paraId="5F41404F">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1.1法律法规符合性检查；</w:t>
      </w:r>
    </w:p>
    <w:p w14:paraId="3CA5EDB2">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1.2标准规范符合性检查；</w:t>
      </w:r>
    </w:p>
    <w:p w14:paraId="3B81A4D8">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1.3施工方案对道路、河道安全性影响分析；</w:t>
      </w:r>
    </w:p>
    <w:p w14:paraId="538EED6D">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1.4评价结论和建议</w:t>
      </w:r>
    </w:p>
    <w:p w14:paraId="38189E91">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1.5专家评审会会议纪要的执行情况。</w:t>
      </w:r>
    </w:p>
    <w:p w14:paraId="5119C5B0">
      <w:pPr>
        <w:autoSpaceDE w:val="0"/>
        <w:autoSpaceDN w:val="0"/>
        <w:spacing w:line="360" w:lineRule="auto"/>
        <w:ind w:left="0" w:leftChars="0" w:firstLine="561" w:firstLineChars="233"/>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2、成果质量与深度要求</w:t>
      </w:r>
    </w:p>
    <w:p w14:paraId="4E77DF1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2.1成果总体满足国家相关标准、国家有关法律法规的相关要求。</w:t>
      </w:r>
    </w:p>
    <w:p w14:paraId="0B576A4E">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 xml:space="preserve">2.2最终成果需包含： </w:t>
      </w:r>
    </w:p>
    <w:p w14:paraId="78FEAA86">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①法律法规符合性检查</w:t>
      </w:r>
    </w:p>
    <w:p w14:paraId="2F5A098D">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②标准规范符合性检查</w:t>
      </w:r>
    </w:p>
    <w:p w14:paraId="151E03BD">
      <w:pPr>
        <w:autoSpaceDE w:val="0"/>
        <w:autoSpaceDN w:val="0"/>
        <w:spacing w:line="360" w:lineRule="auto"/>
        <w:ind w:left="0" w:leftChars="0" w:firstLine="559" w:firstLineChars="233"/>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③施工方案对道路、水域安全性影响分析</w:t>
      </w:r>
    </w:p>
    <w:p w14:paraId="7062654A">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④评价结论和建议等。</w:t>
      </w:r>
    </w:p>
    <w:p w14:paraId="29CBC450">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⑤专家评审会会议纪要的执行情况。</w:t>
      </w:r>
    </w:p>
    <w:p w14:paraId="758460C9">
      <w:pPr>
        <w:autoSpaceDE w:val="0"/>
        <w:autoSpaceDN w:val="0"/>
        <w:spacing w:line="360" w:lineRule="auto"/>
        <w:ind w:left="0" w:leftChars="0" w:firstLine="561" w:firstLineChars="233"/>
        <w:rPr>
          <w:rFonts w:hint="eastAsia" w:ascii="仿宋" w:hAnsi="仿宋" w:eastAsia="仿宋" w:cs="仿宋"/>
          <w:b/>
          <w:bCs/>
          <w:color w:val="auto"/>
          <w:sz w:val="24"/>
          <w:szCs w:val="28"/>
          <w:highlight w:val="none"/>
          <w:lang w:val="en-US" w:eastAsia="zh-CN"/>
        </w:rPr>
      </w:pPr>
      <w:bookmarkStart w:id="62" w:name="_Toc312661030"/>
      <w:r>
        <w:rPr>
          <w:rFonts w:hint="eastAsia" w:ascii="仿宋" w:hAnsi="仿宋" w:eastAsia="仿宋" w:cs="仿宋"/>
          <w:b/>
          <w:bCs/>
          <w:color w:val="auto"/>
          <w:sz w:val="24"/>
          <w:szCs w:val="28"/>
          <w:highlight w:val="none"/>
          <w:lang w:val="en-US" w:eastAsia="zh-CN"/>
        </w:rPr>
        <w:t>3、电子文件和多媒体</w:t>
      </w:r>
      <w:bookmarkEnd w:id="62"/>
    </w:p>
    <w:p w14:paraId="397E06A6">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3.1全部成果相应电子文件的光盘2套；</w:t>
      </w:r>
    </w:p>
    <w:p w14:paraId="56E71175">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文字文件：Microsoft Word 2003以上版本版式；</w:t>
      </w:r>
    </w:p>
    <w:p w14:paraId="698BC1FF">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图形文件：AUTOCAD R14 以上版本的DWG格式；PHOTOSHOP 7.0以上版本的PSD格式及JPG格式。</w:t>
      </w:r>
    </w:p>
    <w:p w14:paraId="0C8DD38A">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3.2项目调查数据汇总文件；软件的计算成果，包括中间、最终数据文件和参数文件等文件汇总的相应电子光盘各2套。</w:t>
      </w:r>
    </w:p>
    <w:p w14:paraId="190FE517">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3.3研究成果各阶段汇报材料的多媒体演示稿的相应电子光盘各2套。</w:t>
      </w:r>
    </w:p>
    <w:p w14:paraId="10BA3FF9">
      <w:pPr>
        <w:autoSpaceDE w:val="0"/>
        <w:autoSpaceDN w:val="0"/>
        <w:spacing w:line="360" w:lineRule="auto"/>
        <w:ind w:left="0" w:leftChars="0" w:firstLine="561" w:firstLineChars="233"/>
        <w:rPr>
          <w:rFonts w:hint="eastAsia" w:ascii="仿宋" w:hAnsi="仿宋" w:eastAsia="仿宋" w:cs="仿宋"/>
          <w:b/>
          <w:bCs/>
          <w:color w:val="auto"/>
          <w:sz w:val="24"/>
          <w:szCs w:val="28"/>
          <w:highlight w:val="none"/>
          <w:lang w:val="en-US" w:eastAsia="zh-CN"/>
        </w:rPr>
      </w:pPr>
      <w:bookmarkStart w:id="63" w:name="_Toc312661033"/>
      <w:r>
        <w:rPr>
          <w:rFonts w:hint="eastAsia" w:ascii="仿宋" w:hAnsi="仿宋" w:eastAsia="仿宋" w:cs="仿宋"/>
          <w:b/>
          <w:bCs/>
          <w:color w:val="auto"/>
          <w:sz w:val="24"/>
          <w:szCs w:val="28"/>
          <w:highlight w:val="none"/>
          <w:lang w:val="en-US" w:eastAsia="zh-CN"/>
        </w:rPr>
        <w:t>4、报告版权问题</w:t>
      </w:r>
      <w:bookmarkEnd w:id="63"/>
    </w:p>
    <w:p w14:paraId="66C7D89D">
      <w:pPr>
        <w:autoSpaceDE w:val="0"/>
        <w:autoSpaceDN w:val="0"/>
        <w:spacing w:line="360" w:lineRule="auto"/>
        <w:ind w:left="0" w:leftChars="0" w:firstLine="559" w:firstLineChars="233"/>
        <w:rPr>
          <w:rFonts w:hint="eastAsia" w:ascii="仿宋" w:hAnsi="仿宋" w:eastAsia="仿宋" w:cs="仿宋"/>
          <w:color w:val="auto"/>
          <w:sz w:val="24"/>
          <w:szCs w:val="28"/>
          <w:highlight w:val="none"/>
          <w:lang w:val="en-US" w:eastAsia="zh-CN"/>
        </w:rPr>
        <w:sectPr>
          <w:pgSz w:w="11905" w:h="16838"/>
          <w:pgMar w:top="1440" w:right="1800" w:bottom="1440" w:left="1100" w:header="850" w:footer="992" w:gutter="0"/>
          <w:cols w:space="720" w:num="1"/>
          <w:docGrid w:type="lines" w:linePitch="317" w:charSpace="0"/>
        </w:sectPr>
      </w:pPr>
      <w:r>
        <w:rPr>
          <w:rFonts w:hint="eastAsia" w:ascii="仿宋" w:hAnsi="仿宋" w:eastAsia="仿宋" w:cs="仿宋"/>
          <w:color w:val="auto"/>
          <w:sz w:val="24"/>
          <w:szCs w:val="28"/>
          <w:highlight w:val="none"/>
          <w:lang w:val="en-US" w:eastAsia="zh-CN"/>
        </w:rPr>
        <w:t>本报告最终版权归</w:t>
      </w:r>
      <w:r>
        <w:rPr>
          <w:rFonts w:hint="eastAsia" w:ascii="仿宋" w:hAnsi="仿宋" w:eastAsia="仿宋" w:cs="仿宋"/>
          <w:color w:val="auto"/>
          <w:sz w:val="24"/>
          <w:szCs w:val="28"/>
          <w:highlight w:val="none"/>
          <w:lang w:eastAsia="zh-CN"/>
        </w:rPr>
        <w:t>浙江绍兴杭绍临空示范区开发集团有限公司</w:t>
      </w:r>
      <w:r>
        <w:rPr>
          <w:rFonts w:hint="eastAsia" w:ascii="仿宋" w:hAnsi="仿宋" w:eastAsia="仿宋" w:cs="仿宋"/>
          <w:color w:val="auto"/>
          <w:sz w:val="24"/>
          <w:szCs w:val="28"/>
          <w:highlight w:val="none"/>
          <w:lang w:val="en-US" w:eastAsia="zh-CN"/>
        </w:rPr>
        <w:t>所有。</w:t>
      </w:r>
    </w:p>
    <w:p w14:paraId="6D05C989">
      <w:pPr>
        <w:snapToGrid w:val="0"/>
        <w:spacing w:line="48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二、商务要求</w:t>
      </w:r>
    </w:p>
    <w:p w14:paraId="6EA2DB72">
      <w:pPr>
        <w:widowControl/>
        <w:snapToGrid w:val="0"/>
        <w:spacing w:line="360" w:lineRule="auto"/>
        <w:ind w:firstLine="420" w:firstLineChars="175"/>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2.1服务期限</w:t>
      </w:r>
    </w:p>
    <w:p w14:paraId="197829C3">
      <w:pPr>
        <w:widowControl/>
        <w:snapToGrid w:val="0"/>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szCs w:val="28"/>
          <w:highlight w:val="none"/>
          <w:lang w:val="en-US" w:eastAsia="zh-CN"/>
        </w:rPr>
        <w:t>合同签订之日起至所有涉路涉航项目完成成果审批为止</w:t>
      </w:r>
      <w:r>
        <w:rPr>
          <w:rFonts w:hint="eastAsia" w:ascii="仿宋" w:hAnsi="仿宋" w:eastAsia="仿宋" w:cs="仿宋"/>
          <w:color w:val="auto"/>
          <w:kern w:val="0"/>
          <w:sz w:val="24"/>
          <w:highlight w:val="none"/>
        </w:rPr>
        <w:t>。</w:t>
      </w:r>
      <w:r>
        <w:rPr>
          <w:rFonts w:hint="eastAsia" w:ascii="仿宋" w:hAnsi="仿宋" w:eastAsia="仿宋" w:cs="仿宋"/>
          <w:b w:val="0"/>
          <w:bCs/>
          <w:color w:val="auto"/>
          <w:sz w:val="24"/>
          <w:highlight w:val="none"/>
          <w:lang w:val="en-US" w:eastAsia="zh-CN"/>
        </w:rPr>
        <w:t>在接到通知后45日历天内完成评价报告书编制并获得相关管理部门审批通过。</w:t>
      </w:r>
    </w:p>
    <w:p w14:paraId="0154BD63">
      <w:pPr>
        <w:widowControl/>
        <w:snapToGrid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2.2质量要求：</w:t>
      </w:r>
      <w:r>
        <w:rPr>
          <w:rFonts w:hint="eastAsia" w:ascii="仿宋" w:eastAsia="仿宋"/>
          <w:color w:val="auto"/>
          <w:kern w:val="0"/>
          <w:sz w:val="24"/>
          <w:highlight w:val="none"/>
        </w:rPr>
        <w:t>优质服务，</w:t>
      </w:r>
      <w:r>
        <w:rPr>
          <w:rFonts w:hint="eastAsia" w:ascii="仿宋" w:eastAsia="仿宋"/>
          <w:color w:val="auto"/>
          <w:kern w:val="0"/>
          <w:sz w:val="24"/>
          <w:highlight w:val="none"/>
          <w:lang w:val="en-US" w:eastAsia="zh-CN"/>
        </w:rPr>
        <w:t>且必须</w:t>
      </w:r>
      <w:r>
        <w:rPr>
          <w:rFonts w:hint="eastAsia" w:ascii="仿宋" w:hAnsi="仿宋" w:eastAsia="仿宋" w:cs="仿宋"/>
          <w:b w:val="0"/>
          <w:bCs/>
          <w:color w:val="auto"/>
          <w:sz w:val="24"/>
          <w:highlight w:val="none"/>
          <w:lang w:val="en-US" w:eastAsia="zh-CN"/>
        </w:rPr>
        <w:t>符合现行国家技术规范、标准及规程要求，对工程涉及的公路、市政道路及航道等重要管道，进行涉路、涉航及管线安全评价，并编制相应的安全评价、影响评价、安全保障措施等各类方案及报告，方案及报告须获得相关主管部门审查通过并批复。</w:t>
      </w:r>
    </w:p>
    <w:p w14:paraId="6C49C460">
      <w:pPr>
        <w:widowControl/>
        <w:snapToGrid w:val="0"/>
        <w:spacing w:line="360" w:lineRule="auto"/>
        <w:ind w:firstLine="482" w:firstLineChars="200"/>
        <w:rPr>
          <w:rFonts w:hint="eastAsia" w:ascii="仿宋" w:hAnsi="仿宋" w:eastAsia="仿宋" w:cs="仿宋"/>
          <w:strike w:val="0"/>
          <w:dstrike w:val="0"/>
          <w:color w:val="auto"/>
          <w:kern w:val="0"/>
          <w:sz w:val="24"/>
          <w:highlight w:val="none"/>
        </w:rPr>
      </w:pPr>
      <w:r>
        <w:rPr>
          <w:rFonts w:hint="eastAsia" w:ascii="仿宋" w:hAnsi="仿宋" w:eastAsia="仿宋" w:cs="仿宋"/>
          <w:b/>
          <w:bCs/>
          <w:strike w:val="0"/>
          <w:dstrike w:val="0"/>
          <w:color w:val="auto"/>
          <w:sz w:val="24"/>
          <w:highlight w:val="none"/>
        </w:rPr>
        <w:t>2.3</w:t>
      </w:r>
      <w:r>
        <w:rPr>
          <w:rFonts w:hint="eastAsia" w:ascii="仿宋" w:hAnsi="仿宋" w:eastAsia="仿宋" w:cs="仿宋"/>
          <w:b/>
          <w:bCs/>
          <w:strike w:val="0"/>
          <w:dstrike w:val="0"/>
          <w:color w:val="auto"/>
          <w:sz w:val="24"/>
          <w:highlight w:val="none"/>
          <w:lang w:val="en-US" w:eastAsia="zh-CN"/>
        </w:rPr>
        <w:t>成果提交数量：</w:t>
      </w:r>
      <w:r>
        <w:rPr>
          <w:rFonts w:hint="eastAsia" w:ascii="仿宋" w:hAnsi="仿宋" w:eastAsia="仿宋" w:cs="仿宋"/>
          <w:b w:val="0"/>
          <w:bCs/>
          <w:color w:val="auto"/>
          <w:sz w:val="24"/>
          <w:highlight w:val="none"/>
          <w:lang w:val="en-US" w:eastAsia="zh-CN"/>
        </w:rPr>
        <w:t>提交相关评估报告一式四份，若业主单位需要增加份数的，所增加的报告份数的成本不再另行支付。</w:t>
      </w:r>
    </w:p>
    <w:p w14:paraId="3D97535A">
      <w:pPr>
        <w:widowControl/>
        <w:snapToGrid w:val="0"/>
        <w:spacing w:line="360" w:lineRule="auto"/>
        <w:ind w:firstLine="420" w:firstLineChars="175"/>
        <w:rPr>
          <w:rFonts w:hint="eastAsia" w:ascii="仿宋" w:hAnsi="仿宋" w:eastAsia="仿宋" w:cs="仿宋"/>
          <w:b/>
          <w:bCs/>
          <w:strike w:val="0"/>
          <w:dstrike w:val="0"/>
          <w:color w:val="auto"/>
          <w:sz w:val="24"/>
          <w:highlight w:val="none"/>
        </w:rPr>
      </w:pPr>
      <w:r>
        <w:rPr>
          <w:rFonts w:hint="eastAsia" w:ascii="仿宋" w:hAnsi="仿宋" w:eastAsia="仿宋" w:cs="仿宋"/>
          <w:strike w:val="0"/>
          <w:dstrike w:val="0"/>
          <w:color w:val="auto"/>
          <w:sz w:val="24"/>
          <w:highlight w:val="none"/>
        </w:rPr>
        <w:t>▲</w:t>
      </w:r>
      <w:r>
        <w:rPr>
          <w:rFonts w:hint="eastAsia" w:ascii="仿宋" w:hAnsi="仿宋" w:eastAsia="仿宋" w:cs="仿宋"/>
          <w:b/>
          <w:bCs/>
          <w:strike w:val="0"/>
          <w:dstrike w:val="0"/>
          <w:color w:val="auto"/>
          <w:sz w:val="24"/>
          <w:highlight w:val="none"/>
        </w:rPr>
        <w:t>2.</w:t>
      </w:r>
      <w:r>
        <w:rPr>
          <w:rFonts w:hint="eastAsia" w:ascii="仿宋" w:hAnsi="仿宋" w:eastAsia="仿宋" w:cs="仿宋"/>
          <w:b/>
          <w:bCs/>
          <w:strike w:val="0"/>
          <w:dstrike w:val="0"/>
          <w:color w:val="auto"/>
          <w:sz w:val="24"/>
          <w:highlight w:val="none"/>
          <w:lang w:val="en-US" w:eastAsia="zh-CN"/>
        </w:rPr>
        <w:t>4</w:t>
      </w:r>
      <w:r>
        <w:rPr>
          <w:rFonts w:hint="eastAsia" w:ascii="仿宋" w:hAnsi="仿宋" w:eastAsia="仿宋" w:cs="仿宋"/>
          <w:b/>
          <w:bCs/>
          <w:strike w:val="0"/>
          <w:dstrike w:val="0"/>
          <w:color w:val="auto"/>
          <w:sz w:val="24"/>
          <w:highlight w:val="none"/>
        </w:rPr>
        <w:t>数量调整</w:t>
      </w:r>
    </w:p>
    <w:p w14:paraId="02E464AB">
      <w:pPr>
        <w:widowControl/>
        <w:snapToGrid w:val="0"/>
        <w:spacing w:line="360" w:lineRule="auto"/>
        <w:ind w:firstLine="480" w:firstLineChars="200"/>
        <w:rPr>
          <w:rFonts w:hint="eastAsia" w:ascii="仿宋" w:hAnsi="仿宋" w:eastAsia="仿宋" w:cs="仿宋"/>
          <w:strike w:val="0"/>
          <w:dstrike w:val="0"/>
          <w:color w:val="auto"/>
          <w:kern w:val="0"/>
          <w:sz w:val="24"/>
          <w:highlight w:val="none"/>
        </w:rPr>
      </w:pPr>
      <w:r>
        <w:rPr>
          <w:rFonts w:hint="eastAsia" w:ascii="仿宋" w:hAnsi="仿宋" w:eastAsia="仿宋" w:cs="仿宋"/>
          <w:strike w:val="0"/>
          <w:dstrike w:val="0"/>
          <w:color w:val="auto"/>
          <w:kern w:val="0"/>
          <w:sz w:val="24"/>
          <w:highlight w:val="none"/>
        </w:rPr>
        <w:t>2.</w:t>
      </w:r>
      <w:r>
        <w:rPr>
          <w:rFonts w:hint="eastAsia" w:ascii="仿宋" w:hAnsi="仿宋" w:eastAsia="仿宋" w:cs="仿宋"/>
          <w:strike w:val="0"/>
          <w:dstrike w:val="0"/>
          <w:color w:val="auto"/>
          <w:kern w:val="0"/>
          <w:sz w:val="24"/>
          <w:highlight w:val="none"/>
          <w:lang w:val="en-US" w:eastAsia="zh-CN"/>
        </w:rPr>
        <w:t>4</w:t>
      </w:r>
      <w:r>
        <w:rPr>
          <w:rFonts w:hint="eastAsia" w:ascii="仿宋" w:hAnsi="仿宋" w:eastAsia="仿宋" w:cs="仿宋"/>
          <w:strike w:val="0"/>
          <w:dstrike w:val="0"/>
          <w:color w:val="auto"/>
          <w:kern w:val="0"/>
          <w:sz w:val="24"/>
          <w:highlight w:val="none"/>
        </w:rPr>
        <w:t>.1采购合同履行中，采购人需追加与合同标的相同的货物、工程或者服务的，在不改变合同其他条款的前提下，可以与供应商协商签订补充合同，但所有补充合同的采购金额不得超过原合同金额的百分之十。</w:t>
      </w:r>
    </w:p>
    <w:p w14:paraId="0918204F">
      <w:pPr>
        <w:widowControl/>
        <w:snapToGrid w:val="0"/>
        <w:spacing w:line="360" w:lineRule="auto"/>
        <w:ind w:firstLine="480" w:firstLineChars="200"/>
        <w:rPr>
          <w:rFonts w:hint="eastAsia" w:ascii="仿宋" w:hAnsi="仿宋" w:eastAsia="仿宋" w:cs="仿宋"/>
          <w:strike w:val="0"/>
          <w:dstrike w:val="0"/>
          <w:color w:val="auto"/>
          <w:kern w:val="0"/>
          <w:sz w:val="24"/>
          <w:highlight w:val="none"/>
        </w:rPr>
      </w:pPr>
      <w:r>
        <w:rPr>
          <w:rFonts w:hint="eastAsia" w:ascii="仿宋" w:hAnsi="仿宋" w:eastAsia="仿宋" w:cs="仿宋"/>
          <w:strike w:val="0"/>
          <w:dstrike w:val="0"/>
          <w:color w:val="auto"/>
          <w:kern w:val="0"/>
          <w:sz w:val="24"/>
          <w:highlight w:val="none"/>
        </w:rPr>
        <w:t>2.</w:t>
      </w:r>
      <w:r>
        <w:rPr>
          <w:rFonts w:hint="eastAsia" w:ascii="仿宋" w:hAnsi="仿宋" w:eastAsia="仿宋" w:cs="仿宋"/>
          <w:strike w:val="0"/>
          <w:dstrike w:val="0"/>
          <w:color w:val="auto"/>
          <w:kern w:val="0"/>
          <w:sz w:val="24"/>
          <w:highlight w:val="none"/>
          <w:lang w:val="en-US" w:eastAsia="zh-CN"/>
        </w:rPr>
        <w:t>4</w:t>
      </w:r>
      <w:r>
        <w:rPr>
          <w:rFonts w:hint="eastAsia" w:ascii="仿宋" w:hAnsi="仿宋" w:eastAsia="仿宋" w:cs="仿宋"/>
          <w:strike w:val="0"/>
          <w:dstrike w:val="0"/>
          <w:color w:val="auto"/>
          <w:kern w:val="0"/>
          <w:sz w:val="24"/>
          <w:highlight w:val="none"/>
        </w:rPr>
        <w:t>.2 当变更只是采购量增减时，按投标所报的</w:t>
      </w:r>
      <w:r>
        <w:rPr>
          <w:rFonts w:hint="eastAsia" w:ascii="仿宋" w:hAnsi="仿宋" w:eastAsia="仿宋" w:cs="仿宋"/>
          <w:strike w:val="0"/>
          <w:dstrike w:val="0"/>
          <w:color w:val="auto"/>
          <w:kern w:val="0"/>
          <w:sz w:val="24"/>
          <w:highlight w:val="none"/>
          <w:lang w:val="en-US" w:eastAsia="zh-CN"/>
        </w:rPr>
        <w:t>综合</w:t>
      </w:r>
      <w:r>
        <w:rPr>
          <w:rFonts w:hint="eastAsia" w:ascii="仿宋" w:hAnsi="仿宋" w:eastAsia="仿宋" w:cs="仿宋"/>
          <w:strike w:val="0"/>
          <w:dstrike w:val="0"/>
          <w:color w:val="auto"/>
          <w:kern w:val="0"/>
          <w:sz w:val="24"/>
          <w:highlight w:val="none"/>
        </w:rPr>
        <w:t>单价进行结算。</w:t>
      </w:r>
    </w:p>
    <w:p w14:paraId="34DD6463">
      <w:pPr>
        <w:widowControl/>
        <w:snapToGrid w:val="0"/>
        <w:spacing w:line="360" w:lineRule="auto"/>
        <w:ind w:firstLine="420" w:firstLineChars="175"/>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结算原则</w:t>
      </w:r>
    </w:p>
    <w:p w14:paraId="665509FB">
      <w:pPr>
        <w:widowControl/>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.1招标文件、招标答疑会纪要、中标投标人的中标报价等作为结算依据；</w:t>
      </w:r>
    </w:p>
    <w:p w14:paraId="000111FE">
      <w:pPr>
        <w:widowControl/>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2.5.2</w:t>
      </w:r>
      <w:r>
        <w:rPr>
          <w:rFonts w:hint="eastAsia" w:ascii="仿宋" w:hAnsi="仿宋" w:eastAsia="仿宋" w:cs="仿宋"/>
          <w:color w:val="auto"/>
          <w:kern w:val="0"/>
          <w:sz w:val="24"/>
          <w:szCs w:val="24"/>
          <w:highlight w:val="none"/>
          <w:lang w:val="zh-CN"/>
        </w:rPr>
        <w:t>中标单价固定，不再调整，经采购人分级审批认可的工程量增减，在结算时按中标单价按实调整。最终结算总价=实际完成工程量*中标单价</w:t>
      </w:r>
      <w:r>
        <w:rPr>
          <w:rFonts w:hint="eastAsia" w:ascii="仿宋" w:hAnsi="仿宋" w:eastAsia="仿宋" w:cs="仿宋"/>
          <w:color w:val="auto"/>
          <w:kern w:val="0"/>
          <w:sz w:val="24"/>
          <w:szCs w:val="24"/>
          <w:highlight w:val="none"/>
          <w:lang w:val="zh-CN" w:eastAsia="zh-CN"/>
        </w:rPr>
        <w:t>（参见第十一条变更）。</w:t>
      </w:r>
      <w:r>
        <w:rPr>
          <w:rFonts w:hint="eastAsia" w:ascii="仿宋" w:hAnsi="仿宋" w:eastAsia="仿宋" w:cs="仿宋"/>
          <w:color w:val="auto"/>
          <w:kern w:val="0"/>
          <w:sz w:val="24"/>
          <w:szCs w:val="24"/>
          <w:highlight w:val="none"/>
          <w:lang w:val="zh-CN"/>
        </w:rPr>
        <w:t>且增加的总金额最高不超过</w:t>
      </w:r>
      <w:r>
        <w:rPr>
          <w:rFonts w:hint="eastAsia" w:ascii="仿宋" w:hAnsi="仿宋" w:eastAsia="仿宋" w:cs="仿宋"/>
          <w:color w:val="auto"/>
          <w:kern w:val="0"/>
          <w:sz w:val="24"/>
          <w:szCs w:val="24"/>
          <w:highlight w:val="none"/>
          <w:lang w:val="en-US"/>
        </w:rPr>
        <w:t>原</w:t>
      </w:r>
      <w:r>
        <w:rPr>
          <w:rFonts w:hint="eastAsia" w:ascii="仿宋" w:hAnsi="仿宋" w:eastAsia="仿宋" w:cs="仿宋"/>
          <w:color w:val="auto"/>
          <w:kern w:val="0"/>
          <w:sz w:val="24"/>
          <w:szCs w:val="24"/>
          <w:highlight w:val="none"/>
          <w:lang w:val="zh-CN"/>
        </w:rPr>
        <w:t>合同金额的</w:t>
      </w:r>
      <w:r>
        <w:rPr>
          <w:rFonts w:hint="eastAsia" w:ascii="仿宋" w:hAnsi="仿宋" w:eastAsia="仿宋" w:cs="仿宋"/>
          <w:color w:val="auto"/>
          <w:kern w:val="0"/>
          <w:sz w:val="24"/>
          <w:szCs w:val="24"/>
          <w:highlight w:val="none"/>
          <w:lang w:val="en-US"/>
        </w:rPr>
        <w:t>10%</w:t>
      </w:r>
      <w:r>
        <w:rPr>
          <w:rFonts w:hint="eastAsia" w:ascii="仿宋" w:hAnsi="仿宋" w:eastAsia="仿宋" w:cs="仿宋"/>
          <w:color w:val="auto"/>
          <w:kern w:val="0"/>
          <w:sz w:val="24"/>
          <w:szCs w:val="24"/>
          <w:highlight w:val="none"/>
          <w:lang w:val="zh-CN"/>
        </w:rPr>
        <w:t>，投标人须在投标报价时充分考虑。</w:t>
      </w:r>
      <w:r>
        <w:rPr>
          <w:rFonts w:hint="eastAsia" w:ascii="仿宋" w:hAnsi="仿宋" w:eastAsia="仿宋" w:cs="仿宋"/>
          <w:color w:val="auto"/>
          <w:kern w:val="0"/>
          <w:sz w:val="24"/>
          <w:szCs w:val="24"/>
          <w:highlight w:val="none"/>
          <w:lang w:val="en-US" w:eastAsia="zh-CN"/>
        </w:rPr>
        <w:t>专家论证所需的专家费、餐费等费用均包括在总费用中，不再另行支付。</w:t>
      </w:r>
    </w:p>
    <w:p w14:paraId="2CA70954">
      <w:pPr>
        <w:widowControl/>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2.5.3</w:t>
      </w:r>
      <w:r>
        <w:rPr>
          <w:rFonts w:hint="eastAsia" w:ascii="仿宋" w:hAnsi="仿宋" w:eastAsia="仿宋" w:cs="仿宋"/>
          <w:color w:val="auto"/>
          <w:kern w:val="0"/>
          <w:sz w:val="24"/>
          <w:szCs w:val="24"/>
          <w:highlight w:val="none"/>
          <w:lang w:val="zh-CN"/>
        </w:rPr>
        <w:t>签订本合同后，因法律、法规发生变化引起该</w:t>
      </w:r>
      <w:r>
        <w:rPr>
          <w:rFonts w:hint="eastAsia" w:ascii="仿宋" w:hAnsi="仿宋" w:eastAsia="仿宋" w:cs="仿宋"/>
          <w:color w:val="auto"/>
          <w:kern w:val="0"/>
          <w:sz w:val="24"/>
          <w:szCs w:val="24"/>
          <w:highlight w:val="none"/>
          <w:lang w:val="en-US" w:eastAsia="zh-CN"/>
        </w:rPr>
        <w:t>安评服务</w:t>
      </w:r>
      <w:r>
        <w:rPr>
          <w:rFonts w:hint="eastAsia" w:ascii="仿宋" w:hAnsi="仿宋" w:eastAsia="仿宋" w:cs="仿宋"/>
          <w:color w:val="auto"/>
          <w:kern w:val="0"/>
          <w:sz w:val="24"/>
          <w:szCs w:val="24"/>
          <w:highlight w:val="none"/>
          <w:lang w:val="zh-CN"/>
        </w:rPr>
        <w:t>费变化，以及因物价变动、</w:t>
      </w:r>
      <w:r>
        <w:rPr>
          <w:rFonts w:hint="eastAsia" w:ascii="仿宋" w:hAnsi="仿宋" w:eastAsia="仿宋" w:cs="仿宋"/>
          <w:color w:val="auto"/>
          <w:kern w:val="0"/>
          <w:sz w:val="24"/>
          <w:szCs w:val="24"/>
          <w:highlight w:val="none"/>
          <w:lang w:val="en-US" w:eastAsia="zh-CN"/>
        </w:rPr>
        <w:t>业主</w:t>
      </w:r>
      <w:r>
        <w:rPr>
          <w:rFonts w:hint="eastAsia" w:ascii="仿宋" w:hAnsi="仿宋" w:eastAsia="仿宋" w:cs="仿宋"/>
          <w:color w:val="auto"/>
          <w:kern w:val="0"/>
          <w:sz w:val="24"/>
          <w:szCs w:val="24"/>
          <w:highlight w:val="none"/>
          <w:lang w:val="zh-CN"/>
        </w:rPr>
        <w:t>相关规定、要求调整</w:t>
      </w:r>
      <w:r>
        <w:rPr>
          <w:rFonts w:hint="eastAsia" w:ascii="仿宋" w:hAnsi="仿宋" w:eastAsia="仿宋" w:cs="仿宋"/>
          <w:color w:val="auto"/>
          <w:kern w:val="0"/>
          <w:sz w:val="24"/>
          <w:szCs w:val="24"/>
          <w:highlight w:val="none"/>
          <w:lang w:val="en-US" w:eastAsia="zh-CN"/>
        </w:rPr>
        <w:t>安评</w:t>
      </w:r>
      <w:r>
        <w:rPr>
          <w:rFonts w:hint="eastAsia" w:ascii="仿宋" w:hAnsi="仿宋" w:eastAsia="仿宋" w:cs="仿宋"/>
          <w:color w:val="auto"/>
          <w:kern w:val="0"/>
          <w:sz w:val="24"/>
          <w:szCs w:val="24"/>
          <w:highlight w:val="none"/>
          <w:lang w:val="zh-CN"/>
        </w:rPr>
        <w:t>数量等其他因素而引起</w:t>
      </w:r>
      <w:r>
        <w:rPr>
          <w:rFonts w:hint="eastAsia" w:ascii="仿宋" w:hAnsi="仿宋" w:eastAsia="仿宋" w:cs="仿宋"/>
          <w:color w:val="auto"/>
          <w:kern w:val="0"/>
          <w:sz w:val="24"/>
          <w:szCs w:val="24"/>
          <w:highlight w:val="none"/>
          <w:lang w:val="en-US" w:eastAsia="zh-CN"/>
        </w:rPr>
        <w:t>安评服务</w:t>
      </w:r>
      <w:r>
        <w:rPr>
          <w:rFonts w:hint="eastAsia" w:ascii="仿宋" w:hAnsi="仿宋" w:eastAsia="仿宋" w:cs="仿宋"/>
          <w:color w:val="auto"/>
          <w:kern w:val="0"/>
          <w:sz w:val="24"/>
          <w:szCs w:val="24"/>
          <w:highlight w:val="none"/>
          <w:lang w:val="zh-CN"/>
        </w:rPr>
        <w:t>费变化，合同价不作调整。</w:t>
      </w:r>
    </w:p>
    <w:p w14:paraId="39A5E4BA">
      <w:pPr>
        <w:widowControl/>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2.5.4</w:t>
      </w:r>
      <w:r>
        <w:rPr>
          <w:rFonts w:hint="eastAsia" w:ascii="仿宋" w:hAnsi="仿宋" w:eastAsia="仿宋" w:cs="仿宋"/>
          <w:color w:val="auto"/>
          <w:kern w:val="0"/>
          <w:sz w:val="24"/>
          <w:szCs w:val="24"/>
          <w:highlight w:val="none"/>
          <w:lang w:val="zh-CN"/>
        </w:rPr>
        <w:t>合同履行期间，因</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kern w:val="0"/>
          <w:sz w:val="24"/>
          <w:szCs w:val="24"/>
          <w:highlight w:val="none"/>
          <w:lang w:val="zh-CN"/>
        </w:rPr>
        <w:t>要求需停止</w:t>
      </w:r>
      <w:r>
        <w:rPr>
          <w:rFonts w:hint="eastAsia" w:ascii="仿宋" w:hAnsi="仿宋" w:eastAsia="仿宋" w:cs="仿宋"/>
          <w:color w:val="auto"/>
          <w:kern w:val="0"/>
          <w:sz w:val="24"/>
          <w:szCs w:val="24"/>
          <w:highlight w:val="none"/>
          <w:lang w:val="en-US" w:eastAsia="zh-CN"/>
        </w:rPr>
        <w:t>安评</w:t>
      </w:r>
      <w:r>
        <w:rPr>
          <w:rFonts w:hint="eastAsia" w:ascii="仿宋" w:hAnsi="仿宋" w:eastAsia="仿宋" w:cs="仿宋"/>
          <w:color w:val="auto"/>
          <w:kern w:val="0"/>
          <w:sz w:val="24"/>
          <w:szCs w:val="24"/>
          <w:highlight w:val="none"/>
          <w:lang w:val="zh-CN"/>
        </w:rPr>
        <w:t>工作或解除合同时，按</w:t>
      </w:r>
      <w:r>
        <w:rPr>
          <w:rFonts w:hint="eastAsia" w:ascii="仿宋" w:hAnsi="仿宋" w:eastAsia="仿宋" w:cs="仿宋"/>
          <w:color w:val="auto"/>
          <w:kern w:val="0"/>
          <w:sz w:val="24"/>
          <w:szCs w:val="24"/>
          <w:highlight w:val="none"/>
          <w:lang w:val="en-US" w:eastAsia="zh-CN"/>
        </w:rPr>
        <w:t>安评</w:t>
      </w:r>
      <w:r>
        <w:rPr>
          <w:rFonts w:hint="eastAsia" w:ascii="仿宋" w:hAnsi="仿宋" w:eastAsia="仿宋" w:cs="仿宋"/>
          <w:color w:val="auto"/>
          <w:kern w:val="0"/>
          <w:sz w:val="24"/>
          <w:szCs w:val="24"/>
          <w:highlight w:val="none"/>
          <w:lang w:val="zh-CN"/>
        </w:rPr>
        <w:t>完成实际工作量的比例，按实结算并支付费用。</w:t>
      </w:r>
    </w:p>
    <w:p w14:paraId="06F0BF3A">
      <w:pPr>
        <w:widowControl/>
        <w:snapToGrid w:val="0"/>
        <w:spacing w:line="360" w:lineRule="auto"/>
        <w:ind w:firstLine="420" w:firstLineChars="175"/>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6</w:t>
      </w:r>
      <w:r>
        <w:rPr>
          <w:rFonts w:hint="eastAsia" w:ascii="仿宋" w:hAnsi="仿宋" w:eastAsia="仿宋" w:cs="仿宋"/>
          <w:b/>
          <w:bCs/>
          <w:color w:val="auto"/>
          <w:kern w:val="0"/>
          <w:sz w:val="24"/>
          <w:highlight w:val="none"/>
        </w:rPr>
        <w:t>付款方式</w:t>
      </w:r>
    </w:p>
    <w:p w14:paraId="25B3A0AD">
      <w:pPr>
        <w:widowControl/>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2.6.1整体项目报批的报告经专家论证审查后，报告获得相关主管门审查通过并批复后30日内，业主单位向中标人一次付清相对应施工范围项目的安评服务费用，费用金额以中标单价作为结算单价，按实结算。</w:t>
      </w:r>
    </w:p>
    <w:p w14:paraId="435AB2AD">
      <w:pPr>
        <w:widowControl/>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2.6.2发票应随付款进度及时提供。税金如遇国家税费政策调整，按实调整。</w:t>
      </w:r>
    </w:p>
    <w:p w14:paraId="7F58BBBA">
      <w:pPr>
        <w:widowControl/>
        <w:snapToGrid w:val="0"/>
        <w:spacing w:line="360" w:lineRule="auto"/>
        <w:ind w:firstLine="422" w:firstLineChars="175"/>
        <w:rPr>
          <w:rFonts w:hint="eastAsia" w:ascii="仿宋" w:hAnsi="仿宋" w:eastAsia="仿宋" w:cs="仿宋"/>
          <w:b/>
          <w:strike w:val="0"/>
          <w:dstrike w:val="0"/>
          <w:color w:val="auto"/>
          <w:sz w:val="24"/>
          <w:highlight w:val="none"/>
        </w:rPr>
      </w:pPr>
      <w:r>
        <w:rPr>
          <w:rFonts w:hint="eastAsia" w:ascii="仿宋" w:hAnsi="仿宋" w:eastAsia="仿宋" w:cs="仿宋"/>
          <w:b/>
          <w:strike w:val="0"/>
          <w:dstrike w:val="0"/>
          <w:color w:val="auto"/>
          <w:sz w:val="24"/>
          <w:highlight w:val="none"/>
        </w:rPr>
        <w:t>▲2.</w:t>
      </w:r>
      <w:r>
        <w:rPr>
          <w:rFonts w:hint="eastAsia" w:ascii="仿宋" w:hAnsi="仿宋" w:eastAsia="仿宋" w:cs="仿宋"/>
          <w:b/>
          <w:strike w:val="0"/>
          <w:dstrike w:val="0"/>
          <w:color w:val="auto"/>
          <w:sz w:val="24"/>
          <w:highlight w:val="none"/>
          <w:lang w:val="en-US" w:eastAsia="zh-CN"/>
        </w:rPr>
        <w:t>7</w:t>
      </w:r>
      <w:r>
        <w:rPr>
          <w:rFonts w:hint="eastAsia" w:ascii="仿宋" w:hAnsi="仿宋" w:eastAsia="仿宋" w:cs="仿宋"/>
          <w:b/>
          <w:strike w:val="0"/>
          <w:dstrike w:val="0"/>
          <w:color w:val="auto"/>
          <w:sz w:val="24"/>
          <w:highlight w:val="none"/>
        </w:rPr>
        <w:t>验收</w:t>
      </w:r>
    </w:p>
    <w:p w14:paraId="1354380A">
      <w:pPr>
        <w:widowControl/>
        <w:snapToGrid w:val="0"/>
        <w:spacing w:line="360" w:lineRule="auto"/>
        <w:ind w:firstLine="420" w:firstLineChars="175"/>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2.</w:t>
      </w:r>
      <w:r>
        <w:rPr>
          <w:rFonts w:hint="eastAsia" w:ascii="仿宋" w:hAnsi="仿宋" w:eastAsia="仿宋" w:cs="仿宋"/>
          <w:strike w:val="0"/>
          <w:dstrike w:val="0"/>
          <w:color w:val="auto"/>
          <w:sz w:val="24"/>
          <w:highlight w:val="none"/>
          <w:lang w:val="en-US" w:eastAsia="zh-CN"/>
        </w:rPr>
        <w:t>7</w:t>
      </w:r>
      <w:r>
        <w:rPr>
          <w:rFonts w:hint="eastAsia" w:ascii="仿宋" w:hAnsi="仿宋" w:eastAsia="仿宋" w:cs="仿宋"/>
          <w:strike w:val="0"/>
          <w:dstrike w:val="0"/>
          <w:color w:val="auto"/>
          <w:sz w:val="24"/>
          <w:highlight w:val="none"/>
        </w:rPr>
        <w:t>.1由采购人负责进行验收。</w:t>
      </w:r>
    </w:p>
    <w:p w14:paraId="2A3618A9">
      <w:pPr>
        <w:widowControl/>
        <w:snapToGrid w:val="0"/>
        <w:spacing w:line="360" w:lineRule="auto"/>
        <w:ind w:firstLine="420" w:firstLineChars="175"/>
        <w:rPr>
          <w:rFonts w:hint="eastAsia" w:ascii="仿宋" w:hAnsi="仿宋" w:eastAsia="仿宋" w:cs="仿宋"/>
          <w:strike/>
          <w:dstrike w:val="0"/>
          <w:color w:val="auto"/>
          <w:sz w:val="24"/>
          <w:highlight w:val="none"/>
        </w:rPr>
      </w:pPr>
      <w:r>
        <w:rPr>
          <w:rFonts w:hint="eastAsia" w:ascii="仿宋" w:hAnsi="仿宋" w:eastAsia="仿宋" w:cs="仿宋"/>
          <w:strike w:val="0"/>
          <w:dstrike w:val="0"/>
          <w:color w:val="auto"/>
          <w:sz w:val="24"/>
          <w:highlight w:val="none"/>
        </w:rPr>
        <w:t>2.</w:t>
      </w:r>
      <w:r>
        <w:rPr>
          <w:rFonts w:hint="eastAsia" w:ascii="仿宋" w:hAnsi="仿宋" w:eastAsia="仿宋" w:cs="仿宋"/>
          <w:strike w:val="0"/>
          <w:dstrike w:val="0"/>
          <w:color w:val="auto"/>
          <w:sz w:val="24"/>
          <w:highlight w:val="none"/>
          <w:lang w:val="en-US" w:eastAsia="zh-CN"/>
        </w:rPr>
        <w:t>7</w:t>
      </w:r>
      <w:r>
        <w:rPr>
          <w:rFonts w:hint="eastAsia" w:ascii="仿宋" w:hAnsi="仿宋" w:eastAsia="仿宋" w:cs="仿宋"/>
          <w:strike w:val="0"/>
          <w:dstrike w:val="0"/>
          <w:color w:val="auto"/>
          <w:sz w:val="24"/>
          <w:highlight w:val="none"/>
        </w:rPr>
        <w:t>.2采购人在中标单位履行服务合同</w:t>
      </w:r>
      <w:r>
        <w:rPr>
          <w:rFonts w:hint="eastAsia" w:ascii="仿宋" w:hAnsi="仿宋" w:eastAsia="仿宋" w:cs="仿宋"/>
          <w:strike w:val="0"/>
          <w:dstrike w:val="0"/>
          <w:color w:val="auto"/>
          <w:sz w:val="24"/>
          <w:highlight w:val="none"/>
          <w:lang w:eastAsia="zh-CN"/>
        </w:rPr>
        <w:t>期间</w:t>
      </w:r>
      <w:r>
        <w:rPr>
          <w:rFonts w:hint="eastAsia" w:ascii="仿宋" w:hAnsi="仿宋" w:eastAsia="仿宋" w:cs="仿宋"/>
          <w:strike w:val="0"/>
          <w:dstrike w:val="0"/>
          <w:color w:val="auto"/>
          <w:sz w:val="24"/>
          <w:highlight w:val="none"/>
        </w:rPr>
        <w:t>进行检查验收，如果发现数量不足或有质量、技术等问题，中标单位应负责根据合同及采购人的要求采取补救等处理措施，并承担由此发生的一切损失和费用。</w:t>
      </w:r>
    </w:p>
    <w:p w14:paraId="723F7856">
      <w:pPr>
        <w:adjustRightInd/>
        <w:spacing w:line="360" w:lineRule="auto"/>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en-US" w:eastAsia="zh-CN"/>
        </w:rPr>
        <w:t>8</w:t>
      </w:r>
      <w:r>
        <w:rPr>
          <w:rFonts w:hint="eastAsia" w:ascii="仿宋" w:hAnsi="仿宋" w:eastAsia="仿宋" w:cs="仿宋"/>
          <w:b/>
          <w:bCs/>
          <w:color w:val="auto"/>
          <w:kern w:val="0"/>
          <w:sz w:val="24"/>
          <w:highlight w:val="none"/>
        </w:rPr>
        <w:t>售后服务要求</w:t>
      </w:r>
    </w:p>
    <w:p w14:paraId="3015352C">
      <w:pPr>
        <w:adjustRightIn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.1中标单位须提供从验收合格之日起，按行业规则提供免费服务。投标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承诺超过本要求的，以优惠者为准。</w:t>
      </w:r>
    </w:p>
    <w:p w14:paraId="0B838B2A">
      <w:pPr>
        <w:adjustRightIn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投标人</w:t>
      </w:r>
      <w:r>
        <w:rPr>
          <w:rFonts w:hint="eastAsia" w:ascii="仿宋" w:hAnsi="仿宋" w:eastAsia="仿宋" w:cs="仿宋"/>
          <w:color w:val="auto"/>
          <w:kern w:val="0"/>
          <w:sz w:val="24"/>
          <w:highlight w:val="none"/>
        </w:rPr>
        <w:t>若有其他服务承诺，也将一并执行。</w:t>
      </w:r>
    </w:p>
    <w:p w14:paraId="2593FE67">
      <w:pPr>
        <w:adjustRightInd/>
        <w:spacing w:line="360" w:lineRule="auto"/>
        <w:ind w:firstLine="480" w:firstLineChars="200"/>
        <w:jc w:val="left"/>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.3中标</w:t>
      </w:r>
      <w:r>
        <w:rPr>
          <w:rFonts w:hint="eastAsia" w:ascii="仿宋" w:hAnsi="仿宋" w:eastAsia="仿宋" w:cs="仿宋"/>
          <w:color w:val="auto"/>
          <w:kern w:val="0"/>
          <w:sz w:val="24"/>
          <w:highlight w:val="none"/>
          <w:lang w:eastAsia="zh-CN"/>
        </w:rPr>
        <w:t>人</w:t>
      </w:r>
      <w:r>
        <w:rPr>
          <w:rFonts w:hint="eastAsia" w:ascii="仿宋" w:hAnsi="仿宋" w:eastAsia="仿宋" w:cs="仿宋"/>
          <w:color w:val="auto"/>
          <w:kern w:val="0"/>
          <w:sz w:val="24"/>
          <w:highlight w:val="none"/>
        </w:rPr>
        <w:t>必须将公司的服务热线明确告知采购人。</w:t>
      </w:r>
    </w:p>
    <w:p w14:paraId="05F34850">
      <w:pPr>
        <w:adjustRightInd/>
        <w:spacing w:line="360" w:lineRule="auto"/>
        <w:jc w:val="left"/>
        <w:rPr>
          <w:rFonts w:hint="eastAsia" w:ascii="仿宋" w:hAnsi="仿宋" w:eastAsia="仿宋" w:cs="仿宋"/>
          <w:b/>
          <w:color w:val="auto"/>
          <w:sz w:val="36"/>
          <w:szCs w:val="36"/>
          <w:highlight w:val="none"/>
        </w:rPr>
      </w:pPr>
    </w:p>
    <w:p w14:paraId="55A22726">
      <w:pPr>
        <w:pageBreakBefore/>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4" w:name="_Toc184313264"/>
      <w:bookmarkEnd w:id="64"/>
      <w:bookmarkStart w:id="65" w:name="_Toc184312098"/>
      <w:bookmarkEnd w:id="65"/>
      <w:bookmarkStart w:id="66" w:name="_Toc184313243"/>
      <w:bookmarkEnd w:id="66"/>
      <w:bookmarkStart w:id="67" w:name="_Toc184313291"/>
      <w:bookmarkEnd w:id="67"/>
      <w:bookmarkStart w:id="68" w:name="_Toc184312120"/>
      <w:bookmarkEnd w:id="68"/>
      <w:bookmarkStart w:id="69" w:name="_Toc184314471"/>
      <w:bookmarkEnd w:id="69"/>
      <w:bookmarkStart w:id="70" w:name="_Toc184310340"/>
      <w:bookmarkEnd w:id="70"/>
      <w:bookmarkStart w:id="71" w:name="_Toc184308077"/>
      <w:bookmarkEnd w:id="71"/>
      <w:bookmarkStart w:id="72" w:name="_Toc184310305"/>
      <w:bookmarkEnd w:id="72"/>
      <w:bookmarkStart w:id="73" w:name="_Toc184313246"/>
      <w:bookmarkEnd w:id="73"/>
      <w:bookmarkStart w:id="74" w:name="_Toc184312099"/>
      <w:bookmarkEnd w:id="74"/>
      <w:bookmarkStart w:id="75" w:name="_Toc184308064"/>
      <w:bookmarkEnd w:id="75"/>
      <w:bookmarkStart w:id="76" w:name="_Toc184310324"/>
      <w:bookmarkEnd w:id="76"/>
      <w:bookmarkStart w:id="77" w:name="_Toc184314479"/>
      <w:bookmarkEnd w:id="77"/>
      <w:bookmarkStart w:id="78" w:name="_Toc184314470"/>
      <w:bookmarkEnd w:id="78"/>
      <w:bookmarkStart w:id="79" w:name="_Toc184313305"/>
      <w:bookmarkEnd w:id="79"/>
      <w:bookmarkStart w:id="80" w:name="_Toc184313295"/>
      <w:bookmarkEnd w:id="80"/>
      <w:bookmarkStart w:id="81" w:name="_Toc184312131"/>
      <w:bookmarkEnd w:id="81"/>
      <w:bookmarkStart w:id="82" w:name="_Toc184310306"/>
      <w:bookmarkEnd w:id="82"/>
      <w:bookmarkStart w:id="83" w:name="_Toc184308065"/>
      <w:bookmarkEnd w:id="83"/>
      <w:bookmarkStart w:id="84" w:name="_Toc184313273"/>
      <w:bookmarkEnd w:id="84"/>
      <w:bookmarkStart w:id="85" w:name="_Toc184312097"/>
      <w:bookmarkEnd w:id="85"/>
      <w:bookmarkStart w:id="86" w:name="_Toc184312096"/>
      <w:bookmarkEnd w:id="86"/>
      <w:bookmarkStart w:id="87" w:name="_Toc184314446"/>
      <w:bookmarkEnd w:id="87"/>
      <w:bookmarkStart w:id="88" w:name="_Toc184312108"/>
      <w:bookmarkEnd w:id="88"/>
      <w:bookmarkStart w:id="89" w:name="_Toc184310341"/>
      <w:bookmarkEnd w:id="89"/>
      <w:bookmarkStart w:id="90" w:name="_Toc184308060"/>
      <w:bookmarkEnd w:id="90"/>
      <w:bookmarkStart w:id="91" w:name="_Toc184313283"/>
      <w:bookmarkEnd w:id="91"/>
      <w:bookmarkStart w:id="92" w:name="_Toc184313245"/>
      <w:bookmarkEnd w:id="92"/>
      <w:bookmarkStart w:id="93" w:name="_Toc184312090"/>
      <w:bookmarkEnd w:id="93"/>
      <w:bookmarkStart w:id="94" w:name="_Toc184312101"/>
      <w:bookmarkEnd w:id="94"/>
      <w:bookmarkStart w:id="95" w:name="_Toc184310299"/>
      <w:bookmarkEnd w:id="95"/>
      <w:bookmarkStart w:id="96" w:name="_Toc184308057"/>
      <w:bookmarkEnd w:id="96"/>
      <w:bookmarkStart w:id="97" w:name="_Toc184313247"/>
      <w:bookmarkEnd w:id="97"/>
      <w:bookmarkStart w:id="98" w:name="_Toc184313310"/>
      <w:bookmarkEnd w:id="98"/>
      <w:bookmarkStart w:id="99" w:name="_Toc184310302"/>
      <w:bookmarkEnd w:id="99"/>
      <w:bookmarkStart w:id="100" w:name="_Toc184310287"/>
      <w:bookmarkEnd w:id="100"/>
      <w:bookmarkStart w:id="101" w:name="_Toc184308104"/>
      <w:bookmarkEnd w:id="101"/>
      <w:bookmarkStart w:id="102" w:name="_Toc184314417"/>
      <w:bookmarkEnd w:id="102"/>
      <w:bookmarkStart w:id="103" w:name="_Toc184312084"/>
      <w:bookmarkEnd w:id="103"/>
      <w:bookmarkStart w:id="104" w:name="_Toc184308092"/>
      <w:bookmarkEnd w:id="104"/>
      <w:bookmarkStart w:id="105" w:name="_Toc184310289"/>
      <w:bookmarkEnd w:id="105"/>
      <w:bookmarkStart w:id="106" w:name="_Toc184308088"/>
      <w:bookmarkEnd w:id="106"/>
      <w:bookmarkStart w:id="107" w:name="_Toc184310294"/>
      <w:bookmarkEnd w:id="107"/>
      <w:bookmarkStart w:id="108" w:name="_Toc184308096"/>
      <w:bookmarkEnd w:id="108"/>
      <w:bookmarkStart w:id="109" w:name="_Toc184313300"/>
      <w:bookmarkEnd w:id="109"/>
      <w:bookmarkStart w:id="110" w:name="_Toc184310282"/>
      <w:bookmarkEnd w:id="110"/>
      <w:bookmarkStart w:id="111" w:name="_Toc184314412"/>
      <w:bookmarkEnd w:id="111"/>
      <w:bookmarkStart w:id="112" w:name="_Toc184312076"/>
      <w:bookmarkEnd w:id="112"/>
      <w:bookmarkStart w:id="113" w:name="_Toc184312112"/>
      <w:bookmarkEnd w:id="113"/>
      <w:bookmarkStart w:id="114" w:name="_Toc184313302"/>
      <w:bookmarkEnd w:id="114"/>
      <w:bookmarkStart w:id="115" w:name="_Toc184314434"/>
      <w:bookmarkEnd w:id="115"/>
      <w:bookmarkStart w:id="116" w:name="_Toc184310336"/>
      <w:bookmarkEnd w:id="116"/>
      <w:bookmarkStart w:id="117" w:name="_Toc184310343"/>
      <w:bookmarkEnd w:id="117"/>
      <w:bookmarkStart w:id="118" w:name="_Toc184312125"/>
      <w:bookmarkEnd w:id="118"/>
      <w:bookmarkStart w:id="119" w:name="_Toc184310295"/>
      <w:bookmarkEnd w:id="119"/>
      <w:bookmarkStart w:id="120" w:name="_Toc184310332"/>
      <w:bookmarkEnd w:id="120"/>
      <w:bookmarkStart w:id="121" w:name="_Toc184312102"/>
      <w:bookmarkEnd w:id="121"/>
      <w:bookmarkStart w:id="122" w:name="_Toc184312107"/>
      <w:bookmarkEnd w:id="122"/>
      <w:bookmarkStart w:id="123" w:name="_Toc184313242"/>
      <w:bookmarkEnd w:id="123"/>
      <w:bookmarkStart w:id="124" w:name="_Toc184312116"/>
      <w:bookmarkEnd w:id="124"/>
      <w:bookmarkStart w:id="125" w:name="_Toc184310291"/>
      <w:bookmarkEnd w:id="125"/>
      <w:bookmarkStart w:id="126" w:name="_Toc184314438"/>
      <w:bookmarkEnd w:id="126"/>
      <w:bookmarkStart w:id="127" w:name="_Toc184313308"/>
      <w:bookmarkEnd w:id="127"/>
      <w:bookmarkStart w:id="128" w:name="_Toc184312073"/>
      <w:bookmarkEnd w:id="128"/>
      <w:bookmarkStart w:id="129" w:name="_Toc184310331"/>
      <w:bookmarkEnd w:id="129"/>
      <w:bookmarkStart w:id="130" w:name="_Toc184312121"/>
      <w:bookmarkEnd w:id="130"/>
      <w:bookmarkStart w:id="131" w:name="_Toc184312075"/>
      <w:bookmarkEnd w:id="131"/>
      <w:bookmarkStart w:id="132" w:name="_Toc184314424"/>
      <w:bookmarkEnd w:id="132"/>
      <w:bookmarkStart w:id="133" w:name="_Toc184314482"/>
      <w:bookmarkEnd w:id="133"/>
      <w:bookmarkStart w:id="134" w:name="_Toc184308074"/>
      <w:bookmarkEnd w:id="134"/>
      <w:bookmarkStart w:id="135" w:name="_Toc184312117"/>
      <w:bookmarkEnd w:id="135"/>
      <w:bookmarkStart w:id="136" w:name="_Toc184310307"/>
      <w:bookmarkEnd w:id="136"/>
      <w:bookmarkStart w:id="137" w:name="_Toc184313287"/>
      <w:bookmarkEnd w:id="137"/>
      <w:bookmarkStart w:id="138" w:name="_Toc184314449"/>
      <w:bookmarkEnd w:id="138"/>
      <w:bookmarkStart w:id="139" w:name="_Toc184313297"/>
      <w:bookmarkEnd w:id="139"/>
      <w:bookmarkStart w:id="140" w:name="_Toc184313277"/>
      <w:bookmarkEnd w:id="140"/>
      <w:bookmarkStart w:id="141" w:name="_Toc184310327"/>
      <w:bookmarkEnd w:id="141"/>
      <w:bookmarkStart w:id="142" w:name="_Toc184314423"/>
      <w:bookmarkEnd w:id="142"/>
      <w:bookmarkStart w:id="143" w:name="_Toc184314452"/>
      <w:bookmarkEnd w:id="143"/>
      <w:bookmarkStart w:id="144" w:name="_Toc184308095"/>
      <w:bookmarkEnd w:id="144"/>
      <w:bookmarkStart w:id="145" w:name="_Toc184314426"/>
      <w:bookmarkEnd w:id="145"/>
      <w:bookmarkStart w:id="146" w:name="_Toc184312078"/>
      <w:bookmarkEnd w:id="146"/>
      <w:bookmarkStart w:id="147" w:name="_Toc184308051"/>
      <w:bookmarkEnd w:id="147"/>
      <w:bookmarkStart w:id="148" w:name="_Toc184308046"/>
      <w:bookmarkEnd w:id="148"/>
      <w:bookmarkStart w:id="149" w:name="_Toc184313261"/>
      <w:bookmarkEnd w:id="149"/>
      <w:bookmarkStart w:id="150" w:name="_Toc184313255"/>
      <w:bookmarkEnd w:id="150"/>
      <w:bookmarkStart w:id="151" w:name="_Toc184313258"/>
      <w:bookmarkEnd w:id="151"/>
      <w:bookmarkStart w:id="152" w:name="_Toc184308078"/>
      <w:bookmarkEnd w:id="152"/>
      <w:bookmarkStart w:id="153" w:name="_Toc184314443"/>
      <w:bookmarkEnd w:id="153"/>
      <w:bookmarkStart w:id="154" w:name="_Toc184314460"/>
      <w:bookmarkEnd w:id="154"/>
      <w:bookmarkStart w:id="155" w:name="_Toc184312122"/>
      <w:bookmarkEnd w:id="155"/>
      <w:bookmarkStart w:id="156" w:name="_Toc184314445"/>
      <w:bookmarkEnd w:id="156"/>
      <w:bookmarkStart w:id="157" w:name="_Toc184312074"/>
      <w:bookmarkEnd w:id="157"/>
      <w:bookmarkStart w:id="158" w:name="_Toc184310298"/>
      <w:bookmarkEnd w:id="158"/>
      <w:bookmarkStart w:id="159" w:name="_Toc184310293"/>
      <w:bookmarkEnd w:id="159"/>
      <w:bookmarkStart w:id="160" w:name="_Toc184314455"/>
      <w:bookmarkEnd w:id="160"/>
      <w:bookmarkStart w:id="161" w:name="_Toc184312095"/>
      <w:bookmarkEnd w:id="161"/>
      <w:bookmarkStart w:id="162" w:name="_Toc184312083"/>
      <w:bookmarkEnd w:id="162"/>
      <w:bookmarkStart w:id="163" w:name="_Toc184308100"/>
      <w:bookmarkEnd w:id="163"/>
      <w:bookmarkStart w:id="164" w:name="_Toc184314413"/>
      <w:bookmarkEnd w:id="164"/>
      <w:bookmarkStart w:id="165" w:name="_Toc184314454"/>
      <w:bookmarkEnd w:id="165"/>
      <w:bookmarkStart w:id="166" w:name="_Toc184312123"/>
      <w:bookmarkEnd w:id="166"/>
      <w:bookmarkStart w:id="167" w:name="_Toc184308102"/>
      <w:bookmarkEnd w:id="167"/>
      <w:bookmarkStart w:id="168" w:name="_Toc184314437"/>
      <w:bookmarkEnd w:id="168"/>
      <w:bookmarkStart w:id="169" w:name="_Toc184313281"/>
      <w:bookmarkEnd w:id="169"/>
      <w:bookmarkStart w:id="170" w:name="_Toc184314458"/>
      <w:bookmarkEnd w:id="170"/>
      <w:bookmarkStart w:id="171" w:name="_Toc184312118"/>
      <w:bookmarkEnd w:id="171"/>
      <w:bookmarkStart w:id="172" w:name="_Toc184314480"/>
      <w:bookmarkEnd w:id="172"/>
      <w:bookmarkStart w:id="173" w:name="_Toc184314429"/>
      <w:bookmarkEnd w:id="173"/>
      <w:bookmarkStart w:id="174" w:name="_Toc184310274"/>
      <w:bookmarkEnd w:id="174"/>
      <w:bookmarkStart w:id="175" w:name="_Toc184308056"/>
      <w:bookmarkEnd w:id="175"/>
      <w:bookmarkStart w:id="176" w:name="_Toc184314448"/>
      <w:bookmarkEnd w:id="176"/>
      <w:bookmarkStart w:id="177" w:name="_Toc184308098"/>
      <w:bookmarkEnd w:id="177"/>
      <w:bookmarkStart w:id="178" w:name="_Toc184312110"/>
      <w:bookmarkEnd w:id="178"/>
      <w:bookmarkStart w:id="179" w:name="_Toc184312081"/>
      <w:bookmarkEnd w:id="179"/>
      <w:bookmarkStart w:id="180" w:name="_Toc184313272"/>
      <w:bookmarkEnd w:id="180"/>
      <w:bookmarkStart w:id="181" w:name="_Toc184308048"/>
      <w:bookmarkEnd w:id="181"/>
      <w:bookmarkStart w:id="182" w:name="_Toc184312079"/>
      <w:bookmarkEnd w:id="182"/>
      <w:bookmarkStart w:id="183" w:name="_Toc184312071"/>
      <w:bookmarkEnd w:id="183"/>
      <w:bookmarkStart w:id="184" w:name="_Toc184314475"/>
      <w:bookmarkEnd w:id="184"/>
      <w:bookmarkStart w:id="185" w:name="_Toc184312128"/>
      <w:bookmarkEnd w:id="185"/>
      <w:bookmarkStart w:id="186" w:name="_Toc184312113"/>
      <w:bookmarkEnd w:id="186"/>
      <w:bookmarkStart w:id="187" w:name="_Toc184310273"/>
      <w:bookmarkEnd w:id="187"/>
      <w:bookmarkStart w:id="188" w:name="_Toc184310292"/>
      <w:bookmarkEnd w:id="188"/>
      <w:bookmarkStart w:id="189" w:name="_Toc184312085"/>
      <w:bookmarkEnd w:id="189"/>
      <w:bookmarkStart w:id="190" w:name="_Toc184308086"/>
      <w:bookmarkEnd w:id="190"/>
      <w:bookmarkStart w:id="191" w:name="_Toc184312068"/>
      <w:bookmarkEnd w:id="191"/>
      <w:bookmarkStart w:id="192" w:name="_Toc184308052"/>
      <w:bookmarkEnd w:id="192"/>
      <w:bookmarkStart w:id="193" w:name="_Toc184312106"/>
      <w:bookmarkEnd w:id="193"/>
      <w:bookmarkStart w:id="194" w:name="_Toc184310297"/>
      <w:bookmarkEnd w:id="194"/>
      <w:bookmarkStart w:id="195" w:name="_Toc184313290"/>
      <w:bookmarkEnd w:id="195"/>
      <w:bookmarkStart w:id="196" w:name="_Toc184310280"/>
      <w:bookmarkEnd w:id="196"/>
      <w:bookmarkStart w:id="197" w:name="_Toc184310290"/>
      <w:bookmarkEnd w:id="197"/>
      <w:bookmarkStart w:id="198" w:name="_Toc184308062"/>
      <w:bookmarkEnd w:id="198"/>
      <w:bookmarkStart w:id="199" w:name="_Toc184312133"/>
      <w:bookmarkEnd w:id="199"/>
      <w:bookmarkStart w:id="200" w:name="_Toc184314416"/>
      <w:bookmarkEnd w:id="200"/>
      <w:bookmarkStart w:id="201" w:name="_Toc184308107"/>
      <w:bookmarkEnd w:id="201"/>
      <w:bookmarkStart w:id="202" w:name="_Toc184313265"/>
      <w:bookmarkEnd w:id="202"/>
      <w:bookmarkStart w:id="203" w:name="_Toc184313301"/>
      <w:bookmarkEnd w:id="203"/>
      <w:bookmarkStart w:id="204" w:name="_Toc184312126"/>
      <w:bookmarkEnd w:id="204"/>
      <w:bookmarkStart w:id="205" w:name="_Toc184308038"/>
      <w:bookmarkEnd w:id="205"/>
      <w:bookmarkStart w:id="206" w:name="_Toc184313304"/>
      <w:bookmarkEnd w:id="206"/>
      <w:bookmarkStart w:id="207" w:name="_Toc184314435"/>
      <w:bookmarkEnd w:id="207"/>
      <w:bookmarkStart w:id="208" w:name="_Toc184314481"/>
      <w:bookmarkEnd w:id="208"/>
      <w:bookmarkStart w:id="209" w:name="_Toc184313280"/>
      <w:bookmarkEnd w:id="209"/>
      <w:bookmarkStart w:id="210" w:name="_Toc184314464"/>
      <w:bookmarkEnd w:id="210"/>
      <w:bookmarkStart w:id="211" w:name="_Toc184308054"/>
      <w:bookmarkEnd w:id="211"/>
      <w:bookmarkStart w:id="212" w:name="_Toc184308049"/>
      <w:bookmarkEnd w:id="212"/>
      <w:bookmarkStart w:id="213" w:name="_Toc184312124"/>
      <w:bookmarkEnd w:id="213"/>
      <w:bookmarkStart w:id="214" w:name="_Toc184314411"/>
      <w:bookmarkEnd w:id="214"/>
      <w:bookmarkStart w:id="215" w:name="_Toc184314425"/>
      <w:bookmarkEnd w:id="215"/>
      <w:bookmarkStart w:id="216" w:name="_Toc184308037"/>
      <w:bookmarkEnd w:id="216"/>
      <w:bookmarkStart w:id="217" w:name="_Toc184310286"/>
      <w:bookmarkEnd w:id="217"/>
      <w:bookmarkStart w:id="218" w:name="_Toc184310323"/>
      <w:bookmarkEnd w:id="218"/>
      <w:bookmarkStart w:id="219" w:name="_Toc184314459"/>
      <w:bookmarkEnd w:id="219"/>
      <w:bookmarkStart w:id="220" w:name="_Toc184313257"/>
      <w:bookmarkEnd w:id="220"/>
      <w:bookmarkStart w:id="221" w:name="_Toc184310313"/>
      <w:bookmarkEnd w:id="221"/>
      <w:bookmarkStart w:id="222" w:name="_Toc184314432"/>
      <w:bookmarkEnd w:id="222"/>
      <w:bookmarkStart w:id="223" w:name="_Toc184310330"/>
      <w:bookmarkEnd w:id="223"/>
      <w:bookmarkStart w:id="224" w:name="_Toc184308093"/>
      <w:bookmarkEnd w:id="224"/>
      <w:bookmarkStart w:id="225" w:name="_Toc184312100"/>
      <w:bookmarkEnd w:id="225"/>
      <w:bookmarkStart w:id="226" w:name="_Toc184308050"/>
      <w:bookmarkEnd w:id="226"/>
      <w:bookmarkStart w:id="227" w:name="_Toc184310318"/>
      <w:bookmarkEnd w:id="227"/>
      <w:bookmarkStart w:id="228" w:name="_Toc184313241"/>
      <w:bookmarkEnd w:id="228"/>
      <w:bookmarkStart w:id="229" w:name="_Toc184310326"/>
      <w:bookmarkEnd w:id="229"/>
      <w:bookmarkStart w:id="230" w:name="_Toc184308080"/>
      <w:bookmarkEnd w:id="230"/>
      <w:bookmarkStart w:id="231" w:name="_Toc184308063"/>
      <w:bookmarkEnd w:id="231"/>
      <w:bookmarkStart w:id="232" w:name="_Toc184308105"/>
      <w:bookmarkEnd w:id="232"/>
      <w:bookmarkStart w:id="233" w:name="_Toc184308079"/>
      <w:bookmarkEnd w:id="233"/>
      <w:bookmarkStart w:id="234" w:name="_Toc184310344"/>
      <w:bookmarkEnd w:id="234"/>
      <w:bookmarkStart w:id="235" w:name="_Toc184310277"/>
      <w:bookmarkEnd w:id="235"/>
      <w:bookmarkStart w:id="236" w:name="_Toc184308039"/>
      <w:bookmarkEnd w:id="236"/>
      <w:bookmarkStart w:id="237" w:name="_Toc184308072"/>
      <w:bookmarkEnd w:id="237"/>
      <w:bookmarkStart w:id="238" w:name="_Toc184310338"/>
      <w:bookmarkEnd w:id="238"/>
      <w:bookmarkStart w:id="239" w:name="_Toc184313307"/>
      <w:bookmarkEnd w:id="239"/>
      <w:bookmarkStart w:id="240" w:name="_Toc184308055"/>
      <w:bookmarkEnd w:id="240"/>
      <w:bookmarkStart w:id="241" w:name="_Toc184308097"/>
      <w:bookmarkEnd w:id="241"/>
      <w:bookmarkStart w:id="242" w:name="_Toc184313263"/>
      <w:bookmarkEnd w:id="242"/>
      <w:bookmarkStart w:id="243" w:name="_Toc184310311"/>
      <w:bookmarkEnd w:id="243"/>
      <w:bookmarkStart w:id="244" w:name="_Toc184314410"/>
      <w:bookmarkEnd w:id="244"/>
      <w:bookmarkStart w:id="245" w:name="_Toc184314473"/>
      <w:bookmarkEnd w:id="245"/>
      <w:bookmarkStart w:id="246" w:name="_Toc184313259"/>
      <w:bookmarkEnd w:id="246"/>
      <w:bookmarkStart w:id="247" w:name="_Toc184314442"/>
      <w:bookmarkEnd w:id="247"/>
      <w:bookmarkStart w:id="248" w:name="_Toc184310276"/>
      <w:bookmarkEnd w:id="248"/>
      <w:bookmarkStart w:id="249" w:name="_Toc184308099"/>
      <w:bookmarkEnd w:id="249"/>
      <w:bookmarkStart w:id="250" w:name="_Toc184314447"/>
      <w:bookmarkEnd w:id="250"/>
      <w:bookmarkStart w:id="251" w:name="_Toc184310279"/>
      <w:bookmarkEnd w:id="251"/>
      <w:bookmarkStart w:id="252" w:name="_Toc184310314"/>
      <w:bookmarkEnd w:id="252"/>
      <w:bookmarkStart w:id="253" w:name="_Toc184314468"/>
      <w:bookmarkEnd w:id="253"/>
      <w:bookmarkStart w:id="254" w:name="_Toc184310312"/>
      <w:bookmarkEnd w:id="254"/>
      <w:bookmarkStart w:id="255" w:name="_Toc184312087"/>
      <w:bookmarkEnd w:id="255"/>
      <w:bookmarkStart w:id="256" w:name="_Toc184312070"/>
      <w:bookmarkEnd w:id="256"/>
      <w:bookmarkStart w:id="257" w:name="_Toc184310300"/>
      <w:bookmarkEnd w:id="257"/>
      <w:bookmarkStart w:id="258" w:name="_Toc184310315"/>
      <w:bookmarkEnd w:id="258"/>
      <w:bookmarkStart w:id="259" w:name="_Toc184314476"/>
      <w:bookmarkEnd w:id="259"/>
      <w:bookmarkStart w:id="260" w:name="_Toc184314444"/>
      <w:bookmarkEnd w:id="260"/>
      <w:bookmarkStart w:id="261" w:name="_Toc184314451"/>
      <w:bookmarkEnd w:id="261"/>
      <w:bookmarkStart w:id="262" w:name="_Toc184314462"/>
      <w:bookmarkEnd w:id="262"/>
      <w:bookmarkStart w:id="263" w:name="_Toc184312132"/>
      <w:bookmarkEnd w:id="263"/>
      <w:bookmarkStart w:id="264" w:name="_Toc184314467"/>
      <w:bookmarkEnd w:id="264"/>
      <w:bookmarkStart w:id="265" w:name="_Toc184314453"/>
      <w:bookmarkEnd w:id="265"/>
      <w:bookmarkStart w:id="266" w:name="_Toc184310304"/>
      <w:bookmarkEnd w:id="266"/>
      <w:bookmarkStart w:id="267" w:name="_Toc184310334"/>
      <w:bookmarkEnd w:id="267"/>
      <w:bookmarkStart w:id="268" w:name="_Toc184313267"/>
      <w:bookmarkEnd w:id="268"/>
      <w:bookmarkStart w:id="269" w:name="_Toc184312072"/>
      <w:bookmarkEnd w:id="269"/>
      <w:bookmarkStart w:id="270" w:name="_Toc184312092"/>
      <w:bookmarkEnd w:id="270"/>
      <w:bookmarkStart w:id="271" w:name="_Toc184308041"/>
      <w:bookmarkEnd w:id="271"/>
      <w:bookmarkStart w:id="272" w:name="_Toc184310337"/>
      <w:bookmarkEnd w:id="272"/>
      <w:bookmarkStart w:id="273" w:name="_Toc184312103"/>
      <w:bookmarkEnd w:id="273"/>
      <w:bookmarkStart w:id="274" w:name="_Toc184314420"/>
      <w:bookmarkEnd w:id="274"/>
      <w:bookmarkStart w:id="275" w:name="_Toc184313238"/>
      <w:bookmarkEnd w:id="275"/>
      <w:bookmarkStart w:id="276" w:name="_Toc184314457"/>
      <w:bookmarkEnd w:id="276"/>
      <w:bookmarkStart w:id="277" w:name="_Toc184314466"/>
      <w:bookmarkEnd w:id="277"/>
      <w:bookmarkStart w:id="278" w:name="_Toc184314414"/>
      <w:bookmarkEnd w:id="278"/>
      <w:bookmarkStart w:id="279" w:name="_Toc184312137"/>
      <w:bookmarkEnd w:id="279"/>
      <w:bookmarkStart w:id="280" w:name="_Toc184312091"/>
      <w:bookmarkEnd w:id="280"/>
      <w:bookmarkStart w:id="281" w:name="_Toc184313289"/>
      <w:bookmarkEnd w:id="281"/>
      <w:bookmarkStart w:id="282" w:name="_Toc184314441"/>
      <w:bookmarkEnd w:id="282"/>
      <w:bookmarkStart w:id="283" w:name="_Toc184314463"/>
      <w:bookmarkEnd w:id="283"/>
      <w:bookmarkStart w:id="284" w:name="_Toc184308103"/>
      <w:bookmarkEnd w:id="284"/>
      <w:bookmarkStart w:id="285" w:name="_Toc184312138"/>
      <w:bookmarkEnd w:id="285"/>
      <w:bookmarkStart w:id="286" w:name="_Toc184314472"/>
      <w:bookmarkEnd w:id="286"/>
      <w:bookmarkStart w:id="287" w:name="_Toc184312089"/>
      <w:bookmarkEnd w:id="287"/>
      <w:bookmarkStart w:id="288" w:name="_Toc184313256"/>
      <w:bookmarkEnd w:id="288"/>
      <w:bookmarkStart w:id="289" w:name="_Toc184312086"/>
      <w:bookmarkEnd w:id="289"/>
      <w:bookmarkStart w:id="290" w:name="_Toc184310296"/>
      <w:bookmarkEnd w:id="290"/>
      <w:bookmarkStart w:id="291" w:name="_Toc184313306"/>
      <w:bookmarkEnd w:id="291"/>
      <w:bookmarkStart w:id="292" w:name="_Toc184314440"/>
      <w:bookmarkEnd w:id="292"/>
      <w:bookmarkStart w:id="293" w:name="_Toc184313292"/>
      <w:bookmarkEnd w:id="293"/>
      <w:bookmarkStart w:id="294" w:name="_Toc184313254"/>
      <w:bookmarkEnd w:id="294"/>
      <w:bookmarkStart w:id="295" w:name="_Toc184314431"/>
      <w:bookmarkEnd w:id="295"/>
      <w:bookmarkStart w:id="296" w:name="_Toc184308081"/>
      <w:bookmarkEnd w:id="296"/>
      <w:bookmarkStart w:id="297" w:name="_Toc184308068"/>
      <w:bookmarkEnd w:id="297"/>
      <w:bookmarkStart w:id="298" w:name="_Toc184313253"/>
      <w:bookmarkEnd w:id="298"/>
      <w:bookmarkStart w:id="299" w:name="_Toc184313309"/>
      <w:bookmarkEnd w:id="299"/>
      <w:bookmarkStart w:id="300" w:name="_Toc184312136"/>
      <w:bookmarkEnd w:id="300"/>
      <w:bookmarkStart w:id="301" w:name="_Toc184314478"/>
      <w:bookmarkEnd w:id="301"/>
      <w:bookmarkStart w:id="302" w:name="_Toc184313278"/>
      <w:bookmarkEnd w:id="302"/>
      <w:bookmarkStart w:id="303" w:name="_Toc184312088"/>
      <w:bookmarkEnd w:id="303"/>
      <w:bookmarkStart w:id="304" w:name="_Toc184312094"/>
      <w:bookmarkEnd w:id="304"/>
      <w:bookmarkStart w:id="305" w:name="_Toc184310317"/>
      <w:bookmarkEnd w:id="305"/>
      <w:bookmarkStart w:id="306" w:name="_Toc184314427"/>
      <w:bookmarkEnd w:id="306"/>
      <w:bookmarkStart w:id="307" w:name="_Toc184314421"/>
      <w:bookmarkEnd w:id="307"/>
      <w:bookmarkStart w:id="308" w:name="_Toc184308069"/>
      <w:bookmarkEnd w:id="308"/>
      <w:bookmarkStart w:id="309" w:name="_Toc184308067"/>
      <w:bookmarkEnd w:id="309"/>
      <w:bookmarkStart w:id="310" w:name="_Toc184308066"/>
      <w:bookmarkEnd w:id="310"/>
      <w:bookmarkStart w:id="311" w:name="_Toc184313284"/>
      <w:bookmarkEnd w:id="311"/>
      <w:bookmarkStart w:id="312" w:name="_Toc184313250"/>
      <w:bookmarkEnd w:id="312"/>
      <w:bookmarkStart w:id="313" w:name="_Toc184313270"/>
      <w:bookmarkEnd w:id="313"/>
      <w:bookmarkStart w:id="314" w:name="_Toc184313251"/>
      <w:bookmarkEnd w:id="314"/>
      <w:bookmarkStart w:id="315" w:name="_Toc184313249"/>
      <w:bookmarkEnd w:id="315"/>
      <w:bookmarkStart w:id="316" w:name="_Toc184308084"/>
      <w:bookmarkEnd w:id="316"/>
      <w:bookmarkStart w:id="317" w:name="_Toc184310342"/>
      <w:bookmarkEnd w:id="317"/>
      <w:bookmarkStart w:id="318" w:name="_Toc184314474"/>
      <w:bookmarkEnd w:id="318"/>
      <w:bookmarkStart w:id="319" w:name="_Toc184310329"/>
      <w:bookmarkEnd w:id="319"/>
      <w:bookmarkStart w:id="320" w:name="_Toc184314422"/>
      <w:bookmarkEnd w:id="320"/>
      <w:bookmarkStart w:id="321" w:name="_Toc184314461"/>
      <w:bookmarkEnd w:id="321"/>
      <w:bookmarkStart w:id="322" w:name="_Toc184310283"/>
      <w:bookmarkEnd w:id="322"/>
      <w:bookmarkStart w:id="323" w:name="_Toc184310333"/>
      <w:bookmarkEnd w:id="323"/>
      <w:bookmarkStart w:id="324" w:name="_Toc184314465"/>
      <w:bookmarkEnd w:id="324"/>
      <w:bookmarkStart w:id="325" w:name="_Toc184312067"/>
      <w:bookmarkEnd w:id="325"/>
      <w:bookmarkStart w:id="326" w:name="_Toc184312077"/>
      <w:bookmarkEnd w:id="326"/>
      <w:bookmarkStart w:id="327" w:name="_Toc184313244"/>
      <w:bookmarkEnd w:id="327"/>
      <w:bookmarkStart w:id="328" w:name="_Toc184310316"/>
      <w:bookmarkEnd w:id="328"/>
      <w:bookmarkStart w:id="329" w:name="_Toc184312104"/>
      <w:bookmarkEnd w:id="329"/>
      <w:bookmarkStart w:id="330" w:name="_Toc184313266"/>
      <w:bookmarkEnd w:id="330"/>
      <w:bookmarkStart w:id="331" w:name="_Toc184310272"/>
      <w:bookmarkEnd w:id="331"/>
      <w:bookmarkStart w:id="332" w:name="_Toc184314469"/>
      <w:bookmarkEnd w:id="332"/>
      <w:bookmarkStart w:id="333" w:name="_Toc184312069"/>
      <w:bookmarkEnd w:id="333"/>
      <w:bookmarkStart w:id="334" w:name="_Toc184308058"/>
      <w:bookmarkEnd w:id="334"/>
      <w:bookmarkStart w:id="335" w:name="_Toc184308090"/>
      <w:bookmarkEnd w:id="335"/>
      <w:bookmarkStart w:id="336" w:name="_Toc184313252"/>
      <w:bookmarkEnd w:id="336"/>
      <w:bookmarkStart w:id="337" w:name="_Toc184310301"/>
      <w:bookmarkEnd w:id="337"/>
      <w:bookmarkStart w:id="338" w:name="_Toc184313294"/>
      <w:bookmarkEnd w:id="338"/>
      <w:bookmarkStart w:id="339" w:name="_Toc184310303"/>
      <w:bookmarkEnd w:id="339"/>
      <w:bookmarkStart w:id="340" w:name="_Toc184310321"/>
      <w:bookmarkEnd w:id="340"/>
      <w:bookmarkStart w:id="341" w:name="_Toc184308070"/>
      <w:bookmarkEnd w:id="341"/>
      <w:bookmarkStart w:id="342" w:name="_Toc184313282"/>
      <w:bookmarkEnd w:id="342"/>
      <w:bookmarkStart w:id="343" w:name="_Toc184308091"/>
      <w:bookmarkEnd w:id="343"/>
      <w:bookmarkStart w:id="344" w:name="_Toc184308044"/>
      <w:bookmarkEnd w:id="344"/>
      <w:bookmarkStart w:id="345" w:name="_Toc184308082"/>
      <w:bookmarkEnd w:id="345"/>
      <w:bookmarkStart w:id="346" w:name="_Toc184312093"/>
      <w:bookmarkEnd w:id="346"/>
      <w:bookmarkStart w:id="347" w:name="_Toc184313276"/>
      <w:bookmarkEnd w:id="347"/>
      <w:bookmarkStart w:id="348" w:name="_Toc184314415"/>
      <w:bookmarkEnd w:id="348"/>
      <w:bookmarkStart w:id="349" w:name="_Toc184310278"/>
      <w:bookmarkEnd w:id="349"/>
      <w:bookmarkStart w:id="350" w:name="_Toc184312080"/>
      <w:bookmarkEnd w:id="350"/>
      <w:bookmarkStart w:id="351" w:name="_Toc184310325"/>
      <w:bookmarkEnd w:id="351"/>
      <w:bookmarkStart w:id="352" w:name="_Toc184313275"/>
      <w:bookmarkEnd w:id="352"/>
      <w:bookmarkStart w:id="353" w:name="_Toc184312082"/>
      <w:bookmarkEnd w:id="353"/>
      <w:bookmarkStart w:id="354" w:name="_Toc184308071"/>
      <w:bookmarkEnd w:id="354"/>
      <w:bookmarkStart w:id="355" w:name="_Toc184313286"/>
      <w:bookmarkEnd w:id="355"/>
      <w:bookmarkStart w:id="356" w:name="_Toc184313288"/>
      <w:bookmarkEnd w:id="356"/>
      <w:bookmarkStart w:id="357" w:name="_Toc184313271"/>
      <w:bookmarkEnd w:id="357"/>
      <w:bookmarkStart w:id="358" w:name="_Toc184310308"/>
      <w:bookmarkEnd w:id="358"/>
      <w:bookmarkStart w:id="359" w:name="_Toc184312114"/>
      <w:bookmarkEnd w:id="359"/>
      <w:bookmarkStart w:id="360" w:name="_Toc184308059"/>
      <w:bookmarkEnd w:id="360"/>
      <w:bookmarkStart w:id="361" w:name="_Toc184313274"/>
      <w:bookmarkEnd w:id="361"/>
      <w:bookmarkStart w:id="362" w:name="_Toc184313268"/>
      <w:bookmarkEnd w:id="362"/>
      <w:bookmarkStart w:id="363" w:name="_Toc184314428"/>
      <w:bookmarkEnd w:id="363"/>
      <w:bookmarkStart w:id="364" w:name="_Toc184312105"/>
      <w:bookmarkEnd w:id="364"/>
      <w:bookmarkStart w:id="365" w:name="_Toc184308089"/>
      <w:bookmarkEnd w:id="365"/>
      <w:bookmarkStart w:id="366" w:name="_Toc184310309"/>
      <w:bookmarkEnd w:id="366"/>
      <w:bookmarkStart w:id="367" w:name="_Toc184312130"/>
      <w:bookmarkEnd w:id="367"/>
      <w:bookmarkStart w:id="368" w:name="_Toc184312109"/>
      <w:bookmarkEnd w:id="368"/>
      <w:bookmarkStart w:id="369" w:name="_Toc184312129"/>
      <w:bookmarkEnd w:id="369"/>
      <w:bookmarkStart w:id="370" w:name="_Toc184308047"/>
      <w:bookmarkEnd w:id="370"/>
      <w:bookmarkStart w:id="371" w:name="_Toc184312115"/>
      <w:bookmarkEnd w:id="371"/>
      <w:bookmarkStart w:id="372" w:name="_Toc184310320"/>
      <w:bookmarkEnd w:id="372"/>
      <w:bookmarkStart w:id="373" w:name="_Toc184313299"/>
      <w:bookmarkEnd w:id="373"/>
      <w:bookmarkStart w:id="374" w:name="_Toc184308101"/>
      <w:bookmarkEnd w:id="374"/>
      <w:bookmarkStart w:id="375" w:name="_Toc184314477"/>
      <w:bookmarkEnd w:id="375"/>
      <w:bookmarkStart w:id="376" w:name="_Toc184313269"/>
      <w:bookmarkEnd w:id="376"/>
      <w:bookmarkStart w:id="377" w:name="_Toc184312134"/>
      <w:bookmarkEnd w:id="377"/>
      <w:bookmarkStart w:id="378" w:name="_Toc184310275"/>
      <w:bookmarkEnd w:id="378"/>
      <w:bookmarkStart w:id="379" w:name="_Toc184308045"/>
      <w:bookmarkEnd w:id="379"/>
      <w:bookmarkStart w:id="380" w:name="_Toc184308075"/>
      <w:bookmarkEnd w:id="380"/>
      <w:bookmarkStart w:id="381" w:name="_Toc184310339"/>
      <w:bookmarkEnd w:id="381"/>
      <w:bookmarkStart w:id="382" w:name="_Toc184308094"/>
      <w:bookmarkEnd w:id="382"/>
      <w:bookmarkStart w:id="383" w:name="_Toc184310285"/>
      <w:bookmarkEnd w:id="383"/>
      <w:bookmarkStart w:id="384" w:name="_Toc184314433"/>
      <w:bookmarkEnd w:id="384"/>
      <w:bookmarkStart w:id="385" w:name="_Toc184310322"/>
      <w:bookmarkEnd w:id="385"/>
      <w:bookmarkStart w:id="386" w:name="_Toc184314430"/>
      <w:bookmarkEnd w:id="386"/>
      <w:bookmarkStart w:id="387" w:name="_Toc184312135"/>
      <w:bookmarkEnd w:id="387"/>
      <w:bookmarkStart w:id="388" w:name="_Toc184308061"/>
      <w:bookmarkEnd w:id="388"/>
      <w:bookmarkStart w:id="389" w:name="_Toc184314418"/>
      <w:bookmarkEnd w:id="389"/>
      <w:bookmarkStart w:id="390" w:name="_Toc184313285"/>
      <w:bookmarkEnd w:id="390"/>
      <w:bookmarkStart w:id="391" w:name="_Toc184308085"/>
      <w:bookmarkEnd w:id="391"/>
      <w:bookmarkStart w:id="392" w:name="_Toc184310310"/>
      <w:bookmarkEnd w:id="392"/>
      <w:bookmarkStart w:id="393" w:name="_Toc184312127"/>
      <w:bookmarkEnd w:id="393"/>
      <w:bookmarkStart w:id="394" w:name="_Toc184313303"/>
      <w:bookmarkEnd w:id="394"/>
      <w:bookmarkStart w:id="395" w:name="_Toc184308036"/>
      <w:bookmarkEnd w:id="395"/>
      <w:bookmarkStart w:id="396" w:name="_Toc184308073"/>
      <w:bookmarkEnd w:id="396"/>
      <w:bookmarkStart w:id="397" w:name="_Toc184308106"/>
      <w:bookmarkEnd w:id="397"/>
      <w:bookmarkStart w:id="398" w:name="_Toc184314439"/>
      <w:bookmarkEnd w:id="398"/>
      <w:bookmarkStart w:id="399" w:name="_Toc184314456"/>
      <w:bookmarkEnd w:id="399"/>
      <w:bookmarkStart w:id="400" w:name="_Toc184310284"/>
      <w:bookmarkEnd w:id="400"/>
      <w:bookmarkStart w:id="401" w:name="_Toc184308076"/>
      <w:bookmarkEnd w:id="401"/>
      <w:bookmarkStart w:id="402" w:name="_Toc184313296"/>
      <w:bookmarkEnd w:id="402"/>
      <w:bookmarkStart w:id="403" w:name="_Toc184308108"/>
      <w:bookmarkEnd w:id="403"/>
      <w:bookmarkStart w:id="404" w:name="_Toc184310319"/>
      <w:bookmarkEnd w:id="404"/>
      <w:bookmarkStart w:id="405" w:name="_Toc184310335"/>
      <w:bookmarkEnd w:id="405"/>
      <w:bookmarkStart w:id="406" w:name="_Toc184312111"/>
      <w:bookmarkEnd w:id="406"/>
      <w:bookmarkStart w:id="407" w:name="_Toc184313240"/>
      <w:bookmarkEnd w:id="407"/>
      <w:bookmarkStart w:id="408" w:name="_Toc184308042"/>
      <w:bookmarkEnd w:id="408"/>
      <w:bookmarkStart w:id="409" w:name="_Toc184313298"/>
      <w:bookmarkEnd w:id="409"/>
      <w:bookmarkStart w:id="410" w:name="_Toc184314450"/>
      <w:bookmarkEnd w:id="410"/>
      <w:bookmarkStart w:id="411" w:name="_Toc184310328"/>
      <w:bookmarkEnd w:id="411"/>
      <w:bookmarkStart w:id="412" w:name="_Toc184314436"/>
      <w:bookmarkEnd w:id="412"/>
      <w:bookmarkStart w:id="413" w:name="_Toc184308083"/>
      <w:bookmarkEnd w:id="413"/>
      <w:bookmarkStart w:id="414" w:name="_Toc184310281"/>
      <w:bookmarkEnd w:id="414"/>
      <w:bookmarkStart w:id="415" w:name="_Toc184313279"/>
      <w:bookmarkEnd w:id="415"/>
      <w:bookmarkStart w:id="416" w:name="_Toc184308043"/>
      <w:bookmarkEnd w:id="416"/>
      <w:bookmarkStart w:id="417" w:name="_Toc184312139"/>
      <w:bookmarkEnd w:id="417"/>
      <w:bookmarkStart w:id="418" w:name="_Toc184308040"/>
      <w:bookmarkEnd w:id="418"/>
      <w:bookmarkStart w:id="419" w:name="_Toc184314419"/>
      <w:bookmarkEnd w:id="419"/>
      <w:bookmarkStart w:id="420" w:name="_Toc184313260"/>
      <w:bookmarkEnd w:id="420"/>
      <w:bookmarkStart w:id="421" w:name="_Toc184313248"/>
      <w:bookmarkEnd w:id="421"/>
      <w:bookmarkStart w:id="422" w:name="_Toc184313293"/>
      <w:bookmarkEnd w:id="422"/>
      <w:bookmarkStart w:id="423" w:name="_Toc184310288"/>
      <w:bookmarkEnd w:id="423"/>
      <w:bookmarkStart w:id="424" w:name="_Toc184312119"/>
      <w:bookmarkEnd w:id="424"/>
      <w:bookmarkStart w:id="425" w:name="_Toc184313262"/>
      <w:bookmarkEnd w:id="425"/>
      <w:bookmarkStart w:id="426" w:name="_Toc184308087"/>
      <w:bookmarkEnd w:id="426"/>
      <w:bookmarkStart w:id="427" w:name="_Toc184313239"/>
      <w:bookmarkEnd w:id="427"/>
      <w:bookmarkStart w:id="428" w:name="_Toc184308053"/>
      <w:bookmarkEnd w:id="428"/>
      <w:r>
        <w:rPr>
          <w:rFonts w:hint="eastAsia" w:ascii="仿宋" w:hAnsi="仿宋" w:eastAsia="仿宋" w:cs="仿宋"/>
          <w:b/>
          <w:color w:val="auto"/>
          <w:sz w:val="36"/>
          <w:szCs w:val="36"/>
          <w:highlight w:val="none"/>
        </w:rPr>
        <w:t>评标方法及评分标准</w:t>
      </w:r>
    </w:p>
    <w:p w14:paraId="0C0BC6FC">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DB225AB">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12427B84">
      <w:pPr>
        <w:snapToGrid w:val="0"/>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二、评标委员会的组成</w:t>
      </w:r>
    </w:p>
    <w:p w14:paraId="08D63B9B">
      <w:pPr>
        <w:snapToGrid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2.评标委员会的组成。</w:t>
      </w:r>
      <w:r>
        <w:rPr>
          <w:rFonts w:hint="eastAsia" w:ascii="仿宋" w:hAnsi="仿宋" w:eastAsia="仿宋" w:cs="仿宋"/>
          <w:color w:val="auto"/>
          <w:kern w:val="0"/>
          <w:sz w:val="24"/>
          <w:highlight w:val="none"/>
        </w:rPr>
        <w:t>评标委员会由采购人代表和评审专家组成，成员人数为</w:t>
      </w: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u w:val="none"/>
        </w:rPr>
        <w:t>人</w:t>
      </w:r>
      <w:r>
        <w:rPr>
          <w:rFonts w:hint="eastAsia" w:ascii="仿宋" w:hAnsi="仿宋" w:eastAsia="仿宋" w:cs="仿宋"/>
          <w:color w:val="auto"/>
          <w:kern w:val="0"/>
          <w:sz w:val="24"/>
          <w:highlight w:val="none"/>
        </w:rPr>
        <w:t>以上单数，其中评审专家不少于成员总数的三分之二。</w:t>
      </w:r>
    </w:p>
    <w:p w14:paraId="6590BF74">
      <w:pPr>
        <w:spacing w:line="360" w:lineRule="auto"/>
        <w:ind w:firstLine="482" w:firstLineChars="200"/>
        <w:rPr>
          <w:rFonts w:hint="eastAsia" w:ascii="仿宋" w:hAnsi="仿宋" w:eastAsia="仿宋" w:cs="仿宋"/>
          <w:color w:val="auto"/>
          <w:kern w:val="0"/>
          <w:sz w:val="24"/>
          <w:szCs w:val="20"/>
          <w:highlight w:val="none"/>
        </w:rPr>
      </w:pPr>
      <w:r>
        <w:rPr>
          <w:rFonts w:hint="eastAsia" w:ascii="仿宋" w:hAnsi="仿宋" w:eastAsia="仿宋" w:cs="仿宋"/>
          <w:b/>
          <w:color w:val="auto"/>
          <w:kern w:val="0"/>
          <w:sz w:val="24"/>
          <w:szCs w:val="20"/>
          <w:highlight w:val="none"/>
        </w:rPr>
        <w:t>3.评</w:t>
      </w:r>
      <w:r>
        <w:rPr>
          <w:rFonts w:hint="eastAsia" w:ascii="仿宋" w:hAnsi="仿宋" w:eastAsia="仿宋" w:cs="仿宋"/>
          <w:b/>
          <w:color w:val="auto"/>
          <w:kern w:val="0"/>
          <w:sz w:val="24"/>
          <w:highlight w:val="none"/>
        </w:rPr>
        <w:t>标委员会的组成人员的回避。</w:t>
      </w:r>
      <w:r>
        <w:rPr>
          <w:rFonts w:hint="eastAsia" w:ascii="仿宋" w:hAnsi="仿宋" w:eastAsia="仿宋" w:cs="仿宋"/>
          <w:color w:val="auto"/>
          <w:kern w:val="0"/>
          <w:sz w:val="24"/>
          <w:szCs w:val="20"/>
          <w:highlight w:val="none"/>
        </w:rPr>
        <w:t>在国企采购活动中，评标委员会的组成人员与投标人有下列利害关系之一的，应当回避：</w:t>
      </w:r>
    </w:p>
    <w:p w14:paraId="35F6DB2F">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3.1参加采购活动前3年内与投标人存在劳动关系；</w:t>
      </w:r>
    </w:p>
    <w:p w14:paraId="5F7C41CB">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3.2参加采购活动前3年内担任投标人的董事、监事；</w:t>
      </w:r>
    </w:p>
    <w:p w14:paraId="0B64987A">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3.3参加采购活动前3年内是投标人的控股股东或者实际控制人；</w:t>
      </w:r>
    </w:p>
    <w:p w14:paraId="61B41243">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3.4与投标人的法定代表人或者负责人有夫妻、直系血亲、三代以内旁系血亲或者近姻亲关系；</w:t>
      </w:r>
    </w:p>
    <w:p w14:paraId="6414E92F">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3.5与投标人有其他可能影响国企采购活动公平、公正进行的关系。</w:t>
      </w:r>
    </w:p>
    <w:p w14:paraId="42908497">
      <w:pPr>
        <w:snapToGrid w:val="0"/>
        <w:spacing w:line="360" w:lineRule="auto"/>
        <w:jc w:val="center"/>
        <w:outlineLvl w:val="1"/>
        <w:rPr>
          <w:rFonts w:hint="eastAsia" w:ascii="仿宋" w:hAnsi="仿宋" w:eastAsia="仿宋" w:cs="仿宋"/>
          <w:b/>
          <w:color w:val="auto"/>
          <w:sz w:val="32"/>
          <w:highlight w:val="none"/>
        </w:rPr>
      </w:pPr>
    </w:p>
    <w:p w14:paraId="488CF8E9">
      <w:pPr>
        <w:snapToGrid w:val="0"/>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三、评标委员会的职责</w:t>
      </w:r>
    </w:p>
    <w:p w14:paraId="15A35744">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4.评标委员会负责具体评标事务，并独立履行下列职责：</w:t>
      </w:r>
    </w:p>
    <w:p w14:paraId="19CE32C7">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4.1审查、评价投标文件是否符合招标文件的商务、技术等实质性要求；</w:t>
      </w:r>
    </w:p>
    <w:p w14:paraId="34C93D6B">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4.2要求投标人对投标文件有关事项作出澄清或者说明；</w:t>
      </w:r>
    </w:p>
    <w:p w14:paraId="125E7075">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4.3对投标文件进行比较和评价；</w:t>
      </w:r>
    </w:p>
    <w:p w14:paraId="2D63FDF2">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4.4确定中标候选人名单，以及根据采购人委托直接确定中标人；</w:t>
      </w:r>
    </w:p>
    <w:p w14:paraId="2BB93166">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4.5向采购人、采购代理机构或者有关部门报告评标中发现的违法行为；</w:t>
      </w:r>
    </w:p>
    <w:p w14:paraId="1D2CD831">
      <w:pPr>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4.6法律、法规、规章、招标文件等规定的其它事项。</w:t>
      </w:r>
    </w:p>
    <w:p w14:paraId="3E571F59">
      <w:pPr>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5.评标委员会及其成员不得有下列行为：</w:t>
      </w:r>
    </w:p>
    <w:p w14:paraId="645442EE">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5.1确定参与评标至评标结束前私自接触投标人；</w:t>
      </w:r>
    </w:p>
    <w:p w14:paraId="6C8DF9C0">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5.2接受投标人提出的与投标文件不一致的澄清或者说明（财政部87号《政府采购货物和服务招投标管理办法》第五十一条规定的情形除外）；</w:t>
      </w:r>
    </w:p>
    <w:p w14:paraId="3838E261">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5.3违反评标纪律发表倾向性意见或者征询采购人的倾向性意见；</w:t>
      </w:r>
    </w:p>
    <w:p w14:paraId="7187C481">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5.4对需要专业判断的主观评审因素协商评分；</w:t>
      </w:r>
    </w:p>
    <w:p w14:paraId="7A4D4BB2">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5.5在评标过程中擅离职守，影响评标程序正常进行的；</w:t>
      </w:r>
    </w:p>
    <w:p w14:paraId="7C241D19">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5.6记录、复制或者带走任何评标资料；</w:t>
      </w:r>
    </w:p>
    <w:p w14:paraId="4F3FA4FB">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5.7其他不遵守评标纪律的行为。</w:t>
      </w:r>
    </w:p>
    <w:p w14:paraId="2149D9BE">
      <w:pPr>
        <w:spacing w:line="360" w:lineRule="auto"/>
        <w:ind w:firstLine="480" w:firstLineChars="200"/>
        <w:jc w:val="lef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评标委员会成员有5.1-5.7行为之一的，其评审意见无效，并不得获取评审劳务报酬和报销异地评审差旅费。</w:t>
      </w:r>
    </w:p>
    <w:p w14:paraId="47627D28">
      <w:pPr>
        <w:snapToGrid w:val="0"/>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758B7DB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6.符合性审查。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评标委员会应当对符合资格的投标人的投标文件进行符合性审查，以确定其是否满足招标文件的实质性要求。符合投标无效情形的，投标无效。</w:t>
      </w:r>
    </w:p>
    <w:p w14:paraId="1302EE8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en-US" w:eastAsia="zh-CN"/>
        </w:rPr>
        <w:t>7</w:t>
      </w:r>
      <w:r>
        <w:rPr>
          <w:rFonts w:hint="eastAsia" w:ascii="仿宋" w:hAnsi="仿宋" w:eastAsia="仿宋" w:cs="仿宋"/>
          <w:b/>
          <w:color w:val="auto"/>
          <w:kern w:val="0"/>
          <w:sz w:val="24"/>
          <w:highlight w:val="none"/>
        </w:rPr>
        <w:t>. 比较与评价。</w:t>
      </w:r>
      <w:r>
        <w:rPr>
          <w:rFonts w:hint="eastAsia" w:ascii="仿宋" w:hAnsi="仿宋" w:eastAsia="仿宋" w:cs="仿宋"/>
          <w:color w:val="auto"/>
          <w:kern w:val="0"/>
          <w:sz w:val="24"/>
          <w:highlight w:val="none"/>
        </w:rPr>
        <w:t>标委员会应当按照评标标准，对符合性审查合格的投标文件进行商务和技术评估，综合比较与评价。</w:t>
      </w:r>
    </w:p>
    <w:p w14:paraId="3000D0A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en-US" w:eastAsia="zh-CN"/>
        </w:rPr>
        <w:t>8</w:t>
      </w:r>
      <w:r>
        <w:rPr>
          <w:rFonts w:hint="eastAsia" w:ascii="仿宋" w:hAnsi="仿宋" w:eastAsia="仿宋" w:cs="仿宋"/>
          <w:b/>
          <w:color w:val="auto"/>
          <w:kern w:val="0"/>
          <w:sz w:val="24"/>
          <w:highlight w:val="none"/>
        </w:rPr>
        <w:t>. 汇总（商务技术得分情况）。</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133B6EC">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en-US" w:eastAsia="zh-CN"/>
        </w:rPr>
        <w:t>9</w:t>
      </w:r>
      <w:r>
        <w:rPr>
          <w:rFonts w:hint="eastAsia" w:ascii="仿宋" w:hAnsi="仿宋" w:eastAsia="仿宋" w:cs="仿宋"/>
          <w:b/>
          <w:color w:val="auto"/>
          <w:kern w:val="0"/>
          <w:sz w:val="24"/>
          <w:highlight w:val="none"/>
        </w:rPr>
        <w:t>. 报价审核。</w:t>
      </w:r>
      <w:r>
        <w:rPr>
          <w:rFonts w:hint="eastAsia" w:ascii="仿宋" w:hAnsi="仿宋" w:eastAsia="仿宋" w:cs="仿宋"/>
          <w:color w:val="auto"/>
          <w:kern w:val="0"/>
          <w:sz w:val="24"/>
          <w:highlight w:val="none"/>
        </w:rPr>
        <w:t>对经商务和技术评审符合采购需求的投标人的报价的合理性、准确性等进行审查核实。</w:t>
      </w:r>
    </w:p>
    <w:p w14:paraId="45B7F94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1评标委员会认为投标人的报价明显低于其他通过符合性审查投标人的报价，有可能影响产品质量或者不能诚信履约的，应当要求其在规定的时间内提供书面说明，必要时提交相关证明材料；投标人不能证明其报价合理性的，评标委员会应当将其作为无效投标处理。</w:t>
      </w:r>
    </w:p>
    <w:p w14:paraId="5D40A463">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投标文件出现不是唯一的、有选择性投标报价的，投标无效。</w:t>
      </w:r>
    </w:p>
    <w:p w14:paraId="357B90EC">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投标报价超过招标文件中规定的预算金额或者最高限价的，投标无效。</w:t>
      </w:r>
    </w:p>
    <w:p w14:paraId="49E5F3DF">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lang w:eastAsia="zh-CN"/>
        </w:rPr>
        <w:t>乐</w:t>
      </w:r>
      <w:r>
        <w:rPr>
          <w:rFonts w:hint="eastAsia" w:ascii="仿宋" w:hAnsi="仿宋" w:eastAsia="仿宋" w:cs="仿宋"/>
          <w:color w:val="auto"/>
          <w:kern w:val="0"/>
          <w:szCs w:val="24"/>
          <w:highlight w:val="none"/>
        </w:rPr>
        <w:t>采云投标客户端开标一览表内容与投标文件开标一览表(报价表)相应内容不一致的，以投标文件开标一览表(报价表)为准。</w:t>
      </w:r>
    </w:p>
    <w:p w14:paraId="3906BDA0">
      <w:pPr>
        <w:pStyle w:val="22"/>
        <w:spacing w:before="0"/>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 w:val="24"/>
          <w:highlight w:val="none"/>
        </w:rPr>
        <w:t>的修正原则。投标文件报价出现前后不一致的，按照下列规定修正：</w:t>
      </w:r>
    </w:p>
    <w:p w14:paraId="70B98A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.1投标文件中开标一览表(报价表)内容与投标文件中相应内容不一致的，以开标一览表(报价表)为准;</w:t>
      </w:r>
    </w:p>
    <w:p w14:paraId="611AC47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.2大写金额和小写金额不一致的，以大写金额为准;</w:t>
      </w:r>
    </w:p>
    <w:p w14:paraId="12B029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.3单价金额小数点或者百分比有明显错位的，以开标一览表的总价为准，并修改单价;</w:t>
      </w:r>
    </w:p>
    <w:p w14:paraId="186A2F38">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.4总价金额与按单价汇总金额不一致的，以单价金额计算结果为准</w:t>
      </w:r>
      <w:r>
        <w:rPr>
          <w:rFonts w:hint="eastAsia" w:ascii="仿宋" w:hAnsi="仿宋" w:eastAsia="仿宋" w:cs="仿宋"/>
          <w:color w:val="auto"/>
          <w:kern w:val="0"/>
          <w:sz w:val="24"/>
          <w:highlight w:val="none"/>
          <w:lang w:eastAsia="zh-CN"/>
        </w:rPr>
        <w:t>；</w:t>
      </w:r>
    </w:p>
    <w:p w14:paraId="4BBF98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9.5.5</w:t>
      </w:r>
      <w:r>
        <w:rPr>
          <w:rFonts w:hint="eastAsia" w:ascii="仿宋" w:hAnsi="仿宋" w:eastAsia="仿宋" w:cs="仿宋"/>
          <w:color w:val="auto"/>
          <w:kern w:val="0"/>
          <w:sz w:val="24"/>
          <w:highlight w:val="none"/>
        </w:rPr>
        <w:t>同时出现两种以上不一致的，按照前款规定的顺序修正。修正后的报价按照财政部第87号令 《政府采购货物和服务招标投标管理办法》第五十一条第二款的规定经投标人确认后产生约束力。</w:t>
      </w:r>
    </w:p>
    <w:p w14:paraId="335C7B6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投标人对根据修正原则修正后的报价不确认的，投标无效。</w:t>
      </w:r>
    </w:p>
    <w:p w14:paraId="435A7CB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en-US" w:eastAsia="zh-CN"/>
        </w:rPr>
        <w:t>0</w:t>
      </w:r>
      <w:r>
        <w:rPr>
          <w:rFonts w:hint="eastAsia" w:ascii="仿宋" w:hAnsi="仿宋" w:eastAsia="仿宋" w:cs="仿宋"/>
          <w:b/>
          <w:color w:val="auto"/>
          <w:kern w:val="0"/>
          <w:sz w:val="24"/>
          <w:highlight w:val="none"/>
        </w:rPr>
        <w:t>.汇总得分。</w:t>
      </w:r>
      <w:r>
        <w:rPr>
          <w:rFonts w:hint="eastAsia" w:ascii="仿宋" w:hAnsi="仿宋" w:eastAsia="仿宋" w:cs="仿宋"/>
          <w:color w:val="auto"/>
          <w:kern w:val="0"/>
          <w:sz w:val="24"/>
          <w:highlight w:val="none"/>
        </w:rPr>
        <w:t>评标委员会各成员应当独立对每个投标人的投标文件进行评价，并汇总每个投标人的得分。</w:t>
      </w:r>
    </w:p>
    <w:p w14:paraId="4CE17BB4">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en-US" w:eastAsia="zh-CN"/>
        </w:rPr>
        <w:t>1</w:t>
      </w:r>
      <w:r>
        <w:rPr>
          <w:rFonts w:hint="eastAsia" w:ascii="仿宋" w:hAnsi="仿宋" w:eastAsia="仿宋" w:cs="仿宋"/>
          <w:b/>
          <w:color w:val="auto"/>
          <w:kern w:val="0"/>
          <w:sz w:val="24"/>
          <w:highlight w:val="none"/>
        </w:rPr>
        <w:t>.中标候选人推荐。</w:t>
      </w:r>
    </w:p>
    <w:p w14:paraId="15F747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.1评审后总得分最高者为第一中标候选人，总得分相同的，以报价低者为第一中标候选人，总得分与报价均相同的，由采购人当场随机抽取产生第一中标候选人。</w:t>
      </w:r>
    </w:p>
    <w:p w14:paraId="72798870">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候选人推荐资格；评审得分相同的报价低者获得中标候选人推荐资格，评审得分与报价均相同的采取随机抽取方式确定，其他同品牌投标人不作为中标候选人。</w:t>
      </w:r>
    </w:p>
    <w:p w14:paraId="45F3D260">
      <w:pPr>
        <w:pStyle w:val="22"/>
        <w:adjustRightInd/>
        <w:spacing w:before="0"/>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12.评标报告与推荐中标候选人。</w:t>
      </w:r>
      <w:r>
        <w:rPr>
          <w:rFonts w:hint="eastAsia" w:ascii="仿宋" w:hAnsi="仿宋" w:eastAsia="仿宋" w:cs="仿宋"/>
          <w:color w:val="auto"/>
          <w:szCs w:val="24"/>
          <w:highlight w:val="none"/>
        </w:rPr>
        <w:t>评标委员会根据全体评标成员签字的原始评标记录和评标结果编写评标报告，并推荐中标候选人，评审报告由评标委员会成员签字确认提交。</w:t>
      </w:r>
    </w:p>
    <w:p w14:paraId="6989F5A2">
      <w:pPr>
        <w:widowControl/>
        <w:adjustRightInd/>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13.评标争议事项处理。</w:t>
      </w:r>
      <w:r>
        <w:rPr>
          <w:rFonts w:hint="eastAsia" w:ascii="仿宋" w:hAnsi="仿宋" w:eastAsia="仿宋" w:cs="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D01BD6B">
      <w:pPr>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五、评标中的其他事项</w:t>
      </w:r>
    </w:p>
    <w:p w14:paraId="7D7AB4B5">
      <w:pPr>
        <w:widowControl/>
        <w:adjustRightInd/>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14.投标人澄清、说明或者补正</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对于投标文件中含义不明确、同类问题表述不一致或者有明显文字和计算错误的内容，评标委员会可以书面形式要求投标人通过</w:t>
      </w:r>
      <w:r>
        <w:rPr>
          <w:rFonts w:hint="eastAsia" w:ascii="仿宋" w:hAnsi="仿宋" w:eastAsia="仿宋" w:cs="仿宋"/>
          <w:color w:val="auto"/>
          <w:kern w:val="0"/>
          <w:sz w:val="24"/>
          <w:highlight w:val="none"/>
          <w:lang w:eastAsia="zh-CN"/>
        </w:rPr>
        <w:t>乐</w:t>
      </w:r>
      <w:r>
        <w:rPr>
          <w:rFonts w:hint="eastAsia" w:ascii="仿宋" w:hAnsi="仿宋" w:eastAsia="仿宋" w:cs="仿宋"/>
          <w:color w:val="auto"/>
          <w:kern w:val="0"/>
          <w:sz w:val="24"/>
          <w:highlight w:val="none"/>
        </w:rPr>
        <w:t>采云平台以书面形式作出必要的澄清、说明或者补正，投标人应在30分钟内提交澄清说明或补正，逾期不提交的视为放弃澄清、说明或补正的权利。投标人的澄清、说明或者补正不得超出投标文件的范围或者改变投标文件的实质性内容。</w:t>
      </w:r>
    </w:p>
    <w:p w14:paraId="4BDFA27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pacing w:val="20"/>
          <w:sz w:val="24"/>
          <w:highlight w:val="none"/>
          <w:lang w:val="en-US" w:eastAsia="zh-CN"/>
        </w:rPr>
        <w:t>5</w:t>
      </w:r>
      <w:r>
        <w:rPr>
          <w:rFonts w:hint="eastAsia" w:ascii="仿宋" w:hAnsi="仿宋" w:eastAsia="仿宋" w:cs="仿宋"/>
          <w:b/>
          <w:color w:val="auto"/>
          <w:spacing w:val="20"/>
          <w:sz w:val="24"/>
          <w:highlight w:val="none"/>
        </w:rPr>
        <w:t>.投标无效。</w:t>
      </w:r>
      <w:r>
        <w:rPr>
          <w:rFonts w:hint="eastAsia" w:ascii="仿宋" w:hAnsi="仿宋" w:eastAsia="仿宋" w:cs="仿宋"/>
          <w:color w:val="auto"/>
          <w:sz w:val="24"/>
          <w:highlight w:val="none"/>
        </w:rPr>
        <w:t>有下列情况之一的，投标无效：</w:t>
      </w:r>
    </w:p>
    <w:p w14:paraId="668FEA9F">
      <w:pPr>
        <w:widowControl/>
        <w:adjustRightIn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.1单位负责人为同一人或者存在直接控股、管理关系的不同投标人参加同一合同项下的国企采购活动的（均无效）；</w:t>
      </w:r>
    </w:p>
    <w:p w14:paraId="2C328EAE">
      <w:pPr>
        <w:widowControl/>
        <w:adjustRightIn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.2为采购项目提供整体设计、规范编制或者项目管理、监理、检测等服务的投标人再参加该采购项目的其他采购活动的；</w:t>
      </w:r>
    </w:p>
    <w:p w14:paraId="62BC0468">
      <w:pPr>
        <w:widowControl/>
        <w:adjustRightInd/>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.3投标人不具备招标文件中规定的资格要求的（投标人未提供有效的资格证明文件的，视为投标人不具备招标文件中规定的资格要求）；</w:t>
      </w:r>
    </w:p>
    <w:p w14:paraId="65C75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.4投标文件“资格文件”和“商务技术文件”部分中出现用于价格分评审的投标报价的（招标文件另有规定的参与“商务技术文件”评审的报价除外）；</w:t>
      </w:r>
    </w:p>
    <w:p w14:paraId="254166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.5投标文件未按招标文件规定的格式填写，或对招标服务或对技术或产品等要求未详细应答或应答内容不全、有缺失的，经评标委员会认定为无法评审的；</w:t>
      </w:r>
    </w:p>
    <w:p w14:paraId="37B684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.6投标文件关键信息填写不完整或字迹不能辨认或有漏项的，经评标委员会认定属于重大偏差的；</w:t>
      </w:r>
    </w:p>
    <w:p w14:paraId="132779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.7投标文件重要信息前后不一致，经评标委员会询标后仍然无法评审的；</w:t>
      </w:r>
    </w:p>
    <w:p w14:paraId="6315E1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.8投标文件未按照招标文件要求签署、盖章的；</w:t>
      </w:r>
    </w:p>
    <w:p w14:paraId="34F372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.9投标文件含有采购人不能接受的附加条件的；</w:t>
      </w:r>
    </w:p>
    <w:p w14:paraId="4E5E71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.10投标文件中承诺的投标有效期少于招标文件中载明的投标有效期的；</w:t>
      </w:r>
    </w:p>
    <w:p w14:paraId="419102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.11投标人所投内容不符合采购需求中实质性要求的；</w:t>
      </w:r>
    </w:p>
    <w:p w14:paraId="6C8BD6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.12投标文件出现不是唯一的、有选择性投标报价的;</w:t>
      </w:r>
    </w:p>
    <w:p w14:paraId="16474C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.13投标报价高于本项目采购预算或者最高限价的;</w:t>
      </w:r>
    </w:p>
    <w:p w14:paraId="3FF89F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.14报价明显低于其他通过符合性审查投标人的报价，有可能影响产品质量或者不能诚信履约的，未能按要求提供书面说明或者提交相关证明材料，不能证明其报价合理性的;</w:t>
      </w:r>
    </w:p>
    <w:p w14:paraId="51A3B4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w:t>
      </w:r>
      <w:r>
        <w:rPr>
          <w:rFonts w:hint="eastAsia" w:ascii="仿宋" w:hAnsi="仿宋" w:eastAsia="仿宋" w:cs="仿宋"/>
          <w:color w:val="auto"/>
          <w:sz w:val="24"/>
          <w:szCs w:val="28"/>
          <w:highlight w:val="none"/>
        </w:rPr>
        <w:t>开标一览表(报价表)</w:t>
      </w:r>
      <w:r>
        <w:rPr>
          <w:rFonts w:hint="eastAsia" w:ascii="仿宋" w:hAnsi="仿宋" w:eastAsia="仿宋" w:cs="仿宋"/>
          <w:color w:val="auto"/>
          <w:sz w:val="24"/>
          <w:highlight w:val="none"/>
        </w:rPr>
        <w:t>》填写不完整或字迹不能辨认或有漏项的，经评标委员会认定属于重大偏差的；</w:t>
      </w:r>
    </w:p>
    <w:p w14:paraId="2E684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.16投标人对根据修正原则修正后的报价不确认的；</w:t>
      </w:r>
    </w:p>
    <w:p w14:paraId="0DE1F5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.17投标人提供虚假材料投标的（包括但不限于以下情节）；</w:t>
      </w:r>
    </w:p>
    <w:p w14:paraId="111C9A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.17.1使用伪造、变造的许可证件；</w:t>
      </w:r>
    </w:p>
    <w:p w14:paraId="3E0CDD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.17.2提供虚假的财务状况或者业绩；</w:t>
      </w:r>
    </w:p>
    <w:p w14:paraId="157B0D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.17.3提供虚假的项目负责人或者主要技术人员简历、劳动关系证明；</w:t>
      </w:r>
    </w:p>
    <w:p w14:paraId="36D34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.17.4提供虚假的信用状况；</w:t>
      </w:r>
    </w:p>
    <w:p w14:paraId="0AA008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.17.5其他弄虚作假的行为。</w:t>
      </w:r>
    </w:p>
    <w:p w14:paraId="3FB633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.18投标人有恶意串通、妨碍其他投标人的竞争行为、损害采购人或者其他投标人的合法权益情形的；有下列情形之一的，属于或视为恶意串通，其投标无效：</w:t>
      </w:r>
    </w:p>
    <w:p w14:paraId="452AA5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.18.1投标人直接或者间接从采购人或者采购代理机构处获得其他投标人的相关情况并修改其投标文件或者响应文件；</w:t>
      </w:r>
    </w:p>
    <w:p w14:paraId="077036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.18.2投标人按照采购人或者采购代理机构的授意撤换、修改投标文件或者响应文件；</w:t>
      </w:r>
    </w:p>
    <w:p w14:paraId="73D219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.18.3投标人之间协商报价、技术方案等投标文件或者响应文件的实质性内容；</w:t>
      </w:r>
    </w:p>
    <w:p w14:paraId="2975D5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.18.4属于同一集团、协会、商会等组织成员的投标人按照该组织要求协同参加国企采购活动；</w:t>
      </w:r>
    </w:p>
    <w:p w14:paraId="3CCE5A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.18.5投标人之间事先约定由某一特定投标人中标、成交；</w:t>
      </w:r>
    </w:p>
    <w:p w14:paraId="53CE06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.18.6投标人之间商定部分投标人放弃参加国企采购活动或者放弃中标、成交；</w:t>
      </w:r>
    </w:p>
    <w:p w14:paraId="412C3E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.18.7投标人与采购人或者采购代理机构之间、投标人相互之间，为谋求特定投标人中标、成交或者排斥其他投标人的其他串通行为。</w:t>
      </w:r>
    </w:p>
    <w:p w14:paraId="7E95AB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.18.8不同投标人的投标文件由同一单位或者个人编制；</w:t>
      </w:r>
    </w:p>
    <w:p w14:paraId="47CD47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.18.9不同投标人委托同一单位或者个人办理投标事宜；</w:t>
      </w:r>
    </w:p>
    <w:p w14:paraId="14291A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.18.10不同投标人的投标文件载明的项目管理成员或者联系人员为同一人；</w:t>
      </w:r>
    </w:p>
    <w:p w14:paraId="0777B7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.18.11不同投标人的投标文件异常一致或者投标报价呈规律性差异；</w:t>
      </w:r>
    </w:p>
    <w:p w14:paraId="4932B0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.18.12不同投标人的投标文件相互混装；</w:t>
      </w:r>
    </w:p>
    <w:p w14:paraId="5A026D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.19违反法律、法律及本招标文件规定的其它无效投标情形。 </w:t>
      </w:r>
    </w:p>
    <w:p w14:paraId="3FF02343">
      <w:pPr>
        <w:pStyle w:val="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highlight w:val="none"/>
        </w:rPr>
        <w:t>1</w:t>
      </w:r>
      <w:r>
        <w:rPr>
          <w:rFonts w:hint="eastAsia" w:ascii="仿宋" w:hAnsi="仿宋" w:eastAsia="仿宋" w:cs="仿宋"/>
          <w:b/>
          <w:color w:val="auto"/>
          <w:highlight w:val="none"/>
          <w:lang w:eastAsia="zh-CN"/>
        </w:rPr>
        <w:t>6</w:t>
      </w:r>
      <w:r>
        <w:rPr>
          <w:rFonts w:hint="eastAsia" w:ascii="仿宋" w:hAnsi="仿宋" w:eastAsia="仿宋" w:cs="仿宋"/>
          <w:b/>
          <w:color w:val="auto"/>
          <w:highlight w:val="none"/>
        </w:rPr>
        <w:t>.废标。</w:t>
      </w:r>
      <w:r>
        <w:rPr>
          <w:rFonts w:hint="eastAsia" w:ascii="仿宋" w:hAnsi="仿宋" w:eastAsia="仿宋" w:cs="仿宋"/>
          <w:color w:val="auto"/>
          <w:highlight w:val="none"/>
        </w:rPr>
        <w:t>根据《中华人民共和国政府采购法》第三十六条之规定，在采购中，出现下列情形之一的，应予废标：</w:t>
      </w:r>
    </w:p>
    <w:p w14:paraId="3D10BA42">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16.1符合专业条件的供应商或者对招标文件作实质响应的供应商不足3家的；</w:t>
      </w:r>
    </w:p>
    <w:p w14:paraId="5B655CEF">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16.2出现影响采购公正的违法、违规行为的；</w:t>
      </w:r>
    </w:p>
    <w:p w14:paraId="57333141">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16.3投标人的报价均超过了采购预算，采购人不能支付的；</w:t>
      </w:r>
    </w:p>
    <w:p w14:paraId="5655E296">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16.4因重大变故，采购任务取消的。</w:t>
      </w:r>
    </w:p>
    <w:p w14:paraId="611FEF33">
      <w:pPr>
        <w:pStyle w:val="8"/>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废标后，采购代理机构应当将废标理由通知所有投标人。</w:t>
      </w:r>
    </w:p>
    <w:p w14:paraId="3C92D17A">
      <w:pPr>
        <w:pStyle w:val="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lang w:eastAsia="zh-CN"/>
        </w:rPr>
        <w:t>17</w:t>
      </w:r>
      <w:r>
        <w:rPr>
          <w:rFonts w:hint="eastAsia" w:ascii="仿宋" w:hAnsi="仿宋" w:eastAsia="仿宋" w:cs="仿宋"/>
          <w:b/>
          <w:color w:val="auto"/>
          <w:highlight w:val="none"/>
        </w:rPr>
        <w:t>.修改招标文件，重新组织采购活动。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720F49">
      <w:pPr>
        <w:pStyle w:val="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lang w:eastAsia="zh-CN"/>
        </w:rPr>
        <w:t>18</w:t>
      </w:r>
      <w:r>
        <w:rPr>
          <w:rFonts w:hint="eastAsia" w:ascii="仿宋" w:hAnsi="仿宋" w:eastAsia="仿宋" w:cs="仿宋"/>
          <w:b/>
          <w:color w:val="auto"/>
          <w:kern w:val="0"/>
          <w:highlight w:val="none"/>
        </w:rPr>
        <w:t>.重新开展采购。</w:t>
      </w:r>
      <w:r>
        <w:rPr>
          <w:rFonts w:hint="eastAsia" w:ascii="仿宋" w:hAnsi="仿宋" w:eastAsia="仿宋" w:cs="仿宋"/>
          <w:color w:val="auto"/>
          <w:highlight w:val="none"/>
        </w:rPr>
        <w:t>有中华人民共和国政府采购法第七十一条、第七十二条规定的违法行为之一，影响或者可能影响中标结果的，依照下列规定处理：</w:t>
      </w:r>
    </w:p>
    <w:p w14:paraId="007EEE36">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.1未确定中标供应商的，终止本次</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采购活动，重新开展</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采购活动。</w:t>
      </w:r>
    </w:p>
    <w:p w14:paraId="4991F795">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.2已确定中标供应商但尚未签订</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采购合同的，中标结果无效，从合格的中标候选人中另行确定中标供应商；没有合格的中标候选人的，重新开展</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采购活动。</w:t>
      </w:r>
    </w:p>
    <w:p w14:paraId="7D3144A6">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采购合同已签订但尚未履行的，撤销合同，从合格的中标候选人中另行确定中标供应商；没有合格的中标候选人的，重新开展</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采购活动。</w:t>
      </w:r>
    </w:p>
    <w:p w14:paraId="0FDB5218">
      <w:pPr>
        <w:pStyle w:val="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.4</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采购合同已经履行，给采购人、供应商造成损失的，由责任人承担赔偿责任。</w:t>
      </w:r>
    </w:p>
    <w:p w14:paraId="0C726736">
      <w:pPr>
        <w:pStyle w:val="8"/>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.5</w:t>
      </w:r>
      <w:r>
        <w:rPr>
          <w:rFonts w:hint="eastAsia" w:ascii="仿宋" w:hAnsi="仿宋" w:eastAsia="仿宋" w:cs="仿宋"/>
          <w:color w:val="auto"/>
          <w:highlight w:val="none"/>
          <w:lang w:eastAsia="zh-CN"/>
        </w:rPr>
        <w:t>国企</w:t>
      </w:r>
      <w:r>
        <w:rPr>
          <w:rFonts w:hint="eastAsia" w:ascii="仿宋" w:hAnsi="仿宋" w:eastAsia="仿宋" w:cs="仿宋"/>
          <w:color w:val="auto"/>
          <w:highlight w:val="none"/>
        </w:rPr>
        <w:t>采购当事人有其他违反中华人民共和国政府采购法或者中华人民共和国政府采购法实施条例等法律法规规定的行为，经改正后仍然影响或者可能影响中标结果或者依法被认定为中标无效的，依照</w:t>
      </w: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.4规定处理。</w:t>
      </w:r>
    </w:p>
    <w:p w14:paraId="15A546AF">
      <w:pPr>
        <w:snapToGrid w:val="0"/>
        <w:spacing w:line="360" w:lineRule="auto"/>
        <w:ind w:firstLine="480" w:firstLineChars="200"/>
        <w:rPr>
          <w:rFonts w:hint="eastAsia" w:ascii="仿宋" w:hAnsi="仿宋" w:eastAsia="仿宋" w:cs="仿宋"/>
          <w:color w:val="auto"/>
          <w:sz w:val="24"/>
          <w:highlight w:val="none"/>
        </w:rPr>
      </w:pPr>
    </w:p>
    <w:p w14:paraId="3BFF3546">
      <w:pPr>
        <w:snapToGrid w:val="0"/>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六</w:t>
      </w:r>
      <w:r>
        <w:rPr>
          <w:rFonts w:hint="eastAsia" w:ascii="仿宋" w:hAnsi="仿宋" w:eastAsia="仿宋" w:cs="仿宋"/>
          <w:b/>
          <w:color w:val="auto"/>
          <w:sz w:val="32"/>
          <w:highlight w:val="none"/>
        </w:rPr>
        <w:t>、评审过程的保密与录像</w:t>
      </w:r>
    </w:p>
    <w:p w14:paraId="7D6B9BC4">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.保密。</w:t>
      </w:r>
      <w:r>
        <w:rPr>
          <w:rFonts w:hint="eastAsia" w:ascii="仿宋" w:hAnsi="仿宋" w:eastAsia="仿宋" w:cs="仿宋"/>
          <w:color w:val="auto"/>
          <w:sz w:val="24"/>
          <w:highlight w:val="none"/>
        </w:rPr>
        <w:t>评审活动在严格保密的情况下进行。评审过程中凡是与采购响应文件评审和比较、中标成交投标人推荐等评审有关的情况，以及涉及国家秘密和商业秘密等信息，评标委员会成员、采购人和采购代理机构工作人员、相关监督人员等与评审有关的人员应当予以保密。</w:t>
      </w:r>
    </w:p>
    <w:p w14:paraId="635F1BB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473D65CB">
      <w:pPr>
        <w:snapToGrid w:val="0"/>
        <w:spacing w:line="360"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br w:type="page"/>
      </w:r>
      <w:r>
        <w:rPr>
          <w:rFonts w:hint="eastAsia" w:ascii="仿宋" w:hAnsi="仿宋" w:eastAsia="仿宋" w:cs="仿宋"/>
          <w:b/>
          <w:color w:val="auto"/>
          <w:sz w:val="32"/>
          <w:highlight w:val="none"/>
          <w:lang w:val="en-US" w:eastAsia="zh-CN"/>
        </w:rPr>
        <w:t>七、</w:t>
      </w:r>
      <w:r>
        <w:rPr>
          <w:rFonts w:hint="eastAsia" w:ascii="仿宋" w:hAnsi="仿宋" w:eastAsia="仿宋" w:cs="仿宋"/>
          <w:b/>
          <w:color w:val="auto"/>
          <w:sz w:val="32"/>
          <w:highlight w:val="none"/>
        </w:rPr>
        <w:t>具体评标标准</w:t>
      </w:r>
    </w:p>
    <w:p w14:paraId="3582CF31">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21.商务技术分（</w:t>
      </w:r>
      <w:r>
        <w:rPr>
          <w:rFonts w:hint="eastAsia" w:ascii="仿宋" w:hAnsi="仿宋" w:eastAsia="仿宋" w:cs="Arial"/>
          <w:color w:val="auto"/>
          <w:kern w:val="0"/>
          <w:sz w:val="24"/>
          <w:highlight w:val="none"/>
        </w:rPr>
        <w:t>70</w:t>
      </w:r>
      <w:r>
        <w:rPr>
          <w:rFonts w:hint="eastAsia" w:ascii="仿宋" w:hAnsi="仿宋" w:eastAsia="仿宋" w:cs="仿宋_GB2312"/>
          <w:color w:val="auto"/>
          <w:sz w:val="24"/>
          <w:highlight w:val="none"/>
        </w:rPr>
        <w:t>分）</w:t>
      </w:r>
    </w:p>
    <w:tbl>
      <w:tblPr>
        <w:tblStyle w:val="17"/>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48"/>
        <w:gridCol w:w="6144"/>
        <w:gridCol w:w="806"/>
      </w:tblGrid>
      <w:tr w14:paraId="3557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76" w:type="dxa"/>
            <w:noWrap w:val="0"/>
            <w:vAlign w:val="center"/>
          </w:tcPr>
          <w:p w14:paraId="3E1E7635">
            <w:pPr>
              <w:widowControl/>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类别</w:t>
            </w:r>
          </w:p>
        </w:tc>
        <w:tc>
          <w:tcPr>
            <w:tcW w:w="1848" w:type="dxa"/>
            <w:noWrap w:val="0"/>
            <w:vAlign w:val="center"/>
          </w:tcPr>
          <w:p w14:paraId="5E28FBD4">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项目</w:t>
            </w:r>
          </w:p>
        </w:tc>
        <w:tc>
          <w:tcPr>
            <w:tcW w:w="6144" w:type="dxa"/>
            <w:noWrap w:val="0"/>
            <w:vAlign w:val="center"/>
          </w:tcPr>
          <w:p w14:paraId="25C49796">
            <w:pPr>
              <w:spacing w:line="360" w:lineRule="auto"/>
              <w:ind w:firstLine="480" w:firstLineChars="200"/>
              <w:jc w:val="center"/>
              <w:rPr>
                <w:rFonts w:ascii="仿宋" w:hAnsi="仿宋" w:eastAsia="仿宋"/>
                <w:b/>
                <w:color w:val="auto"/>
                <w:kern w:val="0"/>
                <w:sz w:val="24"/>
                <w:highlight w:val="none"/>
              </w:rPr>
            </w:pPr>
            <w:r>
              <w:rPr>
                <w:rFonts w:hint="eastAsia" w:ascii="仿宋" w:hAnsi="仿宋" w:eastAsia="仿宋" w:cs="仿宋_GB2312"/>
                <w:color w:val="auto"/>
                <w:sz w:val="24"/>
                <w:highlight w:val="none"/>
              </w:rPr>
              <w:t>评分细则</w:t>
            </w:r>
          </w:p>
        </w:tc>
        <w:tc>
          <w:tcPr>
            <w:tcW w:w="806" w:type="dxa"/>
            <w:noWrap w:val="0"/>
            <w:vAlign w:val="center"/>
          </w:tcPr>
          <w:p w14:paraId="14885765">
            <w:pPr>
              <w:widowControl/>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分值</w:t>
            </w:r>
          </w:p>
        </w:tc>
      </w:tr>
      <w:tr w14:paraId="072C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76" w:type="dxa"/>
            <w:vMerge w:val="restart"/>
            <w:noWrap w:val="0"/>
            <w:vAlign w:val="center"/>
          </w:tcPr>
          <w:p w14:paraId="3E0A3CC8">
            <w:pPr>
              <w:adjustRightInd/>
              <w:spacing w:line="400" w:lineRule="exact"/>
              <w:jc w:val="center"/>
              <w:rPr>
                <w:rFonts w:ascii="仿宋" w:hAnsi="仿宋" w:eastAsia="仿宋"/>
                <w:color w:val="auto"/>
                <w:kern w:val="0"/>
                <w:sz w:val="24"/>
                <w:highlight w:val="none"/>
              </w:rPr>
            </w:pPr>
            <w:r>
              <w:rPr>
                <w:rFonts w:hint="eastAsia" w:ascii="仿宋" w:hAnsi="仿宋" w:eastAsia="仿宋"/>
                <w:color w:val="auto"/>
                <w:kern w:val="0"/>
                <w:sz w:val="24"/>
                <w:highlight w:val="none"/>
              </w:rPr>
              <w:t>商务</w:t>
            </w:r>
            <w:r>
              <w:rPr>
                <w:rFonts w:ascii="仿宋" w:hAnsi="仿宋" w:eastAsia="仿宋"/>
                <w:color w:val="auto"/>
                <w:kern w:val="0"/>
                <w:sz w:val="24"/>
                <w:highlight w:val="none"/>
              </w:rPr>
              <w:t>技术分</w:t>
            </w:r>
          </w:p>
          <w:p w14:paraId="09944CB9">
            <w:pPr>
              <w:adjustRightInd/>
              <w:spacing w:line="400" w:lineRule="exact"/>
              <w:jc w:val="center"/>
              <w:rPr>
                <w:rFonts w:ascii="仿宋" w:hAnsi="仿宋" w:eastAsia="仿宋"/>
                <w:b/>
                <w:color w:val="auto"/>
                <w:kern w:val="0"/>
                <w:sz w:val="24"/>
                <w:highlight w:val="none"/>
              </w:rPr>
            </w:pPr>
            <w:r>
              <w:rPr>
                <w:rFonts w:ascii="仿宋" w:hAnsi="仿宋" w:eastAsia="仿宋"/>
                <w:color w:val="auto"/>
                <w:kern w:val="0"/>
                <w:sz w:val="24"/>
                <w:highlight w:val="none"/>
              </w:rPr>
              <w:t>（</w:t>
            </w:r>
            <w:r>
              <w:rPr>
                <w:rFonts w:hint="eastAsia" w:ascii="仿宋" w:hAnsi="仿宋" w:eastAsia="仿宋"/>
                <w:color w:val="auto"/>
                <w:kern w:val="0"/>
                <w:sz w:val="24"/>
                <w:highlight w:val="none"/>
                <w:shd w:val="clear" w:color="auto" w:fill="auto"/>
              </w:rPr>
              <w:t>70</w:t>
            </w:r>
            <w:r>
              <w:rPr>
                <w:rFonts w:ascii="仿宋" w:hAnsi="仿宋" w:eastAsia="仿宋"/>
                <w:color w:val="auto"/>
                <w:kern w:val="0"/>
                <w:sz w:val="24"/>
                <w:highlight w:val="none"/>
              </w:rPr>
              <w:t>分）</w:t>
            </w:r>
          </w:p>
        </w:tc>
        <w:tc>
          <w:tcPr>
            <w:tcW w:w="1848" w:type="dxa"/>
            <w:noWrap w:val="0"/>
            <w:vAlign w:val="center"/>
          </w:tcPr>
          <w:p w14:paraId="09833526">
            <w:pPr>
              <w:jc w:val="center"/>
              <w:rPr>
                <w:rFonts w:ascii="仿宋" w:hAnsi="仿宋" w:eastAsia="仿宋"/>
                <w:color w:val="auto"/>
                <w:sz w:val="24"/>
                <w:highlight w:val="none"/>
              </w:rPr>
            </w:pPr>
            <w:r>
              <w:rPr>
                <w:rFonts w:hint="eastAsia" w:ascii="仿宋" w:hAnsi="仿宋" w:eastAsia="仿宋"/>
                <w:color w:val="auto"/>
                <w:sz w:val="24"/>
                <w:highlight w:val="none"/>
              </w:rPr>
              <w:t>企业业绩</w:t>
            </w:r>
          </w:p>
        </w:tc>
        <w:tc>
          <w:tcPr>
            <w:tcW w:w="6144" w:type="dxa"/>
            <w:noWrap w:val="0"/>
            <w:vAlign w:val="center"/>
          </w:tcPr>
          <w:p w14:paraId="4AB16AED">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0"/>
                <w:highlight w:val="none"/>
                <w:shd w:val="clear" w:color="auto" w:fill="auto"/>
              </w:rPr>
            </w:pPr>
            <w:r>
              <w:rPr>
                <w:rFonts w:hint="eastAsia" w:ascii="仿宋" w:hAnsi="仿宋" w:eastAsia="仿宋" w:cs="仿宋"/>
                <w:iCs/>
                <w:color w:val="auto"/>
                <w:sz w:val="24"/>
                <w:highlight w:val="none"/>
              </w:rPr>
              <w:t>自</w:t>
            </w:r>
            <w:r>
              <w:rPr>
                <w:rFonts w:hint="eastAsia" w:ascii="仿宋" w:hAnsi="仿宋" w:eastAsia="仿宋" w:cs="仿宋"/>
                <w:color w:val="auto"/>
                <w:kern w:val="2"/>
                <w:sz w:val="24"/>
                <w:szCs w:val="20"/>
                <w:highlight w:val="none"/>
                <w:shd w:val="clear" w:color="auto" w:fill="auto"/>
                <w:lang w:eastAsia="zh-CN"/>
              </w:rPr>
              <w:t>2020</w:t>
            </w:r>
            <w:r>
              <w:rPr>
                <w:rFonts w:hint="eastAsia" w:ascii="仿宋" w:hAnsi="仿宋" w:eastAsia="仿宋" w:cs="仿宋"/>
                <w:color w:val="auto"/>
                <w:kern w:val="2"/>
                <w:sz w:val="24"/>
                <w:szCs w:val="20"/>
                <w:highlight w:val="none"/>
                <w:shd w:val="clear" w:color="auto" w:fill="auto"/>
              </w:rPr>
              <w:t>年1月1日以来，投标人独立完成过公路涉路安全评估项目的，每个得</w:t>
            </w:r>
            <w:r>
              <w:rPr>
                <w:rFonts w:hint="eastAsia" w:ascii="仿宋" w:hAnsi="仿宋" w:eastAsia="仿宋" w:cs="仿宋"/>
                <w:color w:val="auto"/>
                <w:kern w:val="2"/>
                <w:sz w:val="24"/>
                <w:szCs w:val="20"/>
                <w:highlight w:val="none"/>
                <w:shd w:val="clear" w:color="auto" w:fill="auto"/>
                <w:lang w:val="en-US" w:eastAsia="zh-CN"/>
              </w:rPr>
              <w:t>0.5</w:t>
            </w:r>
            <w:r>
              <w:rPr>
                <w:rFonts w:hint="eastAsia" w:ascii="仿宋" w:hAnsi="仿宋" w:eastAsia="仿宋" w:cs="仿宋"/>
                <w:color w:val="auto"/>
                <w:kern w:val="2"/>
                <w:sz w:val="24"/>
                <w:szCs w:val="20"/>
                <w:highlight w:val="none"/>
                <w:shd w:val="clear" w:color="auto" w:fill="auto"/>
              </w:rPr>
              <w:t>分，最多得</w:t>
            </w:r>
            <w:r>
              <w:rPr>
                <w:rFonts w:hint="eastAsia" w:ascii="仿宋" w:hAnsi="仿宋" w:eastAsia="仿宋" w:cs="仿宋"/>
                <w:color w:val="auto"/>
                <w:kern w:val="2"/>
                <w:sz w:val="24"/>
                <w:szCs w:val="20"/>
                <w:highlight w:val="none"/>
                <w:shd w:val="clear" w:color="auto" w:fill="auto"/>
                <w:lang w:val="en-US" w:eastAsia="zh-CN"/>
              </w:rPr>
              <w:t>1</w:t>
            </w:r>
            <w:r>
              <w:rPr>
                <w:rFonts w:hint="eastAsia" w:ascii="仿宋" w:hAnsi="仿宋" w:eastAsia="仿宋" w:cs="仿宋"/>
                <w:color w:val="auto"/>
                <w:kern w:val="2"/>
                <w:sz w:val="24"/>
                <w:szCs w:val="20"/>
                <w:highlight w:val="none"/>
                <w:shd w:val="clear" w:color="auto" w:fill="auto"/>
              </w:rPr>
              <w:t>分；</w:t>
            </w:r>
          </w:p>
          <w:p w14:paraId="2ED6E85E">
            <w:pPr>
              <w:jc w:val="left"/>
              <w:rPr>
                <w:rFonts w:hint="eastAsia" w:ascii="仿宋" w:hAnsi="仿宋" w:eastAsia="仿宋" w:cs="仿宋"/>
                <w:color w:val="auto"/>
                <w:kern w:val="2"/>
                <w:sz w:val="24"/>
                <w:szCs w:val="20"/>
                <w:highlight w:val="none"/>
                <w:shd w:val="clear" w:color="auto" w:fill="auto"/>
                <w:lang w:val="en-US" w:eastAsia="zh-CN"/>
              </w:rPr>
            </w:pPr>
            <w:r>
              <w:rPr>
                <w:rFonts w:hint="eastAsia" w:ascii="仿宋" w:hAnsi="仿宋" w:eastAsia="仿宋" w:cs="仿宋"/>
                <w:iCs/>
                <w:color w:val="auto"/>
                <w:sz w:val="24"/>
                <w:highlight w:val="none"/>
              </w:rPr>
              <w:t>自</w:t>
            </w:r>
            <w:r>
              <w:rPr>
                <w:rFonts w:hint="eastAsia" w:ascii="仿宋" w:hAnsi="仿宋" w:eastAsia="仿宋" w:cs="仿宋"/>
                <w:color w:val="auto"/>
                <w:kern w:val="2"/>
                <w:sz w:val="24"/>
                <w:szCs w:val="20"/>
                <w:highlight w:val="none"/>
                <w:shd w:val="clear" w:color="auto" w:fill="auto"/>
                <w:lang w:eastAsia="zh-CN"/>
              </w:rPr>
              <w:t>2020</w:t>
            </w:r>
            <w:r>
              <w:rPr>
                <w:rFonts w:hint="eastAsia" w:ascii="仿宋" w:hAnsi="仿宋" w:eastAsia="仿宋" w:cs="仿宋"/>
                <w:color w:val="auto"/>
                <w:kern w:val="2"/>
                <w:sz w:val="24"/>
                <w:szCs w:val="20"/>
                <w:highlight w:val="none"/>
                <w:shd w:val="clear" w:color="auto" w:fill="auto"/>
              </w:rPr>
              <w:t>年1月1日以来，投标人独立完成过通航条件影响论证的，每个得</w:t>
            </w:r>
            <w:r>
              <w:rPr>
                <w:rFonts w:hint="eastAsia" w:ascii="仿宋" w:hAnsi="仿宋" w:eastAsia="仿宋" w:cs="仿宋"/>
                <w:color w:val="auto"/>
                <w:kern w:val="2"/>
                <w:sz w:val="24"/>
                <w:szCs w:val="20"/>
                <w:highlight w:val="none"/>
                <w:shd w:val="clear" w:color="auto" w:fill="auto"/>
                <w:lang w:val="en-US" w:eastAsia="zh-CN"/>
              </w:rPr>
              <w:t>0.5</w:t>
            </w:r>
            <w:r>
              <w:rPr>
                <w:rFonts w:hint="eastAsia" w:ascii="仿宋" w:hAnsi="仿宋" w:eastAsia="仿宋" w:cs="仿宋"/>
                <w:color w:val="auto"/>
                <w:kern w:val="2"/>
                <w:sz w:val="24"/>
                <w:szCs w:val="20"/>
                <w:highlight w:val="none"/>
                <w:shd w:val="clear" w:color="auto" w:fill="auto"/>
              </w:rPr>
              <w:t>分，最多得</w:t>
            </w:r>
            <w:r>
              <w:rPr>
                <w:rFonts w:hint="eastAsia" w:ascii="仿宋" w:hAnsi="仿宋" w:eastAsia="仿宋" w:cs="仿宋"/>
                <w:color w:val="auto"/>
                <w:kern w:val="2"/>
                <w:sz w:val="24"/>
                <w:szCs w:val="20"/>
                <w:highlight w:val="none"/>
                <w:shd w:val="clear" w:color="auto" w:fill="auto"/>
                <w:lang w:val="en-US" w:eastAsia="zh-CN"/>
              </w:rPr>
              <w:t>1</w:t>
            </w:r>
            <w:r>
              <w:rPr>
                <w:rFonts w:hint="eastAsia" w:ascii="仿宋" w:hAnsi="仿宋" w:eastAsia="仿宋" w:cs="仿宋"/>
                <w:color w:val="auto"/>
                <w:kern w:val="2"/>
                <w:sz w:val="24"/>
                <w:szCs w:val="20"/>
                <w:highlight w:val="none"/>
                <w:shd w:val="clear" w:color="auto" w:fill="auto"/>
              </w:rPr>
              <w:t>分</w:t>
            </w:r>
            <w:r>
              <w:rPr>
                <w:rFonts w:hint="eastAsia" w:ascii="仿宋" w:hAnsi="仿宋" w:eastAsia="仿宋" w:cs="仿宋"/>
                <w:color w:val="auto"/>
                <w:kern w:val="2"/>
                <w:sz w:val="24"/>
                <w:szCs w:val="20"/>
                <w:highlight w:val="none"/>
                <w:shd w:val="clear" w:color="auto" w:fill="auto"/>
                <w:lang w:val="en-US" w:eastAsia="zh-CN"/>
              </w:rPr>
              <w:t>。</w:t>
            </w:r>
          </w:p>
          <w:p w14:paraId="6882C03C">
            <w:pPr>
              <w:jc w:val="left"/>
              <w:rPr>
                <w:rFonts w:hint="default" w:ascii="仿宋" w:hAnsi="仿宋" w:eastAsia="仿宋" w:cs="仿宋"/>
                <w:color w:val="auto"/>
                <w:kern w:val="2"/>
                <w:sz w:val="24"/>
                <w:szCs w:val="20"/>
                <w:highlight w:val="none"/>
                <w:shd w:val="clear" w:color="auto" w:fill="auto"/>
                <w:lang w:val="en-US" w:eastAsia="zh-CN"/>
              </w:rPr>
            </w:pPr>
            <w:r>
              <w:rPr>
                <w:rFonts w:hint="eastAsia" w:ascii="仿宋" w:hAnsi="仿宋" w:eastAsia="仿宋" w:cs="仿宋"/>
                <w:color w:val="auto"/>
                <w:kern w:val="2"/>
                <w:sz w:val="24"/>
                <w:szCs w:val="20"/>
                <w:highlight w:val="none"/>
                <w:shd w:val="clear" w:color="auto" w:fill="auto"/>
                <w:lang w:val="en-US" w:eastAsia="zh-CN"/>
              </w:rPr>
              <w:t>本项最高得2分。</w:t>
            </w:r>
          </w:p>
          <w:p w14:paraId="12829CAB">
            <w:pPr>
              <w:jc w:val="left"/>
              <w:rPr>
                <w:rFonts w:hint="eastAsia" w:ascii="仿宋" w:hAnsi="仿宋" w:eastAsia="仿宋" w:cs="仿宋"/>
                <w:color w:val="auto"/>
                <w:sz w:val="24"/>
                <w:highlight w:val="none"/>
              </w:rPr>
            </w:pPr>
            <w:r>
              <w:rPr>
                <w:rFonts w:hint="eastAsia" w:ascii="仿宋" w:hAnsi="仿宋" w:eastAsia="仿宋" w:cs="仿宋"/>
                <w:b/>
                <w:bCs/>
                <w:color w:val="auto"/>
                <w:kern w:val="24"/>
                <w:sz w:val="24"/>
                <w:szCs w:val="24"/>
                <w:highlight w:val="none"/>
              </w:rPr>
              <w:t>以</w:t>
            </w:r>
            <w:r>
              <w:rPr>
                <w:rFonts w:hint="eastAsia" w:ascii="仿宋" w:hAnsi="仿宋" w:eastAsia="仿宋" w:cs="仿宋"/>
                <w:b/>
                <w:bCs/>
                <w:color w:val="auto"/>
                <w:kern w:val="24"/>
                <w:sz w:val="24"/>
                <w:szCs w:val="24"/>
                <w:highlight w:val="none"/>
                <w:lang w:val="en-US" w:eastAsia="zh-CN"/>
              </w:rPr>
              <w:t>成果报告出具时间</w:t>
            </w:r>
            <w:r>
              <w:rPr>
                <w:rFonts w:hint="eastAsia" w:ascii="仿宋" w:hAnsi="仿宋" w:eastAsia="仿宋" w:cs="仿宋"/>
                <w:b/>
                <w:bCs/>
                <w:color w:val="auto"/>
                <w:kern w:val="0"/>
                <w:sz w:val="24"/>
                <w:szCs w:val="24"/>
                <w:highlight w:val="none"/>
                <w:shd w:val="clear" w:color="auto" w:fill="auto"/>
              </w:rPr>
              <w:t>为准，提供</w:t>
            </w:r>
            <w:r>
              <w:rPr>
                <w:rFonts w:hint="eastAsia" w:ascii="仿宋" w:hAnsi="仿宋" w:eastAsia="仿宋" w:cs="仿宋"/>
                <w:b/>
                <w:bCs/>
                <w:color w:val="auto"/>
                <w:kern w:val="0"/>
                <w:sz w:val="24"/>
                <w:szCs w:val="24"/>
                <w:highlight w:val="none"/>
                <w:shd w:val="clear" w:color="auto" w:fill="auto"/>
                <w:lang w:val="en-US" w:eastAsia="zh-CN"/>
              </w:rPr>
              <w:t>相关</w:t>
            </w:r>
            <w:r>
              <w:rPr>
                <w:rFonts w:hint="eastAsia" w:ascii="仿宋" w:hAnsi="仿宋" w:eastAsia="仿宋" w:cs="仿宋"/>
                <w:b/>
                <w:bCs/>
                <w:color w:val="auto"/>
                <w:kern w:val="0"/>
                <w:sz w:val="24"/>
                <w:szCs w:val="24"/>
                <w:highlight w:val="none"/>
                <w:shd w:val="clear" w:color="auto" w:fill="auto"/>
              </w:rPr>
              <w:t>业绩合同</w:t>
            </w:r>
            <w:r>
              <w:rPr>
                <w:rFonts w:hint="eastAsia" w:ascii="仿宋" w:hAnsi="仿宋" w:eastAsia="仿宋" w:cs="仿宋"/>
                <w:b/>
                <w:bCs/>
                <w:color w:val="auto"/>
                <w:kern w:val="0"/>
                <w:sz w:val="24"/>
                <w:szCs w:val="24"/>
                <w:highlight w:val="none"/>
                <w:shd w:val="clear" w:color="auto" w:fill="auto"/>
                <w:lang w:val="en-US" w:eastAsia="zh-CN"/>
              </w:rPr>
              <w:t>和</w:t>
            </w:r>
            <w:r>
              <w:rPr>
                <w:rFonts w:hint="eastAsia" w:ascii="仿宋" w:hAnsi="仿宋" w:eastAsia="仿宋" w:cs="仿宋"/>
                <w:b/>
                <w:bCs/>
                <w:color w:val="auto"/>
                <w:kern w:val="24"/>
                <w:sz w:val="24"/>
                <w:szCs w:val="24"/>
                <w:highlight w:val="none"/>
                <w:lang w:val="en-US" w:eastAsia="zh-CN"/>
              </w:rPr>
              <w:t>成果报告扫描件并加盖投标人电子章</w:t>
            </w:r>
            <w:r>
              <w:rPr>
                <w:rFonts w:hint="eastAsia" w:ascii="仿宋" w:hAnsi="仿宋" w:eastAsia="仿宋" w:cs="仿宋"/>
                <w:b/>
                <w:bCs/>
                <w:color w:val="auto"/>
                <w:kern w:val="24"/>
                <w:sz w:val="24"/>
                <w:szCs w:val="24"/>
                <w:highlight w:val="none"/>
              </w:rPr>
              <w:t>，不提供的不得分</w:t>
            </w:r>
            <w:r>
              <w:rPr>
                <w:rFonts w:hint="eastAsia" w:ascii="仿宋" w:hAnsi="仿宋" w:eastAsia="仿宋" w:cs="仿宋"/>
                <w:b/>
                <w:bCs/>
                <w:color w:val="auto"/>
                <w:kern w:val="0"/>
                <w:sz w:val="24"/>
                <w:szCs w:val="24"/>
                <w:highlight w:val="none"/>
                <w:shd w:val="clear" w:color="auto" w:fill="auto"/>
              </w:rPr>
              <w:t>。</w:t>
            </w:r>
          </w:p>
        </w:tc>
        <w:tc>
          <w:tcPr>
            <w:tcW w:w="806" w:type="dxa"/>
            <w:noWrap w:val="0"/>
            <w:vAlign w:val="center"/>
          </w:tcPr>
          <w:p w14:paraId="1E381DB2">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2</w:t>
            </w:r>
            <w:r>
              <w:rPr>
                <w:rFonts w:hint="eastAsia" w:ascii="仿宋" w:hAnsi="仿宋" w:eastAsia="仿宋"/>
                <w:color w:val="auto"/>
                <w:kern w:val="0"/>
                <w:sz w:val="24"/>
                <w:highlight w:val="none"/>
              </w:rPr>
              <w:t>分</w:t>
            </w:r>
          </w:p>
        </w:tc>
      </w:tr>
      <w:tr w14:paraId="4ED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6" w:type="dxa"/>
            <w:vMerge w:val="continue"/>
            <w:noWrap w:val="0"/>
            <w:vAlign w:val="center"/>
          </w:tcPr>
          <w:p w14:paraId="2B375EDC">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528B9A97">
            <w:pPr>
              <w:jc w:val="center"/>
              <w:rPr>
                <w:rFonts w:ascii="仿宋" w:hAnsi="仿宋" w:eastAsia="仿宋"/>
                <w:color w:val="auto"/>
                <w:sz w:val="24"/>
                <w:highlight w:val="none"/>
              </w:rPr>
            </w:pPr>
            <w:r>
              <w:rPr>
                <w:rFonts w:hint="eastAsia" w:ascii="仿宋" w:hAnsi="仿宋" w:eastAsia="仿宋"/>
                <w:color w:val="auto"/>
                <w:sz w:val="24"/>
                <w:highlight w:val="none"/>
              </w:rPr>
              <w:t>项目负责人业绩</w:t>
            </w:r>
          </w:p>
        </w:tc>
        <w:tc>
          <w:tcPr>
            <w:tcW w:w="6144" w:type="dxa"/>
            <w:noWrap w:val="0"/>
            <w:vAlign w:val="center"/>
          </w:tcPr>
          <w:p w14:paraId="698E8FFE">
            <w:pPr>
              <w:jc w:val="left"/>
              <w:rPr>
                <w:rFonts w:hint="eastAsia" w:ascii="仿宋" w:hAnsi="仿宋" w:eastAsia="仿宋" w:cs="仿宋"/>
                <w:color w:val="auto"/>
                <w:kern w:val="2"/>
                <w:sz w:val="24"/>
                <w:szCs w:val="20"/>
                <w:highlight w:val="none"/>
                <w:shd w:val="clear" w:color="auto" w:fill="auto"/>
              </w:rPr>
            </w:pPr>
            <w:r>
              <w:rPr>
                <w:rFonts w:hint="eastAsia" w:ascii="仿宋" w:hAnsi="仿宋" w:eastAsia="仿宋" w:cs="仿宋"/>
                <w:color w:val="auto"/>
                <w:kern w:val="2"/>
                <w:sz w:val="24"/>
                <w:szCs w:val="20"/>
                <w:highlight w:val="none"/>
                <w:shd w:val="clear" w:color="auto" w:fill="auto"/>
              </w:rPr>
              <w:t>自</w:t>
            </w:r>
            <w:r>
              <w:rPr>
                <w:rFonts w:hint="eastAsia" w:ascii="仿宋" w:hAnsi="仿宋" w:eastAsia="仿宋" w:cs="仿宋"/>
                <w:color w:val="auto"/>
                <w:kern w:val="2"/>
                <w:sz w:val="24"/>
                <w:szCs w:val="20"/>
                <w:highlight w:val="none"/>
                <w:shd w:val="clear" w:color="auto" w:fill="auto"/>
                <w:lang w:eastAsia="zh-CN"/>
              </w:rPr>
              <w:t>2020</w:t>
            </w:r>
            <w:r>
              <w:rPr>
                <w:rFonts w:hint="eastAsia" w:ascii="仿宋" w:hAnsi="仿宋" w:eastAsia="仿宋" w:cs="仿宋"/>
                <w:color w:val="auto"/>
                <w:kern w:val="2"/>
                <w:sz w:val="24"/>
                <w:szCs w:val="20"/>
                <w:highlight w:val="none"/>
                <w:shd w:val="clear" w:color="auto" w:fill="auto"/>
              </w:rPr>
              <w:t>年1月1日以来，拟派项目负责人以项目负责人身份</w:t>
            </w:r>
            <w:r>
              <w:rPr>
                <w:rFonts w:hint="eastAsia" w:ascii="仿宋" w:hAnsi="仿宋" w:eastAsia="仿宋" w:cs="仿宋"/>
                <w:color w:val="auto"/>
                <w:kern w:val="2"/>
                <w:sz w:val="24"/>
                <w:szCs w:val="20"/>
                <w:highlight w:val="none"/>
                <w:shd w:val="clear" w:color="auto" w:fill="auto"/>
                <w:lang w:val="en-US" w:eastAsia="zh-CN"/>
              </w:rPr>
              <w:t>完成</w:t>
            </w:r>
            <w:r>
              <w:rPr>
                <w:rFonts w:hint="eastAsia" w:ascii="仿宋" w:hAnsi="仿宋" w:eastAsia="仿宋" w:cs="仿宋"/>
                <w:color w:val="auto"/>
                <w:kern w:val="2"/>
                <w:sz w:val="24"/>
                <w:szCs w:val="20"/>
                <w:highlight w:val="none"/>
                <w:shd w:val="clear" w:color="auto" w:fill="auto"/>
              </w:rPr>
              <w:t>过公路涉路安全评估项目或通航条件影响论证</w:t>
            </w:r>
            <w:r>
              <w:rPr>
                <w:rFonts w:hint="eastAsia" w:ascii="仿宋" w:hAnsi="仿宋" w:eastAsia="仿宋" w:cs="仿宋"/>
                <w:color w:val="auto"/>
                <w:kern w:val="2"/>
                <w:sz w:val="24"/>
                <w:szCs w:val="20"/>
                <w:highlight w:val="none"/>
                <w:shd w:val="clear" w:color="auto" w:fill="auto"/>
                <w:lang w:eastAsia="zh-CN"/>
              </w:rPr>
              <w:t>的</w:t>
            </w:r>
            <w:r>
              <w:rPr>
                <w:rFonts w:hint="eastAsia" w:ascii="仿宋" w:hAnsi="仿宋" w:eastAsia="仿宋" w:cs="仿宋"/>
                <w:color w:val="auto"/>
                <w:kern w:val="2"/>
                <w:sz w:val="24"/>
                <w:szCs w:val="20"/>
                <w:highlight w:val="none"/>
                <w:shd w:val="clear" w:color="auto" w:fill="auto"/>
              </w:rPr>
              <w:t>，每</w:t>
            </w:r>
            <w:r>
              <w:rPr>
                <w:rFonts w:hint="eastAsia" w:ascii="仿宋" w:hAnsi="仿宋" w:eastAsia="仿宋" w:cs="仿宋"/>
                <w:color w:val="auto"/>
                <w:kern w:val="2"/>
                <w:sz w:val="24"/>
                <w:szCs w:val="20"/>
                <w:highlight w:val="none"/>
                <w:shd w:val="clear" w:color="auto" w:fill="auto"/>
                <w:lang w:val="en-US" w:eastAsia="zh-CN"/>
              </w:rPr>
              <w:t>完成</w:t>
            </w:r>
            <w:r>
              <w:rPr>
                <w:rFonts w:hint="eastAsia" w:ascii="仿宋" w:hAnsi="仿宋" w:eastAsia="仿宋" w:cs="仿宋"/>
                <w:color w:val="auto"/>
                <w:kern w:val="2"/>
                <w:sz w:val="24"/>
                <w:szCs w:val="20"/>
                <w:highlight w:val="none"/>
                <w:shd w:val="clear" w:color="auto" w:fill="auto"/>
              </w:rPr>
              <w:t>过一个项目得</w:t>
            </w:r>
            <w:r>
              <w:rPr>
                <w:rFonts w:hint="eastAsia" w:ascii="仿宋" w:hAnsi="仿宋" w:eastAsia="仿宋" w:cs="仿宋"/>
                <w:color w:val="auto"/>
                <w:kern w:val="2"/>
                <w:sz w:val="24"/>
                <w:szCs w:val="20"/>
                <w:highlight w:val="none"/>
                <w:shd w:val="clear" w:color="auto" w:fill="auto"/>
                <w:lang w:val="en-US" w:eastAsia="zh-CN"/>
              </w:rPr>
              <w:t>0.5</w:t>
            </w:r>
            <w:r>
              <w:rPr>
                <w:rFonts w:hint="eastAsia" w:ascii="仿宋" w:hAnsi="仿宋" w:eastAsia="仿宋" w:cs="仿宋"/>
                <w:color w:val="auto"/>
                <w:kern w:val="2"/>
                <w:sz w:val="24"/>
                <w:szCs w:val="20"/>
                <w:highlight w:val="none"/>
                <w:shd w:val="clear" w:color="auto" w:fill="auto"/>
              </w:rPr>
              <w:t>分，最多得</w:t>
            </w:r>
            <w:r>
              <w:rPr>
                <w:rFonts w:hint="eastAsia" w:ascii="仿宋" w:hAnsi="仿宋" w:eastAsia="仿宋" w:cs="仿宋"/>
                <w:color w:val="auto"/>
                <w:kern w:val="2"/>
                <w:sz w:val="24"/>
                <w:szCs w:val="20"/>
                <w:highlight w:val="none"/>
                <w:shd w:val="clear" w:color="auto" w:fill="auto"/>
                <w:lang w:val="en-US" w:eastAsia="zh-CN"/>
              </w:rPr>
              <w:t>1</w:t>
            </w:r>
            <w:r>
              <w:rPr>
                <w:rFonts w:hint="eastAsia" w:ascii="仿宋" w:hAnsi="仿宋" w:eastAsia="仿宋" w:cs="仿宋"/>
                <w:color w:val="auto"/>
                <w:kern w:val="2"/>
                <w:sz w:val="24"/>
                <w:szCs w:val="20"/>
                <w:highlight w:val="none"/>
                <w:shd w:val="clear" w:color="auto" w:fill="auto"/>
              </w:rPr>
              <w:t>分。</w:t>
            </w:r>
          </w:p>
          <w:p w14:paraId="7785304D">
            <w:pPr>
              <w:jc w:val="left"/>
              <w:rPr>
                <w:rFonts w:hint="eastAsia" w:ascii="宋体" w:hAnsi="宋体" w:eastAsia="宋体" w:cs="宋体"/>
                <w:color w:val="auto"/>
                <w:kern w:val="0"/>
                <w:sz w:val="24"/>
                <w:szCs w:val="24"/>
                <w:highlight w:val="none"/>
                <w:shd w:val="clear" w:color="auto" w:fill="auto"/>
              </w:rPr>
            </w:pPr>
            <w:r>
              <w:rPr>
                <w:rFonts w:hint="eastAsia" w:ascii="仿宋" w:hAnsi="仿宋" w:eastAsia="仿宋" w:cs="仿宋"/>
                <w:b/>
                <w:bCs/>
                <w:color w:val="auto"/>
                <w:kern w:val="24"/>
                <w:sz w:val="24"/>
                <w:szCs w:val="24"/>
                <w:highlight w:val="none"/>
              </w:rPr>
              <w:t>以</w:t>
            </w:r>
            <w:r>
              <w:rPr>
                <w:rFonts w:hint="eastAsia" w:ascii="仿宋" w:hAnsi="仿宋" w:eastAsia="仿宋" w:cs="仿宋"/>
                <w:b/>
                <w:bCs/>
                <w:color w:val="auto"/>
                <w:kern w:val="24"/>
                <w:sz w:val="24"/>
                <w:szCs w:val="24"/>
                <w:highlight w:val="none"/>
                <w:lang w:val="en-US" w:eastAsia="zh-CN"/>
              </w:rPr>
              <w:t>成果报告出具时间</w:t>
            </w:r>
            <w:r>
              <w:rPr>
                <w:rFonts w:hint="eastAsia" w:ascii="仿宋" w:hAnsi="仿宋" w:eastAsia="仿宋" w:cs="仿宋"/>
                <w:b/>
                <w:bCs/>
                <w:color w:val="auto"/>
                <w:kern w:val="0"/>
                <w:sz w:val="24"/>
                <w:szCs w:val="24"/>
                <w:highlight w:val="none"/>
                <w:shd w:val="clear" w:color="auto" w:fill="auto"/>
              </w:rPr>
              <w:t>为准，提供</w:t>
            </w:r>
            <w:r>
              <w:rPr>
                <w:rFonts w:hint="eastAsia" w:ascii="仿宋" w:hAnsi="仿宋" w:eastAsia="仿宋" w:cs="仿宋"/>
                <w:b/>
                <w:bCs/>
                <w:color w:val="auto"/>
                <w:kern w:val="0"/>
                <w:sz w:val="24"/>
                <w:szCs w:val="24"/>
                <w:highlight w:val="none"/>
                <w:shd w:val="clear" w:color="auto" w:fill="auto"/>
                <w:lang w:val="en-US" w:eastAsia="zh-CN"/>
              </w:rPr>
              <w:t>相关</w:t>
            </w:r>
            <w:r>
              <w:rPr>
                <w:rFonts w:hint="eastAsia" w:ascii="仿宋" w:hAnsi="仿宋" w:eastAsia="仿宋" w:cs="仿宋"/>
                <w:b/>
                <w:bCs/>
                <w:color w:val="auto"/>
                <w:kern w:val="0"/>
                <w:sz w:val="24"/>
                <w:szCs w:val="24"/>
                <w:highlight w:val="none"/>
                <w:shd w:val="clear" w:color="auto" w:fill="auto"/>
              </w:rPr>
              <w:t>业绩合同</w:t>
            </w:r>
            <w:r>
              <w:rPr>
                <w:rFonts w:hint="eastAsia" w:ascii="仿宋" w:hAnsi="仿宋" w:eastAsia="仿宋" w:cs="仿宋"/>
                <w:b/>
                <w:bCs/>
                <w:color w:val="auto"/>
                <w:kern w:val="0"/>
                <w:sz w:val="24"/>
                <w:szCs w:val="24"/>
                <w:highlight w:val="none"/>
                <w:shd w:val="clear" w:color="auto" w:fill="auto"/>
                <w:lang w:val="en-US" w:eastAsia="zh-CN"/>
              </w:rPr>
              <w:t>和</w:t>
            </w:r>
            <w:r>
              <w:rPr>
                <w:rFonts w:hint="eastAsia" w:ascii="仿宋" w:hAnsi="仿宋" w:eastAsia="仿宋" w:cs="仿宋"/>
                <w:b/>
                <w:bCs/>
                <w:color w:val="auto"/>
                <w:kern w:val="24"/>
                <w:sz w:val="24"/>
                <w:szCs w:val="24"/>
                <w:highlight w:val="none"/>
                <w:lang w:val="en-US" w:eastAsia="zh-CN"/>
              </w:rPr>
              <w:t>成果报告（需体现项目负责人姓名）扫描件并加盖投标人电子章</w:t>
            </w:r>
            <w:r>
              <w:rPr>
                <w:rFonts w:hint="eastAsia" w:ascii="仿宋" w:hAnsi="仿宋" w:eastAsia="仿宋" w:cs="仿宋"/>
                <w:b/>
                <w:bCs/>
                <w:color w:val="auto"/>
                <w:kern w:val="0"/>
                <w:sz w:val="24"/>
                <w:szCs w:val="24"/>
                <w:highlight w:val="none"/>
                <w:shd w:val="clear" w:color="auto" w:fill="auto"/>
              </w:rPr>
              <w:t>，若合同</w:t>
            </w:r>
            <w:r>
              <w:rPr>
                <w:rFonts w:hint="eastAsia" w:ascii="仿宋" w:hAnsi="仿宋" w:eastAsia="仿宋" w:cs="仿宋"/>
                <w:b/>
                <w:bCs/>
                <w:color w:val="auto"/>
                <w:kern w:val="0"/>
                <w:sz w:val="24"/>
                <w:szCs w:val="24"/>
                <w:highlight w:val="none"/>
                <w:shd w:val="clear" w:color="auto" w:fill="auto"/>
                <w:lang w:val="en-US" w:eastAsia="zh-CN"/>
              </w:rPr>
              <w:t>及证明材料</w:t>
            </w:r>
            <w:r>
              <w:rPr>
                <w:rFonts w:hint="eastAsia" w:ascii="仿宋" w:hAnsi="仿宋" w:eastAsia="仿宋" w:cs="仿宋"/>
                <w:b/>
                <w:bCs/>
                <w:color w:val="auto"/>
                <w:kern w:val="0"/>
                <w:sz w:val="24"/>
                <w:szCs w:val="24"/>
                <w:highlight w:val="none"/>
                <w:shd w:val="clear" w:color="auto" w:fill="auto"/>
              </w:rPr>
              <w:t>中无法体现项目负责人身份的</w:t>
            </w:r>
            <w:r>
              <w:rPr>
                <w:rFonts w:hint="eastAsia" w:ascii="仿宋" w:hAnsi="仿宋" w:eastAsia="仿宋" w:cs="仿宋"/>
                <w:b/>
                <w:bCs/>
                <w:color w:val="auto"/>
                <w:kern w:val="0"/>
                <w:sz w:val="24"/>
                <w:szCs w:val="24"/>
                <w:highlight w:val="none"/>
                <w:shd w:val="clear" w:color="auto" w:fill="auto"/>
                <w:lang w:eastAsia="zh-CN"/>
              </w:rPr>
              <w:t>，</w:t>
            </w:r>
            <w:r>
              <w:rPr>
                <w:rFonts w:hint="eastAsia" w:ascii="仿宋" w:hAnsi="仿宋" w:eastAsia="仿宋" w:cs="仿宋"/>
                <w:b/>
                <w:bCs/>
                <w:color w:val="auto"/>
                <w:kern w:val="0"/>
                <w:sz w:val="24"/>
                <w:szCs w:val="24"/>
                <w:highlight w:val="none"/>
                <w:shd w:val="clear" w:color="auto" w:fill="auto"/>
              </w:rPr>
              <w:t>需</w:t>
            </w:r>
            <w:r>
              <w:rPr>
                <w:rFonts w:hint="eastAsia" w:ascii="仿宋" w:hAnsi="仿宋" w:eastAsia="仿宋" w:cs="仿宋"/>
                <w:b/>
                <w:bCs/>
                <w:color w:val="auto"/>
                <w:kern w:val="0"/>
                <w:sz w:val="24"/>
                <w:szCs w:val="24"/>
                <w:highlight w:val="none"/>
                <w:shd w:val="clear" w:color="auto" w:fill="auto"/>
                <w:lang w:val="en-US" w:eastAsia="zh-CN"/>
              </w:rPr>
              <w:t>单独</w:t>
            </w:r>
            <w:r>
              <w:rPr>
                <w:rFonts w:hint="eastAsia" w:ascii="仿宋" w:hAnsi="仿宋" w:eastAsia="仿宋" w:cs="仿宋"/>
                <w:b/>
                <w:bCs/>
                <w:color w:val="auto"/>
                <w:kern w:val="0"/>
                <w:sz w:val="24"/>
                <w:szCs w:val="24"/>
                <w:highlight w:val="none"/>
                <w:shd w:val="clear" w:color="auto" w:fill="auto"/>
              </w:rPr>
              <w:t>提供能体现项目负责人身份的业主证明</w:t>
            </w:r>
            <w:r>
              <w:rPr>
                <w:rFonts w:hint="eastAsia" w:ascii="仿宋" w:hAnsi="仿宋" w:eastAsia="仿宋" w:cs="仿宋"/>
                <w:b/>
                <w:bCs/>
                <w:color w:val="auto"/>
                <w:kern w:val="0"/>
                <w:sz w:val="24"/>
                <w:szCs w:val="24"/>
                <w:highlight w:val="none"/>
                <w:shd w:val="clear" w:color="auto" w:fill="auto"/>
                <w:lang w:val="en-US" w:eastAsia="zh-CN"/>
              </w:rPr>
              <w:t>材料</w:t>
            </w:r>
            <w:r>
              <w:rPr>
                <w:rFonts w:hint="eastAsia" w:ascii="仿宋" w:hAnsi="仿宋" w:eastAsia="仿宋" w:cs="仿宋"/>
                <w:b/>
                <w:bCs/>
                <w:color w:val="auto"/>
                <w:kern w:val="24"/>
                <w:sz w:val="24"/>
                <w:szCs w:val="24"/>
                <w:highlight w:val="none"/>
                <w:lang w:val="en-US" w:eastAsia="zh-CN"/>
              </w:rPr>
              <w:t>扫描件并加盖投标人电子章</w:t>
            </w:r>
            <w:r>
              <w:rPr>
                <w:rFonts w:hint="eastAsia" w:ascii="仿宋" w:hAnsi="仿宋" w:eastAsia="仿宋" w:cs="仿宋"/>
                <w:b/>
                <w:bCs/>
                <w:color w:val="auto"/>
                <w:kern w:val="0"/>
                <w:sz w:val="24"/>
                <w:szCs w:val="24"/>
                <w:highlight w:val="none"/>
                <w:shd w:val="clear" w:color="auto" w:fill="auto"/>
              </w:rPr>
              <w:t>（格式自拟，须加盖业主单位公章）</w:t>
            </w:r>
            <w:r>
              <w:rPr>
                <w:rFonts w:hint="eastAsia" w:ascii="仿宋" w:hAnsi="仿宋" w:eastAsia="仿宋" w:cs="仿宋"/>
                <w:b/>
                <w:bCs/>
                <w:color w:val="auto"/>
                <w:kern w:val="24"/>
                <w:sz w:val="24"/>
                <w:szCs w:val="24"/>
                <w:highlight w:val="none"/>
              </w:rPr>
              <w:t>，不提供的不得分</w:t>
            </w:r>
            <w:r>
              <w:rPr>
                <w:rFonts w:hint="eastAsia" w:ascii="仿宋" w:hAnsi="仿宋" w:eastAsia="仿宋" w:cs="仿宋"/>
                <w:b/>
                <w:bCs/>
                <w:color w:val="auto"/>
                <w:kern w:val="0"/>
                <w:sz w:val="24"/>
                <w:szCs w:val="24"/>
                <w:highlight w:val="none"/>
                <w:shd w:val="clear" w:color="auto" w:fill="auto"/>
              </w:rPr>
              <w:t>。</w:t>
            </w:r>
          </w:p>
        </w:tc>
        <w:tc>
          <w:tcPr>
            <w:tcW w:w="806" w:type="dxa"/>
            <w:noWrap w:val="0"/>
            <w:vAlign w:val="center"/>
          </w:tcPr>
          <w:p w14:paraId="3B23465C">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w:t>
            </w:r>
            <w:r>
              <w:rPr>
                <w:rFonts w:hint="eastAsia" w:ascii="仿宋" w:hAnsi="仿宋" w:eastAsia="仿宋"/>
                <w:color w:val="auto"/>
                <w:kern w:val="0"/>
                <w:sz w:val="24"/>
                <w:highlight w:val="none"/>
              </w:rPr>
              <w:t>分</w:t>
            </w:r>
          </w:p>
        </w:tc>
      </w:tr>
      <w:tr w14:paraId="53A0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6" w:type="dxa"/>
            <w:vMerge w:val="continue"/>
            <w:noWrap w:val="0"/>
            <w:vAlign w:val="center"/>
          </w:tcPr>
          <w:p w14:paraId="32548882">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417776BE">
            <w:pPr>
              <w:jc w:val="center"/>
              <w:rPr>
                <w:rFonts w:hint="eastAsia" w:ascii="仿宋" w:hAnsi="仿宋" w:eastAsia="仿宋"/>
                <w:color w:val="auto"/>
                <w:sz w:val="24"/>
                <w:highlight w:val="none"/>
              </w:rPr>
            </w:pPr>
            <w:r>
              <w:rPr>
                <w:rFonts w:hint="eastAsia" w:ascii="仿宋" w:hAnsi="仿宋" w:eastAsia="仿宋"/>
                <w:color w:val="auto"/>
                <w:sz w:val="24"/>
                <w:highlight w:val="none"/>
              </w:rPr>
              <w:t>项目团队人员配置</w:t>
            </w:r>
          </w:p>
        </w:tc>
        <w:tc>
          <w:tcPr>
            <w:tcW w:w="6144" w:type="dxa"/>
            <w:shd w:val="clear" w:color="auto" w:fill="auto"/>
            <w:noWrap w:val="0"/>
            <w:vAlign w:val="center"/>
          </w:tcPr>
          <w:p w14:paraId="6E98B846">
            <w:pPr>
              <w:jc w:val="left"/>
              <w:rPr>
                <w:rFonts w:hint="eastAsia" w:ascii="仿宋" w:hAnsi="仿宋" w:eastAsia="仿宋" w:cs="仿宋"/>
                <w:color w:val="auto"/>
                <w:kern w:val="2"/>
                <w:sz w:val="24"/>
                <w:szCs w:val="20"/>
                <w:highlight w:val="none"/>
                <w:shd w:val="clear" w:color="auto" w:fill="auto"/>
              </w:rPr>
            </w:pPr>
            <w:r>
              <w:rPr>
                <w:rFonts w:hint="eastAsia" w:ascii="仿宋" w:hAnsi="仿宋" w:eastAsia="仿宋" w:cs="仿宋"/>
                <w:color w:val="auto"/>
                <w:kern w:val="2"/>
                <w:sz w:val="24"/>
                <w:szCs w:val="20"/>
                <w:highlight w:val="none"/>
                <w:shd w:val="clear" w:color="auto" w:fill="auto"/>
              </w:rPr>
              <w:t>拟派项目团队人员具有公路</w:t>
            </w:r>
            <w:r>
              <w:rPr>
                <w:rFonts w:hint="eastAsia" w:ascii="仿宋" w:hAnsi="仿宋" w:eastAsia="仿宋" w:cs="仿宋"/>
                <w:color w:val="auto"/>
                <w:kern w:val="2"/>
                <w:sz w:val="24"/>
                <w:szCs w:val="20"/>
                <w:highlight w:val="none"/>
                <w:shd w:val="clear" w:color="auto" w:fill="auto"/>
                <w:lang w:val="en-US" w:eastAsia="zh-CN"/>
              </w:rPr>
              <w:t>交通</w:t>
            </w:r>
            <w:r>
              <w:rPr>
                <w:rFonts w:hint="eastAsia" w:ascii="仿宋" w:hAnsi="仿宋" w:eastAsia="仿宋" w:cs="仿宋"/>
                <w:color w:val="auto"/>
                <w:kern w:val="2"/>
                <w:sz w:val="24"/>
                <w:szCs w:val="20"/>
                <w:highlight w:val="none"/>
                <w:shd w:val="clear" w:color="auto" w:fill="auto"/>
              </w:rPr>
              <w:t>类或者港航类专业咨询工程师</w:t>
            </w:r>
            <w:r>
              <w:rPr>
                <w:rFonts w:hint="eastAsia" w:ascii="仿宋" w:hAnsi="仿宋" w:eastAsia="仿宋" w:cs="仿宋"/>
                <w:color w:val="auto"/>
                <w:kern w:val="2"/>
                <w:sz w:val="24"/>
                <w:szCs w:val="20"/>
                <w:highlight w:val="none"/>
                <w:shd w:val="clear" w:color="auto" w:fill="auto"/>
                <w:lang w:val="en-US" w:eastAsia="zh-CN"/>
              </w:rPr>
              <w:t>资格</w:t>
            </w:r>
            <w:r>
              <w:rPr>
                <w:rFonts w:hint="eastAsia" w:ascii="仿宋" w:hAnsi="仿宋" w:eastAsia="仿宋" w:cs="仿宋"/>
                <w:color w:val="auto"/>
                <w:kern w:val="2"/>
                <w:sz w:val="24"/>
                <w:szCs w:val="20"/>
                <w:highlight w:val="none"/>
                <w:shd w:val="clear" w:color="auto" w:fill="auto"/>
              </w:rPr>
              <w:t>的，每</w:t>
            </w:r>
            <w:r>
              <w:rPr>
                <w:rFonts w:hint="eastAsia" w:ascii="仿宋" w:hAnsi="仿宋" w:eastAsia="仿宋" w:cs="仿宋"/>
                <w:color w:val="auto"/>
                <w:kern w:val="2"/>
                <w:sz w:val="24"/>
                <w:szCs w:val="20"/>
                <w:highlight w:val="none"/>
                <w:shd w:val="clear" w:color="auto" w:fill="auto"/>
                <w:lang w:val="en-US" w:eastAsia="zh-CN"/>
              </w:rPr>
              <w:t>有</w:t>
            </w:r>
            <w:r>
              <w:rPr>
                <w:rFonts w:hint="eastAsia" w:ascii="仿宋" w:hAnsi="仿宋" w:eastAsia="仿宋" w:cs="仿宋"/>
                <w:color w:val="auto"/>
                <w:kern w:val="2"/>
                <w:sz w:val="24"/>
                <w:szCs w:val="20"/>
                <w:highlight w:val="none"/>
                <w:shd w:val="clear" w:color="auto" w:fill="auto"/>
              </w:rPr>
              <w:t>一个</w:t>
            </w:r>
            <w:r>
              <w:rPr>
                <w:rFonts w:hint="eastAsia" w:ascii="仿宋" w:hAnsi="仿宋" w:eastAsia="仿宋" w:cs="仿宋"/>
                <w:color w:val="auto"/>
                <w:kern w:val="2"/>
                <w:sz w:val="24"/>
                <w:szCs w:val="20"/>
                <w:highlight w:val="none"/>
                <w:shd w:val="clear" w:color="auto" w:fill="auto"/>
                <w:lang w:val="en-US" w:eastAsia="zh-CN"/>
              </w:rPr>
              <w:t>专业</w:t>
            </w:r>
            <w:r>
              <w:rPr>
                <w:rFonts w:hint="eastAsia" w:ascii="仿宋" w:hAnsi="仿宋" w:eastAsia="仿宋" w:cs="仿宋"/>
                <w:color w:val="auto"/>
                <w:kern w:val="2"/>
                <w:sz w:val="24"/>
                <w:szCs w:val="20"/>
                <w:highlight w:val="none"/>
                <w:shd w:val="clear" w:color="auto" w:fill="auto"/>
              </w:rPr>
              <w:t>得2分，最多得4分。（同一人</w:t>
            </w:r>
            <w:r>
              <w:rPr>
                <w:rFonts w:hint="eastAsia" w:ascii="仿宋" w:hAnsi="仿宋" w:eastAsia="仿宋" w:cs="仿宋"/>
                <w:color w:val="auto"/>
                <w:kern w:val="2"/>
                <w:sz w:val="24"/>
                <w:szCs w:val="20"/>
                <w:highlight w:val="none"/>
                <w:shd w:val="clear" w:color="auto" w:fill="auto"/>
                <w:lang w:val="en-US" w:eastAsia="zh-CN"/>
              </w:rPr>
              <w:t>员多专业证书</w:t>
            </w:r>
            <w:r>
              <w:rPr>
                <w:rFonts w:hint="eastAsia" w:ascii="仿宋" w:hAnsi="仿宋" w:eastAsia="仿宋" w:cs="仿宋"/>
                <w:color w:val="auto"/>
                <w:kern w:val="2"/>
                <w:sz w:val="24"/>
                <w:szCs w:val="20"/>
                <w:highlight w:val="none"/>
                <w:shd w:val="clear" w:color="auto" w:fill="auto"/>
              </w:rPr>
              <w:t>不重复得分）</w:t>
            </w:r>
          </w:p>
          <w:p w14:paraId="0B4C2311">
            <w:pPr>
              <w:jc w:val="left"/>
              <w:rPr>
                <w:rFonts w:hint="eastAsia" w:ascii="仿宋" w:hAnsi="仿宋" w:eastAsia="仿宋" w:cs="仿宋"/>
                <w:color w:val="auto"/>
                <w:kern w:val="2"/>
                <w:sz w:val="24"/>
                <w:szCs w:val="20"/>
                <w:highlight w:val="none"/>
                <w:shd w:val="clear" w:color="auto" w:fill="auto"/>
                <w:lang w:eastAsia="zh-CN"/>
              </w:rPr>
            </w:pPr>
            <w:r>
              <w:rPr>
                <w:rFonts w:hint="eastAsia" w:ascii="仿宋" w:hAnsi="仿宋" w:eastAsia="仿宋" w:cs="仿宋"/>
                <w:color w:val="auto"/>
                <w:kern w:val="2"/>
                <w:sz w:val="24"/>
                <w:szCs w:val="20"/>
                <w:highlight w:val="none"/>
                <w:shd w:val="clear" w:color="auto" w:fill="auto"/>
                <w:lang w:eastAsia="zh-CN"/>
              </w:rPr>
              <w:t>拟派</w:t>
            </w:r>
            <w:r>
              <w:rPr>
                <w:rFonts w:hint="eastAsia" w:ascii="仿宋" w:hAnsi="仿宋" w:eastAsia="仿宋" w:cs="仿宋"/>
                <w:color w:val="auto"/>
                <w:kern w:val="2"/>
                <w:sz w:val="24"/>
                <w:szCs w:val="20"/>
                <w:highlight w:val="none"/>
                <w:shd w:val="clear" w:color="auto" w:fill="auto"/>
              </w:rPr>
              <w:t>项目团队人员</w:t>
            </w:r>
            <w:r>
              <w:rPr>
                <w:rFonts w:hint="eastAsia" w:ascii="仿宋" w:hAnsi="仿宋" w:eastAsia="仿宋" w:cs="仿宋"/>
                <w:color w:val="auto"/>
                <w:kern w:val="2"/>
                <w:sz w:val="24"/>
                <w:szCs w:val="20"/>
                <w:highlight w:val="none"/>
                <w:shd w:val="clear" w:color="auto" w:fill="auto"/>
                <w:lang w:eastAsia="zh-CN"/>
              </w:rPr>
              <w:t>须为投标人在职职工（在职职工不包括离、退休返聘人员），须提供缴费期限包含2025年</w:t>
            </w:r>
            <w:r>
              <w:rPr>
                <w:rFonts w:hint="eastAsia" w:ascii="仿宋" w:hAnsi="仿宋" w:eastAsia="仿宋" w:cs="仿宋"/>
                <w:color w:val="auto"/>
                <w:kern w:val="2"/>
                <w:sz w:val="24"/>
                <w:szCs w:val="20"/>
                <w:highlight w:val="none"/>
                <w:shd w:val="clear" w:color="auto" w:fill="auto"/>
                <w:lang w:val="en-US" w:eastAsia="zh-CN"/>
              </w:rPr>
              <w:t>5</w:t>
            </w:r>
            <w:r>
              <w:rPr>
                <w:rFonts w:hint="eastAsia" w:ascii="仿宋" w:hAnsi="仿宋" w:eastAsia="仿宋" w:cs="仿宋"/>
                <w:color w:val="auto"/>
                <w:kern w:val="2"/>
                <w:sz w:val="24"/>
                <w:szCs w:val="20"/>
                <w:highlight w:val="none"/>
                <w:shd w:val="clear" w:color="auto" w:fill="auto"/>
                <w:lang w:eastAsia="zh-CN"/>
              </w:rPr>
              <w:t>月的投标人所属社保机构养老保险交纳清单（缴费单位和投标单位名称必须一致，并加盖社保缴费证明专用章），以投标人所属社保机构出具的盖有社保部门专用章（或电子专用章）的社保证明件为准；若</w:t>
            </w:r>
            <w:r>
              <w:rPr>
                <w:rFonts w:hint="eastAsia" w:ascii="仿宋" w:hAnsi="仿宋" w:eastAsia="仿宋" w:cs="仿宋"/>
                <w:color w:val="auto"/>
                <w:kern w:val="2"/>
                <w:sz w:val="24"/>
                <w:szCs w:val="20"/>
                <w:highlight w:val="none"/>
                <w:shd w:val="clear" w:color="auto" w:fill="auto"/>
              </w:rPr>
              <w:t>项目团队人员</w:t>
            </w:r>
            <w:r>
              <w:rPr>
                <w:rFonts w:hint="eastAsia" w:ascii="仿宋" w:hAnsi="仿宋" w:eastAsia="仿宋" w:cs="仿宋"/>
                <w:color w:val="auto"/>
                <w:kern w:val="2"/>
                <w:sz w:val="24"/>
                <w:szCs w:val="20"/>
                <w:highlight w:val="none"/>
                <w:shd w:val="clear" w:color="auto" w:fill="auto"/>
                <w:lang w:eastAsia="zh-CN"/>
              </w:rPr>
              <w:t>为事业编制的，须提供缴费期限包含2025年</w:t>
            </w:r>
            <w:r>
              <w:rPr>
                <w:rFonts w:hint="eastAsia" w:ascii="仿宋" w:hAnsi="仿宋" w:eastAsia="仿宋" w:cs="仿宋"/>
                <w:color w:val="auto"/>
                <w:kern w:val="2"/>
                <w:sz w:val="24"/>
                <w:szCs w:val="20"/>
                <w:highlight w:val="none"/>
                <w:shd w:val="clear" w:color="auto" w:fill="auto"/>
                <w:lang w:val="en-US" w:eastAsia="zh-CN"/>
              </w:rPr>
              <w:t>5</w:t>
            </w:r>
            <w:r>
              <w:rPr>
                <w:rFonts w:hint="eastAsia" w:ascii="仿宋" w:hAnsi="仿宋" w:eastAsia="仿宋" w:cs="仿宋"/>
                <w:color w:val="auto"/>
                <w:kern w:val="2"/>
                <w:sz w:val="24"/>
                <w:szCs w:val="20"/>
                <w:highlight w:val="none"/>
                <w:shd w:val="clear" w:color="auto" w:fill="auto"/>
                <w:lang w:eastAsia="zh-CN"/>
              </w:rPr>
              <w:t>月由人事代理中心出具的社保证明（需加盖人事代理中心证明专用章）。</w:t>
            </w:r>
          </w:p>
          <w:p w14:paraId="0F351BC1">
            <w:pPr>
              <w:jc w:val="left"/>
              <w:rPr>
                <w:rFonts w:hint="eastAsia" w:ascii="仿宋" w:hAnsi="仿宋" w:eastAsia="仿宋" w:cs="仿宋"/>
                <w:color w:val="auto"/>
                <w:kern w:val="2"/>
                <w:sz w:val="24"/>
                <w:szCs w:val="20"/>
                <w:highlight w:val="none"/>
                <w:shd w:val="clear" w:color="auto" w:fill="auto"/>
                <w:lang w:val="en-US" w:eastAsia="zh-CN"/>
              </w:rPr>
            </w:pPr>
            <w:r>
              <w:rPr>
                <w:rFonts w:hint="eastAsia" w:ascii="仿宋" w:hAnsi="仿宋" w:eastAsia="仿宋" w:cs="仿宋"/>
                <w:color w:val="auto"/>
                <w:kern w:val="2"/>
                <w:sz w:val="24"/>
                <w:szCs w:val="20"/>
                <w:highlight w:val="none"/>
                <w:shd w:val="clear" w:color="auto" w:fill="auto"/>
              </w:rPr>
              <w:t>提供</w:t>
            </w:r>
            <w:r>
              <w:rPr>
                <w:rFonts w:hint="eastAsia" w:ascii="仿宋" w:hAnsi="仿宋" w:eastAsia="仿宋" w:cs="仿宋"/>
                <w:color w:val="auto"/>
                <w:kern w:val="2"/>
                <w:sz w:val="24"/>
                <w:szCs w:val="20"/>
                <w:highlight w:val="none"/>
                <w:shd w:val="clear" w:color="auto" w:fill="auto"/>
                <w:lang w:val="en-US" w:eastAsia="zh-CN"/>
              </w:rPr>
              <w:t>人员相关</w:t>
            </w:r>
            <w:r>
              <w:rPr>
                <w:rFonts w:hint="eastAsia" w:ascii="仿宋" w:hAnsi="仿宋" w:eastAsia="仿宋" w:cs="仿宋"/>
                <w:color w:val="auto"/>
                <w:kern w:val="2"/>
                <w:sz w:val="24"/>
                <w:szCs w:val="20"/>
                <w:highlight w:val="none"/>
                <w:shd w:val="clear" w:color="auto" w:fill="auto"/>
              </w:rPr>
              <w:t>证书</w:t>
            </w:r>
            <w:r>
              <w:rPr>
                <w:rFonts w:hint="eastAsia" w:ascii="仿宋" w:hAnsi="仿宋" w:eastAsia="仿宋" w:cs="仿宋"/>
                <w:color w:val="auto"/>
                <w:kern w:val="2"/>
                <w:sz w:val="24"/>
                <w:szCs w:val="20"/>
                <w:highlight w:val="none"/>
                <w:shd w:val="clear" w:color="auto" w:fill="auto"/>
                <w:lang w:val="en-US" w:eastAsia="zh-CN"/>
              </w:rPr>
              <w:t>及</w:t>
            </w:r>
            <w:r>
              <w:rPr>
                <w:rFonts w:hint="eastAsia" w:ascii="仿宋" w:hAnsi="仿宋" w:eastAsia="仿宋" w:cs="仿宋"/>
                <w:color w:val="auto"/>
                <w:kern w:val="2"/>
                <w:sz w:val="24"/>
                <w:szCs w:val="20"/>
                <w:highlight w:val="none"/>
                <w:shd w:val="clear" w:color="auto" w:fill="auto"/>
              </w:rPr>
              <w:t>社保证明</w:t>
            </w:r>
            <w:r>
              <w:rPr>
                <w:rFonts w:hint="eastAsia" w:ascii="仿宋" w:hAnsi="仿宋" w:eastAsia="仿宋" w:cs="仿宋"/>
                <w:color w:val="auto"/>
                <w:kern w:val="2"/>
                <w:sz w:val="24"/>
                <w:szCs w:val="20"/>
                <w:highlight w:val="none"/>
                <w:shd w:val="clear" w:color="auto" w:fill="auto"/>
                <w:lang w:val="en-US" w:eastAsia="zh-CN"/>
              </w:rPr>
              <w:t>复印件</w:t>
            </w:r>
            <w:r>
              <w:rPr>
                <w:rFonts w:hint="eastAsia" w:ascii="仿宋" w:hAnsi="仿宋" w:eastAsia="仿宋" w:cs="仿宋"/>
                <w:color w:val="auto"/>
                <w:kern w:val="2"/>
                <w:sz w:val="24"/>
                <w:szCs w:val="20"/>
                <w:highlight w:val="none"/>
                <w:shd w:val="clear" w:color="auto" w:fill="auto"/>
              </w:rPr>
              <w:t>并加盖投标人公章</w:t>
            </w:r>
            <w:r>
              <w:rPr>
                <w:rFonts w:hint="eastAsia" w:ascii="仿宋" w:hAnsi="仿宋" w:eastAsia="仿宋" w:cs="仿宋"/>
                <w:color w:val="auto"/>
                <w:kern w:val="2"/>
                <w:sz w:val="24"/>
                <w:szCs w:val="20"/>
                <w:highlight w:val="none"/>
                <w:shd w:val="clear" w:color="auto" w:fill="auto"/>
                <w:lang w:eastAsia="zh-CN"/>
              </w:rPr>
              <w:t>。</w:t>
            </w:r>
          </w:p>
        </w:tc>
        <w:tc>
          <w:tcPr>
            <w:tcW w:w="806" w:type="dxa"/>
            <w:noWrap w:val="0"/>
            <w:vAlign w:val="center"/>
          </w:tcPr>
          <w:p w14:paraId="21AE7D09">
            <w:pPr>
              <w:adjustRightInd/>
              <w:jc w:val="center"/>
              <w:rPr>
                <w:rFonts w:hint="eastAsia" w:ascii="仿宋" w:hAnsi="仿宋" w:eastAsia="仿宋"/>
                <w:color w:val="auto"/>
                <w:kern w:val="0"/>
                <w:sz w:val="24"/>
                <w:highlight w:val="none"/>
              </w:rPr>
            </w:pP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14:paraId="74AB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1C4D80CA">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1BEB48AE">
            <w:pPr>
              <w:jc w:val="center"/>
              <w:rPr>
                <w:rFonts w:ascii="仿宋" w:hAnsi="仿宋" w:eastAsia="仿宋"/>
                <w:iCs/>
                <w:color w:val="auto"/>
                <w:sz w:val="24"/>
                <w:highlight w:val="none"/>
              </w:rPr>
            </w:pPr>
            <w:r>
              <w:rPr>
                <w:rFonts w:hint="eastAsia" w:ascii="仿宋" w:hAnsi="仿宋" w:eastAsia="仿宋"/>
                <w:iCs/>
                <w:color w:val="auto"/>
                <w:sz w:val="24"/>
                <w:highlight w:val="none"/>
              </w:rPr>
              <w:t>对招标项目的理解和报告编制思路</w:t>
            </w:r>
          </w:p>
        </w:tc>
        <w:tc>
          <w:tcPr>
            <w:tcW w:w="6144" w:type="dxa"/>
            <w:noWrap w:val="0"/>
            <w:vAlign w:val="center"/>
          </w:tcPr>
          <w:p w14:paraId="3083E20D">
            <w:pPr>
              <w:jc w:val="left"/>
              <w:rPr>
                <w:rFonts w:hint="eastAsia" w:ascii="仿宋" w:hAnsi="仿宋" w:eastAsia="仿宋" w:cs="Times New Roman"/>
                <w:color w:val="auto"/>
                <w:sz w:val="24"/>
                <w:highlight w:val="none"/>
              </w:rPr>
            </w:pP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针对本项目</w:t>
            </w:r>
            <w:r>
              <w:rPr>
                <w:rFonts w:hint="eastAsia" w:ascii="仿宋" w:hAnsi="仿宋" w:eastAsia="仿宋" w:cs="Times New Roman"/>
                <w:color w:val="auto"/>
                <w:sz w:val="24"/>
                <w:highlight w:val="none"/>
              </w:rPr>
              <w:t>的理解和报告编制思路的合理性进行打分。</w:t>
            </w:r>
          </w:p>
          <w:p w14:paraId="52BB4BC4">
            <w:pPr>
              <w:jc w:val="left"/>
              <w:rPr>
                <w:rFonts w:hint="eastAsia" w:ascii="仿宋" w:hAnsi="仿宋" w:eastAsia="仿宋" w:cs="Times New Roman"/>
                <w:color w:val="auto"/>
                <w:sz w:val="24"/>
                <w:highlight w:val="none"/>
                <w:lang w:val="en-US"/>
              </w:rPr>
            </w:pPr>
            <w:r>
              <w:rPr>
                <w:rFonts w:hint="eastAsia" w:ascii="仿宋" w:hAnsi="仿宋" w:eastAsia="仿宋" w:cs="Times New Roman"/>
                <w:iCs w:val="0"/>
                <w:color w:val="auto"/>
                <w:sz w:val="24"/>
                <w:highlight w:val="none"/>
                <w:lang w:val="en-US" w:eastAsia="zh-CN"/>
              </w:rPr>
              <w:t>对</w:t>
            </w:r>
            <w:r>
              <w:rPr>
                <w:rFonts w:hint="eastAsia" w:ascii="仿宋" w:hAnsi="仿宋" w:eastAsia="仿宋" w:cs="Times New Roman"/>
                <w:iCs w:val="0"/>
                <w:color w:val="auto"/>
                <w:sz w:val="24"/>
                <w:highlight w:val="none"/>
              </w:rPr>
              <w:t>招标项目的理解和报告编制思路</w:t>
            </w:r>
            <w:r>
              <w:rPr>
                <w:rFonts w:hint="eastAsia" w:ascii="仿宋" w:hAnsi="仿宋" w:eastAsia="仿宋" w:cs="Times New Roman"/>
                <w:color w:val="auto"/>
                <w:sz w:val="24"/>
                <w:highlight w:val="none"/>
                <w:lang w:val="en-US" w:eastAsia="zh-CN"/>
              </w:rPr>
              <w:t>合理的</w:t>
            </w:r>
            <w:r>
              <w:rPr>
                <w:rFonts w:hint="eastAsia" w:ascii="仿宋" w:hAnsi="仿宋" w:eastAsia="仿宋" w:cs="Times New Roman"/>
                <w:color w:val="auto"/>
                <w:sz w:val="24"/>
                <w:highlight w:val="none"/>
                <w:lang w:val="en-US"/>
              </w:rPr>
              <w:t>得</w:t>
            </w:r>
            <w:r>
              <w:rPr>
                <w:rFonts w:hint="eastAsia" w:ascii="仿宋" w:hAnsi="仿宋" w:eastAsia="仿宋" w:cs="Times New Roman"/>
                <w:color w:val="auto"/>
                <w:sz w:val="24"/>
                <w:highlight w:val="none"/>
                <w:lang w:val="en-US" w:eastAsia="zh-CN"/>
              </w:rPr>
              <w:t>15-12</w:t>
            </w:r>
            <w:r>
              <w:rPr>
                <w:rFonts w:hint="eastAsia" w:ascii="仿宋" w:hAnsi="仿宋" w:eastAsia="仿宋" w:cs="Times New Roman"/>
                <w:color w:val="auto"/>
                <w:sz w:val="24"/>
                <w:highlight w:val="none"/>
                <w:lang w:val="en-US"/>
              </w:rPr>
              <w:t>分，</w:t>
            </w:r>
          </w:p>
          <w:p w14:paraId="525BFD06">
            <w:pPr>
              <w:jc w:val="left"/>
              <w:rPr>
                <w:rFonts w:hint="eastAsia" w:ascii="仿宋" w:hAnsi="仿宋" w:eastAsia="仿宋" w:cs="Times New Roman"/>
                <w:color w:val="auto"/>
                <w:sz w:val="24"/>
                <w:highlight w:val="none"/>
                <w:lang w:val="en-US"/>
              </w:rPr>
            </w:pPr>
            <w:r>
              <w:rPr>
                <w:rFonts w:hint="eastAsia" w:ascii="仿宋" w:hAnsi="仿宋" w:eastAsia="仿宋" w:cs="Times New Roman"/>
                <w:iCs w:val="0"/>
                <w:color w:val="auto"/>
                <w:sz w:val="24"/>
                <w:highlight w:val="none"/>
                <w:lang w:val="en-US" w:eastAsia="zh-CN"/>
              </w:rPr>
              <w:t>对</w:t>
            </w:r>
            <w:r>
              <w:rPr>
                <w:rFonts w:hint="eastAsia" w:ascii="仿宋" w:hAnsi="仿宋" w:eastAsia="仿宋" w:cs="Times New Roman"/>
                <w:iCs w:val="0"/>
                <w:color w:val="auto"/>
                <w:sz w:val="24"/>
                <w:highlight w:val="none"/>
              </w:rPr>
              <w:t>招标项目的理解和报告编制思路</w:t>
            </w:r>
            <w:r>
              <w:rPr>
                <w:rFonts w:hint="eastAsia" w:ascii="仿宋" w:hAnsi="仿宋" w:eastAsia="仿宋" w:cs="Times New Roman"/>
                <w:iCs w:val="0"/>
                <w:color w:val="auto"/>
                <w:sz w:val="24"/>
                <w:highlight w:val="none"/>
                <w:lang w:val="en-US" w:eastAsia="zh-CN"/>
              </w:rPr>
              <w:t>比较</w:t>
            </w:r>
            <w:r>
              <w:rPr>
                <w:rFonts w:hint="eastAsia" w:ascii="仿宋" w:hAnsi="仿宋" w:eastAsia="仿宋" w:cs="Times New Roman"/>
                <w:color w:val="auto"/>
                <w:sz w:val="24"/>
                <w:highlight w:val="none"/>
                <w:lang w:val="en-US" w:eastAsia="zh-CN"/>
              </w:rPr>
              <w:t>合理的</w:t>
            </w:r>
            <w:r>
              <w:rPr>
                <w:rFonts w:hint="eastAsia" w:ascii="仿宋" w:hAnsi="仿宋" w:eastAsia="仿宋" w:cs="Times New Roman"/>
                <w:color w:val="auto"/>
                <w:sz w:val="24"/>
                <w:highlight w:val="none"/>
                <w:lang w:val="en-US"/>
              </w:rPr>
              <w:t>得</w:t>
            </w:r>
            <w:r>
              <w:rPr>
                <w:rFonts w:hint="eastAsia" w:ascii="仿宋" w:hAnsi="仿宋" w:eastAsia="仿宋" w:cs="Times New Roman"/>
                <w:color w:val="auto"/>
                <w:sz w:val="24"/>
                <w:highlight w:val="none"/>
                <w:lang w:val="en-US" w:eastAsia="zh-CN"/>
              </w:rPr>
              <w:t>11.9-8</w:t>
            </w:r>
            <w:r>
              <w:rPr>
                <w:rFonts w:hint="eastAsia" w:ascii="仿宋" w:hAnsi="仿宋" w:eastAsia="仿宋" w:cs="Times New Roman"/>
                <w:color w:val="auto"/>
                <w:sz w:val="24"/>
                <w:highlight w:val="none"/>
                <w:lang w:val="en-US"/>
              </w:rPr>
              <w:t>分，</w:t>
            </w:r>
          </w:p>
          <w:p w14:paraId="79F711F5">
            <w:pPr>
              <w:jc w:val="left"/>
              <w:rPr>
                <w:rFonts w:hint="eastAsia" w:ascii="仿宋" w:hAnsi="仿宋" w:eastAsia="仿宋" w:cs="Times New Roman"/>
                <w:color w:val="auto"/>
                <w:sz w:val="24"/>
                <w:highlight w:val="none"/>
                <w:lang w:val="en-US"/>
              </w:rPr>
            </w:pPr>
            <w:r>
              <w:rPr>
                <w:rFonts w:hint="eastAsia" w:ascii="仿宋" w:hAnsi="仿宋" w:eastAsia="仿宋" w:cs="Times New Roman"/>
                <w:iCs w:val="0"/>
                <w:color w:val="auto"/>
                <w:sz w:val="24"/>
                <w:highlight w:val="none"/>
                <w:lang w:val="en-US" w:eastAsia="zh-CN"/>
              </w:rPr>
              <w:t>对</w:t>
            </w:r>
            <w:r>
              <w:rPr>
                <w:rFonts w:hint="eastAsia" w:ascii="仿宋" w:hAnsi="仿宋" w:eastAsia="仿宋" w:cs="Times New Roman"/>
                <w:iCs w:val="0"/>
                <w:color w:val="auto"/>
                <w:sz w:val="24"/>
                <w:highlight w:val="none"/>
              </w:rPr>
              <w:t>招标项目的理解和报告编制思路</w:t>
            </w:r>
            <w:r>
              <w:rPr>
                <w:rFonts w:hint="eastAsia" w:ascii="仿宋" w:hAnsi="仿宋" w:eastAsia="仿宋" w:cs="Times New Roman"/>
                <w:iCs w:val="0"/>
                <w:color w:val="auto"/>
                <w:sz w:val="24"/>
                <w:highlight w:val="none"/>
                <w:lang w:val="en-US" w:eastAsia="zh-CN"/>
              </w:rPr>
              <w:t>一般</w:t>
            </w:r>
            <w:r>
              <w:rPr>
                <w:rFonts w:hint="eastAsia" w:ascii="仿宋" w:hAnsi="仿宋" w:eastAsia="仿宋" w:cs="Times New Roman"/>
                <w:color w:val="auto"/>
                <w:sz w:val="24"/>
                <w:highlight w:val="none"/>
                <w:lang w:val="en-US" w:eastAsia="zh-CN"/>
              </w:rPr>
              <w:t>合理的</w:t>
            </w:r>
            <w:r>
              <w:rPr>
                <w:rFonts w:hint="eastAsia" w:ascii="仿宋" w:hAnsi="仿宋" w:eastAsia="仿宋" w:cs="Times New Roman"/>
                <w:color w:val="auto"/>
                <w:sz w:val="24"/>
                <w:highlight w:val="none"/>
                <w:lang w:val="en-US"/>
              </w:rPr>
              <w:t>得</w:t>
            </w:r>
            <w:r>
              <w:rPr>
                <w:rFonts w:hint="eastAsia" w:ascii="仿宋" w:hAnsi="仿宋" w:eastAsia="仿宋" w:cs="Times New Roman"/>
                <w:color w:val="auto"/>
                <w:sz w:val="24"/>
                <w:highlight w:val="none"/>
                <w:lang w:val="en-US" w:eastAsia="zh-CN"/>
              </w:rPr>
              <w:t>7.9-5</w:t>
            </w:r>
            <w:r>
              <w:rPr>
                <w:rFonts w:hint="eastAsia" w:ascii="仿宋" w:hAnsi="仿宋" w:eastAsia="仿宋" w:cs="Times New Roman"/>
                <w:color w:val="auto"/>
                <w:sz w:val="24"/>
                <w:highlight w:val="none"/>
                <w:lang w:val="en-US"/>
              </w:rPr>
              <w:t>分，</w:t>
            </w:r>
          </w:p>
          <w:p w14:paraId="2F42FB60">
            <w:pPr>
              <w:jc w:val="left"/>
              <w:rPr>
                <w:rFonts w:ascii="仿宋" w:hAnsi="仿宋" w:eastAsia="仿宋"/>
                <w:color w:val="auto"/>
                <w:sz w:val="24"/>
                <w:highlight w:val="none"/>
              </w:rPr>
            </w:pPr>
            <w:r>
              <w:rPr>
                <w:rFonts w:hint="eastAsia" w:ascii="仿宋" w:hAnsi="仿宋" w:eastAsia="仿宋" w:cs="Times New Roman"/>
                <w:iCs w:val="0"/>
                <w:color w:val="auto"/>
                <w:sz w:val="24"/>
                <w:highlight w:val="none"/>
                <w:lang w:val="en-US" w:eastAsia="zh-CN"/>
              </w:rPr>
              <w:t>对</w:t>
            </w:r>
            <w:r>
              <w:rPr>
                <w:rFonts w:hint="eastAsia" w:ascii="仿宋" w:hAnsi="仿宋" w:eastAsia="仿宋" w:cs="Times New Roman"/>
                <w:iCs w:val="0"/>
                <w:color w:val="auto"/>
                <w:sz w:val="24"/>
                <w:highlight w:val="none"/>
              </w:rPr>
              <w:t>招标项目的理解和报告编制思路</w:t>
            </w:r>
            <w:r>
              <w:rPr>
                <w:rFonts w:hint="eastAsia" w:ascii="仿宋" w:hAnsi="仿宋" w:eastAsia="仿宋" w:cs="Times New Roman"/>
                <w:color w:val="auto"/>
                <w:sz w:val="24"/>
                <w:highlight w:val="none"/>
                <w:lang w:val="en-US" w:eastAsia="zh-CN"/>
              </w:rPr>
              <w:t>合理性较差的</w:t>
            </w:r>
            <w:r>
              <w:rPr>
                <w:rFonts w:hint="eastAsia" w:ascii="仿宋" w:hAnsi="仿宋" w:eastAsia="仿宋" w:cs="Times New Roman"/>
                <w:color w:val="auto"/>
                <w:sz w:val="24"/>
                <w:highlight w:val="none"/>
                <w:lang w:val="en-US"/>
              </w:rPr>
              <w:t>得</w:t>
            </w:r>
            <w:r>
              <w:rPr>
                <w:rFonts w:hint="eastAsia" w:ascii="仿宋" w:hAnsi="仿宋" w:eastAsia="仿宋" w:cs="Times New Roman"/>
                <w:color w:val="auto"/>
                <w:sz w:val="24"/>
                <w:highlight w:val="none"/>
                <w:lang w:val="en-US" w:eastAsia="zh-CN"/>
              </w:rPr>
              <w:t>4.9-0.1</w:t>
            </w:r>
            <w:r>
              <w:rPr>
                <w:rFonts w:hint="eastAsia" w:ascii="仿宋" w:hAnsi="仿宋" w:eastAsia="仿宋" w:cs="Times New Roman"/>
                <w:color w:val="auto"/>
                <w:sz w:val="24"/>
                <w:highlight w:val="none"/>
                <w:lang w:val="en-US"/>
              </w:rPr>
              <w:t>分，其余不得分</w:t>
            </w:r>
            <w:r>
              <w:rPr>
                <w:rFonts w:hint="eastAsia" w:ascii="仿宋" w:hAnsi="仿宋" w:eastAsia="仿宋" w:cs="Times New Roman"/>
                <w:color w:val="auto"/>
                <w:kern w:val="2"/>
                <w:sz w:val="24"/>
                <w:szCs w:val="24"/>
                <w:highlight w:val="none"/>
                <w:lang w:val="en-US" w:bidi="ar-SA"/>
              </w:rPr>
              <w:t>。</w:t>
            </w:r>
          </w:p>
        </w:tc>
        <w:tc>
          <w:tcPr>
            <w:tcW w:w="806" w:type="dxa"/>
            <w:noWrap w:val="0"/>
            <w:vAlign w:val="center"/>
          </w:tcPr>
          <w:p w14:paraId="104CF3BD">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15</w:t>
            </w:r>
            <w:r>
              <w:rPr>
                <w:rFonts w:hint="eastAsia" w:ascii="仿宋" w:hAnsi="仿宋" w:eastAsia="仿宋"/>
                <w:color w:val="auto"/>
                <w:kern w:val="0"/>
                <w:sz w:val="24"/>
                <w:highlight w:val="none"/>
              </w:rPr>
              <w:t>分</w:t>
            </w:r>
          </w:p>
        </w:tc>
      </w:tr>
      <w:tr w14:paraId="7D2D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76" w:type="dxa"/>
            <w:vMerge w:val="continue"/>
            <w:noWrap w:val="0"/>
            <w:vAlign w:val="center"/>
          </w:tcPr>
          <w:p w14:paraId="43F3B543">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06160988">
            <w:pPr>
              <w:jc w:val="center"/>
              <w:rPr>
                <w:rFonts w:ascii="仿宋" w:hAnsi="仿宋" w:eastAsia="仿宋"/>
                <w:iCs/>
                <w:color w:val="auto"/>
                <w:sz w:val="24"/>
                <w:highlight w:val="none"/>
              </w:rPr>
            </w:pPr>
            <w:r>
              <w:rPr>
                <w:rFonts w:hint="eastAsia" w:ascii="仿宋" w:hAnsi="仿宋" w:eastAsia="仿宋"/>
                <w:iCs/>
                <w:color w:val="auto"/>
                <w:sz w:val="24"/>
                <w:highlight w:val="none"/>
              </w:rPr>
              <w:t>招标项目的特点、关键技术问题的认识及其对策措施</w:t>
            </w:r>
          </w:p>
        </w:tc>
        <w:tc>
          <w:tcPr>
            <w:tcW w:w="6144" w:type="dxa"/>
            <w:noWrap w:val="0"/>
            <w:vAlign w:val="center"/>
          </w:tcPr>
          <w:p w14:paraId="3FCA9FA6">
            <w:pPr>
              <w:jc w:val="left"/>
              <w:rPr>
                <w:rFonts w:ascii="仿宋" w:hAnsi="仿宋" w:eastAsia="仿宋"/>
                <w:color w:val="auto"/>
                <w:sz w:val="24"/>
                <w:highlight w:val="none"/>
              </w:rPr>
            </w:pP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针对本项目</w:t>
            </w:r>
            <w:r>
              <w:rPr>
                <w:rFonts w:hint="eastAsia" w:ascii="仿宋" w:hAnsi="仿宋" w:eastAsia="仿宋"/>
                <w:color w:val="auto"/>
                <w:sz w:val="24"/>
                <w:highlight w:val="none"/>
              </w:rPr>
              <w:t>的特点、关键技术问题的认识的合理性，对策措施的可行性进行打分。</w:t>
            </w:r>
          </w:p>
          <w:p w14:paraId="5BB0FFDF">
            <w:pPr>
              <w:jc w:val="left"/>
              <w:rPr>
                <w:rFonts w:ascii="仿宋" w:hAnsi="仿宋" w:eastAsia="仿宋"/>
                <w:color w:val="auto"/>
                <w:sz w:val="24"/>
                <w:highlight w:val="none"/>
              </w:rPr>
            </w:pPr>
            <w:r>
              <w:rPr>
                <w:rFonts w:hint="eastAsia" w:ascii="仿宋" w:hAnsi="仿宋" w:eastAsia="仿宋" w:cs="仿宋_GB2312"/>
                <w:color w:val="auto"/>
                <w:sz w:val="24"/>
                <w:highlight w:val="none"/>
                <w:lang w:val="en-US" w:eastAsia="zh-CN"/>
              </w:rPr>
              <w:t>对本项目认识合理、</w:t>
            </w:r>
            <w:r>
              <w:rPr>
                <w:rFonts w:hint="eastAsia" w:ascii="仿宋" w:hAnsi="仿宋" w:eastAsia="仿宋" w:cs="仿宋_GB2312"/>
                <w:color w:val="auto"/>
                <w:sz w:val="24"/>
                <w:highlight w:val="none"/>
              </w:rPr>
              <w:t>有针对性和可操作性</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对策</w:t>
            </w:r>
            <w:r>
              <w:rPr>
                <w:rFonts w:hint="eastAsia" w:ascii="仿宋" w:hAnsi="仿宋" w:eastAsia="仿宋" w:cs="仿宋_GB2312"/>
                <w:color w:val="auto"/>
                <w:sz w:val="24"/>
                <w:highlight w:val="none"/>
              </w:rPr>
              <w:t>措施完善</w:t>
            </w:r>
            <w:r>
              <w:rPr>
                <w:rFonts w:hint="eastAsia" w:ascii="仿宋" w:hAnsi="仿宋" w:eastAsia="仿宋" w:cs="仿宋_GB2312"/>
                <w:color w:val="auto"/>
                <w:sz w:val="24"/>
                <w:highlight w:val="none"/>
                <w:lang w:eastAsia="zh-CN"/>
              </w:rPr>
              <w:t>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15-12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对本项目认识比较合理、比较</w:t>
            </w:r>
            <w:r>
              <w:rPr>
                <w:rFonts w:hint="eastAsia" w:ascii="仿宋" w:hAnsi="仿宋" w:eastAsia="仿宋" w:cs="仿宋_GB2312"/>
                <w:color w:val="auto"/>
                <w:sz w:val="24"/>
                <w:highlight w:val="none"/>
              </w:rPr>
              <w:t>有针对性和可操作性</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对策</w:t>
            </w:r>
            <w:r>
              <w:rPr>
                <w:rFonts w:hint="eastAsia" w:ascii="仿宋" w:hAnsi="仿宋" w:eastAsia="仿宋" w:cs="仿宋_GB2312"/>
                <w:color w:val="auto"/>
                <w:sz w:val="24"/>
                <w:highlight w:val="none"/>
              </w:rPr>
              <w:t>措施</w:t>
            </w:r>
            <w:r>
              <w:rPr>
                <w:rFonts w:hint="eastAsia" w:ascii="仿宋" w:hAnsi="仿宋" w:eastAsia="仿宋" w:cs="仿宋_GB2312"/>
                <w:color w:val="auto"/>
                <w:sz w:val="24"/>
                <w:highlight w:val="none"/>
                <w:lang w:val="en-US" w:eastAsia="zh-CN"/>
              </w:rPr>
              <w:t>比较</w:t>
            </w:r>
            <w:r>
              <w:rPr>
                <w:rFonts w:hint="eastAsia" w:ascii="仿宋" w:hAnsi="仿宋" w:eastAsia="仿宋" w:cs="仿宋_GB2312"/>
                <w:color w:val="auto"/>
                <w:sz w:val="24"/>
                <w:highlight w:val="none"/>
              </w:rPr>
              <w:t>完善</w:t>
            </w:r>
            <w:r>
              <w:rPr>
                <w:rFonts w:hint="eastAsia" w:ascii="仿宋" w:hAnsi="仿宋" w:eastAsia="仿宋" w:cs="仿宋_GB2312"/>
                <w:color w:val="auto"/>
                <w:sz w:val="24"/>
                <w:highlight w:val="none"/>
                <w:lang w:eastAsia="zh-CN"/>
              </w:rPr>
              <w:t>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11.9-8</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对本项目认识一般、</w:t>
            </w:r>
            <w:r>
              <w:rPr>
                <w:rFonts w:hint="eastAsia" w:ascii="仿宋" w:hAnsi="仿宋" w:eastAsia="仿宋" w:cs="仿宋_GB2312"/>
                <w:color w:val="auto"/>
                <w:sz w:val="24"/>
                <w:highlight w:val="none"/>
              </w:rPr>
              <w:t>针对性和可操作性</w:t>
            </w:r>
            <w:r>
              <w:rPr>
                <w:rFonts w:hint="eastAsia" w:ascii="仿宋" w:hAnsi="仿宋" w:eastAsia="仿宋" w:cs="仿宋_GB2312"/>
                <w:color w:val="auto"/>
                <w:sz w:val="24"/>
                <w:highlight w:val="none"/>
                <w:lang w:val="en-US" w:eastAsia="zh-CN"/>
              </w:rPr>
              <w:t>一般</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对策</w:t>
            </w:r>
            <w:r>
              <w:rPr>
                <w:rFonts w:hint="eastAsia" w:ascii="仿宋" w:hAnsi="仿宋" w:eastAsia="仿宋" w:cs="仿宋_GB2312"/>
                <w:color w:val="auto"/>
                <w:sz w:val="24"/>
                <w:highlight w:val="none"/>
              </w:rPr>
              <w:t>措施</w:t>
            </w:r>
            <w:r>
              <w:rPr>
                <w:rFonts w:hint="eastAsia" w:ascii="仿宋" w:hAnsi="仿宋" w:eastAsia="仿宋" w:cs="仿宋_GB2312"/>
                <w:color w:val="auto"/>
                <w:sz w:val="24"/>
                <w:highlight w:val="none"/>
                <w:lang w:val="en-US" w:eastAsia="zh-CN"/>
              </w:rPr>
              <w:t>一般</w:t>
            </w:r>
            <w:r>
              <w:rPr>
                <w:rFonts w:hint="eastAsia" w:ascii="仿宋" w:hAnsi="仿宋" w:eastAsia="仿宋" w:cs="仿宋_GB2312"/>
                <w:color w:val="auto"/>
                <w:sz w:val="24"/>
                <w:highlight w:val="none"/>
                <w:lang w:eastAsia="zh-CN"/>
              </w:rPr>
              <w:t>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7.9-5</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对本项目认识</w:t>
            </w:r>
            <w:r>
              <w:rPr>
                <w:rFonts w:hint="eastAsia" w:ascii="仿宋" w:hAnsi="仿宋" w:eastAsia="仿宋" w:cs="Times New Roman"/>
                <w:color w:val="auto"/>
                <w:sz w:val="24"/>
                <w:highlight w:val="none"/>
                <w:lang w:val="en-US" w:eastAsia="zh-CN"/>
              </w:rPr>
              <w:t>较差</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针对性和可操作性</w:t>
            </w:r>
            <w:r>
              <w:rPr>
                <w:rFonts w:hint="eastAsia" w:ascii="仿宋" w:hAnsi="仿宋" w:eastAsia="仿宋" w:cs="Times New Roman"/>
                <w:color w:val="auto"/>
                <w:sz w:val="24"/>
                <w:highlight w:val="none"/>
                <w:lang w:val="en-US" w:eastAsia="zh-CN"/>
              </w:rPr>
              <w:t>较差</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对策</w:t>
            </w:r>
            <w:r>
              <w:rPr>
                <w:rFonts w:hint="eastAsia" w:ascii="仿宋" w:hAnsi="仿宋" w:eastAsia="仿宋" w:cs="仿宋_GB2312"/>
                <w:color w:val="auto"/>
                <w:sz w:val="24"/>
                <w:highlight w:val="none"/>
              </w:rPr>
              <w:t>措施</w:t>
            </w:r>
            <w:r>
              <w:rPr>
                <w:rFonts w:hint="eastAsia" w:ascii="仿宋" w:hAnsi="仿宋" w:eastAsia="仿宋" w:cs="Times New Roman"/>
                <w:color w:val="auto"/>
                <w:sz w:val="24"/>
                <w:highlight w:val="none"/>
                <w:lang w:val="en-US" w:eastAsia="zh-CN"/>
              </w:rPr>
              <w:t>较差</w:t>
            </w:r>
            <w:r>
              <w:rPr>
                <w:rFonts w:hint="eastAsia" w:ascii="仿宋" w:hAnsi="仿宋" w:eastAsia="仿宋" w:cs="仿宋_GB2312"/>
                <w:color w:val="auto"/>
                <w:sz w:val="24"/>
                <w:highlight w:val="none"/>
                <w:lang w:eastAsia="zh-CN"/>
              </w:rPr>
              <w:t>的</w:t>
            </w:r>
            <w:r>
              <w:rPr>
                <w:rFonts w:hint="eastAsia" w:ascii="仿宋" w:hAnsi="仿宋" w:eastAsia="仿宋" w:cs="仿宋_GB2312"/>
                <w:color w:val="auto"/>
                <w:sz w:val="24"/>
                <w:highlight w:val="none"/>
                <w:lang w:val="en-US" w:eastAsia="zh-CN"/>
              </w:rPr>
              <w:t>4.9-0.1</w:t>
            </w:r>
            <w:r>
              <w:rPr>
                <w:rFonts w:hint="eastAsia" w:ascii="仿宋" w:hAnsi="仿宋" w:eastAsia="仿宋" w:cs="仿宋_GB2312"/>
                <w:color w:val="auto"/>
                <w:sz w:val="24"/>
                <w:highlight w:val="none"/>
              </w:rPr>
              <w:t>分，其余不得分。</w:t>
            </w:r>
          </w:p>
        </w:tc>
        <w:tc>
          <w:tcPr>
            <w:tcW w:w="806" w:type="dxa"/>
            <w:noWrap w:val="0"/>
            <w:vAlign w:val="center"/>
          </w:tcPr>
          <w:p w14:paraId="5E33D06E">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rPr>
              <w:t>1</w:t>
            </w:r>
            <w:r>
              <w:rPr>
                <w:rFonts w:hint="eastAsia" w:ascii="仿宋" w:hAnsi="仿宋" w:eastAsia="仿宋"/>
                <w:color w:val="auto"/>
                <w:kern w:val="0"/>
                <w:sz w:val="24"/>
                <w:highlight w:val="none"/>
                <w:lang w:val="en-US" w:eastAsia="zh-CN"/>
              </w:rPr>
              <w:t>5</w:t>
            </w:r>
            <w:r>
              <w:rPr>
                <w:rFonts w:hint="eastAsia" w:ascii="仿宋" w:hAnsi="仿宋" w:eastAsia="仿宋"/>
                <w:color w:val="auto"/>
                <w:kern w:val="0"/>
                <w:sz w:val="24"/>
                <w:highlight w:val="none"/>
              </w:rPr>
              <w:t>分</w:t>
            </w:r>
          </w:p>
        </w:tc>
      </w:tr>
      <w:tr w14:paraId="46AB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06EBE907">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143CB0F2">
            <w:pPr>
              <w:jc w:val="center"/>
              <w:rPr>
                <w:rFonts w:ascii="仿宋" w:hAnsi="仿宋" w:eastAsia="仿宋"/>
                <w:iCs/>
                <w:color w:val="auto"/>
                <w:sz w:val="24"/>
                <w:highlight w:val="none"/>
              </w:rPr>
            </w:pPr>
            <w:r>
              <w:rPr>
                <w:rFonts w:hint="eastAsia" w:ascii="仿宋" w:hAnsi="仿宋" w:eastAsia="仿宋"/>
                <w:iCs/>
                <w:color w:val="auto"/>
                <w:sz w:val="24"/>
                <w:highlight w:val="none"/>
              </w:rPr>
              <w:t>招标项目工作量及计划安排</w:t>
            </w:r>
          </w:p>
        </w:tc>
        <w:tc>
          <w:tcPr>
            <w:tcW w:w="6144" w:type="dxa"/>
            <w:noWrap w:val="0"/>
            <w:vAlign w:val="center"/>
          </w:tcPr>
          <w:p w14:paraId="745F9B53">
            <w:pPr>
              <w:jc w:val="left"/>
              <w:rPr>
                <w:rFonts w:ascii="仿宋" w:hAnsi="仿宋" w:eastAsia="仿宋"/>
                <w:color w:val="auto"/>
                <w:sz w:val="24"/>
                <w:highlight w:val="none"/>
              </w:rPr>
            </w:pPr>
            <w:r>
              <w:rPr>
                <w:rFonts w:hint="eastAsia" w:ascii="仿宋" w:hAnsi="仿宋" w:eastAsia="仿宋" w:cs="仿宋"/>
                <w:bCs/>
                <w:color w:val="auto"/>
                <w:sz w:val="24"/>
                <w:szCs w:val="24"/>
                <w:highlight w:val="none"/>
              </w:rPr>
              <w:t>根据</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针对本项目</w:t>
            </w:r>
            <w:r>
              <w:rPr>
                <w:rFonts w:hint="eastAsia" w:ascii="仿宋" w:hAnsi="仿宋" w:eastAsia="仿宋"/>
                <w:color w:val="auto"/>
                <w:sz w:val="24"/>
                <w:highlight w:val="none"/>
              </w:rPr>
              <w:t>的工作量及计划安排进行的合理性打分。</w:t>
            </w:r>
          </w:p>
          <w:p w14:paraId="30F10B28">
            <w:pPr>
              <w:jc w:val="left"/>
              <w:rPr>
                <w:rFonts w:ascii="仿宋" w:hAnsi="仿宋" w:eastAsia="仿宋"/>
                <w:color w:val="auto"/>
                <w:sz w:val="24"/>
                <w:highlight w:val="none"/>
              </w:rPr>
            </w:pPr>
            <w:r>
              <w:rPr>
                <w:rFonts w:hint="eastAsia" w:ascii="仿宋" w:eastAsia="仿宋"/>
                <w:color w:val="auto"/>
                <w:sz w:val="24"/>
                <w:highlight w:val="none"/>
                <w:lang w:val="en-US" w:eastAsia="zh-CN"/>
              </w:rPr>
              <w:t>工作量分配合理、</w:t>
            </w:r>
            <w:r>
              <w:rPr>
                <w:rFonts w:hint="eastAsia" w:ascii="仿宋" w:eastAsia="仿宋"/>
                <w:color w:val="auto"/>
                <w:sz w:val="24"/>
                <w:highlight w:val="none"/>
              </w:rPr>
              <w:t>计划合理可行、完善、具有针对性的得</w:t>
            </w:r>
            <w:r>
              <w:rPr>
                <w:rFonts w:hint="eastAsia" w:ascii="仿宋" w:eastAsia="仿宋"/>
                <w:color w:val="auto"/>
                <w:sz w:val="24"/>
                <w:highlight w:val="none"/>
                <w:lang w:val="en-US" w:eastAsia="zh-CN"/>
              </w:rPr>
              <w:t>11</w:t>
            </w:r>
            <w:r>
              <w:rPr>
                <w:rFonts w:ascii="仿宋" w:eastAsia="仿宋"/>
                <w:color w:val="auto"/>
                <w:sz w:val="24"/>
                <w:highlight w:val="none"/>
              </w:rPr>
              <w:t>-</w:t>
            </w:r>
            <w:r>
              <w:rPr>
                <w:rFonts w:hint="eastAsia" w:ascii="仿宋" w:eastAsia="仿宋"/>
                <w:color w:val="auto"/>
                <w:sz w:val="24"/>
                <w:highlight w:val="none"/>
                <w:lang w:val="en-US" w:eastAsia="zh-CN"/>
              </w:rPr>
              <w:t>7</w:t>
            </w:r>
            <w:r>
              <w:rPr>
                <w:rFonts w:hint="eastAsia" w:ascii="仿宋" w:eastAsia="仿宋"/>
                <w:color w:val="auto"/>
                <w:sz w:val="24"/>
                <w:highlight w:val="none"/>
              </w:rPr>
              <w:t>分，</w:t>
            </w:r>
            <w:r>
              <w:rPr>
                <w:rFonts w:hint="eastAsia" w:ascii="仿宋" w:eastAsia="仿宋"/>
                <w:color w:val="auto"/>
                <w:sz w:val="24"/>
                <w:highlight w:val="none"/>
                <w:lang w:val="en-US" w:eastAsia="zh-CN"/>
              </w:rPr>
              <w:t>工作量分配比较合理、</w:t>
            </w:r>
            <w:r>
              <w:rPr>
                <w:rFonts w:hint="eastAsia" w:ascii="仿宋" w:eastAsia="仿宋"/>
                <w:color w:val="auto"/>
                <w:sz w:val="24"/>
                <w:highlight w:val="none"/>
              </w:rPr>
              <w:t>计划</w:t>
            </w:r>
            <w:r>
              <w:rPr>
                <w:rFonts w:hint="eastAsia" w:ascii="仿宋" w:eastAsia="仿宋"/>
                <w:color w:val="auto"/>
                <w:sz w:val="24"/>
                <w:highlight w:val="none"/>
                <w:lang w:val="en-US" w:eastAsia="zh-CN"/>
              </w:rPr>
              <w:t>比较</w:t>
            </w:r>
            <w:r>
              <w:rPr>
                <w:rFonts w:hint="eastAsia" w:ascii="仿宋" w:eastAsia="仿宋"/>
                <w:color w:val="auto"/>
                <w:sz w:val="24"/>
                <w:highlight w:val="none"/>
              </w:rPr>
              <w:t>合理可行、</w:t>
            </w:r>
            <w:r>
              <w:rPr>
                <w:rFonts w:hint="eastAsia" w:ascii="仿宋" w:eastAsia="仿宋"/>
                <w:color w:val="auto"/>
                <w:sz w:val="24"/>
                <w:highlight w:val="none"/>
                <w:lang w:val="en-US" w:eastAsia="zh-CN"/>
              </w:rPr>
              <w:t>比较</w:t>
            </w:r>
            <w:r>
              <w:rPr>
                <w:rFonts w:hint="eastAsia" w:ascii="仿宋" w:eastAsia="仿宋"/>
                <w:color w:val="auto"/>
                <w:sz w:val="24"/>
                <w:highlight w:val="none"/>
              </w:rPr>
              <w:t>完善、</w:t>
            </w:r>
            <w:r>
              <w:rPr>
                <w:rFonts w:hint="eastAsia" w:ascii="仿宋" w:eastAsia="仿宋"/>
                <w:color w:val="auto"/>
                <w:sz w:val="24"/>
                <w:highlight w:val="none"/>
                <w:lang w:val="en-US" w:eastAsia="zh-CN"/>
              </w:rPr>
              <w:t>比较</w:t>
            </w:r>
            <w:r>
              <w:rPr>
                <w:rFonts w:hint="eastAsia" w:ascii="仿宋" w:eastAsia="仿宋"/>
                <w:color w:val="auto"/>
                <w:sz w:val="24"/>
                <w:highlight w:val="none"/>
              </w:rPr>
              <w:t>具有针对性的得</w:t>
            </w:r>
            <w:r>
              <w:rPr>
                <w:rFonts w:hint="eastAsia" w:ascii="仿宋" w:eastAsia="仿宋"/>
                <w:color w:val="auto"/>
                <w:sz w:val="24"/>
                <w:highlight w:val="none"/>
                <w:lang w:val="en-US" w:eastAsia="zh-CN"/>
              </w:rPr>
              <w:t>6.9</w:t>
            </w:r>
            <w:r>
              <w:rPr>
                <w:rFonts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分，</w:t>
            </w:r>
            <w:r>
              <w:rPr>
                <w:rFonts w:hint="eastAsia" w:ascii="仿宋" w:eastAsia="仿宋"/>
                <w:color w:val="auto"/>
                <w:sz w:val="24"/>
                <w:highlight w:val="none"/>
                <w:lang w:val="en-US" w:eastAsia="zh-CN"/>
              </w:rPr>
              <w:t>工作量分配合理性一般、</w:t>
            </w:r>
            <w:r>
              <w:rPr>
                <w:rFonts w:hint="eastAsia" w:ascii="仿宋" w:eastAsia="仿宋"/>
                <w:color w:val="auto"/>
                <w:sz w:val="24"/>
                <w:highlight w:val="none"/>
              </w:rPr>
              <w:t>计划</w:t>
            </w:r>
            <w:r>
              <w:rPr>
                <w:rFonts w:hint="eastAsia" w:ascii="仿宋" w:eastAsia="仿宋"/>
                <w:color w:val="auto"/>
                <w:sz w:val="24"/>
                <w:highlight w:val="none"/>
                <w:lang w:val="en-US" w:eastAsia="zh-CN"/>
              </w:rPr>
              <w:t>一般</w:t>
            </w:r>
            <w:r>
              <w:rPr>
                <w:rFonts w:hint="eastAsia" w:ascii="仿宋" w:eastAsia="仿宋"/>
                <w:color w:val="auto"/>
                <w:sz w:val="24"/>
                <w:highlight w:val="none"/>
              </w:rPr>
              <w:t>、针对性</w:t>
            </w:r>
            <w:r>
              <w:rPr>
                <w:rFonts w:hint="eastAsia" w:ascii="仿宋" w:eastAsia="仿宋"/>
                <w:color w:val="auto"/>
                <w:sz w:val="24"/>
                <w:highlight w:val="none"/>
                <w:lang w:val="en-US" w:eastAsia="zh-CN"/>
              </w:rPr>
              <w:t>一般</w:t>
            </w:r>
            <w:r>
              <w:rPr>
                <w:rFonts w:hint="eastAsia" w:ascii="仿宋" w:eastAsia="仿宋"/>
                <w:color w:val="auto"/>
                <w:sz w:val="24"/>
                <w:highlight w:val="none"/>
              </w:rPr>
              <w:t>的得</w:t>
            </w:r>
            <w:r>
              <w:rPr>
                <w:rFonts w:hint="eastAsia" w:ascii="仿宋" w:eastAsia="仿宋"/>
                <w:color w:val="auto"/>
                <w:sz w:val="24"/>
                <w:highlight w:val="none"/>
                <w:lang w:val="en-US" w:eastAsia="zh-CN"/>
              </w:rPr>
              <w:t>3.9</w:t>
            </w:r>
            <w:r>
              <w:rPr>
                <w:rFonts w:ascii="仿宋" w:eastAsia="仿宋"/>
                <w:color w:val="auto"/>
                <w:sz w:val="24"/>
                <w:highlight w:val="none"/>
              </w:rPr>
              <w:t>-</w:t>
            </w:r>
            <w:r>
              <w:rPr>
                <w:rFonts w:hint="eastAsia" w:ascii="仿宋" w:eastAsia="仿宋"/>
                <w:color w:val="auto"/>
                <w:sz w:val="24"/>
                <w:highlight w:val="none"/>
                <w:lang w:val="en-US" w:eastAsia="zh-CN"/>
              </w:rPr>
              <w:t>1</w:t>
            </w:r>
            <w:r>
              <w:rPr>
                <w:rFonts w:hint="eastAsia" w:ascii="仿宋" w:eastAsia="仿宋"/>
                <w:color w:val="auto"/>
                <w:sz w:val="24"/>
                <w:highlight w:val="none"/>
              </w:rPr>
              <w:t>分，</w:t>
            </w:r>
            <w:r>
              <w:rPr>
                <w:rFonts w:hint="eastAsia" w:ascii="仿宋" w:eastAsia="仿宋"/>
                <w:color w:val="auto"/>
                <w:sz w:val="24"/>
                <w:highlight w:val="none"/>
                <w:lang w:val="en-US" w:eastAsia="zh-CN"/>
              </w:rPr>
              <w:t>工作量分配较差、</w:t>
            </w:r>
            <w:r>
              <w:rPr>
                <w:rFonts w:hint="eastAsia" w:ascii="仿宋" w:eastAsia="仿宋"/>
                <w:color w:val="auto"/>
                <w:sz w:val="24"/>
                <w:highlight w:val="none"/>
              </w:rPr>
              <w:t>计划</w:t>
            </w:r>
            <w:r>
              <w:rPr>
                <w:rFonts w:hint="eastAsia" w:ascii="仿宋" w:eastAsia="仿宋"/>
                <w:color w:val="auto"/>
                <w:sz w:val="24"/>
                <w:highlight w:val="none"/>
                <w:lang w:val="en-US" w:eastAsia="zh-CN"/>
              </w:rPr>
              <w:t>较差</w:t>
            </w:r>
            <w:r>
              <w:rPr>
                <w:rFonts w:hint="eastAsia" w:ascii="仿宋" w:eastAsia="仿宋"/>
                <w:color w:val="auto"/>
                <w:sz w:val="24"/>
                <w:highlight w:val="none"/>
              </w:rPr>
              <w:t>、有针对性</w:t>
            </w:r>
            <w:r>
              <w:rPr>
                <w:rFonts w:hint="eastAsia" w:ascii="仿宋" w:eastAsia="仿宋"/>
                <w:color w:val="auto"/>
                <w:sz w:val="24"/>
                <w:highlight w:val="none"/>
                <w:lang w:val="en-US" w:eastAsia="zh-CN"/>
              </w:rPr>
              <w:t>较差</w:t>
            </w:r>
            <w:r>
              <w:rPr>
                <w:rFonts w:hint="eastAsia" w:ascii="仿宋" w:eastAsia="仿宋"/>
                <w:color w:val="auto"/>
                <w:sz w:val="24"/>
                <w:highlight w:val="none"/>
              </w:rPr>
              <w:t>的得</w:t>
            </w:r>
            <w:r>
              <w:rPr>
                <w:rFonts w:hint="eastAsia" w:ascii="仿宋" w:eastAsia="仿宋"/>
                <w:color w:val="auto"/>
                <w:sz w:val="24"/>
                <w:highlight w:val="none"/>
                <w:lang w:val="en-US" w:eastAsia="zh-CN"/>
              </w:rPr>
              <w:t>0.9</w:t>
            </w:r>
            <w:r>
              <w:rPr>
                <w:rFonts w:ascii="仿宋" w:eastAsia="仿宋"/>
                <w:color w:val="auto"/>
                <w:sz w:val="24"/>
                <w:highlight w:val="none"/>
              </w:rPr>
              <w:t>-</w:t>
            </w:r>
            <w:r>
              <w:rPr>
                <w:rFonts w:hint="eastAsia" w:ascii="仿宋" w:eastAsia="仿宋"/>
                <w:color w:val="auto"/>
                <w:sz w:val="24"/>
                <w:highlight w:val="none"/>
                <w:lang w:val="en-US" w:eastAsia="zh-CN"/>
              </w:rPr>
              <w:t>0.1</w:t>
            </w:r>
            <w:r>
              <w:rPr>
                <w:rFonts w:hint="eastAsia" w:ascii="仿宋" w:eastAsia="仿宋"/>
                <w:color w:val="auto"/>
                <w:sz w:val="24"/>
                <w:highlight w:val="none"/>
              </w:rPr>
              <w:t>分</w:t>
            </w:r>
            <w:r>
              <w:rPr>
                <w:rFonts w:hint="eastAsia" w:ascii="仿宋" w:hAnsi="仿宋" w:eastAsia="仿宋" w:cs="仿宋_GB2312"/>
                <w:color w:val="auto"/>
                <w:sz w:val="24"/>
                <w:highlight w:val="none"/>
              </w:rPr>
              <w:t>，其余不得分。</w:t>
            </w:r>
          </w:p>
        </w:tc>
        <w:tc>
          <w:tcPr>
            <w:tcW w:w="806" w:type="dxa"/>
            <w:noWrap w:val="0"/>
            <w:vAlign w:val="center"/>
          </w:tcPr>
          <w:p w14:paraId="33768EF9">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11</w:t>
            </w:r>
            <w:r>
              <w:rPr>
                <w:rFonts w:hint="eastAsia" w:ascii="仿宋" w:hAnsi="仿宋" w:eastAsia="仿宋"/>
                <w:color w:val="auto"/>
                <w:kern w:val="0"/>
                <w:sz w:val="24"/>
                <w:highlight w:val="none"/>
              </w:rPr>
              <w:t>分</w:t>
            </w:r>
          </w:p>
        </w:tc>
      </w:tr>
      <w:tr w14:paraId="58B5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6" w:type="dxa"/>
            <w:vMerge w:val="continue"/>
            <w:noWrap w:val="0"/>
            <w:vAlign w:val="center"/>
          </w:tcPr>
          <w:p w14:paraId="5440B529">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570C0989">
            <w:pPr>
              <w:jc w:val="center"/>
              <w:rPr>
                <w:rFonts w:ascii="仿宋" w:hAnsi="仿宋" w:eastAsia="仿宋"/>
                <w:iCs/>
                <w:color w:val="auto"/>
                <w:sz w:val="24"/>
                <w:highlight w:val="none"/>
              </w:rPr>
            </w:pPr>
            <w:r>
              <w:rPr>
                <w:rFonts w:hint="eastAsia" w:ascii="仿宋" w:hAnsi="仿宋" w:eastAsia="仿宋"/>
                <w:iCs/>
                <w:color w:val="auto"/>
                <w:sz w:val="24"/>
                <w:highlight w:val="none"/>
              </w:rPr>
              <w:t>招标项目的质量保证措施、进度保证措施</w:t>
            </w:r>
          </w:p>
        </w:tc>
        <w:tc>
          <w:tcPr>
            <w:tcW w:w="6144" w:type="dxa"/>
            <w:noWrap w:val="0"/>
            <w:vAlign w:val="center"/>
          </w:tcPr>
          <w:p w14:paraId="330DAA92">
            <w:pPr>
              <w:jc w:val="left"/>
              <w:rPr>
                <w:rFonts w:ascii="仿宋" w:hAnsi="仿宋" w:eastAsia="仿宋"/>
                <w:color w:val="auto"/>
                <w:sz w:val="24"/>
                <w:highlight w:val="none"/>
              </w:rPr>
            </w:pPr>
            <w:r>
              <w:rPr>
                <w:rFonts w:hint="eastAsia" w:ascii="仿宋" w:hAnsi="仿宋" w:eastAsia="仿宋"/>
                <w:color w:val="auto"/>
                <w:sz w:val="24"/>
                <w:highlight w:val="none"/>
              </w:rPr>
              <w:t>对招标项目的质量保证措施、进度保证措施的合理性进行打分。</w:t>
            </w:r>
          </w:p>
          <w:p w14:paraId="6AFF9C1D">
            <w:pPr>
              <w:jc w:val="left"/>
              <w:rPr>
                <w:rFonts w:ascii="仿宋" w:hAnsi="仿宋" w:eastAsia="仿宋"/>
                <w:color w:val="auto"/>
                <w:sz w:val="24"/>
                <w:highlight w:val="none"/>
              </w:rPr>
            </w:pPr>
            <w:r>
              <w:rPr>
                <w:rFonts w:hint="eastAsia" w:ascii="仿宋" w:eastAsia="仿宋"/>
                <w:color w:val="auto"/>
                <w:sz w:val="24"/>
                <w:highlight w:val="none"/>
              </w:rPr>
              <w:t>措施合理可行、完善、具有针对性的得</w:t>
            </w:r>
            <w:r>
              <w:rPr>
                <w:rFonts w:hint="eastAsia" w:ascii="仿宋" w:eastAsia="仿宋"/>
                <w:color w:val="auto"/>
                <w:sz w:val="24"/>
                <w:highlight w:val="none"/>
                <w:lang w:val="en-US" w:eastAsia="zh-CN"/>
              </w:rPr>
              <w:t>11-7</w:t>
            </w:r>
            <w:r>
              <w:rPr>
                <w:rFonts w:hint="eastAsia" w:ascii="仿宋" w:eastAsia="仿宋"/>
                <w:color w:val="auto"/>
                <w:sz w:val="24"/>
                <w:highlight w:val="none"/>
              </w:rPr>
              <w:t>分，措施较为合理可行、完善、较具有针对性的得</w:t>
            </w:r>
            <w:r>
              <w:rPr>
                <w:rFonts w:hint="eastAsia" w:ascii="仿宋" w:eastAsia="仿宋"/>
                <w:color w:val="auto"/>
                <w:sz w:val="24"/>
                <w:highlight w:val="none"/>
                <w:lang w:val="en-US" w:eastAsia="zh-CN"/>
              </w:rPr>
              <w:t>6.9</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分,措施一般</w:t>
            </w:r>
            <w:r>
              <w:rPr>
                <w:rFonts w:hint="eastAsia" w:ascii="仿宋" w:eastAsia="仿宋"/>
                <w:color w:val="auto"/>
                <w:sz w:val="24"/>
                <w:highlight w:val="none"/>
                <w:lang w:eastAsia="zh-CN"/>
              </w:rPr>
              <w:t>、</w:t>
            </w:r>
            <w:r>
              <w:rPr>
                <w:rFonts w:hint="eastAsia" w:ascii="仿宋" w:eastAsia="仿宋"/>
                <w:color w:val="auto"/>
                <w:sz w:val="24"/>
                <w:highlight w:val="none"/>
              </w:rPr>
              <w:t>针对性一般的得</w:t>
            </w:r>
            <w:r>
              <w:rPr>
                <w:rFonts w:hint="eastAsia" w:ascii="仿宋" w:eastAsia="仿宋"/>
                <w:color w:val="auto"/>
                <w:sz w:val="24"/>
                <w:highlight w:val="none"/>
                <w:lang w:val="en-US" w:eastAsia="zh-CN"/>
              </w:rPr>
              <w:t>3.9</w:t>
            </w:r>
            <w:r>
              <w:rPr>
                <w:rFonts w:hint="eastAsia" w:ascii="仿宋" w:eastAsia="仿宋"/>
                <w:color w:val="auto"/>
                <w:sz w:val="24"/>
                <w:highlight w:val="none"/>
              </w:rPr>
              <w:t>-</w:t>
            </w:r>
            <w:r>
              <w:rPr>
                <w:rFonts w:hint="eastAsia" w:ascii="仿宋" w:eastAsia="仿宋"/>
                <w:color w:val="auto"/>
                <w:sz w:val="24"/>
                <w:highlight w:val="none"/>
                <w:lang w:val="en-US" w:eastAsia="zh-CN"/>
              </w:rPr>
              <w:t>1</w:t>
            </w:r>
            <w:r>
              <w:rPr>
                <w:rFonts w:hint="eastAsia" w:ascii="仿宋" w:eastAsia="仿宋"/>
                <w:color w:val="auto"/>
                <w:sz w:val="24"/>
                <w:highlight w:val="none"/>
              </w:rPr>
              <w:t>分,措施</w:t>
            </w:r>
            <w:r>
              <w:rPr>
                <w:rFonts w:hint="eastAsia" w:ascii="仿宋" w:eastAsia="仿宋"/>
                <w:color w:val="auto"/>
                <w:sz w:val="24"/>
                <w:highlight w:val="none"/>
                <w:lang w:val="en-US" w:eastAsia="zh-CN"/>
              </w:rPr>
              <w:t>较差</w:t>
            </w:r>
            <w:r>
              <w:rPr>
                <w:rFonts w:hint="eastAsia" w:ascii="仿宋" w:eastAsia="仿宋"/>
                <w:color w:val="auto"/>
                <w:sz w:val="24"/>
                <w:highlight w:val="none"/>
                <w:lang w:eastAsia="zh-CN"/>
              </w:rPr>
              <w:t>、</w:t>
            </w:r>
            <w:r>
              <w:rPr>
                <w:rFonts w:hint="eastAsia" w:ascii="仿宋" w:eastAsia="仿宋"/>
                <w:color w:val="auto"/>
                <w:sz w:val="24"/>
                <w:highlight w:val="none"/>
              </w:rPr>
              <w:t>针对性</w:t>
            </w:r>
            <w:r>
              <w:rPr>
                <w:rFonts w:hint="eastAsia" w:ascii="仿宋" w:eastAsia="仿宋"/>
                <w:color w:val="auto"/>
                <w:sz w:val="24"/>
                <w:highlight w:val="none"/>
                <w:lang w:val="en-US" w:eastAsia="zh-CN"/>
              </w:rPr>
              <w:t>较差</w:t>
            </w:r>
            <w:r>
              <w:rPr>
                <w:rFonts w:hint="eastAsia" w:ascii="仿宋" w:eastAsia="仿宋"/>
                <w:color w:val="auto"/>
                <w:sz w:val="24"/>
                <w:highlight w:val="none"/>
              </w:rPr>
              <w:t>的得</w:t>
            </w:r>
            <w:r>
              <w:rPr>
                <w:rFonts w:hint="eastAsia" w:ascii="仿宋" w:eastAsia="仿宋"/>
                <w:color w:val="auto"/>
                <w:sz w:val="24"/>
                <w:highlight w:val="none"/>
                <w:lang w:val="en-US" w:eastAsia="zh-CN"/>
              </w:rPr>
              <w:t>0.9</w:t>
            </w:r>
            <w:r>
              <w:rPr>
                <w:rFonts w:hint="eastAsia" w:ascii="仿宋" w:eastAsia="仿宋"/>
                <w:color w:val="auto"/>
                <w:sz w:val="24"/>
                <w:highlight w:val="none"/>
              </w:rPr>
              <w:t>-</w:t>
            </w:r>
            <w:r>
              <w:rPr>
                <w:rFonts w:hint="eastAsia" w:ascii="仿宋" w:eastAsia="仿宋"/>
                <w:color w:val="auto"/>
                <w:sz w:val="24"/>
                <w:highlight w:val="none"/>
                <w:lang w:val="en-US" w:eastAsia="zh-CN"/>
              </w:rPr>
              <w:t>0.1</w:t>
            </w:r>
            <w:r>
              <w:rPr>
                <w:rFonts w:hint="eastAsia" w:ascii="仿宋" w:eastAsia="仿宋"/>
                <w:color w:val="auto"/>
                <w:sz w:val="24"/>
                <w:highlight w:val="none"/>
              </w:rPr>
              <w:t>分</w:t>
            </w:r>
            <w:r>
              <w:rPr>
                <w:rFonts w:hint="eastAsia" w:ascii="仿宋" w:hAnsi="仿宋" w:eastAsia="仿宋" w:cs="仿宋_GB2312"/>
                <w:color w:val="auto"/>
                <w:sz w:val="24"/>
                <w:highlight w:val="none"/>
              </w:rPr>
              <w:t>，其余不得分。</w:t>
            </w:r>
          </w:p>
        </w:tc>
        <w:tc>
          <w:tcPr>
            <w:tcW w:w="806" w:type="dxa"/>
            <w:noWrap w:val="0"/>
            <w:vAlign w:val="center"/>
          </w:tcPr>
          <w:p w14:paraId="36096403">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11</w:t>
            </w:r>
            <w:r>
              <w:rPr>
                <w:rFonts w:hint="eastAsia" w:ascii="仿宋" w:hAnsi="仿宋" w:eastAsia="仿宋"/>
                <w:color w:val="auto"/>
                <w:kern w:val="0"/>
                <w:sz w:val="24"/>
                <w:highlight w:val="none"/>
              </w:rPr>
              <w:t>分</w:t>
            </w:r>
          </w:p>
        </w:tc>
      </w:tr>
      <w:tr w14:paraId="3E26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6" w:type="dxa"/>
            <w:vMerge w:val="continue"/>
            <w:noWrap w:val="0"/>
            <w:vAlign w:val="center"/>
          </w:tcPr>
          <w:p w14:paraId="6FBD186B">
            <w:pPr>
              <w:adjustRightInd/>
              <w:spacing w:line="400" w:lineRule="exact"/>
              <w:jc w:val="center"/>
              <w:rPr>
                <w:rFonts w:ascii="仿宋" w:hAnsi="仿宋" w:eastAsia="仿宋"/>
                <w:color w:val="auto"/>
                <w:kern w:val="0"/>
                <w:sz w:val="24"/>
                <w:highlight w:val="none"/>
              </w:rPr>
            </w:pPr>
          </w:p>
        </w:tc>
        <w:tc>
          <w:tcPr>
            <w:tcW w:w="1848" w:type="dxa"/>
            <w:noWrap w:val="0"/>
            <w:vAlign w:val="center"/>
          </w:tcPr>
          <w:p w14:paraId="01FF3EA9">
            <w:pPr>
              <w:jc w:val="center"/>
              <w:rPr>
                <w:rFonts w:ascii="仿宋" w:hAnsi="仿宋" w:eastAsia="仿宋"/>
                <w:iCs/>
                <w:color w:val="auto"/>
                <w:sz w:val="24"/>
                <w:highlight w:val="none"/>
              </w:rPr>
            </w:pPr>
            <w:r>
              <w:rPr>
                <w:rFonts w:hint="eastAsia" w:ascii="仿宋" w:hAnsi="仿宋" w:eastAsia="仿宋"/>
                <w:iCs/>
                <w:color w:val="auto"/>
                <w:sz w:val="24"/>
                <w:highlight w:val="none"/>
              </w:rPr>
              <w:t>后续服务的安排及保证措施</w:t>
            </w:r>
          </w:p>
        </w:tc>
        <w:tc>
          <w:tcPr>
            <w:tcW w:w="6144" w:type="dxa"/>
            <w:noWrap w:val="0"/>
            <w:vAlign w:val="center"/>
          </w:tcPr>
          <w:p w14:paraId="1F2F3D5D">
            <w:pPr>
              <w:jc w:val="left"/>
              <w:rPr>
                <w:rFonts w:hint="eastAsia" w:ascii="仿宋" w:hAnsi="仿宋" w:eastAsia="仿宋"/>
                <w:color w:val="auto"/>
                <w:sz w:val="24"/>
                <w:highlight w:val="none"/>
              </w:rPr>
            </w:pPr>
            <w:r>
              <w:rPr>
                <w:rFonts w:hint="eastAsia" w:ascii="仿宋" w:hAnsi="仿宋" w:eastAsia="仿宋"/>
                <w:color w:val="auto"/>
                <w:sz w:val="24"/>
                <w:highlight w:val="none"/>
              </w:rPr>
              <w:t>对后续服务的安排及保证措施的合理性（主要包含完成安全评价报告书编制并获得相关管理部门审批通过的时间</w:t>
            </w:r>
            <w:r>
              <w:rPr>
                <w:rFonts w:hint="eastAsia" w:ascii="仿宋" w:hAnsi="仿宋" w:eastAsia="仿宋"/>
                <w:color w:val="auto"/>
                <w:sz w:val="24"/>
                <w:highlight w:val="none"/>
                <w:lang w:val="en-US" w:eastAsia="zh-CN"/>
              </w:rPr>
              <w:t>等</w:t>
            </w:r>
            <w:r>
              <w:rPr>
                <w:rFonts w:hint="eastAsia" w:ascii="仿宋" w:hAnsi="仿宋" w:eastAsia="仿宋"/>
                <w:color w:val="auto"/>
                <w:sz w:val="24"/>
                <w:highlight w:val="none"/>
              </w:rPr>
              <w:t>）进行打分。</w:t>
            </w:r>
          </w:p>
          <w:p w14:paraId="3E71F4DE">
            <w:pPr>
              <w:jc w:val="left"/>
              <w:rPr>
                <w:rFonts w:ascii="仿宋" w:hAnsi="仿宋" w:eastAsia="仿宋"/>
                <w:color w:val="auto"/>
                <w:sz w:val="24"/>
                <w:highlight w:val="none"/>
              </w:rPr>
            </w:pPr>
            <w:r>
              <w:rPr>
                <w:rFonts w:hint="eastAsia" w:ascii="仿宋" w:eastAsia="仿宋"/>
                <w:color w:val="auto"/>
                <w:sz w:val="24"/>
                <w:highlight w:val="none"/>
              </w:rPr>
              <w:t>措施合理可行、完善、具有针对性的得</w:t>
            </w:r>
            <w:r>
              <w:rPr>
                <w:rFonts w:hint="eastAsia" w:ascii="仿宋" w:eastAsia="仿宋"/>
                <w:color w:val="auto"/>
                <w:sz w:val="24"/>
                <w:highlight w:val="none"/>
                <w:lang w:val="en-US" w:eastAsia="zh-CN"/>
              </w:rPr>
              <w:t>11-7</w:t>
            </w:r>
            <w:r>
              <w:rPr>
                <w:rFonts w:hint="eastAsia" w:ascii="仿宋" w:eastAsia="仿宋"/>
                <w:color w:val="auto"/>
                <w:sz w:val="24"/>
                <w:highlight w:val="none"/>
              </w:rPr>
              <w:t>分，措施较为合理可行、完善、较具有针对性的得</w:t>
            </w:r>
            <w:r>
              <w:rPr>
                <w:rFonts w:hint="eastAsia" w:ascii="仿宋" w:eastAsia="仿宋"/>
                <w:color w:val="auto"/>
                <w:sz w:val="24"/>
                <w:highlight w:val="none"/>
                <w:lang w:val="en-US" w:eastAsia="zh-CN"/>
              </w:rPr>
              <w:t>6.9</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分,措施一般</w:t>
            </w:r>
            <w:r>
              <w:rPr>
                <w:rFonts w:hint="eastAsia" w:ascii="仿宋" w:eastAsia="仿宋"/>
                <w:color w:val="auto"/>
                <w:sz w:val="24"/>
                <w:highlight w:val="none"/>
                <w:lang w:eastAsia="zh-CN"/>
              </w:rPr>
              <w:t>、</w:t>
            </w:r>
            <w:r>
              <w:rPr>
                <w:rFonts w:hint="eastAsia" w:ascii="仿宋" w:eastAsia="仿宋"/>
                <w:color w:val="auto"/>
                <w:sz w:val="24"/>
                <w:highlight w:val="none"/>
              </w:rPr>
              <w:t>针对性一般的得</w:t>
            </w:r>
            <w:r>
              <w:rPr>
                <w:rFonts w:hint="eastAsia" w:ascii="仿宋" w:eastAsia="仿宋"/>
                <w:color w:val="auto"/>
                <w:sz w:val="24"/>
                <w:highlight w:val="none"/>
                <w:lang w:val="en-US" w:eastAsia="zh-CN"/>
              </w:rPr>
              <w:t>3.9</w:t>
            </w:r>
            <w:r>
              <w:rPr>
                <w:rFonts w:hint="eastAsia" w:ascii="仿宋" w:eastAsia="仿宋"/>
                <w:color w:val="auto"/>
                <w:sz w:val="24"/>
                <w:highlight w:val="none"/>
              </w:rPr>
              <w:t>-</w:t>
            </w:r>
            <w:r>
              <w:rPr>
                <w:rFonts w:hint="eastAsia" w:ascii="仿宋" w:eastAsia="仿宋"/>
                <w:color w:val="auto"/>
                <w:sz w:val="24"/>
                <w:highlight w:val="none"/>
                <w:lang w:val="en-US" w:eastAsia="zh-CN"/>
              </w:rPr>
              <w:t>1</w:t>
            </w:r>
            <w:r>
              <w:rPr>
                <w:rFonts w:hint="eastAsia" w:ascii="仿宋" w:eastAsia="仿宋"/>
                <w:color w:val="auto"/>
                <w:sz w:val="24"/>
                <w:highlight w:val="none"/>
              </w:rPr>
              <w:t>分,措施</w:t>
            </w:r>
            <w:r>
              <w:rPr>
                <w:rFonts w:hint="eastAsia" w:ascii="仿宋" w:eastAsia="仿宋"/>
                <w:color w:val="auto"/>
                <w:sz w:val="24"/>
                <w:highlight w:val="none"/>
                <w:lang w:val="en-US" w:eastAsia="zh-CN"/>
              </w:rPr>
              <w:t>较差</w:t>
            </w:r>
            <w:r>
              <w:rPr>
                <w:rFonts w:hint="eastAsia" w:ascii="仿宋" w:eastAsia="仿宋"/>
                <w:color w:val="auto"/>
                <w:sz w:val="24"/>
                <w:highlight w:val="none"/>
                <w:lang w:eastAsia="zh-CN"/>
              </w:rPr>
              <w:t>、</w:t>
            </w:r>
            <w:r>
              <w:rPr>
                <w:rFonts w:hint="eastAsia" w:ascii="仿宋" w:eastAsia="仿宋"/>
                <w:color w:val="auto"/>
                <w:sz w:val="24"/>
                <w:highlight w:val="none"/>
              </w:rPr>
              <w:t>针对性</w:t>
            </w:r>
            <w:r>
              <w:rPr>
                <w:rFonts w:hint="eastAsia" w:ascii="仿宋" w:eastAsia="仿宋"/>
                <w:color w:val="auto"/>
                <w:sz w:val="24"/>
                <w:highlight w:val="none"/>
                <w:lang w:val="en-US" w:eastAsia="zh-CN"/>
              </w:rPr>
              <w:t>较差</w:t>
            </w:r>
            <w:r>
              <w:rPr>
                <w:rFonts w:hint="eastAsia" w:ascii="仿宋" w:eastAsia="仿宋"/>
                <w:color w:val="auto"/>
                <w:sz w:val="24"/>
                <w:highlight w:val="none"/>
              </w:rPr>
              <w:t>的得</w:t>
            </w:r>
            <w:r>
              <w:rPr>
                <w:rFonts w:hint="eastAsia" w:ascii="仿宋" w:eastAsia="仿宋"/>
                <w:color w:val="auto"/>
                <w:sz w:val="24"/>
                <w:highlight w:val="none"/>
                <w:lang w:val="en-US" w:eastAsia="zh-CN"/>
              </w:rPr>
              <w:t>0.9</w:t>
            </w:r>
            <w:r>
              <w:rPr>
                <w:rFonts w:hint="eastAsia" w:ascii="仿宋" w:eastAsia="仿宋"/>
                <w:color w:val="auto"/>
                <w:sz w:val="24"/>
                <w:highlight w:val="none"/>
              </w:rPr>
              <w:t>-</w:t>
            </w:r>
            <w:r>
              <w:rPr>
                <w:rFonts w:hint="eastAsia" w:ascii="仿宋" w:eastAsia="仿宋"/>
                <w:color w:val="auto"/>
                <w:sz w:val="24"/>
                <w:highlight w:val="none"/>
                <w:lang w:val="en-US" w:eastAsia="zh-CN"/>
              </w:rPr>
              <w:t>0.1</w:t>
            </w:r>
            <w:r>
              <w:rPr>
                <w:rFonts w:hint="eastAsia" w:ascii="仿宋" w:eastAsia="仿宋"/>
                <w:color w:val="auto"/>
                <w:sz w:val="24"/>
                <w:highlight w:val="none"/>
              </w:rPr>
              <w:t>分</w:t>
            </w:r>
            <w:r>
              <w:rPr>
                <w:rFonts w:hint="eastAsia" w:ascii="仿宋" w:hAnsi="仿宋" w:eastAsia="仿宋" w:cs="仿宋_GB2312"/>
                <w:color w:val="auto"/>
                <w:sz w:val="24"/>
                <w:highlight w:val="none"/>
              </w:rPr>
              <w:t>，其余不得分。</w:t>
            </w:r>
          </w:p>
        </w:tc>
        <w:tc>
          <w:tcPr>
            <w:tcW w:w="806" w:type="dxa"/>
            <w:noWrap w:val="0"/>
            <w:vAlign w:val="center"/>
          </w:tcPr>
          <w:p w14:paraId="7B8C10BB">
            <w:pPr>
              <w:adjustRightInd/>
              <w:jc w:val="center"/>
              <w:rPr>
                <w:rFonts w:ascii="仿宋" w:hAnsi="仿宋" w:eastAsia="仿宋"/>
                <w:color w:val="auto"/>
                <w:kern w:val="0"/>
                <w:sz w:val="24"/>
                <w:highlight w:val="none"/>
              </w:rPr>
            </w:pPr>
            <w:r>
              <w:rPr>
                <w:rFonts w:hint="eastAsia" w:ascii="仿宋" w:hAnsi="仿宋" w:eastAsia="仿宋"/>
                <w:color w:val="auto"/>
                <w:kern w:val="0"/>
                <w:sz w:val="24"/>
                <w:highlight w:val="none"/>
                <w:lang w:val="en-US" w:eastAsia="zh-CN"/>
              </w:rPr>
              <w:t>11</w:t>
            </w:r>
            <w:bookmarkStart w:id="451" w:name="_GoBack"/>
            <w:bookmarkEnd w:id="451"/>
            <w:r>
              <w:rPr>
                <w:rFonts w:hint="eastAsia" w:ascii="仿宋" w:hAnsi="仿宋" w:eastAsia="仿宋"/>
                <w:color w:val="auto"/>
                <w:kern w:val="0"/>
                <w:sz w:val="24"/>
                <w:highlight w:val="none"/>
              </w:rPr>
              <w:t>分</w:t>
            </w:r>
          </w:p>
        </w:tc>
      </w:tr>
    </w:tbl>
    <w:p w14:paraId="6EB500D9">
      <w:pPr>
        <w:pStyle w:val="22"/>
        <w:spacing w:before="0"/>
        <w:ind w:firstLine="480"/>
        <w:rPr>
          <w:rFonts w:hint="eastAsia" w:ascii="仿宋" w:hAnsi="仿宋" w:eastAsia="仿宋" w:cs="仿宋_GB2312"/>
          <w:b w:val="0"/>
          <w:bCs w:val="0"/>
          <w:color w:val="auto"/>
          <w:sz w:val="24"/>
          <w:highlight w:val="none"/>
        </w:rPr>
      </w:pPr>
    </w:p>
    <w:p w14:paraId="6E8D3856">
      <w:pPr>
        <w:pStyle w:val="22"/>
        <w:spacing w:before="0"/>
        <w:ind w:firstLine="480"/>
        <w:rPr>
          <w:rFonts w:hint="eastAsia" w:ascii="仿宋" w:hAnsi="仿宋" w:eastAsia="仿宋" w:cs="仿宋"/>
          <w:b w:val="0"/>
          <w:bCs w:val="0"/>
          <w:color w:val="auto"/>
          <w:sz w:val="24"/>
          <w:szCs w:val="24"/>
          <w:highlight w:val="none"/>
          <w:u w:val="none"/>
          <w:lang w:val="en-US"/>
        </w:rPr>
      </w:pPr>
      <w:r>
        <w:rPr>
          <w:rFonts w:hint="eastAsia" w:ascii="仿宋" w:hAnsi="仿宋" w:eastAsia="仿宋" w:cs="仿宋_GB2312"/>
          <w:b w:val="0"/>
          <w:bCs w:val="0"/>
          <w:color w:val="auto"/>
          <w:sz w:val="24"/>
          <w:highlight w:val="none"/>
        </w:rPr>
        <w:t>2</w:t>
      </w:r>
      <w:r>
        <w:rPr>
          <w:rFonts w:ascii="仿宋" w:hAnsi="仿宋" w:eastAsia="仿宋" w:cs="仿宋_GB2312"/>
          <w:b w:val="0"/>
          <w:bCs w:val="0"/>
          <w:color w:val="auto"/>
          <w:sz w:val="24"/>
          <w:highlight w:val="none"/>
        </w:rPr>
        <w:t>2.</w:t>
      </w:r>
      <w:r>
        <w:rPr>
          <w:rFonts w:hint="eastAsia" w:ascii="仿宋" w:hAnsi="仿宋" w:eastAsia="仿宋" w:cs="仿宋"/>
          <w:b w:val="0"/>
          <w:bCs w:val="0"/>
          <w:color w:val="auto"/>
          <w:sz w:val="24"/>
          <w:szCs w:val="24"/>
          <w:highlight w:val="none"/>
          <w:u w:val="none"/>
          <w:lang w:val="en-US"/>
        </w:rPr>
        <w:t>价格分（</w:t>
      </w:r>
      <w:r>
        <w:rPr>
          <w:rFonts w:hint="eastAsia" w:ascii="仿宋" w:hAnsi="仿宋" w:eastAsia="仿宋" w:cs="仿宋"/>
          <w:b w:val="0"/>
          <w:bCs w:val="0"/>
          <w:color w:val="auto"/>
          <w:sz w:val="24"/>
          <w:szCs w:val="24"/>
          <w:highlight w:val="none"/>
          <w:u w:val="none"/>
          <w:lang w:val="en-US" w:eastAsia="zh-CN"/>
        </w:rPr>
        <w:t>30</w:t>
      </w:r>
      <w:r>
        <w:rPr>
          <w:rFonts w:hint="eastAsia" w:ascii="仿宋" w:hAnsi="仿宋" w:eastAsia="仿宋" w:cs="仿宋"/>
          <w:b w:val="0"/>
          <w:bCs w:val="0"/>
          <w:color w:val="auto"/>
          <w:sz w:val="24"/>
          <w:szCs w:val="24"/>
          <w:highlight w:val="none"/>
          <w:u w:val="none"/>
          <w:lang w:val="en-US"/>
        </w:rPr>
        <w:t>分）</w:t>
      </w:r>
    </w:p>
    <w:tbl>
      <w:tblPr>
        <w:tblStyle w:val="17"/>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8578"/>
      </w:tblGrid>
      <w:tr w14:paraId="0AB4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bottom"/>
          </w:tcPr>
          <w:p w14:paraId="0D761CE5">
            <w:pPr>
              <w:widowControl/>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价格分</w:t>
            </w:r>
          </w:p>
        </w:tc>
        <w:tc>
          <w:tcPr>
            <w:tcW w:w="8583" w:type="dxa"/>
            <w:tcBorders>
              <w:top w:val="single" w:color="auto" w:sz="4" w:space="0"/>
              <w:left w:val="single" w:color="auto" w:sz="4" w:space="0"/>
              <w:bottom w:val="single" w:color="auto" w:sz="4" w:space="0"/>
              <w:right w:val="single" w:color="auto" w:sz="4" w:space="0"/>
            </w:tcBorders>
            <w:noWrap w:val="0"/>
            <w:vAlign w:val="center"/>
          </w:tcPr>
          <w:p w14:paraId="289E30A7">
            <w:pPr>
              <w:widowControl/>
              <w:spacing w:line="360" w:lineRule="auto"/>
              <w:ind w:firstLine="480" w:firstLineChars="20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计算方法</w:t>
            </w:r>
          </w:p>
        </w:tc>
      </w:tr>
      <w:tr w14:paraId="3C80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14:paraId="0A981C5C">
            <w:pPr>
              <w:widowControl/>
              <w:numPr>
                <w:ilvl w:val="0"/>
                <w:numId w:val="0"/>
              </w:numPr>
              <w:spacing w:line="360" w:lineRule="auto"/>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30分</w:t>
            </w:r>
          </w:p>
        </w:tc>
        <w:tc>
          <w:tcPr>
            <w:tcW w:w="8583" w:type="dxa"/>
            <w:tcBorders>
              <w:top w:val="single" w:color="auto" w:sz="4" w:space="0"/>
              <w:left w:val="single" w:color="auto" w:sz="4" w:space="0"/>
              <w:bottom w:val="single" w:color="auto" w:sz="4" w:space="0"/>
              <w:right w:val="single" w:color="auto" w:sz="4" w:space="0"/>
            </w:tcBorders>
            <w:noWrap w:val="0"/>
            <w:vAlign w:val="center"/>
          </w:tcPr>
          <w:p w14:paraId="4C5B1929">
            <w:pPr>
              <w:widowControl/>
              <w:numPr>
                <w:ilvl w:val="0"/>
                <w:numId w:val="0"/>
              </w:numPr>
              <w:spacing w:line="360" w:lineRule="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本项目价格分计算方法为合理低价法，价格分满分为30分；</w:t>
            </w:r>
          </w:p>
          <w:p w14:paraId="33235B7F">
            <w:pPr>
              <w:widowControl/>
              <w:numPr>
                <w:ilvl w:val="0"/>
                <w:numId w:val="0"/>
              </w:numPr>
              <w:spacing w:line="360" w:lineRule="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 xml:space="preserve">1、所有有效报价的算术平均值为满分基准价（当有效报价在8家及以上时，先在有效报价中去掉1个最高报价、1个最低报价后进行算术平均）；当有效报价在5-7家时，在有效报价中去掉1个最高报价后进行算术平均；当有效报价在4家及以下时，直接以算术平均值为评标基准价，算术平均值四舍五入后保留小数点后两位; </w:t>
            </w:r>
          </w:p>
          <w:p w14:paraId="67C79057">
            <w:pPr>
              <w:widowControl/>
              <w:numPr>
                <w:ilvl w:val="0"/>
                <w:numId w:val="0"/>
              </w:numPr>
              <w:spacing w:line="360" w:lineRule="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2、各投标人的有效报价每高于满分基准价1个百分点扣</w:t>
            </w:r>
            <w:r>
              <w:rPr>
                <w:rFonts w:hint="eastAsia" w:ascii="仿宋" w:hAnsi="仿宋" w:eastAsia="仿宋" w:cs="仿宋"/>
                <w:b/>
                <w:bCs/>
                <w:color w:val="auto"/>
                <w:sz w:val="24"/>
                <w:szCs w:val="20"/>
                <w:highlight w:val="none"/>
                <w:lang w:val="en-US" w:eastAsia="zh-CN"/>
              </w:rPr>
              <w:t>1分，</w:t>
            </w:r>
            <w:r>
              <w:rPr>
                <w:rFonts w:hint="eastAsia" w:ascii="仿宋" w:hAnsi="仿宋" w:eastAsia="仿宋" w:cs="仿宋"/>
                <w:color w:val="auto"/>
                <w:sz w:val="24"/>
                <w:szCs w:val="20"/>
                <w:highlight w:val="none"/>
                <w:lang w:val="en-US" w:eastAsia="zh-CN"/>
              </w:rPr>
              <w:t>低于满分基准价1个百分点扣</w:t>
            </w:r>
            <w:r>
              <w:rPr>
                <w:rFonts w:hint="eastAsia" w:ascii="仿宋" w:hAnsi="仿宋" w:eastAsia="仿宋" w:cs="仿宋"/>
                <w:b/>
                <w:bCs/>
                <w:color w:val="auto"/>
                <w:sz w:val="24"/>
                <w:szCs w:val="20"/>
                <w:highlight w:val="none"/>
                <w:lang w:val="en-US" w:eastAsia="zh-CN"/>
              </w:rPr>
              <w:t>0.6分</w:t>
            </w:r>
            <w:r>
              <w:rPr>
                <w:rFonts w:hint="eastAsia" w:ascii="仿宋" w:hAnsi="仿宋" w:eastAsia="仿宋" w:cs="仿宋"/>
                <w:color w:val="auto"/>
                <w:sz w:val="24"/>
                <w:szCs w:val="20"/>
                <w:highlight w:val="none"/>
                <w:lang w:val="en-US" w:eastAsia="zh-CN"/>
              </w:rPr>
              <w:t>，不足部分按比例扣分，得分四舍五入保留小数点后二位（例如：满分基准价3000000元，投标报价为3030000元时，扣</w:t>
            </w:r>
            <w:r>
              <w:rPr>
                <w:rFonts w:hint="eastAsia" w:ascii="仿宋" w:hAnsi="仿宋" w:eastAsia="仿宋" w:cs="仿宋"/>
                <w:b/>
                <w:bCs/>
                <w:color w:val="auto"/>
                <w:sz w:val="24"/>
                <w:szCs w:val="20"/>
                <w:highlight w:val="none"/>
                <w:lang w:val="en-US" w:eastAsia="zh-CN"/>
              </w:rPr>
              <w:t>1分</w:t>
            </w:r>
            <w:r>
              <w:rPr>
                <w:rFonts w:hint="eastAsia" w:ascii="仿宋" w:hAnsi="仿宋" w:eastAsia="仿宋" w:cs="仿宋"/>
                <w:color w:val="auto"/>
                <w:sz w:val="24"/>
                <w:szCs w:val="20"/>
                <w:highlight w:val="none"/>
                <w:lang w:val="en-US" w:eastAsia="zh-CN"/>
              </w:rPr>
              <w:t>，投标报价为2970000元时，扣</w:t>
            </w:r>
            <w:r>
              <w:rPr>
                <w:rFonts w:hint="eastAsia" w:ascii="仿宋" w:hAnsi="仿宋" w:eastAsia="仿宋" w:cs="仿宋"/>
                <w:b/>
                <w:bCs/>
                <w:color w:val="auto"/>
                <w:sz w:val="24"/>
                <w:szCs w:val="20"/>
                <w:highlight w:val="none"/>
                <w:lang w:val="en-US" w:eastAsia="zh-CN"/>
              </w:rPr>
              <w:t>0.6分</w:t>
            </w:r>
            <w:r>
              <w:rPr>
                <w:rFonts w:hint="eastAsia" w:ascii="仿宋" w:hAnsi="仿宋" w:eastAsia="仿宋" w:cs="仿宋"/>
                <w:color w:val="auto"/>
                <w:sz w:val="24"/>
                <w:szCs w:val="20"/>
                <w:highlight w:val="none"/>
                <w:lang w:val="en-US" w:eastAsia="zh-CN"/>
              </w:rPr>
              <w:t>）；</w:t>
            </w:r>
          </w:p>
          <w:p w14:paraId="437F498A">
            <w:pPr>
              <w:widowControl/>
              <w:numPr>
                <w:ilvl w:val="0"/>
                <w:numId w:val="0"/>
              </w:numPr>
              <w:spacing w:line="360" w:lineRule="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3、去掉的最高、最低报价仍进行价格标评审(最高或最低报价出现并列个数超过去掉个数时，例如：去掉2个最高报价，报价出现3000000元、3000000元、3000000元、2970000元时，去掉的最高报价为3000000元、3000000元)</w:t>
            </w:r>
          </w:p>
        </w:tc>
      </w:tr>
    </w:tbl>
    <w:p w14:paraId="627633F4">
      <w:pPr>
        <w:autoSpaceDE w:val="0"/>
        <w:autoSpaceDN w:val="0"/>
        <w:spacing w:line="360" w:lineRule="auto"/>
        <w:rPr>
          <w:rFonts w:hint="eastAsia" w:ascii="仿宋" w:hAnsi="仿宋" w:eastAsia="仿宋" w:cs="仿宋"/>
          <w:color w:val="auto"/>
          <w:sz w:val="24"/>
          <w:szCs w:val="20"/>
          <w:highlight w:val="none"/>
          <w:lang w:val="zh-CN"/>
        </w:rPr>
      </w:pPr>
    </w:p>
    <w:p w14:paraId="4C661C37">
      <w:pPr>
        <w:widowControl/>
        <w:spacing w:line="360" w:lineRule="auto"/>
        <w:ind w:firstLine="480" w:firstLineChars="200"/>
        <w:rPr>
          <w:rFonts w:hint="eastAsia" w:ascii="仿宋" w:hAnsi="仿宋" w:eastAsia="仿宋" w:cs="仿宋"/>
          <w:color w:val="auto"/>
          <w:sz w:val="24"/>
          <w:highlight w:val="none"/>
        </w:rPr>
      </w:pPr>
    </w:p>
    <w:p w14:paraId="5DCBC2D9">
      <w:pPr>
        <w:widowControl/>
        <w:spacing w:line="360" w:lineRule="auto"/>
        <w:ind w:firstLine="723" w:firstLineChars="200"/>
        <w:jc w:val="center"/>
        <w:rPr>
          <w:rFonts w:hint="eastAsia" w:ascii="仿宋" w:hAnsi="仿宋" w:eastAsia="仿宋" w:cs="仿宋"/>
          <w:b/>
          <w:color w:val="auto"/>
          <w:sz w:val="36"/>
          <w:szCs w:val="36"/>
          <w:highlight w:val="none"/>
        </w:rPr>
      </w:pPr>
    </w:p>
    <w:p w14:paraId="21A30311">
      <w:pPr>
        <w:widowControl/>
        <w:spacing w:line="360" w:lineRule="auto"/>
        <w:ind w:firstLine="723" w:firstLineChars="200"/>
        <w:jc w:val="center"/>
        <w:rPr>
          <w:rFonts w:hint="eastAsia" w:ascii="仿宋" w:hAnsi="仿宋" w:eastAsia="仿宋" w:cs="仿宋"/>
          <w:b/>
          <w:color w:val="auto"/>
          <w:sz w:val="36"/>
          <w:szCs w:val="36"/>
          <w:highlight w:val="none"/>
        </w:rPr>
      </w:pPr>
    </w:p>
    <w:p w14:paraId="1F326F03">
      <w:pPr>
        <w:widowControl/>
        <w:spacing w:line="360" w:lineRule="auto"/>
        <w:ind w:firstLine="723" w:firstLine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w:t>
      </w:r>
      <w:bookmarkEnd w:id="61"/>
      <w:r>
        <w:rPr>
          <w:rFonts w:hint="eastAsia" w:ascii="仿宋" w:hAnsi="仿宋" w:eastAsia="仿宋" w:cs="仿宋"/>
          <w:b/>
          <w:color w:val="auto"/>
          <w:sz w:val="36"/>
          <w:szCs w:val="36"/>
          <w:highlight w:val="none"/>
        </w:rPr>
        <w:t xml:space="preserve"> 拟签订的合同文本</w:t>
      </w:r>
    </w:p>
    <w:p w14:paraId="11E72298">
      <w:pPr>
        <w:widowControl/>
        <w:snapToGrid w:val="0"/>
        <w:spacing w:line="480" w:lineRule="exact"/>
        <w:rPr>
          <w:rFonts w:hint="eastAsia" w:ascii="仿宋" w:hAnsi="仿宋" w:eastAsia="仿宋" w:cs="仿宋"/>
          <w:b/>
          <w:bCs/>
          <w:color w:val="auto"/>
          <w:kern w:val="0"/>
          <w:sz w:val="24"/>
          <w:highlight w:val="none"/>
          <w:u w:val="single"/>
        </w:rPr>
      </w:pPr>
      <w:bookmarkStart w:id="429" w:name="第五部分"/>
      <w:bookmarkStart w:id="430" w:name="_Toc86217003"/>
      <w:r>
        <w:rPr>
          <w:rFonts w:hint="eastAsia" w:ascii="仿宋" w:hAnsi="仿宋" w:eastAsia="仿宋" w:cs="仿宋"/>
          <w:b/>
          <w:bCs/>
          <w:color w:val="auto"/>
          <w:kern w:val="0"/>
          <w:sz w:val="24"/>
          <w:highlight w:val="none"/>
          <w:u w:val="single"/>
        </w:rPr>
        <w:t>（合同按采购文件及中标供应商投标文件的内容制定，以下仅为部分主要条款）</w:t>
      </w:r>
    </w:p>
    <w:p w14:paraId="3201A72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52497E5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1E6B3E7E">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甲方（采购人）： </w:t>
      </w:r>
    </w:p>
    <w:p w14:paraId="6D7DB254">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 </w:t>
      </w:r>
    </w:p>
    <w:p w14:paraId="6542C5CC">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p>
    <w:p w14:paraId="77944FFA">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rPr>
        <w:t>项目编号为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rPr>
        <w:t>项目的采购交易结果，签署本合同。</w:t>
      </w:r>
    </w:p>
    <w:p w14:paraId="52032AC4">
      <w:pPr>
        <w:keepNext w:val="0"/>
        <w:keepLines w:val="0"/>
        <w:pageBreakBefore w:val="0"/>
        <w:widowControl/>
        <w:numPr>
          <w:ilvl w:val="0"/>
          <w:numId w:val="3"/>
        </w:numPr>
        <w:kinsoku/>
        <w:wordWrap/>
        <w:overflowPunct/>
        <w:topLinePunct w:val="0"/>
        <w:bidi w:val="0"/>
        <w:adjustRightInd/>
        <w:snapToGrid w:val="0"/>
        <w:spacing w:line="40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服务内容及标准</w:t>
      </w:r>
    </w:p>
    <w:p w14:paraId="2296D96C">
      <w:pPr>
        <w:keepNext w:val="0"/>
        <w:keepLines w:val="0"/>
        <w:pageBreakBefore w:val="0"/>
        <w:widowControl/>
        <w:kinsoku/>
        <w:wordWrap/>
        <w:overflowPunct/>
        <w:topLinePunct w:val="0"/>
        <w:bidi w:val="0"/>
        <w:snapToGrid w:val="0"/>
        <w:spacing w:line="400" w:lineRule="exact"/>
        <w:ind w:left="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（按采购需求及投标文件的内容填写）</w:t>
      </w:r>
    </w:p>
    <w:p w14:paraId="4B41D4EF">
      <w:pPr>
        <w:keepNext w:val="0"/>
        <w:keepLines w:val="0"/>
        <w:pageBreakBefore w:val="0"/>
        <w:widowControl/>
        <w:numPr>
          <w:ilvl w:val="0"/>
          <w:numId w:val="3"/>
        </w:numPr>
        <w:kinsoku/>
        <w:wordWrap/>
        <w:overflowPunct/>
        <w:topLinePunct w:val="0"/>
        <w:bidi w:val="0"/>
        <w:adjustRightInd/>
        <w:snapToGrid w:val="0"/>
        <w:spacing w:line="40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服务价格</w:t>
      </w:r>
    </w:p>
    <w:p w14:paraId="4BAC31F7">
      <w:pPr>
        <w:keepNext w:val="0"/>
        <w:keepLines w:val="0"/>
        <w:pageBreakBefore w:val="0"/>
        <w:widowControl/>
        <w:kinsoku/>
        <w:wordWrap/>
        <w:overflowPunct/>
        <w:topLinePunct w:val="0"/>
        <w:bidi w:val="0"/>
        <w:snapToGrid w:val="0"/>
        <w:spacing w:line="400" w:lineRule="exact"/>
        <w:ind w:left="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（有服务分项的，需报分项价格和总价）</w:t>
      </w:r>
    </w:p>
    <w:p w14:paraId="31AD8492">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合同价款中已包括完成本合同范围内中所有工作的一切相关费用（含税金等），合同价款包干使用，除工作范围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工期</w:t>
      </w:r>
      <w:r>
        <w:rPr>
          <w:rFonts w:hint="eastAsia" w:ascii="仿宋" w:hAnsi="仿宋" w:eastAsia="仿宋" w:cs="仿宋"/>
          <w:color w:val="auto"/>
          <w:kern w:val="0"/>
          <w:sz w:val="24"/>
          <w:highlight w:val="none"/>
        </w:rPr>
        <w:t>发生调整外，合同签订后任何一方不得擅自调整合同价格。如工作范围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工期</w:t>
      </w:r>
      <w:r>
        <w:rPr>
          <w:rFonts w:hint="eastAsia" w:ascii="仿宋" w:hAnsi="仿宋" w:eastAsia="仿宋" w:cs="仿宋"/>
          <w:color w:val="auto"/>
          <w:kern w:val="0"/>
          <w:sz w:val="24"/>
          <w:highlight w:val="none"/>
        </w:rPr>
        <w:t>发生调整，按照乙方投标文件所列综合单价据实调整。</w:t>
      </w:r>
      <w:r>
        <w:rPr>
          <w:rFonts w:hint="eastAsia" w:ascii="仿宋" w:hAnsi="仿宋" w:eastAsia="仿宋" w:cs="仿宋"/>
          <w:color w:val="auto"/>
          <w:kern w:val="0"/>
          <w:sz w:val="24"/>
          <w:highlight w:val="none"/>
          <w:lang w:val="en-US" w:eastAsia="zh-CN"/>
        </w:rPr>
        <w:t xml:space="preserve"> </w:t>
      </w:r>
    </w:p>
    <w:p w14:paraId="014DD2E4">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三、技术资料</w:t>
      </w:r>
    </w:p>
    <w:p w14:paraId="47EF1E94">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1.乙方应按采购文件规定的时间向甲方提供与本项目有关的技术资料。</w:t>
      </w:r>
    </w:p>
    <w:p w14:paraId="384C0A93">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1A00D8">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四、知识产权</w:t>
      </w:r>
    </w:p>
    <w:p w14:paraId="280AE346">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1、乙方应保证所提供的货物与服务均不会侵犯任何第三方的知识产权。</w:t>
      </w:r>
    </w:p>
    <w:p w14:paraId="64096562">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2、乙方保证所交付的服务的所有权完全属于乙方且无任何抵押、查封等产权瑕疵。</w:t>
      </w:r>
    </w:p>
    <w:p w14:paraId="18DA68CF">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五、转包或分包</w:t>
      </w:r>
    </w:p>
    <w:p w14:paraId="2EFD1BF4">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不允许转包、不允许分包。</w:t>
      </w:r>
    </w:p>
    <w:p w14:paraId="2B0D0900">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如乙方将项目转包或将不允许分包部分进行了分包，甲方有权解除合同，没收履约保证金并追究乙方的违约责任。</w:t>
      </w:r>
    </w:p>
    <w:p w14:paraId="7A1A97E6">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六、履约保证金</w:t>
      </w:r>
    </w:p>
    <w:p w14:paraId="6B17094A">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1.履约保证金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无</w:t>
      </w:r>
    </w:p>
    <w:p w14:paraId="0FBDF633">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七、项目服务期限及实施地点</w:t>
      </w:r>
    </w:p>
    <w:p w14:paraId="40B0C648">
      <w:pPr>
        <w:widowControl/>
        <w:snapToGrid w:val="0"/>
        <w:spacing w:line="360" w:lineRule="auto"/>
        <w:ind w:firstLine="420" w:firstLineChars="17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1.服务期限：</w:t>
      </w:r>
      <w:r>
        <w:rPr>
          <w:rFonts w:hint="eastAsia" w:ascii="仿宋" w:hAnsi="仿宋" w:eastAsia="仿宋" w:cs="仿宋"/>
          <w:color w:val="auto"/>
          <w:sz w:val="24"/>
          <w:szCs w:val="28"/>
          <w:highlight w:val="none"/>
          <w:lang w:val="en-US" w:eastAsia="zh-CN"/>
        </w:rPr>
        <w:t>合同签订之日起至所有涉路涉航项目完成成果审批为止</w:t>
      </w:r>
      <w:r>
        <w:rPr>
          <w:rFonts w:hint="eastAsia" w:ascii="仿宋" w:hAnsi="仿宋" w:eastAsia="仿宋" w:cs="仿宋"/>
          <w:color w:val="auto"/>
          <w:kern w:val="0"/>
          <w:sz w:val="24"/>
          <w:highlight w:val="none"/>
        </w:rPr>
        <w:t>。</w:t>
      </w:r>
      <w:r>
        <w:rPr>
          <w:rFonts w:hint="eastAsia" w:ascii="仿宋" w:hAnsi="仿宋" w:eastAsia="仿宋" w:cs="仿宋"/>
          <w:b w:val="0"/>
          <w:bCs/>
          <w:color w:val="auto"/>
          <w:sz w:val="24"/>
          <w:highlight w:val="none"/>
          <w:lang w:val="en-US" w:eastAsia="zh-CN"/>
        </w:rPr>
        <w:t>在接到通知后45日历天内完成评价报告书编制并获得相关管理部门审批通过。</w:t>
      </w:r>
    </w:p>
    <w:p w14:paraId="181B5698">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2.实施地点：</w:t>
      </w:r>
      <w:r>
        <w:rPr>
          <w:rFonts w:hint="eastAsia" w:ascii="仿宋" w:hAnsi="仿宋" w:eastAsia="仿宋" w:cs="仿宋"/>
          <w:color w:val="auto"/>
          <w:sz w:val="24"/>
          <w:szCs w:val="28"/>
          <w:highlight w:val="none"/>
          <w:lang w:eastAsia="zh-CN"/>
        </w:rPr>
        <w:t>浙江省</w:t>
      </w:r>
      <w:r>
        <w:rPr>
          <w:rFonts w:hint="eastAsia" w:ascii="仿宋" w:hAnsi="仿宋" w:eastAsia="仿宋" w:cs="仿宋"/>
          <w:color w:val="auto"/>
          <w:sz w:val="24"/>
          <w:szCs w:val="28"/>
          <w:highlight w:val="none"/>
          <w:lang w:val="en-US" w:eastAsia="zh-CN"/>
        </w:rPr>
        <w:t>绍兴市柯桥区</w:t>
      </w:r>
    </w:p>
    <w:p w14:paraId="5878516C">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八、付款</w:t>
      </w:r>
    </w:p>
    <w:p w14:paraId="6B73454A">
      <w:pPr>
        <w:snapToGrid w:val="0"/>
        <w:spacing w:line="56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付款方式： </w:t>
      </w:r>
    </w:p>
    <w:p w14:paraId="6A4F0B4C">
      <w:pPr>
        <w:widowControl/>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（1）整体项目报批的报告经专家论证审查后，报告获得相关主管门审查通过并批复后30日内，业主单位向乙方一次付清相对应施工范围项目的安评服务费用，费用金额以中标单价作为结算单价，按实结算。</w:t>
      </w:r>
    </w:p>
    <w:p w14:paraId="2B4FCA97">
      <w:pPr>
        <w:widowControl/>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（2）发票应随付款进度及时提供。税金如遇国家税费政策调整，按实调整。</w:t>
      </w:r>
    </w:p>
    <w:p w14:paraId="669C63D3">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九、税费</w:t>
      </w:r>
    </w:p>
    <w:p w14:paraId="7DC31C8E">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55158C05">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十、违约责任</w:t>
      </w:r>
    </w:p>
    <w:p w14:paraId="031663F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.乙方逾期提供服务的，乙方应按逾期交付项目总额每日千分之六向甲方支付违约金，由甲方从合同款项中扣除。逾期超过约定日期10</w:t>
      </w:r>
      <w:r>
        <w:rPr>
          <w:rFonts w:hint="eastAsia" w:ascii="仿宋" w:hAnsi="仿宋" w:eastAsia="仿宋" w:cs="仿宋"/>
          <w:color w:val="auto"/>
          <w:kern w:val="0"/>
          <w:sz w:val="24"/>
          <w:szCs w:val="24"/>
          <w:highlight w:val="none"/>
          <w:lang w:val="en-US" w:eastAsia="zh-CN"/>
        </w:rPr>
        <w:t>日</w:t>
      </w:r>
      <w:r>
        <w:rPr>
          <w:rFonts w:hint="eastAsia" w:ascii="仿宋" w:hAnsi="仿宋" w:eastAsia="仿宋" w:cs="仿宋"/>
          <w:color w:val="auto"/>
          <w:kern w:val="0"/>
          <w:sz w:val="24"/>
          <w:szCs w:val="24"/>
          <w:highlight w:val="none"/>
        </w:rPr>
        <w:t xml:space="preserve">不能交付的，甲方可解除本合同。乙方因逾期交付或因其他违约行为导致甲方解除合同的，乙方应向甲方支付合同总值5%的违约金，如造成甲方损失超过违约金的，超出部分由乙方继续承担赔偿责任。 </w:t>
      </w:r>
    </w:p>
    <w:p w14:paraId="6932BE5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.乙方所履行的服务质量或服务数量不符合合同规定及采购文件规定的，甲方有权中止接受服务，单方面解除合同，且相关损失由乙方承担。</w:t>
      </w:r>
    </w:p>
    <w:p w14:paraId="0166633B">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十一、变更</w:t>
      </w:r>
    </w:p>
    <w:p w14:paraId="68EF55C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szCs w:val="24"/>
          <w:highlight w:val="none"/>
        </w:rPr>
        <w:t>中标单价固定，不再调整，经采购人分级审批认可的工程量增减，在结算时按中标单价按实调整。最终结算总价=实际完成工程量*中标单价，且增加的总金额最高不超过</w:t>
      </w:r>
      <w:r>
        <w:rPr>
          <w:rFonts w:hint="eastAsia" w:ascii="仿宋" w:hAnsi="仿宋" w:eastAsia="仿宋" w:cs="仿宋"/>
          <w:color w:val="auto"/>
          <w:kern w:val="0"/>
          <w:sz w:val="24"/>
          <w:szCs w:val="24"/>
          <w:highlight w:val="none"/>
          <w:lang w:val="en-US"/>
        </w:rPr>
        <w:t>原</w:t>
      </w:r>
      <w:r>
        <w:rPr>
          <w:rFonts w:hint="eastAsia" w:ascii="仿宋" w:hAnsi="仿宋" w:eastAsia="仿宋" w:cs="仿宋"/>
          <w:color w:val="auto"/>
          <w:kern w:val="0"/>
          <w:sz w:val="24"/>
          <w:szCs w:val="24"/>
          <w:highlight w:val="none"/>
        </w:rPr>
        <w:t>合同金额的</w:t>
      </w:r>
      <w:r>
        <w:rPr>
          <w:rFonts w:hint="eastAsia" w:ascii="仿宋" w:hAnsi="仿宋" w:eastAsia="仿宋" w:cs="仿宋"/>
          <w:color w:val="auto"/>
          <w:kern w:val="0"/>
          <w:sz w:val="24"/>
          <w:szCs w:val="24"/>
          <w:highlight w:val="none"/>
          <w:lang w:val="en-US"/>
        </w:rPr>
        <w:t>10%</w:t>
      </w:r>
      <w:r>
        <w:rPr>
          <w:rFonts w:hint="eastAsia" w:ascii="仿宋" w:hAnsi="仿宋" w:eastAsia="仿宋" w:cs="仿宋"/>
          <w:color w:val="auto"/>
          <w:kern w:val="0"/>
          <w:sz w:val="24"/>
          <w:szCs w:val="24"/>
          <w:highlight w:val="none"/>
        </w:rPr>
        <w:t>，投标人须在投标报价时充分考虑。</w:t>
      </w:r>
    </w:p>
    <w:p w14:paraId="2EDED1A0">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bCs/>
          <w:color w:val="auto"/>
          <w:kern w:val="0"/>
          <w:sz w:val="24"/>
          <w:highlight w:val="none"/>
        </w:rPr>
        <w:t>十二、质量要求</w:t>
      </w:r>
    </w:p>
    <w:p w14:paraId="10841B18">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eastAsia="仿宋"/>
          <w:color w:val="auto"/>
          <w:kern w:val="0"/>
          <w:sz w:val="24"/>
          <w:highlight w:val="none"/>
        </w:rPr>
        <w:t>优质服务，</w:t>
      </w:r>
      <w:r>
        <w:rPr>
          <w:rFonts w:hint="eastAsia" w:ascii="仿宋" w:eastAsia="仿宋"/>
          <w:color w:val="auto"/>
          <w:kern w:val="0"/>
          <w:sz w:val="24"/>
          <w:highlight w:val="none"/>
          <w:lang w:val="en-US" w:eastAsia="zh-CN"/>
        </w:rPr>
        <w:t>且必须</w:t>
      </w:r>
      <w:r>
        <w:rPr>
          <w:rFonts w:hint="eastAsia" w:ascii="仿宋" w:hAnsi="仿宋" w:eastAsia="仿宋" w:cs="仿宋"/>
          <w:b w:val="0"/>
          <w:bCs/>
          <w:color w:val="auto"/>
          <w:sz w:val="24"/>
          <w:highlight w:val="none"/>
          <w:lang w:val="en-US" w:eastAsia="zh-CN"/>
        </w:rPr>
        <w:t>符合现行国家技术规范、标准及规程要求，对工程涉及的公路、市政道路及航道等重要管道，进行涉路、涉航及管线安全评价，并编制相应的安全评价、影响评价、安全保障措施等各类方案及报告，方案及报告须获得相关主管部门审查通过并批复。</w:t>
      </w:r>
    </w:p>
    <w:p w14:paraId="19ED61E7">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、结算原则</w:t>
      </w:r>
    </w:p>
    <w:p w14:paraId="5CD32D32">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1.招标文件、招标答疑会纪要、中标单位的中标报价等作为结算依据</w:t>
      </w:r>
      <w:r>
        <w:rPr>
          <w:rFonts w:hint="eastAsia" w:ascii="仿宋" w:hAnsi="仿宋" w:eastAsia="仿宋" w:cs="仿宋"/>
          <w:color w:val="auto"/>
          <w:kern w:val="0"/>
          <w:sz w:val="24"/>
          <w:highlight w:val="none"/>
          <w:lang w:val="en-US" w:eastAsia="zh-CN"/>
        </w:rPr>
        <w:t>。</w:t>
      </w:r>
    </w:p>
    <w:p w14:paraId="68629F6C">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2.中标单价固定，不再调整，经采购人分级审批认可的工程量增减，在结算时按中标单价按实调整。最终结算总价=实际完成工程量*中标单价</w:t>
      </w:r>
      <w:r>
        <w:rPr>
          <w:rFonts w:hint="eastAsia" w:ascii="仿宋" w:hAnsi="仿宋" w:eastAsia="仿宋" w:cs="仿宋"/>
          <w:color w:val="auto"/>
          <w:kern w:val="0"/>
          <w:sz w:val="24"/>
          <w:highlight w:val="none"/>
          <w:lang w:eastAsia="zh-CN"/>
        </w:rPr>
        <w:t>（参见第十一条变更）。</w:t>
      </w:r>
      <w:r>
        <w:rPr>
          <w:rFonts w:hint="eastAsia" w:ascii="仿宋" w:hAnsi="仿宋" w:eastAsia="仿宋" w:cs="仿宋"/>
          <w:color w:val="auto"/>
          <w:kern w:val="0"/>
          <w:sz w:val="24"/>
          <w:highlight w:val="none"/>
        </w:rPr>
        <w:t>且增加的总金额最高不超过</w:t>
      </w:r>
      <w:r>
        <w:rPr>
          <w:rFonts w:hint="eastAsia" w:ascii="仿宋" w:hAnsi="仿宋" w:eastAsia="仿宋" w:cs="仿宋"/>
          <w:color w:val="auto"/>
          <w:kern w:val="0"/>
          <w:sz w:val="24"/>
          <w:highlight w:val="none"/>
          <w:lang w:val="en-US"/>
        </w:rPr>
        <w:t>原</w:t>
      </w:r>
      <w:r>
        <w:rPr>
          <w:rFonts w:hint="eastAsia" w:ascii="仿宋" w:hAnsi="仿宋" w:eastAsia="仿宋" w:cs="仿宋"/>
          <w:color w:val="auto"/>
          <w:kern w:val="0"/>
          <w:sz w:val="24"/>
          <w:highlight w:val="none"/>
        </w:rPr>
        <w:t>合同金额的</w:t>
      </w:r>
      <w:r>
        <w:rPr>
          <w:rFonts w:hint="eastAsia" w:ascii="仿宋" w:hAnsi="仿宋" w:eastAsia="仿宋" w:cs="仿宋"/>
          <w:color w:val="auto"/>
          <w:kern w:val="0"/>
          <w:sz w:val="24"/>
          <w:highlight w:val="none"/>
          <w:lang w:val="en-US"/>
        </w:rPr>
        <w:t>10%</w:t>
      </w:r>
      <w:r>
        <w:rPr>
          <w:rFonts w:hint="eastAsia" w:ascii="仿宋" w:hAnsi="仿宋" w:eastAsia="仿宋" w:cs="仿宋"/>
          <w:color w:val="auto"/>
          <w:kern w:val="0"/>
          <w:sz w:val="24"/>
          <w:highlight w:val="none"/>
        </w:rPr>
        <w:t>，投标人须在投标报价时充分考虑。</w:t>
      </w:r>
      <w:r>
        <w:rPr>
          <w:rFonts w:hint="eastAsia" w:ascii="仿宋" w:hAnsi="仿宋" w:eastAsia="仿宋" w:cs="仿宋"/>
          <w:color w:val="auto"/>
          <w:kern w:val="0"/>
          <w:sz w:val="24"/>
          <w:highlight w:val="none"/>
          <w:lang w:val="en-US" w:eastAsia="zh-CN"/>
        </w:rPr>
        <w:t>专家论证所需的专家费、餐费等费用均包括在总费用中，不再另行支付。</w:t>
      </w:r>
    </w:p>
    <w:p w14:paraId="455E052D">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签订本合同后，因法律、法规发生变化引起该</w:t>
      </w:r>
      <w:r>
        <w:rPr>
          <w:rFonts w:hint="eastAsia" w:ascii="仿宋" w:hAnsi="仿宋" w:eastAsia="仿宋" w:cs="仿宋"/>
          <w:color w:val="auto"/>
          <w:kern w:val="0"/>
          <w:sz w:val="24"/>
          <w:highlight w:val="none"/>
          <w:lang w:val="en-US" w:eastAsia="zh-CN"/>
        </w:rPr>
        <w:t>安评服务</w:t>
      </w:r>
      <w:r>
        <w:rPr>
          <w:rFonts w:hint="eastAsia" w:ascii="仿宋" w:hAnsi="仿宋" w:eastAsia="仿宋" w:cs="仿宋"/>
          <w:color w:val="auto"/>
          <w:kern w:val="0"/>
          <w:sz w:val="24"/>
          <w:highlight w:val="none"/>
          <w:lang w:val="zh-CN"/>
        </w:rPr>
        <w:t>费变化，以及因物价变动、</w:t>
      </w:r>
      <w:r>
        <w:rPr>
          <w:rFonts w:hint="eastAsia" w:ascii="仿宋" w:hAnsi="仿宋" w:eastAsia="仿宋" w:cs="仿宋"/>
          <w:color w:val="auto"/>
          <w:kern w:val="0"/>
          <w:sz w:val="24"/>
          <w:highlight w:val="none"/>
          <w:lang w:val="en-US" w:eastAsia="zh-CN"/>
        </w:rPr>
        <w:t>业主</w:t>
      </w:r>
      <w:r>
        <w:rPr>
          <w:rFonts w:hint="eastAsia" w:ascii="仿宋" w:hAnsi="仿宋" w:eastAsia="仿宋" w:cs="仿宋"/>
          <w:color w:val="auto"/>
          <w:kern w:val="0"/>
          <w:sz w:val="24"/>
          <w:highlight w:val="none"/>
          <w:lang w:val="zh-CN"/>
        </w:rPr>
        <w:t>相关规定、要求调整</w:t>
      </w:r>
      <w:r>
        <w:rPr>
          <w:rFonts w:hint="eastAsia" w:ascii="仿宋" w:hAnsi="仿宋" w:eastAsia="仿宋" w:cs="仿宋"/>
          <w:color w:val="auto"/>
          <w:kern w:val="0"/>
          <w:sz w:val="24"/>
          <w:highlight w:val="none"/>
          <w:lang w:val="en-US" w:eastAsia="zh-CN"/>
        </w:rPr>
        <w:t>安评</w:t>
      </w:r>
      <w:r>
        <w:rPr>
          <w:rFonts w:hint="eastAsia" w:ascii="仿宋" w:hAnsi="仿宋" w:eastAsia="仿宋" w:cs="仿宋"/>
          <w:color w:val="auto"/>
          <w:kern w:val="0"/>
          <w:sz w:val="24"/>
          <w:highlight w:val="none"/>
          <w:lang w:val="zh-CN"/>
        </w:rPr>
        <w:t>数量等其他因素而引起</w:t>
      </w:r>
      <w:r>
        <w:rPr>
          <w:rFonts w:hint="eastAsia" w:ascii="仿宋" w:hAnsi="仿宋" w:eastAsia="仿宋" w:cs="仿宋"/>
          <w:color w:val="auto"/>
          <w:kern w:val="0"/>
          <w:sz w:val="24"/>
          <w:highlight w:val="none"/>
          <w:lang w:val="en-US" w:eastAsia="zh-CN"/>
        </w:rPr>
        <w:t>安评服务</w:t>
      </w:r>
      <w:r>
        <w:rPr>
          <w:rFonts w:hint="eastAsia" w:ascii="仿宋" w:hAnsi="仿宋" w:eastAsia="仿宋" w:cs="仿宋"/>
          <w:color w:val="auto"/>
          <w:kern w:val="0"/>
          <w:sz w:val="24"/>
          <w:highlight w:val="none"/>
          <w:lang w:val="zh-CN"/>
        </w:rPr>
        <w:t>费变化，合同价不作调整。</w:t>
      </w:r>
    </w:p>
    <w:p w14:paraId="2D67EB8F">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合同履行期间，因</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val="zh-CN"/>
        </w:rPr>
        <w:t>要求需停止</w:t>
      </w:r>
      <w:r>
        <w:rPr>
          <w:rFonts w:hint="eastAsia" w:ascii="仿宋" w:hAnsi="仿宋" w:eastAsia="仿宋" w:cs="仿宋"/>
          <w:color w:val="auto"/>
          <w:kern w:val="0"/>
          <w:sz w:val="24"/>
          <w:highlight w:val="none"/>
          <w:lang w:val="en-US" w:eastAsia="zh-CN"/>
        </w:rPr>
        <w:t>安评</w:t>
      </w:r>
      <w:r>
        <w:rPr>
          <w:rFonts w:hint="eastAsia" w:ascii="仿宋" w:hAnsi="仿宋" w:eastAsia="仿宋" w:cs="仿宋"/>
          <w:color w:val="auto"/>
          <w:kern w:val="0"/>
          <w:sz w:val="24"/>
          <w:highlight w:val="none"/>
          <w:lang w:val="zh-CN"/>
        </w:rPr>
        <w:t>工作或解除合同时，按</w:t>
      </w:r>
      <w:r>
        <w:rPr>
          <w:rFonts w:hint="eastAsia" w:ascii="仿宋" w:hAnsi="仿宋" w:eastAsia="仿宋" w:cs="仿宋"/>
          <w:color w:val="auto"/>
          <w:kern w:val="0"/>
          <w:sz w:val="24"/>
          <w:highlight w:val="none"/>
          <w:lang w:val="en-US" w:eastAsia="zh-CN"/>
        </w:rPr>
        <w:t>安评</w:t>
      </w:r>
      <w:r>
        <w:rPr>
          <w:rFonts w:hint="eastAsia" w:ascii="仿宋" w:hAnsi="仿宋" w:eastAsia="仿宋" w:cs="仿宋"/>
          <w:color w:val="auto"/>
          <w:kern w:val="0"/>
          <w:sz w:val="24"/>
          <w:highlight w:val="none"/>
          <w:lang w:val="zh-CN"/>
        </w:rPr>
        <w:t>完成实际工作量的比例，按实结算并支付费用。</w:t>
      </w:r>
    </w:p>
    <w:p w14:paraId="6601982A">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十四</w:t>
      </w:r>
      <w:r>
        <w:rPr>
          <w:rFonts w:hint="eastAsia" w:ascii="仿宋" w:hAnsi="仿宋" w:eastAsia="仿宋" w:cs="仿宋"/>
          <w:b/>
          <w:bCs/>
          <w:color w:val="auto"/>
          <w:kern w:val="0"/>
          <w:sz w:val="24"/>
          <w:highlight w:val="none"/>
        </w:rPr>
        <w:t>、不可抗力事件处理</w:t>
      </w:r>
    </w:p>
    <w:p w14:paraId="6CC04244">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1A5C0599">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0B2CA29A">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535460CC">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五</w:t>
      </w:r>
      <w:r>
        <w:rPr>
          <w:rFonts w:hint="eastAsia" w:ascii="仿宋" w:hAnsi="仿宋" w:eastAsia="仿宋" w:cs="仿宋"/>
          <w:b/>
          <w:bCs/>
          <w:color w:val="auto"/>
          <w:kern w:val="0"/>
          <w:sz w:val="24"/>
          <w:highlight w:val="none"/>
        </w:rPr>
        <w:t>、诉讼</w:t>
      </w:r>
    </w:p>
    <w:p w14:paraId="2579EEE0">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Fonts w:hint="eastAsia" w:ascii="仿宋" w:hAnsi="仿宋" w:eastAsia="仿宋" w:cs="仿宋"/>
          <w:bCs w:val="0"/>
          <w:color w:val="auto"/>
          <w:kern w:val="0"/>
          <w:sz w:val="24"/>
          <w:szCs w:val="24"/>
          <w:highlight w:val="none"/>
          <w:lang w:val="zh-CN" w:bidi="zh-CN"/>
        </w:rPr>
      </w:pPr>
      <w:r>
        <w:rPr>
          <w:rFonts w:hint="eastAsia" w:ascii="仿宋" w:hAnsi="仿宋" w:eastAsia="仿宋" w:cs="仿宋"/>
          <w:color w:val="auto"/>
          <w:kern w:val="0"/>
          <w:sz w:val="24"/>
          <w:highlight w:val="none"/>
        </w:rPr>
        <w:t>双方在执行合同中所发生的一切争议，应通过协商解决。</w:t>
      </w:r>
      <w:r>
        <w:rPr>
          <w:rFonts w:hint="eastAsia" w:ascii="仿宋" w:hAnsi="仿宋" w:eastAsia="仿宋" w:cs="仿宋"/>
          <w:bCs w:val="0"/>
          <w:color w:val="auto"/>
          <w:kern w:val="0"/>
          <w:sz w:val="24"/>
          <w:szCs w:val="24"/>
          <w:highlight w:val="none"/>
          <w:lang w:val="zh-CN" w:bidi="zh-CN"/>
        </w:rPr>
        <w:t>如未能达成一致，可提交有关主管部门调解；协商或调解不成的，按下列第</w:t>
      </w:r>
      <w:r>
        <w:rPr>
          <w:rFonts w:hint="eastAsia" w:ascii="仿宋" w:hAnsi="仿宋" w:eastAsia="仿宋" w:cs="仿宋"/>
          <w:b/>
          <w:bCs/>
          <w:color w:val="auto"/>
          <w:kern w:val="0"/>
          <w:sz w:val="24"/>
          <w:szCs w:val="24"/>
          <w:highlight w:val="none"/>
          <w:u w:val="single"/>
          <w:lang w:val="zh-CN" w:bidi="zh-CN"/>
        </w:rPr>
        <w:t xml:space="preserve"> （</w:t>
      </w:r>
      <w:r>
        <w:rPr>
          <w:rFonts w:hint="eastAsia" w:ascii="仿宋" w:hAnsi="仿宋" w:eastAsia="仿宋" w:cs="仿宋"/>
          <w:b/>
          <w:bCs/>
          <w:color w:val="auto"/>
          <w:kern w:val="0"/>
          <w:sz w:val="24"/>
          <w:szCs w:val="24"/>
          <w:highlight w:val="none"/>
          <w:u w:val="single"/>
          <w:lang w:val="en-US" w:bidi="zh-CN"/>
        </w:rPr>
        <w:t>二</w:t>
      </w:r>
      <w:r>
        <w:rPr>
          <w:rFonts w:hint="eastAsia" w:ascii="仿宋" w:hAnsi="仿宋" w:eastAsia="仿宋" w:cs="仿宋"/>
          <w:b/>
          <w:bCs/>
          <w:color w:val="auto"/>
          <w:kern w:val="0"/>
          <w:sz w:val="24"/>
          <w:szCs w:val="24"/>
          <w:highlight w:val="none"/>
          <w:u w:val="single"/>
          <w:lang w:val="zh-CN" w:bidi="zh-CN"/>
        </w:rPr>
        <w:t xml:space="preserve">） </w:t>
      </w:r>
      <w:r>
        <w:rPr>
          <w:rFonts w:hint="eastAsia" w:ascii="仿宋" w:hAnsi="仿宋" w:eastAsia="仿宋" w:cs="仿宋"/>
          <w:bCs w:val="0"/>
          <w:color w:val="auto"/>
          <w:kern w:val="0"/>
          <w:sz w:val="24"/>
          <w:szCs w:val="24"/>
          <w:highlight w:val="none"/>
          <w:lang w:val="zh-CN" w:bidi="zh-CN"/>
        </w:rPr>
        <w:t>种方式解决：</w:t>
      </w:r>
    </w:p>
    <w:p w14:paraId="3BB6A675">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left"/>
        <w:textAlignment w:val="auto"/>
        <w:rPr>
          <w:rFonts w:hint="eastAsia" w:ascii="仿宋" w:hAnsi="仿宋" w:eastAsia="仿宋" w:cs="仿宋"/>
          <w:bCs w:val="0"/>
          <w:color w:val="auto"/>
          <w:kern w:val="0"/>
          <w:sz w:val="24"/>
          <w:szCs w:val="24"/>
          <w:highlight w:val="none"/>
          <w:lang w:val="zh-CN" w:bidi="zh-CN"/>
        </w:rPr>
      </w:pPr>
      <w:r>
        <w:rPr>
          <w:rFonts w:hint="eastAsia" w:ascii="仿宋" w:hAnsi="仿宋" w:eastAsia="仿宋" w:cs="仿宋"/>
          <w:bCs w:val="0"/>
          <w:color w:val="auto"/>
          <w:kern w:val="0"/>
          <w:sz w:val="24"/>
          <w:szCs w:val="24"/>
          <w:highlight w:val="none"/>
          <w:lang w:val="zh-CN" w:bidi="zh-CN"/>
        </w:rPr>
        <w:t>（一）提交</w:t>
      </w:r>
      <w:r>
        <w:rPr>
          <w:rFonts w:hint="eastAsia" w:ascii="仿宋" w:hAnsi="仿宋" w:eastAsia="仿宋" w:cs="仿宋"/>
          <w:b/>
          <w:bCs/>
          <w:color w:val="auto"/>
          <w:kern w:val="0"/>
          <w:sz w:val="24"/>
          <w:szCs w:val="24"/>
          <w:highlight w:val="none"/>
          <w:u w:val="single"/>
          <w:lang w:val="en-US" w:bidi="zh-CN"/>
        </w:rPr>
        <w:t>项目所在地</w:t>
      </w:r>
      <w:r>
        <w:rPr>
          <w:rFonts w:hint="eastAsia" w:ascii="仿宋" w:hAnsi="仿宋" w:eastAsia="仿宋" w:cs="仿宋"/>
          <w:bCs w:val="0"/>
          <w:color w:val="auto"/>
          <w:kern w:val="0"/>
          <w:sz w:val="24"/>
          <w:szCs w:val="24"/>
          <w:highlight w:val="none"/>
          <w:lang w:val="zh-CN" w:bidi="zh-CN"/>
        </w:rPr>
        <w:t>仲裁委员会仲裁；</w:t>
      </w:r>
    </w:p>
    <w:p w14:paraId="146DEE61">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left"/>
        <w:textAlignment w:val="auto"/>
        <w:rPr>
          <w:rFonts w:hint="eastAsia" w:ascii="仿宋" w:hAnsi="仿宋" w:eastAsia="仿宋" w:cs="仿宋"/>
          <w:bCs w:val="0"/>
          <w:color w:val="auto"/>
          <w:kern w:val="0"/>
          <w:sz w:val="24"/>
          <w:szCs w:val="24"/>
          <w:highlight w:val="none"/>
          <w:lang w:val="zh-CN" w:bidi="zh-CN"/>
        </w:rPr>
      </w:pPr>
      <w:r>
        <w:rPr>
          <w:rFonts w:hint="eastAsia" w:ascii="仿宋" w:hAnsi="仿宋" w:eastAsia="仿宋" w:cs="仿宋"/>
          <w:bCs w:val="0"/>
          <w:color w:val="auto"/>
          <w:kern w:val="0"/>
          <w:sz w:val="24"/>
          <w:szCs w:val="24"/>
          <w:highlight w:val="none"/>
          <w:lang w:val="zh-CN" w:bidi="zh-CN"/>
        </w:rPr>
        <w:t>（二）依法向</w:t>
      </w:r>
      <w:r>
        <w:rPr>
          <w:rFonts w:hint="eastAsia" w:ascii="仿宋" w:hAnsi="仿宋" w:eastAsia="仿宋" w:cs="仿宋"/>
          <w:b/>
          <w:bCs/>
          <w:color w:val="auto"/>
          <w:kern w:val="0"/>
          <w:sz w:val="24"/>
          <w:szCs w:val="24"/>
          <w:highlight w:val="none"/>
          <w:u w:val="single"/>
          <w:lang w:val="en-US" w:bidi="zh-CN"/>
        </w:rPr>
        <w:t>项目</w:t>
      </w:r>
      <w:r>
        <w:rPr>
          <w:rFonts w:hint="eastAsia" w:ascii="仿宋" w:hAnsi="仿宋" w:eastAsia="仿宋" w:cs="仿宋"/>
          <w:b/>
          <w:bCs/>
          <w:color w:val="auto"/>
          <w:kern w:val="0"/>
          <w:sz w:val="24"/>
          <w:szCs w:val="24"/>
          <w:highlight w:val="none"/>
          <w:u w:val="single"/>
          <w:lang w:val="zh-CN" w:bidi="zh-CN"/>
        </w:rPr>
        <w:t>所在地</w:t>
      </w:r>
      <w:r>
        <w:rPr>
          <w:rFonts w:hint="eastAsia" w:ascii="仿宋" w:hAnsi="仿宋" w:eastAsia="仿宋" w:cs="仿宋"/>
          <w:bCs w:val="0"/>
          <w:color w:val="auto"/>
          <w:kern w:val="0"/>
          <w:sz w:val="24"/>
          <w:szCs w:val="24"/>
          <w:highlight w:val="none"/>
          <w:lang w:val="zh-CN" w:bidi="zh-CN"/>
        </w:rPr>
        <w:t>人民法院起诉。</w:t>
      </w:r>
    </w:p>
    <w:p w14:paraId="643F7622">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六</w:t>
      </w:r>
      <w:r>
        <w:rPr>
          <w:rFonts w:hint="eastAsia" w:ascii="仿宋" w:hAnsi="仿宋" w:eastAsia="仿宋" w:cs="仿宋"/>
          <w:b/>
          <w:bCs/>
          <w:color w:val="auto"/>
          <w:kern w:val="0"/>
          <w:sz w:val="24"/>
          <w:highlight w:val="none"/>
        </w:rPr>
        <w:t>、合同组成：</w:t>
      </w:r>
    </w:p>
    <w:p w14:paraId="035283CF">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本项目的合同文件包括下列附件：招标文件（包括招标补充文件），投标文件（包括投标补充文件），答疑纪要，询标纪要，中标通知书，合同履行中双方就有关问题协商达成的纪要或补充协议，项目技术文件（包括安装图纸、会议纪要、变更联系单等其他技术资料）等。</w:t>
      </w:r>
    </w:p>
    <w:p w14:paraId="0873660D">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所有附件与合同正本具有同等法律效力。</w:t>
      </w:r>
    </w:p>
    <w:p w14:paraId="3F64B787">
      <w:pPr>
        <w:keepNext w:val="0"/>
        <w:keepLines w:val="0"/>
        <w:pageBreakBefore w:val="0"/>
        <w:widowControl/>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七</w:t>
      </w:r>
      <w:r>
        <w:rPr>
          <w:rFonts w:hint="eastAsia" w:ascii="仿宋" w:hAnsi="仿宋" w:eastAsia="仿宋" w:cs="仿宋"/>
          <w:b/>
          <w:bCs/>
          <w:color w:val="auto"/>
          <w:kern w:val="0"/>
          <w:sz w:val="24"/>
          <w:highlight w:val="none"/>
        </w:rPr>
        <w:t>、合同生效及其他</w:t>
      </w:r>
    </w:p>
    <w:p w14:paraId="6356D2FF">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1.合同经甲、乙双方签名并加盖单位公章后生效。</w:t>
      </w:r>
    </w:p>
    <w:p w14:paraId="32575EBC">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2.采购文件、投标文件与本合同具有同等法律效力。</w:t>
      </w:r>
    </w:p>
    <w:p w14:paraId="66BADB53">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3.本合同未尽事宜，遵照《</w:t>
      </w:r>
      <w:r>
        <w:rPr>
          <w:rFonts w:hint="eastAsia" w:ascii="仿宋" w:hAnsi="仿宋" w:eastAsia="仿宋" w:cs="仿宋"/>
          <w:color w:val="auto"/>
          <w:kern w:val="0"/>
          <w:sz w:val="24"/>
          <w:highlight w:val="none"/>
          <w:lang w:val="en-US" w:eastAsia="zh-CN"/>
        </w:rPr>
        <w:t>中华人民共和国</w:t>
      </w:r>
      <w:r>
        <w:rPr>
          <w:rFonts w:hint="eastAsia" w:ascii="仿宋" w:hAnsi="仿宋" w:eastAsia="仿宋" w:cs="仿宋"/>
          <w:color w:val="auto"/>
          <w:kern w:val="0"/>
          <w:sz w:val="24"/>
          <w:highlight w:val="none"/>
        </w:rPr>
        <w:t>民法典》有关条文执行。</w:t>
      </w:r>
    </w:p>
    <w:p w14:paraId="65499C9D">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4.本合同一式</w:t>
      </w:r>
      <w:r>
        <w:rPr>
          <w:rFonts w:hint="eastAsia" w:ascii="仿宋" w:hAnsi="仿宋" w:eastAsia="仿宋" w:cs="仿宋"/>
          <w:color w:val="auto"/>
          <w:kern w:val="0"/>
          <w:sz w:val="24"/>
          <w:highlight w:val="none"/>
          <w:lang w:val="en-US" w:eastAsia="zh-CN"/>
        </w:rPr>
        <w:t>玖</w:t>
      </w:r>
      <w:r>
        <w:rPr>
          <w:rFonts w:hint="eastAsia" w:ascii="仿宋" w:hAnsi="仿宋" w:eastAsia="仿宋" w:cs="仿宋"/>
          <w:color w:val="auto"/>
          <w:kern w:val="0"/>
          <w:sz w:val="24"/>
          <w:highlight w:val="none"/>
        </w:rPr>
        <w:t>份，具有同等法律效力，甲</w:t>
      </w:r>
      <w:r>
        <w:rPr>
          <w:rFonts w:hint="eastAsia" w:ascii="仿宋" w:hAnsi="仿宋" w:eastAsia="仿宋" w:cs="仿宋"/>
          <w:color w:val="auto"/>
          <w:kern w:val="0"/>
          <w:sz w:val="24"/>
          <w:highlight w:val="none"/>
          <w:lang w:eastAsia="zh-CN"/>
        </w:rPr>
        <w:t>方执四份，</w:t>
      </w:r>
      <w:r>
        <w:rPr>
          <w:rFonts w:hint="eastAsia" w:ascii="仿宋" w:hAnsi="仿宋" w:eastAsia="仿宋" w:cs="仿宋"/>
          <w:color w:val="auto"/>
          <w:kern w:val="0"/>
          <w:sz w:val="24"/>
          <w:highlight w:val="none"/>
        </w:rPr>
        <w:t>乙方执</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份，采购代理机构一份。</w:t>
      </w:r>
    </w:p>
    <w:p w14:paraId="1DDFA7BC">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p>
    <w:p w14:paraId="0AF50D8E">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甲方（盖章）：                                   </w:t>
      </w:r>
    </w:p>
    <w:p w14:paraId="7AE73E48">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78A5BC93">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法定（授权）代表人：                   </w:t>
      </w:r>
    </w:p>
    <w:p w14:paraId="40B38BC7">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签名日期：     年   月   日           </w:t>
      </w:r>
    </w:p>
    <w:p w14:paraId="06149E27">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rPr>
      </w:pPr>
    </w:p>
    <w:p w14:paraId="266775EC">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rPr>
        <w:t>乙方（盖章）：</w:t>
      </w:r>
      <w:r>
        <w:rPr>
          <w:rFonts w:hint="eastAsia" w:ascii="仿宋" w:hAnsi="仿宋" w:eastAsia="仿宋" w:cs="仿宋"/>
          <w:color w:val="auto"/>
          <w:kern w:val="0"/>
          <w:sz w:val="24"/>
          <w:highlight w:val="none"/>
          <w:u w:val="none"/>
          <w:lang w:val="en-US" w:eastAsia="zh-CN"/>
        </w:rPr>
        <w:t xml:space="preserve">                           联合体（若有）</w:t>
      </w:r>
    </w:p>
    <w:p w14:paraId="0ECC6DEA">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200DBE1F">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14:paraId="0CA457FA">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14:paraId="43433963">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14:paraId="1B9863F5">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14:paraId="53A87EE3">
      <w:pPr>
        <w:widowControl/>
        <w:snapToGrid w:val="0"/>
        <w:spacing w:line="480" w:lineRule="exact"/>
        <w:rPr>
          <w:rFonts w:hint="eastAsia" w:ascii="仿宋" w:hAnsi="仿宋" w:eastAsia="仿宋" w:cs="仿宋"/>
          <w:b/>
          <w:color w:val="auto"/>
          <w:sz w:val="44"/>
          <w:szCs w:val="44"/>
          <w:highlight w:val="none"/>
        </w:rPr>
      </w:pPr>
      <w:r>
        <w:rPr>
          <w:rFonts w:hint="eastAsia" w:ascii="仿宋" w:hAnsi="仿宋" w:eastAsia="仿宋" w:cs="仿宋"/>
          <w:b/>
          <w:color w:val="auto"/>
          <w:sz w:val="36"/>
          <w:szCs w:val="20"/>
          <w:highlight w:val="none"/>
        </w:rPr>
        <w:br w:type="page"/>
      </w:r>
    </w:p>
    <w:p w14:paraId="5A0C8920">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29"/>
      <w:r>
        <w:rPr>
          <w:rFonts w:hint="eastAsia" w:ascii="仿宋" w:hAnsi="仿宋" w:eastAsia="仿宋" w:cs="仿宋"/>
          <w:b/>
          <w:color w:val="auto"/>
          <w:sz w:val="36"/>
          <w:szCs w:val="20"/>
          <w:highlight w:val="none"/>
        </w:rPr>
        <w:t xml:space="preserve"> </w:t>
      </w:r>
      <w:bookmarkEnd w:id="430"/>
      <w:r>
        <w:rPr>
          <w:rFonts w:hint="eastAsia" w:ascii="仿宋" w:hAnsi="仿宋" w:eastAsia="仿宋" w:cs="仿宋"/>
          <w:b/>
          <w:color w:val="auto"/>
          <w:sz w:val="36"/>
          <w:szCs w:val="20"/>
          <w:highlight w:val="none"/>
        </w:rPr>
        <w:t>应提交的有关格式范例</w:t>
      </w:r>
    </w:p>
    <w:p w14:paraId="4FE8D359">
      <w:pPr>
        <w:spacing w:line="360" w:lineRule="auto"/>
        <w:jc w:val="center"/>
        <w:outlineLvl w:val="9"/>
        <w:rPr>
          <w:rFonts w:hint="eastAsia" w:ascii="仿宋" w:hAnsi="仿宋" w:eastAsia="仿宋" w:cs="仿宋"/>
          <w:color w:val="auto"/>
          <w:sz w:val="36"/>
          <w:szCs w:val="36"/>
          <w:highlight w:val="none"/>
          <w:lang w:val="zh-CN"/>
        </w:rPr>
      </w:pPr>
    </w:p>
    <w:p w14:paraId="051F8166">
      <w:pPr>
        <w:spacing w:line="360" w:lineRule="auto"/>
        <w:jc w:val="center"/>
        <w:rPr>
          <w:rFonts w:hint="eastAsia" w:ascii="仿宋" w:hAnsi="仿宋" w:eastAsia="仿宋" w:cs="仿宋"/>
          <w:color w:val="auto"/>
          <w:sz w:val="36"/>
          <w:szCs w:val="36"/>
          <w:highlight w:val="none"/>
          <w:lang w:val="zh-CN" w:eastAsia="zh-CN"/>
        </w:rPr>
      </w:pPr>
      <w:r>
        <w:rPr>
          <w:rFonts w:hint="eastAsia" w:ascii="仿宋" w:hAnsi="仿宋" w:eastAsia="仿宋" w:cs="仿宋"/>
          <w:b/>
          <w:color w:val="auto"/>
          <w:sz w:val="36"/>
          <w:szCs w:val="20"/>
          <w:highlight w:val="none"/>
          <w:lang w:val="en-US" w:eastAsia="zh-CN"/>
        </w:rPr>
        <w:t xml:space="preserve"> </w:t>
      </w:r>
    </w:p>
    <w:p w14:paraId="693D831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E320EFB">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7A9774">
      <w:pPr>
        <w:spacing w:line="360" w:lineRule="auto"/>
        <w:jc w:val="center"/>
        <w:rPr>
          <w:rFonts w:hint="eastAsia" w:ascii="仿宋" w:hAnsi="仿宋" w:eastAsia="仿宋" w:cs="仿宋"/>
          <w:b/>
          <w:color w:val="auto"/>
          <w:kern w:val="0"/>
          <w:sz w:val="36"/>
          <w:szCs w:val="36"/>
          <w:highlight w:val="none"/>
        </w:rPr>
      </w:pPr>
    </w:p>
    <w:p w14:paraId="52EA56D8">
      <w:pPr>
        <w:spacing w:line="360" w:lineRule="auto"/>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(1）营业执照(或事业法人登记证或其他工商等登记证明材料)复印件……（页码）</w:t>
      </w:r>
    </w:p>
    <w:p w14:paraId="4AD00B68">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（2）投标声明函 …………………………………………………………………（页码）</w:t>
      </w:r>
    </w:p>
    <w:p w14:paraId="6D456172">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（3）法定代表人授权委托书 ……………………………………………………（页码）</w:t>
      </w:r>
    </w:p>
    <w:p w14:paraId="2952DF9F">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（4）法定代表人及其授权代表的身份证（复印件） …………………………（页码）</w:t>
      </w:r>
    </w:p>
    <w:p w14:paraId="796438CD">
      <w:pPr>
        <w:spacing w:line="360" w:lineRule="auto"/>
        <w:ind w:firstLine="480" w:firstLineChars="200"/>
        <w:jc w:val="left"/>
        <w:rPr>
          <w:rFonts w:hint="eastAsia" w:ascii="仿宋" w:hAnsi="仿宋" w:eastAsia="仿宋" w:cs="仿宋"/>
          <w:strike/>
          <w:dstrike w:val="0"/>
          <w:color w:val="auto"/>
          <w:highlight w:val="none"/>
        </w:rPr>
      </w:pPr>
      <w:r>
        <w:rPr>
          <w:rFonts w:hint="eastAsia" w:ascii="仿宋" w:hAnsi="仿宋" w:eastAsia="仿宋" w:cs="仿宋"/>
          <w:strike/>
          <w:dstrike w:val="0"/>
          <w:color w:val="auto"/>
          <w:sz w:val="24"/>
          <w:highlight w:val="none"/>
        </w:rPr>
        <w:t>（5）</w:t>
      </w:r>
      <w:r>
        <w:rPr>
          <w:rFonts w:hint="eastAsia" w:ascii="仿宋" w:hAnsi="仿宋" w:eastAsia="仿宋" w:cs="仿宋"/>
          <w:strike/>
          <w:dstrike w:val="0"/>
          <w:color w:val="auto"/>
          <w:kern w:val="0"/>
          <w:sz w:val="24"/>
          <w:highlight w:val="none"/>
        </w:rPr>
        <w:t>联合体协议书（如有）……………………………………………………（页码）</w:t>
      </w:r>
    </w:p>
    <w:p w14:paraId="176C83FC">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rPr>
        <w:t>符合特定资格条件的有关证明材料（复印件）……………………（页码）</w:t>
      </w:r>
    </w:p>
    <w:p w14:paraId="6F12DC1D">
      <w:pPr>
        <w:widowControl/>
        <w:snapToGrid w:val="0"/>
        <w:spacing w:line="480" w:lineRule="exact"/>
        <w:ind w:firstLine="567"/>
        <w:rPr>
          <w:rFonts w:hint="eastAsia" w:ascii="仿宋" w:hAnsi="仿宋" w:eastAsia="仿宋" w:cs="仿宋"/>
          <w:color w:val="auto"/>
          <w:kern w:val="28"/>
          <w:sz w:val="28"/>
          <w:szCs w:val="20"/>
          <w:highlight w:val="none"/>
        </w:rPr>
      </w:pPr>
    </w:p>
    <w:p w14:paraId="485E2B42">
      <w:pPr>
        <w:snapToGrid w:val="0"/>
        <w:spacing w:line="360" w:lineRule="auto"/>
        <w:ind w:firstLine="3240" w:firstLineChars="900"/>
        <w:rPr>
          <w:rFonts w:hint="eastAsia" w:ascii="仿宋" w:hAnsi="仿宋" w:eastAsia="仿宋" w:cs="仿宋"/>
          <w:color w:val="auto"/>
          <w:sz w:val="36"/>
          <w:szCs w:val="36"/>
          <w:highlight w:val="none"/>
        </w:rPr>
      </w:pPr>
    </w:p>
    <w:p w14:paraId="3C1943DB">
      <w:pPr>
        <w:snapToGrid w:val="0"/>
        <w:spacing w:line="360" w:lineRule="auto"/>
        <w:rPr>
          <w:rFonts w:hint="eastAsia" w:ascii="仿宋" w:hAnsi="仿宋" w:eastAsia="仿宋" w:cs="仿宋"/>
          <w:color w:val="auto"/>
          <w:sz w:val="36"/>
          <w:szCs w:val="36"/>
          <w:highlight w:val="none"/>
        </w:rPr>
      </w:pPr>
    </w:p>
    <w:p w14:paraId="0DC419F2">
      <w:pPr>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一、营业执照(或事业法人登记证或其他工商等登记证明材料)复印件</w:t>
      </w:r>
    </w:p>
    <w:p w14:paraId="1E197A80">
      <w:pPr>
        <w:spacing w:line="360" w:lineRule="auto"/>
        <w:rPr>
          <w:rFonts w:hint="eastAsia" w:ascii="仿宋" w:hAnsi="仿宋" w:eastAsia="仿宋" w:cs="仿宋"/>
          <w:b/>
          <w:color w:val="auto"/>
          <w:sz w:val="30"/>
          <w:szCs w:val="30"/>
          <w:highlight w:val="none"/>
        </w:rPr>
      </w:pPr>
    </w:p>
    <w:p w14:paraId="7A64E965">
      <w:pPr>
        <w:spacing w:line="360" w:lineRule="auto"/>
        <w:rPr>
          <w:rFonts w:hint="eastAsia" w:ascii="仿宋" w:hAnsi="仿宋" w:eastAsia="仿宋" w:cs="仿宋"/>
          <w:b/>
          <w:color w:val="auto"/>
          <w:sz w:val="30"/>
          <w:szCs w:val="30"/>
          <w:highlight w:val="none"/>
        </w:rPr>
      </w:pPr>
    </w:p>
    <w:p w14:paraId="62FAD4A4">
      <w:pPr>
        <w:spacing w:line="360" w:lineRule="auto"/>
        <w:rPr>
          <w:rFonts w:hint="eastAsia" w:ascii="仿宋" w:hAnsi="仿宋" w:eastAsia="仿宋" w:cs="仿宋"/>
          <w:b/>
          <w:color w:val="auto"/>
          <w:sz w:val="30"/>
          <w:szCs w:val="30"/>
          <w:highlight w:val="none"/>
        </w:rPr>
      </w:pPr>
    </w:p>
    <w:p w14:paraId="7B51A0F3">
      <w:pPr>
        <w:spacing w:line="360" w:lineRule="auto"/>
        <w:rPr>
          <w:rFonts w:hint="eastAsia" w:ascii="仿宋" w:hAnsi="仿宋" w:eastAsia="仿宋" w:cs="仿宋"/>
          <w:b/>
          <w:color w:val="auto"/>
          <w:sz w:val="30"/>
          <w:szCs w:val="30"/>
          <w:highlight w:val="none"/>
        </w:rPr>
      </w:pPr>
    </w:p>
    <w:p w14:paraId="04DE020C">
      <w:pPr>
        <w:spacing w:line="360" w:lineRule="auto"/>
        <w:rPr>
          <w:rFonts w:hint="eastAsia" w:ascii="仿宋" w:hAnsi="仿宋" w:eastAsia="仿宋" w:cs="仿宋"/>
          <w:b/>
          <w:color w:val="auto"/>
          <w:sz w:val="30"/>
          <w:szCs w:val="30"/>
          <w:highlight w:val="none"/>
        </w:rPr>
      </w:pPr>
    </w:p>
    <w:p w14:paraId="1A55E21D">
      <w:pPr>
        <w:spacing w:line="360" w:lineRule="auto"/>
        <w:rPr>
          <w:rFonts w:hint="eastAsia" w:ascii="仿宋" w:hAnsi="仿宋" w:eastAsia="仿宋" w:cs="仿宋"/>
          <w:b/>
          <w:color w:val="auto"/>
          <w:sz w:val="30"/>
          <w:szCs w:val="30"/>
          <w:highlight w:val="none"/>
        </w:rPr>
      </w:pPr>
    </w:p>
    <w:p w14:paraId="0AAD2F36">
      <w:pPr>
        <w:spacing w:line="360" w:lineRule="auto"/>
        <w:rPr>
          <w:rFonts w:hint="eastAsia" w:ascii="仿宋" w:hAnsi="仿宋" w:eastAsia="仿宋" w:cs="仿宋"/>
          <w:b/>
          <w:color w:val="auto"/>
          <w:sz w:val="30"/>
          <w:szCs w:val="30"/>
          <w:highlight w:val="none"/>
        </w:rPr>
      </w:pPr>
    </w:p>
    <w:p w14:paraId="70459F68">
      <w:pPr>
        <w:spacing w:line="360" w:lineRule="auto"/>
        <w:rPr>
          <w:rFonts w:hint="eastAsia" w:ascii="仿宋" w:hAnsi="仿宋" w:eastAsia="仿宋" w:cs="仿宋"/>
          <w:b/>
          <w:color w:val="auto"/>
          <w:sz w:val="30"/>
          <w:szCs w:val="30"/>
          <w:highlight w:val="none"/>
        </w:rPr>
      </w:pPr>
    </w:p>
    <w:p w14:paraId="0178EFE4">
      <w:pPr>
        <w:spacing w:line="360" w:lineRule="auto"/>
        <w:rPr>
          <w:rFonts w:hint="eastAsia" w:ascii="仿宋" w:hAnsi="仿宋" w:eastAsia="仿宋" w:cs="仿宋"/>
          <w:b/>
          <w:color w:val="auto"/>
          <w:sz w:val="30"/>
          <w:szCs w:val="30"/>
          <w:highlight w:val="none"/>
        </w:rPr>
      </w:pPr>
    </w:p>
    <w:p w14:paraId="41C45B27">
      <w:pPr>
        <w:spacing w:line="360" w:lineRule="auto"/>
        <w:rPr>
          <w:rFonts w:hint="eastAsia" w:ascii="仿宋" w:hAnsi="仿宋" w:eastAsia="仿宋" w:cs="仿宋"/>
          <w:b/>
          <w:color w:val="auto"/>
          <w:sz w:val="30"/>
          <w:szCs w:val="30"/>
          <w:highlight w:val="none"/>
        </w:rPr>
      </w:pPr>
    </w:p>
    <w:p w14:paraId="36B7AC01">
      <w:pPr>
        <w:spacing w:line="360" w:lineRule="auto"/>
        <w:rPr>
          <w:rFonts w:hint="eastAsia" w:ascii="仿宋" w:hAnsi="仿宋" w:eastAsia="仿宋" w:cs="仿宋"/>
          <w:b/>
          <w:color w:val="auto"/>
          <w:sz w:val="30"/>
          <w:szCs w:val="30"/>
          <w:highlight w:val="none"/>
        </w:rPr>
      </w:pPr>
    </w:p>
    <w:p w14:paraId="382C318C">
      <w:pPr>
        <w:spacing w:line="360" w:lineRule="auto"/>
        <w:rPr>
          <w:rFonts w:hint="eastAsia" w:ascii="仿宋" w:hAnsi="仿宋" w:eastAsia="仿宋" w:cs="仿宋"/>
          <w:b/>
          <w:color w:val="auto"/>
          <w:sz w:val="30"/>
          <w:szCs w:val="30"/>
          <w:highlight w:val="none"/>
        </w:rPr>
      </w:pPr>
    </w:p>
    <w:p w14:paraId="7B8CFC4F">
      <w:pPr>
        <w:spacing w:line="360" w:lineRule="auto"/>
        <w:rPr>
          <w:rFonts w:hint="eastAsia" w:ascii="仿宋" w:hAnsi="仿宋" w:eastAsia="仿宋" w:cs="仿宋"/>
          <w:b/>
          <w:color w:val="auto"/>
          <w:sz w:val="30"/>
          <w:szCs w:val="30"/>
          <w:highlight w:val="none"/>
        </w:rPr>
      </w:pPr>
    </w:p>
    <w:p w14:paraId="017027BF">
      <w:pPr>
        <w:spacing w:line="360" w:lineRule="auto"/>
        <w:rPr>
          <w:rFonts w:hint="eastAsia" w:ascii="仿宋" w:hAnsi="仿宋" w:eastAsia="仿宋" w:cs="仿宋"/>
          <w:b/>
          <w:color w:val="auto"/>
          <w:sz w:val="30"/>
          <w:szCs w:val="30"/>
          <w:highlight w:val="none"/>
        </w:rPr>
      </w:pPr>
    </w:p>
    <w:p w14:paraId="03C6366E">
      <w:pPr>
        <w:spacing w:line="360" w:lineRule="auto"/>
        <w:rPr>
          <w:rFonts w:hint="eastAsia" w:ascii="仿宋" w:hAnsi="仿宋" w:eastAsia="仿宋" w:cs="仿宋"/>
          <w:b/>
          <w:color w:val="auto"/>
          <w:sz w:val="30"/>
          <w:szCs w:val="30"/>
          <w:highlight w:val="none"/>
        </w:rPr>
      </w:pPr>
    </w:p>
    <w:p w14:paraId="63D5FDFA">
      <w:pPr>
        <w:spacing w:line="360" w:lineRule="auto"/>
        <w:rPr>
          <w:rFonts w:hint="eastAsia" w:ascii="仿宋" w:hAnsi="仿宋" w:eastAsia="仿宋" w:cs="仿宋"/>
          <w:b/>
          <w:color w:val="auto"/>
          <w:sz w:val="30"/>
          <w:szCs w:val="30"/>
          <w:highlight w:val="none"/>
        </w:rPr>
      </w:pPr>
    </w:p>
    <w:p w14:paraId="44356271">
      <w:pPr>
        <w:spacing w:line="360" w:lineRule="auto"/>
        <w:rPr>
          <w:rFonts w:hint="eastAsia" w:ascii="仿宋" w:hAnsi="仿宋" w:eastAsia="仿宋" w:cs="仿宋"/>
          <w:b/>
          <w:color w:val="auto"/>
          <w:sz w:val="30"/>
          <w:szCs w:val="30"/>
          <w:highlight w:val="none"/>
        </w:rPr>
      </w:pPr>
    </w:p>
    <w:p w14:paraId="4BC700AC">
      <w:pPr>
        <w:spacing w:line="360" w:lineRule="auto"/>
        <w:rPr>
          <w:rFonts w:hint="eastAsia" w:ascii="仿宋" w:hAnsi="仿宋" w:eastAsia="仿宋" w:cs="仿宋"/>
          <w:b/>
          <w:color w:val="auto"/>
          <w:sz w:val="30"/>
          <w:szCs w:val="30"/>
          <w:highlight w:val="none"/>
        </w:rPr>
      </w:pPr>
    </w:p>
    <w:p w14:paraId="604882FD">
      <w:pPr>
        <w:snapToGrid w:val="0"/>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kern w:val="0"/>
          <w:sz w:val="32"/>
          <w:szCs w:val="32"/>
          <w:highlight w:val="none"/>
        </w:rPr>
        <w:t>二、投标声明</w:t>
      </w:r>
      <w:r>
        <w:rPr>
          <w:rFonts w:hint="eastAsia" w:ascii="仿宋" w:hAnsi="仿宋" w:eastAsia="仿宋" w:cs="仿宋"/>
          <w:b/>
          <w:color w:val="auto"/>
          <w:sz w:val="32"/>
          <w:szCs w:val="32"/>
          <w:highlight w:val="none"/>
        </w:rPr>
        <w:t>函</w:t>
      </w:r>
    </w:p>
    <w:p w14:paraId="05B581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2CE750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（投标人全称）</w:t>
      </w:r>
      <w:r>
        <w:rPr>
          <w:rFonts w:hint="eastAsia" w:ascii="仿宋" w:hAnsi="仿宋" w:eastAsia="仿宋" w:cs="仿宋"/>
          <w:color w:val="auto"/>
          <w:sz w:val="24"/>
          <w:highlight w:val="none"/>
        </w:rPr>
        <w:t>愿意参加贵方组织的</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sz w:val="24"/>
          <w:highlight w:val="none"/>
        </w:rPr>
        <w:t>的投标，为此，我方就本次投标有关事项郑重申明如下：</w:t>
      </w:r>
    </w:p>
    <w:p w14:paraId="7E5AD9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1、我方已详细审查全部招标文件，同意招标文件的各项要求。</w:t>
      </w:r>
    </w:p>
    <w:p w14:paraId="09BE88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2、我方承诺已经具备《中华人民共和国政府采购法》第二十二条规定的条件。</w:t>
      </w:r>
    </w:p>
    <w:p w14:paraId="21E2DD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参加本次国企采购活动前三年内，在经营活动中没有重大违法记录；也没有因违反《浙江省政府采购投标人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2AA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4、我方向贵方提交的所有投标文件、资料都是准确、真实的。若贵方需要，我方愿意向贵方提供任何与该项投标有关且合法的数据、情况和技术资料。</w:t>
      </w:r>
    </w:p>
    <w:p w14:paraId="0D0479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5、我方保证所供货物质量符合国家强制性规范和标准，达到采购文件规定的要求。</w:t>
      </w:r>
    </w:p>
    <w:p w14:paraId="38D950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6、投标文件自开标日起有效期为90天。</w:t>
      </w:r>
    </w:p>
    <w:p w14:paraId="6BDBAF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7、我方具有履行本项目合同所必需的设备和专业技术能力。如中标，我方将保证合同顺利履行。</w:t>
      </w:r>
    </w:p>
    <w:p w14:paraId="1EDDDE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8、我方中标后拟在中标后将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工作分包，分包承担主体是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，我方承诺分包承担主体具备相应资质条件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，且不再次分包。（不再将工作进行分包或本项目不允许分包的，下划线处填写“/”。）</w:t>
      </w:r>
    </w:p>
    <w:p w14:paraId="148931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9、我方承诺若违反法律、法规规定，愿接受依法处理。</w:t>
      </w:r>
    </w:p>
    <w:p w14:paraId="539A1D82">
      <w:pPr>
        <w:snapToGrid w:val="0"/>
        <w:spacing w:line="360" w:lineRule="auto"/>
        <w:ind w:left="420" w:left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传真号码：</w:t>
      </w:r>
      <w:r>
        <w:rPr>
          <w:rFonts w:hint="eastAsia" w:ascii="仿宋" w:hAnsi="仿宋" w:eastAsia="仿宋" w:cs="仿宋"/>
          <w:color w:val="auto"/>
          <w:kern w:val="0"/>
          <w:sz w:val="24"/>
          <w:highlight w:val="none"/>
          <w:u w:val="single"/>
          <w:lang w:val="zh-CN"/>
        </w:rPr>
        <w:t xml:space="preserve">            </w:t>
      </w:r>
    </w:p>
    <w:p w14:paraId="42959526">
      <w:pPr>
        <w:snapToGrid w:val="0"/>
        <w:spacing w:line="360" w:lineRule="auto"/>
        <w:ind w:left="420" w:left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联系地址：</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邮政编码：</w:t>
      </w:r>
      <w:r>
        <w:rPr>
          <w:rFonts w:hint="eastAsia" w:ascii="仿宋" w:hAnsi="仿宋" w:eastAsia="仿宋" w:cs="仿宋"/>
          <w:color w:val="auto"/>
          <w:kern w:val="0"/>
          <w:sz w:val="24"/>
          <w:highlight w:val="none"/>
          <w:u w:val="single"/>
          <w:lang w:val="zh-CN"/>
        </w:rPr>
        <w:t xml:space="preserve">                     </w:t>
      </w:r>
    </w:p>
    <w:p w14:paraId="79D7C5A9">
      <w:pPr>
        <w:snapToGrid w:val="0"/>
        <w:spacing w:line="360" w:lineRule="auto"/>
        <w:ind w:firstLine="5040" w:firstLineChars="2100"/>
        <w:rPr>
          <w:rFonts w:hint="eastAsia" w:ascii="仿宋" w:hAnsi="仿宋" w:eastAsia="仿宋" w:cs="仿宋"/>
          <w:color w:val="auto"/>
          <w:kern w:val="0"/>
          <w:sz w:val="24"/>
          <w:highlight w:val="none"/>
          <w:lang w:val="zh-CN"/>
        </w:rPr>
      </w:pPr>
    </w:p>
    <w:p w14:paraId="76C71091">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307DBDE">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19F55303">
      <w:pPr>
        <w:snapToGrid w:val="0"/>
        <w:spacing w:line="360" w:lineRule="auto"/>
        <w:jc w:val="center"/>
        <w:rPr>
          <w:rFonts w:hint="eastAsia" w:ascii="仿宋" w:hAnsi="仿宋" w:eastAsia="仿宋" w:cs="仿宋"/>
          <w:b/>
          <w:color w:val="auto"/>
          <w:kern w:val="0"/>
          <w:sz w:val="24"/>
          <w:highlight w:val="none"/>
          <w:lang w:val="zh-CN"/>
        </w:rPr>
      </w:pPr>
    </w:p>
    <w:p w14:paraId="260BA05F">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4"/>
          <w:highlight w:val="none"/>
          <w:lang w:val="zh-CN"/>
        </w:rPr>
        <w:br w:type="page"/>
      </w:r>
      <w:r>
        <w:rPr>
          <w:rFonts w:hint="eastAsia" w:ascii="仿宋" w:hAnsi="仿宋" w:eastAsia="仿宋" w:cs="仿宋"/>
          <w:b/>
          <w:color w:val="auto"/>
          <w:kern w:val="0"/>
          <w:sz w:val="32"/>
          <w:szCs w:val="32"/>
          <w:highlight w:val="none"/>
        </w:rPr>
        <w:t>三、法定代表人授权委托书</w:t>
      </w:r>
    </w:p>
    <w:p w14:paraId="7705A9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767B7C01">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（姓名及身份证号码）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（投标人全称） </w:t>
      </w:r>
      <w:r>
        <w:rPr>
          <w:rFonts w:hint="eastAsia" w:ascii="仿宋" w:hAnsi="仿宋" w:eastAsia="仿宋" w:cs="仿宋"/>
          <w:color w:val="auto"/>
          <w:sz w:val="24"/>
          <w:highlight w:val="none"/>
        </w:rPr>
        <w:t>的法定代表人，现授权委托本单位在职职工</w:t>
      </w:r>
      <w:r>
        <w:rPr>
          <w:rFonts w:hint="eastAsia" w:ascii="仿宋" w:hAnsi="仿宋" w:eastAsia="仿宋" w:cs="仿宋"/>
          <w:color w:val="auto"/>
          <w:sz w:val="24"/>
          <w:highlight w:val="none"/>
          <w:u w:val="single"/>
        </w:rPr>
        <w:t>（姓名）</w:t>
      </w:r>
      <w:r>
        <w:rPr>
          <w:rFonts w:hint="eastAsia" w:ascii="仿宋" w:hAnsi="仿宋" w:eastAsia="仿宋" w:cs="仿宋"/>
          <w:color w:val="auto"/>
          <w:kern w:val="0"/>
          <w:sz w:val="24"/>
          <w:highlight w:val="none"/>
          <w:lang w:val="zh-CN"/>
        </w:rPr>
        <w:t>(其身份证号码：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)，以我方的名义参加</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kern w:val="0"/>
          <w:sz w:val="24"/>
          <w:highlight w:val="none"/>
          <w:lang w:val="zh-CN"/>
        </w:rPr>
        <w:t>的投标活动，并代表我方全权办理针对上述项目投标、开标、评标、签约等具体事务和签署相关文件。我方对授权代表的签名事项负全部责任。</w:t>
      </w:r>
    </w:p>
    <w:p w14:paraId="51FB671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在撤销授权的书面通知以前，本授权书一直有效。全权代表在授权书有效期内签署的所有文件不因授权的撤销而失效。</w:t>
      </w:r>
    </w:p>
    <w:p w14:paraId="04480F5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授权代表无转委托权。特此委托</w:t>
      </w:r>
    </w:p>
    <w:p w14:paraId="3510FBD0">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8C8BCFA">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C2A0C44">
      <w:pPr>
        <w:snapToGrid w:val="0"/>
        <w:spacing w:line="360" w:lineRule="auto"/>
        <w:ind w:firstLine="5160" w:firstLineChars="2150"/>
        <w:rPr>
          <w:rFonts w:hint="eastAsia" w:ascii="仿宋" w:hAnsi="仿宋" w:eastAsia="仿宋" w:cs="仿宋"/>
          <w:color w:val="auto"/>
          <w:kern w:val="0"/>
          <w:sz w:val="24"/>
          <w:highlight w:val="none"/>
          <w:lang w:val="zh-CN"/>
        </w:rPr>
      </w:pPr>
    </w:p>
    <w:p w14:paraId="554DC617">
      <w:pPr>
        <w:spacing w:line="360" w:lineRule="auto"/>
        <w:jc w:val="center"/>
        <w:rPr>
          <w:rFonts w:hint="eastAsia" w:ascii="仿宋" w:hAnsi="仿宋" w:eastAsia="仿宋" w:cs="仿宋"/>
          <w:b/>
          <w:color w:val="auto"/>
          <w:sz w:val="32"/>
          <w:szCs w:val="32"/>
          <w:highlight w:val="none"/>
        </w:rPr>
      </w:pPr>
    </w:p>
    <w:p w14:paraId="501D316F">
      <w:pPr>
        <w:spacing w:line="360" w:lineRule="auto"/>
        <w:jc w:val="center"/>
        <w:rPr>
          <w:rFonts w:hint="eastAsia" w:ascii="仿宋" w:hAnsi="仿宋" w:eastAsia="仿宋" w:cs="仿宋"/>
          <w:b/>
          <w:color w:val="auto"/>
          <w:sz w:val="32"/>
          <w:szCs w:val="32"/>
          <w:highlight w:val="none"/>
        </w:rPr>
      </w:pPr>
    </w:p>
    <w:p w14:paraId="35E9AA0C">
      <w:pPr>
        <w:spacing w:line="360" w:lineRule="auto"/>
        <w:jc w:val="center"/>
        <w:rPr>
          <w:rFonts w:hint="eastAsia" w:ascii="仿宋" w:hAnsi="仿宋" w:eastAsia="仿宋" w:cs="仿宋"/>
          <w:b/>
          <w:color w:val="auto"/>
          <w:sz w:val="32"/>
          <w:szCs w:val="32"/>
          <w:highlight w:val="none"/>
        </w:rPr>
      </w:pPr>
    </w:p>
    <w:p w14:paraId="4B778C0D">
      <w:pPr>
        <w:spacing w:line="360" w:lineRule="auto"/>
        <w:jc w:val="center"/>
        <w:rPr>
          <w:rFonts w:hint="eastAsia" w:ascii="仿宋" w:hAnsi="仿宋" w:eastAsia="仿宋" w:cs="仿宋"/>
          <w:b/>
          <w:color w:val="auto"/>
          <w:sz w:val="32"/>
          <w:szCs w:val="32"/>
          <w:highlight w:val="none"/>
        </w:rPr>
      </w:pPr>
    </w:p>
    <w:p w14:paraId="1173C428">
      <w:pPr>
        <w:spacing w:line="360" w:lineRule="auto"/>
        <w:jc w:val="center"/>
        <w:rPr>
          <w:rFonts w:hint="eastAsia" w:ascii="仿宋" w:hAnsi="仿宋" w:eastAsia="仿宋" w:cs="仿宋"/>
          <w:b/>
          <w:color w:val="auto"/>
          <w:sz w:val="32"/>
          <w:szCs w:val="32"/>
          <w:highlight w:val="none"/>
        </w:rPr>
      </w:pPr>
    </w:p>
    <w:p w14:paraId="502D4C58">
      <w:pPr>
        <w:spacing w:line="360" w:lineRule="auto"/>
        <w:jc w:val="center"/>
        <w:rPr>
          <w:rFonts w:hint="eastAsia" w:ascii="仿宋" w:hAnsi="仿宋" w:eastAsia="仿宋" w:cs="仿宋"/>
          <w:b/>
          <w:color w:val="auto"/>
          <w:sz w:val="32"/>
          <w:szCs w:val="32"/>
          <w:highlight w:val="none"/>
        </w:rPr>
      </w:pPr>
    </w:p>
    <w:p w14:paraId="5B5AC41D">
      <w:pPr>
        <w:spacing w:line="360" w:lineRule="auto"/>
        <w:jc w:val="center"/>
        <w:rPr>
          <w:rFonts w:hint="eastAsia" w:ascii="仿宋" w:hAnsi="仿宋" w:eastAsia="仿宋" w:cs="仿宋"/>
          <w:b/>
          <w:color w:val="auto"/>
          <w:sz w:val="32"/>
          <w:szCs w:val="32"/>
          <w:highlight w:val="none"/>
        </w:rPr>
      </w:pPr>
    </w:p>
    <w:p w14:paraId="31369DFB">
      <w:pPr>
        <w:spacing w:line="360" w:lineRule="auto"/>
        <w:jc w:val="center"/>
        <w:rPr>
          <w:rFonts w:hint="eastAsia" w:ascii="仿宋" w:hAnsi="仿宋" w:eastAsia="仿宋" w:cs="仿宋"/>
          <w:b/>
          <w:color w:val="auto"/>
          <w:sz w:val="32"/>
          <w:szCs w:val="32"/>
          <w:highlight w:val="none"/>
        </w:rPr>
      </w:pPr>
    </w:p>
    <w:p w14:paraId="313CE75A">
      <w:pPr>
        <w:spacing w:line="360" w:lineRule="auto"/>
        <w:jc w:val="center"/>
        <w:rPr>
          <w:rFonts w:hint="eastAsia" w:ascii="仿宋" w:hAnsi="仿宋" w:eastAsia="仿宋" w:cs="仿宋"/>
          <w:b/>
          <w:color w:val="auto"/>
          <w:sz w:val="32"/>
          <w:szCs w:val="32"/>
          <w:highlight w:val="none"/>
        </w:rPr>
      </w:pPr>
    </w:p>
    <w:p w14:paraId="3FFBCFF9">
      <w:pPr>
        <w:spacing w:line="360" w:lineRule="auto"/>
        <w:jc w:val="center"/>
        <w:rPr>
          <w:rFonts w:hint="eastAsia" w:ascii="仿宋" w:hAnsi="仿宋" w:eastAsia="仿宋" w:cs="仿宋"/>
          <w:b/>
          <w:color w:val="auto"/>
          <w:sz w:val="32"/>
          <w:szCs w:val="32"/>
          <w:highlight w:val="none"/>
        </w:rPr>
      </w:pPr>
    </w:p>
    <w:p w14:paraId="1C4DF743">
      <w:pPr>
        <w:spacing w:line="360" w:lineRule="auto"/>
        <w:jc w:val="center"/>
        <w:rPr>
          <w:rFonts w:hint="eastAsia" w:ascii="仿宋" w:hAnsi="仿宋" w:eastAsia="仿宋" w:cs="仿宋"/>
          <w:b/>
          <w:color w:val="auto"/>
          <w:sz w:val="32"/>
          <w:szCs w:val="32"/>
          <w:highlight w:val="none"/>
        </w:rPr>
      </w:pPr>
    </w:p>
    <w:p w14:paraId="4705CD7A">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kern w:val="0"/>
          <w:sz w:val="32"/>
          <w:szCs w:val="32"/>
          <w:highlight w:val="none"/>
        </w:rPr>
        <w:t>四、法定代表人及其授权代表的身份证（复印件）</w:t>
      </w:r>
    </w:p>
    <w:p w14:paraId="3F427AC7">
      <w:pPr>
        <w:snapToGrid w:val="0"/>
        <w:spacing w:line="360" w:lineRule="auto"/>
        <w:ind w:firstLine="576"/>
        <w:jc w:val="right"/>
        <w:rPr>
          <w:rFonts w:hint="eastAsia" w:ascii="仿宋" w:hAnsi="仿宋" w:eastAsia="仿宋" w:cs="仿宋"/>
          <w:color w:val="auto"/>
          <w:kern w:val="0"/>
          <w:sz w:val="24"/>
          <w:highlight w:val="none"/>
        </w:rPr>
      </w:pPr>
    </w:p>
    <w:p w14:paraId="2975C6EB">
      <w:pPr>
        <w:snapToGrid w:val="0"/>
        <w:spacing w:line="360" w:lineRule="auto"/>
        <w:ind w:firstLine="576"/>
        <w:jc w:val="center"/>
        <w:rPr>
          <w:rFonts w:hint="eastAsia" w:ascii="仿宋" w:hAnsi="仿宋" w:eastAsia="仿宋" w:cs="仿宋"/>
          <w:color w:val="auto"/>
          <w:kern w:val="0"/>
          <w:sz w:val="24"/>
          <w:highlight w:val="none"/>
          <w:lang w:val="zh-CN"/>
        </w:rPr>
      </w:pPr>
    </w:p>
    <w:p w14:paraId="311BB050">
      <w:pPr>
        <w:widowControl/>
        <w:spacing w:line="360" w:lineRule="auto"/>
        <w:ind w:firstLine="480" w:firstLineChars="200"/>
        <w:jc w:val="left"/>
        <w:rPr>
          <w:rFonts w:hint="eastAsia" w:ascii="仿宋" w:hAnsi="仿宋" w:eastAsia="仿宋" w:cs="仿宋"/>
          <w:color w:val="auto"/>
          <w:sz w:val="24"/>
          <w:highlight w:val="none"/>
        </w:rPr>
      </w:pPr>
    </w:p>
    <w:p w14:paraId="06362375">
      <w:pPr>
        <w:widowControl/>
        <w:spacing w:line="360" w:lineRule="auto"/>
        <w:ind w:firstLine="480" w:firstLineChars="200"/>
        <w:jc w:val="left"/>
        <w:rPr>
          <w:rFonts w:hint="eastAsia" w:ascii="仿宋" w:hAnsi="仿宋" w:eastAsia="仿宋" w:cs="仿宋"/>
          <w:color w:val="auto"/>
          <w:sz w:val="24"/>
          <w:highlight w:val="none"/>
        </w:rPr>
      </w:pPr>
    </w:p>
    <w:p w14:paraId="6C1E61B8">
      <w:pPr>
        <w:widowControl/>
        <w:spacing w:line="360" w:lineRule="auto"/>
        <w:ind w:firstLine="480" w:firstLineChars="200"/>
        <w:jc w:val="left"/>
        <w:rPr>
          <w:rFonts w:hint="eastAsia" w:ascii="仿宋" w:hAnsi="仿宋" w:eastAsia="仿宋" w:cs="仿宋"/>
          <w:color w:val="auto"/>
          <w:sz w:val="24"/>
          <w:highlight w:val="none"/>
        </w:rPr>
      </w:pPr>
    </w:p>
    <w:p w14:paraId="624F1726">
      <w:pPr>
        <w:numPr>
          <w:ilvl w:val="0"/>
          <w:numId w:val="4"/>
        </w:numPr>
        <w:snapToGrid w:val="0"/>
        <w:spacing w:line="360" w:lineRule="auto"/>
        <w:jc w:val="center"/>
        <w:outlineLvl w:val="1"/>
        <w:rPr>
          <w:rFonts w:hint="eastAsia" w:ascii="仿宋" w:hAnsi="仿宋" w:eastAsia="仿宋" w:cs="仿宋"/>
          <w:b/>
          <w:strike/>
          <w:dstrike w:val="0"/>
          <w:color w:val="auto"/>
          <w:kern w:val="0"/>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strike/>
          <w:dstrike w:val="0"/>
          <w:color w:val="auto"/>
          <w:kern w:val="0"/>
          <w:sz w:val="32"/>
          <w:szCs w:val="32"/>
          <w:highlight w:val="none"/>
        </w:rPr>
        <w:t>联合体协议书</w:t>
      </w:r>
      <w:r>
        <w:rPr>
          <w:rFonts w:hint="eastAsia" w:ascii="仿宋" w:hAnsi="仿宋" w:eastAsia="仿宋" w:cs="仿宋"/>
          <w:b/>
          <w:strike/>
          <w:dstrike w:val="0"/>
          <w:color w:val="auto"/>
          <w:kern w:val="0"/>
          <w:sz w:val="32"/>
          <w:szCs w:val="32"/>
          <w:highlight w:val="none"/>
          <w:lang w:eastAsia="zh-CN"/>
        </w:rPr>
        <w:t>（</w:t>
      </w:r>
      <w:r>
        <w:rPr>
          <w:rFonts w:hint="eastAsia" w:ascii="仿宋" w:hAnsi="仿宋" w:eastAsia="仿宋" w:cs="仿宋"/>
          <w:b/>
          <w:strike/>
          <w:dstrike w:val="0"/>
          <w:color w:val="auto"/>
          <w:kern w:val="0"/>
          <w:sz w:val="32"/>
          <w:szCs w:val="32"/>
          <w:highlight w:val="none"/>
          <w:lang w:val="en-US" w:eastAsia="zh-CN"/>
        </w:rPr>
        <w:t>如有</w:t>
      </w:r>
      <w:r>
        <w:rPr>
          <w:rFonts w:hint="eastAsia" w:ascii="仿宋" w:hAnsi="仿宋" w:eastAsia="仿宋" w:cs="仿宋"/>
          <w:b/>
          <w:strike/>
          <w:dstrike w:val="0"/>
          <w:color w:val="auto"/>
          <w:kern w:val="0"/>
          <w:sz w:val="32"/>
          <w:szCs w:val="32"/>
          <w:highlight w:val="none"/>
          <w:lang w:eastAsia="zh-CN"/>
        </w:rPr>
        <w:t>）</w:t>
      </w:r>
      <w:r>
        <w:rPr>
          <w:rFonts w:hint="eastAsia" w:ascii="仿宋" w:hAnsi="仿宋" w:eastAsia="仿宋" w:cs="仿宋"/>
          <w:b/>
          <w:strike/>
          <w:dstrike w:val="0"/>
          <w:color w:val="auto"/>
          <w:kern w:val="0"/>
          <w:sz w:val="32"/>
          <w:szCs w:val="32"/>
          <w:highlight w:val="none"/>
        </w:rPr>
        <w:t xml:space="preserve">  </w:t>
      </w:r>
    </w:p>
    <w:p w14:paraId="03153F3E">
      <w:pPr>
        <w:spacing w:line="360" w:lineRule="auto"/>
        <w:ind w:firstLine="480" w:firstLineChars="200"/>
        <w:jc w:val="left"/>
        <w:rPr>
          <w:rFonts w:hint="eastAsia" w:ascii="仿宋" w:hAnsi="仿宋" w:eastAsia="仿宋" w:cs="仿宋"/>
          <w:strike/>
          <w:dstrike w:val="0"/>
          <w:color w:val="auto"/>
          <w:sz w:val="24"/>
          <w:highlight w:val="none"/>
        </w:rPr>
      </w:pPr>
    </w:p>
    <w:p w14:paraId="20C7F85B">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___________（所有成员单位名称）自愿组成联合体，共同参加</w:t>
      </w:r>
      <w:r>
        <w:rPr>
          <w:rFonts w:hint="eastAsia" w:ascii="仿宋" w:hAnsi="仿宋" w:eastAsia="仿宋" w:cs="仿宋"/>
          <w:strike/>
          <w:dstrike w:val="0"/>
          <w:color w:val="auto"/>
          <w:sz w:val="24"/>
          <w:highlight w:val="none"/>
          <w:u w:val="single"/>
          <w:lang w:eastAsia="zh-CN"/>
        </w:rPr>
        <w:t>星柯光电双回路110kV电力接入工程涉路和涉航安评采购项目</w:t>
      </w:r>
      <w:r>
        <w:rPr>
          <w:rFonts w:hint="eastAsia" w:ascii="仿宋" w:hAnsi="仿宋" w:eastAsia="仿宋" w:cs="仿宋"/>
          <w:strike/>
          <w:dstrike w:val="0"/>
          <w:color w:val="auto"/>
          <w:sz w:val="24"/>
          <w:highlight w:val="none"/>
          <w:u w:val="single"/>
        </w:rPr>
        <w:t>（招标编号：</w:t>
      </w:r>
      <w:r>
        <w:rPr>
          <w:rFonts w:hint="eastAsia" w:ascii="仿宋" w:hAnsi="仿宋" w:eastAsia="仿宋" w:cs="仿宋"/>
          <w:strike/>
          <w:dstrike w:val="0"/>
          <w:color w:val="auto"/>
          <w:sz w:val="24"/>
          <w:highlight w:val="none"/>
          <w:u w:val="single"/>
          <w:lang w:val="en-US" w:eastAsia="zh-CN"/>
        </w:rPr>
        <w:t xml:space="preserve">    </w:t>
      </w:r>
      <w:r>
        <w:rPr>
          <w:rFonts w:hint="eastAsia" w:ascii="仿宋" w:hAnsi="仿宋" w:eastAsia="仿宋" w:cs="仿宋"/>
          <w:strike/>
          <w:dstrike w:val="0"/>
          <w:color w:val="auto"/>
          <w:sz w:val="24"/>
          <w:highlight w:val="none"/>
          <w:u w:val="single"/>
        </w:rPr>
        <w:t>）</w:t>
      </w:r>
      <w:r>
        <w:rPr>
          <w:rFonts w:hint="eastAsia" w:ascii="仿宋" w:hAnsi="仿宋" w:eastAsia="仿宋" w:cs="仿宋"/>
          <w:strike/>
          <w:dstrike w:val="0"/>
          <w:color w:val="auto"/>
          <w:sz w:val="24"/>
          <w:highlight w:val="none"/>
        </w:rPr>
        <w:t>的招投标。现就联合体投标事宜订立如下协议。</w:t>
      </w:r>
    </w:p>
    <w:p w14:paraId="6D086E64">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1. ___________（某成员单位名称）为牵头人。</w:t>
      </w:r>
    </w:p>
    <w:p w14:paraId="09A74F00">
      <w:pPr>
        <w:spacing w:line="360" w:lineRule="auto"/>
        <w:ind w:firstLine="480" w:firstLineChars="200"/>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2. 联合体牵头人合法代表联合体各成员负责本招标项目投标文件编制和合同谈判活动，代表联合体提交和接收相关的资料、信息及指示，处理与之有关的一切事务，并负责合同实施阶段的主办、组织和协调工作。 </w:t>
      </w:r>
    </w:p>
    <w:p w14:paraId="54EBFD23">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3. 联合体将严格按照招标文件的各项要求，提交投标文件，履行合同，并对外承担连带责任。 </w:t>
      </w:r>
    </w:p>
    <w:p w14:paraId="6FA28BA8">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4. 联合体牵头人代表联合体签署投标文件，联合体牵头人的所有承诺均认为代表了联合体各成员。 </w:t>
      </w:r>
    </w:p>
    <w:p w14:paraId="62B400CF">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5. 联合体各成员单位内部的职责分工如下：___________ （牵头人名称）承担___________； （成员一名称）承担___________（成员二名称）承担___________。</w:t>
      </w:r>
    </w:p>
    <w:p w14:paraId="6C8AF5AB">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7.本协议书自签署之日起生效，合同履行完毕后自动失效。</w:t>
      </w:r>
    </w:p>
    <w:p w14:paraId="4D1587BB">
      <w:pPr>
        <w:spacing w:line="360" w:lineRule="auto"/>
        <w:ind w:firstLine="480" w:firstLineChars="20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8.本协议书一式____份，联合体成员和招标人各执一份。 </w:t>
      </w:r>
    </w:p>
    <w:p w14:paraId="0DFBA424">
      <w:pPr>
        <w:spacing w:line="360" w:lineRule="auto"/>
        <w:ind w:firstLine="1416" w:firstLineChars="59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联合体牵头人名称：___________________________（盖单位公章）</w:t>
      </w:r>
    </w:p>
    <w:p w14:paraId="62BF5C12">
      <w:pPr>
        <w:topLinePunct/>
        <w:spacing w:line="360" w:lineRule="auto"/>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        法定代表人（单位负责人）：___________（签字或盖章）</w:t>
      </w:r>
    </w:p>
    <w:p w14:paraId="7B136D5B">
      <w:pPr>
        <w:topLinePunct/>
        <w:spacing w:line="360" w:lineRule="auto"/>
        <w:ind w:firstLine="1416" w:firstLineChars="590"/>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联合体成员名称：___________________________（盖单位公章）</w:t>
      </w:r>
    </w:p>
    <w:p w14:paraId="3B493083">
      <w:pPr>
        <w:topLinePunct/>
        <w:spacing w:line="360" w:lineRule="auto"/>
        <w:jc w:val="left"/>
        <w:rPr>
          <w:rFonts w:hint="eastAsia" w:ascii="仿宋" w:hAnsi="仿宋" w:eastAsia="仿宋" w:cs="仿宋"/>
          <w:strike/>
          <w:dstrike w:val="0"/>
          <w:color w:val="auto"/>
          <w:sz w:val="24"/>
          <w:highlight w:val="none"/>
        </w:rPr>
      </w:pPr>
      <w:r>
        <w:rPr>
          <w:rFonts w:hint="eastAsia" w:ascii="仿宋" w:hAnsi="仿宋" w:eastAsia="仿宋" w:cs="仿宋"/>
          <w:strike/>
          <w:dstrike w:val="0"/>
          <w:color w:val="auto"/>
          <w:sz w:val="24"/>
          <w:highlight w:val="none"/>
        </w:rPr>
        <w:t xml:space="preserve">        法定代表人（单位负责人）：___________（签字或盖章）</w:t>
      </w:r>
    </w:p>
    <w:p w14:paraId="28AD6A2F">
      <w:pPr>
        <w:spacing w:line="360" w:lineRule="auto"/>
        <w:ind w:firstLine="1416" w:firstLineChars="590"/>
        <w:jc w:val="left"/>
        <w:rPr>
          <w:rFonts w:hint="eastAsia" w:ascii="仿宋" w:hAnsi="仿宋" w:eastAsia="仿宋" w:cs="仿宋"/>
          <w:strike/>
          <w:dstrike w:val="0"/>
          <w:color w:val="auto"/>
          <w:sz w:val="24"/>
          <w:highlight w:val="none"/>
        </w:rPr>
      </w:pPr>
    </w:p>
    <w:p w14:paraId="06A33EB4">
      <w:pPr>
        <w:spacing w:line="360" w:lineRule="auto"/>
        <w:ind w:firstLine="1416" w:firstLineChars="590"/>
        <w:jc w:val="left"/>
        <w:rPr>
          <w:rFonts w:hint="eastAsia" w:ascii="仿宋" w:hAnsi="仿宋" w:eastAsia="仿宋" w:cs="仿宋"/>
          <w:strike/>
          <w:dstrike w:val="0"/>
          <w:color w:val="auto"/>
          <w:sz w:val="24"/>
          <w:highlight w:val="none"/>
        </w:rPr>
      </w:pPr>
    </w:p>
    <w:p w14:paraId="01F739BB">
      <w:pPr>
        <w:topLinePunct/>
        <w:spacing w:line="360" w:lineRule="auto"/>
        <w:ind w:firstLine="2752" w:firstLineChars="1147"/>
        <w:jc w:val="right"/>
        <w:rPr>
          <w:rFonts w:hint="eastAsia" w:ascii="仿宋" w:hAnsi="仿宋" w:eastAsia="仿宋" w:cs="仿宋"/>
          <w:color w:val="auto"/>
          <w:sz w:val="24"/>
          <w:highlight w:val="none"/>
        </w:rPr>
      </w:pP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年</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月</w:t>
      </w:r>
      <w:r>
        <w:rPr>
          <w:rFonts w:hint="eastAsia" w:ascii="仿宋" w:hAnsi="仿宋" w:eastAsia="仿宋" w:cs="仿宋"/>
          <w:strike/>
          <w:dstrike w:val="0"/>
          <w:color w:val="auto"/>
          <w:sz w:val="24"/>
          <w:highlight w:val="none"/>
          <w:u w:val="single"/>
        </w:rPr>
        <w:t xml:space="preserve">       </w:t>
      </w:r>
      <w:r>
        <w:rPr>
          <w:rFonts w:hint="eastAsia" w:ascii="仿宋" w:hAnsi="仿宋" w:eastAsia="仿宋" w:cs="仿宋"/>
          <w:strike/>
          <w:dstrike w:val="0"/>
          <w:color w:val="auto"/>
          <w:sz w:val="24"/>
          <w:highlight w:val="none"/>
        </w:rPr>
        <w:t>日</w:t>
      </w:r>
    </w:p>
    <w:p w14:paraId="7E318DFC">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p>
    <w:p w14:paraId="53363BF6">
      <w:pPr>
        <w:numPr>
          <w:ilvl w:val="0"/>
          <w:numId w:val="4"/>
        </w:num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符合特定资格条件的有关证明材料（</w:t>
      </w:r>
      <w:r>
        <w:rPr>
          <w:rFonts w:hint="eastAsia" w:ascii="仿宋" w:hAnsi="仿宋" w:eastAsia="仿宋" w:cs="仿宋"/>
          <w:b/>
          <w:color w:val="auto"/>
          <w:kern w:val="0"/>
          <w:sz w:val="32"/>
          <w:szCs w:val="32"/>
          <w:highlight w:val="none"/>
          <w:lang w:val="en-US" w:eastAsia="zh-CN"/>
        </w:rPr>
        <w:t>网站截图</w:t>
      </w:r>
      <w:r>
        <w:rPr>
          <w:rFonts w:hint="eastAsia" w:ascii="仿宋" w:hAnsi="仿宋" w:eastAsia="仿宋" w:cs="仿宋"/>
          <w:b/>
          <w:color w:val="auto"/>
          <w:kern w:val="0"/>
          <w:sz w:val="32"/>
          <w:szCs w:val="32"/>
          <w:highlight w:val="none"/>
        </w:rPr>
        <w:t>）</w:t>
      </w:r>
    </w:p>
    <w:p w14:paraId="2035D7D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2A217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14947BE">
      <w:pPr>
        <w:spacing w:line="360" w:lineRule="auto"/>
        <w:jc w:val="center"/>
        <w:outlineLvl w:val="9"/>
        <w:rPr>
          <w:rFonts w:hint="eastAsia" w:ascii="仿宋" w:hAnsi="仿宋" w:eastAsia="仿宋" w:cs="仿宋"/>
          <w:b/>
          <w:color w:val="auto"/>
          <w:kern w:val="0"/>
          <w:sz w:val="24"/>
          <w:highlight w:val="none"/>
        </w:rPr>
      </w:pPr>
    </w:p>
    <w:p w14:paraId="24B93B1D">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2C29009">
      <w:pPr>
        <w:spacing w:line="360" w:lineRule="auto"/>
        <w:ind w:left="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（1）技术响应表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（页码）</w:t>
      </w:r>
    </w:p>
    <w:p w14:paraId="67FFB079">
      <w:pPr>
        <w:spacing w:line="360" w:lineRule="auto"/>
        <w:ind w:left="2" w:firstLine="480" w:firstLineChars="200"/>
        <w:rPr>
          <w:rFonts w:hint="eastAsia" w:ascii="仿宋" w:hAnsi="仿宋" w:eastAsia="仿宋" w:cs="仿宋"/>
          <w:color w:val="auto"/>
          <w:sz w:val="24"/>
          <w:highlight w:val="none"/>
        </w:rPr>
      </w:pPr>
      <w:bookmarkStart w:id="431" w:name="OLE_LINK7"/>
      <w:bookmarkStart w:id="432" w:name="OLE_LINK6"/>
      <w:bookmarkStart w:id="433" w:name="OLE_LINK5"/>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bookmarkEnd w:id="431"/>
      <w:bookmarkEnd w:id="432"/>
      <w:r>
        <w:rPr>
          <w:rFonts w:hint="eastAsia" w:ascii="仿宋" w:hAnsi="仿宋" w:eastAsia="仿宋" w:cs="仿宋"/>
          <w:color w:val="auto"/>
          <w:sz w:val="24"/>
          <w:highlight w:val="none"/>
        </w:rPr>
        <w:t>商务响应表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（页码）</w:t>
      </w:r>
    </w:p>
    <w:bookmarkEnd w:id="433"/>
    <w:p w14:paraId="44B8F1C8">
      <w:pPr>
        <w:spacing w:line="360" w:lineRule="auto"/>
        <w:ind w:left="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项目实施方案…………………………………………………</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rPr>
        <w:t>（页码）</w:t>
      </w:r>
    </w:p>
    <w:p w14:paraId="696E6409">
      <w:pPr>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）项目负责人情况表………………………………………………（页码）</w:t>
      </w:r>
    </w:p>
    <w:p w14:paraId="2B78D727">
      <w:pPr>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）项目组人员名单…………………………………………………（页码）</w:t>
      </w:r>
    </w:p>
    <w:p w14:paraId="5BA468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）售后服务方案（如有）…………………………………………（页码）</w:t>
      </w:r>
    </w:p>
    <w:p w14:paraId="04B439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优惠条件及特殊承诺（如有）</w:t>
      </w:r>
      <w:r>
        <w:rPr>
          <w:rFonts w:hint="eastAsia" w:ascii="仿宋" w:hAnsi="仿宋" w:eastAsia="仿宋" w:cs="仿宋"/>
          <w:color w:val="auto"/>
          <w:kern w:val="0"/>
          <w:sz w:val="24"/>
          <w:highlight w:val="none"/>
        </w:rPr>
        <w:t>…………………………………（页码）</w:t>
      </w:r>
    </w:p>
    <w:p w14:paraId="3CAEEE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投标供应商认为需要的其它商务技术文件或说明……………</w:t>
      </w:r>
      <w:r>
        <w:rPr>
          <w:rFonts w:hint="eastAsia" w:ascii="仿宋" w:hAnsi="仿宋" w:eastAsia="仿宋" w:cs="仿宋"/>
          <w:color w:val="auto"/>
          <w:kern w:val="0"/>
          <w:sz w:val="24"/>
          <w:highlight w:val="none"/>
        </w:rPr>
        <w:t>（页码）</w:t>
      </w:r>
    </w:p>
    <w:p w14:paraId="123B8C69">
      <w:pPr>
        <w:spacing w:line="360" w:lineRule="auto"/>
        <w:ind w:firstLine="480" w:firstLineChars="200"/>
        <w:rPr>
          <w:rFonts w:hint="eastAsia" w:ascii="仿宋" w:hAnsi="仿宋" w:eastAsia="仿宋" w:cs="仿宋"/>
          <w:color w:val="auto"/>
          <w:kern w:val="0"/>
          <w:sz w:val="24"/>
          <w:highlight w:val="none"/>
        </w:rPr>
      </w:pPr>
    </w:p>
    <w:p w14:paraId="2467BF4E">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rPr>
        <w:t>注：以上目录是基本格式要求，各投标供应商可根据自身情况进一步细化。</w:t>
      </w:r>
    </w:p>
    <w:p w14:paraId="332770E3">
      <w:pPr>
        <w:snapToGrid w:val="0"/>
        <w:spacing w:before="50" w:after="50"/>
        <w:jc w:val="center"/>
        <w:outlineLvl w:val="1"/>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pacing w:val="6"/>
          <w:sz w:val="32"/>
          <w:szCs w:val="32"/>
          <w:highlight w:val="none"/>
        </w:rPr>
        <w:t>一、技术响应表</w:t>
      </w:r>
    </w:p>
    <w:p w14:paraId="5B0FFC3A">
      <w:pPr>
        <w:rPr>
          <w:rFonts w:hint="eastAsia" w:ascii="仿宋" w:hAnsi="仿宋" w:eastAsia="仿宋" w:cs="仿宋"/>
          <w:snapToGrid w:val="0"/>
          <w:color w:val="auto"/>
          <w:kern w:val="0"/>
          <w:szCs w:val="21"/>
          <w:highlight w:val="non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2BA2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4244B10E">
            <w:pPr>
              <w:snapToGrid w:val="0"/>
              <w:spacing w:before="50" w:after="50"/>
              <w:jc w:val="center"/>
              <w:rPr>
                <w:rFonts w:hint="eastAsia" w:ascii="仿宋" w:hAnsi="仿宋" w:eastAsia="仿宋" w:cs="仿宋"/>
                <w:color w:val="auto"/>
                <w:sz w:val="24"/>
                <w:highlight w:val="none"/>
              </w:rPr>
            </w:pPr>
            <w:bookmarkStart w:id="434" w:name="_Toc64369808"/>
            <w:r>
              <w:rPr>
                <w:rFonts w:hint="eastAsia" w:ascii="仿宋" w:hAnsi="仿宋" w:eastAsia="仿宋" w:cs="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14:paraId="6341F7D2">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EE63861">
            <w:pPr>
              <w:snapToGrid w:val="0"/>
              <w:spacing w:before="50" w:after="50"/>
              <w:jc w:val="center"/>
              <w:rPr>
                <w:rFonts w:hint="eastAsia" w:ascii="仿宋" w:hAnsi="仿宋" w:eastAsia="仿宋" w:cs="仿宋"/>
                <w:color w:val="auto"/>
                <w:sz w:val="24"/>
                <w:highlight w:val="none"/>
              </w:rPr>
            </w:pPr>
            <w:bookmarkStart w:id="435" w:name="_Toc64369809"/>
            <w:bookmarkStart w:id="436" w:name="_Toc64369810"/>
            <w:r>
              <w:rPr>
                <w:rFonts w:hint="eastAsia" w:ascii="仿宋" w:hAnsi="仿宋" w:eastAsia="仿宋" w:cs="仿宋"/>
                <w:color w:val="auto"/>
                <w:sz w:val="24"/>
                <w:highlight w:val="none"/>
              </w:rPr>
              <w:t>采购文件</w:t>
            </w:r>
          </w:p>
          <w:p w14:paraId="081A4EC3">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14:paraId="06D6D8F6">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p>
          <w:p w14:paraId="104687EC">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2C2353">
            <w:pPr>
              <w:snapToGrid w:val="0"/>
              <w:spacing w:before="50" w:after="50"/>
              <w:jc w:val="center"/>
              <w:rPr>
                <w:rFonts w:hint="eastAsia" w:ascii="仿宋" w:hAnsi="仿宋" w:eastAsia="仿宋" w:cs="仿宋"/>
                <w:color w:val="auto"/>
                <w:sz w:val="24"/>
                <w:highlight w:val="none"/>
              </w:rPr>
            </w:pPr>
            <w:bookmarkStart w:id="437" w:name="_Toc64369811"/>
            <w:r>
              <w:rPr>
                <w:rFonts w:hint="eastAsia" w:ascii="仿宋" w:hAnsi="仿宋" w:eastAsia="仿宋" w:cs="仿宋"/>
                <w:color w:val="auto"/>
                <w:sz w:val="24"/>
                <w:highlight w:val="none"/>
              </w:rPr>
              <w:t>偏离</w:t>
            </w:r>
          </w:p>
          <w:p w14:paraId="0A14AB6B">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bookmarkEnd w:id="437"/>
          </w:p>
        </w:tc>
      </w:tr>
      <w:tr w14:paraId="5C040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7F7ED38B">
            <w:pPr>
              <w:snapToGrid w:val="0"/>
              <w:spacing w:before="50" w:after="50"/>
              <w:jc w:val="center"/>
              <w:rPr>
                <w:rFonts w:hint="eastAsia" w:ascii="仿宋" w:hAnsi="仿宋" w:eastAsia="仿宋" w:cs="仿宋"/>
                <w:color w:val="auto"/>
                <w:sz w:val="24"/>
                <w:highlight w:val="none"/>
              </w:rPr>
            </w:pPr>
            <w:bookmarkStart w:id="438" w:name="_Toc64369812"/>
            <w:r>
              <w:rPr>
                <w:rFonts w:hint="eastAsia" w:ascii="仿宋" w:hAnsi="仿宋" w:eastAsia="仿宋" w:cs="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14:paraId="6B9879A0">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14A8A23">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63E168">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AE0A8D3">
            <w:pPr>
              <w:snapToGrid w:val="0"/>
              <w:spacing w:before="50" w:after="50"/>
              <w:jc w:val="center"/>
              <w:rPr>
                <w:rFonts w:hint="eastAsia" w:ascii="仿宋" w:hAnsi="仿宋" w:eastAsia="仿宋" w:cs="仿宋"/>
                <w:color w:val="auto"/>
                <w:sz w:val="24"/>
                <w:highlight w:val="none"/>
              </w:rPr>
            </w:pPr>
          </w:p>
        </w:tc>
      </w:tr>
      <w:tr w14:paraId="7A5E7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F676A18">
            <w:pPr>
              <w:snapToGrid w:val="0"/>
              <w:spacing w:before="50" w:after="50"/>
              <w:jc w:val="center"/>
              <w:rPr>
                <w:rFonts w:hint="eastAsia" w:ascii="仿宋" w:hAnsi="仿宋" w:eastAsia="仿宋" w:cs="仿宋"/>
                <w:color w:val="auto"/>
                <w:sz w:val="24"/>
                <w:highlight w:val="none"/>
              </w:rPr>
            </w:pPr>
            <w:bookmarkStart w:id="439" w:name="_Toc64369813"/>
            <w:r>
              <w:rPr>
                <w:rFonts w:hint="eastAsia" w:ascii="仿宋" w:hAnsi="仿宋" w:eastAsia="仿宋" w:cs="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14:paraId="237A107F">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F9B63CE">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EA5DD1">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D8F56EA">
            <w:pPr>
              <w:snapToGrid w:val="0"/>
              <w:spacing w:before="50" w:after="50"/>
              <w:jc w:val="center"/>
              <w:rPr>
                <w:rFonts w:hint="eastAsia" w:ascii="仿宋" w:hAnsi="仿宋" w:eastAsia="仿宋" w:cs="仿宋"/>
                <w:color w:val="auto"/>
                <w:sz w:val="24"/>
                <w:highlight w:val="none"/>
              </w:rPr>
            </w:pPr>
          </w:p>
        </w:tc>
      </w:tr>
      <w:tr w14:paraId="7F21D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8C51269">
            <w:pPr>
              <w:snapToGrid w:val="0"/>
              <w:spacing w:before="50" w:after="50"/>
              <w:jc w:val="center"/>
              <w:rPr>
                <w:rFonts w:hint="eastAsia" w:ascii="仿宋" w:hAnsi="仿宋" w:eastAsia="仿宋" w:cs="仿宋"/>
                <w:color w:val="auto"/>
                <w:sz w:val="24"/>
                <w:highlight w:val="none"/>
              </w:rPr>
            </w:pPr>
            <w:bookmarkStart w:id="440" w:name="_Toc64369814"/>
            <w:r>
              <w:rPr>
                <w:rFonts w:hint="eastAsia" w:ascii="仿宋" w:hAnsi="仿宋" w:eastAsia="仿宋" w:cs="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14:paraId="4B88B2E8">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319767F">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CCA1FDB">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C91BE56">
            <w:pPr>
              <w:snapToGrid w:val="0"/>
              <w:spacing w:before="50" w:after="50"/>
              <w:jc w:val="center"/>
              <w:rPr>
                <w:rFonts w:hint="eastAsia" w:ascii="仿宋" w:hAnsi="仿宋" w:eastAsia="仿宋" w:cs="仿宋"/>
                <w:color w:val="auto"/>
                <w:sz w:val="24"/>
                <w:highlight w:val="none"/>
              </w:rPr>
            </w:pPr>
          </w:p>
        </w:tc>
      </w:tr>
    </w:tbl>
    <w:p w14:paraId="310AEB0E">
      <w:pPr>
        <w:snapToGrid w:val="0"/>
        <w:spacing w:before="120" w:before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注：投标人应对照招标文件要求和投标文件响应情况在“偏离情况”栏注明“正偏离”、“负偏离”或“无偏离”。</w:t>
      </w:r>
    </w:p>
    <w:p w14:paraId="6DE9DDFB">
      <w:pPr>
        <w:snapToGrid w:val="0"/>
        <w:spacing w:before="120" w:beforeLines="50"/>
        <w:rPr>
          <w:rFonts w:hint="eastAsia" w:ascii="仿宋" w:hAnsi="仿宋" w:eastAsia="仿宋" w:cs="仿宋"/>
          <w:color w:val="auto"/>
          <w:sz w:val="24"/>
          <w:highlight w:val="none"/>
        </w:rPr>
      </w:pPr>
    </w:p>
    <w:p w14:paraId="6C5A8F84">
      <w:pPr>
        <w:snapToGrid w:val="0"/>
        <w:spacing w:before="120" w:beforeLines="50"/>
        <w:rPr>
          <w:rFonts w:hint="eastAsia" w:ascii="仿宋" w:hAnsi="仿宋" w:eastAsia="仿宋" w:cs="仿宋"/>
          <w:color w:val="auto"/>
          <w:sz w:val="24"/>
          <w:highlight w:val="none"/>
        </w:rPr>
      </w:pPr>
    </w:p>
    <w:p w14:paraId="18E6CC7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A35FE57">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w:t>
      </w:r>
    </w:p>
    <w:p w14:paraId="338C9E7A">
      <w:pPr>
        <w:snapToGrid w:val="0"/>
        <w:spacing w:before="50" w:after="120" w:afterLines="50"/>
        <w:jc w:val="center"/>
        <w:rPr>
          <w:rFonts w:hint="eastAsia" w:ascii="仿宋" w:hAnsi="仿宋" w:eastAsia="仿宋" w:cs="仿宋"/>
          <w:b/>
          <w:bCs/>
          <w:color w:val="auto"/>
          <w:sz w:val="30"/>
          <w:szCs w:val="30"/>
          <w:highlight w:val="none"/>
        </w:rPr>
      </w:pPr>
    </w:p>
    <w:p w14:paraId="26E1E586">
      <w:pPr>
        <w:snapToGrid w:val="0"/>
        <w:spacing w:before="50" w:after="120" w:afterLines="50"/>
        <w:jc w:val="center"/>
        <w:rPr>
          <w:rFonts w:hint="eastAsia" w:ascii="仿宋" w:hAnsi="仿宋" w:eastAsia="仿宋" w:cs="仿宋"/>
          <w:b/>
          <w:color w:val="auto"/>
          <w:spacing w:val="40"/>
          <w:kern w:val="0"/>
          <w:sz w:val="36"/>
          <w:szCs w:val="36"/>
          <w:highlight w:val="none"/>
        </w:rPr>
      </w:pPr>
    </w:p>
    <w:p w14:paraId="37853211">
      <w:pPr>
        <w:snapToGrid w:val="0"/>
        <w:spacing w:before="50" w:after="120" w:afterLines="50"/>
        <w:jc w:val="center"/>
        <w:rPr>
          <w:rFonts w:hint="eastAsia" w:ascii="仿宋" w:hAnsi="仿宋" w:eastAsia="仿宋" w:cs="仿宋"/>
          <w:b/>
          <w:color w:val="auto"/>
          <w:spacing w:val="40"/>
          <w:kern w:val="0"/>
          <w:sz w:val="36"/>
          <w:szCs w:val="36"/>
          <w:highlight w:val="none"/>
        </w:rPr>
      </w:pPr>
    </w:p>
    <w:p w14:paraId="33C62609">
      <w:pPr>
        <w:snapToGrid w:val="0"/>
        <w:spacing w:before="50" w:after="120" w:afterLines="50"/>
        <w:jc w:val="center"/>
        <w:rPr>
          <w:rFonts w:hint="eastAsia" w:ascii="仿宋" w:hAnsi="仿宋" w:eastAsia="仿宋" w:cs="仿宋"/>
          <w:b/>
          <w:color w:val="auto"/>
          <w:spacing w:val="40"/>
          <w:kern w:val="0"/>
          <w:sz w:val="36"/>
          <w:szCs w:val="36"/>
          <w:highlight w:val="none"/>
        </w:rPr>
      </w:pPr>
    </w:p>
    <w:p w14:paraId="7CE2CDD6">
      <w:pPr>
        <w:snapToGrid w:val="0"/>
        <w:spacing w:before="50" w:after="120" w:afterLines="50"/>
        <w:jc w:val="center"/>
        <w:rPr>
          <w:rFonts w:hint="eastAsia" w:ascii="仿宋" w:hAnsi="仿宋" w:eastAsia="仿宋" w:cs="仿宋"/>
          <w:b/>
          <w:color w:val="auto"/>
          <w:spacing w:val="40"/>
          <w:kern w:val="0"/>
          <w:sz w:val="36"/>
          <w:szCs w:val="36"/>
          <w:highlight w:val="none"/>
        </w:rPr>
      </w:pPr>
    </w:p>
    <w:p w14:paraId="42172288">
      <w:pPr>
        <w:snapToGrid w:val="0"/>
        <w:spacing w:before="50" w:after="120" w:afterLines="50"/>
        <w:jc w:val="center"/>
        <w:rPr>
          <w:rFonts w:hint="eastAsia" w:ascii="仿宋" w:hAnsi="仿宋" w:eastAsia="仿宋" w:cs="仿宋"/>
          <w:b/>
          <w:color w:val="auto"/>
          <w:spacing w:val="40"/>
          <w:kern w:val="0"/>
          <w:sz w:val="36"/>
          <w:szCs w:val="36"/>
          <w:highlight w:val="none"/>
        </w:rPr>
      </w:pPr>
    </w:p>
    <w:p w14:paraId="0500E81C">
      <w:pPr>
        <w:snapToGrid w:val="0"/>
        <w:spacing w:before="50" w:after="120" w:afterLines="50"/>
        <w:jc w:val="center"/>
        <w:rPr>
          <w:rFonts w:hint="eastAsia" w:ascii="仿宋" w:hAnsi="仿宋" w:eastAsia="仿宋" w:cs="仿宋"/>
          <w:b/>
          <w:color w:val="auto"/>
          <w:spacing w:val="40"/>
          <w:kern w:val="0"/>
          <w:sz w:val="36"/>
          <w:szCs w:val="36"/>
          <w:highlight w:val="none"/>
        </w:rPr>
      </w:pPr>
    </w:p>
    <w:p w14:paraId="70997EC1">
      <w:pPr>
        <w:snapToGrid w:val="0"/>
        <w:spacing w:before="50" w:after="120" w:afterLines="50"/>
        <w:jc w:val="center"/>
        <w:rPr>
          <w:rFonts w:hint="eastAsia" w:ascii="仿宋" w:hAnsi="仿宋" w:eastAsia="仿宋" w:cs="仿宋"/>
          <w:b/>
          <w:color w:val="auto"/>
          <w:spacing w:val="40"/>
          <w:kern w:val="0"/>
          <w:sz w:val="36"/>
          <w:szCs w:val="36"/>
          <w:highlight w:val="none"/>
        </w:rPr>
      </w:pPr>
    </w:p>
    <w:p w14:paraId="664ADBA1">
      <w:pPr>
        <w:snapToGrid w:val="0"/>
        <w:spacing w:before="50" w:after="120" w:afterLines="50"/>
        <w:rPr>
          <w:rFonts w:hint="eastAsia" w:ascii="仿宋" w:hAnsi="仿宋" w:eastAsia="仿宋" w:cs="仿宋"/>
          <w:b/>
          <w:color w:val="auto"/>
          <w:spacing w:val="40"/>
          <w:kern w:val="0"/>
          <w:sz w:val="36"/>
          <w:szCs w:val="36"/>
          <w:highlight w:val="none"/>
        </w:rPr>
      </w:pPr>
    </w:p>
    <w:p w14:paraId="5C73275B">
      <w:pPr>
        <w:snapToGrid w:val="0"/>
        <w:rPr>
          <w:rFonts w:hint="eastAsia" w:ascii="仿宋" w:hAnsi="仿宋" w:eastAsia="仿宋" w:cs="仿宋"/>
          <w:b/>
          <w:color w:val="auto"/>
          <w:spacing w:val="40"/>
          <w:kern w:val="0"/>
          <w:sz w:val="36"/>
          <w:szCs w:val="36"/>
          <w:highlight w:val="none"/>
        </w:rPr>
      </w:pPr>
    </w:p>
    <w:p w14:paraId="36EBC03F">
      <w:pPr>
        <w:snapToGrid w:val="0"/>
        <w:spacing w:line="360" w:lineRule="auto"/>
        <w:jc w:val="center"/>
        <w:outlineLvl w:val="1"/>
        <w:rPr>
          <w:rFonts w:hint="eastAsia" w:ascii="仿宋" w:hAnsi="仿宋" w:eastAsia="仿宋" w:cs="仿宋"/>
          <w:b/>
          <w:bCs/>
          <w:color w:val="auto"/>
          <w:spacing w:val="6"/>
          <w:sz w:val="32"/>
          <w:szCs w:val="32"/>
          <w:highlight w:val="none"/>
        </w:rPr>
      </w:pPr>
      <w:r>
        <w:rPr>
          <w:rFonts w:hint="eastAsia" w:ascii="仿宋" w:hAnsi="仿宋" w:eastAsia="仿宋" w:cs="仿宋"/>
          <w:snapToGrid w:val="0"/>
          <w:color w:val="auto"/>
          <w:kern w:val="0"/>
          <w:szCs w:val="21"/>
          <w:highlight w:val="none"/>
        </w:rPr>
        <w:br w:type="page"/>
      </w:r>
      <w:r>
        <w:rPr>
          <w:rFonts w:hint="eastAsia" w:ascii="仿宋" w:hAnsi="仿宋" w:eastAsia="仿宋" w:cs="仿宋"/>
          <w:b/>
          <w:bCs/>
          <w:color w:val="auto"/>
          <w:spacing w:val="6"/>
          <w:sz w:val="32"/>
          <w:szCs w:val="32"/>
          <w:highlight w:val="none"/>
          <w:lang w:val="en-US" w:eastAsia="zh-CN"/>
        </w:rPr>
        <w:t>二</w:t>
      </w:r>
      <w:r>
        <w:rPr>
          <w:rFonts w:hint="eastAsia" w:ascii="仿宋" w:hAnsi="仿宋" w:eastAsia="仿宋" w:cs="仿宋"/>
          <w:b/>
          <w:bCs/>
          <w:color w:val="auto"/>
          <w:spacing w:val="6"/>
          <w:sz w:val="32"/>
          <w:szCs w:val="32"/>
          <w:highlight w:val="none"/>
        </w:rPr>
        <w:t>、商务响应表</w:t>
      </w:r>
    </w:p>
    <w:p w14:paraId="7D394E2B">
      <w:pPr>
        <w:rPr>
          <w:rFonts w:hint="eastAsia" w:ascii="仿宋" w:hAnsi="仿宋" w:eastAsia="仿宋" w:cs="仿宋"/>
          <w:snapToGrid w:val="0"/>
          <w:color w:val="auto"/>
          <w:kern w:val="0"/>
          <w:szCs w:val="21"/>
          <w:highlight w:val="none"/>
        </w:rPr>
      </w:pP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38E2F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7DD79EDD">
            <w:pPr>
              <w:snapToGrid w:val="0"/>
              <w:spacing w:before="50" w:after="50"/>
              <w:jc w:val="center"/>
              <w:rPr>
                <w:rFonts w:hint="eastAsia" w:ascii="仿宋" w:hAnsi="仿宋" w:eastAsia="仿宋" w:cs="仿宋"/>
                <w:color w:val="auto"/>
                <w:sz w:val="24"/>
                <w:highlight w:val="none"/>
              </w:rPr>
            </w:pPr>
            <w:bookmarkStart w:id="441" w:name="_Toc64369815"/>
            <w:r>
              <w:rPr>
                <w:rFonts w:hint="eastAsia" w:ascii="仿宋" w:hAnsi="仿宋" w:eastAsia="仿宋" w:cs="仿宋"/>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0"/>
            <w:vAlign w:val="center"/>
          </w:tcPr>
          <w:p w14:paraId="023493C7">
            <w:pPr>
              <w:snapToGrid w:val="0"/>
              <w:spacing w:before="120" w:beforeLines="50" w:after="50"/>
              <w:jc w:val="center"/>
              <w:rPr>
                <w:rFonts w:hint="eastAsia" w:ascii="仿宋" w:hAnsi="仿宋" w:eastAsia="仿宋" w:cs="仿宋"/>
                <w:color w:val="auto"/>
                <w:sz w:val="24"/>
                <w:highlight w:val="none"/>
              </w:rPr>
            </w:pPr>
            <w:bookmarkStart w:id="442" w:name="_Toc64369816"/>
            <w:r>
              <w:rPr>
                <w:rFonts w:hint="eastAsia" w:ascii="仿宋" w:hAnsi="仿宋" w:eastAsia="仿宋" w:cs="仿宋"/>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0"/>
            <w:vAlign w:val="center"/>
          </w:tcPr>
          <w:p w14:paraId="7D195091">
            <w:pPr>
              <w:snapToGrid w:val="0"/>
              <w:spacing w:before="120" w:beforeLines="50" w:after="50"/>
              <w:jc w:val="center"/>
              <w:rPr>
                <w:rFonts w:hint="eastAsia" w:ascii="仿宋" w:hAnsi="仿宋" w:eastAsia="仿宋" w:cs="仿宋"/>
                <w:color w:val="auto"/>
                <w:sz w:val="24"/>
                <w:highlight w:val="none"/>
              </w:rPr>
            </w:pPr>
            <w:bookmarkStart w:id="443" w:name="_Toc64369817"/>
            <w:r>
              <w:rPr>
                <w:rFonts w:hint="eastAsia" w:ascii="仿宋" w:hAnsi="仿宋" w:eastAsia="仿宋" w:cs="仿宋"/>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14:paraId="3C275246">
            <w:pPr>
              <w:snapToGrid w:val="0"/>
              <w:spacing w:before="120" w:beforeLines="50" w:after="50"/>
              <w:jc w:val="center"/>
              <w:rPr>
                <w:rFonts w:hint="eastAsia" w:ascii="仿宋" w:hAnsi="仿宋" w:eastAsia="仿宋" w:cs="仿宋"/>
                <w:color w:val="auto"/>
                <w:sz w:val="24"/>
                <w:highlight w:val="none"/>
              </w:rPr>
            </w:pPr>
            <w:bookmarkStart w:id="444" w:name="_Toc64369818"/>
            <w:r>
              <w:rPr>
                <w:rFonts w:hint="eastAsia" w:ascii="仿宋" w:hAnsi="仿宋" w:eastAsia="仿宋" w:cs="仿宋"/>
                <w:color w:val="auto"/>
                <w:sz w:val="24"/>
                <w:highlight w:val="none"/>
              </w:rPr>
              <w:t>偏离情况</w:t>
            </w:r>
            <w:bookmarkEnd w:id="444"/>
          </w:p>
        </w:tc>
      </w:tr>
      <w:tr w14:paraId="296A9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56A2C06">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4C72F17">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A04CDAC">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098DB9">
            <w:pPr>
              <w:snapToGrid w:val="0"/>
              <w:spacing w:before="120" w:after="120"/>
              <w:jc w:val="center"/>
              <w:outlineLvl w:val="0"/>
              <w:rPr>
                <w:rFonts w:hint="eastAsia" w:ascii="仿宋" w:hAnsi="仿宋" w:eastAsia="仿宋" w:cs="仿宋"/>
                <w:color w:val="auto"/>
                <w:sz w:val="24"/>
                <w:highlight w:val="none"/>
              </w:rPr>
            </w:pPr>
          </w:p>
        </w:tc>
      </w:tr>
      <w:tr w14:paraId="66E8B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6657131">
            <w:pPr>
              <w:snapToGrid w:val="0"/>
              <w:spacing w:before="50" w:after="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2ECB5FC">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7ACEA0C">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D883268">
            <w:pPr>
              <w:snapToGrid w:val="0"/>
              <w:spacing w:before="120" w:after="120"/>
              <w:jc w:val="center"/>
              <w:outlineLvl w:val="0"/>
              <w:rPr>
                <w:rFonts w:hint="eastAsia" w:ascii="仿宋" w:hAnsi="仿宋" w:eastAsia="仿宋" w:cs="仿宋"/>
                <w:color w:val="auto"/>
                <w:sz w:val="24"/>
                <w:highlight w:val="none"/>
              </w:rPr>
            </w:pPr>
          </w:p>
        </w:tc>
      </w:tr>
      <w:tr w14:paraId="2712C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4D40E99F">
            <w:pPr>
              <w:snapToGrid w:val="0"/>
              <w:spacing w:before="50" w:after="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成果数量</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D4F7173">
            <w:pPr>
              <w:snapToGrid w:val="0"/>
              <w:spacing w:before="50" w:after="50"/>
              <w:jc w:val="center"/>
              <w:rPr>
                <w:rFonts w:hint="eastAsia" w:ascii="仿宋" w:hAnsi="仿宋" w:eastAsia="仿宋" w:cs="仿宋"/>
                <w:color w:val="auto"/>
                <w:sz w:val="24"/>
                <w:highlight w:val="none"/>
                <w:lang w:val="en-US" w:eastAsia="zh-CN"/>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E2E38E1">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B6EC79">
            <w:pPr>
              <w:snapToGrid w:val="0"/>
              <w:spacing w:before="120" w:after="120"/>
              <w:jc w:val="center"/>
              <w:outlineLvl w:val="0"/>
              <w:rPr>
                <w:rFonts w:hint="eastAsia" w:ascii="仿宋" w:hAnsi="仿宋" w:eastAsia="仿宋" w:cs="仿宋"/>
                <w:color w:val="auto"/>
                <w:sz w:val="24"/>
                <w:highlight w:val="none"/>
              </w:rPr>
            </w:pPr>
          </w:p>
        </w:tc>
      </w:tr>
      <w:tr w14:paraId="0BD38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40DF15E">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2080F01B">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523411C7">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926705">
            <w:pPr>
              <w:snapToGrid w:val="0"/>
              <w:spacing w:before="120" w:after="120"/>
              <w:jc w:val="center"/>
              <w:outlineLvl w:val="0"/>
              <w:rPr>
                <w:rFonts w:hint="eastAsia" w:ascii="仿宋" w:hAnsi="仿宋" w:eastAsia="仿宋" w:cs="仿宋"/>
                <w:color w:val="auto"/>
                <w:sz w:val="24"/>
                <w:highlight w:val="none"/>
              </w:rPr>
            </w:pPr>
          </w:p>
        </w:tc>
      </w:tr>
      <w:tr w14:paraId="31803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CF41E2D">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374D18A7">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731D656">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nil"/>
              <w:right w:val="single" w:color="auto" w:sz="4" w:space="0"/>
            </w:tcBorders>
            <w:noWrap w:val="0"/>
            <w:vAlign w:val="center"/>
          </w:tcPr>
          <w:p w14:paraId="1231EF19">
            <w:pPr>
              <w:snapToGrid w:val="0"/>
              <w:spacing w:before="120" w:after="120"/>
              <w:jc w:val="center"/>
              <w:outlineLvl w:val="0"/>
              <w:rPr>
                <w:rFonts w:hint="eastAsia" w:ascii="仿宋" w:hAnsi="仿宋" w:eastAsia="仿宋" w:cs="仿宋"/>
                <w:color w:val="auto"/>
                <w:sz w:val="24"/>
                <w:highlight w:val="none"/>
              </w:rPr>
            </w:pPr>
          </w:p>
        </w:tc>
      </w:tr>
      <w:tr w14:paraId="5AD80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E52FAA4">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3E85405">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0FD3935">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1A90DF2">
            <w:pPr>
              <w:snapToGrid w:val="0"/>
              <w:spacing w:before="120" w:after="120"/>
              <w:jc w:val="center"/>
              <w:outlineLvl w:val="0"/>
              <w:rPr>
                <w:rFonts w:hint="eastAsia" w:ascii="仿宋" w:hAnsi="仿宋" w:eastAsia="仿宋" w:cs="仿宋"/>
                <w:color w:val="auto"/>
                <w:sz w:val="24"/>
                <w:highlight w:val="none"/>
              </w:rPr>
            </w:pPr>
          </w:p>
        </w:tc>
      </w:tr>
      <w:tr w14:paraId="23E6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A024AB1">
            <w:pPr>
              <w:snapToGrid w:val="0"/>
              <w:spacing w:before="50" w:after="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验收</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6D1FBE24">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C248B4A">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B9781FE">
            <w:pPr>
              <w:snapToGrid w:val="0"/>
              <w:spacing w:before="120" w:after="120"/>
              <w:jc w:val="center"/>
              <w:outlineLvl w:val="0"/>
              <w:rPr>
                <w:rFonts w:hint="eastAsia" w:ascii="仿宋" w:hAnsi="仿宋" w:eastAsia="仿宋" w:cs="仿宋"/>
                <w:color w:val="auto"/>
                <w:sz w:val="24"/>
                <w:highlight w:val="none"/>
              </w:rPr>
            </w:pPr>
          </w:p>
        </w:tc>
      </w:tr>
      <w:tr w14:paraId="70B4D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7CB6300">
            <w:pPr>
              <w:snapToGrid w:val="0"/>
              <w:spacing w:before="50" w:after="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59E8368">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BAF3667">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E11D9AC">
            <w:pPr>
              <w:snapToGrid w:val="0"/>
              <w:spacing w:before="120" w:after="120"/>
              <w:jc w:val="center"/>
              <w:outlineLvl w:val="0"/>
              <w:rPr>
                <w:rFonts w:hint="eastAsia" w:ascii="仿宋" w:hAnsi="仿宋" w:eastAsia="仿宋" w:cs="仿宋"/>
                <w:color w:val="auto"/>
                <w:sz w:val="24"/>
                <w:highlight w:val="none"/>
              </w:rPr>
            </w:pPr>
          </w:p>
        </w:tc>
      </w:tr>
      <w:tr w14:paraId="4D2EE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B16A010">
            <w:pPr>
              <w:snapToGrid w:val="0"/>
              <w:spacing w:before="50" w:after="50"/>
              <w:jc w:val="center"/>
              <w:rPr>
                <w:rFonts w:hint="eastAsia" w:ascii="仿宋" w:hAnsi="仿宋" w:eastAsia="仿宋" w:cs="仿宋"/>
                <w:color w:val="auto"/>
                <w:sz w:val="24"/>
                <w:highlight w:val="none"/>
              </w:rPr>
            </w:pPr>
            <w:bookmarkStart w:id="445" w:name="_Toc64369824"/>
            <w:r>
              <w:rPr>
                <w:rFonts w:hint="eastAsia" w:ascii="仿宋" w:hAnsi="仿宋" w:eastAsia="仿宋" w:cs="仿宋"/>
                <w:color w:val="auto"/>
                <w:sz w:val="24"/>
                <w:highlight w:val="none"/>
              </w:rPr>
              <w:t>…</w:t>
            </w:r>
            <w:bookmarkEnd w:id="445"/>
          </w:p>
        </w:tc>
        <w:tc>
          <w:tcPr>
            <w:tcW w:w="3299" w:type="dxa"/>
            <w:tcBorders>
              <w:top w:val="single" w:color="auto" w:sz="4" w:space="0"/>
              <w:left w:val="single" w:color="auto" w:sz="4" w:space="0"/>
              <w:bottom w:val="single" w:color="auto" w:sz="4" w:space="0"/>
              <w:right w:val="single" w:color="auto" w:sz="4" w:space="0"/>
            </w:tcBorders>
            <w:noWrap w:val="0"/>
            <w:vAlign w:val="center"/>
          </w:tcPr>
          <w:p w14:paraId="077B5E36">
            <w:pPr>
              <w:snapToGrid w:val="0"/>
              <w:spacing w:before="120" w:after="120"/>
              <w:jc w:val="center"/>
              <w:outlineLvl w:val="0"/>
              <w:rPr>
                <w:rFonts w:hint="eastAsia" w:ascii="仿宋" w:hAnsi="仿宋" w:eastAsia="仿宋" w:cs="仿宋"/>
                <w:color w:val="auto"/>
                <w:sz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9E1892B">
            <w:pPr>
              <w:snapToGrid w:val="0"/>
              <w:spacing w:before="120" w:after="120"/>
              <w:jc w:val="center"/>
              <w:outlineLvl w:val="0"/>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554B10">
            <w:pPr>
              <w:snapToGrid w:val="0"/>
              <w:spacing w:before="120" w:after="120"/>
              <w:jc w:val="center"/>
              <w:outlineLvl w:val="0"/>
              <w:rPr>
                <w:rFonts w:hint="eastAsia" w:ascii="仿宋" w:hAnsi="仿宋" w:eastAsia="仿宋" w:cs="仿宋"/>
                <w:color w:val="auto"/>
                <w:sz w:val="24"/>
                <w:highlight w:val="none"/>
              </w:rPr>
            </w:pPr>
          </w:p>
        </w:tc>
      </w:tr>
    </w:tbl>
    <w:p w14:paraId="7B08655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01F4D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1、投标人应对照采购文件要求和投标文件响应情况在“偏离情况”栏注明“正偏离”、“负偏离”或“无偏离”。</w:t>
      </w:r>
    </w:p>
    <w:p w14:paraId="58B953DD">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2、“类别”一栏按采购文件第三章中商务要求的分类填写。</w:t>
      </w:r>
    </w:p>
    <w:p w14:paraId="0043EEE9">
      <w:pPr>
        <w:spacing w:line="360" w:lineRule="auto"/>
        <w:ind w:right="420"/>
        <w:rPr>
          <w:rFonts w:hint="eastAsia" w:ascii="仿宋" w:hAnsi="仿宋" w:eastAsia="仿宋" w:cs="仿宋"/>
          <w:color w:val="auto"/>
          <w:sz w:val="24"/>
          <w:highlight w:val="none"/>
        </w:rPr>
      </w:pPr>
    </w:p>
    <w:p w14:paraId="7946234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78B2048">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1FEDE09D">
      <w:pPr>
        <w:spacing w:line="360" w:lineRule="auto"/>
        <w:jc w:val="center"/>
        <w:rPr>
          <w:rFonts w:hint="eastAsia" w:ascii="仿宋" w:hAnsi="仿宋" w:eastAsia="仿宋" w:cs="仿宋"/>
          <w:color w:val="auto"/>
          <w:sz w:val="24"/>
          <w:highlight w:val="none"/>
        </w:rPr>
      </w:pPr>
    </w:p>
    <w:p w14:paraId="6C697D16">
      <w:pPr>
        <w:rPr>
          <w:rFonts w:hint="eastAsia" w:ascii="仿宋" w:hAnsi="仿宋" w:eastAsia="仿宋" w:cs="仿宋"/>
          <w:b/>
          <w:color w:val="auto"/>
          <w:kern w:val="0"/>
          <w:sz w:val="28"/>
          <w:szCs w:val="28"/>
          <w:highlight w:val="none"/>
        </w:rPr>
      </w:pPr>
    </w:p>
    <w:p w14:paraId="4DDAB46C">
      <w:pPr>
        <w:tabs>
          <w:tab w:val="left" w:pos="2790"/>
          <w:tab w:val="left" w:pos="4230"/>
        </w:tabs>
        <w:autoSpaceDE w:val="0"/>
        <w:autoSpaceDN w:val="0"/>
        <w:spacing w:line="360" w:lineRule="auto"/>
        <w:ind w:right="1400"/>
        <w:jc w:val="center"/>
        <w:outlineLvl w:val="1"/>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kern w:val="0"/>
          <w:sz w:val="36"/>
          <w:szCs w:val="36"/>
          <w:highlight w:val="none"/>
          <w:lang w:val="zh-CN"/>
        </w:rPr>
        <w:br w:type="page"/>
      </w:r>
      <w:r>
        <w:rPr>
          <w:rFonts w:hint="eastAsia" w:ascii="仿宋" w:hAnsi="仿宋" w:eastAsia="仿宋" w:cs="仿宋"/>
          <w:b/>
          <w:bCs/>
          <w:color w:val="auto"/>
          <w:spacing w:val="6"/>
          <w:sz w:val="32"/>
          <w:szCs w:val="32"/>
          <w:highlight w:val="none"/>
          <w:lang w:val="en-US" w:eastAsia="zh-CN"/>
        </w:rPr>
        <w:t>三</w:t>
      </w:r>
      <w:r>
        <w:rPr>
          <w:rFonts w:hint="eastAsia" w:ascii="仿宋" w:hAnsi="仿宋" w:eastAsia="仿宋" w:cs="仿宋"/>
          <w:b/>
          <w:bCs/>
          <w:color w:val="auto"/>
          <w:spacing w:val="6"/>
          <w:sz w:val="32"/>
          <w:szCs w:val="32"/>
          <w:highlight w:val="none"/>
        </w:rPr>
        <w:t>、项目实施方案</w:t>
      </w:r>
    </w:p>
    <w:p w14:paraId="1E6BA77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648145F4">
      <w:pPr>
        <w:spacing w:line="360" w:lineRule="auto"/>
        <w:ind w:firstLine="480" w:firstLineChars="200"/>
        <w:rPr>
          <w:rFonts w:hint="eastAsia" w:ascii="仿宋" w:hAnsi="仿宋" w:eastAsia="仿宋" w:cs="仿宋"/>
          <w:color w:val="auto"/>
          <w:sz w:val="24"/>
          <w:szCs w:val="24"/>
          <w:highlight w:val="none"/>
        </w:rPr>
      </w:pPr>
    </w:p>
    <w:p w14:paraId="2E076E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应包括（但不限于）下列内容：</w:t>
      </w:r>
    </w:p>
    <w:p w14:paraId="70D4E9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一、工程概况；</w:t>
      </w:r>
    </w:p>
    <w:p w14:paraId="55723B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范围、</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工作目标；</w:t>
      </w:r>
    </w:p>
    <w:p w14:paraId="5A7FB3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方案（含重点、难点分析），工作安排及进度计划；</w:t>
      </w:r>
    </w:p>
    <w:p w14:paraId="161A1E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机构设置（框图）、岗位职责；</w:t>
      </w:r>
    </w:p>
    <w:p w14:paraId="088377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五、相关保证措施；</w:t>
      </w:r>
    </w:p>
    <w:p w14:paraId="26F7AB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w:t>
      </w:r>
    </w:p>
    <w:p w14:paraId="186BD5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w:t>
      </w:r>
    </w:p>
    <w:p w14:paraId="750B06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3.安全 </w:t>
      </w:r>
    </w:p>
    <w:p w14:paraId="758D48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w:t>
      </w:r>
    </w:p>
    <w:p w14:paraId="775F6E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、现场工作协调保证措施</w:t>
      </w:r>
    </w:p>
    <w:p w14:paraId="2BA528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、对本工程</w:t>
      </w:r>
      <w:r>
        <w:rPr>
          <w:rFonts w:hint="eastAsia" w:ascii="仿宋" w:hAnsi="仿宋" w:eastAsia="仿宋" w:cs="仿宋"/>
          <w:color w:val="auto"/>
          <w:sz w:val="24"/>
          <w:szCs w:val="24"/>
          <w:highlight w:val="none"/>
          <w:lang w:val="en-US" w:eastAsia="zh-CN"/>
        </w:rPr>
        <w:t>安评</w:t>
      </w:r>
      <w:r>
        <w:rPr>
          <w:rFonts w:hint="eastAsia" w:ascii="仿宋" w:hAnsi="仿宋" w:eastAsia="仿宋" w:cs="仿宋"/>
          <w:color w:val="auto"/>
          <w:sz w:val="24"/>
          <w:szCs w:val="24"/>
          <w:highlight w:val="none"/>
        </w:rPr>
        <w:t>的合理化建议</w:t>
      </w:r>
    </w:p>
    <w:p w14:paraId="7BD1840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1EB5A9F">
      <w:pPr>
        <w:autoSpaceDE w:val="0"/>
        <w:autoSpaceDN w:val="0"/>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、项目负责人情况表</w:t>
      </w:r>
    </w:p>
    <w:p w14:paraId="7F322FA3">
      <w:pPr>
        <w:spacing w:line="360" w:lineRule="auto"/>
        <w:jc w:val="center"/>
        <w:rPr>
          <w:rFonts w:hint="eastAsia" w:ascii="仿宋" w:hAnsi="仿宋" w:eastAsia="仿宋" w:cs="仿宋"/>
          <w:color w:val="auto"/>
          <w:sz w:val="24"/>
          <w:highlight w:val="none"/>
        </w:rPr>
      </w:pPr>
    </w:p>
    <w:tbl>
      <w:tblPr>
        <w:tblStyle w:val="17"/>
        <w:tblW w:w="0" w:type="auto"/>
        <w:tblInd w:w="108" w:type="dxa"/>
        <w:tblLayout w:type="fixed"/>
        <w:tblCellMar>
          <w:top w:w="0" w:type="dxa"/>
          <w:left w:w="108" w:type="dxa"/>
          <w:bottom w:w="0" w:type="dxa"/>
          <w:right w:w="108" w:type="dxa"/>
        </w:tblCellMar>
      </w:tblPr>
      <w:tblGrid>
        <w:gridCol w:w="1950"/>
        <w:gridCol w:w="1306"/>
        <w:gridCol w:w="5803"/>
      </w:tblGrid>
      <w:tr w14:paraId="36F274CE">
        <w:tblPrEx>
          <w:tblCellMar>
            <w:top w:w="0" w:type="dxa"/>
            <w:left w:w="108" w:type="dxa"/>
            <w:bottom w:w="0" w:type="dxa"/>
            <w:right w:w="108" w:type="dxa"/>
          </w:tblCellMar>
        </w:tblPrEx>
        <w:trPr>
          <w:trHeight w:val="992"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0406E08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306" w:type="dxa"/>
            <w:tcBorders>
              <w:top w:val="single" w:color="auto" w:sz="6" w:space="0"/>
              <w:left w:val="single" w:color="auto" w:sz="6" w:space="0"/>
              <w:bottom w:val="single" w:color="auto" w:sz="6" w:space="0"/>
              <w:right w:val="single" w:color="auto" w:sz="6" w:space="0"/>
            </w:tcBorders>
            <w:noWrap w:val="0"/>
            <w:vAlign w:val="center"/>
          </w:tcPr>
          <w:p w14:paraId="72F658B5">
            <w:pPr>
              <w:autoSpaceDE w:val="0"/>
              <w:autoSpaceDN w:val="0"/>
              <w:spacing w:line="360" w:lineRule="auto"/>
              <w:jc w:val="center"/>
              <w:rPr>
                <w:rFonts w:hint="eastAsia" w:ascii="仿宋" w:hAnsi="仿宋" w:eastAsia="仿宋" w:cs="仿宋"/>
                <w:color w:val="auto"/>
                <w:sz w:val="24"/>
                <w:highlight w:val="none"/>
              </w:rPr>
            </w:pPr>
          </w:p>
        </w:tc>
        <w:tc>
          <w:tcPr>
            <w:tcW w:w="5803" w:type="dxa"/>
            <w:tcBorders>
              <w:top w:val="single" w:color="auto" w:sz="6" w:space="0"/>
              <w:left w:val="single" w:color="auto" w:sz="6" w:space="0"/>
              <w:bottom w:val="single" w:color="auto" w:sz="6" w:space="0"/>
              <w:right w:val="single" w:color="auto" w:sz="6" w:space="0"/>
            </w:tcBorders>
            <w:noWrap w:val="0"/>
            <w:vAlign w:val="center"/>
          </w:tcPr>
          <w:p w14:paraId="342496C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投标截止时间前三年业绩及承担的主要工作情况，曾担任项目负责人的项目应列明细</w:t>
            </w:r>
          </w:p>
        </w:tc>
      </w:tr>
      <w:tr w14:paraId="5E31278D">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40EE698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4595C544">
            <w:pPr>
              <w:autoSpaceDE w:val="0"/>
              <w:autoSpaceDN w:val="0"/>
              <w:spacing w:line="360" w:lineRule="auto"/>
              <w:jc w:val="center"/>
              <w:rPr>
                <w:rFonts w:hint="eastAsia" w:ascii="仿宋" w:hAnsi="仿宋" w:eastAsia="仿宋" w:cs="仿宋"/>
                <w:color w:val="auto"/>
                <w:sz w:val="24"/>
                <w:highlight w:val="none"/>
              </w:rPr>
            </w:pPr>
          </w:p>
        </w:tc>
        <w:tc>
          <w:tcPr>
            <w:tcW w:w="5803" w:type="dxa"/>
            <w:vMerge w:val="restart"/>
            <w:tcBorders>
              <w:top w:val="single" w:color="auto" w:sz="6" w:space="0"/>
              <w:left w:val="single" w:color="auto" w:sz="6" w:space="0"/>
              <w:bottom w:val="single" w:color="auto" w:sz="6" w:space="0"/>
              <w:right w:val="single" w:color="auto" w:sz="6" w:space="0"/>
            </w:tcBorders>
            <w:noWrap w:val="0"/>
            <w:vAlign w:val="center"/>
          </w:tcPr>
          <w:p w14:paraId="446E9071">
            <w:pPr>
              <w:autoSpaceDE w:val="0"/>
              <w:autoSpaceDN w:val="0"/>
              <w:spacing w:line="360" w:lineRule="auto"/>
              <w:jc w:val="center"/>
              <w:rPr>
                <w:rFonts w:hint="eastAsia" w:ascii="仿宋" w:hAnsi="仿宋" w:eastAsia="仿宋" w:cs="仿宋"/>
                <w:color w:val="auto"/>
                <w:sz w:val="24"/>
                <w:highlight w:val="none"/>
              </w:rPr>
            </w:pPr>
          </w:p>
        </w:tc>
      </w:tr>
      <w:tr w14:paraId="3D3621BB">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72FA445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2FD10ADD">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66AAD933">
            <w:pPr>
              <w:autoSpaceDE w:val="0"/>
              <w:autoSpaceDN w:val="0"/>
              <w:spacing w:line="360" w:lineRule="auto"/>
              <w:jc w:val="center"/>
              <w:rPr>
                <w:rFonts w:hint="eastAsia" w:ascii="仿宋" w:hAnsi="仿宋" w:eastAsia="仿宋" w:cs="仿宋"/>
                <w:color w:val="auto"/>
                <w:sz w:val="24"/>
                <w:highlight w:val="none"/>
              </w:rPr>
            </w:pPr>
          </w:p>
        </w:tc>
      </w:tr>
      <w:tr w14:paraId="1B628B0A">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2592AF6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0D04A2C9">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79807F93">
            <w:pPr>
              <w:autoSpaceDE w:val="0"/>
              <w:autoSpaceDN w:val="0"/>
              <w:spacing w:line="360" w:lineRule="auto"/>
              <w:jc w:val="center"/>
              <w:rPr>
                <w:rFonts w:hint="eastAsia" w:ascii="仿宋" w:hAnsi="仿宋" w:eastAsia="仿宋" w:cs="仿宋"/>
                <w:color w:val="auto"/>
                <w:sz w:val="24"/>
                <w:highlight w:val="none"/>
              </w:rPr>
            </w:pPr>
          </w:p>
        </w:tc>
      </w:tr>
      <w:tr w14:paraId="29060A2F">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3086CA7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3F8D9F2B">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014927C2">
            <w:pPr>
              <w:autoSpaceDE w:val="0"/>
              <w:autoSpaceDN w:val="0"/>
              <w:spacing w:line="360" w:lineRule="auto"/>
              <w:jc w:val="center"/>
              <w:rPr>
                <w:rFonts w:hint="eastAsia" w:ascii="仿宋" w:hAnsi="仿宋" w:eastAsia="仿宋" w:cs="仿宋"/>
                <w:color w:val="auto"/>
                <w:sz w:val="24"/>
                <w:highlight w:val="none"/>
              </w:rPr>
            </w:pPr>
          </w:p>
        </w:tc>
      </w:tr>
      <w:tr w14:paraId="3FFF3D40">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1BC3A97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1AFECD16">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16171E2F">
            <w:pPr>
              <w:autoSpaceDE w:val="0"/>
              <w:autoSpaceDN w:val="0"/>
              <w:spacing w:line="360" w:lineRule="auto"/>
              <w:jc w:val="center"/>
              <w:rPr>
                <w:rFonts w:hint="eastAsia" w:ascii="仿宋" w:hAnsi="仿宋" w:eastAsia="仿宋" w:cs="仿宋"/>
                <w:color w:val="auto"/>
                <w:sz w:val="24"/>
                <w:highlight w:val="none"/>
              </w:rPr>
            </w:pPr>
          </w:p>
        </w:tc>
      </w:tr>
      <w:tr w14:paraId="27C6F8EE">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4FB7DA1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12E0B8B2">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0BE48496">
            <w:pPr>
              <w:autoSpaceDE w:val="0"/>
              <w:autoSpaceDN w:val="0"/>
              <w:spacing w:line="360" w:lineRule="auto"/>
              <w:jc w:val="center"/>
              <w:rPr>
                <w:rFonts w:hint="eastAsia" w:ascii="仿宋" w:hAnsi="仿宋" w:eastAsia="仿宋" w:cs="仿宋"/>
                <w:color w:val="auto"/>
                <w:sz w:val="24"/>
                <w:highlight w:val="none"/>
              </w:rPr>
            </w:pPr>
          </w:p>
        </w:tc>
      </w:tr>
      <w:tr w14:paraId="088095BC">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5C2BF73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相关资质证书</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62E4CEEB">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28F20A56">
            <w:pPr>
              <w:autoSpaceDE w:val="0"/>
              <w:autoSpaceDN w:val="0"/>
              <w:spacing w:line="360" w:lineRule="auto"/>
              <w:jc w:val="center"/>
              <w:rPr>
                <w:rFonts w:hint="eastAsia" w:ascii="仿宋" w:hAnsi="仿宋" w:eastAsia="仿宋" w:cs="仿宋"/>
                <w:color w:val="auto"/>
                <w:sz w:val="24"/>
                <w:highlight w:val="none"/>
              </w:rPr>
            </w:pPr>
          </w:p>
        </w:tc>
      </w:tr>
      <w:tr w14:paraId="6CDC295C">
        <w:tblPrEx>
          <w:tblCellMar>
            <w:top w:w="0" w:type="dxa"/>
            <w:left w:w="108" w:type="dxa"/>
            <w:bottom w:w="0" w:type="dxa"/>
            <w:right w:w="108" w:type="dxa"/>
          </w:tblCellMar>
        </w:tblPrEx>
        <w:trPr>
          <w:cantSplit/>
          <w:trHeight w:val="503"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32729AE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59715A5F">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361FABE3">
            <w:pPr>
              <w:autoSpaceDE w:val="0"/>
              <w:autoSpaceDN w:val="0"/>
              <w:spacing w:line="360" w:lineRule="auto"/>
              <w:jc w:val="center"/>
              <w:rPr>
                <w:rFonts w:hint="eastAsia" w:ascii="仿宋" w:hAnsi="仿宋" w:eastAsia="仿宋" w:cs="仿宋"/>
                <w:color w:val="auto"/>
                <w:sz w:val="24"/>
                <w:highlight w:val="none"/>
              </w:rPr>
            </w:pPr>
          </w:p>
        </w:tc>
      </w:tr>
      <w:tr w14:paraId="506BFD79">
        <w:tblPrEx>
          <w:tblCellMar>
            <w:top w:w="0" w:type="dxa"/>
            <w:left w:w="108" w:type="dxa"/>
            <w:bottom w:w="0" w:type="dxa"/>
            <w:right w:w="108" w:type="dxa"/>
          </w:tblCellMar>
        </w:tblPrEx>
        <w:trPr>
          <w:cantSplit/>
          <w:trHeight w:val="519" w:hRule="atLeast"/>
        </w:trPr>
        <w:tc>
          <w:tcPr>
            <w:tcW w:w="1950" w:type="dxa"/>
            <w:tcBorders>
              <w:top w:val="single" w:color="auto" w:sz="6" w:space="0"/>
              <w:left w:val="single" w:color="auto" w:sz="6" w:space="0"/>
              <w:bottom w:val="single" w:color="auto" w:sz="6" w:space="0"/>
              <w:right w:val="single" w:color="auto" w:sz="6" w:space="0"/>
            </w:tcBorders>
            <w:noWrap w:val="0"/>
            <w:vAlign w:val="center"/>
          </w:tcPr>
          <w:p w14:paraId="3E4E712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306" w:type="dxa"/>
            <w:tcBorders>
              <w:top w:val="single" w:color="auto" w:sz="6" w:space="0"/>
              <w:left w:val="single" w:color="auto" w:sz="6" w:space="0"/>
              <w:bottom w:val="single" w:color="auto" w:sz="6" w:space="0"/>
              <w:right w:val="single" w:color="auto" w:sz="6" w:space="0"/>
            </w:tcBorders>
            <w:noWrap w:val="0"/>
            <w:vAlign w:val="top"/>
          </w:tcPr>
          <w:p w14:paraId="22D59DFB">
            <w:pPr>
              <w:autoSpaceDE w:val="0"/>
              <w:autoSpaceDN w:val="0"/>
              <w:spacing w:line="360" w:lineRule="auto"/>
              <w:jc w:val="center"/>
              <w:rPr>
                <w:rFonts w:hint="eastAsia" w:ascii="仿宋" w:hAnsi="仿宋" w:eastAsia="仿宋" w:cs="仿宋"/>
                <w:color w:val="auto"/>
                <w:sz w:val="24"/>
                <w:highlight w:val="none"/>
              </w:rPr>
            </w:pPr>
          </w:p>
        </w:tc>
        <w:tc>
          <w:tcPr>
            <w:tcW w:w="5803" w:type="dxa"/>
            <w:vMerge w:val="continue"/>
            <w:tcBorders>
              <w:top w:val="single" w:color="auto" w:sz="6" w:space="0"/>
              <w:left w:val="single" w:color="auto" w:sz="6" w:space="0"/>
              <w:bottom w:val="single" w:color="auto" w:sz="6" w:space="0"/>
              <w:right w:val="single" w:color="auto" w:sz="6" w:space="0"/>
            </w:tcBorders>
            <w:noWrap w:val="0"/>
            <w:vAlign w:val="center"/>
          </w:tcPr>
          <w:p w14:paraId="2E8768FE">
            <w:pPr>
              <w:autoSpaceDE w:val="0"/>
              <w:autoSpaceDN w:val="0"/>
              <w:spacing w:line="360" w:lineRule="auto"/>
              <w:jc w:val="center"/>
              <w:rPr>
                <w:rFonts w:hint="eastAsia" w:ascii="仿宋" w:hAnsi="仿宋" w:eastAsia="仿宋" w:cs="仿宋"/>
                <w:color w:val="auto"/>
                <w:sz w:val="24"/>
                <w:highlight w:val="none"/>
              </w:rPr>
            </w:pPr>
          </w:p>
        </w:tc>
      </w:tr>
    </w:tbl>
    <w:p w14:paraId="47ACD7E5">
      <w:pPr>
        <w:spacing w:line="360" w:lineRule="auto"/>
        <w:ind w:right="420"/>
        <w:rPr>
          <w:rFonts w:hint="eastAsia" w:ascii="仿宋" w:hAnsi="仿宋" w:eastAsia="仿宋" w:cs="仿宋"/>
          <w:color w:val="auto"/>
          <w:sz w:val="24"/>
          <w:highlight w:val="none"/>
        </w:rPr>
      </w:pPr>
    </w:p>
    <w:p w14:paraId="1D151E1C">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F979180">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6B97CC3F">
      <w:pPr>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、项目组人员名单</w:t>
      </w:r>
    </w:p>
    <w:p w14:paraId="3F62BE05">
      <w:pPr>
        <w:spacing w:line="360" w:lineRule="auto"/>
        <w:rPr>
          <w:rFonts w:hint="eastAsia" w:ascii="仿宋" w:hAnsi="仿宋" w:eastAsia="仿宋" w:cs="仿宋"/>
          <w:color w:val="auto"/>
          <w:sz w:val="24"/>
          <w:highlight w:val="none"/>
        </w:rPr>
      </w:pPr>
    </w:p>
    <w:tbl>
      <w:tblPr>
        <w:tblStyle w:val="17"/>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7D262BA4">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252C401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51A4BE4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1BCBB89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A5018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205752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2050A7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FC777C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14:paraId="74B10A3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本项目中的工作内容</w:t>
            </w:r>
          </w:p>
        </w:tc>
      </w:tr>
      <w:tr w14:paraId="46A30EC7">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10EC49E8">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93CD2E">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50D2698E">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CDFE1A1">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A48B06A">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32E9CA6">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E27DE54">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36B3438C">
            <w:pPr>
              <w:autoSpaceDE w:val="0"/>
              <w:autoSpaceDN w:val="0"/>
              <w:spacing w:line="360" w:lineRule="auto"/>
              <w:rPr>
                <w:rFonts w:hint="eastAsia" w:ascii="仿宋" w:hAnsi="仿宋" w:eastAsia="仿宋" w:cs="仿宋"/>
                <w:color w:val="auto"/>
                <w:sz w:val="24"/>
                <w:highlight w:val="none"/>
              </w:rPr>
            </w:pPr>
          </w:p>
        </w:tc>
      </w:tr>
      <w:tr w14:paraId="664D4552">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18E25771">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559CD7">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104299A1">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D507F10">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CEC5E35">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39362D2">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F06782C">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32137DA4">
            <w:pPr>
              <w:autoSpaceDE w:val="0"/>
              <w:autoSpaceDN w:val="0"/>
              <w:spacing w:line="360" w:lineRule="auto"/>
              <w:rPr>
                <w:rFonts w:hint="eastAsia" w:ascii="仿宋" w:hAnsi="仿宋" w:eastAsia="仿宋" w:cs="仿宋"/>
                <w:color w:val="auto"/>
                <w:sz w:val="24"/>
                <w:highlight w:val="none"/>
              </w:rPr>
            </w:pPr>
          </w:p>
        </w:tc>
      </w:tr>
    </w:tbl>
    <w:p w14:paraId="174A8DFE">
      <w:pPr>
        <w:autoSpaceDE w:val="0"/>
        <w:autoSpaceDN w:val="0"/>
        <w:spacing w:line="360" w:lineRule="auto"/>
        <w:ind w:firstLine="4578" w:firstLineChars="1900"/>
        <w:rPr>
          <w:rFonts w:hint="eastAsia" w:ascii="仿宋" w:hAnsi="仿宋" w:eastAsia="仿宋" w:cs="仿宋"/>
          <w:b/>
          <w:color w:val="auto"/>
          <w:sz w:val="24"/>
          <w:highlight w:val="none"/>
        </w:rPr>
      </w:pPr>
    </w:p>
    <w:p w14:paraId="59C2D8D2">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057CA3EF">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17F50AD5">
      <w:pPr>
        <w:spacing w:line="360" w:lineRule="auto"/>
        <w:jc w:val="center"/>
        <w:rPr>
          <w:rStyle w:val="25"/>
          <w:rFonts w:hint="eastAsia" w:ascii="仿宋" w:hAnsi="仿宋" w:eastAsia="仿宋" w:cs="仿宋"/>
          <w:color w:val="auto"/>
          <w:kern w:val="2"/>
          <w:sz w:val="24"/>
          <w:szCs w:val="24"/>
          <w:highlight w:val="none"/>
        </w:rPr>
      </w:pPr>
    </w:p>
    <w:p w14:paraId="31748449">
      <w:pPr>
        <w:spacing w:line="360" w:lineRule="auto"/>
        <w:jc w:val="center"/>
        <w:rPr>
          <w:rStyle w:val="25"/>
          <w:rFonts w:hint="eastAsia" w:ascii="仿宋" w:hAnsi="仿宋" w:eastAsia="仿宋" w:cs="仿宋"/>
          <w:color w:val="auto"/>
          <w:kern w:val="2"/>
          <w:sz w:val="24"/>
          <w:szCs w:val="24"/>
          <w:highlight w:val="none"/>
        </w:rPr>
      </w:pPr>
    </w:p>
    <w:p w14:paraId="0703127C">
      <w:pPr>
        <w:spacing w:line="360" w:lineRule="auto"/>
        <w:jc w:val="center"/>
        <w:rPr>
          <w:rStyle w:val="25"/>
          <w:rFonts w:hint="eastAsia" w:ascii="仿宋" w:hAnsi="仿宋" w:eastAsia="仿宋" w:cs="仿宋"/>
          <w:color w:val="auto"/>
          <w:kern w:val="2"/>
          <w:sz w:val="24"/>
          <w:szCs w:val="24"/>
          <w:highlight w:val="none"/>
        </w:rPr>
      </w:pPr>
    </w:p>
    <w:p w14:paraId="1670A221">
      <w:pPr>
        <w:spacing w:line="360" w:lineRule="auto"/>
        <w:jc w:val="center"/>
        <w:rPr>
          <w:rStyle w:val="25"/>
          <w:rFonts w:hint="eastAsia" w:ascii="仿宋" w:hAnsi="仿宋" w:eastAsia="仿宋" w:cs="仿宋"/>
          <w:color w:val="auto"/>
          <w:kern w:val="2"/>
          <w:sz w:val="24"/>
          <w:szCs w:val="24"/>
          <w:highlight w:val="none"/>
        </w:rPr>
      </w:pPr>
    </w:p>
    <w:p w14:paraId="79702D11">
      <w:pPr>
        <w:spacing w:line="360" w:lineRule="auto"/>
        <w:jc w:val="center"/>
        <w:rPr>
          <w:rStyle w:val="25"/>
          <w:rFonts w:hint="eastAsia" w:ascii="仿宋" w:hAnsi="仿宋" w:eastAsia="仿宋" w:cs="仿宋"/>
          <w:color w:val="auto"/>
          <w:kern w:val="2"/>
          <w:sz w:val="24"/>
          <w:szCs w:val="24"/>
          <w:highlight w:val="none"/>
        </w:rPr>
      </w:pPr>
    </w:p>
    <w:p w14:paraId="28B74BCC">
      <w:pPr>
        <w:spacing w:line="360" w:lineRule="auto"/>
        <w:jc w:val="center"/>
        <w:rPr>
          <w:rStyle w:val="25"/>
          <w:rFonts w:hint="eastAsia" w:ascii="仿宋" w:hAnsi="仿宋" w:eastAsia="仿宋" w:cs="仿宋"/>
          <w:color w:val="auto"/>
          <w:kern w:val="2"/>
          <w:sz w:val="24"/>
          <w:szCs w:val="24"/>
          <w:highlight w:val="none"/>
        </w:rPr>
      </w:pPr>
    </w:p>
    <w:p w14:paraId="5D4BF5B0">
      <w:pPr>
        <w:spacing w:line="360" w:lineRule="auto"/>
        <w:jc w:val="center"/>
        <w:rPr>
          <w:rStyle w:val="25"/>
          <w:rFonts w:hint="eastAsia" w:ascii="仿宋" w:hAnsi="仿宋" w:eastAsia="仿宋" w:cs="仿宋"/>
          <w:color w:val="auto"/>
          <w:kern w:val="2"/>
          <w:sz w:val="24"/>
          <w:szCs w:val="24"/>
          <w:highlight w:val="none"/>
        </w:rPr>
      </w:pPr>
    </w:p>
    <w:p w14:paraId="216A72B6">
      <w:pPr>
        <w:spacing w:line="360" w:lineRule="auto"/>
        <w:jc w:val="center"/>
        <w:rPr>
          <w:rStyle w:val="25"/>
          <w:rFonts w:hint="eastAsia" w:ascii="仿宋" w:hAnsi="仿宋" w:eastAsia="仿宋" w:cs="仿宋"/>
          <w:color w:val="auto"/>
          <w:kern w:val="2"/>
          <w:sz w:val="24"/>
          <w:szCs w:val="24"/>
          <w:highlight w:val="none"/>
        </w:rPr>
      </w:pPr>
    </w:p>
    <w:p w14:paraId="6B306C43">
      <w:pPr>
        <w:spacing w:line="360" w:lineRule="auto"/>
        <w:jc w:val="center"/>
        <w:rPr>
          <w:rStyle w:val="25"/>
          <w:rFonts w:hint="eastAsia" w:ascii="仿宋" w:hAnsi="仿宋" w:eastAsia="仿宋" w:cs="仿宋"/>
          <w:color w:val="auto"/>
          <w:kern w:val="2"/>
          <w:sz w:val="24"/>
          <w:szCs w:val="24"/>
          <w:highlight w:val="none"/>
        </w:rPr>
      </w:pPr>
    </w:p>
    <w:p w14:paraId="27BBD95A">
      <w:pPr>
        <w:spacing w:line="360" w:lineRule="auto"/>
        <w:jc w:val="center"/>
        <w:rPr>
          <w:rStyle w:val="25"/>
          <w:rFonts w:hint="eastAsia" w:ascii="仿宋" w:hAnsi="仿宋" w:eastAsia="仿宋" w:cs="仿宋"/>
          <w:color w:val="auto"/>
          <w:kern w:val="2"/>
          <w:sz w:val="24"/>
          <w:szCs w:val="24"/>
          <w:highlight w:val="none"/>
        </w:rPr>
      </w:pPr>
    </w:p>
    <w:p w14:paraId="74C34F12">
      <w:pPr>
        <w:spacing w:line="360" w:lineRule="auto"/>
        <w:jc w:val="center"/>
        <w:rPr>
          <w:rStyle w:val="25"/>
          <w:rFonts w:hint="eastAsia" w:ascii="仿宋" w:hAnsi="仿宋" w:eastAsia="仿宋" w:cs="仿宋"/>
          <w:color w:val="auto"/>
          <w:kern w:val="2"/>
          <w:sz w:val="24"/>
          <w:szCs w:val="24"/>
          <w:highlight w:val="none"/>
        </w:rPr>
      </w:pPr>
    </w:p>
    <w:p w14:paraId="28E28821">
      <w:pPr>
        <w:spacing w:line="360" w:lineRule="auto"/>
        <w:jc w:val="center"/>
        <w:rPr>
          <w:rStyle w:val="25"/>
          <w:rFonts w:hint="eastAsia" w:ascii="仿宋" w:hAnsi="仿宋" w:eastAsia="仿宋" w:cs="仿宋"/>
          <w:color w:val="auto"/>
          <w:kern w:val="2"/>
          <w:sz w:val="24"/>
          <w:szCs w:val="24"/>
          <w:highlight w:val="none"/>
        </w:rPr>
      </w:pPr>
    </w:p>
    <w:p w14:paraId="0C22AB86">
      <w:pPr>
        <w:spacing w:line="360" w:lineRule="auto"/>
        <w:jc w:val="center"/>
        <w:rPr>
          <w:rStyle w:val="25"/>
          <w:rFonts w:hint="eastAsia" w:ascii="仿宋" w:hAnsi="仿宋" w:eastAsia="仿宋" w:cs="仿宋"/>
          <w:color w:val="auto"/>
          <w:kern w:val="2"/>
          <w:sz w:val="24"/>
          <w:szCs w:val="24"/>
          <w:highlight w:val="none"/>
        </w:rPr>
      </w:pPr>
    </w:p>
    <w:p w14:paraId="4CC51797">
      <w:pPr>
        <w:spacing w:line="360" w:lineRule="auto"/>
        <w:jc w:val="center"/>
        <w:rPr>
          <w:rStyle w:val="25"/>
          <w:rFonts w:hint="eastAsia" w:ascii="仿宋" w:hAnsi="仿宋" w:eastAsia="仿宋" w:cs="仿宋"/>
          <w:color w:val="auto"/>
          <w:kern w:val="2"/>
          <w:sz w:val="24"/>
          <w:szCs w:val="24"/>
          <w:highlight w:val="none"/>
        </w:rPr>
      </w:pPr>
    </w:p>
    <w:p w14:paraId="1B837A66">
      <w:pPr>
        <w:spacing w:line="360" w:lineRule="auto"/>
        <w:jc w:val="center"/>
        <w:rPr>
          <w:rStyle w:val="25"/>
          <w:rFonts w:hint="eastAsia" w:ascii="仿宋" w:hAnsi="仿宋" w:eastAsia="仿宋" w:cs="仿宋"/>
          <w:color w:val="auto"/>
          <w:kern w:val="2"/>
          <w:sz w:val="24"/>
          <w:szCs w:val="24"/>
          <w:highlight w:val="none"/>
        </w:rPr>
      </w:pPr>
    </w:p>
    <w:p w14:paraId="677271CC">
      <w:pPr>
        <w:spacing w:line="360" w:lineRule="auto"/>
        <w:jc w:val="center"/>
        <w:rPr>
          <w:rStyle w:val="25"/>
          <w:rFonts w:hint="eastAsia" w:ascii="仿宋" w:hAnsi="仿宋" w:eastAsia="仿宋" w:cs="仿宋"/>
          <w:color w:val="auto"/>
          <w:kern w:val="2"/>
          <w:sz w:val="24"/>
          <w:szCs w:val="24"/>
          <w:highlight w:val="none"/>
        </w:rPr>
      </w:pPr>
    </w:p>
    <w:p w14:paraId="3B6EAE32">
      <w:pPr>
        <w:spacing w:line="360" w:lineRule="auto"/>
        <w:jc w:val="center"/>
        <w:rPr>
          <w:rStyle w:val="25"/>
          <w:rFonts w:hint="eastAsia" w:ascii="仿宋" w:hAnsi="仿宋" w:eastAsia="仿宋" w:cs="仿宋"/>
          <w:color w:val="auto"/>
          <w:kern w:val="2"/>
          <w:sz w:val="24"/>
          <w:szCs w:val="24"/>
          <w:highlight w:val="none"/>
        </w:rPr>
      </w:pPr>
    </w:p>
    <w:p w14:paraId="3BE99996">
      <w:pPr>
        <w:spacing w:line="360" w:lineRule="auto"/>
        <w:jc w:val="center"/>
        <w:rPr>
          <w:rStyle w:val="25"/>
          <w:rFonts w:hint="eastAsia" w:ascii="仿宋" w:hAnsi="仿宋" w:eastAsia="仿宋" w:cs="仿宋"/>
          <w:color w:val="auto"/>
          <w:kern w:val="2"/>
          <w:sz w:val="24"/>
          <w:szCs w:val="24"/>
          <w:highlight w:val="none"/>
        </w:rPr>
      </w:pPr>
    </w:p>
    <w:p w14:paraId="01B17848">
      <w:pPr>
        <w:spacing w:line="360" w:lineRule="auto"/>
        <w:jc w:val="center"/>
        <w:rPr>
          <w:rStyle w:val="25"/>
          <w:rFonts w:hint="eastAsia" w:ascii="仿宋" w:hAnsi="仿宋" w:eastAsia="仿宋" w:cs="仿宋"/>
          <w:color w:val="auto"/>
          <w:kern w:val="2"/>
          <w:sz w:val="24"/>
          <w:szCs w:val="24"/>
          <w:highlight w:val="none"/>
        </w:rPr>
      </w:pPr>
    </w:p>
    <w:p w14:paraId="753A98C4">
      <w:pPr>
        <w:spacing w:line="360" w:lineRule="auto"/>
        <w:jc w:val="center"/>
        <w:rPr>
          <w:rStyle w:val="25"/>
          <w:rFonts w:hint="eastAsia" w:ascii="仿宋" w:hAnsi="仿宋" w:eastAsia="仿宋" w:cs="仿宋"/>
          <w:color w:val="auto"/>
          <w:kern w:val="2"/>
          <w:sz w:val="24"/>
          <w:szCs w:val="24"/>
          <w:highlight w:val="none"/>
        </w:rPr>
      </w:pPr>
    </w:p>
    <w:p w14:paraId="769BC4E3">
      <w:pPr>
        <w:spacing w:line="360" w:lineRule="auto"/>
        <w:jc w:val="center"/>
        <w:rPr>
          <w:rStyle w:val="25"/>
          <w:rFonts w:hint="eastAsia" w:ascii="仿宋" w:hAnsi="仿宋" w:eastAsia="仿宋" w:cs="仿宋"/>
          <w:color w:val="auto"/>
          <w:kern w:val="2"/>
          <w:sz w:val="24"/>
          <w:szCs w:val="24"/>
          <w:highlight w:val="none"/>
        </w:rPr>
      </w:pPr>
    </w:p>
    <w:p w14:paraId="1739634D">
      <w:pPr>
        <w:spacing w:line="360" w:lineRule="auto"/>
        <w:jc w:val="center"/>
        <w:rPr>
          <w:rStyle w:val="25"/>
          <w:rFonts w:hint="eastAsia" w:ascii="仿宋" w:hAnsi="仿宋" w:eastAsia="仿宋" w:cs="仿宋"/>
          <w:color w:val="auto"/>
          <w:kern w:val="2"/>
          <w:sz w:val="24"/>
          <w:szCs w:val="24"/>
          <w:highlight w:val="none"/>
        </w:rPr>
      </w:pPr>
    </w:p>
    <w:p w14:paraId="09BD7FE9">
      <w:pPr>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、售后服务方案（如有）</w:t>
      </w:r>
    </w:p>
    <w:p w14:paraId="6729BB3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7404E98C">
      <w:pPr>
        <w:spacing w:line="360" w:lineRule="auto"/>
        <w:rPr>
          <w:rFonts w:hint="eastAsia" w:ascii="仿宋" w:hAnsi="仿宋" w:eastAsia="仿宋" w:cs="仿宋"/>
          <w:color w:val="auto"/>
          <w:sz w:val="24"/>
          <w:highlight w:val="none"/>
        </w:rPr>
      </w:pPr>
    </w:p>
    <w:p w14:paraId="1B75AB2E">
      <w:pPr>
        <w:spacing w:line="360" w:lineRule="auto"/>
        <w:rPr>
          <w:rFonts w:hint="eastAsia" w:ascii="仿宋" w:hAnsi="仿宋" w:eastAsia="仿宋" w:cs="仿宋"/>
          <w:b/>
          <w:bCs/>
          <w:color w:val="auto"/>
          <w:sz w:val="32"/>
          <w:szCs w:val="32"/>
          <w:highlight w:val="none"/>
        </w:rPr>
      </w:pPr>
    </w:p>
    <w:p w14:paraId="499F80F9">
      <w:pPr>
        <w:spacing w:line="360" w:lineRule="auto"/>
        <w:jc w:val="center"/>
        <w:rPr>
          <w:rFonts w:hint="eastAsia" w:ascii="仿宋" w:hAnsi="仿宋" w:eastAsia="仿宋" w:cs="仿宋"/>
          <w:b/>
          <w:bCs/>
          <w:color w:val="auto"/>
          <w:sz w:val="32"/>
          <w:szCs w:val="32"/>
          <w:highlight w:val="none"/>
        </w:rPr>
      </w:pPr>
    </w:p>
    <w:p w14:paraId="6341397A">
      <w:pPr>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优惠条件及特殊承诺（如有）</w:t>
      </w:r>
    </w:p>
    <w:p w14:paraId="2111995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17E230B9">
      <w:pPr>
        <w:autoSpaceDE w:val="0"/>
        <w:autoSpaceDN w:val="0"/>
        <w:spacing w:line="360" w:lineRule="auto"/>
        <w:ind w:firstLine="120"/>
        <w:rPr>
          <w:rFonts w:hint="eastAsia" w:ascii="仿宋" w:hAnsi="仿宋" w:eastAsia="仿宋" w:cs="仿宋"/>
          <w:color w:val="auto"/>
          <w:kern w:val="0"/>
          <w:sz w:val="24"/>
          <w:highlight w:val="none"/>
        </w:rPr>
      </w:pPr>
    </w:p>
    <w:p w14:paraId="64B03A40">
      <w:pPr>
        <w:autoSpaceDE w:val="0"/>
        <w:autoSpaceDN w:val="0"/>
        <w:spacing w:line="360" w:lineRule="auto"/>
        <w:ind w:firstLine="120"/>
        <w:rPr>
          <w:rFonts w:hint="eastAsia" w:ascii="仿宋" w:hAnsi="仿宋" w:eastAsia="仿宋" w:cs="仿宋"/>
          <w:color w:val="auto"/>
          <w:sz w:val="24"/>
          <w:highlight w:val="none"/>
        </w:rPr>
      </w:pPr>
    </w:p>
    <w:p w14:paraId="0EB7D2C9">
      <w:pPr>
        <w:spacing w:line="360" w:lineRule="auto"/>
        <w:jc w:val="center"/>
        <w:rPr>
          <w:rFonts w:hint="eastAsia" w:ascii="仿宋" w:hAnsi="仿宋" w:eastAsia="仿宋" w:cs="仿宋"/>
          <w:b/>
          <w:bCs/>
          <w:color w:val="auto"/>
          <w:sz w:val="32"/>
          <w:szCs w:val="32"/>
          <w:highlight w:val="none"/>
        </w:rPr>
      </w:pPr>
    </w:p>
    <w:p w14:paraId="31B357CC">
      <w:pPr>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、投标人认为需要的其他商务技术文件或说明</w:t>
      </w:r>
    </w:p>
    <w:p w14:paraId="635F92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31337D1E">
      <w:pPr>
        <w:spacing w:line="360" w:lineRule="auto"/>
        <w:jc w:val="center"/>
        <w:rPr>
          <w:rFonts w:hint="eastAsia" w:ascii="仿宋" w:hAnsi="仿宋" w:eastAsia="仿宋" w:cs="仿宋"/>
          <w:color w:val="auto"/>
          <w:sz w:val="24"/>
          <w:highlight w:val="none"/>
        </w:rPr>
      </w:pPr>
    </w:p>
    <w:p w14:paraId="4EF4C1C7">
      <w:pPr>
        <w:spacing w:line="360" w:lineRule="auto"/>
        <w:jc w:val="center"/>
        <w:rPr>
          <w:rFonts w:hint="eastAsia" w:ascii="仿宋" w:hAnsi="仿宋" w:eastAsia="仿宋" w:cs="仿宋"/>
          <w:b/>
          <w:bCs/>
          <w:color w:val="auto"/>
          <w:sz w:val="30"/>
          <w:szCs w:val="30"/>
          <w:highlight w:val="none"/>
        </w:rPr>
      </w:pPr>
    </w:p>
    <w:p w14:paraId="70E806F8">
      <w:pPr>
        <w:spacing w:line="360" w:lineRule="auto"/>
        <w:jc w:val="center"/>
        <w:rPr>
          <w:rFonts w:hint="eastAsia" w:ascii="仿宋" w:hAnsi="仿宋" w:eastAsia="仿宋" w:cs="仿宋"/>
          <w:b/>
          <w:bCs/>
          <w:color w:val="auto"/>
          <w:sz w:val="30"/>
          <w:szCs w:val="30"/>
          <w:highlight w:val="none"/>
        </w:rPr>
      </w:pPr>
    </w:p>
    <w:p w14:paraId="6E02F0D8">
      <w:pPr>
        <w:spacing w:line="360" w:lineRule="auto"/>
        <w:jc w:val="center"/>
        <w:rPr>
          <w:rFonts w:hint="eastAsia" w:ascii="仿宋" w:hAnsi="仿宋" w:eastAsia="仿宋" w:cs="仿宋"/>
          <w:b/>
          <w:bCs/>
          <w:color w:val="auto"/>
          <w:sz w:val="30"/>
          <w:szCs w:val="30"/>
          <w:highlight w:val="none"/>
        </w:rPr>
      </w:pPr>
    </w:p>
    <w:p w14:paraId="052248AE">
      <w:pPr>
        <w:spacing w:line="360" w:lineRule="auto"/>
        <w:jc w:val="center"/>
        <w:rPr>
          <w:rFonts w:hint="eastAsia" w:ascii="仿宋" w:hAnsi="仿宋" w:eastAsia="仿宋" w:cs="仿宋"/>
          <w:b/>
          <w:bCs/>
          <w:color w:val="auto"/>
          <w:sz w:val="30"/>
          <w:szCs w:val="30"/>
          <w:highlight w:val="none"/>
        </w:rPr>
      </w:pPr>
    </w:p>
    <w:p w14:paraId="05B66C2F">
      <w:pPr>
        <w:spacing w:line="360" w:lineRule="auto"/>
        <w:jc w:val="center"/>
        <w:rPr>
          <w:rFonts w:hint="eastAsia" w:ascii="仿宋" w:hAnsi="仿宋" w:eastAsia="仿宋" w:cs="仿宋"/>
          <w:b/>
          <w:bCs/>
          <w:color w:val="auto"/>
          <w:sz w:val="30"/>
          <w:szCs w:val="30"/>
          <w:highlight w:val="none"/>
        </w:rPr>
      </w:pPr>
    </w:p>
    <w:p w14:paraId="2156E061">
      <w:pPr>
        <w:spacing w:line="360" w:lineRule="auto"/>
        <w:jc w:val="center"/>
        <w:rPr>
          <w:rFonts w:hint="eastAsia" w:ascii="仿宋" w:hAnsi="仿宋" w:eastAsia="仿宋" w:cs="仿宋"/>
          <w:b/>
          <w:bCs/>
          <w:color w:val="auto"/>
          <w:sz w:val="30"/>
          <w:szCs w:val="30"/>
          <w:highlight w:val="none"/>
        </w:rPr>
      </w:pPr>
    </w:p>
    <w:p w14:paraId="6100546B">
      <w:pPr>
        <w:spacing w:line="360" w:lineRule="auto"/>
        <w:jc w:val="center"/>
        <w:rPr>
          <w:rFonts w:hint="eastAsia" w:ascii="仿宋" w:hAnsi="仿宋" w:eastAsia="仿宋" w:cs="仿宋"/>
          <w:b/>
          <w:bCs/>
          <w:color w:val="auto"/>
          <w:sz w:val="30"/>
          <w:szCs w:val="30"/>
          <w:highlight w:val="none"/>
        </w:rPr>
      </w:pPr>
    </w:p>
    <w:p w14:paraId="6258044D">
      <w:pPr>
        <w:spacing w:line="360" w:lineRule="auto"/>
        <w:jc w:val="center"/>
        <w:rPr>
          <w:rFonts w:hint="eastAsia" w:ascii="仿宋" w:hAnsi="仿宋" w:eastAsia="仿宋" w:cs="仿宋"/>
          <w:b/>
          <w:bCs/>
          <w:color w:val="auto"/>
          <w:sz w:val="30"/>
          <w:szCs w:val="30"/>
          <w:highlight w:val="none"/>
        </w:rPr>
      </w:pPr>
    </w:p>
    <w:p w14:paraId="5C204121">
      <w:pPr>
        <w:spacing w:line="360" w:lineRule="auto"/>
        <w:jc w:val="center"/>
        <w:rPr>
          <w:rFonts w:hint="eastAsia" w:ascii="仿宋" w:hAnsi="仿宋" w:eastAsia="仿宋" w:cs="仿宋"/>
          <w:b/>
          <w:bCs/>
          <w:color w:val="auto"/>
          <w:sz w:val="30"/>
          <w:szCs w:val="30"/>
          <w:highlight w:val="none"/>
        </w:rPr>
      </w:pPr>
    </w:p>
    <w:p w14:paraId="4B41D01A">
      <w:pPr>
        <w:spacing w:line="360" w:lineRule="auto"/>
        <w:jc w:val="center"/>
        <w:rPr>
          <w:rFonts w:hint="eastAsia" w:ascii="仿宋" w:hAnsi="仿宋" w:eastAsia="仿宋" w:cs="仿宋"/>
          <w:b/>
          <w:bCs/>
          <w:color w:val="auto"/>
          <w:sz w:val="30"/>
          <w:szCs w:val="30"/>
          <w:highlight w:val="none"/>
        </w:rPr>
      </w:pPr>
    </w:p>
    <w:p w14:paraId="4AB59016">
      <w:pPr>
        <w:spacing w:line="360" w:lineRule="auto"/>
        <w:jc w:val="center"/>
        <w:rPr>
          <w:rFonts w:hint="eastAsia" w:ascii="仿宋" w:hAnsi="仿宋" w:eastAsia="仿宋" w:cs="仿宋"/>
          <w:b/>
          <w:bCs/>
          <w:color w:val="auto"/>
          <w:sz w:val="30"/>
          <w:szCs w:val="30"/>
          <w:highlight w:val="none"/>
        </w:rPr>
      </w:pPr>
    </w:p>
    <w:p w14:paraId="1DC269A4">
      <w:pPr>
        <w:spacing w:line="360" w:lineRule="auto"/>
        <w:jc w:val="center"/>
        <w:rPr>
          <w:rFonts w:hint="eastAsia" w:ascii="仿宋" w:hAnsi="仿宋" w:eastAsia="仿宋" w:cs="仿宋"/>
          <w:b/>
          <w:bCs/>
          <w:color w:val="auto"/>
          <w:sz w:val="30"/>
          <w:szCs w:val="30"/>
          <w:highlight w:val="none"/>
        </w:rPr>
      </w:pPr>
    </w:p>
    <w:p w14:paraId="7DC586C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27D1DE0">
      <w:pPr>
        <w:spacing w:line="360" w:lineRule="auto"/>
        <w:jc w:val="center"/>
        <w:outlineLvl w:val="9"/>
        <w:rPr>
          <w:rFonts w:hint="eastAsia" w:ascii="仿宋" w:hAnsi="仿宋" w:eastAsia="仿宋" w:cs="仿宋"/>
          <w:b/>
          <w:color w:val="auto"/>
          <w:kern w:val="0"/>
          <w:sz w:val="24"/>
          <w:highlight w:val="none"/>
        </w:rPr>
      </w:pPr>
    </w:p>
    <w:p w14:paraId="0D54B8D0">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73BCB68">
      <w:pPr>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szCs w:val="28"/>
          <w:highlight w:val="none"/>
        </w:rPr>
        <w:t>开标一览表(报价表)</w:t>
      </w:r>
      <w:r>
        <w:rPr>
          <w:rFonts w:hint="eastAsia" w:ascii="仿宋" w:hAnsi="仿宋" w:eastAsia="仿宋" w:cs="仿宋"/>
          <w:color w:val="auto"/>
          <w:kern w:val="0"/>
          <w:sz w:val="24"/>
          <w:highlight w:val="none"/>
        </w:rPr>
        <w:t>……………………………………………………（页码）</w:t>
      </w:r>
    </w:p>
    <w:p w14:paraId="5CA13AFB">
      <w:pPr>
        <w:snapToGrid w:val="0"/>
        <w:spacing w:line="360" w:lineRule="auto"/>
        <w:jc w:val="center"/>
        <w:outlineLvl w:val="9"/>
        <w:rPr>
          <w:rFonts w:hint="eastAsia" w:ascii="仿宋" w:hAnsi="仿宋" w:eastAsia="仿宋" w:cs="仿宋"/>
          <w:b/>
          <w:color w:val="auto"/>
          <w:kern w:val="0"/>
          <w:sz w:val="32"/>
          <w:szCs w:val="32"/>
          <w:highlight w:val="none"/>
        </w:rPr>
      </w:pPr>
    </w:p>
    <w:p w14:paraId="0016F947">
      <w:pPr>
        <w:snapToGrid w:val="0"/>
        <w:spacing w:line="360" w:lineRule="auto"/>
        <w:jc w:val="center"/>
        <w:outlineLvl w:val="9"/>
        <w:rPr>
          <w:rFonts w:hint="eastAsia" w:ascii="仿宋" w:hAnsi="仿宋" w:eastAsia="仿宋" w:cs="仿宋"/>
          <w:b/>
          <w:color w:val="auto"/>
          <w:kern w:val="0"/>
          <w:sz w:val="32"/>
          <w:szCs w:val="32"/>
          <w:highlight w:val="none"/>
        </w:rPr>
      </w:pPr>
    </w:p>
    <w:p w14:paraId="1A544A2F">
      <w:pPr>
        <w:snapToGrid w:val="0"/>
        <w:spacing w:line="360" w:lineRule="auto"/>
        <w:jc w:val="center"/>
        <w:outlineLvl w:val="9"/>
        <w:rPr>
          <w:rFonts w:hint="eastAsia" w:ascii="仿宋" w:hAnsi="仿宋" w:eastAsia="仿宋" w:cs="仿宋"/>
          <w:b/>
          <w:color w:val="auto"/>
          <w:kern w:val="0"/>
          <w:sz w:val="32"/>
          <w:szCs w:val="32"/>
          <w:highlight w:val="none"/>
        </w:rPr>
      </w:pPr>
    </w:p>
    <w:p w14:paraId="5C2BFAA4">
      <w:pPr>
        <w:snapToGrid w:val="0"/>
        <w:spacing w:line="360" w:lineRule="auto"/>
        <w:jc w:val="center"/>
        <w:outlineLvl w:val="9"/>
        <w:rPr>
          <w:rFonts w:hint="eastAsia" w:ascii="仿宋" w:hAnsi="仿宋" w:eastAsia="仿宋" w:cs="仿宋"/>
          <w:b/>
          <w:color w:val="auto"/>
          <w:kern w:val="0"/>
          <w:sz w:val="32"/>
          <w:szCs w:val="32"/>
          <w:highlight w:val="none"/>
        </w:rPr>
      </w:pPr>
    </w:p>
    <w:p w14:paraId="21658E3C">
      <w:pPr>
        <w:snapToGrid w:val="0"/>
        <w:spacing w:line="360" w:lineRule="auto"/>
        <w:jc w:val="center"/>
        <w:outlineLvl w:val="9"/>
        <w:rPr>
          <w:rFonts w:hint="eastAsia" w:ascii="仿宋" w:hAnsi="仿宋" w:eastAsia="仿宋" w:cs="仿宋"/>
          <w:b/>
          <w:color w:val="auto"/>
          <w:kern w:val="0"/>
          <w:sz w:val="32"/>
          <w:szCs w:val="32"/>
          <w:highlight w:val="none"/>
        </w:rPr>
      </w:pPr>
    </w:p>
    <w:p w14:paraId="42649DCF">
      <w:pPr>
        <w:snapToGrid w:val="0"/>
        <w:spacing w:line="360" w:lineRule="auto"/>
        <w:jc w:val="center"/>
        <w:outlineLvl w:val="9"/>
        <w:rPr>
          <w:rFonts w:hint="eastAsia" w:ascii="仿宋" w:hAnsi="仿宋" w:eastAsia="仿宋" w:cs="仿宋"/>
          <w:b/>
          <w:color w:val="auto"/>
          <w:kern w:val="0"/>
          <w:sz w:val="32"/>
          <w:szCs w:val="32"/>
          <w:highlight w:val="none"/>
        </w:rPr>
      </w:pPr>
    </w:p>
    <w:p w14:paraId="4F551793">
      <w:pPr>
        <w:snapToGrid w:val="0"/>
        <w:spacing w:line="360" w:lineRule="auto"/>
        <w:jc w:val="center"/>
        <w:outlineLvl w:val="9"/>
        <w:rPr>
          <w:rFonts w:hint="eastAsia" w:ascii="仿宋" w:hAnsi="仿宋" w:eastAsia="仿宋" w:cs="仿宋"/>
          <w:b/>
          <w:color w:val="auto"/>
          <w:kern w:val="0"/>
          <w:sz w:val="32"/>
          <w:szCs w:val="32"/>
          <w:highlight w:val="none"/>
        </w:rPr>
      </w:pPr>
    </w:p>
    <w:p w14:paraId="57BAB351">
      <w:pPr>
        <w:snapToGrid w:val="0"/>
        <w:spacing w:line="360" w:lineRule="auto"/>
        <w:jc w:val="center"/>
        <w:outlineLvl w:val="9"/>
        <w:rPr>
          <w:rFonts w:hint="eastAsia" w:ascii="仿宋" w:hAnsi="仿宋" w:eastAsia="仿宋" w:cs="仿宋"/>
          <w:b/>
          <w:color w:val="auto"/>
          <w:kern w:val="0"/>
          <w:sz w:val="32"/>
          <w:szCs w:val="32"/>
          <w:highlight w:val="none"/>
        </w:rPr>
      </w:pPr>
    </w:p>
    <w:p w14:paraId="06C56322">
      <w:pPr>
        <w:snapToGrid w:val="0"/>
        <w:spacing w:line="360" w:lineRule="auto"/>
        <w:jc w:val="center"/>
        <w:outlineLvl w:val="9"/>
        <w:rPr>
          <w:rFonts w:hint="eastAsia" w:ascii="仿宋" w:hAnsi="仿宋" w:eastAsia="仿宋" w:cs="仿宋"/>
          <w:b/>
          <w:color w:val="auto"/>
          <w:kern w:val="0"/>
          <w:sz w:val="32"/>
          <w:szCs w:val="32"/>
          <w:highlight w:val="none"/>
        </w:rPr>
      </w:pPr>
    </w:p>
    <w:p w14:paraId="6E514D8E">
      <w:pPr>
        <w:snapToGrid w:val="0"/>
        <w:spacing w:line="360" w:lineRule="auto"/>
        <w:jc w:val="center"/>
        <w:outlineLvl w:val="9"/>
        <w:rPr>
          <w:rFonts w:hint="eastAsia" w:ascii="仿宋" w:hAnsi="仿宋" w:eastAsia="仿宋" w:cs="仿宋"/>
          <w:b/>
          <w:color w:val="auto"/>
          <w:kern w:val="0"/>
          <w:sz w:val="32"/>
          <w:szCs w:val="32"/>
          <w:highlight w:val="none"/>
        </w:rPr>
      </w:pPr>
    </w:p>
    <w:p w14:paraId="41CE350D">
      <w:pPr>
        <w:snapToGrid w:val="0"/>
        <w:spacing w:line="360" w:lineRule="auto"/>
        <w:jc w:val="center"/>
        <w:outlineLvl w:val="9"/>
        <w:rPr>
          <w:rFonts w:hint="eastAsia" w:ascii="仿宋" w:hAnsi="仿宋" w:eastAsia="仿宋" w:cs="仿宋"/>
          <w:b/>
          <w:color w:val="auto"/>
          <w:kern w:val="0"/>
          <w:sz w:val="32"/>
          <w:szCs w:val="32"/>
          <w:highlight w:val="none"/>
        </w:rPr>
      </w:pPr>
    </w:p>
    <w:p w14:paraId="0BDAF9B2">
      <w:pPr>
        <w:snapToGrid w:val="0"/>
        <w:spacing w:line="360" w:lineRule="auto"/>
        <w:jc w:val="center"/>
        <w:outlineLvl w:val="9"/>
        <w:rPr>
          <w:rFonts w:hint="eastAsia" w:ascii="仿宋" w:hAnsi="仿宋" w:eastAsia="仿宋" w:cs="仿宋"/>
          <w:b/>
          <w:color w:val="auto"/>
          <w:kern w:val="0"/>
          <w:sz w:val="32"/>
          <w:szCs w:val="32"/>
          <w:highlight w:val="none"/>
        </w:rPr>
      </w:pPr>
    </w:p>
    <w:p w14:paraId="3CD74062">
      <w:pPr>
        <w:snapToGrid w:val="0"/>
        <w:spacing w:line="360" w:lineRule="auto"/>
        <w:jc w:val="center"/>
        <w:outlineLvl w:val="9"/>
        <w:rPr>
          <w:rFonts w:hint="eastAsia" w:ascii="仿宋" w:hAnsi="仿宋" w:eastAsia="仿宋" w:cs="仿宋"/>
          <w:b/>
          <w:color w:val="auto"/>
          <w:kern w:val="0"/>
          <w:sz w:val="32"/>
          <w:szCs w:val="32"/>
          <w:highlight w:val="none"/>
        </w:rPr>
      </w:pPr>
    </w:p>
    <w:p w14:paraId="16012699">
      <w:pPr>
        <w:snapToGrid w:val="0"/>
        <w:spacing w:line="360" w:lineRule="auto"/>
        <w:ind w:firstLine="640"/>
        <w:rPr>
          <w:rFonts w:hint="eastAsia" w:ascii="仿宋" w:hAnsi="仿宋" w:eastAsia="仿宋" w:cs="仿宋"/>
          <w:b/>
          <w:color w:val="auto"/>
          <w:sz w:val="32"/>
          <w:szCs w:val="32"/>
          <w:highlight w:val="none"/>
        </w:rPr>
        <w:sectPr>
          <w:footerReference r:id="rId11" w:type="first"/>
          <w:footerReference r:id="rId9" w:type="default"/>
          <w:headerReference r:id="rId8" w:type="even"/>
          <w:footerReference r:id="rId10" w:type="even"/>
          <w:pgSz w:w="11906" w:h="16838"/>
          <w:pgMar w:top="1247" w:right="1418" w:bottom="1276" w:left="1418" w:header="851" w:footer="992" w:gutter="0"/>
          <w:cols w:space="720" w:num="1"/>
          <w:titlePg/>
          <w:docGrid w:linePitch="312" w:charSpace="0"/>
        </w:sectPr>
      </w:pPr>
    </w:p>
    <w:p w14:paraId="13DA0C00">
      <w:pPr>
        <w:pStyle w:val="28"/>
        <w:keepNext w:val="0"/>
        <w:pageBreakBefore w:val="0"/>
        <w:tabs>
          <w:tab w:val="clear" w:pos="720"/>
        </w:tabs>
        <w:snapToGrid w:val="0"/>
        <w:ind w:firstLine="640"/>
        <w:outlineLvl w:val="1"/>
        <w:rPr>
          <w:rFonts w:hint="eastAsia" w:ascii="仿宋" w:hAnsi="仿宋" w:eastAsia="仿宋" w:cs="仿宋"/>
          <w:b/>
          <w:color w:val="auto"/>
          <w:kern w:val="2"/>
          <w:sz w:val="32"/>
          <w:szCs w:val="32"/>
          <w:highlight w:val="none"/>
        </w:rPr>
      </w:pPr>
      <w:r>
        <w:rPr>
          <w:rFonts w:hint="eastAsia" w:ascii="仿宋" w:hAnsi="仿宋" w:eastAsia="仿宋" w:cs="仿宋"/>
          <w:b w:val="0"/>
          <w:color w:val="auto"/>
          <w:sz w:val="32"/>
          <w:szCs w:val="32"/>
          <w:highlight w:val="none"/>
        </w:rPr>
        <w:t>一、</w:t>
      </w:r>
      <w:r>
        <w:rPr>
          <w:rFonts w:hint="eastAsia" w:ascii="仿宋" w:hAnsi="仿宋" w:eastAsia="仿宋" w:cs="仿宋"/>
          <w:b/>
          <w:color w:val="auto"/>
          <w:kern w:val="2"/>
          <w:sz w:val="32"/>
          <w:szCs w:val="32"/>
          <w:highlight w:val="none"/>
        </w:rPr>
        <w:t>开标一览表(报价表)</w:t>
      </w:r>
    </w:p>
    <w:p w14:paraId="3B1C7E3D">
      <w:pPr>
        <w:snapToGrid w:val="0"/>
        <w:spacing w:line="440" w:lineRule="exact"/>
        <w:ind w:left="0" w:leftChars="0" w:hanging="28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lang w:val="zh-CN"/>
        </w:rPr>
        <w:t>星柯光电双回路110kV电力接入工程涉路和涉航安评采购项目</w:t>
      </w:r>
    </w:p>
    <w:tbl>
      <w:tblPr>
        <w:tblStyle w:val="17"/>
        <w:tblW w:w="9432"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562"/>
        <w:gridCol w:w="946"/>
        <w:gridCol w:w="1116"/>
        <w:gridCol w:w="1200"/>
        <w:gridCol w:w="1352"/>
        <w:gridCol w:w="604"/>
        <w:gridCol w:w="744"/>
        <w:gridCol w:w="1176"/>
        <w:gridCol w:w="1272"/>
      </w:tblGrid>
      <w:tr w14:paraId="5C72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02E33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bookmarkStart w:id="446" w:name="_Toc86217005"/>
            <w:r>
              <w:rPr>
                <w:rFonts w:hint="eastAsia" w:ascii="仿宋" w:hAnsi="仿宋" w:eastAsia="仿宋" w:cs="仿宋"/>
                <w:i w:val="0"/>
                <w:iCs w:val="0"/>
                <w:color w:val="auto"/>
                <w:kern w:val="0"/>
                <w:sz w:val="24"/>
                <w:szCs w:val="24"/>
                <w:highlight w:val="none"/>
                <w:u w:val="none"/>
                <w:lang w:val="en-US" w:eastAsia="zh-CN" w:bidi="ar"/>
              </w:rPr>
              <w:t>序号</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C8AE4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线路</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13C32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vertAlign w:val="baseline"/>
                <w:lang w:val="en-US" w:eastAsia="zh-CN"/>
              </w:rPr>
              <w:t>涉路施工/涉航施工</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8C8DDD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施工范围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47FFE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敷设方式</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14:paraId="3BED5F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交叉穿（跨）越</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14:paraId="5895A9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1936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2123B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投标单价</w:t>
            </w:r>
          </w:p>
          <w:p w14:paraId="78CB24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（元/处）</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8AB465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小计（元）</w:t>
            </w:r>
          </w:p>
        </w:tc>
      </w:tr>
      <w:tr w14:paraId="0D3A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E6EEE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562" w:type="dxa"/>
            <w:vMerge w:val="restart"/>
            <w:tcBorders>
              <w:top w:val="single" w:color="000000" w:sz="4" w:space="0"/>
              <w:left w:val="single" w:color="000000" w:sz="4" w:space="0"/>
              <w:right w:val="single" w:color="000000" w:sz="4" w:space="0"/>
            </w:tcBorders>
            <w:noWrap w:val="0"/>
            <w:vAlign w:val="center"/>
          </w:tcPr>
          <w:p w14:paraId="7685AFC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sz w:val="24"/>
                <w:szCs w:val="24"/>
                <w:highlight w:val="none"/>
                <w:lang w:val="en-US" w:eastAsia="zh-CN"/>
              </w:rPr>
              <w:t>A线江桃</w:t>
            </w:r>
          </w:p>
        </w:tc>
        <w:tc>
          <w:tcPr>
            <w:tcW w:w="946" w:type="dxa"/>
            <w:vMerge w:val="restart"/>
            <w:tcBorders>
              <w:top w:val="single" w:color="000000" w:sz="4" w:space="0"/>
              <w:left w:val="single" w:color="000000" w:sz="4" w:space="0"/>
              <w:right w:val="single" w:color="000000" w:sz="4" w:space="0"/>
            </w:tcBorders>
            <w:noWrap w:val="0"/>
            <w:vAlign w:val="center"/>
          </w:tcPr>
          <w:p w14:paraId="1BEC85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vertAlign w:val="baseline"/>
                <w:lang w:val="en-US" w:eastAsia="zh-CN"/>
              </w:rPr>
              <w:t>涉路施工电缆段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DE060">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A3-2#-A3-3#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DF4424">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43E76">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杨绍线县道（钱茅线）</w:t>
            </w:r>
          </w:p>
        </w:tc>
        <w:tc>
          <w:tcPr>
            <w:tcW w:w="604" w:type="dxa"/>
            <w:vMerge w:val="restart"/>
            <w:tcBorders>
              <w:top w:val="single" w:color="000000" w:sz="4" w:space="0"/>
              <w:left w:val="single" w:color="000000" w:sz="4" w:space="0"/>
              <w:right w:val="single" w:color="000000" w:sz="4" w:space="0"/>
            </w:tcBorders>
            <w:noWrap w:val="0"/>
            <w:vAlign w:val="center"/>
          </w:tcPr>
          <w:p w14:paraId="38CCE7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744" w:type="dxa"/>
            <w:vMerge w:val="restart"/>
            <w:tcBorders>
              <w:top w:val="single" w:color="000000" w:sz="4" w:space="0"/>
              <w:left w:val="single" w:color="000000" w:sz="4" w:space="0"/>
              <w:right w:val="single" w:color="000000" w:sz="4" w:space="0"/>
            </w:tcBorders>
            <w:noWrap w:val="0"/>
            <w:vAlign w:val="center"/>
          </w:tcPr>
          <w:p w14:paraId="1EDF2A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处</w:t>
            </w:r>
          </w:p>
        </w:tc>
        <w:tc>
          <w:tcPr>
            <w:tcW w:w="1176" w:type="dxa"/>
            <w:vMerge w:val="restart"/>
            <w:tcBorders>
              <w:top w:val="single" w:color="000000" w:sz="4" w:space="0"/>
              <w:left w:val="single" w:color="000000" w:sz="4" w:space="0"/>
              <w:right w:val="single" w:color="000000" w:sz="4" w:space="0"/>
            </w:tcBorders>
            <w:noWrap w:val="0"/>
            <w:vAlign w:val="center"/>
          </w:tcPr>
          <w:p w14:paraId="4A2F2B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restart"/>
            <w:tcBorders>
              <w:top w:val="single" w:color="000000" w:sz="4" w:space="0"/>
              <w:left w:val="single" w:color="000000" w:sz="4" w:space="0"/>
              <w:right w:val="single" w:color="000000" w:sz="4" w:space="0"/>
            </w:tcBorders>
            <w:noWrap w:val="0"/>
            <w:vAlign w:val="center"/>
          </w:tcPr>
          <w:p w14:paraId="63DEFA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7F82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67D0B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562" w:type="dxa"/>
            <w:vMerge w:val="continue"/>
            <w:tcBorders>
              <w:left w:val="single" w:color="000000" w:sz="4" w:space="0"/>
              <w:right w:val="single" w:color="000000" w:sz="4" w:space="0"/>
            </w:tcBorders>
            <w:noWrap w:val="0"/>
            <w:vAlign w:val="center"/>
          </w:tcPr>
          <w:p w14:paraId="52BDAB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5F642B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34BF2">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A8-5#-A8-6#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CD8CE34">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34B30">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104国道</w:t>
            </w:r>
          </w:p>
        </w:tc>
        <w:tc>
          <w:tcPr>
            <w:tcW w:w="604" w:type="dxa"/>
            <w:vMerge w:val="continue"/>
            <w:tcBorders>
              <w:left w:val="single" w:color="000000" w:sz="4" w:space="0"/>
              <w:right w:val="single" w:color="000000" w:sz="4" w:space="0"/>
            </w:tcBorders>
            <w:noWrap w:val="0"/>
            <w:vAlign w:val="center"/>
          </w:tcPr>
          <w:p w14:paraId="409F67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44" w:type="dxa"/>
            <w:vMerge w:val="continue"/>
            <w:tcBorders>
              <w:left w:val="single" w:color="000000" w:sz="4" w:space="0"/>
              <w:right w:val="single" w:color="000000" w:sz="4" w:space="0"/>
            </w:tcBorders>
            <w:noWrap w:val="0"/>
            <w:vAlign w:val="center"/>
          </w:tcPr>
          <w:p w14:paraId="17B949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176" w:type="dxa"/>
            <w:vMerge w:val="continue"/>
            <w:tcBorders>
              <w:left w:val="single" w:color="000000" w:sz="4" w:space="0"/>
              <w:right w:val="single" w:color="000000" w:sz="4" w:space="0"/>
            </w:tcBorders>
            <w:noWrap w:val="0"/>
            <w:vAlign w:val="center"/>
          </w:tcPr>
          <w:p w14:paraId="6F43C5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0D8BC7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285F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60956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562" w:type="dxa"/>
            <w:vMerge w:val="continue"/>
            <w:tcBorders>
              <w:left w:val="single" w:color="000000" w:sz="4" w:space="0"/>
              <w:right w:val="single" w:color="000000" w:sz="4" w:space="0"/>
            </w:tcBorders>
            <w:noWrap w:val="0"/>
            <w:vAlign w:val="center"/>
          </w:tcPr>
          <w:p w14:paraId="7DC40C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3D77E0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D750A">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A1-1#-A2-9#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4EA4AA">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vertAlign w:val="baseline"/>
                <w:lang w:val="en-US" w:eastAsia="zh-CN"/>
              </w:rPr>
              <w:t>排管、顶管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55115">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平行杭金衢连接线</w:t>
            </w:r>
          </w:p>
        </w:tc>
        <w:tc>
          <w:tcPr>
            <w:tcW w:w="604" w:type="dxa"/>
            <w:vMerge w:val="continue"/>
            <w:tcBorders>
              <w:left w:val="single" w:color="000000" w:sz="4" w:space="0"/>
              <w:right w:val="single" w:color="000000" w:sz="4" w:space="0"/>
            </w:tcBorders>
            <w:noWrap w:val="0"/>
            <w:vAlign w:val="center"/>
          </w:tcPr>
          <w:p w14:paraId="5BE124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44" w:type="dxa"/>
            <w:vMerge w:val="continue"/>
            <w:tcBorders>
              <w:left w:val="single" w:color="000000" w:sz="4" w:space="0"/>
              <w:right w:val="single" w:color="000000" w:sz="4" w:space="0"/>
            </w:tcBorders>
            <w:noWrap w:val="0"/>
            <w:vAlign w:val="center"/>
          </w:tcPr>
          <w:p w14:paraId="0D7785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176" w:type="dxa"/>
            <w:vMerge w:val="continue"/>
            <w:tcBorders>
              <w:left w:val="single" w:color="000000" w:sz="4" w:space="0"/>
              <w:right w:val="single" w:color="000000" w:sz="4" w:space="0"/>
            </w:tcBorders>
            <w:noWrap w:val="0"/>
            <w:vAlign w:val="center"/>
          </w:tcPr>
          <w:p w14:paraId="7E298A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6C6461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55A6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8848D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562" w:type="dxa"/>
            <w:vMerge w:val="continue"/>
            <w:tcBorders>
              <w:left w:val="single" w:color="000000" w:sz="4" w:space="0"/>
              <w:right w:val="single" w:color="000000" w:sz="4" w:space="0"/>
            </w:tcBorders>
            <w:noWrap w:val="0"/>
            <w:vAlign w:val="center"/>
          </w:tcPr>
          <w:p w14:paraId="362C97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noWrap w:val="0"/>
            <w:vAlign w:val="center"/>
          </w:tcPr>
          <w:p w14:paraId="68DB74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5C3A7">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A3-3#-A4-2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BA4982">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vertAlign w:val="baseline"/>
                <w:lang w:val="en-US" w:eastAsia="zh-CN"/>
              </w:rPr>
              <w:t>排管</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DF5B4">
            <w:pPr>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平行杨绍线</w:t>
            </w:r>
          </w:p>
        </w:tc>
        <w:tc>
          <w:tcPr>
            <w:tcW w:w="604" w:type="dxa"/>
            <w:vMerge w:val="continue"/>
            <w:tcBorders>
              <w:left w:val="single" w:color="000000" w:sz="4" w:space="0"/>
              <w:right w:val="single" w:color="000000" w:sz="4" w:space="0"/>
            </w:tcBorders>
            <w:noWrap w:val="0"/>
            <w:vAlign w:val="center"/>
          </w:tcPr>
          <w:p w14:paraId="4CAE73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44" w:type="dxa"/>
            <w:vMerge w:val="continue"/>
            <w:tcBorders>
              <w:left w:val="single" w:color="000000" w:sz="4" w:space="0"/>
              <w:right w:val="single" w:color="000000" w:sz="4" w:space="0"/>
            </w:tcBorders>
            <w:noWrap w:val="0"/>
            <w:vAlign w:val="center"/>
          </w:tcPr>
          <w:p w14:paraId="78246D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176" w:type="dxa"/>
            <w:vMerge w:val="continue"/>
            <w:tcBorders>
              <w:left w:val="single" w:color="000000" w:sz="4" w:space="0"/>
              <w:right w:val="single" w:color="000000" w:sz="4" w:space="0"/>
            </w:tcBorders>
            <w:noWrap w:val="0"/>
            <w:vAlign w:val="center"/>
          </w:tcPr>
          <w:p w14:paraId="459F3F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1A80C4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7440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56875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562" w:type="dxa"/>
            <w:vMerge w:val="continue"/>
            <w:tcBorders>
              <w:left w:val="single" w:color="000000" w:sz="4" w:space="0"/>
              <w:right w:val="single" w:color="000000" w:sz="4" w:space="0"/>
            </w:tcBorders>
            <w:noWrap w:val="0"/>
            <w:vAlign w:val="center"/>
          </w:tcPr>
          <w:p w14:paraId="0EBB21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restart"/>
            <w:tcBorders>
              <w:top w:val="single" w:color="000000" w:sz="4" w:space="0"/>
              <w:left w:val="single" w:color="000000" w:sz="4" w:space="0"/>
              <w:right w:val="single" w:color="000000" w:sz="4" w:space="0"/>
            </w:tcBorders>
            <w:noWrap w:val="0"/>
            <w:vAlign w:val="center"/>
          </w:tcPr>
          <w:p w14:paraId="0B2209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涉路施工架空段</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04452A3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3#塔-4#塔</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24FB11C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架空跨越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69EF0C2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江夏线</w:t>
            </w:r>
          </w:p>
        </w:tc>
        <w:tc>
          <w:tcPr>
            <w:tcW w:w="604" w:type="dxa"/>
            <w:vMerge w:val="continue"/>
            <w:tcBorders>
              <w:left w:val="single" w:color="000000" w:sz="4" w:space="0"/>
              <w:right w:val="single" w:color="000000" w:sz="4" w:space="0"/>
            </w:tcBorders>
            <w:noWrap w:val="0"/>
            <w:vAlign w:val="center"/>
          </w:tcPr>
          <w:p w14:paraId="1CE115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44" w:type="dxa"/>
            <w:vMerge w:val="continue"/>
            <w:tcBorders>
              <w:left w:val="single" w:color="000000" w:sz="4" w:space="0"/>
              <w:right w:val="single" w:color="000000" w:sz="4" w:space="0"/>
            </w:tcBorders>
            <w:noWrap w:val="0"/>
            <w:vAlign w:val="center"/>
          </w:tcPr>
          <w:p w14:paraId="1AAF2E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176" w:type="dxa"/>
            <w:vMerge w:val="continue"/>
            <w:tcBorders>
              <w:left w:val="single" w:color="000000" w:sz="4" w:space="0"/>
              <w:right w:val="single" w:color="000000" w:sz="4" w:space="0"/>
            </w:tcBorders>
            <w:noWrap w:val="0"/>
            <w:vAlign w:val="center"/>
          </w:tcPr>
          <w:p w14:paraId="1AEAE5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542413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67F3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D81D5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562" w:type="dxa"/>
            <w:vMerge w:val="continue"/>
            <w:tcBorders>
              <w:left w:val="single" w:color="000000" w:sz="4" w:space="0"/>
              <w:right w:val="single" w:color="000000" w:sz="4" w:space="0"/>
            </w:tcBorders>
            <w:noWrap w:val="0"/>
            <w:vAlign w:val="center"/>
          </w:tcPr>
          <w:p w14:paraId="0FF464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noWrap w:val="0"/>
            <w:vAlign w:val="center"/>
          </w:tcPr>
          <w:p w14:paraId="5141ED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7D3944A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9#塔-10#塔</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3A82803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架空跨越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5D9D997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杭金衢连接线</w:t>
            </w:r>
          </w:p>
        </w:tc>
        <w:tc>
          <w:tcPr>
            <w:tcW w:w="604" w:type="dxa"/>
            <w:vMerge w:val="continue"/>
            <w:tcBorders>
              <w:left w:val="single" w:color="000000" w:sz="4" w:space="0"/>
              <w:bottom w:val="single" w:color="000000" w:sz="4" w:space="0"/>
              <w:right w:val="single" w:color="000000" w:sz="4" w:space="0"/>
            </w:tcBorders>
            <w:noWrap w:val="0"/>
            <w:vAlign w:val="center"/>
          </w:tcPr>
          <w:p w14:paraId="7689CA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744" w:type="dxa"/>
            <w:vMerge w:val="continue"/>
            <w:tcBorders>
              <w:left w:val="single" w:color="000000" w:sz="4" w:space="0"/>
              <w:bottom w:val="single" w:color="000000" w:sz="4" w:space="0"/>
              <w:right w:val="single" w:color="000000" w:sz="4" w:space="0"/>
            </w:tcBorders>
            <w:noWrap w:val="0"/>
            <w:vAlign w:val="center"/>
          </w:tcPr>
          <w:p w14:paraId="00C52B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176" w:type="dxa"/>
            <w:vMerge w:val="continue"/>
            <w:tcBorders>
              <w:left w:val="single" w:color="000000" w:sz="4" w:space="0"/>
              <w:bottom w:val="single" w:color="000000" w:sz="4" w:space="0"/>
              <w:right w:val="single" w:color="000000" w:sz="4" w:space="0"/>
            </w:tcBorders>
            <w:noWrap w:val="0"/>
            <w:vAlign w:val="center"/>
          </w:tcPr>
          <w:p w14:paraId="394916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bottom w:val="single" w:color="000000" w:sz="4" w:space="0"/>
              <w:right w:val="single" w:color="000000" w:sz="4" w:space="0"/>
            </w:tcBorders>
            <w:noWrap w:val="0"/>
            <w:vAlign w:val="center"/>
          </w:tcPr>
          <w:p w14:paraId="0C0E27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3B1D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A2BA3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562" w:type="dxa"/>
            <w:vMerge w:val="continue"/>
            <w:tcBorders>
              <w:left w:val="single" w:color="000000" w:sz="4" w:space="0"/>
              <w:right w:val="single" w:color="000000" w:sz="4" w:space="0"/>
            </w:tcBorders>
            <w:noWrap w:val="0"/>
            <w:vAlign w:val="center"/>
          </w:tcPr>
          <w:p w14:paraId="08BADB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restart"/>
            <w:tcBorders>
              <w:top w:val="single" w:color="000000" w:sz="4" w:space="0"/>
              <w:left w:val="single" w:color="000000" w:sz="4" w:space="0"/>
              <w:right w:val="single" w:color="000000" w:sz="4" w:space="0"/>
            </w:tcBorders>
            <w:noWrap w:val="0"/>
            <w:vAlign w:val="center"/>
          </w:tcPr>
          <w:p w14:paraId="31FFA3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涉航施工电缆段</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7CC4AA3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A4-3#-A4-4#</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4DB2EC4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4DAD34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穿越九曲河</w:t>
            </w:r>
          </w:p>
        </w:tc>
        <w:tc>
          <w:tcPr>
            <w:tcW w:w="604" w:type="dxa"/>
            <w:vMerge w:val="restart"/>
            <w:tcBorders>
              <w:top w:val="single" w:color="000000" w:sz="4" w:space="0"/>
              <w:left w:val="single" w:color="000000" w:sz="4" w:space="0"/>
              <w:right w:val="single" w:color="000000" w:sz="4" w:space="0"/>
            </w:tcBorders>
            <w:noWrap w:val="0"/>
            <w:vAlign w:val="center"/>
          </w:tcPr>
          <w:p w14:paraId="744E7491">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744" w:type="dxa"/>
            <w:vMerge w:val="restart"/>
            <w:tcBorders>
              <w:top w:val="single" w:color="000000" w:sz="4" w:space="0"/>
              <w:left w:val="single" w:color="000000" w:sz="4" w:space="0"/>
              <w:right w:val="single" w:color="000000" w:sz="4" w:space="0"/>
            </w:tcBorders>
            <w:noWrap w:val="0"/>
            <w:vAlign w:val="center"/>
          </w:tcPr>
          <w:p w14:paraId="7EAF1943">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auto"/>
                <w:sz w:val="24"/>
                <w:szCs w:val="24"/>
                <w:highlight w:val="none"/>
                <w:u w:val="none"/>
                <w:lang w:val="en-US" w:eastAsia="zh-CN"/>
              </w:rPr>
              <w:t>处</w:t>
            </w:r>
          </w:p>
        </w:tc>
        <w:tc>
          <w:tcPr>
            <w:tcW w:w="1176" w:type="dxa"/>
            <w:vMerge w:val="restart"/>
            <w:tcBorders>
              <w:top w:val="single" w:color="000000" w:sz="4" w:space="0"/>
              <w:left w:val="single" w:color="000000" w:sz="4" w:space="0"/>
              <w:right w:val="single" w:color="000000" w:sz="4" w:space="0"/>
            </w:tcBorders>
            <w:noWrap w:val="0"/>
            <w:vAlign w:val="center"/>
          </w:tcPr>
          <w:p w14:paraId="58DBF9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restart"/>
            <w:tcBorders>
              <w:top w:val="single" w:color="000000" w:sz="4" w:space="0"/>
              <w:left w:val="single" w:color="000000" w:sz="4" w:space="0"/>
              <w:right w:val="single" w:color="000000" w:sz="4" w:space="0"/>
            </w:tcBorders>
            <w:noWrap w:val="0"/>
            <w:vAlign w:val="center"/>
          </w:tcPr>
          <w:p w14:paraId="5DF7F1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D0B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66FB9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562" w:type="dxa"/>
            <w:vMerge w:val="continue"/>
            <w:tcBorders>
              <w:left w:val="single" w:color="000000" w:sz="4" w:space="0"/>
              <w:right w:val="single" w:color="000000" w:sz="4" w:space="0"/>
            </w:tcBorders>
            <w:noWrap w:val="0"/>
            <w:vAlign w:val="center"/>
          </w:tcPr>
          <w:p w14:paraId="3BC504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4C999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06DCD77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A8-1#-A8-2#</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255C6B0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3B0F721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南运河九曲河</w:t>
            </w:r>
          </w:p>
        </w:tc>
        <w:tc>
          <w:tcPr>
            <w:tcW w:w="604" w:type="dxa"/>
            <w:vMerge w:val="continue"/>
            <w:tcBorders>
              <w:left w:val="single" w:color="000000" w:sz="4" w:space="0"/>
              <w:right w:val="single" w:color="000000" w:sz="4" w:space="0"/>
            </w:tcBorders>
            <w:noWrap w:val="0"/>
            <w:vAlign w:val="center"/>
          </w:tcPr>
          <w:p w14:paraId="564E2B89">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74D489EC">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78292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6E058E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69D6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D4C63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562" w:type="dxa"/>
            <w:vMerge w:val="continue"/>
            <w:tcBorders>
              <w:left w:val="single" w:color="000000" w:sz="4" w:space="0"/>
              <w:right w:val="single" w:color="000000" w:sz="4" w:space="0"/>
            </w:tcBorders>
            <w:noWrap w:val="0"/>
            <w:vAlign w:val="center"/>
          </w:tcPr>
          <w:p w14:paraId="11DF0A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1459D6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595A371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A8-4#-A8-5#</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4513B28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71177F3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穿越萧曹运河</w:t>
            </w:r>
          </w:p>
        </w:tc>
        <w:tc>
          <w:tcPr>
            <w:tcW w:w="604" w:type="dxa"/>
            <w:vMerge w:val="continue"/>
            <w:tcBorders>
              <w:left w:val="single" w:color="000000" w:sz="4" w:space="0"/>
              <w:right w:val="single" w:color="000000" w:sz="4" w:space="0"/>
            </w:tcBorders>
            <w:noWrap w:val="0"/>
            <w:vAlign w:val="center"/>
          </w:tcPr>
          <w:p w14:paraId="2B0D9D09">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21FDE2D0">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2DAAFC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16C210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673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0CAE8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10</w:t>
            </w:r>
          </w:p>
        </w:tc>
        <w:tc>
          <w:tcPr>
            <w:tcW w:w="562" w:type="dxa"/>
            <w:vMerge w:val="continue"/>
            <w:tcBorders>
              <w:left w:val="single" w:color="000000" w:sz="4" w:space="0"/>
              <w:bottom w:val="single" w:color="000000" w:sz="4" w:space="0"/>
              <w:right w:val="single" w:color="000000" w:sz="4" w:space="0"/>
            </w:tcBorders>
            <w:noWrap w:val="0"/>
            <w:vAlign w:val="center"/>
          </w:tcPr>
          <w:p w14:paraId="48F0C1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noWrap w:val="0"/>
            <w:vAlign w:val="center"/>
          </w:tcPr>
          <w:p w14:paraId="67FCC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179E0A7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A12-4#-A12-5#</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7EA7920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顶管穿越</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150AF85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穿越钱海线</w:t>
            </w:r>
          </w:p>
        </w:tc>
        <w:tc>
          <w:tcPr>
            <w:tcW w:w="604" w:type="dxa"/>
            <w:vMerge w:val="continue"/>
            <w:tcBorders>
              <w:left w:val="single" w:color="000000" w:sz="4" w:space="0"/>
              <w:bottom w:val="single" w:color="000000" w:sz="4" w:space="0"/>
              <w:right w:val="single" w:color="000000" w:sz="4" w:space="0"/>
            </w:tcBorders>
            <w:noWrap w:val="0"/>
            <w:vAlign w:val="center"/>
          </w:tcPr>
          <w:p w14:paraId="48042148">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bottom w:val="single" w:color="000000" w:sz="4" w:space="0"/>
              <w:right w:val="single" w:color="000000" w:sz="4" w:space="0"/>
            </w:tcBorders>
            <w:noWrap w:val="0"/>
            <w:vAlign w:val="center"/>
          </w:tcPr>
          <w:p w14:paraId="62510114">
            <w:pPr>
              <w:keepNext w:val="0"/>
              <w:keepLines w:val="0"/>
              <w:widowControl/>
              <w:suppressLineNumbers w:val="0"/>
              <w:jc w:val="center"/>
              <w:textAlignment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bottom w:val="single" w:color="000000" w:sz="4" w:space="0"/>
              <w:right w:val="single" w:color="000000" w:sz="4" w:space="0"/>
            </w:tcBorders>
            <w:noWrap w:val="0"/>
            <w:vAlign w:val="center"/>
          </w:tcPr>
          <w:p w14:paraId="46916A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bottom w:val="single" w:color="000000" w:sz="4" w:space="0"/>
              <w:right w:val="single" w:color="000000" w:sz="4" w:space="0"/>
            </w:tcBorders>
            <w:noWrap w:val="0"/>
            <w:vAlign w:val="center"/>
          </w:tcPr>
          <w:p w14:paraId="7C5A3F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758E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B04AB3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562" w:type="dxa"/>
            <w:vMerge w:val="restart"/>
            <w:tcBorders>
              <w:left w:val="single" w:color="000000" w:sz="4" w:space="0"/>
              <w:right w:val="single" w:color="000000" w:sz="4" w:space="0"/>
            </w:tcBorders>
            <w:noWrap w:val="0"/>
            <w:vAlign w:val="center"/>
          </w:tcPr>
          <w:p w14:paraId="6462FEB2">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B线余渚</w:t>
            </w:r>
          </w:p>
        </w:tc>
        <w:tc>
          <w:tcPr>
            <w:tcW w:w="946" w:type="dxa"/>
            <w:vMerge w:val="restart"/>
            <w:tcBorders>
              <w:top w:val="single" w:color="000000" w:sz="4" w:space="0"/>
              <w:left w:val="single" w:color="000000" w:sz="4" w:space="0"/>
              <w:right w:val="single" w:color="000000" w:sz="4" w:space="0"/>
            </w:tcBorders>
            <w:noWrap w:val="0"/>
            <w:vAlign w:val="center"/>
          </w:tcPr>
          <w:p w14:paraId="094D12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涉路施工电缆段</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1C5A745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B3-5#-B3-6#</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6F6A794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5C5181B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穿越临杭大道</w:t>
            </w:r>
          </w:p>
        </w:tc>
        <w:tc>
          <w:tcPr>
            <w:tcW w:w="604" w:type="dxa"/>
            <w:vMerge w:val="restart"/>
            <w:tcBorders>
              <w:top w:val="single" w:color="000000" w:sz="4" w:space="0"/>
              <w:left w:val="single" w:color="000000" w:sz="4" w:space="0"/>
              <w:right w:val="single" w:color="000000" w:sz="4" w:space="0"/>
            </w:tcBorders>
            <w:noWrap w:val="0"/>
            <w:vAlign w:val="center"/>
          </w:tcPr>
          <w:p w14:paraId="6DFF643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744" w:type="dxa"/>
            <w:vMerge w:val="restart"/>
            <w:tcBorders>
              <w:top w:val="single" w:color="000000" w:sz="4" w:space="0"/>
              <w:left w:val="single" w:color="000000" w:sz="4" w:space="0"/>
              <w:right w:val="single" w:color="000000" w:sz="4" w:space="0"/>
            </w:tcBorders>
            <w:noWrap w:val="0"/>
            <w:vAlign w:val="center"/>
          </w:tcPr>
          <w:p w14:paraId="0E114682">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处</w:t>
            </w:r>
          </w:p>
        </w:tc>
        <w:tc>
          <w:tcPr>
            <w:tcW w:w="1176" w:type="dxa"/>
            <w:vMerge w:val="restart"/>
            <w:tcBorders>
              <w:top w:val="single" w:color="000000" w:sz="4" w:space="0"/>
              <w:left w:val="single" w:color="000000" w:sz="4" w:space="0"/>
              <w:right w:val="single" w:color="000000" w:sz="4" w:space="0"/>
            </w:tcBorders>
            <w:noWrap w:val="0"/>
            <w:vAlign w:val="center"/>
          </w:tcPr>
          <w:p w14:paraId="47ED66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restart"/>
            <w:tcBorders>
              <w:top w:val="single" w:color="000000" w:sz="4" w:space="0"/>
              <w:left w:val="single" w:color="000000" w:sz="4" w:space="0"/>
              <w:right w:val="single" w:color="000000" w:sz="4" w:space="0"/>
            </w:tcBorders>
            <w:noWrap w:val="0"/>
            <w:vAlign w:val="center"/>
          </w:tcPr>
          <w:p w14:paraId="2AE672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748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D8850E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562" w:type="dxa"/>
            <w:vMerge w:val="continue"/>
            <w:tcBorders>
              <w:left w:val="single" w:color="000000" w:sz="4" w:space="0"/>
              <w:right w:val="single" w:color="000000" w:sz="4" w:space="0"/>
            </w:tcBorders>
            <w:noWrap w:val="0"/>
            <w:vAlign w:val="center"/>
          </w:tcPr>
          <w:p w14:paraId="71598B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331CC6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5B9AA2E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B3-6#-B8-5#</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528A463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顶管、排管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21D46D6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平行临杭大道</w:t>
            </w:r>
          </w:p>
        </w:tc>
        <w:tc>
          <w:tcPr>
            <w:tcW w:w="604" w:type="dxa"/>
            <w:vMerge w:val="continue"/>
            <w:tcBorders>
              <w:left w:val="single" w:color="000000" w:sz="4" w:space="0"/>
              <w:right w:val="single" w:color="000000" w:sz="4" w:space="0"/>
            </w:tcBorders>
            <w:noWrap w:val="0"/>
            <w:vAlign w:val="center"/>
          </w:tcPr>
          <w:p w14:paraId="118A99C5">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4A058BB0">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0DA54E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113F5C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0DED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29AB03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562" w:type="dxa"/>
            <w:vMerge w:val="continue"/>
            <w:tcBorders>
              <w:left w:val="single" w:color="000000" w:sz="4" w:space="0"/>
              <w:right w:val="single" w:color="000000" w:sz="4" w:space="0"/>
            </w:tcBorders>
            <w:noWrap w:val="0"/>
            <w:vAlign w:val="center"/>
          </w:tcPr>
          <w:p w14:paraId="4AD1B5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noWrap w:val="0"/>
            <w:vAlign w:val="center"/>
          </w:tcPr>
          <w:p w14:paraId="3D9666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5D8B712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B5-7#-B5-8#</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5273532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32C5BCB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京岚线（104）</w:t>
            </w:r>
          </w:p>
        </w:tc>
        <w:tc>
          <w:tcPr>
            <w:tcW w:w="604" w:type="dxa"/>
            <w:vMerge w:val="continue"/>
            <w:tcBorders>
              <w:left w:val="single" w:color="000000" w:sz="4" w:space="0"/>
              <w:bottom w:val="single" w:color="000000" w:sz="4" w:space="0"/>
              <w:right w:val="single" w:color="000000" w:sz="4" w:space="0"/>
            </w:tcBorders>
            <w:noWrap w:val="0"/>
            <w:vAlign w:val="center"/>
          </w:tcPr>
          <w:p w14:paraId="48577943">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bottom w:val="single" w:color="000000" w:sz="4" w:space="0"/>
              <w:right w:val="single" w:color="000000" w:sz="4" w:space="0"/>
            </w:tcBorders>
            <w:noWrap w:val="0"/>
            <w:vAlign w:val="center"/>
          </w:tcPr>
          <w:p w14:paraId="3DE43C10">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bottom w:val="single" w:color="000000" w:sz="4" w:space="0"/>
              <w:right w:val="single" w:color="000000" w:sz="4" w:space="0"/>
            </w:tcBorders>
            <w:noWrap w:val="0"/>
            <w:vAlign w:val="center"/>
          </w:tcPr>
          <w:p w14:paraId="44448F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bottom w:val="single" w:color="000000" w:sz="4" w:space="0"/>
              <w:right w:val="single" w:color="000000" w:sz="4" w:space="0"/>
            </w:tcBorders>
            <w:noWrap w:val="0"/>
            <w:vAlign w:val="center"/>
          </w:tcPr>
          <w:p w14:paraId="56A797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286A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9E51A8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562" w:type="dxa"/>
            <w:vMerge w:val="continue"/>
            <w:tcBorders>
              <w:left w:val="single" w:color="000000" w:sz="4" w:space="0"/>
              <w:right w:val="single" w:color="000000" w:sz="4" w:space="0"/>
            </w:tcBorders>
            <w:noWrap w:val="0"/>
            <w:vAlign w:val="center"/>
          </w:tcPr>
          <w:p w14:paraId="552525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restart"/>
            <w:tcBorders>
              <w:top w:val="single" w:color="000000" w:sz="4" w:space="0"/>
              <w:left w:val="single" w:color="000000" w:sz="4" w:space="0"/>
              <w:right w:val="single" w:color="000000" w:sz="4" w:space="0"/>
            </w:tcBorders>
            <w:noWrap w:val="0"/>
            <w:vAlign w:val="center"/>
          </w:tcPr>
          <w:p w14:paraId="01E0F5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涉航施工电缆段</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09FA0D4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B3-3#-B3-4#</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1FFC5BB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203A6F4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穿越官娄江</w:t>
            </w:r>
          </w:p>
        </w:tc>
        <w:tc>
          <w:tcPr>
            <w:tcW w:w="604" w:type="dxa"/>
            <w:vMerge w:val="restart"/>
            <w:tcBorders>
              <w:top w:val="single" w:color="000000" w:sz="4" w:space="0"/>
              <w:left w:val="single" w:color="000000" w:sz="4" w:space="0"/>
              <w:right w:val="single" w:color="000000" w:sz="4" w:space="0"/>
            </w:tcBorders>
            <w:noWrap w:val="0"/>
            <w:vAlign w:val="center"/>
          </w:tcPr>
          <w:p w14:paraId="78B85A2E">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744" w:type="dxa"/>
            <w:vMerge w:val="restart"/>
            <w:tcBorders>
              <w:top w:val="single" w:color="000000" w:sz="4" w:space="0"/>
              <w:left w:val="single" w:color="000000" w:sz="4" w:space="0"/>
              <w:right w:val="single" w:color="000000" w:sz="4" w:space="0"/>
            </w:tcBorders>
            <w:noWrap w:val="0"/>
            <w:vAlign w:val="center"/>
          </w:tcPr>
          <w:p w14:paraId="48DDA050">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处</w:t>
            </w:r>
          </w:p>
        </w:tc>
        <w:tc>
          <w:tcPr>
            <w:tcW w:w="1176" w:type="dxa"/>
            <w:vMerge w:val="restart"/>
            <w:tcBorders>
              <w:top w:val="single" w:color="000000" w:sz="4" w:space="0"/>
              <w:left w:val="single" w:color="000000" w:sz="4" w:space="0"/>
              <w:right w:val="single" w:color="000000" w:sz="4" w:space="0"/>
            </w:tcBorders>
            <w:noWrap w:val="0"/>
            <w:vAlign w:val="center"/>
          </w:tcPr>
          <w:p w14:paraId="6C1497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restart"/>
            <w:tcBorders>
              <w:top w:val="single" w:color="000000" w:sz="4" w:space="0"/>
              <w:left w:val="single" w:color="000000" w:sz="4" w:space="0"/>
              <w:right w:val="single" w:color="000000" w:sz="4" w:space="0"/>
            </w:tcBorders>
            <w:noWrap w:val="0"/>
            <w:vAlign w:val="center"/>
          </w:tcPr>
          <w:p w14:paraId="1EB4FB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4B5F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5D6449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562" w:type="dxa"/>
            <w:vMerge w:val="continue"/>
            <w:tcBorders>
              <w:left w:val="single" w:color="000000" w:sz="4" w:space="0"/>
              <w:right w:val="single" w:color="000000" w:sz="4" w:space="0"/>
            </w:tcBorders>
            <w:noWrap w:val="0"/>
            <w:vAlign w:val="center"/>
          </w:tcPr>
          <w:p w14:paraId="0CEBF5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531AF4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094BEDB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B4-2#-B4-3#</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42D5289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00B8B44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穿越南塘线</w:t>
            </w:r>
          </w:p>
        </w:tc>
        <w:tc>
          <w:tcPr>
            <w:tcW w:w="604" w:type="dxa"/>
            <w:vMerge w:val="continue"/>
            <w:tcBorders>
              <w:left w:val="single" w:color="000000" w:sz="4" w:space="0"/>
              <w:right w:val="single" w:color="000000" w:sz="4" w:space="0"/>
            </w:tcBorders>
            <w:noWrap w:val="0"/>
            <w:vAlign w:val="center"/>
          </w:tcPr>
          <w:p w14:paraId="009A5BE9">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7B4072D4">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5E37D7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1E94BD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5CAF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E2568E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562" w:type="dxa"/>
            <w:vMerge w:val="continue"/>
            <w:tcBorders>
              <w:left w:val="single" w:color="000000" w:sz="4" w:space="0"/>
              <w:right w:val="single" w:color="000000" w:sz="4" w:space="0"/>
            </w:tcBorders>
            <w:noWrap w:val="0"/>
            <w:vAlign w:val="center"/>
          </w:tcPr>
          <w:p w14:paraId="65EF41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06E80F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6477FDB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B5-7#-B5-8#</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433CD16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491EA42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穿越萧绍运河</w:t>
            </w:r>
          </w:p>
        </w:tc>
        <w:tc>
          <w:tcPr>
            <w:tcW w:w="604" w:type="dxa"/>
            <w:vMerge w:val="continue"/>
            <w:tcBorders>
              <w:left w:val="single" w:color="000000" w:sz="4" w:space="0"/>
              <w:right w:val="single" w:color="000000" w:sz="4" w:space="0"/>
            </w:tcBorders>
            <w:noWrap w:val="0"/>
            <w:vAlign w:val="center"/>
          </w:tcPr>
          <w:p w14:paraId="10C12F24">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2AFE2B91">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22390F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661F8B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257D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C13D8A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562" w:type="dxa"/>
            <w:vMerge w:val="continue"/>
            <w:tcBorders>
              <w:left w:val="single" w:color="000000" w:sz="4" w:space="0"/>
              <w:right w:val="single" w:color="000000" w:sz="4" w:space="0"/>
            </w:tcBorders>
            <w:noWrap w:val="0"/>
            <w:vAlign w:val="center"/>
          </w:tcPr>
          <w:p w14:paraId="50B0FB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right w:val="single" w:color="000000" w:sz="4" w:space="0"/>
            </w:tcBorders>
            <w:noWrap w:val="0"/>
            <w:vAlign w:val="center"/>
          </w:tcPr>
          <w:p w14:paraId="7AD6FB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1517BA6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B10-5#-B10-6#</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170FD95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459E749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穿越钱海线</w:t>
            </w:r>
          </w:p>
        </w:tc>
        <w:tc>
          <w:tcPr>
            <w:tcW w:w="604" w:type="dxa"/>
            <w:vMerge w:val="continue"/>
            <w:tcBorders>
              <w:left w:val="single" w:color="000000" w:sz="4" w:space="0"/>
              <w:right w:val="single" w:color="000000" w:sz="4" w:space="0"/>
            </w:tcBorders>
            <w:noWrap w:val="0"/>
            <w:vAlign w:val="center"/>
          </w:tcPr>
          <w:p w14:paraId="0D86343C">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right w:val="single" w:color="000000" w:sz="4" w:space="0"/>
            </w:tcBorders>
            <w:noWrap w:val="0"/>
            <w:vAlign w:val="center"/>
          </w:tcPr>
          <w:p w14:paraId="4258E74B">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right w:val="single" w:color="000000" w:sz="4" w:space="0"/>
            </w:tcBorders>
            <w:noWrap w:val="0"/>
            <w:vAlign w:val="center"/>
          </w:tcPr>
          <w:p w14:paraId="25EF1E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right w:val="single" w:color="000000" w:sz="4" w:space="0"/>
            </w:tcBorders>
            <w:noWrap w:val="0"/>
            <w:vAlign w:val="center"/>
          </w:tcPr>
          <w:p w14:paraId="103921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2F38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14BB49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562" w:type="dxa"/>
            <w:vMerge w:val="continue"/>
            <w:tcBorders>
              <w:left w:val="single" w:color="000000" w:sz="4" w:space="0"/>
              <w:bottom w:val="single" w:color="000000" w:sz="4" w:space="0"/>
              <w:right w:val="single" w:color="000000" w:sz="4" w:space="0"/>
            </w:tcBorders>
            <w:noWrap w:val="0"/>
            <w:vAlign w:val="center"/>
          </w:tcPr>
          <w:p w14:paraId="76F2C9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946" w:type="dxa"/>
            <w:vMerge w:val="continue"/>
            <w:tcBorders>
              <w:left w:val="single" w:color="000000" w:sz="4" w:space="0"/>
              <w:bottom w:val="single" w:color="000000" w:sz="4" w:space="0"/>
              <w:right w:val="single" w:color="000000" w:sz="4" w:space="0"/>
            </w:tcBorders>
            <w:noWrap w:val="0"/>
            <w:vAlign w:val="center"/>
          </w:tcPr>
          <w:p w14:paraId="70F864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top"/>
          </w:tcPr>
          <w:p w14:paraId="2F59E6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B5-1#-B5-2#</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6AECD2A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顶管</w:t>
            </w:r>
          </w:p>
        </w:tc>
        <w:tc>
          <w:tcPr>
            <w:tcW w:w="1352" w:type="dxa"/>
            <w:tcBorders>
              <w:top w:val="single" w:color="000000" w:sz="4" w:space="0"/>
              <w:left w:val="single" w:color="000000" w:sz="4" w:space="0"/>
              <w:bottom w:val="single" w:color="000000" w:sz="4" w:space="0"/>
              <w:right w:val="single" w:color="000000" w:sz="4" w:space="0"/>
            </w:tcBorders>
            <w:noWrap w:val="0"/>
            <w:vAlign w:val="top"/>
          </w:tcPr>
          <w:p w14:paraId="53D0692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穿越行龙线</w:t>
            </w:r>
          </w:p>
        </w:tc>
        <w:tc>
          <w:tcPr>
            <w:tcW w:w="604" w:type="dxa"/>
            <w:vMerge w:val="continue"/>
            <w:tcBorders>
              <w:left w:val="single" w:color="000000" w:sz="4" w:space="0"/>
              <w:bottom w:val="single" w:color="000000" w:sz="4" w:space="0"/>
              <w:right w:val="single" w:color="000000" w:sz="4" w:space="0"/>
            </w:tcBorders>
            <w:noWrap w:val="0"/>
            <w:vAlign w:val="center"/>
          </w:tcPr>
          <w:p w14:paraId="48F441E3">
            <w:pPr>
              <w:jc w:val="center"/>
              <w:rPr>
                <w:rFonts w:hint="eastAsia" w:ascii="仿宋" w:hAnsi="仿宋" w:eastAsia="仿宋" w:cs="仿宋"/>
                <w:color w:val="auto"/>
                <w:sz w:val="24"/>
                <w:szCs w:val="24"/>
                <w:highlight w:val="none"/>
                <w:vertAlign w:val="baseline"/>
                <w:lang w:val="en-US" w:eastAsia="zh-CN"/>
              </w:rPr>
            </w:pPr>
          </w:p>
        </w:tc>
        <w:tc>
          <w:tcPr>
            <w:tcW w:w="744" w:type="dxa"/>
            <w:vMerge w:val="continue"/>
            <w:tcBorders>
              <w:left w:val="single" w:color="000000" w:sz="4" w:space="0"/>
              <w:bottom w:val="single" w:color="000000" w:sz="4" w:space="0"/>
              <w:right w:val="single" w:color="000000" w:sz="4" w:space="0"/>
            </w:tcBorders>
            <w:noWrap w:val="0"/>
            <w:vAlign w:val="center"/>
          </w:tcPr>
          <w:p w14:paraId="0278CC49">
            <w:pPr>
              <w:jc w:val="center"/>
              <w:rPr>
                <w:rFonts w:hint="eastAsia" w:ascii="仿宋" w:hAnsi="仿宋" w:eastAsia="仿宋" w:cs="仿宋"/>
                <w:color w:val="auto"/>
                <w:sz w:val="24"/>
                <w:szCs w:val="24"/>
                <w:highlight w:val="none"/>
                <w:vertAlign w:val="baseline"/>
                <w:lang w:val="en-US" w:eastAsia="zh-CN"/>
              </w:rPr>
            </w:pPr>
          </w:p>
        </w:tc>
        <w:tc>
          <w:tcPr>
            <w:tcW w:w="1176" w:type="dxa"/>
            <w:vMerge w:val="continue"/>
            <w:tcBorders>
              <w:left w:val="single" w:color="000000" w:sz="4" w:space="0"/>
              <w:bottom w:val="single" w:color="000000" w:sz="4" w:space="0"/>
              <w:right w:val="single" w:color="000000" w:sz="4" w:space="0"/>
            </w:tcBorders>
            <w:noWrap w:val="0"/>
            <w:vAlign w:val="center"/>
          </w:tcPr>
          <w:p w14:paraId="2E423B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272" w:type="dxa"/>
            <w:vMerge w:val="continue"/>
            <w:tcBorders>
              <w:left w:val="single" w:color="000000" w:sz="4" w:space="0"/>
              <w:bottom w:val="single" w:color="000000" w:sz="4" w:space="0"/>
              <w:right w:val="single" w:color="000000" w:sz="4" w:space="0"/>
            </w:tcBorders>
            <w:noWrap w:val="0"/>
            <w:vAlign w:val="center"/>
          </w:tcPr>
          <w:p w14:paraId="4EB5D1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2C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60" w:type="dxa"/>
            <w:vMerge w:val="restart"/>
            <w:tcBorders>
              <w:top w:val="single" w:color="000000" w:sz="4" w:space="0"/>
              <w:left w:val="single" w:color="000000" w:sz="4" w:space="0"/>
              <w:right w:val="single" w:color="000000" w:sz="4" w:space="0"/>
            </w:tcBorders>
            <w:noWrap w:val="0"/>
            <w:vAlign w:val="center"/>
          </w:tcPr>
          <w:p w14:paraId="279D107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总价</w:t>
            </w:r>
          </w:p>
        </w:tc>
        <w:tc>
          <w:tcPr>
            <w:tcW w:w="5176" w:type="dxa"/>
            <w:gridSpan w:val="5"/>
            <w:vMerge w:val="restart"/>
            <w:tcBorders>
              <w:top w:val="single" w:color="000000" w:sz="4" w:space="0"/>
              <w:left w:val="single" w:color="000000" w:sz="4" w:space="0"/>
              <w:right w:val="single" w:color="000000" w:sz="4" w:space="0"/>
            </w:tcBorders>
            <w:noWrap w:val="0"/>
            <w:vAlign w:val="center"/>
          </w:tcPr>
          <w:p w14:paraId="393D46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星柯光电双回路110kV电力接入工程涉路和涉航安评采购项目</w:t>
            </w:r>
          </w:p>
        </w:tc>
        <w:tc>
          <w:tcPr>
            <w:tcW w:w="3796" w:type="dxa"/>
            <w:gridSpan w:val="4"/>
            <w:tcBorders>
              <w:top w:val="single" w:color="000000" w:sz="4" w:space="0"/>
              <w:left w:val="single" w:color="000000" w:sz="4" w:space="0"/>
              <w:bottom w:val="single" w:color="000000" w:sz="4" w:space="0"/>
              <w:right w:val="single" w:color="000000" w:sz="4" w:space="0"/>
            </w:tcBorders>
            <w:noWrap w:val="0"/>
            <w:vAlign w:val="center"/>
          </w:tcPr>
          <w:p w14:paraId="167B63CF">
            <w:pPr>
              <w:jc w:val="both"/>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lang w:val="en-US" w:eastAsia="zh-CN"/>
              </w:rPr>
              <w:t xml:space="preserve">               元</w:t>
            </w:r>
          </w:p>
        </w:tc>
      </w:tr>
      <w:tr w14:paraId="752D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60" w:type="dxa"/>
            <w:vMerge w:val="continue"/>
            <w:tcBorders>
              <w:left w:val="single" w:color="000000" w:sz="4" w:space="0"/>
              <w:bottom w:val="single" w:color="000000" w:sz="4" w:space="0"/>
              <w:right w:val="single" w:color="000000" w:sz="4" w:space="0"/>
            </w:tcBorders>
            <w:noWrap w:val="0"/>
            <w:vAlign w:val="center"/>
          </w:tcPr>
          <w:p w14:paraId="73CA71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5176" w:type="dxa"/>
            <w:gridSpan w:val="5"/>
            <w:vMerge w:val="continue"/>
            <w:tcBorders>
              <w:left w:val="single" w:color="000000" w:sz="4" w:space="0"/>
              <w:bottom w:val="single" w:color="000000" w:sz="4" w:space="0"/>
              <w:right w:val="single" w:color="000000" w:sz="4" w:space="0"/>
            </w:tcBorders>
            <w:noWrap w:val="0"/>
            <w:vAlign w:val="center"/>
          </w:tcPr>
          <w:p w14:paraId="24A24A86">
            <w:pPr>
              <w:jc w:val="both"/>
              <w:rPr>
                <w:rFonts w:hint="eastAsia" w:ascii="仿宋" w:hAnsi="仿宋" w:eastAsia="仿宋" w:cs="仿宋"/>
                <w:color w:val="auto"/>
                <w:sz w:val="24"/>
                <w:szCs w:val="24"/>
                <w:highlight w:val="none"/>
              </w:rPr>
            </w:pPr>
          </w:p>
        </w:tc>
        <w:tc>
          <w:tcPr>
            <w:tcW w:w="3796" w:type="dxa"/>
            <w:gridSpan w:val="4"/>
            <w:tcBorders>
              <w:top w:val="single" w:color="000000" w:sz="4" w:space="0"/>
              <w:left w:val="single" w:color="000000" w:sz="4" w:space="0"/>
              <w:bottom w:val="single" w:color="000000" w:sz="4" w:space="0"/>
              <w:right w:val="single" w:color="000000" w:sz="4" w:space="0"/>
            </w:tcBorders>
            <w:noWrap w:val="0"/>
            <w:vAlign w:val="center"/>
          </w:tcPr>
          <w:p w14:paraId="58514A2D">
            <w:pPr>
              <w:jc w:val="both"/>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val="en-US" w:eastAsia="zh-CN"/>
              </w:rPr>
              <w:t xml:space="preserve">               元</w:t>
            </w:r>
          </w:p>
        </w:tc>
      </w:tr>
    </w:tbl>
    <w:p w14:paraId="026BACF7">
      <w:pPr>
        <w:snapToGrid w:val="0"/>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ED06E5C">
      <w:pPr>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w:t>
      </w:r>
      <w:r>
        <w:rPr>
          <w:rFonts w:hint="eastAsia" w:ascii="仿宋" w:hAnsi="仿宋" w:eastAsia="仿宋" w:cs="仿宋"/>
          <w:color w:val="auto"/>
          <w:sz w:val="24"/>
          <w:highlight w:val="none"/>
        </w:rPr>
        <w:t>改，如无对应内容，则填写：“无或/”。</w:t>
      </w:r>
    </w:p>
    <w:p w14:paraId="3D7C1900">
      <w:pPr>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8"/>
          <w:highlight w:val="none"/>
          <w:lang w:val="en-US" w:eastAsia="zh-CN"/>
        </w:rPr>
        <w:t>本次项目的投标单价为综合单价，应包括为本工程安评服务内容可能发生的各项费用，如人工、材料、分析、评估、评审会务（包含专家评审费用）、出具报告、管理、保险、税费及不可预见费用等，即完成本项目的全部费用</w:t>
      </w:r>
      <w:r>
        <w:rPr>
          <w:rFonts w:hint="eastAsia" w:ascii="仿宋" w:hAnsi="仿宋" w:eastAsia="仿宋" w:cs="仿宋"/>
          <w:color w:val="auto"/>
          <w:kern w:val="0"/>
          <w:sz w:val="24"/>
          <w:highlight w:val="none"/>
          <w:lang w:val="zh-CN"/>
        </w:rPr>
        <w:t>。</w:t>
      </w:r>
    </w:p>
    <w:p w14:paraId="261B7185">
      <w:pPr>
        <w:snapToGrid w:val="0"/>
        <w:ind w:left="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、有关本项目实施所涉及的一切费用（详见前附表）均计入报价。</w:t>
      </w:r>
    </w:p>
    <w:p w14:paraId="710AC476">
      <w:pPr>
        <w:snapToGrid w:val="0"/>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7787D421">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、各投标单位总报价必须填写，否则可视报价无效。</w:t>
      </w:r>
      <w:r>
        <w:rPr>
          <w:rFonts w:hint="eastAsia" w:ascii="仿宋" w:hAnsi="仿宋" w:eastAsia="仿宋" w:cs="仿宋"/>
          <w:color w:val="auto"/>
          <w:kern w:val="0"/>
          <w:sz w:val="24"/>
          <w:highlight w:val="none"/>
          <w:lang w:val="en-US" w:eastAsia="zh-CN"/>
        </w:rPr>
        <w:t>投标单价及</w:t>
      </w:r>
      <w:r>
        <w:rPr>
          <w:rFonts w:hint="eastAsia" w:ascii="仿宋" w:hAnsi="仿宋" w:eastAsia="仿宋" w:cs="仿宋"/>
          <w:color w:val="auto"/>
          <w:kern w:val="0"/>
          <w:sz w:val="24"/>
          <w:highlight w:val="none"/>
        </w:rPr>
        <w:t>总价报价</w:t>
      </w:r>
      <w:r>
        <w:rPr>
          <w:rFonts w:hint="eastAsia" w:ascii="仿宋" w:hAnsi="仿宋" w:eastAsia="仿宋" w:cs="仿宋"/>
          <w:color w:val="auto"/>
          <w:kern w:val="0"/>
          <w:sz w:val="24"/>
          <w:highlight w:val="none"/>
          <w:lang w:val="en-US" w:eastAsia="zh-CN"/>
        </w:rPr>
        <w:t>均精确到元</w:t>
      </w:r>
      <w:r>
        <w:rPr>
          <w:rFonts w:hint="eastAsia" w:ascii="仿宋" w:hAnsi="仿宋" w:eastAsia="仿宋" w:cs="仿宋"/>
          <w:color w:val="auto"/>
          <w:kern w:val="0"/>
          <w:sz w:val="24"/>
          <w:highlight w:val="none"/>
        </w:rPr>
        <w:t>。</w:t>
      </w:r>
    </w:p>
    <w:p w14:paraId="72BDFCF9">
      <w:pPr>
        <w:spacing w:line="360" w:lineRule="auto"/>
        <w:ind w:right="960"/>
        <w:jc w:val="right"/>
        <w:rPr>
          <w:rFonts w:hint="eastAsia" w:ascii="仿宋" w:hAnsi="仿宋" w:eastAsia="仿宋" w:cs="仿宋"/>
          <w:color w:val="auto"/>
          <w:sz w:val="24"/>
          <w:highlight w:val="none"/>
        </w:rPr>
      </w:pPr>
    </w:p>
    <w:p w14:paraId="026166D3">
      <w:pPr>
        <w:spacing w:line="360" w:lineRule="auto"/>
        <w:ind w:right="9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                                                                                   日期：  年   月   日</w:t>
      </w:r>
      <w:bookmarkEnd w:id="446"/>
    </w:p>
    <w:p w14:paraId="169EAA82">
      <w:pPr>
        <w:spacing w:line="360" w:lineRule="auto"/>
        <w:ind w:right="960" w:firstLine="10440" w:firstLineChars="4350"/>
        <w:jc w:val="right"/>
        <w:rPr>
          <w:rFonts w:hint="eastAsia" w:ascii="仿宋" w:hAnsi="仿宋" w:eastAsia="仿宋" w:cs="仿宋"/>
          <w:color w:val="auto"/>
          <w:sz w:val="24"/>
          <w:highlight w:val="none"/>
        </w:rPr>
      </w:pPr>
    </w:p>
    <w:p w14:paraId="16D59724">
      <w:pPr>
        <w:spacing w:line="360" w:lineRule="auto"/>
        <w:ind w:right="960" w:firstLine="10440" w:firstLineChars="4350"/>
        <w:jc w:val="right"/>
        <w:rPr>
          <w:rFonts w:hint="eastAsia" w:ascii="仿宋" w:hAnsi="仿宋" w:eastAsia="仿宋" w:cs="仿宋"/>
          <w:color w:val="auto"/>
          <w:sz w:val="24"/>
          <w:highlight w:val="none"/>
        </w:rPr>
      </w:pPr>
    </w:p>
    <w:p w14:paraId="07EDE396">
      <w:pPr>
        <w:spacing w:line="360" w:lineRule="auto"/>
        <w:jc w:val="left"/>
        <w:rPr>
          <w:rFonts w:hint="eastAsia" w:ascii="仿宋" w:hAnsi="仿宋" w:eastAsia="仿宋" w:cs="仿宋"/>
          <w:b/>
          <w:color w:val="auto"/>
          <w:spacing w:val="6"/>
          <w:sz w:val="32"/>
          <w:szCs w:val="32"/>
          <w:highlight w:val="none"/>
        </w:rPr>
      </w:pPr>
    </w:p>
    <w:p w14:paraId="1E616EFC">
      <w:pPr>
        <w:spacing w:line="360" w:lineRule="auto"/>
        <w:jc w:val="left"/>
        <w:rPr>
          <w:rFonts w:hint="eastAsia" w:ascii="仿宋" w:hAnsi="仿宋" w:eastAsia="仿宋" w:cs="仿宋"/>
          <w:b/>
          <w:color w:val="auto"/>
          <w:spacing w:val="6"/>
          <w:sz w:val="32"/>
          <w:szCs w:val="32"/>
          <w:highlight w:val="none"/>
        </w:rPr>
      </w:pPr>
    </w:p>
    <w:p w14:paraId="5CEF462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389AC1E">
      <w:pPr>
        <w:spacing w:line="360" w:lineRule="auto"/>
        <w:jc w:val="left"/>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2D650F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8A3973E">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712F1C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single"/>
        </w:rPr>
        <w:t>_________________________</w:t>
      </w:r>
    </w:p>
    <w:p w14:paraId="5A5670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____________________________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___________</w:t>
      </w:r>
    </w:p>
    <w:p w14:paraId="548215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_____________________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w:t>
      </w:r>
    </w:p>
    <w:p w14:paraId="7095CEA4">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____________________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w:t>
      </w:r>
    </w:p>
    <w:p w14:paraId="750BAE8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____________________________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___________</w:t>
      </w:r>
    </w:p>
    <w:p w14:paraId="7EFE300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CE36BDD">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_________________________________________</w:t>
      </w:r>
    </w:p>
    <w:p w14:paraId="69F0692E">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__________________</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rPr>
        <w:t>_____________</w:t>
      </w:r>
    </w:p>
    <w:p w14:paraId="75B9E18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____________________________________________</w:t>
      </w:r>
    </w:p>
    <w:p w14:paraId="02E9D85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_______________</w:t>
      </w:r>
    </w:p>
    <w:p w14:paraId="4F04A1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6888632">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_________________________________________________________________</w:t>
      </w:r>
    </w:p>
    <w:p w14:paraId="3A01705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__________________________________________________________________</w:t>
      </w:r>
    </w:p>
    <w:p w14:paraId="018C222F">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___________________________________________________________________________</w:t>
      </w:r>
    </w:p>
    <w:p w14:paraId="5B8C888E">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__________________________________________________________________</w:t>
      </w:r>
    </w:p>
    <w:p w14:paraId="1777F2F5">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___________________________________________________________________________</w:t>
      </w:r>
    </w:p>
    <w:p w14:paraId="41F791F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281CB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0DE4A3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D138053">
      <w:pPr>
        <w:snapToGrid w:val="0"/>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请求：</w:t>
      </w:r>
      <w:r>
        <w:rPr>
          <w:rFonts w:hint="eastAsia" w:ascii="仿宋" w:hAnsi="仿宋" w:eastAsia="仿宋" w:cs="仿宋"/>
          <w:bCs/>
          <w:color w:val="auto"/>
          <w:sz w:val="24"/>
          <w:highlight w:val="none"/>
          <w:u w:val="words"/>
        </w:rPr>
        <w:t>______________________________________________________________________</w:t>
      </w:r>
    </w:p>
    <w:p w14:paraId="20877C63">
      <w:pPr>
        <w:spacing w:line="360" w:lineRule="auto"/>
        <w:rPr>
          <w:rFonts w:hint="eastAsia" w:ascii="仿宋" w:hAnsi="仿宋" w:eastAsia="仿宋" w:cs="仿宋"/>
          <w:color w:val="auto"/>
          <w:sz w:val="24"/>
          <w:highlight w:val="none"/>
        </w:rPr>
      </w:pPr>
    </w:p>
    <w:p w14:paraId="175CDF83">
      <w:pPr>
        <w:spacing w:line="360" w:lineRule="auto"/>
        <w:rPr>
          <w:rFonts w:hint="eastAsia" w:ascii="仿宋" w:hAnsi="仿宋" w:eastAsia="仿宋" w:cs="仿宋"/>
          <w:color w:val="auto"/>
          <w:sz w:val="24"/>
          <w:highlight w:val="none"/>
        </w:rPr>
      </w:pPr>
    </w:p>
    <w:p w14:paraId="0E48EB08">
      <w:pPr>
        <w:spacing w:line="360" w:lineRule="auto"/>
        <w:rPr>
          <w:rFonts w:hint="eastAsia" w:ascii="仿宋" w:hAnsi="仿宋" w:eastAsia="仿宋" w:cs="仿宋"/>
          <w:color w:val="auto"/>
          <w:sz w:val="24"/>
          <w:highlight w:val="none"/>
        </w:rPr>
      </w:pPr>
    </w:p>
    <w:p w14:paraId="09B4D7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67F0D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B4D3507">
      <w:pPr>
        <w:spacing w:line="360" w:lineRule="auto"/>
        <w:rPr>
          <w:rFonts w:hint="eastAsia" w:ascii="仿宋" w:hAnsi="仿宋" w:eastAsia="仿宋" w:cs="仿宋"/>
          <w:b/>
          <w:color w:val="auto"/>
          <w:sz w:val="24"/>
          <w:highlight w:val="none"/>
        </w:rPr>
      </w:pPr>
    </w:p>
    <w:p w14:paraId="60717E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46D84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99684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6183B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38ED2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A1F9E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F12423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628A3C">
      <w:pPr>
        <w:widowControl/>
        <w:spacing w:line="360" w:lineRule="auto"/>
        <w:ind w:firstLine="600" w:firstLineChars="200"/>
        <w:jc w:val="left"/>
        <w:rPr>
          <w:rFonts w:hint="eastAsia" w:ascii="仿宋" w:hAnsi="仿宋" w:eastAsia="仿宋" w:cs="仿宋"/>
          <w:color w:val="auto"/>
          <w:sz w:val="30"/>
          <w:szCs w:val="30"/>
          <w:highlight w:val="none"/>
        </w:rPr>
      </w:pPr>
    </w:p>
    <w:p w14:paraId="6436C75F">
      <w:pPr>
        <w:spacing w:line="360" w:lineRule="auto"/>
        <w:jc w:val="center"/>
        <w:rPr>
          <w:rFonts w:hint="eastAsia" w:ascii="仿宋" w:hAnsi="仿宋" w:eastAsia="仿宋" w:cs="仿宋"/>
          <w:b/>
          <w:color w:val="auto"/>
          <w:spacing w:val="6"/>
          <w:sz w:val="32"/>
          <w:szCs w:val="32"/>
          <w:highlight w:val="none"/>
        </w:rPr>
      </w:pPr>
    </w:p>
    <w:p w14:paraId="50E51C07">
      <w:pPr>
        <w:spacing w:line="360" w:lineRule="auto"/>
        <w:jc w:val="center"/>
        <w:rPr>
          <w:rFonts w:hint="eastAsia" w:ascii="仿宋" w:hAnsi="仿宋" w:eastAsia="仿宋" w:cs="仿宋"/>
          <w:b/>
          <w:color w:val="auto"/>
          <w:spacing w:val="6"/>
          <w:sz w:val="32"/>
          <w:szCs w:val="32"/>
          <w:highlight w:val="none"/>
        </w:rPr>
      </w:pPr>
    </w:p>
    <w:p w14:paraId="17E5CA68">
      <w:pPr>
        <w:spacing w:line="360" w:lineRule="auto"/>
        <w:jc w:val="center"/>
        <w:rPr>
          <w:rFonts w:hint="eastAsia" w:ascii="仿宋" w:hAnsi="仿宋" w:eastAsia="仿宋" w:cs="仿宋"/>
          <w:b/>
          <w:color w:val="auto"/>
          <w:spacing w:val="6"/>
          <w:sz w:val="32"/>
          <w:szCs w:val="32"/>
          <w:highlight w:val="none"/>
        </w:rPr>
      </w:pPr>
    </w:p>
    <w:p w14:paraId="79920BFE">
      <w:pPr>
        <w:spacing w:line="360" w:lineRule="auto"/>
        <w:jc w:val="center"/>
        <w:rPr>
          <w:rFonts w:hint="eastAsia" w:ascii="仿宋" w:hAnsi="仿宋" w:eastAsia="仿宋" w:cs="仿宋"/>
          <w:b/>
          <w:color w:val="auto"/>
          <w:spacing w:val="6"/>
          <w:sz w:val="32"/>
          <w:szCs w:val="32"/>
          <w:highlight w:val="none"/>
        </w:rPr>
      </w:pPr>
    </w:p>
    <w:p w14:paraId="285FC9DA">
      <w:pPr>
        <w:spacing w:line="360" w:lineRule="auto"/>
        <w:jc w:val="center"/>
        <w:rPr>
          <w:rFonts w:hint="eastAsia" w:ascii="仿宋" w:hAnsi="仿宋" w:eastAsia="仿宋" w:cs="仿宋"/>
          <w:b/>
          <w:color w:val="auto"/>
          <w:spacing w:val="6"/>
          <w:sz w:val="32"/>
          <w:szCs w:val="32"/>
          <w:highlight w:val="none"/>
        </w:rPr>
      </w:pPr>
    </w:p>
    <w:p w14:paraId="1CBC30BB">
      <w:pPr>
        <w:spacing w:line="360" w:lineRule="auto"/>
        <w:jc w:val="center"/>
        <w:rPr>
          <w:rFonts w:hint="eastAsia" w:ascii="仿宋" w:hAnsi="仿宋" w:eastAsia="仿宋" w:cs="仿宋"/>
          <w:b/>
          <w:color w:val="auto"/>
          <w:spacing w:val="6"/>
          <w:sz w:val="32"/>
          <w:szCs w:val="32"/>
          <w:highlight w:val="none"/>
        </w:rPr>
      </w:pPr>
    </w:p>
    <w:p w14:paraId="2B529351">
      <w:pPr>
        <w:spacing w:line="360" w:lineRule="auto"/>
        <w:jc w:val="center"/>
        <w:rPr>
          <w:rFonts w:hint="eastAsia" w:ascii="仿宋" w:hAnsi="仿宋" w:eastAsia="仿宋" w:cs="仿宋"/>
          <w:b/>
          <w:color w:val="auto"/>
          <w:spacing w:val="6"/>
          <w:sz w:val="32"/>
          <w:szCs w:val="32"/>
          <w:highlight w:val="none"/>
        </w:rPr>
      </w:pPr>
    </w:p>
    <w:p w14:paraId="4382D775">
      <w:pPr>
        <w:spacing w:line="360" w:lineRule="auto"/>
        <w:jc w:val="center"/>
        <w:rPr>
          <w:rFonts w:hint="eastAsia" w:ascii="仿宋" w:hAnsi="仿宋" w:eastAsia="仿宋" w:cs="仿宋"/>
          <w:b/>
          <w:color w:val="auto"/>
          <w:spacing w:val="6"/>
          <w:sz w:val="32"/>
          <w:szCs w:val="32"/>
          <w:highlight w:val="none"/>
        </w:rPr>
      </w:pPr>
    </w:p>
    <w:p w14:paraId="04F5371A">
      <w:pPr>
        <w:spacing w:line="360" w:lineRule="auto"/>
        <w:jc w:val="center"/>
        <w:rPr>
          <w:rFonts w:hint="eastAsia" w:ascii="仿宋" w:hAnsi="仿宋" w:eastAsia="仿宋" w:cs="仿宋"/>
          <w:b/>
          <w:color w:val="auto"/>
          <w:spacing w:val="6"/>
          <w:sz w:val="32"/>
          <w:szCs w:val="32"/>
          <w:highlight w:val="none"/>
        </w:rPr>
      </w:pPr>
    </w:p>
    <w:p w14:paraId="6CF02340">
      <w:pPr>
        <w:spacing w:line="360" w:lineRule="auto"/>
        <w:jc w:val="center"/>
        <w:rPr>
          <w:rFonts w:hint="eastAsia" w:ascii="仿宋" w:hAnsi="仿宋" w:eastAsia="仿宋" w:cs="仿宋"/>
          <w:b/>
          <w:color w:val="auto"/>
          <w:spacing w:val="6"/>
          <w:sz w:val="32"/>
          <w:szCs w:val="32"/>
          <w:highlight w:val="none"/>
        </w:rPr>
      </w:pPr>
    </w:p>
    <w:p w14:paraId="28E585DF">
      <w:pPr>
        <w:spacing w:line="360" w:lineRule="auto"/>
        <w:jc w:val="center"/>
        <w:rPr>
          <w:rFonts w:hint="eastAsia" w:ascii="仿宋" w:hAnsi="仿宋" w:eastAsia="仿宋" w:cs="仿宋"/>
          <w:b/>
          <w:color w:val="auto"/>
          <w:spacing w:val="6"/>
          <w:sz w:val="32"/>
          <w:szCs w:val="32"/>
          <w:highlight w:val="none"/>
        </w:rPr>
      </w:pPr>
    </w:p>
    <w:p w14:paraId="1EDAA8A5">
      <w:pPr>
        <w:spacing w:line="360" w:lineRule="auto"/>
        <w:jc w:val="center"/>
        <w:rPr>
          <w:rFonts w:hint="eastAsia" w:ascii="仿宋" w:hAnsi="仿宋" w:eastAsia="仿宋" w:cs="仿宋"/>
          <w:b/>
          <w:color w:val="auto"/>
          <w:spacing w:val="6"/>
          <w:sz w:val="32"/>
          <w:szCs w:val="32"/>
          <w:highlight w:val="none"/>
        </w:rPr>
      </w:pPr>
    </w:p>
    <w:p w14:paraId="70733C42">
      <w:pPr>
        <w:spacing w:line="360" w:lineRule="auto"/>
        <w:jc w:val="left"/>
        <w:rPr>
          <w:rFonts w:hint="eastAsia" w:ascii="仿宋" w:hAnsi="仿宋" w:eastAsia="仿宋" w:cs="仿宋"/>
          <w:b/>
          <w:color w:val="auto"/>
          <w:spacing w:val="6"/>
          <w:sz w:val="32"/>
          <w:szCs w:val="32"/>
          <w:highlight w:val="none"/>
        </w:rPr>
      </w:pPr>
    </w:p>
    <w:p w14:paraId="35C82B8C">
      <w:pPr>
        <w:spacing w:line="360" w:lineRule="auto"/>
        <w:jc w:val="left"/>
        <w:rPr>
          <w:rFonts w:hint="eastAsia" w:ascii="仿宋" w:hAnsi="仿宋" w:eastAsia="仿宋" w:cs="仿宋"/>
          <w:b/>
          <w:color w:val="auto"/>
          <w:spacing w:val="6"/>
          <w:sz w:val="32"/>
          <w:szCs w:val="32"/>
          <w:highlight w:val="none"/>
        </w:rPr>
      </w:pPr>
    </w:p>
    <w:p w14:paraId="35DBC843">
      <w:pPr>
        <w:spacing w:line="360" w:lineRule="auto"/>
        <w:jc w:val="left"/>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CFD3271">
      <w:pPr>
        <w:spacing w:line="360" w:lineRule="auto"/>
        <w:jc w:val="center"/>
        <w:rPr>
          <w:rFonts w:hint="eastAsia" w:ascii="仿宋" w:hAnsi="仿宋" w:eastAsia="仿宋" w:cs="仿宋"/>
          <w:b/>
          <w:color w:val="auto"/>
          <w:sz w:val="24"/>
          <w:highlight w:val="none"/>
        </w:rPr>
      </w:pPr>
    </w:p>
    <w:p w14:paraId="0F3D071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C753F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BB975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words"/>
        </w:rPr>
        <w:t>__________________________________</w:t>
      </w:r>
    </w:p>
    <w:p w14:paraId="50312F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23362CF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w:t>
      </w:r>
    </w:p>
    <w:p w14:paraId="69868573">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____________</w:t>
      </w:r>
    </w:p>
    <w:p w14:paraId="24063D85">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47507A8D">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words"/>
        </w:rPr>
        <w:t>_______________________________</w:t>
      </w:r>
    </w:p>
    <w:p w14:paraId="3FB170B5">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0C1892A3">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____________</w:t>
      </w:r>
    </w:p>
    <w:p w14:paraId="20897C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A4E4F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B606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words"/>
        </w:rPr>
        <w:t>__________________________________</w:t>
      </w:r>
    </w:p>
    <w:p w14:paraId="46C850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2D64FC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____________</w:t>
      </w:r>
    </w:p>
    <w:p w14:paraId="68C7CB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13F2E00">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words"/>
        </w:rPr>
        <w:t>__________________________________</w:t>
      </w:r>
    </w:p>
    <w:p w14:paraId="6DA5AA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words"/>
        </w:rPr>
        <w:t>_____________________</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words"/>
        </w:rPr>
        <w:t>______________</w:t>
      </w:r>
    </w:p>
    <w:p w14:paraId="33F9E3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words"/>
        </w:rPr>
        <w:t>__________________________________</w:t>
      </w:r>
    </w:p>
    <w:p w14:paraId="7C4422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words"/>
        </w:rPr>
        <w:t>__________________________________</w:t>
      </w:r>
    </w:p>
    <w:p w14:paraId="7969F8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采购文件公告:是/否    公告期限：</w:t>
      </w:r>
      <w:r>
        <w:rPr>
          <w:rFonts w:hint="eastAsia" w:ascii="仿宋" w:hAnsi="仿宋" w:eastAsia="仿宋" w:cs="仿宋"/>
          <w:color w:val="auto"/>
          <w:sz w:val="24"/>
          <w:highlight w:val="none"/>
          <w:u w:val="words"/>
        </w:rPr>
        <w:t>_________________</w:t>
      </w:r>
    </w:p>
    <w:p w14:paraId="57B776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采购结果公告:是/否    公告期限：</w:t>
      </w:r>
      <w:r>
        <w:rPr>
          <w:rFonts w:hint="eastAsia" w:ascii="仿宋" w:hAnsi="仿宋" w:eastAsia="仿宋" w:cs="仿宋"/>
          <w:color w:val="auto"/>
          <w:sz w:val="24"/>
          <w:highlight w:val="none"/>
          <w:u w:val="words"/>
        </w:rPr>
        <w:t>_________________</w:t>
      </w:r>
    </w:p>
    <w:p w14:paraId="06DE50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67C291E">
      <w:pPr>
        <w:spacing w:line="360" w:lineRule="auto"/>
        <w:ind w:firstLine="480" w:firstLineChars="200"/>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words"/>
        </w:rPr>
        <w:t>_____</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words"/>
        </w:rPr>
        <w:t>__________________</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words"/>
        </w:rPr>
        <w:t>__________________________________________________________________________</w:t>
      </w:r>
    </w:p>
    <w:p w14:paraId="780105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采购人/代理机构于</w:t>
      </w:r>
      <w:r>
        <w:rPr>
          <w:rFonts w:hint="eastAsia" w:ascii="仿宋" w:hAnsi="仿宋" w:eastAsia="仿宋" w:cs="仿宋"/>
          <w:color w:val="auto"/>
          <w:sz w:val="24"/>
          <w:highlight w:val="none"/>
          <w:u w:val="words"/>
        </w:rPr>
        <w:t>____</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日,就质疑事项作出了答复/没有在法定期限内作出答复。</w:t>
      </w:r>
    </w:p>
    <w:p w14:paraId="409BC4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853BE29">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words"/>
        </w:rPr>
        <w:t>________________________________________________________________</w:t>
      </w:r>
    </w:p>
    <w:p w14:paraId="4FDDB0A3">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words"/>
        </w:rPr>
        <w:t>__________________________________________________________________</w:t>
      </w:r>
    </w:p>
    <w:p w14:paraId="54FBBAA9">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u w:val="words"/>
        </w:rPr>
        <w:t>___________________________________________________________________________</w:t>
      </w:r>
    </w:p>
    <w:p w14:paraId="0DF55308">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words"/>
        </w:rPr>
        <w:t>__________________________________________________________________</w:t>
      </w:r>
    </w:p>
    <w:p w14:paraId="374E7182">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u w:val="words"/>
        </w:rPr>
        <w:t>___________________________________________________________________________</w:t>
      </w:r>
    </w:p>
    <w:p w14:paraId="5BAEE5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73FB8E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5E0A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54EA9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words"/>
        </w:rPr>
        <w:t>______________________________________________________________________</w:t>
      </w:r>
    </w:p>
    <w:p w14:paraId="132C7F81">
      <w:pPr>
        <w:spacing w:line="360" w:lineRule="auto"/>
        <w:rPr>
          <w:rFonts w:hint="eastAsia" w:ascii="仿宋" w:hAnsi="仿宋" w:eastAsia="仿宋" w:cs="仿宋"/>
          <w:color w:val="auto"/>
          <w:sz w:val="24"/>
          <w:highlight w:val="none"/>
          <w:u w:val="single"/>
        </w:rPr>
      </w:pPr>
    </w:p>
    <w:p w14:paraId="207B97F2">
      <w:pPr>
        <w:spacing w:line="360" w:lineRule="auto"/>
        <w:rPr>
          <w:rFonts w:hint="eastAsia" w:ascii="仿宋" w:hAnsi="仿宋" w:eastAsia="仿宋" w:cs="仿宋"/>
          <w:color w:val="auto"/>
          <w:sz w:val="24"/>
          <w:highlight w:val="none"/>
        </w:rPr>
      </w:pPr>
    </w:p>
    <w:p w14:paraId="014E45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D526C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E4FAD0">
      <w:pPr>
        <w:spacing w:line="360" w:lineRule="auto"/>
        <w:rPr>
          <w:rFonts w:hint="eastAsia" w:ascii="仿宋" w:hAnsi="仿宋" w:eastAsia="仿宋" w:cs="仿宋"/>
          <w:b/>
          <w:color w:val="auto"/>
          <w:sz w:val="24"/>
          <w:highlight w:val="none"/>
        </w:rPr>
      </w:pPr>
    </w:p>
    <w:p w14:paraId="7C40F305">
      <w:pPr>
        <w:spacing w:line="360" w:lineRule="auto"/>
        <w:rPr>
          <w:rFonts w:hint="eastAsia" w:ascii="仿宋" w:hAnsi="仿宋" w:eastAsia="仿宋" w:cs="仿宋"/>
          <w:b/>
          <w:color w:val="auto"/>
          <w:sz w:val="24"/>
          <w:highlight w:val="none"/>
        </w:rPr>
      </w:pPr>
    </w:p>
    <w:p w14:paraId="30196F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97B166">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1230D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5036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161B1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9BD46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84B9E7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871549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87B0262">
      <w:pPr>
        <w:spacing w:line="360" w:lineRule="auto"/>
        <w:ind w:right="960" w:firstLine="10440" w:firstLineChars="4350"/>
        <w:jc w:val="right"/>
        <w:rPr>
          <w:rFonts w:hint="eastAsia" w:ascii="仿宋" w:hAnsi="仿宋" w:eastAsia="仿宋" w:cs="仿宋"/>
          <w:color w:val="auto"/>
          <w:sz w:val="24"/>
          <w:highlight w:val="none"/>
        </w:rPr>
      </w:pPr>
    </w:p>
    <w:p w14:paraId="07A0DE21">
      <w:pPr>
        <w:rPr>
          <w:rFonts w:hint="eastAsia" w:ascii="仿宋" w:hAnsi="仿宋" w:eastAsia="仿宋" w:cs="仿宋"/>
          <w:color w:val="auto"/>
          <w:highlight w:val="none"/>
        </w:rPr>
      </w:pPr>
    </w:p>
    <w:sectPr>
      <w:footerReference r:id="rId14" w:type="first"/>
      <w:footerReference r:id="rId12" w:type="default"/>
      <w:footerReference r:id="rId13"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55DD">
    <w:pPr>
      <w:pStyle w:val="1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6001">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0BC82AD8">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2CCA">
    <w:pPr>
      <w:pStyle w:val="12"/>
      <w:jc w:val="cente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EED4">
    <w:pPr>
      <w:pStyle w:val="1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34373A3">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3A33">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2D566ACA">
    <w:pPr>
      <w:pStyle w:val="12"/>
      <w:ind w:right="360"/>
    </w:pPr>
  </w:p>
  <w:p w14:paraId="6E81CD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83BE">
    <w:pPr>
      <w:pStyle w:val="1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1CB4F74B">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E99F">
    <w:pPr>
      <w:pStyle w:val="12"/>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65E7">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26D30FA6">
    <w:pPr>
      <w:pStyle w:val="1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6D1F">
    <w:pPr>
      <w:pStyle w:val="12"/>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47" w:name="_Toc91899912"/>
    <w:bookmarkStart w:id="448" w:name="_Toc131845147"/>
    <w:bookmarkStart w:id="449" w:name="_Toc36110187"/>
    <w:bookmarkStart w:id="450" w:name="_Toc164085800"/>
    <w:r>
      <w:rPr>
        <w:rFonts w:hint="eastAsia" w:ascii="仿宋_GB2312" w:eastAsia="仿宋_GB2312"/>
        <w:kern w:val="0"/>
        <w:szCs w:val="21"/>
      </w:rPr>
      <w:t xml:space="preserve"> 页</w:t>
    </w:r>
    <w:bookmarkEnd w:id="447"/>
    <w:bookmarkEnd w:id="448"/>
    <w:bookmarkEnd w:id="449"/>
    <w:bookmarkEnd w:id="45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1343">
    <w:pPr>
      <w:pStyle w:val="13"/>
      <w:pBdr>
        <w:bottom w:val="single" w:color="auto" w:sz="6" w:space="0"/>
      </w:pBdr>
      <w:tabs>
        <w:tab w:val="center" w:pos="4535"/>
        <w:tab w:val="right" w:pos="9070"/>
        <w:tab w:val="clear" w:pos="4153"/>
        <w:tab w:val="clear" w:pos="8306"/>
      </w:tabs>
      <w:jc w:val="right"/>
      <w:rPr>
        <w:rFonts w:hint="eastAsia"/>
      </w:rPr>
    </w:pPr>
    <w:r>
      <w:rPr>
        <w:rFonts w:hint="eastAsia"/>
        <w:lang w:val="zh-CN"/>
      </w:rPr>
      <w:t>绍兴市柯桥区国有企业采购公开招标文件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0223">
    <w:pPr>
      <w:pStyle w:val="13"/>
      <w:pBdr>
        <w:bottom w:val="single" w:color="auto" w:sz="6" w:space="0"/>
      </w:pBdr>
      <w:tabs>
        <w:tab w:val="center" w:pos="4535"/>
        <w:tab w:val="right" w:pos="9070"/>
        <w:tab w:val="clear" w:pos="4153"/>
        <w:tab w:val="clear" w:pos="8306"/>
      </w:tabs>
      <w:jc w:val="right"/>
      <w:rPr>
        <w:rFonts w:hint="eastAsia"/>
      </w:rPr>
    </w:pPr>
    <w:r>
      <w:rPr>
        <w:rFonts w:hint="eastAsia"/>
        <w:lang w:val="zh-CN"/>
      </w:rPr>
      <w:t>绍兴市柯桥区国有企业采购公开招标文件</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22E1">
    <w:pPr>
      <w:pStyle w:val="13"/>
    </w:pPr>
  </w:p>
  <w:p w14:paraId="4328EF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D8229"/>
    <w:multiLevelType w:val="singleLevel"/>
    <w:tmpl w:val="CDED8229"/>
    <w:lvl w:ilvl="0" w:tentative="0">
      <w:start w:val="5"/>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835D1"/>
    <w:rsid w:val="023D46EC"/>
    <w:rsid w:val="02CB5010"/>
    <w:rsid w:val="04774C18"/>
    <w:rsid w:val="04A071A7"/>
    <w:rsid w:val="06324AB0"/>
    <w:rsid w:val="08082C36"/>
    <w:rsid w:val="082D0147"/>
    <w:rsid w:val="09B039F5"/>
    <w:rsid w:val="0B5B0346"/>
    <w:rsid w:val="0C6D5C85"/>
    <w:rsid w:val="0DB937C0"/>
    <w:rsid w:val="0E0A4A2F"/>
    <w:rsid w:val="0E7D6BBE"/>
    <w:rsid w:val="0FE91A0F"/>
    <w:rsid w:val="10A5627E"/>
    <w:rsid w:val="1124415C"/>
    <w:rsid w:val="12D06EB6"/>
    <w:rsid w:val="17A53E36"/>
    <w:rsid w:val="18843C7C"/>
    <w:rsid w:val="19C2779F"/>
    <w:rsid w:val="1A772992"/>
    <w:rsid w:val="1A7C2391"/>
    <w:rsid w:val="1C9F520D"/>
    <w:rsid w:val="1FEB54DD"/>
    <w:rsid w:val="236D4BB4"/>
    <w:rsid w:val="23D34A58"/>
    <w:rsid w:val="246A53BC"/>
    <w:rsid w:val="28177609"/>
    <w:rsid w:val="2DB651CE"/>
    <w:rsid w:val="2EF835C5"/>
    <w:rsid w:val="336418A9"/>
    <w:rsid w:val="351350AA"/>
    <w:rsid w:val="394A2498"/>
    <w:rsid w:val="3C8446EA"/>
    <w:rsid w:val="3D6A1E78"/>
    <w:rsid w:val="43C17C02"/>
    <w:rsid w:val="44677BB9"/>
    <w:rsid w:val="474F068C"/>
    <w:rsid w:val="48ED3BB0"/>
    <w:rsid w:val="499E4B36"/>
    <w:rsid w:val="4A13423D"/>
    <w:rsid w:val="4CF472C6"/>
    <w:rsid w:val="4DD208BB"/>
    <w:rsid w:val="4E7633EA"/>
    <w:rsid w:val="53F65A75"/>
    <w:rsid w:val="55E0078B"/>
    <w:rsid w:val="55FB2562"/>
    <w:rsid w:val="56D835D1"/>
    <w:rsid w:val="57D3074C"/>
    <w:rsid w:val="5AFA15ED"/>
    <w:rsid w:val="5BA81DE2"/>
    <w:rsid w:val="5E335662"/>
    <w:rsid w:val="62CA322C"/>
    <w:rsid w:val="63454BD2"/>
    <w:rsid w:val="65420B1A"/>
    <w:rsid w:val="6E4A401D"/>
    <w:rsid w:val="726C7FC6"/>
    <w:rsid w:val="757500F4"/>
    <w:rsid w:val="78F03EFB"/>
    <w:rsid w:val="7B0E0467"/>
    <w:rsid w:val="7D1666BD"/>
    <w:rsid w:val="7D4D68A0"/>
    <w:rsid w:val="9C6DB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1"/>
    <w:qFormat/>
    <w:uiPriority w:val="0"/>
    <w:pPr>
      <w:autoSpaceDE w:val="0"/>
      <w:autoSpaceDN w:val="0"/>
      <w:spacing w:line="360" w:lineRule="auto"/>
    </w:pPr>
    <w:rPr>
      <w:rFonts w:ascii="宋体" w:hAnsi="Arial" w:cs="Arial"/>
      <w:sz w:val="24"/>
      <w:szCs w:val="21"/>
      <w:lang w:val="zh-CN"/>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Body Text First Indent 2"/>
    <w:basedOn w:val="8"/>
    <w:qFormat/>
    <w:uiPriority w:val="0"/>
    <w:pPr>
      <w:adjustRightInd/>
      <w:spacing w:after="120" w:afterLines="0" w:line="240" w:lineRule="auto"/>
      <w:ind w:left="420" w:leftChars="200" w:firstLine="210"/>
    </w:pPr>
    <w:rPr>
      <w:sz w:val="21"/>
    </w:rPr>
  </w:style>
  <w:style w:type="paragraph" w:styleId="10">
    <w:name w:val="Plain Text"/>
    <w:basedOn w:val="1"/>
    <w:qFormat/>
    <w:uiPriority w:val="0"/>
    <w:rPr>
      <w:rFonts w:ascii="宋体" w:hAnsi="Courier New" w:cs="Arial"/>
      <w:snapToGrid w:val="0"/>
      <w:szCs w:val="21"/>
    </w:rPr>
  </w:style>
  <w:style w:type="paragraph" w:styleId="11">
    <w:name w:val="endnote text"/>
    <w:basedOn w:val="1"/>
    <w:qFormat/>
    <w:uiPriority w:val="0"/>
    <w:pPr>
      <w:snapToGrid w:val="0"/>
      <w:jc w:val="left"/>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16">
    <w:name w:val="Body Text First Indent"/>
    <w:basedOn w:val="7"/>
    <w:qFormat/>
    <w:uiPriority w:val="0"/>
    <w:pPr>
      <w:ind w:firstLine="420"/>
    </w:pPr>
    <w:rPr>
      <w:rFonts w:hAnsi="Times New Roman" w:cs="Times New Roman"/>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正文2"/>
    <w:basedOn w:val="1"/>
    <w:qFormat/>
    <w:uiPriority w:val="0"/>
    <w:pPr>
      <w:spacing w:before="156" w:beforeLines="0" w:line="360" w:lineRule="auto"/>
      <w:ind w:firstLine="510" w:firstLineChars="200"/>
    </w:pPr>
    <w:rPr>
      <w:sz w:val="24"/>
      <w:szCs w:val="20"/>
    </w:rPr>
  </w:style>
  <w:style w:type="paragraph" w:customStyle="1" w:styleId="23">
    <w:name w:val="List Paragraph"/>
    <w:basedOn w:val="1"/>
    <w:qFormat/>
    <w:uiPriority w:val="0"/>
    <w:pPr>
      <w:adjustRightInd/>
      <w:spacing w:line="360" w:lineRule="auto"/>
      <w:ind w:firstLine="420" w:firstLineChars="200"/>
    </w:pPr>
    <w:rPr>
      <w:rFonts w:ascii="Calibri" w:hAnsi="Calibri"/>
      <w:sz w:val="24"/>
      <w:szCs w:val="22"/>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5">
    <w:name w:val="NormalCharacter"/>
    <w:semiHidden/>
    <w:qFormat/>
    <w:uiPriority w:val="0"/>
    <w:rPr>
      <w:rFonts w:ascii="Arial" w:hAnsi="Arial" w:eastAsia="黑体"/>
      <w:kern w:val="0"/>
      <w:szCs w:val="21"/>
    </w:rPr>
  </w:style>
  <w:style w:type="character" w:customStyle="1" w:styleId="26">
    <w:name w:val="font11"/>
    <w:basedOn w:val="19"/>
    <w:qFormat/>
    <w:uiPriority w:val="0"/>
    <w:rPr>
      <w:rFonts w:hint="eastAsia" w:ascii="仿宋" w:hAnsi="仿宋" w:eastAsia="仿宋" w:cs="仿宋"/>
      <w:color w:val="000000"/>
      <w:sz w:val="22"/>
      <w:szCs w:val="22"/>
      <w:u w:val="none"/>
    </w:rPr>
  </w:style>
  <w:style w:type="paragraph" w:customStyle="1" w:styleId="27">
    <w:name w:val="Table Text"/>
    <w:basedOn w:val="1"/>
    <w:qFormat/>
    <w:uiPriority w:val="0"/>
    <w:pPr>
      <w:widowControl/>
      <w:spacing w:before="60" w:beforeLines="0" w:after="60" w:afterLines="0"/>
      <w:jc w:val="left"/>
    </w:pPr>
    <w:rPr>
      <w:kern w:val="0"/>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24141</Words>
  <Characters>26142</Characters>
  <Lines>0</Lines>
  <Paragraphs>0</Paragraphs>
  <TotalTime>27</TotalTime>
  <ScaleCrop>false</ScaleCrop>
  <LinksUpToDate>false</LinksUpToDate>
  <CharactersWithSpaces>27003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2025-05-15T00:31:00Z</dcterms:created>
  <dc:creator>张凯</dc:creator>
  <cp:lastModifiedBy>WPS_1645192118</cp:lastModifiedBy>
  <dcterms:modified xsi:type="dcterms:W3CDTF">2025-07-18T11:32:59Z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3C4935218FA044569E6A0B8A6D58B25D_13</vt:lpwstr>
  </property>
  <property fmtid="{D5CDD505-2E9C-101B-9397-08002B2CF9AE}" pid="4" name="KSOTemplateDocerSaveRecord">
    <vt:lpwstr>eyJoZGlkIjoiODljYjRmZjliNzI5M2QwZGE4Nzc4ZGUwNmQ4OTlhZmQiLCJ1c2VySWQiOiIxMzMzMDE3MTU0In0=</vt:lpwstr>
  </property>
</Properties>
</file>