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8A995">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p>
    <w:p w14:paraId="3115F4C1">
      <w:pPr>
        <w:pageBreakBefore w:val="0"/>
        <w:kinsoku/>
        <w:wordWrap w:val="0"/>
        <w:overflowPunct/>
        <w:topLinePunct w:val="0"/>
        <w:bidi w:val="0"/>
        <w:adjustRightInd/>
        <w:spacing w:line="360" w:lineRule="auto"/>
        <w:jc w:val="center"/>
        <w:rPr>
          <w:rFonts w:hint="eastAsia" w:ascii="宋体" w:hAnsi="宋体" w:eastAsia="宋体" w:cs="宋体"/>
          <w:b/>
          <w:color w:val="auto"/>
          <w:sz w:val="48"/>
          <w:szCs w:val="48"/>
          <w:highlight w:val="none"/>
        </w:rPr>
      </w:pPr>
    </w:p>
    <w:p w14:paraId="0BCCD746">
      <w:pPr>
        <w:pageBreakBefore w:val="0"/>
        <w:kinsoku/>
        <w:wordWrap w:val="0"/>
        <w:overflowPunct/>
        <w:topLinePunct w:val="0"/>
        <w:bidi w:val="0"/>
        <w:adjustRightInd/>
        <w:spacing w:line="360" w:lineRule="auto"/>
        <w:jc w:val="center"/>
        <w:rPr>
          <w:rFonts w:hint="eastAsia" w:ascii="宋体" w:hAnsi="宋体" w:eastAsia="宋体" w:cs="宋体"/>
          <w:b/>
          <w:color w:val="auto"/>
          <w:sz w:val="44"/>
          <w:szCs w:val="44"/>
          <w:highlight w:val="none"/>
          <w:lang w:eastAsia="zh-CN"/>
        </w:rPr>
      </w:pPr>
      <w:bookmarkStart w:id="0" w:name="OLE_LINK7"/>
      <w:r>
        <w:rPr>
          <w:rFonts w:hint="eastAsia" w:ascii="宋体" w:hAnsi="宋体" w:eastAsia="宋体" w:cs="宋体"/>
          <w:b/>
          <w:color w:val="auto"/>
          <w:sz w:val="44"/>
          <w:szCs w:val="44"/>
          <w:highlight w:val="none"/>
          <w:lang w:eastAsia="zh-CN"/>
        </w:rPr>
        <w:t>建德市乾潭镇安仁社区卫生服务站办公用品</w:t>
      </w:r>
    </w:p>
    <w:p w14:paraId="47A21080">
      <w:pPr>
        <w:pageBreakBefore w:val="0"/>
        <w:kinsoku/>
        <w:wordWrap w:val="0"/>
        <w:overflowPunct/>
        <w:topLinePunct w:val="0"/>
        <w:bidi w:val="0"/>
        <w:adjustRightInd/>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b/>
          <w:color w:val="auto"/>
          <w:sz w:val="44"/>
          <w:szCs w:val="44"/>
          <w:highlight w:val="none"/>
          <w:lang w:eastAsia="zh-CN"/>
        </w:rPr>
        <w:t>采购项目</w:t>
      </w:r>
      <w:r>
        <w:rPr>
          <w:rFonts w:hint="eastAsia" w:ascii="宋体" w:hAnsi="宋体" w:eastAsia="宋体" w:cs="宋体"/>
          <w:color w:val="auto"/>
          <w:sz w:val="40"/>
          <w:szCs w:val="40"/>
          <w:highlight w:val="none"/>
        </w:rPr>
        <w:t xml:space="preserve"> </w:t>
      </w:r>
      <w:bookmarkEnd w:id="0"/>
    </w:p>
    <w:p w14:paraId="41ED6887">
      <w:pPr>
        <w:pageBreakBefore w:val="0"/>
        <w:kinsoku/>
        <w:wordWrap w:val="0"/>
        <w:overflowPunct/>
        <w:topLinePunct w:val="0"/>
        <w:bidi w:val="0"/>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03634861">
      <w:pPr>
        <w:pageBreakBefore w:val="0"/>
        <w:kinsoku/>
        <w:wordWrap w:val="0"/>
        <w:overflowPunct/>
        <w:topLinePunct w:val="0"/>
        <w:bidi w:val="0"/>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eastAsia="zh-CN"/>
        </w:rPr>
        <w:t>非政府采购</w:t>
      </w:r>
      <w:r>
        <w:rPr>
          <w:rFonts w:hint="eastAsia" w:ascii="宋体" w:hAnsi="宋体" w:eastAsia="宋体" w:cs="宋体"/>
          <w:b/>
          <w:color w:val="auto"/>
          <w:sz w:val="36"/>
          <w:szCs w:val="36"/>
          <w:highlight w:val="none"/>
        </w:rPr>
        <w:t>）（电子招投标）</w:t>
      </w:r>
    </w:p>
    <w:p w14:paraId="32B1F1CC">
      <w:pPr>
        <w:pageBreakBefore w:val="0"/>
        <w:kinsoku/>
        <w:wordWrap w:val="0"/>
        <w:overflowPunct/>
        <w:topLinePunct w:val="0"/>
        <w:bidi w:val="0"/>
        <w:snapToGrid w:val="0"/>
        <w:spacing w:line="360" w:lineRule="auto"/>
        <w:jc w:val="center"/>
        <w:rPr>
          <w:rFonts w:hint="eastAsia" w:ascii="宋体" w:hAnsi="宋体" w:eastAsia="宋体" w:cs="宋体"/>
          <w:color w:val="auto"/>
          <w:sz w:val="30"/>
          <w:szCs w:val="30"/>
          <w:highlight w:val="none"/>
        </w:rPr>
      </w:pPr>
    </w:p>
    <w:p w14:paraId="444809B0">
      <w:pPr>
        <w:pageBreakBefore w:val="0"/>
        <w:kinsoku/>
        <w:wordWrap w:val="0"/>
        <w:overflowPunct/>
        <w:topLinePunct w:val="0"/>
        <w:bidi w:val="0"/>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eastAsia="zh-CN"/>
        </w:rPr>
        <w:t>ZJZZCG2025B-013</w:t>
      </w:r>
    </w:p>
    <w:p w14:paraId="55C6EB4D">
      <w:pPr>
        <w:pageBreakBefore w:val="0"/>
        <w:kinsoku/>
        <w:wordWrap w:val="0"/>
        <w:overflowPunct/>
        <w:topLinePunct w:val="0"/>
        <w:bidi w:val="0"/>
        <w:adjustRightInd/>
        <w:spacing w:line="360" w:lineRule="auto"/>
        <w:rPr>
          <w:rFonts w:hint="eastAsia" w:ascii="宋体" w:hAnsi="宋体" w:eastAsia="宋体" w:cs="宋体"/>
          <w:color w:val="auto"/>
          <w:sz w:val="28"/>
          <w:szCs w:val="20"/>
          <w:highlight w:val="none"/>
        </w:rPr>
      </w:pPr>
    </w:p>
    <w:p w14:paraId="09F3401D">
      <w:pPr>
        <w:pageBreakBefore w:val="0"/>
        <w:kinsoku/>
        <w:wordWrap w:val="0"/>
        <w:overflowPunct/>
        <w:topLinePunct w:val="0"/>
        <w:bidi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AEF4DCF">
      <w:pPr>
        <w:pageBreakBefore w:val="0"/>
        <w:kinsoku/>
        <w:wordWrap w:val="0"/>
        <w:overflowPunct/>
        <w:topLinePunct w:val="0"/>
        <w:bidi w:val="0"/>
        <w:spacing w:line="360" w:lineRule="auto"/>
        <w:jc w:val="center"/>
        <w:rPr>
          <w:rFonts w:hint="eastAsia" w:ascii="宋体" w:hAnsi="宋体" w:eastAsia="宋体" w:cs="宋体"/>
          <w:b/>
          <w:color w:val="auto"/>
          <w:sz w:val="44"/>
          <w:szCs w:val="44"/>
          <w:highlight w:val="none"/>
        </w:rPr>
      </w:pPr>
    </w:p>
    <w:p w14:paraId="256B521C">
      <w:pPr>
        <w:pageBreakBefore w:val="0"/>
        <w:kinsoku/>
        <w:wordWrap w:val="0"/>
        <w:overflowPunct/>
        <w:topLinePunct w:val="0"/>
        <w:bidi w:val="0"/>
        <w:spacing w:line="360" w:lineRule="auto"/>
        <w:jc w:val="center"/>
        <w:rPr>
          <w:rFonts w:hint="eastAsia" w:ascii="宋体" w:hAnsi="宋体" w:eastAsia="宋体" w:cs="宋体"/>
          <w:b/>
          <w:color w:val="auto"/>
          <w:sz w:val="44"/>
          <w:szCs w:val="44"/>
          <w:highlight w:val="none"/>
        </w:rPr>
      </w:pPr>
    </w:p>
    <w:p w14:paraId="651EA9F7">
      <w:pPr>
        <w:pageBreakBefore w:val="0"/>
        <w:kinsoku/>
        <w:wordWrap w:val="0"/>
        <w:overflowPunct/>
        <w:topLinePunct w:val="0"/>
        <w:bidi w:val="0"/>
        <w:spacing w:line="360" w:lineRule="auto"/>
        <w:jc w:val="center"/>
        <w:rPr>
          <w:rFonts w:hint="eastAsia" w:ascii="宋体" w:hAnsi="宋体" w:eastAsia="宋体" w:cs="宋体"/>
          <w:b/>
          <w:color w:val="auto"/>
          <w:sz w:val="44"/>
          <w:szCs w:val="44"/>
          <w:highlight w:val="none"/>
        </w:rPr>
      </w:pPr>
    </w:p>
    <w:p w14:paraId="4E81865F">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p w14:paraId="38D4A7C7">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p w14:paraId="635A97EB">
      <w:pPr>
        <w:pageBreakBefore w:val="0"/>
        <w:kinsoku/>
        <w:wordWrap w:val="0"/>
        <w:overflowPunct/>
        <w:topLinePunct w:val="0"/>
        <w:bidi w:val="0"/>
        <w:spacing w:line="360" w:lineRule="auto"/>
        <w:rPr>
          <w:rFonts w:hint="eastAsia" w:ascii="宋体" w:hAnsi="宋体" w:eastAsia="宋体" w:cs="宋体"/>
          <w:color w:val="auto"/>
          <w:sz w:val="32"/>
          <w:szCs w:val="32"/>
          <w:highlight w:val="none"/>
        </w:rPr>
      </w:pPr>
    </w:p>
    <w:p w14:paraId="016F7BB0">
      <w:pPr>
        <w:pageBreakBefore w:val="0"/>
        <w:kinsoku/>
        <w:wordWrap w:val="0"/>
        <w:overflowPunct/>
        <w:topLinePunct w:val="0"/>
        <w:bidi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eastAsia="宋体" w:cs="宋体"/>
          <w:b/>
          <w:color w:val="auto"/>
          <w:sz w:val="32"/>
          <w:szCs w:val="32"/>
          <w:highlight w:val="none"/>
          <w:lang w:eastAsia="zh-CN"/>
        </w:rPr>
        <w:t>建德市乾潭镇安仁村股份经济合作社</w:t>
      </w:r>
    </w:p>
    <w:p w14:paraId="53B3ACD7">
      <w:pPr>
        <w:pageBreakBefore w:val="0"/>
        <w:kinsoku/>
        <w:wordWrap w:val="0"/>
        <w:overflowPunct/>
        <w:topLinePunct w:val="0"/>
        <w:bidi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浙江中正工程项目管理有限公司</w:t>
      </w:r>
    </w:p>
    <w:p w14:paraId="2617832C">
      <w:pPr>
        <w:pageBreakBefore w:val="0"/>
        <w:kinsoku/>
        <w:wordWrap w:val="0"/>
        <w:overflowPunct/>
        <w:topLinePunct w:val="0"/>
        <w:bidi w:val="0"/>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二〇二</w:t>
      </w:r>
      <w:r>
        <w:rPr>
          <w:rFonts w:hint="eastAsia" w:ascii="宋体" w:hAnsi="宋体" w:eastAsia="宋体" w:cs="宋体"/>
          <w:b/>
          <w:bCs w:val="0"/>
          <w:color w:val="auto"/>
          <w:sz w:val="32"/>
          <w:szCs w:val="32"/>
          <w:highlight w:val="none"/>
          <w:lang w:eastAsia="zh-CN"/>
        </w:rPr>
        <w:t>五</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六</w:t>
      </w:r>
      <w:r>
        <w:rPr>
          <w:rFonts w:hint="eastAsia" w:ascii="宋体" w:hAnsi="宋体" w:eastAsia="宋体" w:cs="宋体"/>
          <w:b/>
          <w:bCs w:val="0"/>
          <w:color w:val="auto"/>
          <w:sz w:val="32"/>
          <w:szCs w:val="32"/>
          <w:highlight w:val="none"/>
          <w:lang w:val="en-US" w:eastAsia="zh-CN"/>
        </w:rPr>
        <w:t>月</w:t>
      </w:r>
      <w:r>
        <w:rPr>
          <w:rFonts w:hint="eastAsia" w:ascii="宋体" w:hAnsi="宋体" w:cs="宋体"/>
          <w:b/>
          <w:bCs w:val="0"/>
          <w:color w:val="auto"/>
          <w:sz w:val="32"/>
          <w:szCs w:val="32"/>
          <w:highlight w:val="none"/>
          <w:lang w:val="en-US" w:eastAsia="zh-CN"/>
        </w:rPr>
        <w:t>十九</w:t>
      </w:r>
      <w:r>
        <w:rPr>
          <w:rFonts w:hint="eastAsia" w:ascii="宋体" w:hAnsi="宋体" w:eastAsia="宋体" w:cs="宋体"/>
          <w:b/>
          <w:bCs w:val="0"/>
          <w:color w:val="auto"/>
          <w:sz w:val="32"/>
          <w:szCs w:val="32"/>
          <w:highlight w:val="none"/>
          <w:lang w:val="en-US" w:eastAsia="zh-CN"/>
        </w:rPr>
        <w:t>日</w:t>
      </w:r>
    </w:p>
    <w:p w14:paraId="69728770">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 w:name="_Hlt67893495"/>
      <w:bookmarkEnd w:id="1"/>
    </w:p>
    <w:p w14:paraId="38B92A4F">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p w14:paraId="4EDF9D9C">
      <w:pPr>
        <w:pageBreakBefore w:val="0"/>
        <w:kinsoku/>
        <w:wordWrap w:val="0"/>
        <w:overflowPunct/>
        <w:topLinePunct w:val="0"/>
        <w:bidi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C9490BF">
      <w:pPr>
        <w:pageBreakBefore w:val="0"/>
        <w:kinsoku/>
        <w:wordWrap w:val="0"/>
        <w:overflowPunct/>
        <w:topLinePunct w:val="0"/>
        <w:bidi w:val="0"/>
        <w:spacing w:line="360" w:lineRule="auto"/>
        <w:rPr>
          <w:rFonts w:hint="eastAsia" w:ascii="宋体" w:hAnsi="宋体" w:eastAsia="宋体" w:cs="宋体"/>
          <w:color w:val="auto"/>
          <w:sz w:val="32"/>
          <w:szCs w:val="32"/>
          <w:highlight w:val="none"/>
        </w:rPr>
      </w:pPr>
    </w:p>
    <w:p w14:paraId="2EDDA1EE">
      <w:pPr>
        <w:pageBreakBefore w:val="0"/>
        <w:kinsoku/>
        <w:wordWrap w:val="0"/>
        <w:overflowPunct/>
        <w:topLinePunct w:val="0"/>
        <w:bidi w:val="0"/>
        <w:spacing w:line="360" w:lineRule="auto"/>
        <w:rPr>
          <w:rFonts w:hint="eastAsia" w:ascii="宋体" w:hAnsi="宋体" w:eastAsia="宋体" w:cs="宋体"/>
          <w:color w:val="auto"/>
          <w:sz w:val="32"/>
          <w:szCs w:val="32"/>
          <w:highlight w:val="none"/>
        </w:rPr>
      </w:pPr>
    </w:p>
    <w:p w14:paraId="638AEB9B">
      <w:pPr>
        <w:pageBreakBefore w:val="0"/>
        <w:kinsoku/>
        <w:wordWrap w:val="0"/>
        <w:overflowPunct/>
        <w:topLinePunct w:val="0"/>
        <w:bidi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8E74756">
      <w:pPr>
        <w:pageBreakBefore w:val="0"/>
        <w:kinsoku/>
        <w:wordWrap w:val="0"/>
        <w:overflowPunct/>
        <w:topLinePunct w:val="0"/>
        <w:bidi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2712B7F">
      <w:pPr>
        <w:pageBreakBefore w:val="0"/>
        <w:kinsoku/>
        <w:wordWrap w:val="0"/>
        <w:overflowPunct/>
        <w:topLinePunct w:val="0"/>
        <w:bidi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FD64166">
      <w:pPr>
        <w:pageBreakBefore w:val="0"/>
        <w:kinsoku/>
        <w:wordWrap w:val="0"/>
        <w:overflowPunct/>
        <w:topLinePunct w:val="0"/>
        <w:bidi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D3BBB6B">
      <w:pPr>
        <w:pageBreakBefore w:val="0"/>
        <w:kinsoku/>
        <w:wordWrap w:val="0"/>
        <w:overflowPunct/>
        <w:topLinePunct w:val="0"/>
        <w:bidi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464098C1">
      <w:pPr>
        <w:pageBreakBefore w:val="0"/>
        <w:kinsoku/>
        <w:wordWrap w:val="0"/>
        <w:overflowPunct/>
        <w:topLinePunct w:val="0"/>
        <w:bidi w:val="0"/>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BC728C7">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14:paraId="26987281">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564420E7">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62AE69A2">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7DFDB808">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36440312">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12261994">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6FFB648C">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58BF0F7E">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25BACF04">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71C3C389">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33EC7CC2">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2D79C4F0">
      <w:pPr>
        <w:pageBreakBefore w:val="0"/>
        <w:kinsoku/>
        <w:wordWrap w:val="0"/>
        <w:overflowPunct/>
        <w:topLinePunct w:val="0"/>
        <w:bidi w:val="0"/>
        <w:spacing w:line="360" w:lineRule="auto"/>
        <w:ind w:firstLine="549" w:firstLineChars="229"/>
        <w:rPr>
          <w:rFonts w:hint="eastAsia" w:ascii="宋体" w:hAnsi="宋体" w:eastAsia="宋体" w:cs="宋体"/>
          <w:color w:val="auto"/>
          <w:sz w:val="24"/>
          <w:highlight w:val="none"/>
        </w:rPr>
      </w:pPr>
    </w:p>
    <w:p w14:paraId="2321A236">
      <w:pPr>
        <w:pageBreakBefore w:val="0"/>
        <w:kinsoku/>
        <w:wordWrap w:val="0"/>
        <w:overflowPunct/>
        <w:topLinePunct w:val="0"/>
        <w:bidi w:val="0"/>
        <w:spacing w:line="360" w:lineRule="auto"/>
        <w:rPr>
          <w:rFonts w:hint="eastAsia" w:ascii="宋体" w:hAnsi="宋体" w:eastAsia="宋体" w:cs="宋体"/>
          <w:color w:val="auto"/>
          <w:sz w:val="24"/>
          <w:highlight w:val="none"/>
        </w:rPr>
      </w:pPr>
    </w:p>
    <w:p w14:paraId="56C435B4">
      <w:pPr>
        <w:pageBreakBefore w:val="0"/>
        <w:kinsoku/>
        <w:wordWrap w:val="0"/>
        <w:overflowPunct/>
        <w:topLinePunct w:val="0"/>
        <w:bidi w:val="0"/>
        <w:adjustRightInd/>
        <w:spacing w:line="360" w:lineRule="auto"/>
        <w:jc w:val="center"/>
        <w:outlineLvl w:val="0"/>
        <w:rPr>
          <w:rFonts w:hint="eastAsia" w:ascii="宋体" w:hAnsi="宋体" w:eastAsia="宋体" w:cs="宋体"/>
          <w:b/>
          <w:color w:val="auto"/>
          <w:sz w:val="36"/>
          <w:szCs w:val="20"/>
          <w:highlight w:val="none"/>
        </w:rPr>
      </w:pPr>
      <w:bookmarkStart w:id="4" w:name="第一部分"/>
      <w:r>
        <w:rPr>
          <w:rFonts w:hint="eastAsia" w:ascii="宋体" w:hAnsi="宋体" w:eastAsia="宋体" w:cs="宋体"/>
          <w:b/>
          <w:color w:val="auto"/>
          <w:sz w:val="36"/>
          <w:szCs w:val="36"/>
          <w:highlight w:val="none"/>
        </w:rPr>
        <w:br w:type="page"/>
      </w:r>
      <w:bookmarkEnd w:id="3"/>
      <w:bookmarkEnd w:id="4"/>
      <w:bookmarkStart w:id="5" w:name="_Hlt74728647"/>
      <w:bookmarkEnd w:id="5"/>
      <w:bookmarkStart w:id="6" w:name="_Hlt74729822"/>
      <w:bookmarkEnd w:id="6"/>
      <w:bookmarkStart w:id="7" w:name="_Hlt74649545"/>
      <w:bookmarkEnd w:id="7"/>
      <w:bookmarkStart w:id="8" w:name="_Hlt74707423"/>
      <w:bookmarkEnd w:id="8"/>
      <w:bookmarkStart w:id="9" w:name="_Toc91899871"/>
      <w:bookmarkStart w:id="10" w:name="第二部分"/>
      <w:bookmarkStart w:id="11" w:name="_Toc91899870"/>
      <w:r>
        <w:rPr>
          <w:rFonts w:hint="eastAsia" w:ascii="宋体" w:hAnsi="宋体" w:eastAsia="宋体" w:cs="宋体"/>
          <w:b/>
          <w:color w:val="auto"/>
          <w:sz w:val="36"/>
          <w:szCs w:val="20"/>
          <w:highlight w:val="none"/>
        </w:rPr>
        <w:t>第一部分 招标公告</w:t>
      </w:r>
    </w:p>
    <w:p w14:paraId="5ECA615F">
      <w:pPr>
        <w:pageBreakBefore w:val="0"/>
        <w:pBdr>
          <w:top w:val="single" w:color="auto" w:sz="4" w:space="1"/>
          <w:left w:val="single" w:color="auto" w:sz="4" w:space="4"/>
          <w:bottom w:val="single" w:color="auto" w:sz="4" w:space="2"/>
          <w:right w:val="single" w:color="auto" w:sz="4" w:space="4"/>
        </w:pBdr>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FFC62D4">
      <w:pPr>
        <w:pageBreakBefore w:val="0"/>
        <w:pBdr>
          <w:top w:val="single" w:color="auto" w:sz="4" w:space="1"/>
          <w:left w:val="single" w:color="auto" w:sz="4" w:space="4"/>
          <w:bottom w:val="single" w:color="auto" w:sz="4" w:space="2"/>
          <w:right w:val="single" w:color="auto" w:sz="4" w:space="4"/>
        </w:pBdr>
        <w:kinsoku/>
        <w:wordWrap w:val="0"/>
        <w:overflowPunct/>
        <w:topLinePunct w:val="0"/>
        <w:bidi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建德市乾潭镇安仁社区卫生服务站办公用品采购项目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"https://www.zcygov.cn/）获取（下载）招标文件，并于202%20年%20月%20日%20点%20分00秒"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获取（下载）招标文件，并于</w:t>
      </w:r>
      <w:r>
        <w:rPr>
          <w:rFonts w:hint="eastAsia" w:ascii="宋体" w:hAnsi="宋体" w:eastAsia="宋体" w:cs="宋体"/>
          <w:b/>
          <w:bCs/>
          <w:color w:val="auto"/>
          <w:sz w:val="24"/>
          <w:highlight w:val="none"/>
          <w:lang w:eastAsia="zh-CN"/>
        </w:rPr>
        <w:t>2025年</w:t>
      </w:r>
      <w:r>
        <w:rPr>
          <w:rFonts w:hint="eastAsia" w:ascii="宋体" w:hAnsi="宋体" w:cs="宋体"/>
          <w:b/>
          <w:bCs/>
          <w:color w:val="auto"/>
          <w:sz w:val="24"/>
          <w:highlight w:val="none"/>
          <w:lang w:val="en-US" w:eastAsia="zh-CN"/>
        </w:rPr>
        <w:t>7月10</w:t>
      </w:r>
      <w:r>
        <w:rPr>
          <w:rFonts w:hint="eastAsia" w:ascii="宋体" w:hAnsi="宋体" w:eastAsia="宋体" w:cs="宋体"/>
          <w:b/>
          <w:bCs/>
          <w:color w:val="auto"/>
          <w:sz w:val="24"/>
          <w:highlight w:val="none"/>
          <w:lang w:val="en-US" w:eastAsia="zh-CN"/>
        </w:rPr>
        <w:t>日09</w:t>
      </w:r>
      <w:r>
        <w:rPr>
          <w:rFonts w:hint="eastAsia" w:ascii="宋体" w:hAnsi="宋体" w:eastAsia="宋体" w:cs="宋体"/>
          <w:b/>
          <w:bCs/>
          <w:color w:val="auto"/>
          <w:sz w:val="24"/>
          <w:highlight w:val="none"/>
        </w:rPr>
        <w:t>点</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分00秒</w:t>
      </w:r>
      <w:r>
        <w:rPr>
          <w:rFonts w:hint="eastAsia" w:ascii="宋体" w:hAnsi="宋体" w:eastAsia="宋体" w:cs="宋体"/>
          <w:color w:val="auto"/>
          <w:sz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30A6F59">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8C0660E">
      <w:pPr>
        <w:keepNext w:val="0"/>
        <w:keepLines w:val="0"/>
        <w:pageBreakBefore w:val="0"/>
        <w:kinsoku/>
        <w:wordWrap w:val="0"/>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 xml:space="preserve">ZJZZCG2025B-013 </w:t>
      </w:r>
    </w:p>
    <w:p w14:paraId="3704D928">
      <w:pPr>
        <w:keepNext w:val="0"/>
        <w:keepLines w:val="0"/>
        <w:pageBreakBefore w:val="0"/>
        <w:kinsoku/>
        <w:wordWrap w:val="0"/>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lang w:eastAsia="zh-CN"/>
        </w:rPr>
        <w:t>建德市乾潭镇安仁社区卫生服务站办公用品采购项目</w:t>
      </w:r>
    </w:p>
    <w:p w14:paraId="59A0D7C2">
      <w:pPr>
        <w:keepNext w:val="0"/>
        <w:keepLines w:val="0"/>
        <w:pageBreakBefore w:val="0"/>
        <w:kinsoku/>
        <w:wordWrap w:val="0"/>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 xml:space="preserve">199743.00 </w:t>
      </w:r>
    </w:p>
    <w:p w14:paraId="0C143756">
      <w:pPr>
        <w:keepNext w:val="0"/>
        <w:keepLines w:val="0"/>
        <w:pageBreakBefore w:val="0"/>
        <w:kinsoku/>
        <w:wordWrap w:val="0"/>
        <w:overflowPunct/>
        <w:topLinePunct w:val="0"/>
        <w:autoSpaceDE/>
        <w:autoSpaceDN/>
        <w:bidi w:val="0"/>
        <w:adjustRightInd w:val="0"/>
        <w:spacing w:line="48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lang w:val="en-US" w:eastAsia="zh-CN"/>
        </w:rPr>
        <w:t xml:space="preserve">199743.00 </w:t>
      </w:r>
      <w:r>
        <w:rPr>
          <w:rFonts w:hint="eastAsia" w:ascii="宋体" w:hAnsi="宋体" w:eastAsia="宋体" w:cs="宋体"/>
          <w:b/>
          <w:color w:val="auto"/>
          <w:sz w:val="24"/>
          <w:highlight w:val="none"/>
          <w:lang w:val="en-US" w:eastAsia="zh-CN"/>
        </w:rPr>
        <w:t xml:space="preserve"> </w:t>
      </w:r>
    </w:p>
    <w:p w14:paraId="4CE64905">
      <w:pPr>
        <w:keepNext w:val="0"/>
        <w:keepLines w:val="0"/>
        <w:pageBreakBefore w:val="0"/>
        <w:kinsoku/>
        <w:wordWrap w:val="0"/>
        <w:overflowPunct/>
        <w:topLinePunct w:val="0"/>
        <w:autoSpaceDE/>
        <w:autoSpaceDN/>
        <w:bidi w:val="0"/>
        <w:adjustRightInd w:val="0"/>
        <w:spacing w:line="480" w:lineRule="exact"/>
        <w:ind w:firstLine="463" w:firstLineChars="192"/>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bookmarkStart w:id="12" w:name="OLE_LINK2"/>
      <w:r>
        <w:rPr>
          <w:rFonts w:hint="eastAsia" w:ascii="宋体" w:hAnsi="宋体" w:eastAsia="宋体" w:cs="宋体"/>
          <w:b w:val="0"/>
          <w:bCs/>
          <w:color w:val="auto"/>
          <w:sz w:val="24"/>
          <w:highlight w:val="none"/>
          <w:lang w:eastAsia="zh-CN"/>
        </w:rPr>
        <w:t>建德市乾潭镇安仁社区卫生服务站办公用品采购项目</w:t>
      </w:r>
      <w:r>
        <w:rPr>
          <w:rFonts w:hint="eastAsia" w:ascii="宋体" w:hAnsi="宋体" w:eastAsia="宋体" w:cs="宋体"/>
          <w:color w:val="auto"/>
          <w:sz w:val="24"/>
          <w:szCs w:val="24"/>
          <w:highlight w:val="none"/>
          <w:lang w:eastAsia="zh-CN"/>
        </w:rPr>
        <w:t>设备一批</w:t>
      </w:r>
      <w:bookmarkEnd w:id="1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包设计开发、产品生产供货、运输装卸、安装调试、产品保护、备品备件、税金、培训、保险、验收、售后服务及辅助工作等完成本项目的所有费用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14:paraId="1D5B6912">
      <w:pPr>
        <w:keepNext w:val="0"/>
        <w:keepLines w:val="0"/>
        <w:pageBreakBefore w:val="0"/>
        <w:kinsoku/>
        <w:wordWrap w:val="0"/>
        <w:overflowPunct/>
        <w:topLinePunct w:val="0"/>
        <w:autoSpaceDE/>
        <w:autoSpaceDN/>
        <w:bidi w:val="0"/>
        <w:adjustRightInd w:val="0"/>
        <w:spacing w:line="480" w:lineRule="exact"/>
        <w:ind w:firstLine="463" w:firstLineChars="19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合同履约期限：</w:t>
      </w:r>
      <w:r>
        <w:rPr>
          <w:rFonts w:hint="eastAsia" w:ascii="宋体" w:hAnsi="宋体" w:eastAsia="宋体" w:cs="宋体"/>
          <w:color w:val="auto"/>
          <w:sz w:val="24"/>
          <w:szCs w:val="24"/>
          <w:highlight w:val="none"/>
          <w:lang w:val="en-US" w:eastAsia="zh-CN"/>
        </w:rPr>
        <w:t>中标人在签订合同后，必须在</w:t>
      </w:r>
      <w:r>
        <w:rPr>
          <w:rFonts w:hint="eastAsia" w:ascii="宋体" w:hAnsi="宋体" w:eastAsia="宋体" w:cs="宋体"/>
          <w:color w:val="auto"/>
          <w:sz w:val="24"/>
          <w:szCs w:val="24"/>
          <w:highlight w:val="none"/>
          <w:lang w:val="en-US" w:eastAsia="zh-CN"/>
        </w:rPr>
        <w:t>90日历天</w:t>
      </w:r>
      <w:r>
        <w:rPr>
          <w:rFonts w:hint="eastAsia" w:ascii="宋体" w:hAnsi="宋体" w:eastAsia="宋体" w:cs="宋体"/>
          <w:color w:val="auto"/>
          <w:sz w:val="24"/>
          <w:szCs w:val="24"/>
          <w:highlight w:val="none"/>
          <w:lang w:val="en-US" w:eastAsia="zh-CN"/>
        </w:rPr>
        <w:t>内按采购单位要求完成交货、安装调试完成，无质量问题并通过验收后交付采购单位使用。</w:t>
      </w:r>
    </w:p>
    <w:p w14:paraId="5DEAD993">
      <w:pPr>
        <w:pStyle w:val="5"/>
        <w:keepNext w:val="0"/>
        <w:keepLines w:val="0"/>
        <w:pageBreakBefore w:val="0"/>
        <w:kinsoku/>
        <w:wordWrap w:val="0"/>
        <w:overflowPunct/>
        <w:topLinePunct w:val="0"/>
        <w:autoSpaceDE/>
        <w:autoSpaceDN/>
        <w:bidi w:val="0"/>
        <w:adjustRightInd w:val="0"/>
        <w:spacing w:line="48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4B51A8D0">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5CE45CBB">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投标人均应满足以下资格要求：</w:t>
      </w:r>
    </w:p>
    <w:p w14:paraId="582FBE49">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 基本</w:t>
      </w:r>
      <w:r>
        <w:rPr>
          <w:rFonts w:hint="eastAsia" w:ascii="宋体" w:hAnsi="宋体" w:eastAsia="宋体" w:cs="宋体"/>
          <w:b/>
          <w:color w:val="auto"/>
          <w:sz w:val="24"/>
          <w:highlight w:val="none"/>
        </w:rPr>
        <w:t>资格要求</w:t>
      </w:r>
      <w:r>
        <w:rPr>
          <w:rFonts w:hint="eastAsia" w:ascii="宋体" w:hAnsi="宋体" w:eastAsia="宋体" w:cs="宋体"/>
          <w:b/>
          <w:color w:val="auto"/>
          <w:sz w:val="24"/>
          <w:highlight w:val="none"/>
          <w:lang w:eastAsia="zh-CN"/>
        </w:rPr>
        <w:t>：</w:t>
      </w:r>
    </w:p>
    <w:p w14:paraId="1A58E39C">
      <w:pPr>
        <w:keepNext w:val="0"/>
        <w:keepLines w:val="0"/>
        <w:pageBreakBefore w:val="0"/>
        <w:kinsoku/>
        <w:wordWrap w:val="0"/>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lang w:eastAsia="zh-CN"/>
        </w:rPr>
        <w:t>具有独立承担民事责任的能力；</w:t>
      </w:r>
    </w:p>
    <w:p w14:paraId="38691CEF">
      <w:pPr>
        <w:keepNext w:val="0"/>
        <w:keepLines w:val="0"/>
        <w:pageBreakBefore w:val="0"/>
        <w:kinsoku/>
        <w:wordWrap w:val="0"/>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lang w:eastAsia="zh-CN"/>
        </w:rPr>
        <w:t xml:space="preserve">具有良好的商业信誉和健全的财务会计制度； </w:t>
      </w:r>
    </w:p>
    <w:p w14:paraId="39367649">
      <w:pPr>
        <w:keepNext w:val="0"/>
        <w:keepLines w:val="0"/>
        <w:pageBreakBefore w:val="0"/>
        <w:kinsoku/>
        <w:wordWrap w:val="0"/>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lang w:eastAsia="zh-CN"/>
        </w:rPr>
        <w:t>具有履行合同所必需的设备和专业技术能力；</w:t>
      </w:r>
    </w:p>
    <w:p w14:paraId="52B87DB3">
      <w:pPr>
        <w:keepNext w:val="0"/>
        <w:keepLines w:val="0"/>
        <w:pageBreakBefore w:val="0"/>
        <w:kinsoku/>
        <w:wordWrap w:val="0"/>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lang w:eastAsia="zh-CN"/>
        </w:rPr>
        <w:t>有依法缴纳税收和社会保障资金的良好记录；</w:t>
      </w:r>
    </w:p>
    <w:p w14:paraId="35E7777D">
      <w:pPr>
        <w:keepNext w:val="0"/>
        <w:keepLines w:val="0"/>
        <w:pageBreakBefore w:val="0"/>
        <w:kinsoku/>
        <w:wordWrap w:val="0"/>
        <w:overflowPunct/>
        <w:topLinePunct w:val="0"/>
        <w:autoSpaceDE/>
        <w:autoSpaceDN/>
        <w:bidi w:val="0"/>
        <w:adjustRightInd w:val="0"/>
        <w:spacing w:line="480" w:lineRule="exact"/>
        <w:ind w:firstLine="240" w:firstLineChars="1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5.参加采购活动前三年内，在经营活动中没有重大违法记录；</w:t>
      </w:r>
    </w:p>
    <w:p w14:paraId="2D577016">
      <w:pPr>
        <w:keepNext w:val="0"/>
        <w:keepLines w:val="0"/>
        <w:pageBreakBefore w:val="0"/>
        <w:kinsoku/>
        <w:wordWrap w:val="0"/>
        <w:overflowPunct/>
        <w:topLinePunct w:val="0"/>
        <w:autoSpaceDE/>
        <w:autoSpaceDN/>
        <w:bidi w:val="0"/>
        <w:adjustRightInd w:val="0"/>
        <w:spacing w:line="480" w:lineRule="exact"/>
        <w:ind w:firstLine="240" w:firstLineChars="100"/>
        <w:textAlignment w:val="auto"/>
        <w:rPr>
          <w:rFonts w:hint="eastAsia" w:ascii="宋体" w:hAnsi="宋体" w:eastAsia="宋体" w:cs="宋体"/>
          <w:b/>
          <w:color w:val="auto"/>
          <w:sz w:val="24"/>
          <w:highlight w:val="none"/>
          <w:lang w:eastAsia="zh-CN"/>
        </w:rPr>
      </w:pPr>
      <w:r>
        <w:rPr>
          <w:rFonts w:hint="eastAsia" w:ascii="宋体" w:hAnsi="宋体" w:eastAsia="宋体" w:cs="宋体"/>
          <w:b w:val="0"/>
          <w:bCs/>
          <w:color w:val="auto"/>
          <w:sz w:val="24"/>
          <w:highlight w:val="none"/>
          <w:lang w:eastAsia="zh-CN"/>
        </w:rPr>
        <w:t>6.具有法律、行政法规规定的其他条件。</w:t>
      </w:r>
    </w:p>
    <w:p w14:paraId="3FA54568">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lang w:eastAsia="zh-CN"/>
        </w:rPr>
        <w:t>未被“信用中国”（www.creditchina.gov.cn）、中国政府采购网（www.ccgp.gov.cn）列入失信被执行人、重大税收违法失信主体、政府采购严重违法失信行为记录名单；</w:t>
      </w:r>
    </w:p>
    <w:p w14:paraId="7BF5B82F">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（三</w:t>
      </w:r>
      <w:r>
        <w:rPr>
          <w:rFonts w:hint="eastAsia" w:ascii="宋体" w:hAnsi="宋体" w:eastAsia="宋体" w:cs="宋体"/>
          <w:b w:val="0"/>
          <w:bCs/>
          <w:color w:val="auto"/>
          <w:sz w:val="24"/>
          <w:highlight w:val="none"/>
          <w:lang w:eastAsia="zh-CN"/>
        </w:rPr>
        <w:t>）本项目的特定资格要求：无；</w:t>
      </w:r>
    </w:p>
    <w:p w14:paraId="0B06D9EA">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（四）</w:t>
      </w:r>
      <w:r>
        <w:rPr>
          <w:rFonts w:hint="eastAsia" w:ascii="宋体" w:hAnsi="宋体" w:eastAsia="宋体" w:cs="宋体"/>
          <w:b w:val="0"/>
          <w:bCs/>
          <w:color w:val="auto"/>
          <w:sz w:val="24"/>
          <w:highlight w:val="none"/>
          <w:lang w:eastAsia="zh-CN"/>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6DDA78C">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三、获取招标文件 </w:t>
      </w:r>
    </w:p>
    <w:p w14:paraId="6B742744">
      <w:pPr>
        <w:keepNext w:val="0"/>
        <w:keepLines w:val="0"/>
        <w:pageBreakBefore w:val="0"/>
        <w:kinsoku/>
        <w:wordWrap w:val="0"/>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eastAsia="zh-CN"/>
        </w:rPr>
        <w:t>自公告发布之日起</w:t>
      </w:r>
      <w:r>
        <w:rPr>
          <w:rFonts w:hint="eastAsia" w:ascii="宋体" w:hAnsi="宋体" w:eastAsia="宋体" w:cs="宋体"/>
          <w:color w:val="auto"/>
          <w:sz w:val="24"/>
          <w:highlight w:val="none"/>
          <w:u w:val="single"/>
        </w:rPr>
        <w:t>至</w:t>
      </w:r>
      <w:r>
        <w:rPr>
          <w:rFonts w:hint="eastAsia" w:ascii="宋体" w:hAnsi="宋体" w:eastAsia="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lang w:val="en-US" w:eastAsia="zh-CN"/>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lang w:val="en-US" w:eastAsia="zh-CN"/>
        </w:rPr>
        <w:t>日</w:t>
      </w:r>
      <w:r>
        <w:rPr>
          <w:rFonts w:hint="eastAsia" w:ascii="宋体" w:hAnsi="宋体" w:eastAsia="宋体" w:cs="宋体"/>
          <w:color w:val="auto"/>
          <w:sz w:val="24"/>
          <w:highlight w:val="none"/>
          <w:u w:val="single"/>
        </w:rPr>
        <w:t xml:space="preserve">，每天上午 00:00至12:00 ，下午 12:00至23:59 </w:t>
      </w:r>
      <w:r>
        <w:rPr>
          <w:rFonts w:hint="eastAsia" w:ascii="宋体" w:hAnsi="宋体" w:eastAsia="宋体" w:cs="宋体"/>
          <w:color w:val="auto"/>
          <w:sz w:val="24"/>
          <w:highlight w:val="none"/>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1B9C950E">
      <w:pPr>
        <w:keepNext w:val="0"/>
        <w:keepLines w:val="0"/>
        <w:pageBreakBefore w:val="0"/>
        <w:kinsoku/>
        <w:wordWrap w:val="0"/>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w:t>
      </w:r>
      <w:bookmarkStart w:id="404" w:name="_GoBack"/>
      <w:bookmarkEnd w:id="404"/>
      <w:r>
        <w:rPr>
          <w:rFonts w:hint="eastAsia" w:ascii="宋体" w:hAnsi="宋体" w:eastAsia="宋体" w:cs="宋体"/>
          <w:color w:val="auto"/>
          <w:sz w:val="24"/>
          <w:highlight w:val="none"/>
          <w:lang w:eastAsia="zh-CN"/>
        </w:rPr>
        <w:t>平台（https://www.lecaiyun.com/）。</w:t>
      </w:r>
      <w:r>
        <w:rPr>
          <w:rFonts w:hint="eastAsia" w:ascii="宋体" w:hAnsi="宋体" w:eastAsia="宋体" w:cs="宋体"/>
          <w:color w:val="auto"/>
          <w:sz w:val="24"/>
          <w:highlight w:val="none"/>
        </w:rPr>
        <w:t xml:space="preserve"> </w:t>
      </w:r>
    </w:p>
    <w:p w14:paraId="24B44394">
      <w:pPr>
        <w:keepNext w:val="0"/>
        <w:keepLines w:val="0"/>
        <w:pageBreakBefore w:val="0"/>
        <w:kinsoku/>
        <w:wordWrap w:val="0"/>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线上获取（供应商</w:t>
      </w:r>
      <w:r>
        <w:rPr>
          <w:rFonts w:hint="eastAsia" w:ascii="宋体" w:hAnsi="宋体" w:eastAsia="宋体" w:cs="宋体"/>
          <w:color w:val="auto"/>
          <w:sz w:val="24"/>
          <w:highlight w:val="none"/>
          <w:lang w:val="en-US" w:eastAsia="zh-CN"/>
        </w:rPr>
        <w:t>注册成为乐采云平台供应商后，登录平台-项目采购-获取采购文件）。</w:t>
      </w:r>
      <w:r>
        <w:rPr>
          <w:rFonts w:hint="eastAsia" w:ascii="宋体" w:hAnsi="宋体" w:eastAsia="宋体" w:cs="宋体"/>
          <w:color w:val="auto"/>
          <w:sz w:val="24"/>
          <w:highlight w:val="none"/>
        </w:rPr>
        <w:t xml:space="preserve"> </w:t>
      </w:r>
    </w:p>
    <w:p w14:paraId="3703DE35">
      <w:pPr>
        <w:keepNext w:val="0"/>
        <w:keepLines w:val="0"/>
        <w:pageBreakBefore w:val="0"/>
        <w:kinsoku/>
        <w:wordWrap w:val="0"/>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售价（元）：</w:t>
      </w:r>
      <w:r>
        <w:rPr>
          <w:rFonts w:hint="eastAsia" w:ascii="宋体" w:hAnsi="宋体" w:eastAsia="宋体" w:cs="宋体"/>
          <w:b w:val="0"/>
          <w:bCs/>
          <w:color w:val="auto"/>
          <w:sz w:val="24"/>
          <w:highlight w:val="none"/>
          <w:lang w:eastAsia="zh-CN"/>
        </w:rPr>
        <w:t>免费</w:t>
      </w:r>
      <w:r>
        <w:rPr>
          <w:rFonts w:hint="eastAsia" w:ascii="宋体" w:hAnsi="宋体" w:eastAsia="宋体" w:cs="宋体"/>
          <w:b/>
          <w:color w:val="auto"/>
          <w:sz w:val="24"/>
          <w:highlight w:val="none"/>
        </w:rPr>
        <w:tab/>
      </w:r>
    </w:p>
    <w:p w14:paraId="75BF4948">
      <w:pPr>
        <w:keepNext w:val="0"/>
        <w:keepLines w:val="0"/>
        <w:pageBreakBefore w:val="0"/>
        <w:kinsoku/>
        <w:wordWrap w:val="0"/>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供应商获取采购文件时须提交的文件资料：</w:t>
      </w:r>
      <w:r>
        <w:rPr>
          <w:rFonts w:hint="eastAsia" w:ascii="宋体" w:hAnsi="宋体" w:eastAsia="宋体" w:cs="宋体"/>
          <w:b w:val="0"/>
          <w:bCs/>
          <w:color w:val="auto"/>
          <w:sz w:val="24"/>
          <w:highlight w:val="none"/>
        </w:rPr>
        <w:t>无。</w:t>
      </w:r>
    </w:p>
    <w:p w14:paraId="266049BC">
      <w:pPr>
        <w:keepNext w:val="0"/>
        <w:keepLines w:val="0"/>
        <w:pageBreakBefore w:val="0"/>
        <w:kinsoku/>
        <w:wordWrap w:val="0"/>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提示：</w:t>
      </w:r>
    </w:p>
    <w:p w14:paraId="2B68E745">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（1）采购人、采购代理机构依托</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完成本项目的电子交易活动，平台不接受未按上述方式获取采购文件的供应商进行投标活动；</w:t>
      </w:r>
    </w:p>
    <w:p w14:paraId="32BB74EB">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（2）对未按上述方式获取采购文件的供应商对该文件提出的质疑，采购人或采购代理机构将不予处理；</w:t>
      </w:r>
    </w:p>
    <w:p w14:paraId="4C0F019F">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（3）采购人或者采购代理机构对已发出的采购文件等进行必要的澄清或者修改的，采购人或者采购代理机构将无法通过</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通知未按上述方式获取采购文件的供应商；</w:t>
      </w:r>
    </w:p>
    <w:p w14:paraId="7EE87AFB">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（4）供应商只有在“</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150467BD">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注：请供应商按上述要求获取采购文件，如未在“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”系统内完成相关流程，引起的投标无效责任自负。</w:t>
      </w:r>
    </w:p>
    <w:p w14:paraId="0057B439">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（5）不提供采购文件纸质版；</w:t>
      </w:r>
    </w:p>
    <w:p w14:paraId="0E754EB7">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656215E8">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七、提交投标文件截止时间与地点：</w:t>
      </w:r>
    </w:p>
    <w:p w14:paraId="7148C18E">
      <w:pPr>
        <w:pStyle w:val="5"/>
        <w:keepNext w:val="0"/>
        <w:keepLines w:val="0"/>
        <w:pageBreakBefore w:val="0"/>
        <w:kinsoku/>
        <w:wordWrap w:val="0"/>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1.提交投标文件截止时间：2025年7月10日09时00分（北京时间）；</w:t>
      </w:r>
    </w:p>
    <w:p w14:paraId="0652084B">
      <w:pPr>
        <w:pStyle w:val="5"/>
        <w:keepNext w:val="0"/>
        <w:keepLines w:val="0"/>
        <w:pageBreakBefore w:val="0"/>
        <w:kinsoku/>
        <w:wordWrap w:val="0"/>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53A4C463">
      <w:pPr>
        <w:pStyle w:val="5"/>
        <w:keepNext w:val="0"/>
        <w:keepLines w:val="0"/>
        <w:pageBreakBefore w:val="0"/>
        <w:kinsoku/>
        <w:wordWrap w:val="0"/>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3.投标地点（网址）：本项目采用全流程电子化交易，无须参加现场开标会 （</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p>
    <w:p w14:paraId="2FEE52C1">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八</w:t>
      </w:r>
      <w:r>
        <w:rPr>
          <w:rFonts w:hint="eastAsia" w:ascii="宋体" w:hAnsi="宋体" w:eastAsia="宋体" w:cs="宋体"/>
          <w:b/>
          <w:color w:val="auto"/>
          <w:sz w:val="24"/>
          <w:highlight w:val="none"/>
          <w:lang w:eastAsia="zh-CN"/>
        </w:rPr>
        <w:t>、开标时间与地点：</w:t>
      </w:r>
    </w:p>
    <w:p w14:paraId="3F61B09C">
      <w:pPr>
        <w:pStyle w:val="5"/>
        <w:keepNext w:val="0"/>
        <w:keepLines w:val="0"/>
        <w:pageBreakBefore w:val="0"/>
        <w:kinsoku/>
        <w:wordWrap w:val="0"/>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1.开标时间：2025年7月10日09时00分（北京时间）；</w:t>
      </w:r>
    </w:p>
    <w:p w14:paraId="6D7748C0">
      <w:pPr>
        <w:pStyle w:val="5"/>
        <w:keepNext w:val="0"/>
        <w:keepLines w:val="0"/>
        <w:pageBreakBefore w:val="0"/>
        <w:kinsoku/>
        <w:wordWrap w:val="0"/>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2.开标地点（网址）：</w:t>
      </w:r>
      <w:r>
        <w:rPr>
          <w:rFonts w:hint="eastAsia" w:ascii="宋体" w:hAnsi="宋体" w:eastAsia="宋体" w:cs="宋体"/>
          <w:color w:val="auto"/>
          <w:sz w:val="24"/>
          <w:highlight w:val="none"/>
          <w:lang w:eastAsia="zh-CN"/>
        </w:rPr>
        <w:t>乐采云平台</w:t>
      </w:r>
      <w:r>
        <w:rPr>
          <w:rFonts w:hint="eastAsia" w:ascii="宋体" w:hAnsi="宋体" w:eastAsia="宋体" w:cs="宋体"/>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），实行在线开标响应。</w:t>
      </w:r>
    </w:p>
    <w:p w14:paraId="6D2F20A5">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 xml:space="preserve">九、公告期限 </w:t>
      </w:r>
    </w:p>
    <w:p w14:paraId="415CE70A">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06DA9035">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十、本项目为非政府采购项目。</w:t>
      </w:r>
    </w:p>
    <w:p w14:paraId="309A77E1">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十一</w:t>
      </w:r>
      <w:r>
        <w:rPr>
          <w:rFonts w:hint="eastAsia" w:ascii="宋体" w:hAnsi="宋体" w:eastAsia="宋体" w:cs="宋体"/>
          <w:b/>
          <w:color w:val="auto"/>
          <w:sz w:val="24"/>
          <w:highlight w:val="none"/>
        </w:rPr>
        <w:t>、电子招投标的说明：</w:t>
      </w:r>
    </w:p>
    <w:p w14:paraId="27C03FE3">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1.电子招投标：本项目以数据电文形式，依托“乐采云平台（www.lecaiyun.com）”进行招投标活动，各投标人应按照本项目采购文件和乐采云平台的要求编制、加密并递交投标文件，不接受纸质投标文件。</w:t>
      </w:r>
    </w:p>
    <w:p w14:paraId="1D4AF045">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2.投标准备：</w:t>
      </w:r>
    </w:p>
    <w:p w14:paraId="28853329">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31FED81D">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申领CA数字证书---申领流程详见“乐采云平台-服务中心-CA管理-申领CA证书-CA驱动和申领流程”：投标人应在开标前完成CA数字证书办理，完成CA数字证书办理预计1-2周左右，各投标人应充分考虑办理时间等因素。</w:t>
      </w:r>
    </w:p>
    <w:p w14:paraId="284C3848">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办理流程详见:CA管理操作指南https://lecaiyun.com/helpcenter/document#/document/detail?siteCode=lecaiyun&amp;manualId=2185&amp;topicId=12851</w:t>
      </w:r>
    </w:p>
    <w:p w14:paraId="20171A48">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42A9979B">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3.采购文件的获取：使用账号登录或者使用CA登录乐采云平台；进入“项目采购”应用，在获取采购文件菜单中选择项目，获取采购文件。</w:t>
      </w:r>
    </w:p>
    <w:p w14:paraId="381F5C12">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4.投标文件的制作：在“乐采云电子交易客户端”中完成“填写基本信息”、“导入投标文件”、“标书关联”、“标书检查”、“电子签名”、“生成电子标书”等操作。</w:t>
      </w:r>
    </w:p>
    <w:p w14:paraId="1E19CD6A">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5.投标文件的传输递交：投标人在投标截止时间前将加密的投标文件上传至乐采云平台。</w:t>
      </w:r>
    </w:p>
    <w:p w14:paraId="52CE8624">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6.投标文件的解密：投标人按照平台提示和采购文件的规定在开标时间起30分钟内完成在线解密。</w:t>
      </w:r>
    </w:p>
    <w:p w14:paraId="66E16DE9">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7.供应商在使用系统进行投标的过程中遇到涉及平台使用的任何问题，可致电乐采云平台技术支持热线咨询，联系方式：95763。</w:t>
      </w:r>
    </w:p>
    <w:p w14:paraId="324A4209">
      <w:pPr>
        <w:keepNext w:val="0"/>
        <w:keepLines w:val="0"/>
        <w:pageBreakBefore w:val="0"/>
        <w:kinsoku/>
        <w:wordWrap w:val="0"/>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十一、对本次采购提出询问、质疑、投诉，请按以下方式联系</w:t>
      </w:r>
    </w:p>
    <w:p w14:paraId="5A36752B">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 xml:space="preserve">  1.采购人信息</w:t>
      </w:r>
    </w:p>
    <w:p w14:paraId="2FAD579C">
      <w:pPr>
        <w:pageBreakBefore w:val="0"/>
        <w:kinsoku/>
        <w:wordWrap w:val="0"/>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建德市乾潭镇安仁村股份经济合作社</w:t>
      </w:r>
    </w:p>
    <w:p w14:paraId="36C38F41">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 xml:space="preserve">建德市乾潭镇安仁村     </w:t>
      </w:r>
      <w:r>
        <w:rPr>
          <w:rFonts w:hint="eastAsia" w:ascii="宋体" w:hAnsi="宋体" w:eastAsia="宋体" w:cs="宋体"/>
          <w:color w:val="auto"/>
          <w:sz w:val="24"/>
          <w:highlight w:val="none"/>
        </w:rPr>
        <w:t xml:space="preserve"> </w:t>
      </w:r>
    </w:p>
    <w:p w14:paraId="5A222B48">
      <w:pPr>
        <w:pageBreakBefore w:val="0"/>
        <w:kinsoku/>
        <w:wordWrap w:val="0"/>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89932F9">
      <w:pPr>
        <w:pageBreakBefore w:val="0"/>
        <w:kinsoku/>
        <w:wordWrap w:val="0"/>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项目联系人（询问）：叶建芳 </w:t>
      </w:r>
    </w:p>
    <w:p w14:paraId="4912CE1C">
      <w:pPr>
        <w:pageBreakBefore w:val="0"/>
        <w:kinsoku/>
        <w:wordWrap w:val="0"/>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项目联系方式（询问）：13362178568  </w:t>
      </w:r>
    </w:p>
    <w:p w14:paraId="224D8EC3">
      <w:pPr>
        <w:pageBreakBefore w:val="0"/>
        <w:kinsoku/>
        <w:wordWrap w:val="0"/>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质疑联系人：董双绫 </w:t>
      </w:r>
    </w:p>
    <w:p w14:paraId="19CA7657">
      <w:pPr>
        <w:pageBreakBefore w:val="0"/>
        <w:kinsoku/>
        <w:wordWrap w:val="0"/>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质疑联系方式：17767226647</w:t>
      </w:r>
    </w:p>
    <w:p w14:paraId="1E3FBD2A">
      <w:pPr>
        <w:pageBreakBefore w:val="0"/>
        <w:kinsoku/>
        <w:wordWrap w:val="0"/>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046EAE13">
      <w:pPr>
        <w:pageBreakBefore w:val="0"/>
        <w:kinsoku/>
        <w:wordWrap w:val="0"/>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浙江中正工程项目管理有限公司</w:t>
      </w:r>
    </w:p>
    <w:p w14:paraId="1476BCCB">
      <w:pPr>
        <w:pageBreakBefore w:val="0"/>
        <w:kinsoku/>
        <w:wordWrap w:val="0"/>
        <w:overflowPunct/>
        <w:topLinePunct w:val="0"/>
        <w:bidi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浙江省杭州市建德市法院路9号4楼</w:t>
      </w:r>
    </w:p>
    <w:p w14:paraId="6077D5C2">
      <w:pPr>
        <w:pageBreakBefore w:val="0"/>
        <w:kinsoku/>
        <w:wordWrap w:val="0"/>
        <w:overflowPunct/>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szCs w:val="24"/>
          <w:highlight w:val="none"/>
          <w:lang w:val="en-US" w:eastAsia="zh-CN"/>
        </w:rPr>
        <w:t>/</w:t>
      </w:r>
    </w:p>
    <w:p w14:paraId="0C385D3E">
      <w:pPr>
        <w:pageBreakBefore w:val="0"/>
        <w:kinsoku/>
        <w:wordWrap w:val="0"/>
        <w:overflowPunct/>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刘女士</w:t>
      </w:r>
    </w:p>
    <w:p w14:paraId="5B11E811">
      <w:pPr>
        <w:pageBreakBefore w:val="0"/>
        <w:kinsoku/>
        <w:wordWrap w:val="0"/>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 xml:space="preserve">15968841245 </w:t>
      </w:r>
    </w:p>
    <w:p w14:paraId="54F9527A">
      <w:pPr>
        <w:pageBreakBefore w:val="0"/>
        <w:kinsoku/>
        <w:wordWrap w:val="0"/>
        <w:overflowPunct/>
        <w:topLinePunct w:val="0"/>
        <w:bidi w:val="0"/>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史女士</w:t>
      </w:r>
    </w:p>
    <w:p w14:paraId="274803AC">
      <w:pPr>
        <w:pageBreakBefore w:val="0"/>
        <w:kinsoku/>
        <w:wordWrap w:val="0"/>
        <w:overflowPunct/>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质疑联系方式：0571-</w:t>
      </w:r>
      <w:r>
        <w:rPr>
          <w:rFonts w:hint="eastAsia" w:ascii="宋体" w:hAnsi="宋体" w:eastAsia="宋体" w:cs="宋体"/>
          <w:color w:val="auto"/>
          <w:sz w:val="24"/>
          <w:highlight w:val="none"/>
          <w:lang w:eastAsia="zh-CN"/>
        </w:rPr>
        <w:t>64785830</w:t>
      </w:r>
    </w:p>
    <w:p w14:paraId="60BFBAE5">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3.监督管理部门            </w:t>
      </w:r>
    </w:p>
    <w:p w14:paraId="278A84C2">
      <w:pPr>
        <w:pageBreakBefore w:val="0"/>
        <w:kinsoku/>
        <w:wordWrap w:val="0"/>
        <w:overflowPunct/>
        <w:topLinePunct w:val="0"/>
        <w:bidi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称：建德市乾潭镇人民政府</w:t>
      </w:r>
    </w:p>
    <w:p w14:paraId="150F1545">
      <w:pPr>
        <w:pageBreakBefore w:val="0"/>
        <w:kinsoku/>
        <w:wordWrap w:val="0"/>
        <w:overflowPunct/>
        <w:topLinePunct w:val="0"/>
        <w:bidi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址：建德市乾潭镇世纪广场</w:t>
      </w:r>
      <w:r>
        <w:rPr>
          <w:rFonts w:hint="eastAsia" w:ascii="宋体" w:hAnsi="宋体" w:eastAsia="宋体" w:cs="宋体"/>
          <w:color w:val="auto"/>
          <w:sz w:val="24"/>
          <w:highlight w:val="none"/>
          <w:lang w:val="en-US" w:eastAsia="zh-CN"/>
        </w:rPr>
        <w:t>1号</w:t>
      </w:r>
    </w:p>
    <w:p w14:paraId="76033964">
      <w:pPr>
        <w:pageBreakBefore w:val="0"/>
        <w:kinsoku/>
        <w:wordWrap w:val="0"/>
        <w:overflowPunct/>
        <w:topLinePunct w:val="0"/>
        <w:bidi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传    真：/</w:t>
      </w:r>
    </w:p>
    <w:p w14:paraId="79829A5F">
      <w:pPr>
        <w:pageBreakBefore w:val="0"/>
        <w:kinsoku/>
        <w:wordWrap w:val="0"/>
        <w:overflowPunct/>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联 系 人：季佳麟 </w:t>
      </w:r>
      <w:r>
        <w:rPr>
          <w:rFonts w:hint="eastAsia" w:ascii="宋体" w:hAnsi="宋体" w:eastAsia="宋体" w:cs="宋体"/>
          <w:color w:val="auto"/>
          <w:sz w:val="24"/>
          <w:highlight w:val="none"/>
          <w:lang w:val="en-US" w:eastAsia="zh-CN"/>
        </w:rPr>
        <w:t xml:space="preserve"> </w:t>
      </w:r>
    </w:p>
    <w:p w14:paraId="213F3656">
      <w:pPr>
        <w:pageBreakBefore w:val="0"/>
        <w:kinsoku/>
        <w:wordWrap w:val="0"/>
        <w:overflowPunct/>
        <w:topLinePunct w:val="0"/>
        <w:bidi w:val="0"/>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监督投诉电话：17367058706</w:t>
      </w:r>
      <w:r>
        <w:rPr>
          <w:rFonts w:hint="eastAsia" w:ascii="宋体" w:hAnsi="宋体" w:eastAsia="宋体" w:cs="宋体"/>
          <w:color w:val="auto"/>
          <w:sz w:val="24"/>
          <w:highlight w:val="none"/>
          <w:lang w:val="en-US" w:eastAsia="zh-CN"/>
        </w:rPr>
        <w:t xml:space="preserve"> </w:t>
      </w:r>
    </w:p>
    <w:p w14:paraId="0435BEC2">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若对项目采购电子交易系统操作有疑问，可登录乐采云（</w:t>
      </w:r>
      <w:r>
        <w:rPr>
          <w:rFonts w:hint="eastAsia" w:ascii="宋体" w:hAnsi="宋体" w:eastAsia="宋体" w:cs="宋体"/>
          <w:b w:val="0"/>
          <w:bCs/>
          <w:color w:val="auto"/>
          <w:sz w:val="24"/>
          <w:highlight w:val="none"/>
          <w:lang w:val="en-US" w:eastAsia="zh-CN"/>
        </w:rPr>
        <w:fldChar w:fldCharType="begin"/>
      </w:r>
      <w:r>
        <w:rPr>
          <w:rFonts w:hint="eastAsia" w:ascii="宋体" w:hAnsi="宋体" w:eastAsia="宋体" w:cs="宋体"/>
          <w:b w:val="0"/>
          <w:bCs/>
          <w:color w:val="auto"/>
          <w:sz w:val="24"/>
          <w:highlight w:val="none"/>
          <w:lang w:val="en-US" w:eastAsia="zh-CN"/>
        </w:rPr>
        <w:instrText xml:space="preserve"> HYPERLINK "采购文件（7.9新版本）.doc" </w:instrText>
      </w:r>
      <w:r>
        <w:rPr>
          <w:rFonts w:hint="eastAsia" w:ascii="宋体" w:hAnsi="宋体" w:eastAsia="宋体" w:cs="宋体"/>
          <w:b w:val="0"/>
          <w:bCs/>
          <w:color w:val="auto"/>
          <w:sz w:val="24"/>
          <w:highlight w:val="none"/>
          <w:lang w:val="en-US" w:eastAsia="zh-CN"/>
        </w:rPr>
        <w:fldChar w:fldCharType="separate"/>
      </w:r>
      <w:r>
        <w:rPr>
          <w:rFonts w:hint="eastAsia" w:ascii="宋体" w:hAnsi="宋体" w:eastAsia="宋体" w:cs="宋体"/>
          <w:b w:val="0"/>
          <w:bCs/>
          <w:color w:val="auto"/>
          <w:sz w:val="24"/>
          <w:highlight w:val="none"/>
          <w:lang w:val="en-US" w:eastAsia="zh-CN"/>
        </w:rPr>
        <w:t>https://www.lecaiyun.com/</w:t>
      </w:r>
      <w:r>
        <w:rPr>
          <w:rFonts w:hint="eastAsia" w:ascii="宋体" w:hAnsi="宋体" w:eastAsia="宋体" w:cs="宋体"/>
          <w:b w:val="0"/>
          <w:bCs/>
          <w:color w:val="auto"/>
          <w:sz w:val="24"/>
          <w:highlight w:val="none"/>
          <w:lang w:val="en-US" w:eastAsia="zh-CN"/>
        </w:rPr>
        <w:fldChar w:fldCharType="end"/>
      </w:r>
      <w:r>
        <w:rPr>
          <w:rFonts w:hint="eastAsia" w:ascii="宋体" w:hAnsi="宋体" w:eastAsia="宋体" w:cs="宋体"/>
          <w:b w:val="0"/>
          <w:bCs/>
          <w:color w:val="auto"/>
          <w:sz w:val="24"/>
          <w:highlight w:val="none"/>
          <w:lang w:val="en-US" w:eastAsia="zh-CN"/>
        </w:rPr>
        <w:t>），点击右侧咨询小采，获取采小蜜智能服务管家帮助，或拨打政采云有限公司服务热线95763获取热线服务帮助。</w:t>
      </w:r>
    </w:p>
    <w:p w14:paraId="0185F101">
      <w:pPr>
        <w:keepNext w:val="0"/>
        <w:keepLines w:val="0"/>
        <w:pageBreakBefore w:val="0"/>
        <w:kinsoku/>
        <w:wordWrap w:val="0"/>
        <w:overflowPunct/>
        <w:topLinePunct w:val="0"/>
        <w:autoSpaceDE/>
        <w:autoSpaceDN/>
        <w:bidi w:val="0"/>
        <w:adjustRightInd w:val="0"/>
        <w:spacing w:line="48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CA问题联系电话（人工）：汇信CA 400-888-4636；天谷CA 400-087-8198。</w:t>
      </w:r>
    </w:p>
    <w:p w14:paraId="474AEAC8">
      <w:pPr>
        <w:pStyle w:val="34"/>
        <w:pageBreakBefore w:val="0"/>
        <w:kinsoku/>
        <w:wordWrap w:val="0"/>
        <w:overflowPunct/>
        <w:topLinePunct w:val="0"/>
        <w:bidi w:val="0"/>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23DB0415">
      <w:pPr>
        <w:pStyle w:val="3"/>
        <w:pageBreakBefore w:val="0"/>
        <w:kinsoku/>
        <w:wordWrap w:val="0"/>
        <w:overflowPunct/>
        <w:topLinePunct w:val="0"/>
        <w:bidi w:val="0"/>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bookmarkEnd w:id="9"/>
    <w:bookmarkEnd w:id="10"/>
    <w:bookmarkEnd w:id="11"/>
    <w:p w14:paraId="6F5C045B">
      <w:pPr>
        <w:pageBreakBefore w:val="0"/>
        <w:kinsoku/>
        <w:wordWrap w:val="0"/>
        <w:overflowPunct/>
        <w:topLinePunct w:val="0"/>
        <w:bidi w:val="0"/>
        <w:adjustRightInd/>
        <w:spacing w:line="360" w:lineRule="auto"/>
        <w:ind w:firstLine="723"/>
        <w:jc w:val="center"/>
        <w:outlineLvl w:val="0"/>
        <w:rPr>
          <w:rFonts w:hint="eastAsia" w:ascii="宋体" w:hAnsi="宋体" w:eastAsia="宋体" w:cs="宋体"/>
          <w:b/>
          <w:color w:val="auto"/>
          <w:sz w:val="36"/>
          <w:szCs w:val="20"/>
          <w:highlight w:val="none"/>
        </w:rPr>
      </w:pPr>
      <w:bookmarkStart w:id="13" w:name="_Toc91899903"/>
      <w:bookmarkStart w:id="14" w:name="_Toc164416483"/>
      <w:bookmarkStart w:id="15" w:name="第三部分"/>
      <w:r>
        <w:rPr>
          <w:rFonts w:hint="eastAsia" w:ascii="宋体" w:hAnsi="宋体" w:eastAsia="宋体" w:cs="宋体"/>
          <w:b/>
          <w:color w:val="auto"/>
          <w:sz w:val="36"/>
          <w:szCs w:val="20"/>
          <w:highlight w:val="none"/>
        </w:rPr>
        <w:t>第二部分 投标人须知</w:t>
      </w:r>
    </w:p>
    <w:p w14:paraId="45D91229">
      <w:pPr>
        <w:pageBreakBefore w:val="0"/>
        <w:kinsoku/>
        <w:wordWrap w:val="0"/>
        <w:overflowPunct/>
        <w:topLinePunct w:val="0"/>
        <w:bidi w:val="0"/>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88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86"/>
        <w:gridCol w:w="6472"/>
      </w:tblGrid>
      <w:tr w14:paraId="59B7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1613A52F">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6" w:type="dxa"/>
            <w:vAlign w:val="center"/>
          </w:tcPr>
          <w:p w14:paraId="1071139C">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472" w:type="dxa"/>
            <w:vAlign w:val="center"/>
          </w:tcPr>
          <w:p w14:paraId="75BAFEAA">
            <w:pPr>
              <w:pageBreakBefore w:val="0"/>
              <w:kinsoku/>
              <w:wordWrap w:val="0"/>
              <w:overflowPunct/>
              <w:topLinePunct w:val="0"/>
              <w:bidi w:val="0"/>
              <w:snapToGrid w:val="0"/>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809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 w:hRule="atLeast"/>
          <w:tblHeader/>
        </w:trPr>
        <w:tc>
          <w:tcPr>
            <w:tcW w:w="629" w:type="dxa"/>
            <w:vAlign w:val="center"/>
          </w:tcPr>
          <w:p w14:paraId="36D4F4D9">
            <w:pPr>
              <w:pageBreakBefore w:val="0"/>
              <w:kinsoku/>
              <w:wordWrap w:val="0"/>
              <w:overflowPunct/>
              <w:topLinePunct w:val="0"/>
              <w:bidi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86" w:type="dxa"/>
            <w:vAlign w:val="center"/>
          </w:tcPr>
          <w:p w14:paraId="7E02FC4C">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472" w:type="dxa"/>
            <w:vAlign w:val="center"/>
          </w:tcPr>
          <w:p w14:paraId="3C93ED1B">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货物类。单一产品或核心产品为：</w:t>
            </w:r>
            <w:r>
              <w:rPr>
                <w:rFonts w:hint="eastAsia" w:ascii="宋体" w:hAnsi="宋体" w:eastAsia="宋体" w:cs="宋体"/>
                <w:color w:val="auto"/>
                <w:sz w:val="24"/>
                <w:highlight w:val="none"/>
                <w:lang w:val="en-US" w:eastAsia="zh-CN"/>
              </w:rPr>
              <w:t>家具</w:t>
            </w:r>
            <w:r>
              <w:rPr>
                <w:rFonts w:hint="eastAsia" w:ascii="宋体" w:hAnsi="宋体" w:eastAsia="宋体" w:cs="宋体"/>
                <w:color w:val="auto"/>
                <w:sz w:val="24"/>
                <w:highlight w:val="none"/>
              </w:rPr>
              <w:t>。</w:t>
            </w:r>
          </w:p>
        </w:tc>
      </w:tr>
      <w:tr w14:paraId="616B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6612DDFE">
            <w:pPr>
              <w:pageBreakBefore w:val="0"/>
              <w:kinsoku/>
              <w:wordWrap w:val="0"/>
              <w:overflowPunct/>
              <w:topLinePunct w:val="0"/>
              <w:bidi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1786" w:type="dxa"/>
            <w:vAlign w:val="center"/>
          </w:tcPr>
          <w:p w14:paraId="3D0A3002">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w:t>
            </w:r>
          </w:p>
          <w:p w14:paraId="3A5DC07D">
            <w:pPr>
              <w:pageBreakBefore w:val="0"/>
              <w:kinsoku/>
              <w:wordWrap w:val="0"/>
              <w:overflowPunct/>
              <w:topLinePunct w:val="0"/>
              <w:bidi w:val="0"/>
              <w:snapToGrid w:val="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进口产品</w:t>
            </w:r>
          </w:p>
        </w:tc>
        <w:tc>
          <w:tcPr>
            <w:tcW w:w="6472" w:type="dxa"/>
            <w:vAlign w:val="center"/>
          </w:tcPr>
          <w:p w14:paraId="20EAA354">
            <w:pPr>
              <w:pageBreakBefore w:val="0"/>
              <w:kinsoku/>
              <w:wordWrap w:val="0"/>
              <w:overflowPunct/>
              <w:topLinePunct w:val="0"/>
              <w:bidi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本项目不允许采购进口产品。</w:t>
            </w:r>
          </w:p>
          <w:p w14:paraId="21DF6797">
            <w:pPr>
              <w:pageBreakBefore w:val="0"/>
              <w:kinsoku/>
              <w:wordWrap w:val="0"/>
              <w:overflowPunct/>
              <w:topLinePunct w:val="0"/>
              <w:bidi w:val="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C63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tblHeader/>
        </w:trPr>
        <w:tc>
          <w:tcPr>
            <w:tcW w:w="629" w:type="dxa"/>
          </w:tcPr>
          <w:p w14:paraId="7E54F91E">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277D58C1">
            <w:pPr>
              <w:pageBreakBefore w:val="0"/>
              <w:kinsoku/>
              <w:wordWrap w:val="0"/>
              <w:overflowPunct/>
              <w:topLinePunct w:val="0"/>
              <w:bidi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786" w:type="dxa"/>
            <w:vAlign w:val="center"/>
          </w:tcPr>
          <w:p w14:paraId="04FAA673">
            <w:pPr>
              <w:pageBreakBefore w:val="0"/>
              <w:kinsoku/>
              <w:wordWrap w:val="0"/>
              <w:overflowPunct/>
              <w:topLinePunct w:val="0"/>
              <w:bidi w:val="0"/>
              <w:snapToGrid w:val="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分包</w:t>
            </w:r>
          </w:p>
        </w:tc>
        <w:tc>
          <w:tcPr>
            <w:tcW w:w="6472" w:type="dxa"/>
            <w:vAlign w:val="center"/>
          </w:tcPr>
          <w:p w14:paraId="4AECA261">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142CD881">
            <w:pPr>
              <w:pageBreakBefore w:val="0"/>
              <w:kinsoku/>
              <w:wordWrap w:val="0"/>
              <w:overflowPunct/>
              <w:topLinePunct w:val="0"/>
              <w:bidi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25B6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0" w:hRule="atLeast"/>
          <w:tblHeader/>
        </w:trPr>
        <w:tc>
          <w:tcPr>
            <w:tcW w:w="629" w:type="dxa"/>
            <w:vAlign w:val="center"/>
          </w:tcPr>
          <w:p w14:paraId="0C0E999B">
            <w:pPr>
              <w:pageBreakBefore w:val="0"/>
              <w:kinsoku/>
              <w:wordWrap w:val="0"/>
              <w:overflowPunct/>
              <w:topLinePunct w:val="0"/>
              <w:bidi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786" w:type="dxa"/>
            <w:vAlign w:val="center"/>
          </w:tcPr>
          <w:p w14:paraId="01B9051F">
            <w:pPr>
              <w:pageBreakBefore w:val="0"/>
              <w:kinsoku/>
              <w:wordWrap w:val="0"/>
              <w:overflowPunct/>
              <w:topLinePunct w:val="0"/>
              <w:bidi w:val="0"/>
              <w:snapToGrid w:val="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开标前答疑会或现场考察</w:t>
            </w:r>
          </w:p>
        </w:tc>
        <w:tc>
          <w:tcPr>
            <w:tcW w:w="6472" w:type="dxa"/>
            <w:vAlign w:val="center"/>
          </w:tcPr>
          <w:p w14:paraId="48D13726">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41C9AC0">
            <w:pPr>
              <w:pageBreakBefore w:val="0"/>
              <w:kinsoku/>
              <w:wordWrap w:val="0"/>
              <w:overflowPunct/>
              <w:topLinePunct w:val="0"/>
              <w:bidi w:val="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B04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9" w:hRule="atLeast"/>
          <w:tblHeader/>
        </w:trPr>
        <w:tc>
          <w:tcPr>
            <w:tcW w:w="629" w:type="dxa"/>
          </w:tcPr>
          <w:p w14:paraId="7B52AA0B">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6ACD4BC0">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50C770DB">
            <w:pPr>
              <w:pageBreakBefore w:val="0"/>
              <w:kinsoku/>
              <w:wordWrap w:val="0"/>
              <w:overflowPunct/>
              <w:topLinePunct w:val="0"/>
              <w:bidi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786" w:type="dxa"/>
            <w:vAlign w:val="center"/>
          </w:tcPr>
          <w:p w14:paraId="2DEE615D">
            <w:pPr>
              <w:pageBreakBefore w:val="0"/>
              <w:kinsoku/>
              <w:wordWrap w:val="0"/>
              <w:overflowPunct/>
              <w:topLinePunct w:val="0"/>
              <w:bidi w:val="0"/>
              <w:snapToGrid w:val="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样品提供</w:t>
            </w:r>
          </w:p>
        </w:tc>
        <w:tc>
          <w:tcPr>
            <w:tcW w:w="6472" w:type="dxa"/>
            <w:vAlign w:val="center"/>
          </w:tcPr>
          <w:p w14:paraId="5F6257EB">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213752D5">
            <w:pPr>
              <w:pageBreakBefore w:val="0"/>
              <w:kinsoku/>
              <w:wordWrap w:val="0"/>
              <w:overflowPunct/>
              <w:topLinePunct w:val="0"/>
              <w:bidi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B要求提供，</w:t>
            </w:r>
          </w:p>
          <w:p w14:paraId="0B767FC1">
            <w:pPr>
              <w:pageBreakBefore w:val="0"/>
              <w:kinsoku/>
              <w:wordWrap w:val="0"/>
              <w:overflowPunct/>
              <w:topLinePunct w:val="0"/>
              <w:bidi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highlight w:val="none"/>
                <w:u w:val="single"/>
                <w:lang w:val="en-US" w:eastAsia="zh-CN"/>
              </w:rPr>
              <w:t>办公椅、诊椅</w:t>
            </w:r>
            <w:r>
              <w:rPr>
                <w:rFonts w:hint="eastAsia" w:ascii="宋体" w:hAnsi="宋体" w:eastAsia="宋体" w:cs="宋体"/>
                <w:snapToGrid w:val="0"/>
                <w:color w:val="auto"/>
                <w:kern w:val="28"/>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40EB3C0">
            <w:pPr>
              <w:pageBreakBefore w:val="0"/>
              <w:kinsoku/>
              <w:wordWrap w:val="0"/>
              <w:overflowPunct/>
              <w:topLinePunct w:val="0"/>
              <w:bidi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详见第三部分采购需求   </w:t>
            </w:r>
            <w:r>
              <w:rPr>
                <w:rFonts w:hint="eastAsia" w:ascii="宋体" w:hAnsi="宋体" w:eastAsia="宋体" w:cs="宋体"/>
                <w:color w:val="auto"/>
                <w:kern w:val="0"/>
                <w:sz w:val="24"/>
                <w:highlight w:val="none"/>
              </w:rPr>
              <w:t>；</w:t>
            </w:r>
          </w:p>
          <w:p w14:paraId="57BA635B">
            <w:pPr>
              <w:pageBreakBefore w:val="0"/>
              <w:kinsoku/>
              <w:wordWrap w:val="0"/>
              <w:overflowPunct/>
              <w:topLinePunct w:val="0"/>
              <w:bidi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5B3074CE">
            <w:pPr>
              <w:pageBreakBefore w:val="0"/>
              <w:kinsoku/>
              <w:wordWrap w:val="0"/>
              <w:overflowPunct/>
              <w:topLinePunct w:val="0"/>
              <w:bidi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A5CEFBE">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建德市洋溪街道新安江路399号（原建德市客运中心）</w:t>
            </w:r>
            <w:r>
              <w:rPr>
                <w:rFonts w:hint="eastAsia" w:ascii="宋体" w:hAnsi="宋体" w:eastAsia="宋体" w:cs="宋体"/>
                <w:color w:val="auto"/>
                <w:sz w:val="24"/>
                <w:highlight w:val="none"/>
                <w:u w:val="single"/>
                <w:lang w:val="en-US" w:eastAsia="zh-CN"/>
              </w:rPr>
              <w:t>二楼</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刘丹丹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15968841245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CC14725">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B912A25">
            <w:pPr>
              <w:pageBreakBefore w:val="0"/>
              <w:kinsoku/>
              <w:wordWrap w:val="0"/>
              <w:overflowPunct/>
              <w:topLinePunct w:val="0"/>
              <w:bidi w:val="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highlight w:val="none"/>
              </w:rPr>
              <w:t>（7）制作、运输、安装和保管样品所发生的一切费用由投标人自理。</w:t>
            </w:r>
          </w:p>
        </w:tc>
      </w:tr>
      <w:tr w14:paraId="7813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9" w:hRule="atLeast"/>
          <w:tblHeader/>
        </w:trPr>
        <w:tc>
          <w:tcPr>
            <w:tcW w:w="629" w:type="dxa"/>
          </w:tcPr>
          <w:p w14:paraId="0EEE8D7E">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2C2FDE31">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047205B7">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44DD63D3">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2A38DA30">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554E9795">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581BFB66">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323807FB">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39D17000">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7340D0EC">
            <w:pPr>
              <w:pageBreakBefore w:val="0"/>
              <w:kinsoku/>
              <w:wordWrap w:val="0"/>
              <w:overflowPunct/>
              <w:topLinePunct w:val="0"/>
              <w:bidi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786" w:type="dxa"/>
            <w:vAlign w:val="center"/>
          </w:tcPr>
          <w:p w14:paraId="3D062396">
            <w:pPr>
              <w:pageBreakBefore w:val="0"/>
              <w:kinsoku/>
              <w:wordWrap w:val="0"/>
              <w:overflowPunct/>
              <w:topLinePunct w:val="0"/>
              <w:bidi w:val="0"/>
              <w:snapToGrid w:val="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color w:val="auto"/>
                <w:sz w:val="24"/>
                <w:highlight w:val="none"/>
              </w:rPr>
              <w:t>方案讲解演示</w:t>
            </w:r>
          </w:p>
        </w:tc>
        <w:tc>
          <w:tcPr>
            <w:tcW w:w="6472" w:type="dxa"/>
            <w:vAlign w:val="center"/>
          </w:tcPr>
          <w:p w14:paraId="3F6A8A43">
            <w:pPr>
              <w:pageBreakBefore w:val="0"/>
              <w:kinsoku/>
              <w:wordWrap w:val="0"/>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A69F0DE">
            <w:pPr>
              <w:pageBreakBefore w:val="0"/>
              <w:kinsoku/>
              <w:wordWrap w:val="0"/>
              <w:overflowPunct/>
              <w:topLinePunct w:val="0"/>
              <w:bidi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B组织。</w:t>
            </w:r>
          </w:p>
          <w:p w14:paraId="6A1647B9">
            <w:pPr>
              <w:pageBreakBefore w:val="0"/>
              <w:kinsoku/>
              <w:wordWrap w:val="0"/>
              <w:overflowPunct/>
              <w:topLinePunct w:val="0"/>
              <w:bidi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rPr>
              <w:t>人。讲解演示结束后按要求解答评标委员会提问。</w:t>
            </w:r>
          </w:p>
          <w:p w14:paraId="39214B77">
            <w:pPr>
              <w:pageBreakBefore w:val="0"/>
              <w:kinsoku/>
              <w:wordWrap w:val="0"/>
              <w:overflowPunct/>
              <w:topLinePunct w:val="0"/>
              <w:bidi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（2）方案讲解演示方式：</w:t>
            </w:r>
          </w:p>
          <w:p w14:paraId="0A494D18">
            <w:pPr>
              <w:pageBreakBefore w:val="0"/>
              <w:kinsoku/>
              <w:wordWrap w:val="0"/>
              <w:overflowPunct/>
              <w:topLinePunct w:val="0"/>
              <w:bidi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乐采云平台</w:t>
            </w:r>
            <w:r>
              <w:rPr>
                <w:rFonts w:hint="eastAsia" w:ascii="宋体" w:hAnsi="宋体" w:eastAsia="宋体" w:cs="宋体"/>
                <w:color w:val="auto"/>
                <w:kern w:val="0"/>
                <w:sz w:val="24"/>
                <w:highlight w:val="none"/>
              </w:rPr>
              <w:t>在线讲解演示。</w:t>
            </w:r>
            <w:r>
              <w:rPr>
                <w:rFonts w:hint="eastAsia" w:ascii="宋体" w:hAnsi="宋体" w:eastAsia="宋体" w:cs="宋体"/>
                <w:color w:val="auto"/>
                <w:kern w:val="0"/>
                <w:sz w:val="24"/>
                <w:highlight w:val="none"/>
                <w:lang w:eastAsia="zh-CN"/>
              </w:rPr>
              <w:t>乐采云平台</w:t>
            </w:r>
            <w:r>
              <w:rPr>
                <w:rFonts w:hint="eastAsia" w:ascii="宋体" w:hAnsi="宋体" w:eastAsia="宋体" w:cs="宋体"/>
                <w:color w:val="auto"/>
                <w:kern w:val="0"/>
                <w:sz w:val="24"/>
                <w:highlight w:val="none"/>
              </w:rPr>
              <w:t>在线讲解需投标人根据</w:t>
            </w:r>
            <w:r>
              <w:rPr>
                <w:rFonts w:hint="eastAsia" w:ascii="宋体" w:hAnsi="宋体" w:eastAsia="宋体" w:cs="宋体"/>
                <w:color w:val="auto"/>
                <w:kern w:val="0"/>
                <w:sz w:val="24"/>
                <w:highlight w:val="none"/>
                <w:lang w:eastAsia="zh-CN"/>
              </w:rPr>
              <w:t>乐采云平台</w:t>
            </w:r>
            <w:r>
              <w:rPr>
                <w:rFonts w:hint="eastAsia" w:ascii="宋体" w:hAnsi="宋体" w:eastAsia="宋体" w:cs="宋体"/>
                <w:color w:val="auto"/>
                <w:kern w:val="0"/>
                <w:sz w:val="24"/>
                <w:highlight w:val="none"/>
              </w:rPr>
              <w:t>操作要求做好准备工作，提前完善软硬件配置环境。</w:t>
            </w:r>
          </w:p>
          <w:p w14:paraId="3E37C5E1">
            <w:pPr>
              <w:pageBreakBefore w:val="0"/>
              <w:kinsoku/>
              <w:wordWrap w:val="0"/>
              <w:overflowPunct/>
              <w:topLinePunct w:val="0"/>
              <w:bidi w:val="0"/>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建议各投标人将演示视频制作成光盘或U盘并进行密封作为备份文件</w:t>
            </w:r>
            <w:r>
              <w:rPr>
                <w:rFonts w:hint="eastAsia" w:ascii="宋体" w:hAnsi="宋体" w:eastAsia="宋体" w:cs="宋体"/>
                <w:color w:val="auto"/>
                <w:kern w:val="0"/>
                <w:sz w:val="24"/>
                <w:highlight w:val="none"/>
                <w:lang w:val="en-US" w:eastAsia="zh-CN"/>
              </w:rPr>
              <w:t>，在因平台原因导致本项目演示环节无法顺利开展的情况下，将采用演示视频的备份文件。备份文件要求详见招标文件内容</w:t>
            </w:r>
            <w:r>
              <w:rPr>
                <w:rFonts w:hint="eastAsia" w:ascii="宋体" w:hAnsi="宋体" w:eastAsia="宋体" w:cs="宋体"/>
                <w:color w:val="auto"/>
                <w:kern w:val="0"/>
                <w:sz w:val="24"/>
                <w:highlight w:val="none"/>
              </w:rPr>
              <w:t>。</w:t>
            </w:r>
          </w:p>
          <w:p w14:paraId="4B892E02">
            <w:pPr>
              <w:pageBreakBefore w:val="0"/>
              <w:kinsoku/>
              <w:wordWrap w:val="0"/>
              <w:overflowPunct/>
              <w:topLinePunct w:val="0"/>
              <w:bidi w:val="0"/>
              <w:snapToGrid w:val="0"/>
              <w:spacing w:line="240" w:lineRule="auto"/>
              <w:rPr>
                <w:rFonts w:hint="eastAsia" w:ascii="宋体" w:hAnsi="宋体" w:eastAsia="宋体" w:cs="宋体"/>
                <w:b/>
                <w:color w:val="auto"/>
                <w:kern w:val="0"/>
                <w:sz w:val="24"/>
                <w:szCs w:val="24"/>
                <w:highlight w:val="none"/>
                <w:lang w:val="zh-CN" w:eastAsia="zh-CN" w:bidi="ar-SA"/>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3D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7C4C4DD5">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1B85FADD">
            <w:pPr>
              <w:pageBreakBefore w:val="0"/>
              <w:kinsoku/>
              <w:wordWrap w:val="0"/>
              <w:overflowPunct/>
              <w:topLinePunct w:val="0"/>
              <w:bidi w:val="0"/>
              <w:snapToGrid w:val="0"/>
              <w:jc w:val="center"/>
              <w:rPr>
                <w:rFonts w:hint="eastAsia" w:ascii="宋体" w:hAnsi="宋体" w:eastAsia="宋体" w:cs="宋体"/>
                <w:color w:val="auto"/>
                <w:sz w:val="24"/>
                <w:highlight w:val="none"/>
              </w:rPr>
            </w:pPr>
          </w:p>
          <w:p w14:paraId="4BC4C2C5">
            <w:pPr>
              <w:pageBreakBefore w:val="0"/>
              <w:kinsoku/>
              <w:wordWrap w:val="0"/>
              <w:overflowPunct/>
              <w:topLinePunct w:val="0"/>
              <w:bidi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786" w:type="dxa"/>
            <w:vMerge w:val="restart"/>
            <w:vAlign w:val="center"/>
          </w:tcPr>
          <w:p w14:paraId="21A17294">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472" w:type="dxa"/>
            <w:vAlign w:val="center"/>
          </w:tcPr>
          <w:p w14:paraId="59E793B5">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w:t>
            </w:r>
          </w:p>
          <w:p w14:paraId="37759E05">
            <w:pPr>
              <w:pageBreakBefore w:val="0"/>
              <w:kinsoku/>
              <w:wordWrap w:val="0"/>
              <w:overflowPunct/>
              <w:topLinePunct w:val="0"/>
              <w:bidi w:val="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8C6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atLeast"/>
          <w:tblHeader/>
        </w:trPr>
        <w:tc>
          <w:tcPr>
            <w:tcW w:w="629" w:type="dxa"/>
            <w:vMerge w:val="continue"/>
          </w:tcPr>
          <w:p w14:paraId="7FB4A8AF">
            <w:pPr>
              <w:pageBreakBefore w:val="0"/>
              <w:kinsoku/>
              <w:wordWrap w:val="0"/>
              <w:overflowPunct/>
              <w:topLinePunct w:val="0"/>
              <w:bidi w:val="0"/>
              <w:snapToGrid w:val="0"/>
              <w:jc w:val="center"/>
              <w:rPr>
                <w:rFonts w:hint="eastAsia" w:ascii="宋体" w:hAnsi="宋体" w:eastAsia="宋体" w:cs="宋体"/>
                <w:color w:val="auto"/>
                <w:sz w:val="24"/>
                <w:highlight w:val="none"/>
              </w:rPr>
            </w:pPr>
          </w:p>
        </w:tc>
        <w:tc>
          <w:tcPr>
            <w:tcW w:w="1786" w:type="dxa"/>
            <w:vMerge w:val="continue"/>
            <w:vAlign w:val="center"/>
          </w:tcPr>
          <w:p w14:paraId="2A7D1608">
            <w:pPr>
              <w:pageBreakBefore w:val="0"/>
              <w:kinsoku/>
              <w:wordWrap w:val="0"/>
              <w:overflowPunct/>
              <w:topLinePunct w:val="0"/>
              <w:bidi w:val="0"/>
              <w:snapToGrid w:val="0"/>
              <w:ind w:firstLine="482"/>
              <w:jc w:val="center"/>
              <w:rPr>
                <w:rFonts w:hint="eastAsia" w:ascii="宋体" w:hAnsi="宋体" w:eastAsia="宋体" w:cs="宋体"/>
                <w:b/>
                <w:color w:val="auto"/>
                <w:sz w:val="24"/>
                <w:highlight w:val="none"/>
              </w:rPr>
            </w:pPr>
          </w:p>
        </w:tc>
        <w:tc>
          <w:tcPr>
            <w:tcW w:w="6472" w:type="dxa"/>
            <w:vAlign w:val="center"/>
          </w:tcPr>
          <w:p w14:paraId="55E9D69F">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20CE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5" w:hRule="atLeast"/>
          <w:tblHeader/>
        </w:trPr>
        <w:tc>
          <w:tcPr>
            <w:tcW w:w="629" w:type="dxa"/>
            <w:vAlign w:val="center"/>
          </w:tcPr>
          <w:p w14:paraId="64B1A5C9">
            <w:pPr>
              <w:pageBreakBefore w:val="0"/>
              <w:kinsoku/>
              <w:wordWrap w:val="0"/>
              <w:overflowPunct/>
              <w:topLinePunct w:val="0"/>
              <w:bidi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786" w:type="dxa"/>
            <w:vAlign w:val="center"/>
          </w:tcPr>
          <w:p w14:paraId="125E44A4">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472" w:type="dxa"/>
            <w:vAlign w:val="center"/>
          </w:tcPr>
          <w:p w14:paraId="56642741">
            <w:pPr>
              <w:pageBreakBefore w:val="0"/>
              <w:kinsoku/>
              <w:wordWrap w:val="0"/>
              <w:overflowPunct/>
              <w:topLinePunct w:val="0"/>
              <w:bidi w:val="0"/>
              <w:snapToGrid w:val="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482164A4">
            <w:pPr>
              <w:pageBreakBefore w:val="0"/>
              <w:kinsoku/>
              <w:wordWrap w:val="0"/>
              <w:overflowPunct/>
              <w:topLinePunct w:val="0"/>
              <w:bidi w:val="0"/>
              <w:snapToGrid w:val="0"/>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投标报价出现下列情形的，投标无效：</w:t>
            </w:r>
          </w:p>
          <w:p w14:paraId="25D46009">
            <w:pPr>
              <w:pageBreakBefore w:val="0"/>
              <w:kinsoku/>
              <w:wordWrap w:val="0"/>
              <w:overflowPunct/>
              <w:topLinePunct w:val="0"/>
              <w:bidi w:val="0"/>
              <w:snapToGrid w:val="0"/>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14:paraId="79A22C49">
            <w:pPr>
              <w:pageBreakBefore w:val="0"/>
              <w:kinsoku/>
              <w:wordWrap w:val="0"/>
              <w:overflowPunct/>
              <w:topLinePunct w:val="0"/>
              <w:bidi w:val="0"/>
              <w:snapToGrid w:val="0"/>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w:t>
            </w:r>
          </w:p>
          <w:p w14:paraId="74B5E567">
            <w:pPr>
              <w:pageBreakBefore w:val="0"/>
              <w:kinsoku/>
              <w:wordWrap w:val="0"/>
              <w:overflowPunct/>
              <w:topLinePunct w:val="0"/>
              <w:bidi w:val="0"/>
              <w:ind w:firstLine="240" w:firstLineChars="100"/>
              <w:rPr>
                <w:rFonts w:hint="eastAsia" w:ascii="宋体" w:hAnsi="宋体" w:eastAsia="宋体" w:cs="宋体"/>
                <w:b/>
                <w:color w:val="auto"/>
                <w:sz w:val="24"/>
                <w:szCs w:val="21"/>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6861AB87">
            <w:pPr>
              <w:pageBreakBefore w:val="0"/>
              <w:kinsoku/>
              <w:wordWrap w:val="0"/>
              <w:overflowPunct/>
              <w:topLinePunct w:val="0"/>
              <w:bidi w:val="0"/>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62A0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blHeader/>
        </w:trPr>
        <w:tc>
          <w:tcPr>
            <w:tcW w:w="629" w:type="dxa"/>
            <w:vAlign w:val="center"/>
          </w:tcPr>
          <w:p w14:paraId="11A23F1A">
            <w:pPr>
              <w:pageBreakBefore w:val="0"/>
              <w:kinsoku/>
              <w:wordWrap w:val="0"/>
              <w:overflowPunct/>
              <w:topLinePunct w:val="0"/>
              <w:bidi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786" w:type="dxa"/>
            <w:vAlign w:val="center"/>
          </w:tcPr>
          <w:p w14:paraId="4C1D14EE">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w:t>
            </w:r>
          </w:p>
          <w:p w14:paraId="0C3186BC">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送达地点和</w:t>
            </w:r>
          </w:p>
          <w:p w14:paraId="5DD5298D">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签收人员</w:t>
            </w:r>
          </w:p>
        </w:tc>
        <w:tc>
          <w:tcPr>
            <w:tcW w:w="6472" w:type="dxa"/>
            <w:vAlign w:val="center"/>
          </w:tcPr>
          <w:p w14:paraId="21082C1A">
            <w:pPr>
              <w:pStyle w:val="34"/>
              <w:pageBreakBefore w:val="0"/>
              <w:kinsoku/>
              <w:wordWrap w:val="0"/>
              <w:overflowPunct/>
              <w:topLinePunct w:val="0"/>
              <w:bidi w:val="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▲未传输递交电子投标文件的，投标无效。</w:t>
            </w:r>
          </w:p>
          <w:p w14:paraId="23AC1E3E">
            <w:pPr>
              <w:pStyle w:val="34"/>
              <w:pageBreakBefore w:val="0"/>
              <w:kinsoku/>
              <w:wordWrap w:val="0"/>
              <w:overflowPunct/>
              <w:topLinePunct w:val="0"/>
              <w:bidi w:val="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▲未按规定提供相应的备份投标文件，造成项目开评标活动无法进行下去的，投标无效。</w:t>
            </w:r>
          </w:p>
          <w:p w14:paraId="72CF5C12">
            <w:pPr>
              <w:pStyle w:val="34"/>
              <w:pageBreakBefore w:val="0"/>
              <w:kinsoku/>
              <w:wordWrap w:val="0"/>
              <w:overflowPunct/>
              <w:topLinePunct w:val="0"/>
              <w:bidi w:val="0"/>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lang w:eastAsia="zh-CN"/>
              </w:rPr>
              <w:t>浙江省杭州市建德市法院路9号4楼</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lang w:val="en-US" w:eastAsia="zh-CN"/>
              </w:rPr>
              <w:t>刘女士</w:t>
            </w:r>
            <w:r>
              <w:rPr>
                <w:rFonts w:hint="eastAsia" w:ascii="宋体" w:hAnsi="宋体" w:eastAsia="宋体" w:cs="宋体"/>
                <w:color w:val="auto"/>
                <w:kern w:val="28"/>
                <w:sz w:val="24"/>
                <w:szCs w:val="24"/>
                <w:highlight w:val="none"/>
                <w:u w:val="single"/>
              </w:rPr>
              <w:t>，</w:t>
            </w:r>
            <w:r>
              <w:rPr>
                <w:rFonts w:hint="eastAsia" w:ascii="宋体" w:hAnsi="宋体" w:eastAsia="宋体" w:cs="宋体"/>
                <w:color w:val="auto"/>
                <w:kern w:val="28"/>
                <w:sz w:val="24"/>
                <w:szCs w:val="24"/>
                <w:highlight w:val="none"/>
                <w:u w:val="single"/>
                <w:lang w:val="en-US" w:eastAsia="zh-CN"/>
              </w:rPr>
              <w:t>15968841245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02C9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blHeader/>
        </w:trPr>
        <w:tc>
          <w:tcPr>
            <w:tcW w:w="629" w:type="dxa"/>
            <w:vAlign w:val="center"/>
          </w:tcPr>
          <w:p w14:paraId="36FAF536">
            <w:pPr>
              <w:pageBreakBefore w:val="0"/>
              <w:kinsoku/>
              <w:wordWrap w:val="0"/>
              <w:overflowPunct/>
              <w:topLinePunct w:val="0"/>
              <w:bidi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786" w:type="dxa"/>
            <w:vAlign w:val="center"/>
          </w:tcPr>
          <w:p w14:paraId="713D156C">
            <w:pPr>
              <w:pageBreakBefore w:val="0"/>
              <w:kinsoku/>
              <w:wordWrap w:val="0"/>
              <w:overflowPunct/>
              <w:topLinePunct w:val="0"/>
              <w:bidi w:val="0"/>
              <w:jc w:val="center"/>
              <w:rPr>
                <w:rFonts w:hint="eastAsia" w:ascii="宋体" w:hAnsi="宋体" w:eastAsia="宋体" w:cs="宋体"/>
                <w:snapToGrid w:val="0"/>
                <w:color w:val="auto"/>
                <w:kern w:val="28"/>
                <w:sz w:val="24"/>
                <w:highlight w:val="none"/>
              </w:rPr>
            </w:pPr>
            <w:r>
              <w:rPr>
                <w:rFonts w:hint="eastAsia" w:ascii="宋体" w:hAnsi="宋体" w:eastAsia="宋体" w:cs="宋体"/>
                <w:b/>
                <w:bCs/>
                <w:snapToGrid w:val="0"/>
                <w:color w:val="auto"/>
                <w:kern w:val="28"/>
                <w:sz w:val="24"/>
                <w:highlight w:val="none"/>
                <w:lang w:val="zh-CN"/>
              </w:rPr>
              <w:t>纸质版投标文件要求</w:t>
            </w:r>
          </w:p>
        </w:tc>
        <w:tc>
          <w:tcPr>
            <w:tcW w:w="6472" w:type="dxa"/>
            <w:vAlign w:val="center"/>
          </w:tcPr>
          <w:p w14:paraId="6AC0F778">
            <w:pPr>
              <w:pageBreakBefore w:val="0"/>
              <w:kinsoku/>
              <w:wordWrap w:val="0"/>
              <w:overflowPunct/>
              <w:topLinePunct w:val="0"/>
              <w:bidi w:val="0"/>
              <w:rPr>
                <w:rFonts w:hint="eastAsia" w:ascii="宋体" w:hAnsi="宋体" w:eastAsia="宋体" w:cs="宋体"/>
                <w:snapToGrid w:val="0"/>
                <w:color w:val="auto"/>
                <w:kern w:val="28"/>
                <w:sz w:val="24"/>
                <w:highlight w:val="none"/>
                <w:lang w:val="zh-CN" w:eastAsia="zh-CN"/>
              </w:rPr>
            </w:pPr>
            <w:r>
              <w:rPr>
                <w:rFonts w:hint="eastAsia" w:ascii="宋体" w:hAnsi="宋体" w:eastAsia="宋体" w:cs="宋体"/>
                <w:snapToGrid w:val="0"/>
                <w:color w:val="auto"/>
                <w:kern w:val="28"/>
                <w:sz w:val="24"/>
                <w:highlight w:val="none"/>
                <w:lang w:val="zh-CN" w:eastAsia="zh-CN"/>
              </w:rPr>
              <w:t>中标人必须在中标后三日内递交纸质版投标文件。（未提供纸质投标文件或纸质投标文件与电子投标文件不一致的，不得签订合同）</w:t>
            </w:r>
          </w:p>
          <w:p w14:paraId="250FB238">
            <w:pPr>
              <w:pageBreakBefore w:val="0"/>
              <w:kinsoku/>
              <w:wordWrap w:val="0"/>
              <w:overflowPunct/>
              <w:topLinePunct w:val="0"/>
              <w:bidi w:val="0"/>
              <w:rPr>
                <w:rFonts w:hint="eastAsia" w:ascii="宋体" w:hAnsi="宋体" w:eastAsia="宋体" w:cs="宋体"/>
                <w:color w:val="auto"/>
                <w:highlight w:val="none"/>
              </w:rPr>
            </w:pPr>
            <w:r>
              <w:rPr>
                <w:rFonts w:hint="eastAsia" w:ascii="宋体" w:hAnsi="宋体" w:eastAsia="宋体" w:cs="宋体"/>
                <w:snapToGrid w:val="0"/>
                <w:color w:val="auto"/>
                <w:kern w:val="28"/>
                <w:sz w:val="24"/>
                <w:highlight w:val="none"/>
                <w:lang w:val="zh-CN" w:eastAsia="zh-CN"/>
              </w:rPr>
              <w:t>纸质版</w:t>
            </w:r>
            <w:r>
              <w:rPr>
                <w:rFonts w:hint="eastAsia" w:ascii="宋体" w:hAnsi="宋体" w:eastAsia="宋体" w:cs="宋体"/>
                <w:snapToGrid w:val="0"/>
                <w:color w:val="auto"/>
                <w:kern w:val="28"/>
                <w:sz w:val="24"/>
                <w:highlight w:val="none"/>
                <w:lang w:eastAsia="zh-CN"/>
              </w:rPr>
              <w:t>投标</w:t>
            </w:r>
            <w:r>
              <w:rPr>
                <w:rFonts w:hint="eastAsia" w:ascii="宋体" w:hAnsi="宋体" w:eastAsia="宋体" w:cs="宋体"/>
                <w:snapToGrid w:val="0"/>
                <w:color w:val="auto"/>
                <w:kern w:val="28"/>
                <w:sz w:val="24"/>
                <w:highlight w:val="none"/>
                <w:lang w:val="zh-CN" w:eastAsia="zh-CN"/>
              </w:rPr>
              <w:t>文件的组成：由资格文件、</w:t>
            </w:r>
            <w:r>
              <w:rPr>
                <w:rFonts w:hint="eastAsia" w:ascii="宋体" w:hAnsi="宋体" w:eastAsia="宋体" w:cs="宋体"/>
                <w:snapToGrid w:val="0"/>
                <w:color w:val="auto"/>
                <w:kern w:val="28"/>
                <w:sz w:val="24"/>
                <w:highlight w:val="none"/>
                <w:lang w:eastAsia="zh-CN"/>
              </w:rPr>
              <w:t>商务</w:t>
            </w:r>
            <w:r>
              <w:rPr>
                <w:rFonts w:hint="eastAsia" w:ascii="宋体" w:hAnsi="宋体" w:eastAsia="宋体" w:cs="宋体"/>
                <w:snapToGrid w:val="0"/>
                <w:color w:val="auto"/>
                <w:kern w:val="28"/>
                <w:sz w:val="24"/>
                <w:highlight w:val="none"/>
                <w:lang w:val="zh-CN" w:eastAsia="zh-CN"/>
              </w:rPr>
              <w:t>技术文件、报价文件各正本1份，副本</w:t>
            </w:r>
            <w:r>
              <w:rPr>
                <w:rFonts w:hint="eastAsia" w:ascii="宋体" w:hAnsi="宋体" w:eastAsia="宋体" w:cs="宋体"/>
                <w:snapToGrid w:val="0"/>
                <w:color w:val="auto"/>
                <w:kern w:val="28"/>
                <w:sz w:val="24"/>
                <w:highlight w:val="none"/>
                <w:lang w:val="en-US" w:eastAsia="zh-CN"/>
              </w:rPr>
              <w:t>5</w:t>
            </w:r>
            <w:r>
              <w:rPr>
                <w:rFonts w:hint="eastAsia" w:ascii="宋体" w:hAnsi="宋体" w:eastAsia="宋体" w:cs="宋体"/>
                <w:snapToGrid w:val="0"/>
                <w:color w:val="auto"/>
                <w:kern w:val="28"/>
                <w:sz w:val="24"/>
                <w:highlight w:val="none"/>
                <w:lang w:eastAsia="zh-CN"/>
              </w:rPr>
              <w:t>份</w:t>
            </w:r>
            <w:r>
              <w:rPr>
                <w:rFonts w:hint="eastAsia" w:ascii="宋体" w:hAnsi="宋体" w:eastAsia="宋体" w:cs="宋体"/>
                <w:snapToGrid w:val="0"/>
                <w:color w:val="auto"/>
                <w:kern w:val="28"/>
                <w:sz w:val="24"/>
                <w:highlight w:val="none"/>
                <w:lang w:val="zh-CN" w:eastAsia="zh-CN"/>
              </w:rPr>
              <w:t>（副本可为正本的复印件，标书封面加盖公章）组成。以上文件须采用胶装装订方式。</w:t>
            </w:r>
          </w:p>
        </w:tc>
      </w:tr>
      <w:tr w14:paraId="3F0C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32D30010">
            <w:pPr>
              <w:pageBreakBefore w:val="0"/>
              <w:kinsoku/>
              <w:wordWrap w:val="0"/>
              <w:overflowPunct/>
              <w:topLinePunct w:val="0"/>
              <w:bidi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786" w:type="dxa"/>
            <w:vAlign w:val="center"/>
          </w:tcPr>
          <w:p w14:paraId="4BC291F3">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472" w:type="dxa"/>
            <w:vAlign w:val="center"/>
          </w:tcPr>
          <w:p w14:paraId="7AA265C7">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786CC7E1">
            <w:pPr>
              <w:pageBreakBefore w:val="0"/>
              <w:kinsoku/>
              <w:wordWrap w:val="0"/>
              <w:overflowPunct/>
              <w:topLinePunct w:val="0"/>
              <w:bidi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响应总报价应包含采购服务费，采购服务费按照国家发展计划委员会计价格[2002]1980 号文《招标代理服务费管理暂行办法》及发改办价格[2003]857号文的收费标准（</w:t>
            </w:r>
            <w:r>
              <w:rPr>
                <w:rFonts w:hint="eastAsia" w:ascii="宋体" w:hAnsi="宋体" w:eastAsia="宋体" w:cs="宋体"/>
                <w:color w:val="auto"/>
                <w:sz w:val="24"/>
                <w:highlight w:val="none"/>
                <w:lang w:eastAsia="zh-CN"/>
              </w:rPr>
              <w:t>货物</w:t>
            </w:r>
            <w:r>
              <w:rPr>
                <w:rFonts w:hint="eastAsia" w:ascii="宋体" w:hAnsi="宋体" w:eastAsia="宋体" w:cs="宋体"/>
                <w:snapToGrid w:val="0"/>
                <w:color w:val="auto"/>
                <w:kern w:val="28"/>
                <w:sz w:val="24"/>
                <w:highlight w:val="none"/>
              </w:rPr>
              <w:t>类）计取，</w:t>
            </w:r>
            <w:r>
              <w:rPr>
                <w:rFonts w:hint="eastAsia" w:ascii="宋体" w:hAnsi="宋体" w:eastAsia="宋体" w:cs="宋体"/>
                <w:snapToGrid w:val="0"/>
                <w:color w:val="auto"/>
                <w:kern w:val="28"/>
                <w:sz w:val="24"/>
                <w:szCs w:val="24"/>
                <w:highlight w:val="none"/>
                <w:shd w:val="clear"/>
              </w:rPr>
              <w:t>采购服务费</w:t>
            </w:r>
            <w:r>
              <w:rPr>
                <w:rFonts w:hint="eastAsia" w:ascii="宋体" w:hAnsi="宋体" w:eastAsia="宋体" w:cs="宋体"/>
                <w:snapToGrid w:val="0"/>
                <w:color w:val="auto"/>
                <w:kern w:val="28"/>
                <w:sz w:val="24"/>
                <w:szCs w:val="24"/>
                <w:highlight w:val="none"/>
                <w:shd w:val="clear"/>
                <w:lang w:val="en-US" w:eastAsia="zh-CN"/>
              </w:rPr>
              <w:t>为</w:t>
            </w:r>
            <w:r>
              <w:rPr>
                <w:rFonts w:hint="eastAsia" w:ascii="宋体" w:hAnsi="宋体" w:eastAsia="宋体" w:cs="宋体"/>
                <w:snapToGrid w:val="0"/>
                <w:color w:val="auto"/>
                <w:kern w:val="28"/>
                <w:sz w:val="24"/>
                <w:szCs w:val="24"/>
                <w:highlight w:val="none"/>
                <w:shd w:val="clear"/>
              </w:rPr>
              <w:t>人民币</w:t>
            </w:r>
            <w:r>
              <w:rPr>
                <w:rFonts w:hint="eastAsia" w:ascii="宋体" w:hAnsi="宋体" w:cs="宋体"/>
                <w:snapToGrid w:val="0"/>
                <w:color w:val="auto"/>
                <w:kern w:val="28"/>
                <w:sz w:val="24"/>
                <w:szCs w:val="24"/>
                <w:highlight w:val="none"/>
                <w:shd w:val="clear"/>
                <w:lang w:val="en-US" w:eastAsia="zh-CN"/>
              </w:rPr>
              <w:t>贰仟玖佰玖拾陆</w:t>
            </w:r>
            <w:r>
              <w:rPr>
                <w:rFonts w:hint="eastAsia" w:ascii="宋体" w:hAnsi="宋体" w:eastAsia="宋体" w:cs="宋体"/>
                <w:snapToGrid w:val="0"/>
                <w:color w:val="auto"/>
                <w:kern w:val="28"/>
                <w:sz w:val="24"/>
                <w:szCs w:val="24"/>
                <w:highlight w:val="none"/>
                <w:shd w:val="clear"/>
                <w:lang w:val="en-US" w:eastAsia="zh-CN"/>
              </w:rPr>
              <w:t>元整</w:t>
            </w:r>
            <w:r>
              <w:rPr>
                <w:rFonts w:hint="eastAsia" w:ascii="宋体" w:hAnsi="宋体" w:eastAsia="宋体" w:cs="宋体"/>
                <w:snapToGrid w:val="0"/>
                <w:color w:val="auto"/>
                <w:kern w:val="28"/>
                <w:sz w:val="24"/>
                <w:szCs w:val="24"/>
                <w:highlight w:val="none"/>
                <w:shd w:val="clear"/>
              </w:rPr>
              <w:t>（¥：</w:t>
            </w:r>
            <w:r>
              <w:rPr>
                <w:rFonts w:hint="eastAsia" w:ascii="宋体" w:hAnsi="宋体" w:cs="宋体"/>
                <w:snapToGrid w:val="0"/>
                <w:color w:val="auto"/>
                <w:kern w:val="28"/>
                <w:sz w:val="24"/>
                <w:szCs w:val="24"/>
                <w:highlight w:val="none"/>
                <w:shd w:val="clear"/>
                <w:lang w:val="en-US" w:eastAsia="zh-CN"/>
              </w:rPr>
              <w:t>2996</w:t>
            </w:r>
            <w:r>
              <w:rPr>
                <w:rFonts w:hint="eastAsia" w:ascii="宋体" w:hAnsi="宋体" w:eastAsia="宋体" w:cs="宋体"/>
                <w:snapToGrid w:val="0"/>
                <w:color w:val="auto"/>
                <w:kern w:val="28"/>
                <w:sz w:val="24"/>
                <w:szCs w:val="24"/>
                <w:highlight w:val="none"/>
                <w:shd w:val="clear"/>
                <w:lang w:val="en-US" w:eastAsia="zh-CN"/>
              </w:rPr>
              <w:t>.00</w:t>
            </w:r>
            <w:r>
              <w:rPr>
                <w:rFonts w:hint="eastAsia" w:ascii="宋体" w:hAnsi="宋体" w:eastAsia="宋体" w:cs="宋体"/>
                <w:snapToGrid w:val="0"/>
                <w:color w:val="auto"/>
                <w:kern w:val="28"/>
                <w:sz w:val="24"/>
                <w:szCs w:val="24"/>
                <w:highlight w:val="none"/>
                <w:shd w:val="clear"/>
              </w:rPr>
              <w:t>元）</w:t>
            </w:r>
            <w:r>
              <w:rPr>
                <w:rFonts w:hint="eastAsia" w:ascii="宋体" w:hAnsi="宋体" w:eastAsia="宋体" w:cs="宋体"/>
                <w:snapToGrid w:val="0"/>
                <w:color w:val="auto"/>
                <w:kern w:val="28"/>
                <w:sz w:val="24"/>
                <w:highlight w:val="none"/>
              </w:rPr>
              <w:t>；由</w:t>
            </w:r>
            <w:r>
              <w:rPr>
                <w:rFonts w:hint="eastAsia" w:ascii="宋体" w:hAnsi="宋体" w:eastAsia="宋体" w:cs="宋体"/>
                <w:snapToGrid w:val="0"/>
                <w:color w:val="auto"/>
                <w:kern w:val="28"/>
                <w:sz w:val="24"/>
                <w:highlight w:val="none"/>
                <w:lang w:eastAsia="zh-CN"/>
              </w:rPr>
              <w:t>中标</w:t>
            </w:r>
            <w:r>
              <w:rPr>
                <w:rFonts w:hint="eastAsia" w:ascii="宋体" w:hAnsi="宋体" w:eastAsia="宋体" w:cs="宋体"/>
                <w:snapToGrid w:val="0"/>
                <w:color w:val="auto"/>
                <w:kern w:val="28"/>
                <w:sz w:val="24"/>
                <w:highlight w:val="none"/>
              </w:rPr>
              <w:t>供应商在领取</w:t>
            </w:r>
            <w:r>
              <w:rPr>
                <w:rFonts w:hint="eastAsia" w:ascii="宋体" w:hAnsi="宋体" w:eastAsia="宋体" w:cs="宋体"/>
                <w:snapToGrid w:val="0"/>
                <w:color w:val="auto"/>
                <w:kern w:val="28"/>
                <w:sz w:val="24"/>
                <w:highlight w:val="none"/>
                <w:lang w:eastAsia="zh-CN"/>
              </w:rPr>
              <w:t>中标</w:t>
            </w:r>
            <w:r>
              <w:rPr>
                <w:rFonts w:hint="eastAsia" w:ascii="宋体" w:hAnsi="宋体" w:eastAsia="宋体" w:cs="宋体"/>
                <w:snapToGrid w:val="0"/>
                <w:color w:val="auto"/>
                <w:kern w:val="28"/>
                <w:sz w:val="24"/>
                <w:highlight w:val="none"/>
              </w:rPr>
              <w:t>通知书时支付给采购代理公司</w:t>
            </w:r>
            <w:r>
              <w:rPr>
                <w:rFonts w:hint="eastAsia" w:ascii="宋体" w:hAnsi="宋体" w:eastAsia="宋体" w:cs="宋体"/>
                <w:snapToGrid w:val="0"/>
                <w:color w:val="auto"/>
                <w:kern w:val="28"/>
                <w:sz w:val="24"/>
                <w:highlight w:val="none"/>
                <w:lang w:eastAsia="zh-CN"/>
              </w:rPr>
              <w:t>。</w:t>
            </w:r>
          </w:p>
        </w:tc>
      </w:tr>
      <w:tr w14:paraId="13EB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vAlign w:val="center"/>
          </w:tcPr>
          <w:p w14:paraId="21182739">
            <w:pPr>
              <w:pageBreakBefore w:val="0"/>
              <w:kinsoku/>
              <w:wordWrap w:val="0"/>
              <w:overflowPunct/>
              <w:topLinePunct w:val="0"/>
              <w:bidi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786" w:type="dxa"/>
            <w:vMerge w:val="restart"/>
            <w:vAlign w:val="center"/>
          </w:tcPr>
          <w:p w14:paraId="275E0CF7">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472" w:type="dxa"/>
            <w:vAlign w:val="center"/>
          </w:tcPr>
          <w:p w14:paraId="6B1A4797">
            <w:pPr>
              <w:pageBreakBefore w:val="0"/>
              <w:kinsoku/>
              <w:wordWrap w:val="0"/>
              <w:overflowPunct/>
              <w:topLinePunct w:val="0"/>
              <w:bidi w:val="0"/>
              <w:spacing w:line="24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DFB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69A35911">
            <w:pPr>
              <w:pageBreakBefore w:val="0"/>
              <w:kinsoku/>
              <w:wordWrap w:val="0"/>
              <w:overflowPunct/>
              <w:topLinePunct w:val="0"/>
              <w:bidi w:val="0"/>
              <w:snapToGrid w:val="0"/>
              <w:jc w:val="center"/>
              <w:rPr>
                <w:rFonts w:hint="eastAsia" w:ascii="宋体" w:hAnsi="宋体" w:eastAsia="宋体" w:cs="宋体"/>
                <w:color w:val="auto"/>
                <w:sz w:val="24"/>
                <w:highlight w:val="none"/>
              </w:rPr>
            </w:pPr>
          </w:p>
        </w:tc>
        <w:tc>
          <w:tcPr>
            <w:tcW w:w="1786" w:type="dxa"/>
            <w:vMerge w:val="continue"/>
            <w:vAlign w:val="center"/>
          </w:tcPr>
          <w:p w14:paraId="2B60D6D6">
            <w:pPr>
              <w:pageBreakBefore w:val="0"/>
              <w:kinsoku/>
              <w:wordWrap w:val="0"/>
              <w:overflowPunct/>
              <w:topLinePunct w:val="0"/>
              <w:bidi w:val="0"/>
              <w:snapToGrid w:val="0"/>
              <w:jc w:val="center"/>
              <w:rPr>
                <w:rFonts w:hint="eastAsia" w:ascii="宋体" w:hAnsi="宋体" w:eastAsia="宋体" w:cs="宋体"/>
                <w:b/>
                <w:color w:val="auto"/>
                <w:sz w:val="24"/>
                <w:highlight w:val="none"/>
              </w:rPr>
            </w:pPr>
          </w:p>
        </w:tc>
        <w:tc>
          <w:tcPr>
            <w:tcW w:w="6472" w:type="dxa"/>
            <w:vAlign w:val="center"/>
          </w:tcPr>
          <w:p w14:paraId="5DC92EB6">
            <w:pPr>
              <w:pageBreakBefore w:val="0"/>
              <w:kinsoku/>
              <w:wordWrap w:val="0"/>
              <w:overflowPunct/>
              <w:topLinePunct w:val="0"/>
              <w:bidi w:val="0"/>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6284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68C550FC">
            <w:pPr>
              <w:pageBreakBefore w:val="0"/>
              <w:kinsoku/>
              <w:wordWrap w:val="0"/>
              <w:overflowPunct/>
              <w:topLinePunct w:val="0"/>
              <w:bidi w:val="0"/>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517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B23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tblHeader/>
        </w:trPr>
        <w:tc>
          <w:tcPr>
            <w:tcW w:w="629" w:type="dxa"/>
            <w:vAlign w:val="center"/>
          </w:tcPr>
          <w:p w14:paraId="410C8BD5">
            <w:pPr>
              <w:pageBreakBefore w:val="0"/>
              <w:kinsoku/>
              <w:wordWrap w:val="0"/>
              <w:overflowPunct/>
              <w:topLinePunct w:val="0"/>
              <w:bidi w:val="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786" w:type="dxa"/>
            <w:vAlign w:val="center"/>
          </w:tcPr>
          <w:p w14:paraId="060C3B56">
            <w:pPr>
              <w:pageBreakBefore w:val="0"/>
              <w:kinsoku/>
              <w:wordWrap w:val="0"/>
              <w:overflowPunct/>
              <w:topLinePunct w:val="0"/>
              <w:bidi w:val="0"/>
              <w:snapToGrid w:val="0"/>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其他</w:t>
            </w:r>
          </w:p>
        </w:tc>
        <w:tc>
          <w:tcPr>
            <w:tcW w:w="6472" w:type="dxa"/>
            <w:vAlign w:val="center"/>
          </w:tcPr>
          <w:p w14:paraId="3C3F7677">
            <w:pPr>
              <w:pageBreakBefore w:val="0"/>
              <w:kinsoku/>
              <w:wordWrap w:val="0"/>
              <w:overflowPunct/>
              <w:topLinePunct w:val="0"/>
              <w:bidi w:val="0"/>
              <w:snapToGrid w:val="0"/>
              <w:jc w:val="left"/>
              <w:rPr>
                <w:rFonts w:hint="eastAsia" w:ascii="宋体" w:hAnsi="宋体" w:eastAsia="宋体" w:cs="宋体"/>
                <w:color w:val="auto"/>
                <w:kern w:val="0"/>
                <w:sz w:val="24"/>
                <w:highlight w:val="none"/>
              </w:rPr>
            </w:pPr>
            <w:r>
              <w:rPr>
                <w:rFonts w:hint="eastAsia" w:ascii="宋体" w:hAnsi="宋体" w:eastAsia="宋体" w:cs="宋体"/>
                <w:b w:val="0"/>
                <w:bCs w:val="0"/>
                <w:color w:val="auto"/>
                <w:sz w:val="24"/>
                <w:highlight w:val="none"/>
                <w:lang w:val="en-US" w:eastAsia="zh-CN"/>
              </w:rPr>
              <w:t>现场踏勘：供应商如需现场踏勘，自行与采购单位联系，不统一组织。</w:t>
            </w:r>
          </w:p>
        </w:tc>
      </w:tr>
    </w:tbl>
    <w:p w14:paraId="4517D321">
      <w:pPr>
        <w:pageBreakBefore w:val="0"/>
        <w:kinsoku/>
        <w:wordWrap w:val="0"/>
        <w:overflowPunct/>
        <w:topLinePunct w:val="0"/>
        <w:bidi w:val="0"/>
        <w:snapToGrid w:val="0"/>
        <w:spacing w:line="360" w:lineRule="auto"/>
        <w:ind w:firstLine="643"/>
        <w:jc w:val="center"/>
        <w:rPr>
          <w:rFonts w:hint="eastAsia" w:ascii="宋体" w:hAnsi="宋体" w:eastAsia="宋体" w:cs="宋体"/>
          <w:b/>
          <w:color w:val="auto"/>
          <w:sz w:val="32"/>
          <w:szCs w:val="20"/>
          <w:highlight w:val="none"/>
        </w:rPr>
      </w:pPr>
    </w:p>
    <w:p w14:paraId="2082CC89">
      <w:pPr>
        <w:pageBreakBefore w:val="0"/>
        <w:kinsoku/>
        <w:wordWrap w:val="0"/>
        <w:overflowPunct/>
        <w:topLinePunct w:val="0"/>
        <w:bidi w:val="0"/>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09199F8">
      <w:pPr>
        <w:pageBreakBefore w:val="0"/>
        <w:kinsoku/>
        <w:wordWrap w:val="0"/>
        <w:overflowPunct/>
        <w:topLinePunct w:val="0"/>
        <w:bidi w:val="0"/>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7497E242">
      <w:pPr>
        <w:pageBreakBefore w:val="0"/>
        <w:kinsoku/>
        <w:wordWrap w:val="0"/>
        <w:overflowPunct/>
        <w:topLinePunct w:val="0"/>
        <w:bidi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2BDC1DFF">
      <w:pPr>
        <w:pageBreakBefore w:val="0"/>
        <w:kinsoku/>
        <w:wordWrap w:val="0"/>
        <w:overflowPunct/>
        <w:topLinePunct w:val="0"/>
        <w:bidi w:val="0"/>
        <w:adjustRightInd/>
        <w:spacing w:line="360" w:lineRule="auto"/>
        <w:ind w:firstLine="241" w:firstLineChars="1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4BD696FD">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20FB634">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226E1F87">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162E64D">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7919543D">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FC5AAC">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w:t>
      </w:r>
      <w:r>
        <w:rPr>
          <w:rFonts w:hint="eastAsia" w:ascii="宋体" w:hAnsi="宋体" w:eastAsia="宋体" w:cs="宋体"/>
          <w:color w:val="auto"/>
          <w:sz w:val="24"/>
          <w:highlight w:val="none"/>
          <w:lang w:val="en-US" w:eastAsia="zh-CN"/>
        </w:rPr>
        <w:t>乐采</w:t>
      </w:r>
      <w:r>
        <w:rPr>
          <w:rFonts w:hint="eastAsia" w:ascii="宋体" w:hAnsi="宋体" w:eastAsia="宋体" w:cs="宋体"/>
          <w:color w:val="auto"/>
          <w:sz w:val="24"/>
          <w:highlight w:val="none"/>
        </w:rPr>
        <w:t>云平台（</w:t>
      </w:r>
      <w:r>
        <w:rPr>
          <w:rFonts w:hint="eastAsia" w:ascii="宋体" w:hAnsi="宋体" w:eastAsia="宋体" w:cs="宋体"/>
          <w:color w:val="auto"/>
          <w:sz w:val="24"/>
          <w:highlight w:val="none"/>
          <w:lang w:eastAsia="zh-CN"/>
        </w:rPr>
        <w:t>https://www.lecaiyun.com/</w:t>
      </w:r>
      <w:r>
        <w:rPr>
          <w:rFonts w:hint="eastAsia" w:ascii="宋体" w:hAnsi="宋体" w:eastAsia="宋体" w:cs="宋体"/>
          <w:color w:val="auto"/>
          <w:sz w:val="24"/>
          <w:highlight w:val="none"/>
        </w:rPr>
        <w:t>）。</w:t>
      </w:r>
    </w:p>
    <w:p w14:paraId="1E1BB628">
      <w:pPr>
        <w:pageBreakBefore w:val="0"/>
        <w:kinsoku/>
        <w:wordWrap w:val="0"/>
        <w:overflowPunct/>
        <w:topLinePunct w:val="0"/>
        <w:bidi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r>
        <w:rPr>
          <w:rFonts w:hint="eastAsia" w:ascii="宋体" w:hAnsi="宋体" w:eastAsia="宋体" w:cs="宋体"/>
          <w:color w:val="auto"/>
          <w:sz w:val="24"/>
          <w:highlight w:val="none"/>
        </w:rPr>
        <w:cr/>
      </w: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.询问、质疑、投诉</w:t>
      </w:r>
    </w:p>
    <w:p w14:paraId="1F444153">
      <w:pPr>
        <w:pageBreakBefore w:val="0"/>
        <w:kinsoku/>
        <w:wordWrap w:val="0"/>
        <w:overflowPunct/>
        <w:topLinePunct w:val="0"/>
        <w:autoSpaceDE w:val="0"/>
        <w:autoSpaceDN w:val="0"/>
        <w:bidi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593FD7AD">
      <w:pPr>
        <w:pageBreakBefore w:val="0"/>
        <w:kinsoku/>
        <w:wordWrap w:val="0"/>
        <w:overflowPunct/>
        <w:topLinePunct w:val="0"/>
        <w:autoSpaceDE w:val="0"/>
        <w:autoSpaceDN w:val="0"/>
        <w:bidi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.2供应商询问</w:t>
      </w:r>
    </w:p>
    <w:p w14:paraId="429A5842">
      <w:pPr>
        <w:pageBreakBefore w:val="0"/>
        <w:kinsoku/>
        <w:wordWrap w:val="0"/>
        <w:overflowPunct/>
        <w:topLinePunct w:val="0"/>
        <w:autoSpaceDE w:val="0"/>
        <w:autoSpaceDN w:val="0"/>
        <w:bidi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供应商对非政府采购活动事项有疑问的，可以提出询问，采购人或者采购代理机构应当在</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1591C4EA">
      <w:pPr>
        <w:pageBreakBefore w:val="0"/>
        <w:kinsoku/>
        <w:wordWrap w:val="0"/>
        <w:overflowPunct/>
        <w:topLinePunct w:val="0"/>
        <w:autoSpaceDE w:val="0"/>
        <w:autoSpaceDN w:val="0"/>
        <w:bidi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.3供应商质疑</w:t>
      </w:r>
    </w:p>
    <w:p w14:paraId="3149EB4E">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8164093">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E4AA94E">
      <w:pPr>
        <w:pStyle w:val="5"/>
        <w:pageBreakBefore w:val="0"/>
        <w:kinsoku/>
        <w:wordWrap w:val="0"/>
        <w:overflowPunct/>
        <w:topLinePunct w:val="0"/>
        <w:bidi w:val="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lang w:val="en-US" w:eastAsia="zh-CN"/>
        </w:rPr>
        <w:t>3</w:t>
      </w:r>
      <w:r>
        <w:rPr>
          <w:rFonts w:hint="eastAsia" w:ascii="宋体" w:hAnsi="宋体" w:eastAsia="宋体" w:cs="宋体"/>
          <w:snapToGrid/>
          <w:color w:val="auto"/>
          <w:kern w:val="2"/>
          <w:sz w:val="24"/>
          <w:highlight w:val="none"/>
        </w:rPr>
        <w:t>.3.2.1对招标文件提出质疑的，质疑期限为供应商获得招标文件之日或者招标文件公告期限届满之日起计算。</w:t>
      </w:r>
    </w:p>
    <w:p w14:paraId="312A67B5">
      <w:pPr>
        <w:pStyle w:val="34"/>
        <w:pageBreakBefore w:val="0"/>
        <w:kinsoku/>
        <w:wordWrap w:val="0"/>
        <w:overflowPunct/>
        <w:topLinePunct w:val="0"/>
        <w:bidi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.3.2.2对采购过程提出质疑的，质疑期限为各采购程序环节结束之日起计算。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.3.2.3对采购结果提出质疑的，质疑期限自采购结果公告期限届满之日起计算。</w:t>
      </w:r>
    </w:p>
    <w:p w14:paraId="075C673F">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sz w:val="24"/>
          <w:highlight w:val="none"/>
        </w:rPr>
        <w:t>供应商提出质疑应当提交质疑函和必要的证明材料。质疑函应当包括下列内容：</w:t>
      </w:r>
    </w:p>
    <w:p w14:paraId="57B622AF">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ascii="宋体" w:hAnsi="宋体" w:eastAsia="宋体" w:cs="宋体"/>
          <w:color w:val="auto"/>
          <w:kern w:val="0"/>
          <w:sz w:val="24"/>
          <w:highlight w:val="none"/>
          <w:lang w:val="en-US" w:eastAsia="zh-CN"/>
        </w:rPr>
        <w:t>3.3.3.</w:t>
      </w:r>
      <w:r>
        <w:rPr>
          <w:rFonts w:hint="eastAsia" w:ascii="宋体" w:hAnsi="宋体" w:eastAsia="宋体" w:cs="宋体"/>
          <w:color w:val="auto"/>
          <w:kern w:val="0"/>
          <w:sz w:val="24"/>
          <w:highlight w:val="none"/>
          <w:lang w:val="zh-CN"/>
        </w:rPr>
        <w:t>1供应商的姓名或者名称、地址、邮编、联系人及联系电话；</w:t>
      </w:r>
    </w:p>
    <w:p w14:paraId="45001878">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3.3.3.2质疑项目的名称、编号；</w:t>
      </w:r>
    </w:p>
    <w:p w14:paraId="7368E174">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3.3.3.3具体、明确的质疑事项和与质疑事项相关的请求；</w:t>
      </w:r>
    </w:p>
    <w:p w14:paraId="1AABC47A">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3.3.3.4事实依据；</w:t>
      </w:r>
    </w:p>
    <w:p w14:paraId="5A6F36E4">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3.3.3.5必要的法律依据；</w:t>
      </w:r>
    </w:p>
    <w:p w14:paraId="73493DBD">
      <w:pPr>
        <w:pStyle w:val="34"/>
        <w:pageBreakBefore w:val="0"/>
        <w:kinsoku/>
        <w:wordWrap w:val="0"/>
        <w:overflowPunct/>
        <w:topLinePunct w:val="0"/>
        <w:bidi w:val="0"/>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3.3.3.6提出质疑的日期。</w:t>
      </w:r>
    </w:p>
    <w:p w14:paraId="1BAE3306">
      <w:pPr>
        <w:pStyle w:val="890"/>
        <w:pageBreakBefore w:val="0"/>
        <w:kinsoku/>
        <w:wordWrap w:val="0"/>
        <w:overflowPunct/>
        <w:topLinePunct w:val="0"/>
        <w:bidi w:val="0"/>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D227965">
      <w:pPr>
        <w:pStyle w:val="890"/>
        <w:pageBreakBefore w:val="0"/>
        <w:kinsoku/>
        <w:wordWrap w:val="0"/>
        <w:overflowPunct/>
        <w:topLinePunct w:val="0"/>
        <w:bidi w:val="0"/>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EE9689E">
      <w:pPr>
        <w:pStyle w:val="890"/>
        <w:pageBreakBefore w:val="0"/>
        <w:kinsoku/>
        <w:wordWrap w:val="0"/>
        <w:overflowPunct/>
        <w:topLinePunct w:val="0"/>
        <w:bidi w:val="0"/>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.3.4对同一采购程序环节的质疑，供应商须在法定质疑期内一次性提出。</w:t>
      </w:r>
    </w:p>
    <w:p w14:paraId="4B4170DD">
      <w:pPr>
        <w:pStyle w:val="890"/>
        <w:pageBreakBefore w:val="0"/>
        <w:kinsoku/>
        <w:wordWrap w:val="0"/>
        <w:overflowPunct/>
        <w:topLinePunct w:val="0"/>
        <w:bidi w:val="0"/>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.3</w:t>
      </w:r>
      <w:r>
        <w:rPr>
          <w:rFonts w:hint="eastAsia" w:ascii="宋体" w:hAnsi="宋体" w:eastAsia="宋体" w:cs="宋体"/>
          <w:color w:val="auto"/>
          <w:highlight w:val="none"/>
        </w:rPr>
        <w:t>.5采购人或者采购代理机构应当在收到供应商的书面质疑后七个工作日内作出答复，但答复的内容不得涉及商业秘密。</w:t>
      </w:r>
    </w:p>
    <w:p w14:paraId="6EAFE2C0">
      <w:pPr>
        <w:pStyle w:val="890"/>
        <w:pageBreakBefore w:val="0"/>
        <w:kinsoku/>
        <w:wordWrap w:val="0"/>
        <w:overflowPunct/>
        <w:topLinePunct w:val="0"/>
        <w:bidi w:val="0"/>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1A2F5C1D">
      <w:pPr>
        <w:pStyle w:val="890"/>
        <w:pageBreakBefore w:val="0"/>
        <w:kinsoku/>
        <w:wordWrap w:val="0"/>
        <w:overflowPunct/>
        <w:topLinePunct w:val="0"/>
        <w:bidi w:val="0"/>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.4供应商投诉</w:t>
      </w:r>
    </w:p>
    <w:p w14:paraId="49E49653">
      <w:pPr>
        <w:pStyle w:val="890"/>
        <w:pageBreakBefore w:val="0"/>
        <w:kinsoku/>
        <w:wordWrap w:val="0"/>
        <w:overflowPunct/>
        <w:topLinePunct w:val="0"/>
        <w:bidi w:val="0"/>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.4.1质疑供应商对采购人、采购代理机构的答复不满意或者采购人、采购代理机构未在规定的时间内作出答复的，可以在答复期满后十五个工作日内向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4"/>
          <w:highlight w:val="none"/>
        </w:rPr>
        <w:t>监管部门</w:t>
      </w:r>
      <w:r>
        <w:rPr>
          <w:rFonts w:hint="eastAsia" w:ascii="宋体" w:hAnsi="宋体" w:eastAsia="宋体" w:cs="宋体"/>
          <w:color w:val="auto"/>
          <w:highlight w:val="none"/>
        </w:rPr>
        <w:t>提出投诉。</w:t>
      </w:r>
    </w:p>
    <w:p w14:paraId="2F350FDE">
      <w:pPr>
        <w:pStyle w:val="890"/>
        <w:pageBreakBefore w:val="0"/>
        <w:kinsoku/>
        <w:wordWrap w:val="0"/>
        <w:overflowPunct/>
        <w:topLinePunct w:val="0"/>
        <w:bidi w:val="0"/>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D1ED4F2">
      <w:pPr>
        <w:pStyle w:val="890"/>
        <w:pageBreakBefore w:val="0"/>
        <w:kinsoku/>
        <w:wordWrap w:val="0"/>
        <w:overflowPunct/>
        <w:topLinePunct w:val="0"/>
        <w:bidi w:val="0"/>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.4.3供应商投诉应当有明确的请求和必要的证明材料。</w:t>
      </w:r>
    </w:p>
    <w:p w14:paraId="10E2D332">
      <w:pPr>
        <w:pStyle w:val="890"/>
        <w:pageBreakBefore w:val="0"/>
        <w:kinsoku/>
        <w:wordWrap w:val="0"/>
        <w:overflowPunct/>
        <w:topLinePunct w:val="0"/>
        <w:bidi w:val="0"/>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.4.4以联合体形式参加政府采购活动的，其投诉应当由组成联合体的所有供应商共同提出。</w:t>
      </w:r>
    </w:p>
    <w:p w14:paraId="164D90BB">
      <w:pPr>
        <w:pStyle w:val="890"/>
        <w:pageBreakBefore w:val="0"/>
        <w:kinsoku/>
        <w:wordWrap w:val="0"/>
        <w:overflowPunct/>
        <w:topLinePunct w:val="0"/>
        <w:bidi w:val="0"/>
        <w:snapToGrid w:val="0"/>
        <w:spacing w:after="240" w:afterAutospacing="0" w:line="360" w:lineRule="auto"/>
        <w:ind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3B1CF2ED">
      <w:pPr>
        <w:pStyle w:val="136"/>
        <w:pageBreakBefore w:val="0"/>
        <w:kinsoku/>
        <w:wordWrap w:val="0"/>
        <w:overflowPunct/>
        <w:topLinePunct w:val="0"/>
        <w:bidi w:val="0"/>
        <w:snapToGrid w:val="0"/>
        <w:spacing w:before="0"/>
        <w:ind w:firstLine="360"/>
        <w:rPr>
          <w:rFonts w:hint="eastAsia" w:ascii="宋体" w:hAnsi="宋体" w:eastAsia="宋体" w:cs="宋体"/>
          <w:color w:val="auto"/>
          <w:sz w:val="18"/>
          <w:szCs w:val="18"/>
          <w:highlight w:val="none"/>
        </w:rPr>
      </w:pPr>
    </w:p>
    <w:p w14:paraId="54BC2952">
      <w:pPr>
        <w:pageBreakBefore w:val="0"/>
        <w:kinsoku/>
        <w:wordWrap w:val="0"/>
        <w:overflowPunct/>
        <w:topLinePunct w:val="0"/>
        <w:bidi w:val="0"/>
        <w:adjustRightInd/>
        <w:spacing w:line="360" w:lineRule="auto"/>
        <w:ind w:firstLine="643"/>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4D0AAD2">
      <w:pPr>
        <w:pStyle w:val="34"/>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hAnsi="宋体" w:cs="宋体"/>
          <w:b/>
          <w:color w:val="auto"/>
          <w:sz w:val="24"/>
          <w:szCs w:val="24"/>
          <w:highlight w:val="none"/>
          <w:lang w:eastAsia="zh-CN"/>
        </w:rPr>
        <w:t>.</w:t>
      </w:r>
      <w:r>
        <w:rPr>
          <w:rFonts w:hint="eastAsia" w:ascii="宋体" w:hAnsi="宋体" w:eastAsia="宋体" w:cs="宋体"/>
          <w:b/>
          <w:color w:val="auto"/>
          <w:sz w:val="24"/>
          <w:szCs w:val="24"/>
          <w:highlight w:val="none"/>
        </w:rPr>
        <w:t>招标文件的构成</w:t>
      </w:r>
    </w:p>
    <w:p w14:paraId="2E27A1D8">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招标文件包括下列文件及附件：</w:t>
      </w:r>
    </w:p>
    <w:p w14:paraId="12FD9E8A">
      <w:pPr>
        <w:pStyle w:val="34"/>
        <w:pageBreakBefore w:val="0"/>
        <w:tabs>
          <w:tab w:val="left" w:pos="840"/>
        </w:tabs>
        <w:kinsoku/>
        <w:wordWrap w:val="0"/>
        <w:overflowPunct/>
        <w:topLinePunct w:val="0"/>
        <w:bidi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.1.1招标公告；</w:t>
      </w:r>
    </w:p>
    <w:p w14:paraId="1D52457E">
      <w:pPr>
        <w:pStyle w:val="34"/>
        <w:pageBreakBefore w:val="0"/>
        <w:tabs>
          <w:tab w:val="left" w:pos="840"/>
        </w:tabs>
        <w:kinsoku/>
        <w:wordWrap w:val="0"/>
        <w:overflowPunct/>
        <w:topLinePunct w:val="0"/>
        <w:bidi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.1.2投标人须知；</w:t>
      </w:r>
    </w:p>
    <w:p w14:paraId="4BDD99FF">
      <w:pPr>
        <w:pStyle w:val="34"/>
        <w:pageBreakBefore w:val="0"/>
        <w:tabs>
          <w:tab w:val="left" w:pos="840"/>
        </w:tabs>
        <w:kinsoku/>
        <w:wordWrap w:val="0"/>
        <w:overflowPunct/>
        <w:topLinePunct w:val="0"/>
        <w:bidi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.1.3采购需求；</w:t>
      </w:r>
    </w:p>
    <w:p w14:paraId="2C319753">
      <w:pPr>
        <w:pStyle w:val="34"/>
        <w:pageBreakBefore w:val="0"/>
        <w:tabs>
          <w:tab w:val="left" w:pos="840"/>
        </w:tabs>
        <w:kinsoku/>
        <w:wordWrap w:val="0"/>
        <w:overflowPunct/>
        <w:topLinePunct w:val="0"/>
        <w:bidi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.1.4评标办法；</w:t>
      </w:r>
    </w:p>
    <w:p w14:paraId="1267F247">
      <w:pPr>
        <w:pStyle w:val="34"/>
        <w:pageBreakBefore w:val="0"/>
        <w:tabs>
          <w:tab w:val="left" w:pos="840"/>
        </w:tabs>
        <w:kinsoku/>
        <w:wordWrap w:val="0"/>
        <w:overflowPunct/>
        <w:topLinePunct w:val="0"/>
        <w:bidi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14:paraId="43756C73">
      <w:pPr>
        <w:pStyle w:val="34"/>
        <w:pageBreakBefore w:val="0"/>
        <w:tabs>
          <w:tab w:val="left" w:pos="840"/>
        </w:tabs>
        <w:kinsoku/>
        <w:wordWrap w:val="0"/>
        <w:overflowPunct/>
        <w:topLinePunct w:val="0"/>
        <w:bidi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14:paraId="662FFB93">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0E60381">
      <w:pPr>
        <w:pStyle w:val="34"/>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.招标文件的澄清、修改</w:t>
      </w:r>
    </w:p>
    <w:p w14:paraId="19DC8486">
      <w:pPr>
        <w:pStyle w:val="136"/>
        <w:pageBreakBefore w:val="0"/>
        <w:kinsoku/>
        <w:wordWrap w:val="0"/>
        <w:overflowPunct/>
        <w:topLinePunct w:val="0"/>
        <w:bidi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.1已获取招标文件的潜在投标人，若有问题需要澄清，应于投标截止时间前，以书面形式向采购代理机构提出。</w:t>
      </w:r>
    </w:p>
    <w:p w14:paraId="1F20FC82">
      <w:pPr>
        <w:pStyle w:val="136"/>
        <w:pageBreakBefore w:val="0"/>
        <w:kinsoku/>
        <w:wordWrap w:val="0"/>
        <w:overflowPunct/>
        <w:topLinePunct w:val="0"/>
        <w:bidi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174695">
      <w:pPr>
        <w:pStyle w:val="24"/>
        <w:pageBreakBefore w:val="0"/>
        <w:kinsoku/>
        <w:wordWrap w:val="0"/>
        <w:overflowPunct/>
        <w:topLinePunct w:val="0"/>
        <w:bidi w:val="0"/>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B7572A5">
      <w:pPr>
        <w:pageBreakBefore w:val="0"/>
        <w:kinsoku/>
        <w:wordWrap w:val="0"/>
        <w:overflowPunct/>
        <w:topLinePunct w:val="0"/>
        <w:bidi w:val="0"/>
        <w:adjustRightInd/>
        <w:spacing w:line="360" w:lineRule="auto"/>
        <w:ind w:firstLine="602"/>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41806CCA">
      <w:pPr>
        <w:pStyle w:val="34"/>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.招标文件的获取</w:t>
      </w:r>
    </w:p>
    <w:p w14:paraId="177442FE">
      <w:pPr>
        <w:pageBreakBefore w:val="0"/>
        <w:kinsoku/>
        <w:wordWrap w:val="0"/>
        <w:overflowPunct/>
        <w:topLinePunct w:val="0"/>
        <w:bidi w:val="0"/>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71C1A5BB">
      <w:pPr>
        <w:pStyle w:val="34"/>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.开标前答疑会或现场考察</w:t>
      </w:r>
    </w:p>
    <w:p w14:paraId="423CE2C5">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F2A9990">
      <w:pPr>
        <w:pStyle w:val="34"/>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.投标文件的语言</w:t>
      </w:r>
    </w:p>
    <w:p w14:paraId="2E0D0915">
      <w:pPr>
        <w:pageBreakBefore w:val="0"/>
        <w:kinsoku/>
        <w:wordWrap w:val="0"/>
        <w:overflowPunct/>
        <w:topLinePunct w:val="0"/>
        <w:autoSpaceDE w:val="0"/>
        <w:autoSpaceDN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投标文件及投标人与采购有关的来往通知、函件和文件均应使用中文。</w:t>
      </w:r>
    </w:p>
    <w:p w14:paraId="239A5192">
      <w:pPr>
        <w:pageBreakBefore w:val="0"/>
        <w:numPr>
          <w:ilvl w:val="0"/>
          <w:numId w:val="0"/>
        </w:numPr>
        <w:kinsoku/>
        <w:wordWrap w:val="0"/>
        <w:overflowPunct/>
        <w:topLinePunct w:val="0"/>
        <w:autoSpaceDE w:val="0"/>
        <w:autoSpaceDN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9.</w:t>
      </w:r>
      <w:r>
        <w:rPr>
          <w:rFonts w:hint="eastAsia" w:ascii="宋体" w:hAnsi="宋体" w:eastAsia="宋体" w:cs="宋体"/>
          <w:b/>
          <w:bCs/>
          <w:color w:val="auto"/>
          <w:sz w:val="24"/>
          <w:szCs w:val="24"/>
          <w:highlight w:val="none"/>
        </w:rPr>
        <w:t>投标文件</w:t>
      </w:r>
      <w:r>
        <w:rPr>
          <w:rFonts w:hint="eastAsia" w:ascii="宋体" w:hAnsi="宋体" w:eastAsia="宋体" w:cs="宋体"/>
          <w:b/>
          <w:color w:val="auto"/>
          <w:sz w:val="24"/>
          <w:szCs w:val="24"/>
          <w:highlight w:val="none"/>
        </w:rPr>
        <w:t>的组成</w:t>
      </w:r>
    </w:p>
    <w:p w14:paraId="4C277430">
      <w:pPr>
        <w:pStyle w:val="34"/>
        <w:pageBreakBefore w:val="0"/>
        <w:kinsoku/>
        <w:wordWrap w:val="0"/>
        <w:overflowPunct/>
        <w:topLinePunct w:val="0"/>
        <w:bidi w:val="0"/>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24"/>
          <w:highlight w:val="none"/>
          <w:u w:val="single"/>
        </w:rPr>
        <w:t>响应文件组成如下：</w:t>
      </w:r>
    </w:p>
    <w:p w14:paraId="0B53876F">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14128C0C">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eastAsia="zh-CN"/>
        </w:rPr>
        <w:t>非</w:t>
      </w:r>
      <w:r>
        <w:rPr>
          <w:rFonts w:hint="eastAsia" w:ascii="宋体" w:hAnsi="宋体" w:eastAsia="宋体" w:cs="宋体"/>
          <w:color w:val="auto"/>
          <w:sz w:val="24"/>
          <w:highlight w:val="none"/>
        </w:rPr>
        <w:t>政府采购活动应当具备的一般条件的承诺函；</w:t>
      </w:r>
    </w:p>
    <w:p w14:paraId="3540EC79">
      <w:pPr>
        <w:pageBreakBefore w:val="0"/>
        <w:kinsoku/>
        <w:wordWrap w:val="0"/>
        <w:overflowPunct/>
        <w:topLinePunct w:val="0"/>
        <w:bidi w:val="0"/>
        <w:snapToGrid w:val="0"/>
        <w:spacing w:line="360" w:lineRule="auto"/>
        <w:ind w:firstLine="960" w:firstLineChars="400"/>
        <w:rPr>
          <w:rFonts w:hint="eastAsia" w:ascii="宋体" w:hAnsi="宋体" w:eastAsia="宋体" w:cs="宋体"/>
          <w:snapToGrid w:val="0"/>
          <w:color w:val="auto"/>
          <w:kern w:val="28"/>
          <w:sz w:val="24"/>
          <w:szCs w:val="20"/>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snapToGrid w:val="0"/>
          <w:color w:val="auto"/>
          <w:kern w:val="28"/>
          <w:sz w:val="24"/>
          <w:szCs w:val="20"/>
          <w:highlight w:val="none"/>
        </w:rPr>
        <w:t>联合协议（如果有)；</w:t>
      </w:r>
    </w:p>
    <w:p w14:paraId="00615C94">
      <w:pPr>
        <w:pageBreakBefore w:val="0"/>
        <w:kinsoku/>
        <w:wordWrap w:val="0"/>
        <w:overflowPunct/>
        <w:topLinePunct w:val="0"/>
        <w:bidi w:val="0"/>
        <w:snapToGrid w:val="0"/>
        <w:spacing w:line="360" w:lineRule="auto"/>
        <w:ind w:firstLine="960" w:firstLineChars="4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eastAsia="zh-CN"/>
        </w:rPr>
        <w:t>9</w:t>
      </w:r>
      <w:r>
        <w:rPr>
          <w:rFonts w:hint="eastAsia" w:ascii="宋体" w:hAnsi="宋体" w:eastAsia="宋体" w:cs="宋体"/>
          <w:snapToGrid w:val="0"/>
          <w:color w:val="auto"/>
          <w:kern w:val="28"/>
          <w:sz w:val="24"/>
          <w:szCs w:val="20"/>
          <w:highlight w:val="none"/>
        </w:rPr>
        <w:t>.1.3落实采购政策需满足的资格要求（如果有)；</w:t>
      </w:r>
    </w:p>
    <w:p w14:paraId="1E33CC46">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rPr>
      </w:pPr>
    </w:p>
    <w:p w14:paraId="026FA0C5">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A1BF2B5">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BB4BB29">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.2.1投标函；</w:t>
      </w:r>
      <w:r>
        <w:rPr>
          <w:rFonts w:hint="eastAsia" w:ascii="宋体" w:hAnsi="宋体" w:eastAsia="宋体" w:cs="宋体"/>
          <w:color w:val="auto"/>
          <w:sz w:val="24"/>
          <w:highlight w:val="none"/>
          <w:lang w:val="zh-CN"/>
        </w:rPr>
        <w:t xml:space="preserve"> </w:t>
      </w:r>
    </w:p>
    <w:p w14:paraId="451F3179">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.2.2授权委托书或法定代表人（单位负责人、自然人本人）身份证明；</w:t>
      </w:r>
    </w:p>
    <w:p w14:paraId="3D2C80BE">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.2.3分包意向协议（如果有)；</w:t>
      </w:r>
    </w:p>
    <w:p w14:paraId="369CE729">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.2.4符合性审查资料；</w:t>
      </w:r>
    </w:p>
    <w:p w14:paraId="5D4941B5">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.2.5评标标准相应的商务技术资料；</w:t>
      </w:r>
    </w:p>
    <w:p w14:paraId="5D1E8084">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.2.6投标标的清单；</w:t>
      </w:r>
    </w:p>
    <w:p w14:paraId="29C2BADC">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.2.7商务技术偏离表；</w:t>
      </w:r>
    </w:p>
    <w:p w14:paraId="38A77578">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CB846E3">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1E9111C2">
      <w:pPr>
        <w:pageBreakBefore w:val="0"/>
        <w:kinsoku/>
        <w:wordWrap w:val="0"/>
        <w:overflowPunct/>
        <w:topLinePunct w:val="0"/>
        <w:bidi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.3.1开标一览表（报价表）；</w:t>
      </w:r>
    </w:p>
    <w:p w14:paraId="05E5F9AF">
      <w:pPr>
        <w:pageBreakBefore w:val="0"/>
        <w:kinsoku/>
        <w:wordWrap w:val="0"/>
        <w:overflowPunct/>
        <w:topLinePunct w:val="0"/>
        <w:bidi w:val="0"/>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4C41034C">
      <w:pPr>
        <w:pageBreakBefore w:val="0"/>
        <w:kinsoku/>
        <w:wordWrap w:val="0"/>
        <w:overflowPunct/>
        <w:topLinePunct w:val="0"/>
        <w:bidi w:val="0"/>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647F0D6C">
      <w:pPr>
        <w:pStyle w:val="136"/>
        <w:pageBreakBefore w:val="0"/>
        <w:kinsoku/>
        <w:wordWrap w:val="0"/>
        <w:overflowPunct/>
        <w:topLinePunct w:val="0"/>
        <w:bidi w:val="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0</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投标文件的编制</w:t>
      </w:r>
    </w:p>
    <w:p w14:paraId="1F772962">
      <w:pPr>
        <w:pageBreakBefore w:val="0"/>
        <w:kinsoku/>
        <w:wordWrap w:val="0"/>
        <w:overflowPunct/>
        <w:topLinePunct w:val="0"/>
        <w:bidi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74F80A">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.2安装“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电子交易客户端”----投标人通过</w:t>
      </w:r>
      <w:r>
        <w:rPr>
          <w:rFonts w:hint="eastAsia" w:ascii="宋体" w:hAnsi="宋体" w:eastAsia="宋体" w:cs="宋体"/>
          <w:color w:val="auto"/>
          <w:kern w:val="0"/>
          <w:sz w:val="24"/>
          <w:highlight w:val="none"/>
          <w:lang w:val="zh-CN" w:eastAsia="zh-CN"/>
        </w:rPr>
        <w:t>乐采云平台</w:t>
      </w:r>
      <w:r>
        <w:rPr>
          <w:rFonts w:hint="eastAsia" w:ascii="宋体" w:hAnsi="宋体" w:eastAsia="宋体" w:cs="宋体"/>
          <w:color w:val="auto"/>
          <w:kern w:val="0"/>
          <w:sz w:val="24"/>
          <w:highlight w:val="none"/>
          <w:lang w:val="zh-CN"/>
        </w:rPr>
        <w:t>电子投标工具制作投标文件，前往“</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-电子交易客户端”进行下载并安装。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电子交易客户端：https://sitecdn.zcycdn.com/zcy-client/bidding-client-new/official/lcy/LeCaiYunSetup.latest.exe</w:t>
      </w:r>
    </w:p>
    <w:p w14:paraId="5E2CF41D">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val="zh-CN"/>
        </w:rPr>
        <w:t>.3使用“乐采云电子交易客户端”需要提前申领CA数字证书，申领CA数字证书---申领流程详见“</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CA管理-申领CA证书</w:t>
      </w:r>
      <w:r>
        <w:rPr>
          <w:rFonts w:hint="eastAsia" w:ascii="宋体" w:hAnsi="宋体" w:eastAsia="宋体" w:cs="宋体"/>
          <w:color w:val="auto"/>
          <w:kern w:val="0"/>
          <w:sz w:val="24"/>
          <w:highlight w:val="none"/>
          <w:lang w:val="zh-CN"/>
        </w:rPr>
        <w:t>-CA驱动和申领流程”：投标人应在开标前完成CA数字证书办理，完成CA数字证书办理预计1-2周左右，各投标人应充分考虑办理时间等因素。</w:t>
      </w:r>
    </w:p>
    <w:p w14:paraId="42B7BEEE">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办理流程详见:CA管理操作指南https://lecaiyun.com/helpcenter/document#/document/detail?siteCode=lecaiyun&amp;manualId=2185&amp;topicId=12851</w:t>
      </w:r>
    </w:p>
    <w:p w14:paraId="124EC139">
      <w:pPr>
        <w:pStyle w:val="45"/>
        <w:pageBreakBefore w:val="0"/>
        <w:kinsoku/>
        <w:wordWrap w:val="0"/>
        <w:overflowPunct/>
        <w:topLinePunct w:val="0"/>
        <w:bidi w:val="0"/>
        <w:rPr>
          <w:rFonts w:hint="eastAsia" w:ascii="宋体" w:hAnsi="宋体" w:eastAsia="宋体" w:cs="宋体"/>
          <w:color w:val="auto"/>
          <w:highlight w:val="none"/>
          <w:lang w:val="zh-CN"/>
        </w:rPr>
      </w:pPr>
    </w:p>
    <w:p w14:paraId="35CC4009">
      <w:pPr>
        <w:pageBreakBefore w:val="0"/>
        <w:kinsoku/>
        <w:wordWrap w:val="0"/>
        <w:overflowPunct/>
        <w:topLinePunct w:val="0"/>
        <w:bidi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.投标文件的签署、盖章</w:t>
      </w:r>
    </w:p>
    <w:p w14:paraId="172A72C1">
      <w:pPr>
        <w:pStyle w:val="136"/>
        <w:pageBreakBefore w:val="0"/>
        <w:kinsoku/>
        <w:wordWrap w:val="0"/>
        <w:overflowPunct/>
        <w:topLinePunct w:val="0"/>
        <w:bidi w:val="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AB06F4F">
      <w:pPr>
        <w:pStyle w:val="136"/>
        <w:pageBreakBefore w:val="0"/>
        <w:kinsoku/>
        <w:wordWrap w:val="0"/>
        <w:overflowPunct/>
        <w:topLinePunct w:val="0"/>
        <w:bidi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.2为确保网上操作合法、有效和安全，投标人应当在投标截止时间前完成在“</w:t>
      </w:r>
      <w:r>
        <w:rPr>
          <w:rFonts w:hint="eastAsia" w:ascii="宋体" w:hAnsi="宋体" w:eastAsia="宋体" w:cs="宋体"/>
          <w:color w:val="auto"/>
          <w:highlight w:val="none"/>
          <w:lang w:val="en-US"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14:paraId="480D5E4D">
      <w:pPr>
        <w:pStyle w:val="136"/>
        <w:pageBreakBefore w:val="0"/>
        <w:kinsoku/>
        <w:wordWrap w:val="0"/>
        <w:overflowPunct/>
        <w:topLinePunct w:val="0"/>
        <w:bidi w:val="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.3招标文件对投标文件签署、盖章的要求适用于电子签名。</w:t>
      </w:r>
    </w:p>
    <w:p w14:paraId="0932127D">
      <w:pPr>
        <w:pStyle w:val="136"/>
        <w:pageBreakBefore w:val="0"/>
        <w:kinsoku/>
        <w:wordWrap w:val="0"/>
        <w:overflowPunct/>
        <w:topLinePunct w:val="0"/>
        <w:bidi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2</w:t>
      </w:r>
      <w:r>
        <w:rPr>
          <w:rFonts w:hint="eastAsia" w:ascii="宋体" w:hAnsi="宋体" w:eastAsia="宋体" w:cs="宋体"/>
          <w:b/>
          <w:color w:val="auto"/>
          <w:szCs w:val="24"/>
          <w:highlight w:val="none"/>
        </w:rPr>
        <w:t>.投标文件的提交、补充、修改、撤回</w:t>
      </w:r>
    </w:p>
    <w:p w14:paraId="146433DC">
      <w:pPr>
        <w:pStyle w:val="136"/>
        <w:pageBreakBefore w:val="0"/>
        <w:kinsoku/>
        <w:wordWrap w:val="0"/>
        <w:overflowPunct/>
        <w:topLinePunct w:val="0"/>
        <w:bidi w:val="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44C1B43">
      <w:pPr>
        <w:pStyle w:val="136"/>
        <w:pageBreakBefore w:val="0"/>
        <w:kinsoku/>
        <w:wordWrap w:val="0"/>
        <w:overflowPunct/>
        <w:topLinePunct w:val="0"/>
        <w:bidi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16ADC4B2">
      <w:pPr>
        <w:pStyle w:val="136"/>
        <w:pageBreakBefore w:val="0"/>
        <w:kinsoku/>
        <w:wordWrap w:val="0"/>
        <w:overflowPunct/>
        <w:topLinePunct w:val="0"/>
        <w:bidi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EB00887">
      <w:pPr>
        <w:pStyle w:val="34"/>
        <w:pageBreakBefore w:val="0"/>
        <w:kinsoku/>
        <w:wordWrap w:val="0"/>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.备份投标文件</w:t>
      </w:r>
    </w:p>
    <w:p w14:paraId="25DB1C3D">
      <w:pPr>
        <w:pStyle w:val="34"/>
        <w:pageBreakBefore w:val="0"/>
        <w:kinsoku/>
        <w:wordWrap w:val="0"/>
        <w:overflowPunct/>
        <w:topLinePunct w:val="0"/>
        <w:bidi w:val="0"/>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712C7953">
      <w:pPr>
        <w:pStyle w:val="34"/>
        <w:pageBreakBefore w:val="0"/>
        <w:kinsoku/>
        <w:wordWrap w:val="0"/>
        <w:overflowPunct/>
        <w:topLinePunct w:val="0"/>
        <w:bidi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.2备份投标文件须在“</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7F75EF9">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.3直接提交备份投标文件的，投标人应于投标截止时间前在招标公告中载明的开标地点将备份投标文件提交给采购代理机构，采购代理机构将拒绝接受逾期送达的备份投标文件。</w:t>
      </w:r>
    </w:p>
    <w:p w14:paraId="5F0A7212">
      <w:pPr>
        <w:pStyle w:val="34"/>
        <w:pageBreakBefore w:val="0"/>
        <w:kinsoku/>
        <w:wordWrap w:val="0"/>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8DF48C5">
      <w:pPr>
        <w:pStyle w:val="34"/>
        <w:pageBreakBefore w:val="0"/>
        <w:kinsoku/>
        <w:wordWrap w:val="0"/>
        <w:overflowPunct/>
        <w:topLinePunct w:val="0"/>
        <w:bidi w:val="0"/>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.5投标人仅提交备份投标文件，未在电子交易平台传输递交投标文件的，投标无效。</w:t>
      </w:r>
    </w:p>
    <w:p w14:paraId="1728D064">
      <w:pPr>
        <w:pStyle w:val="136"/>
        <w:pageBreakBefore w:val="0"/>
        <w:kinsoku/>
        <w:wordWrap w:val="0"/>
        <w:overflowPunct/>
        <w:topLinePunct w:val="0"/>
        <w:bidi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4</w:t>
      </w:r>
      <w:r>
        <w:rPr>
          <w:rFonts w:hint="eastAsia" w:ascii="宋体" w:hAnsi="宋体" w:eastAsia="宋体" w:cs="宋体"/>
          <w:b/>
          <w:color w:val="auto"/>
          <w:szCs w:val="24"/>
          <w:highlight w:val="none"/>
        </w:rPr>
        <w:t>.投标文件的无效处理</w:t>
      </w:r>
    </w:p>
    <w:p w14:paraId="4FE9EA81">
      <w:pPr>
        <w:pStyle w:val="6"/>
        <w:pageBreakBefore w:val="0"/>
        <w:kinsoku/>
        <w:wordWrap w:val="0"/>
        <w:overflowPunct/>
        <w:topLinePunct w:val="0"/>
        <w:bidi w:val="0"/>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534A573B">
      <w:pPr>
        <w:pStyle w:val="136"/>
        <w:pageBreakBefore w:val="0"/>
        <w:kinsoku/>
        <w:wordWrap w:val="0"/>
        <w:overflowPunct/>
        <w:topLinePunct w:val="0"/>
        <w:bidi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.投标有效期</w:t>
      </w:r>
    </w:p>
    <w:p w14:paraId="20F05EE2">
      <w:pPr>
        <w:pageBreakBefore w:val="0"/>
        <w:kinsoku/>
        <w:wordWrap w:val="0"/>
        <w:overflowPunct/>
        <w:topLinePunct w:val="0"/>
        <w:bidi w:val="0"/>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E4A023E">
      <w:pPr>
        <w:pStyle w:val="136"/>
        <w:pageBreakBefore w:val="0"/>
        <w:kinsoku/>
        <w:wordWrap w:val="0"/>
        <w:overflowPunct/>
        <w:topLinePunct w:val="0"/>
        <w:bidi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.2投标文件合格投递后，自投标截止日期起，在投标有效期内有效。</w:t>
      </w:r>
    </w:p>
    <w:p w14:paraId="0E4C6C2A">
      <w:pPr>
        <w:pStyle w:val="136"/>
        <w:pageBreakBefore w:val="0"/>
        <w:kinsoku/>
        <w:wordWrap w:val="0"/>
        <w:overflowPunct/>
        <w:topLinePunct w:val="0"/>
        <w:bidi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003DAB12">
      <w:pPr>
        <w:pStyle w:val="136"/>
        <w:pageBreakBefore w:val="0"/>
        <w:kinsoku/>
        <w:wordWrap w:val="0"/>
        <w:overflowPunct/>
        <w:topLinePunct w:val="0"/>
        <w:bidi w:val="0"/>
        <w:spacing w:before="0"/>
        <w:ind w:firstLine="643"/>
        <w:rPr>
          <w:rFonts w:hint="eastAsia" w:ascii="宋体" w:hAnsi="宋体" w:eastAsia="宋体" w:cs="宋体"/>
          <w:b/>
          <w:color w:val="auto"/>
          <w:sz w:val="32"/>
          <w:highlight w:val="none"/>
        </w:rPr>
      </w:pPr>
    </w:p>
    <w:p w14:paraId="50773C57">
      <w:pPr>
        <w:pStyle w:val="136"/>
        <w:pageBreakBefore w:val="0"/>
        <w:kinsoku/>
        <w:wordWrap w:val="0"/>
        <w:overflowPunct/>
        <w:topLinePunct w:val="0"/>
        <w:bidi w:val="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1884CE2">
      <w:pPr>
        <w:pStyle w:val="561"/>
        <w:pageBreakBefore w:val="0"/>
        <w:kinsoku/>
        <w:wordWrap w:val="0"/>
        <w:overflowPunct/>
        <w:topLinePunct w:val="0"/>
        <w:bidi w:val="0"/>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14:paraId="42913A33">
      <w:pPr>
        <w:pStyle w:val="561"/>
        <w:pageBreakBefore w:val="0"/>
        <w:kinsoku/>
        <w:wordWrap w:val="0"/>
        <w:overflowPunct/>
        <w:topLinePunct w:val="0"/>
        <w:bidi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.1采购代理机构按照招标文件规定的时间通过电子交易平台组织开标，所有投标人均应当准时在线参加。投标人不足3家的，不得开标。</w:t>
      </w:r>
    </w:p>
    <w:p w14:paraId="6B15522D">
      <w:pPr>
        <w:pStyle w:val="561"/>
        <w:pageBreakBefore w:val="0"/>
        <w:kinsoku/>
        <w:wordWrap w:val="0"/>
        <w:overflowPunct/>
        <w:topLinePunct w:val="0"/>
        <w:bidi w:val="0"/>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.2开标时，电子交易平台按开标时间自动提取所有投标文件。采购代理机构依托电子交易平台发起开始解密指令，投标人按照平台提示和招标文件的规定在半小时内完成在线解密。</w:t>
      </w:r>
    </w:p>
    <w:p w14:paraId="01A2D945">
      <w:pPr>
        <w:pStyle w:val="561"/>
        <w:pageBreakBefore w:val="0"/>
        <w:kinsoku/>
        <w:wordWrap w:val="0"/>
        <w:overflowPunct/>
        <w:topLinePunct w:val="0"/>
        <w:bidi w:val="0"/>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13B6BD5">
      <w:pPr>
        <w:pageBreakBefore w:val="0"/>
        <w:widowControl/>
        <w:kinsoku/>
        <w:wordWrap w:val="0"/>
        <w:overflowPunct/>
        <w:topLinePunct w:val="0"/>
        <w:bidi w:val="0"/>
        <w:spacing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w:t>
      </w:r>
      <w:r>
        <w:rPr>
          <w:rFonts w:hint="eastAsia" w:ascii="宋体" w:hAnsi="宋体" w:eastAsia="宋体" w:cs="宋体"/>
          <w:b/>
          <w:color w:val="auto"/>
          <w:sz w:val="24"/>
          <w:szCs w:val="20"/>
          <w:highlight w:val="none"/>
          <w:lang w:val="en-US" w:eastAsia="zh-CN"/>
        </w:rPr>
        <w:t>7.</w:t>
      </w:r>
      <w:r>
        <w:rPr>
          <w:rFonts w:hint="eastAsia" w:ascii="宋体" w:hAnsi="宋体" w:eastAsia="宋体" w:cs="宋体"/>
          <w:b/>
          <w:color w:val="auto"/>
          <w:sz w:val="24"/>
          <w:szCs w:val="20"/>
          <w:highlight w:val="none"/>
        </w:rPr>
        <w:t>资格审查</w:t>
      </w:r>
    </w:p>
    <w:p w14:paraId="13D6D28A">
      <w:pPr>
        <w:pStyle w:val="561"/>
        <w:pageBreakBefore w:val="0"/>
        <w:kinsoku/>
        <w:wordWrap w:val="0"/>
        <w:overflowPunct/>
        <w:topLinePunct w:val="0"/>
        <w:bidi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.1采购人或采购代理机构依据法律法规和招标文件的规定，对投标人的资格进行审查。</w:t>
      </w:r>
    </w:p>
    <w:p w14:paraId="69A376CB">
      <w:pPr>
        <w:pStyle w:val="561"/>
        <w:pageBreakBefore w:val="0"/>
        <w:kinsoku/>
        <w:wordWrap w:val="0"/>
        <w:overflowPunct/>
        <w:topLinePunct w:val="0"/>
        <w:bidi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.2投标人未按照招标文件要求提供与资格条件相应的有效资格证明材料的，视为投标人不具备招标文件中规定的资格要求，其投标无效。</w:t>
      </w:r>
    </w:p>
    <w:p w14:paraId="67077200">
      <w:pPr>
        <w:pStyle w:val="561"/>
        <w:pageBreakBefore w:val="0"/>
        <w:kinsoku/>
        <w:wordWrap w:val="0"/>
        <w:overflowPunct/>
        <w:topLinePunct w:val="0"/>
        <w:bidi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.3对未通过资格审查的投标人，采购人或采购代理机构告知其未通过的原因。</w:t>
      </w:r>
    </w:p>
    <w:p w14:paraId="40161B43">
      <w:pPr>
        <w:pStyle w:val="561"/>
        <w:pageBreakBefore w:val="0"/>
        <w:kinsoku/>
        <w:wordWrap w:val="0"/>
        <w:overflowPunct/>
        <w:topLinePunct w:val="0"/>
        <w:bidi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.4合格投标人不足3家的，不再评标。</w:t>
      </w:r>
    </w:p>
    <w:p w14:paraId="4EE7AB03">
      <w:pPr>
        <w:pStyle w:val="136"/>
        <w:pageBreakBefore w:val="0"/>
        <w:kinsoku/>
        <w:wordWrap w:val="0"/>
        <w:overflowPunct/>
        <w:topLinePunct w:val="0"/>
        <w:bidi w:val="0"/>
        <w:spacing w:before="0"/>
        <w:ind w:left="0" w:leftChars="0"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18</w:t>
      </w:r>
      <w:r>
        <w:rPr>
          <w:rFonts w:hint="eastAsia" w:ascii="宋体" w:hAnsi="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14:paraId="53F4711C">
      <w:pPr>
        <w:pStyle w:val="136"/>
        <w:pageBreakBefore w:val="0"/>
        <w:kinsoku/>
        <w:wordWrap w:val="0"/>
        <w:overflowPunct/>
        <w:topLinePunct w:val="0"/>
        <w:bidi w:val="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.1信用信息查询渠道及截止时间：</w:t>
      </w:r>
      <w:r>
        <w:rPr>
          <w:rFonts w:hint="eastAsia" w:ascii="宋体" w:hAnsi="宋体" w:eastAsia="宋体" w:cs="宋体"/>
          <w:color w:val="auto"/>
          <w:sz w:val="24"/>
          <w:highlight w:val="none"/>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727A20E5">
      <w:pPr>
        <w:pStyle w:val="136"/>
        <w:pageBreakBefore w:val="0"/>
        <w:kinsoku/>
        <w:wordWrap w:val="0"/>
        <w:overflowPunct/>
        <w:topLinePunct w:val="0"/>
        <w:bidi w:val="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.2信用信息查询记录和证据留存的具体方式：现场查询的投标人的信用记录、查询结果经确认后将与采购文件一起存档。</w:t>
      </w:r>
    </w:p>
    <w:p w14:paraId="5A955663">
      <w:pPr>
        <w:pStyle w:val="136"/>
        <w:pageBreakBefore w:val="0"/>
        <w:kinsoku/>
        <w:wordWrap w:val="0"/>
        <w:overflowPunct/>
        <w:topLinePunct w:val="0"/>
        <w:bidi w:val="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.3信用信息的使用规则：经查询列入失信被执行人名单、重大税收违法失信主体、政府采购严重违法失信行为记录名单的投标人将被拒绝参与政府采购活动。</w:t>
      </w:r>
    </w:p>
    <w:p w14:paraId="7FBD7CE8">
      <w:pPr>
        <w:pStyle w:val="136"/>
        <w:pageBreakBefore w:val="0"/>
        <w:kinsoku/>
        <w:wordWrap w:val="0"/>
        <w:overflowPunct/>
        <w:topLinePunct w:val="0"/>
        <w:bidi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lang w:val="en-US" w:eastAsia="zh-CN"/>
        </w:rPr>
        <w:t>18</w:t>
      </w:r>
      <w:r>
        <w:rPr>
          <w:rFonts w:hint="eastAsia" w:ascii="宋体" w:hAnsi="宋体" w:eastAsia="宋体" w:cs="宋体"/>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C1373CF">
      <w:pPr>
        <w:pStyle w:val="136"/>
        <w:pageBreakBefore w:val="0"/>
        <w:kinsoku/>
        <w:wordWrap w:val="0"/>
        <w:overflowPunct/>
        <w:topLinePunct w:val="0"/>
        <w:bidi w:val="0"/>
        <w:spacing w:before="0"/>
        <w:ind w:firstLine="0" w:firstLineChars="0"/>
        <w:rPr>
          <w:rFonts w:hint="eastAsia" w:ascii="宋体" w:hAnsi="宋体" w:eastAsia="宋体" w:cs="宋体"/>
          <w:color w:val="auto"/>
          <w:kern w:val="0"/>
          <w:szCs w:val="24"/>
          <w:highlight w:val="none"/>
        </w:rPr>
      </w:pPr>
    </w:p>
    <w:p w14:paraId="4CB4472C">
      <w:pPr>
        <w:pageBreakBefore w:val="0"/>
        <w:kinsoku/>
        <w:wordWrap w:val="0"/>
        <w:overflowPunct/>
        <w:topLinePunct w:val="0"/>
        <w:bidi w:val="0"/>
        <w:snapToGrid w:val="0"/>
        <w:spacing w:line="360" w:lineRule="auto"/>
        <w:ind w:firstLine="72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8CE2B0C">
      <w:pPr>
        <w:pageBreakBefore w:val="0"/>
        <w:kinsoku/>
        <w:wordWrap w:val="0"/>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E64564D">
      <w:pPr>
        <w:pageBreakBefore w:val="0"/>
        <w:kinsoku/>
        <w:wordWrap w:val="0"/>
        <w:overflowPunct/>
        <w:topLinePunct w:val="0"/>
        <w:bidi w:val="0"/>
        <w:spacing w:line="360" w:lineRule="auto"/>
        <w:ind w:firstLine="482"/>
        <w:rPr>
          <w:rFonts w:hint="eastAsia" w:ascii="宋体" w:hAnsi="宋体" w:eastAsia="宋体" w:cs="宋体"/>
          <w:b/>
          <w:color w:val="auto"/>
          <w:sz w:val="24"/>
          <w:highlight w:val="none"/>
        </w:rPr>
      </w:pPr>
    </w:p>
    <w:p w14:paraId="2A57F4BB">
      <w:pPr>
        <w:pageBreakBefore w:val="0"/>
        <w:kinsoku/>
        <w:wordWrap w:val="0"/>
        <w:overflowPunct/>
        <w:topLinePunct w:val="0"/>
        <w:bidi w:val="0"/>
        <w:snapToGrid w:val="0"/>
        <w:spacing w:line="360" w:lineRule="auto"/>
        <w:ind w:firstLine="72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96CAB23">
      <w:pPr>
        <w:pStyle w:val="6"/>
        <w:pageBreakBefore w:val="0"/>
        <w:kinsoku/>
        <w:wordWrap w:val="0"/>
        <w:overflowPunct/>
        <w:topLinePunct w:val="0"/>
        <w:bidi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.确定中标供应商</w:t>
      </w:r>
    </w:p>
    <w:p w14:paraId="199F6634">
      <w:pPr>
        <w:pStyle w:val="136"/>
        <w:pageBreakBefore w:val="0"/>
        <w:kinsoku/>
        <w:wordWrap w:val="0"/>
        <w:overflowPunct/>
        <w:topLinePunct w:val="0"/>
        <w:bidi w:val="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或者中标人。中标、成交通知书和中标、成交结果公告应当在规定时间内同时发出。</w:t>
      </w:r>
    </w:p>
    <w:p w14:paraId="4E7009E2">
      <w:pPr>
        <w:pStyle w:val="136"/>
        <w:pageBreakBefore w:val="0"/>
        <w:kinsoku/>
        <w:wordWrap w:val="0"/>
        <w:overflowPunct/>
        <w:topLinePunct w:val="0"/>
        <w:bidi w:val="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.中标通知与中标结果公告</w:t>
      </w:r>
      <w:r>
        <w:rPr>
          <w:rFonts w:hint="eastAsia" w:ascii="宋体" w:hAnsi="宋体" w:eastAsia="宋体" w:cs="宋体"/>
          <w:b/>
          <w:color w:val="auto"/>
          <w:szCs w:val="24"/>
          <w:highlight w:val="none"/>
        </w:rPr>
        <w:tab/>
      </w:r>
    </w:p>
    <w:p w14:paraId="5F5E881B">
      <w:pPr>
        <w:pageBreakBefore w:val="0"/>
        <w:widowControl/>
        <w:kinsoku/>
        <w:wordWrap w:val="0"/>
        <w:overflowPunct/>
        <w:topLinePunct w:val="0"/>
        <w:bidi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.1自中标人确定之日起2个工作日内，采购代理机构通过电子交易平台向中标人发出中标通知书，同时编制发布采购结果公告。采购代理机构也可以以纸质形式进行中标通知。</w:t>
      </w:r>
    </w:p>
    <w:p w14:paraId="55A78B4E">
      <w:pPr>
        <w:pageBreakBefore w:val="0"/>
        <w:widowControl/>
        <w:kinsoku/>
        <w:wordWrap w:val="0"/>
        <w:overflowPunct/>
        <w:topLinePunct w:val="0"/>
        <w:bidi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463A642">
      <w:pPr>
        <w:pageBreakBefore w:val="0"/>
        <w:widowControl/>
        <w:kinsoku/>
        <w:wordWrap w:val="0"/>
        <w:overflowPunct/>
        <w:topLinePunct w:val="0"/>
        <w:bidi w:val="0"/>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.3公告期限为1个工作日。</w:t>
      </w:r>
    </w:p>
    <w:p w14:paraId="3F49AFC8">
      <w:pPr>
        <w:pStyle w:val="84"/>
        <w:pageBreakBefore w:val="0"/>
        <w:kinsoku/>
        <w:wordWrap w:val="0"/>
        <w:overflowPunct/>
        <w:topLinePunct w:val="0"/>
        <w:bidi w:val="0"/>
        <w:rPr>
          <w:rFonts w:hint="eastAsia" w:ascii="宋体" w:hAnsi="宋体" w:eastAsia="宋体" w:cs="宋体"/>
          <w:color w:val="auto"/>
          <w:highlight w:val="none"/>
        </w:rPr>
      </w:pPr>
    </w:p>
    <w:p w14:paraId="46F0146D">
      <w:pPr>
        <w:pageBreakBefore w:val="0"/>
        <w:kinsoku/>
        <w:wordWrap w:val="0"/>
        <w:overflowPunct/>
        <w:topLinePunct w:val="0"/>
        <w:bidi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B17918A">
      <w:pPr>
        <w:pStyle w:val="6"/>
        <w:pageBreakBefore w:val="0"/>
        <w:kinsoku/>
        <w:wordWrap w:val="0"/>
        <w:overflowPunct/>
        <w:topLinePunct w:val="0"/>
        <w:bidi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14:paraId="5925BA41">
      <w:pPr>
        <w:pStyle w:val="6"/>
        <w:pageBreakBefore w:val="0"/>
        <w:kinsoku/>
        <w:wordWrap w:val="0"/>
        <w:overflowPunct/>
        <w:topLinePunct w:val="0"/>
        <w:bidi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14:paraId="6BA06EB9">
      <w:pPr>
        <w:pageBreakBefore w:val="0"/>
        <w:widowControl/>
        <w:kinsoku/>
        <w:wordWrap w:val="0"/>
        <w:overflowPunct/>
        <w:topLinePunct w:val="0"/>
        <w:bidi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日内，与中标供应商按照采购文件确定的事项签订采购合同。</w:t>
      </w:r>
    </w:p>
    <w:p w14:paraId="5603006F">
      <w:pPr>
        <w:pStyle w:val="136"/>
        <w:pageBreakBefore w:val="0"/>
        <w:kinsoku/>
        <w:wordWrap w:val="0"/>
        <w:overflowPunct/>
        <w:topLinePunct w:val="0"/>
        <w:bidi w:val="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324F28E">
      <w:pPr>
        <w:pStyle w:val="136"/>
        <w:pageBreakBefore w:val="0"/>
        <w:kinsoku/>
        <w:wordWrap w:val="0"/>
        <w:overflowPunct/>
        <w:topLinePunct w:val="0"/>
        <w:bidi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.3如签订合同并生效后，供应商无故拒绝或延期，除按照合同条款处理外，列入不良行为记录一次，并给予通报。</w:t>
      </w:r>
    </w:p>
    <w:p w14:paraId="7C8919B5">
      <w:pPr>
        <w:pStyle w:val="136"/>
        <w:pageBreakBefore w:val="0"/>
        <w:kinsoku/>
        <w:wordWrap w:val="0"/>
        <w:overflowPunct/>
        <w:topLinePunct w:val="0"/>
        <w:bidi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.4中标</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拒绝与采购人签订合同的，采购人可以按照评审报告推荐的中标或者成交候选人名单排序，确定下一候选人为中标</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，也可以重新开展政府采购活动。</w:t>
      </w:r>
    </w:p>
    <w:p w14:paraId="0ADE67BF">
      <w:pPr>
        <w:pStyle w:val="136"/>
        <w:pageBreakBefore w:val="0"/>
        <w:kinsoku/>
        <w:wordWrap w:val="0"/>
        <w:overflowPunct/>
        <w:topLinePunct w:val="0"/>
        <w:bidi w:val="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.5采购合同由采购人与中标</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根据招标文件、投标文件等内容通过政府采购电子交易平台在线签订，自动备案。</w:t>
      </w:r>
    </w:p>
    <w:p w14:paraId="52C59CBD">
      <w:pPr>
        <w:pStyle w:val="6"/>
        <w:pageBreakBefore w:val="0"/>
        <w:kinsoku/>
        <w:wordWrap w:val="0"/>
        <w:overflowPunct/>
        <w:topLinePunct w:val="0"/>
        <w:bidi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p>
    <w:p w14:paraId="27E1BD07">
      <w:pPr>
        <w:pageBreakBefore w:val="0"/>
        <w:tabs>
          <w:tab w:val="left" w:pos="0"/>
        </w:tabs>
        <w:kinsoku/>
        <w:wordWrap w:val="0"/>
        <w:overflowPunct/>
        <w:topLinePunct w:val="0"/>
        <w:bidi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815BDC8">
      <w:pPr>
        <w:pStyle w:val="84"/>
        <w:pageBreakBefore w:val="0"/>
        <w:kinsoku/>
        <w:wordWrap w:val="0"/>
        <w:overflowPunct/>
        <w:topLinePunct w:val="0"/>
        <w:bidi w:val="0"/>
        <w:rPr>
          <w:rFonts w:hint="eastAsia" w:ascii="宋体" w:hAnsi="宋体" w:eastAsia="宋体" w:cs="宋体"/>
          <w:color w:val="auto"/>
          <w:highlight w:val="none"/>
        </w:rPr>
      </w:pPr>
    </w:p>
    <w:p w14:paraId="15A91F0A">
      <w:pPr>
        <w:pageBreakBefore w:val="0"/>
        <w:kinsoku/>
        <w:wordWrap w:val="0"/>
        <w:overflowPunct/>
        <w:topLinePunct w:val="0"/>
        <w:bidi w:val="0"/>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4218D56">
      <w:pPr>
        <w:pStyle w:val="136"/>
        <w:pageBreakBefore w:val="0"/>
        <w:kinsoku/>
        <w:wordWrap w:val="0"/>
        <w:overflowPunct/>
        <w:topLinePunct w:val="0"/>
        <w:bidi w:val="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38E1AC87">
      <w:pPr>
        <w:pStyle w:val="136"/>
        <w:pageBreakBefore w:val="0"/>
        <w:kinsoku/>
        <w:wordWrap w:val="0"/>
        <w:overflowPunct/>
        <w:topLinePunct w:val="0"/>
        <w:bidi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14:paraId="14684140">
      <w:pPr>
        <w:pStyle w:val="136"/>
        <w:pageBreakBefore w:val="0"/>
        <w:kinsoku/>
        <w:wordWrap w:val="0"/>
        <w:overflowPunct/>
        <w:topLinePunct w:val="0"/>
        <w:bidi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14:paraId="0011289C">
      <w:pPr>
        <w:pStyle w:val="136"/>
        <w:pageBreakBefore w:val="0"/>
        <w:kinsoku/>
        <w:wordWrap w:val="0"/>
        <w:overflowPunct/>
        <w:topLinePunct w:val="0"/>
        <w:bidi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14:paraId="7CF5A96C">
      <w:pPr>
        <w:pStyle w:val="136"/>
        <w:pageBreakBefore w:val="0"/>
        <w:kinsoku/>
        <w:wordWrap w:val="0"/>
        <w:overflowPunct/>
        <w:topLinePunct w:val="0"/>
        <w:bidi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14:paraId="6358746B">
      <w:pPr>
        <w:pStyle w:val="136"/>
        <w:pageBreakBefore w:val="0"/>
        <w:kinsoku/>
        <w:wordWrap w:val="0"/>
        <w:overflowPunct/>
        <w:topLinePunct w:val="0"/>
        <w:bidi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14:paraId="1F39B447">
      <w:pPr>
        <w:pStyle w:val="136"/>
        <w:pageBreakBefore w:val="0"/>
        <w:kinsoku/>
        <w:wordWrap w:val="0"/>
        <w:overflowPunct/>
        <w:topLinePunct w:val="0"/>
        <w:bidi w:val="0"/>
        <w:snapToGrid w:val="0"/>
        <w:spacing w:before="0"/>
        <w:ind w:left="0" w:leftChars="0"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11B750D">
      <w:pPr>
        <w:pageBreakBefore w:val="0"/>
        <w:kinsoku/>
        <w:wordWrap w:val="0"/>
        <w:overflowPunct/>
        <w:topLinePunct w:val="0"/>
        <w:bidi w:val="0"/>
        <w:snapToGrid w:val="0"/>
        <w:spacing w:line="360" w:lineRule="auto"/>
        <w:jc w:val="both"/>
        <w:rPr>
          <w:rFonts w:hint="eastAsia" w:ascii="宋体" w:hAnsi="宋体" w:eastAsia="宋体" w:cs="宋体"/>
          <w:b/>
          <w:color w:val="auto"/>
          <w:sz w:val="32"/>
          <w:highlight w:val="none"/>
        </w:rPr>
      </w:pPr>
    </w:p>
    <w:p w14:paraId="00B7A498">
      <w:pPr>
        <w:pageBreakBefore w:val="0"/>
        <w:kinsoku/>
        <w:wordWrap w:val="0"/>
        <w:overflowPunct/>
        <w:topLinePunct w:val="0"/>
        <w:bidi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D87D040">
      <w:pPr>
        <w:pStyle w:val="6"/>
        <w:pageBreakBefore w:val="0"/>
        <w:kinsoku/>
        <w:wordWrap w:val="0"/>
        <w:overflowPunct/>
        <w:topLinePunct w:val="0"/>
        <w:bidi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27</w:t>
      </w:r>
      <w:r>
        <w:rPr>
          <w:rFonts w:hint="eastAsia" w:ascii="宋体" w:hAnsi="宋体" w:eastAsia="宋体" w:cs="宋体"/>
          <w:b/>
          <w:color w:val="auto"/>
          <w:highlight w:val="none"/>
        </w:rPr>
        <w:t>.验收</w:t>
      </w:r>
    </w:p>
    <w:p w14:paraId="56BF2BFC">
      <w:pPr>
        <w:pageBreakBefore w:val="0"/>
        <w:tabs>
          <w:tab w:val="left" w:pos="0"/>
        </w:tabs>
        <w:kinsoku/>
        <w:wordWrap w:val="0"/>
        <w:overflowPunct/>
        <w:topLinePunct w:val="0"/>
        <w:bidi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1F21D0">
      <w:pPr>
        <w:pageBreakBefore w:val="0"/>
        <w:tabs>
          <w:tab w:val="left" w:pos="0"/>
        </w:tabs>
        <w:kinsoku/>
        <w:wordWrap w:val="0"/>
        <w:overflowPunct/>
        <w:topLinePunct w:val="0"/>
        <w:bidi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2D18F60B">
      <w:pPr>
        <w:pageBreakBefore w:val="0"/>
        <w:tabs>
          <w:tab w:val="left" w:pos="0"/>
        </w:tabs>
        <w:kinsoku/>
        <w:wordWrap w:val="0"/>
        <w:overflowPunct/>
        <w:topLinePunct w:val="0"/>
        <w:bidi w:val="0"/>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245070">
      <w:pPr>
        <w:pageBreakBefore w:val="0"/>
        <w:tabs>
          <w:tab w:val="left" w:pos="0"/>
        </w:tabs>
        <w:kinsoku/>
        <w:wordWrap w:val="0"/>
        <w:overflowPunct/>
        <w:topLinePunct w:val="0"/>
        <w:bidi w:val="0"/>
        <w:spacing w:line="360" w:lineRule="auto"/>
        <w:ind w:firstLine="480"/>
        <w:rPr>
          <w:rFonts w:hint="eastAsia" w:ascii="宋体" w:hAnsi="宋体" w:eastAsia="宋体" w:cs="宋体"/>
          <w:color w:val="auto"/>
          <w:kern w:val="0"/>
          <w:sz w:val="24"/>
          <w:highlight w:val="none"/>
        </w:rPr>
        <w:sectPr>
          <w:footerReference r:id="rId4" w:type="first"/>
          <w:footerReference r:id="rId3" w:type="default"/>
          <w:pgSz w:w="11906" w:h="16838"/>
          <w:pgMar w:top="680" w:right="1418" w:bottom="468" w:left="1418" w:header="851" w:footer="992" w:gutter="0"/>
          <w:cols w:space="720" w:num="1"/>
          <w:titlePg/>
          <w:docGrid w:linePitch="312" w:charSpace="0"/>
        </w:sectPr>
      </w:pPr>
      <w:r>
        <w:rPr>
          <w:rFonts w:hint="eastAsia" w:ascii="宋体" w:hAnsi="宋体" w:eastAsia="宋体" w:cs="宋体"/>
          <w:color w:val="auto"/>
          <w:kern w:val="0"/>
          <w:sz w:val="24"/>
          <w:highlight w:val="none"/>
          <w:lang w:val="en-US" w:eastAsia="zh-CN"/>
        </w:rPr>
        <w:t>27</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hint="eastAsia" w:ascii="宋体" w:hAnsi="宋体" w:eastAsia="宋体" w:cs="宋体"/>
          <w:color w:val="auto"/>
          <w:kern w:val="0"/>
          <w:sz w:val="24"/>
          <w:highlight w:val="none"/>
          <w:lang w:eastAsia="zh-CN"/>
        </w:rPr>
        <w:t>相关</w:t>
      </w:r>
      <w:r>
        <w:rPr>
          <w:rFonts w:hint="eastAsia" w:ascii="宋体" w:hAnsi="宋体" w:eastAsia="宋体" w:cs="宋体"/>
          <w:color w:val="auto"/>
          <w:kern w:val="0"/>
          <w:sz w:val="24"/>
          <w:highlight w:val="none"/>
        </w:rPr>
        <w:t>法律法规规定的违法违规情形的，采购人应当及时报告</w:t>
      </w:r>
      <w:r>
        <w:rPr>
          <w:rFonts w:hint="eastAsia" w:ascii="宋体" w:hAnsi="宋体" w:eastAsia="宋体" w:cs="宋体"/>
          <w:color w:val="auto"/>
          <w:kern w:val="0"/>
          <w:sz w:val="24"/>
          <w:highlight w:val="none"/>
          <w:lang w:eastAsia="zh-CN"/>
        </w:rPr>
        <w:t>监督管理</w:t>
      </w:r>
      <w:r>
        <w:rPr>
          <w:rFonts w:hint="eastAsia" w:ascii="宋体" w:hAnsi="宋体" w:eastAsia="宋体" w:cs="宋体"/>
          <w:color w:val="auto"/>
          <w:kern w:val="0"/>
          <w:sz w:val="24"/>
          <w:highlight w:val="none"/>
        </w:rPr>
        <w:t>部门。</w:t>
      </w:r>
      <w:bookmarkEnd w:id="13"/>
      <w:bookmarkStart w:id="16" w:name="_Hlt75236290"/>
      <w:bookmarkEnd w:id="16"/>
      <w:bookmarkStart w:id="17" w:name="_Hlt68073093"/>
      <w:bookmarkEnd w:id="17"/>
      <w:bookmarkStart w:id="18" w:name="_Hlt68057669"/>
      <w:bookmarkEnd w:id="18"/>
      <w:bookmarkStart w:id="19" w:name="_Hlt74730295"/>
      <w:bookmarkEnd w:id="19"/>
      <w:bookmarkStart w:id="20" w:name="_Hlt68072998"/>
      <w:bookmarkEnd w:id="20"/>
      <w:bookmarkStart w:id="21" w:name="_Hlt74714665"/>
      <w:bookmarkEnd w:id="21"/>
      <w:bookmarkStart w:id="22" w:name="_Hlt75236101"/>
      <w:bookmarkEnd w:id="22"/>
      <w:bookmarkStart w:id="23" w:name="_Hlt74729768"/>
      <w:bookmarkEnd w:id="23"/>
      <w:bookmarkStart w:id="24" w:name="_Hlt68403820"/>
      <w:bookmarkEnd w:id="24"/>
      <w:bookmarkStart w:id="25" w:name="_Hlt74707468"/>
      <w:bookmarkEnd w:id="25"/>
      <w:bookmarkStart w:id="26" w:name="_Hlt68072990"/>
      <w:bookmarkEnd w:id="26"/>
      <w:bookmarkStart w:id="27" w:name="_Hlt75236011"/>
      <w:bookmarkEnd w:id="27"/>
    </w:p>
    <w:bookmarkEnd w:id="14"/>
    <w:bookmarkEnd w:id="15"/>
    <w:p w14:paraId="7AB423D9">
      <w:pPr>
        <w:pageBreakBefore w:val="0"/>
        <w:kinsoku/>
        <w:wordWrap w:val="0"/>
        <w:overflowPunct/>
        <w:topLinePunct w:val="0"/>
        <w:bidi w:val="0"/>
        <w:spacing w:line="360" w:lineRule="auto"/>
        <w:jc w:val="center"/>
        <w:outlineLvl w:val="0"/>
        <w:rPr>
          <w:rFonts w:hint="eastAsia" w:ascii="宋体" w:hAnsi="宋体" w:eastAsia="宋体" w:cs="宋体"/>
          <w:b/>
          <w:color w:val="auto"/>
          <w:sz w:val="36"/>
          <w:szCs w:val="36"/>
          <w:highlight w:val="none"/>
        </w:rPr>
      </w:pPr>
      <w:bookmarkStart w:id="28" w:name="第四部分"/>
      <w:r>
        <w:rPr>
          <w:rFonts w:hint="eastAsia" w:ascii="宋体" w:hAnsi="宋体" w:eastAsia="宋体" w:cs="宋体"/>
          <w:b/>
          <w:color w:val="auto"/>
          <w:sz w:val="36"/>
          <w:szCs w:val="36"/>
          <w:highlight w:val="none"/>
        </w:rPr>
        <w:t>第三部分   采购需求</w:t>
      </w:r>
    </w:p>
    <w:bookmarkEnd w:id="28"/>
    <w:p w14:paraId="02E239D9">
      <w:pPr>
        <w:pageBreakBefore w:val="0"/>
        <w:kinsoku/>
        <w:wordWrap w:val="0"/>
        <w:overflowPunct/>
        <w:topLinePunct w:val="0"/>
        <w:bidi w:val="0"/>
        <w:snapToGrid w:val="0"/>
        <w:rPr>
          <w:rFonts w:hint="eastAsia" w:ascii="宋体" w:hAnsi="宋体" w:eastAsia="宋体" w:cs="宋体"/>
          <w:color w:val="auto"/>
          <w:highlight w:val="none"/>
        </w:rPr>
      </w:pPr>
      <w:bookmarkStart w:id="29" w:name="第五部分"/>
      <w:bookmarkStart w:id="30" w:name="_Toc86217003"/>
      <w:r>
        <w:rPr>
          <w:rFonts w:hint="eastAsia" w:ascii="宋体" w:hAnsi="宋体" w:eastAsia="宋体" w:cs="宋体"/>
          <w:b/>
          <w:bCs/>
          <w:color w:val="auto"/>
          <w:sz w:val="28"/>
          <w:szCs w:val="28"/>
          <w:highlight w:val="none"/>
        </w:rPr>
        <w:t>一、需求内容及数量</w:t>
      </w:r>
    </w:p>
    <w:tbl>
      <w:tblPr>
        <w:tblStyle w:val="63"/>
        <w:tblW w:w="14180" w:type="dxa"/>
        <w:jc w:val="center"/>
        <w:tblLayout w:type="fixed"/>
        <w:tblCellMar>
          <w:top w:w="0" w:type="dxa"/>
          <w:left w:w="108" w:type="dxa"/>
          <w:bottom w:w="0" w:type="dxa"/>
          <w:right w:w="108" w:type="dxa"/>
        </w:tblCellMar>
      </w:tblPr>
      <w:tblGrid>
        <w:gridCol w:w="5569"/>
        <w:gridCol w:w="3108"/>
        <w:gridCol w:w="994"/>
        <w:gridCol w:w="1042"/>
        <w:gridCol w:w="2884"/>
        <w:gridCol w:w="583"/>
      </w:tblGrid>
      <w:tr w14:paraId="7AEDDFA7">
        <w:tblPrEx>
          <w:tblCellMar>
            <w:top w:w="0" w:type="dxa"/>
            <w:left w:w="108" w:type="dxa"/>
            <w:bottom w:w="0" w:type="dxa"/>
            <w:right w:w="108" w:type="dxa"/>
          </w:tblCellMar>
        </w:tblPrEx>
        <w:trPr>
          <w:trHeight w:val="691" w:hRule="atLeast"/>
          <w:jc w:val="center"/>
        </w:trPr>
        <w:tc>
          <w:tcPr>
            <w:tcW w:w="5569" w:type="dxa"/>
            <w:tcBorders>
              <w:top w:val="single" w:color="auto" w:sz="4" w:space="0"/>
              <w:left w:val="single" w:color="auto" w:sz="4" w:space="0"/>
              <w:bottom w:val="single" w:color="auto" w:sz="4" w:space="0"/>
              <w:right w:val="single" w:color="auto" w:sz="4" w:space="0"/>
            </w:tcBorders>
            <w:vAlign w:val="center"/>
          </w:tcPr>
          <w:p w14:paraId="4087687C">
            <w:pPr>
              <w:pageBreakBefore w:val="0"/>
              <w:kinsoku/>
              <w:wordWrap w:val="0"/>
              <w:overflowPunct/>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3108" w:type="dxa"/>
            <w:tcBorders>
              <w:top w:val="single" w:color="auto" w:sz="4" w:space="0"/>
              <w:left w:val="single" w:color="auto" w:sz="4" w:space="0"/>
              <w:bottom w:val="single" w:color="auto" w:sz="4" w:space="0"/>
              <w:right w:val="single" w:color="auto" w:sz="4" w:space="0"/>
            </w:tcBorders>
            <w:vAlign w:val="center"/>
          </w:tcPr>
          <w:p w14:paraId="0A5FE29C">
            <w:pPr>
              <w:pageBreakBefore w:val="0"/>
              <w:kinsoku/>
              <w:wordWrap w:val="0"/>
              <w:overflowPunct/>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主要技术规范</w:t>
            </w:r>
          </w:p>
          <w:p w14:paraId="3AA253B5">
            <w:pPr>
              <w:pageBreakBefore w:val="0"/>
              <w:kinsoku/>
              <w:wordWrap w:val="0"/>
              <w:overflowPunct/>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和服务要求</w:t>
            </w:r>
          </w:p>
        </w:tc>
        <w:tc>
          <w:tcPr>
            <w:tcW w:w="994" w:type="dxa"/>
            <w:tcBorders>
              <w:top w:val="single" w:color="auto" w:sz="4" w:space="0"/>
              <w:left w:val="single" w:color="auto" w:sz="4" w:space="0"/>
              <w:bottom w:val="single" w:color="auto" w:sz="4" w:space="0"/>
              <w:right w:val="single" w:color="auto" w:sz="4" w:space="0"/>
            </w:tcBorders>
            <w:vAlign w:val="center"/>
          </w:tcPr>
          <w:p w14:paraId="1CB21601">
            <w:pPr>
              <w:pageBreakBefore w:val="0"/>
              <w:kinsoku/>
              <w:wordWrap w:val="0"/>
              <w:overflowPunct/>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042" w:type="dxa"/>
            <w:tcBorders>
              <w:top w:val="single" w:color="auto" w:sz="4" w:space="0"/>
              <w:left w:val="single" w:color="auto" w:sz="4" w:space="0"/>
              <w:bottom w:val="single" w:color="auto" w:sz="4" w:space="0"/>
              <w:right w:val="single" w:color="auto" w:sz="4" w:space="0"/>
            </w:tcBorders>
            <w:vAlign w:val="center"/>
          </w:tcPr>
          <w:p w14:paraId="5FF63C87">
            <w:pPr>
              <w:pageBreakBefore w:val="0"/>
              <w:kinsoku/>
              <w:wordWrap w:val="0"/>
              <w:overflowPunct/>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2884" w:type="dxa"/>
            <w:tcBorders>
              <w:top w:val="single" w:color="auto" w:sz="4" w:space="0"/>
              <w:left w:val="single" w:color="auto" w:sz="4" w:space="0"/>
              <w:bottom w:val="single" w:color="auto" w:sz="4" w:space="0"/>
              <w:right w:val="single" w:color="auto" w:sz="4" w:space="0"/>
            </w:tcBorders>
            <w:vAlign w:val="center"/>
          </w:tcPr>
          <w:p w14:paraId="2FBEE421">
            <w:pPr>
              <w:pageBreakBefore w:val="0"/>
              <w:kinsoku/>
              <w:wordWrap w:val="0"/>
              <w:overflowPunct/>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预算价（元）</w:t>
            </w:r>
          </w:p>
        </w:tc>
        <w:tc>
          <w:tcPr>
            <w:tcW w:w="583" w:type="dxa"/>
            <w:tcBorders>
              <w:top w:val="single" w:color="auto" w:sz="4" w:space="0"/>
              <w:left w:val="single" w:color="auto" w:sz="4" w:space="0"/>
              <w:bottom w:val="single" w:color="auto" w:sz="4" w:space="0"/>
              <w:right w:val="single" w:color="auto" w:sz="4" w:space="0"/>
            </w:tcBorders>
            <w:vAlign w:val="center"/>
          </w:tcPr>
          <w:p w14:paraId="3F03DF14">
            <w:pPr>
              <w:pageBreakBefore w:val="0"/>
              <w:kinsoku/>
              <w:wordWrap w:val="0"/>
              <w:overflowPunct/>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274E80D1">
        <w:tblPrEx>
          <w:tblCellMar>
            <w:top w:w="0" w:type="dxa"/>
            <w:left w:w="108" w:type="dxa"/>
            <w:bottom w:w="0" w:type="dxa"/>
            <w:right w:w="108" w:type="dxa"/>
          </w:tblCellMar>
        </w:tblPrEx>
        <w:trPr>
          <w:cantSplit/>
          <w:trHeight w:val="1116" w:hRule="atLeast"/>
          <w:jc w:val="center"/>
        </w:trPr>
        <w:tc>
          <w:tcPr>
            <w:tcW w:w="5569" w:type="dxa"/>
            <w:tcBorders>
              <w:top w:val="single" w:color="auto" w:sz="4" w:space="0"/>
              <w:left w:val="single" w:color="auto" w:sz="4" w:space="0"/>
              <w:bottom w:val="single" w:color="auto" w:sz="4" w:space="0"/>
              <w:right w:val="single" w:color="auto" w:sz="4" w:space="0"/>
            </w:tcBorders>
            <w:vAlign w:val="center"/>
          </w:tcPr>
          <w:p w14:paraId="5EA11DA2">
            <w:pPr>
              <w:pageBreakBefore w:val="0"/>
              <w:kinsoku/>
              <w:wordWrap w:val="0"/>
              <w:overflowPunct/>
              <w:topLinePunct w:val="0"/>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建德市乾潭镇安仁社区卫生服务站办公用品采购项目</w:t>
            </w:r>
          </w:p>
        </w:tc>
        <w:tc>
          <w:tcPr>
            <w:tcW w:w="3108" w:type="dxa"/>
            <w:tcBorders>
              <w:top w:val="single" w:color="auto" w:sz="4" w:space="0"/>
              <w:left w:val="single" w:color="auto" w:sz="4" w:space="0"/>
              <w:right w:val="single" w:color="auto" w:sz="4" w:space="0"/>
            </w:tcBorders>
            <w:vAlign w:val="center"/>
          </w:tcPr>
          <w:p w14:paraId="7BE4A18C">
            <w:pPr>
              <w:pageBreakBefore w:val="0"/>
              <w:kinsoku/>
              <w:wordWrap w:val="0"/>
              <w:overflowPunct/>
              <w:topLinePunct w:val="0"/>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详见本章“</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采购内容”</w:t>
            </w:r>
          </w:p>
        </w:tc>
        <w:tc>
          <w:tcPr>
            <w:tcW w:w="994" w:type="dxa"/>
            <w:tcBorders>
              <w:top w:val="single" w:color="auto" w:sz="4" w:space="0"/>
              <w:left w:val="single" w:color="auto" w:sz="4" w:space="0"/>
              <w:bottom w:val="single" w:color="auto" w:sz="4" w:space="0"/>
              <w:right w:val="single" w:color="auto" w:sz="4" w:space="0"/>
            </w:tcBorders>
            <w:vAlign w:val="center"/>
          </w:tcPr>
          <w:p w14:paraId="0C6E0FF2">
            <w:pPr>
              <w:pageBreakBefore w:val="0"/>
              <w:kinsoku/>
              <w:wordWrap w:val="0"/>
              <w:overflowPunct/>
              <w:topLinePunct w:val="0"/>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042" w:type="dxa"/>
            <w:tcBorders>
              <w:top w:val="single" w:color="auto" w:sz="4" w:space="0"/>
              <w:left w:val="single" w:color="auto" w:sz="4" w:space="0"/>
              <w:bottom w:val="single" w:color="auto" w:sz="4" w:space="0"/>
              <w:right w:val="single" w:color="auto" w:sz="4" w:space="0"/>
            </w:tcBorders>
            <w:vAlign w:val="center"/>
          </w:tcPr>
          <w:p w14:paraId="29665795">
            <w:pPr>
              <w:pageBreakBefore w:val="0"/>
              <w:kinsoku/>
              <w:wordWrap w:val="0"/>
              <w:overflowPunct/>
              <w:topLinePunct w:val="0"/>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4" w:type="dxa"/>
            <w:tcBorders>
              <w:top w:val="single" w:color="auto" w:sz="4" w:space="0"/>
              <w:left w:val="single" w:color="auto" w:sz="4" w:space="0"/>
              <w:bottom w:val="single" w:color="auto" w:sz="4" w:space="0"/>
              <w:right w:val="single" w:color="auto" w:sz="4" w:space="0"/>
            </w:tcBorders>
            <w:vAlign w:val="center"/>
          </w:tcPr>
          <w:p w14:paraId="1B32B408">
            <w:pPr>
              <w:pageBreakBefore w:val="0"/>
              <w:kinsoku/>
              <w:wordWrap w:val="0"/>
              <w:overflowPunct/>
              <w:topLinePunct w:val="0"/>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199743.00</w:t>
            </w:r>
          </w:p>
        </w:tc>
        <w:tc>
          <w:tcPr>
            <w:tcW w:w="583" w:type="dxa"/>
            <w:tcBorders>
              <w:top w:val="single" w:color="auto" w:sz="4" w:space="0"/>
              <w:left w:val="single" w:color="auto" w:sz="4" w:space="0"/>
              <w:bottom w:val="single" w:color="auto" w:sz="4" w:space="0"/>
              <w:right w:val="single" w:color="auto" w:sz="4" w:space="0"/>
            </w:tcBorders>
            <w:vAlign w:val="center"/>
          </w:tcPr>
          <w:p w14:paraId="41862577">
            <w:pPr>
              <w:pageBreakBefore w:val="0"/>
              <w:kinsoku/>
              <w:wordWrap w:val="0"/>
              <w:overflowPunct/>
              <w:topLinePunct w:val="0"/>
              <w:bidi w:val="0"/>
              <w:jc w:val="center"/>
              <w:rPr>
                <w:rFonts w:hint="eastAsia" w:ascii="宋体" w:hAnsi="宋体" w:eastAsia="宋体" w:cs="宋体"/>
                <w:color w:val="auto"/>
                <w:sz w:val="24"/>
                <w:szCs w:val="24"/>
                <w:highlight w:val="none"/>
              </w:rPr>
            </w:pPr>
          </w:p>
        </w:tc>
      </w:tr>
      <w:tr w14:paraId="4568F253">
        <w:tblPrEx>
          <w:tblCellMar>
            <w:top w:w="0" w:type="dxa"/>
            <w:left w:w="108" w:type="dxa"/>
            <w:bottom w:w="0" w:type="dxa"/>
            <w:right w:w="108" w:type="dxa"/>
          </w:tblCellMar>
        </w:tblPrEx>
        <w:trPr>
          <w:trHeight w:val="566" w:hRule="exact"/>
          <w:jc w:val="center"/>
        </w:trPr>
        <w:tc>
          <w:tcPr>
            <w:tcW w:w="13597" w:type="dxa"/>
            <w:gridSpan w:val="5"/>
            <w:tcBorders>
              <w:top w:val="single" w:color="auto" w:sz="4" w:space="0"/>
              <w:left w:val="single" w:color="auto" w:sz="4" w:space="0"/>
              <w:bottom w:val="single" w:color="auto" w:sz="4" w:space="0"/>
              <w:right w:val="single" w:color="auto" w:sz="4" w:space="0"/>
            </w:tcBorders>
            <w:vAlign w:val="center"/>
          </w:tcPr>
          <w:p w14:paraId="7682BE3F">
            <w:pPr>
              <w:pageBreakBefore w:val="0"/>
              <w:kinsoku/>
              <w:wordWrap w:val="0"/>
              <w:overflowPunct/>
              <w:topLinePunct w:val="0"/>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预算价：人民币（大写</w:t>
            </w:r>
            <w:r>
              <w:rPr>
                <w:rFonts w:hint="eastAsia" w:ascii="宋体" w:hAnsi="宋体" w:eastAsia="宋体" w:cs="宋体"/>
                <w:color w:val="auto"/>
                <w:sz w:val="24"/>
                <w:szCs w:val="24"/>
                <w:highlight w:val="none"/>
                <w:lang w:eastAsia="zh-CN"/>
              </w:rPr>
              <w:t>）叁佰零伍万</w:t>
            </w:r>
            <w:r>
              <w:rPr>
                <w:rFonts w:hint="eastAsia" w:ascii="宋体" w:hAnsi="宋体" w:eastAsia="宋体" w:cs="宋体"/>
                <w:color w:val="auto"/>
                <w:sz w:val="24"/>
                <w:szCs w:val="24"/>
                <w:highlight w:val="none"/>
              </w:rPr>
              <w:t>元整（￥</w:t>
            </w:r>
            <w:r>
              <w:rPr>
                <w:rFonts w:hint="eastAsia" w:ascii="宋体" w:hAnsi="宋体" w:eastAsia="宋体" w:cs="宋体"/>
                <w:b w:val="0"/>
                <w:bCs/>
                <w:color w:val="auto"/>
                <w:sz w:val="24"/>
                <w:highlight w:val="none"/>
                <w:lang w:val="en-US" w:eastAsia="zh-CN"/>
              </w:rPr>
              <w:t>199743.00</w:t>
            </w:r>
            <w:r>
              <w:rPr>
                <w:rFonts w:hint="eastAsia" w:ascii="宋体" w:hAnsi="宋体" w:eastAsia="宋体" w:cs="宋体"/>
                <w:color w:val="auto"/>
                <w:sz w:val="24"/>
                <w:szCs w:val="24"/>
                <w:highlight w:val="none"/>
              </w:rPr>
              <w:t>元）</w:t>
            </w:r>
          </w:p>
        </w:tc>
        <w:tc>
          <w:tcPr>
            <w:tcW w:w="583" w:type="dxa"/>
            <w:tcBorders>
              <w:top w:val="single" w:color="auto" w:sz="4" w:space="0"/>
              <w:left w:val="single" w:color="auto" w:sz="4" w:space="0"/>
              <w:bottom w:val="single" w:color="auto" w:sz="4" w:space="0"/>
              <w:right w:val="single" w:color="auto" w:sz="4" w:space="0"/>
            </w:tcBorders>
            <w:vAlign w:val="center"/>
          </w:tcPr>
          <w:p w14:paraId="268E4635">
            <w:pPr>
              <w:pageBreakBefore w:val="0"/>
              <w:kinsoku/>
              <w:wordWrap w:val="0"/>
              <w:overflowPunct/>
              <w:topLinePunct w:val="0"/>
              <w:bidi w:val="0"/>
              <w:rPr>
                <w:rFonts w:hint="eastAsia" w:ascii="宋体" w:hAnsi="宋体" w:eastAsia="宋体" w:cs="宋体"/>
                <w:color w:val="auto"/>
                <w:sz w:val="24"/>
                <w:szCs w:val="24"/>
                <w:highlight w:val="none"/>
              </w:rPr>
            </w:pPr>
          </w:p>
        </w:tc>
      </w:tr>
    </w:tbl>
    <w:p w14:paraId="6BFD1989">
      <w:pPr>
        <w:pageBreakBefore w:val="0"/>
        <w:kinsoku/>
        <w:wordWrap w:val="0"/>
        <w:overflowPunct/>
        <w:topLinePunct w:val="0"/>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1、本项目为交钥匙工程。以上总金额包设计开发、产品生产供货、运输装卸、安装调试、产品保护、备品备件、税金、培训、保险、验收、售后服务及辅助工作等完成本项目的所有费用。</w:t>
      </w:r>
    </w:p>
    <w:p w14:paraId="00271A76">
      <w:pPr>
        <w:pageBreakBefore w:val="0"/>
        <w:kinsoku/>
        <w:wordWrap w:val="0"/>
        <w:overflowPunct/>
        <w:topLinePunct w:val="0"/>
        <w:bidi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2、供货时提供产品合格证、原厂质保证明等相关资料</w:t>
      </w:r>
      <w:r>
        <w:rPr>
          <w:rFonts w:hint="eastAsia" w:ascii="宋体" w:hAnsi="宋体" w:eastAsia="宋体" w:cs="宋体"/>
          <w:color w:val="auto"/>
          <w:sz w:val="21"/>
          <w:szCs w:val="21"/>
          <w:highlight w:val="none"/>
        </w:rPr>
        <w:t>。</w:t>
      </w:r>
    </w:p>
    <w:p w14:paraId="055F31B6">
      <w:pPr>
        <w:pageBreakBefore w:val="0"/>
        <w:kinsoku/>
        <w:wordWrap w:val="0"/>
        <w:overflowPunct/>
        <w:topLinePunct w:val="0"/>
        <w:bidi w:val="0"/>
        <w:snapToGrid w:val="0"/>
        <w:rPr>
          <w:rFonts w:hint="eastAsia" w:ascii="宋体" w:hAnsi="宋体" w:eastAsia="宋体" w:cs="宋体"/>
          <w:b/>
          <w:bCs/>
          <w:color w:val="auto"/>
          <w:sz w:val="28"/>
          <w:szCs w:val="28"/>
          <w:highlight w:val="none"/>
        </w:rPr>
      </w:pPr>
    </w:p>
    <w:p w14:paraId="72877AF8">
      <w:pPr>
        <w:pageBreakBefore w:val="0"/>
        <w:kinsoku/>
        <w:wordWrap w:val="0"/>
        <w:overflowPunct/>
        <w:topLinePunct w:val="0"/>
        <w:bidi w:val="0"/>
        <w:snapToGrid w:val="0"/>
        <w:rPr>
          <w:rFonts w:hint="eastAsia" w:ascii="宋体" w:hAnsi="宋体" w:eastAsia="宋体" w:cs="宋体"/>
          <w:b/>
          <w:bCs/>
          <w:color w:val="auto"/>
          <w:sz w:val="28"/>
          <w:szCs w:val="28"/>
          <w:highlight w:val="none"/>
        </w:rPr>
      </w:pPr>
    </w:p>
    <w:p w14:paraId="465D27AE">
      <w:pPr>
        <w:pageBreakBefore w:val="0"/>
        <w:numPr>
          <w:ilvl w:val="0"/>
          <w:numId w:val="0"/>
        </w:numPr>
        <w:kinsoku/>
        <w:wordWrap w:val="0"/>
        <w:overflowPunct/>
        <w:topLinePunct w:val="0"/>
        <w:bidi w:val="0"/>
        <w:snapToGrid w:val="0"/>
        <w:spacing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采购内容</w:t>
      </w:r>
    </w:p>
    <w:p w14:paraId="5A29D5D5">
      <w:pPr>
        <w:pageBreakBefore w:val="0"/>
        <w:numPr>
          <w:ilvl w:val="0"/>
          <w:numId w:val="0"/>
        </w:numPr>
        <w:kinsoku/>
        <w:wordWrap w:val="0"/>
        <w:overflowPunct/>
        <w:topLinePunct w:val="0"/>
        <w:bidi w:val="0"/>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lang w:eastAsia="zh-CN"/>
        </w:rPr>
        <w:t>（一）采购清单</w:t>
      </w:r>
    </w:p>
    <w:p w14:paraId="3BAA2463">
      <w:pPr>
        <w:pageBreakBefore w:val="0"/>
        <w:numPr>
          <w:ilvl w:val="0"/>
          <w:numId w:val="0"/>
        </w:numPr>
        <w:kinsoku/>
        <w:wordWrap w:val="0"/>
        <w:overflowPunct/>
        <w:topLinePunct w:val="0"/>
        <w:bidi w:val="0"/>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4"/>
          <w:szCs w:val="24"/>
          <w:highlight w:val="none"/>
          <w:lang w:val="en-US" w:eastAsia="zh-CN"/>
        </w:rPr>
        <w:t>表格1  办公家具清单</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p>
    <w:tbl>
      <w:tblPr>
        <w:tblStyle w:val="63"/>
        <w:tblW w:w="14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94"/>
        <w:gridCol w:w="1093"/>
        <w:gridCol w:w="1957"/>
        <w:gridCol w:w="1728"/>
        <w:gridCol w:w="5674"/>
        <w:gridCol w:w="620"/>
        <w:gridCol w:w="560"/>
        <w:gridCol w:w="874"/>
        <w:gridCol w:w="1095"/>
      </w:tblGrid>
      <w:tr w14:paraId="025B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7"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0BD35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0218D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9DAE2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图片</w:t>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2EBDD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规格（±5）</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C55F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材质</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F3E82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55835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5FBF2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AC22C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金额（元）</w:t>
            </w:r>
          </w:p>
        </w:tc>
      </w:tr>
      <w:tr w14:paraId="396E2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2D729E">
            <w:pPr>
              <w:pageBreakBefore w:val="0"/>
              <w:kinsoku/>
              <w:wordWrap w:val="0"/>
              <w:overflowPunct/>
              <w:topLinePunct w:val="0"/>
              <w:bidi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一层</w:t>
            </w:r>
          </w:p>
        </w:tc>
      </w:tr>
      <w:tr w14:paraId="7D09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073F42">
            <w:pPr>
              <w:pageBreakBefore w:val="0"/>
              <w:kinsoku/>
              <w:wordWrap w:val="0"/>
              <w:overflowPunct/>
              <w:topLinePunct w:val="0"/>
              <w:bidi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诊室（2间）、康复室</w:t>
            </w:r>
          </w:p>
        </w:tc>
      </w:tr>
      <w:tr w14:paraId="7CB7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90434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F220F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办公桌</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98FFB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-41910</wp:posOffset>
                  </wp:positionH>
                  <wp:positionV relativeFrom="paragraph">
                    <wp:posOffset>-12700</wp:posOffset>
                  </wp:positionV>
                  <wp:extent cx="1183005" cy="895985"/>
                  <wp:effectExtent l="0" t="0" r="17145" b="18415"/>
                  <wp:wrapNone/>
                  <wp:docPr id="2" name="图片_43"/>
                  <wp:cNvGraphicFramePr/>
                  <a:graphic xmlns:a="http://schemas.openxmlformats.org/drawingml/2006/main">
                    <a:graphicData uri="http://schemas.openxmlformats.org/drawingml/2006/picture">
                      <pic:pic xmlns:pic="http://schemas.openxmlformats.org/drawingml/2006/picture">
                        <pic:nvPicPr>
                          <pic:cNvPr id="2" name="图片_43"/>
                          <pic:cNvPicPr/>
                        </pic:nvPicPr>
                        <pic:blipFill>
                          <a:blip r:embed="rId19"/>
                          <a:stretch>
                            <a:fillRect/>
                          </a:stretch>
                        </pic:blipFill>
                        <pic:spPr>
                          <a:xfrm>
                            <a:off x="0" y="0"/>
                            <a:ext cx="1183005" cy="89598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9D4A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1600*1600*750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1C996">
            <w:pPr>
              <w:keepNext w:val="0"/>
              <w:keepLines w:val="0"/>
              <w:pageBreakBefore w:val="0"/>
              <w:widowControl/>
              <w:numPr>
                <w:ilvl w:val="0"/>
                <w:numId w:val="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采用优质实木多层板，依据GB/T 9846-2015《普通胶合板》；GB/T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w:t>
            </w:r>
          </w:p>
          <w:p w14:paraId="635F71CA">
            <w:pPr>
              <w:keepNext w:val="0"/>
              <w:keepLines w:val="0"/>
              <w:pageBreakBefore w:val="0"/>
              <w:widowControl/>
              <w:numPr>
                <w:ilvl w:val="0"/>
                <w:numId w:val="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6F8D35B4">
            <w:pPr>
              <w:keepNext w:val="0"/>
              <w:keepLines w:val="0"/>
              <w:pageBreakBefore w:val="0"/>
              <w:widowControl/>
              <w:numPr>
                <w:ilvl w:val="0"/>
                <w:numId w:val="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选用优质品牌环保热熔胶，依据GB18583-2008《室内装饰装修材料胶粘剂中有害物质限量》﹔HJ2541-2016《环境标志产品技术要求胶粘剂》标准；游离甲醛≤0.1g/kg，苯≤0.02g/kg，甲苯≤0.02g/kg，二甲苯≤0.02g/kg，总挥发性有机物≤5g/L，游离甲苯二异氰酸酯≤1g/kg。 </w:t>
            </w:r>
          </w:p>
          <w:p w14:paraId="62CC88CB">
            <w:pPr>
              <w:keepNext w:val="0"/>
              <w:keepLines w:val="0"/>
              <w:pageBreakBefore w:val="0"/>
              <w:widowControl/>
              <w:numPr>
                <w:ilvl w:val="0"/>
                <w:numId w:val="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w:t>
            </w:r>
          </w:p>
          <w:p w14:paraId="28F9D8FE">
            <w:pPr>
              <w:keepNext w:val="0"/>
              <w:keepLines w:val="0"/>
              <w:pageBreakBefore w:val="0"/>
              <w:widowControl/>
              <w:numPr>
                <w:ilvl w:val="0"/>
                <w:numId w:val="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采用优质铰链，依据QB/T 2189-2013《家具五金杯状暗铰链》；GB/T 10125 -2021《人造气氛腐蚀试验盐雾 试验》； QB/T 3832-1999 《轻工产品金属镀层腐蚀试验结果的评价》检测标准；中性盐雾试验≥500h，镀层本身的耐腐蚀等级≥10级，镀层对基体的保护等级≥10级；乙酸盐雾试验≥250h，镀层本身的耐腐蚀等级≥10级，镀层对基体的保护等级≥10级；耐久性≥12万次检测合格，安装B型试验门时，下沉量不大于1.5mm，抗菌性能（抗菌率）≥99%。</w:t>
            </w:r>
          </w:p>
          <w:p w14:paraId="5AED2716">
            <w:pPr>
              <w:keepNext w:val="0"/>
              <w:keepLines w:val="0"/>
              <w:pageBreakBefore w:val="0"/>
              <w:widowControl/>
              <w:numPr>
                <w:ilvl w:val="0"/>
                <w:numId w:val="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采用优质导轨，依据GB/T 10125-2021《人造气氛腐蚀试验盐雾试验》；QB/T 3832- 1999《轻工产品金属镀层腐蚀试验结果的评价》； QB/T 2454-2013《家具五金抽屉导轨》检测标准；中性盐雾试验≥500h，镀层本身的耐腐蚀等级≥10级，镀层对基体的保护等级≥10级；乙酸盐雾试验≥250h，镀层本身的耐腐蚀等级≥10级，镀层对基体的保护等级≥10级；耐久性≥12万次检测合格。</w:t>
            </w:r>
          </w:p>
          <w:p w14:paraId="7DF766F9">
            <w:pPr>
              <w:keepNext w:val="0"/>
              <w:keepLines w:val="0"/>
              <w:pageBreakBefore w:val="0"/>
              <w:widowControl/>
              <w:numPr>
                <w:ilvl w:val="0"/>
                <w:numId w:val="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采用优质线盒，依据GB/T 3325-2017《金属家具通用技术条件》、HJ2547-2016《环境标志产品技术要求家具》标准；金属件喷涂层无漏喷、锈蚀、脱色、掉色现象；金属件喷涂层无流挂、疙瘩、皱皮、飞漆等缺陷；产品表面涂层可迁移元素的限量（铅、镉、汞、砷）未检出。</w:t>
            </w:r>
          </w:p>
          <w:p w14:paraId="303C351F">
            <w:pPr>
              <w:keepNext w:val="0"/>
              <w:keepLines w:val="0"/>
              <w:pageBreakBefore w:val="0"/>
              <w:widowControl/>
              <w:numPr>
                <w:ilvl w:val="0"/>
                <w:numId w:val="1"/>
              </w:numPr>
              <w:suppressLineNumbers w:val="0"/>
              <w:kinsoku/>
              <w:wordWrap w:val="0"/>
              <w:overflowPunct/>
              <w:topLinePunct w:val="0"/>
              <w:bidi w:val="0"/>
              <w:ind w:left="0" w:leftChars="0" w:firstLine="0" w:firstLineChars="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 xml:space="preserve">采用优质钢架/钢制脚架，依据GB/T 10125-2021《人造气氛腐蚀试验盐雾 试验》；QB/T 3832- 1999《轻工产品金属镀层腐蚀试验结果的评价》；QB/T 4371- 2012《家具抗菌性能的评价》；GB/T 228.1-2021 《金属材料拉伸试验第1部分:室温试验方法》检测标准：乙酸盐雾试验≥220h，镀层本身的耐腐蚀等级≥10级，镀层对基体的保护等级≥10级；抑菌率≥99%；断后伸长率A80mm45%，规定塑性延伸强度Rp0.2 259MPa。                      </w:t>
            </w:r>
          </w:p>
          <w:p w14:paraId="3278C7CD">
            <w:pPr>
              <w:keepNext w:val="0"/>
              <w:keepLines w:val="0"/>
              <w:pageBreakBefore w:val="0"/>
              <w:widowControl/>
              <w:numPr>
                <w:ilvl w:val="0"/>
                <w:numId w:val="1"/>
              </w:numPr>
              <w:suppressLineNumbers w:val="0"/>
              <w:kinsoku/>
              <w:wordWrap w:val="0"/>
              <w:overflowPunct/>
              <w:topLinePunct w:val="0"/>
              <w:bidi w:val="0"/>
              <w:ind w:left="0" w:leftChars="0" w:firstLine="0" w:firstLineChars="0"/>
              <w:jc w:val="left"/>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 xml:space="preserve"> 优质锁具</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2AC6E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FAC19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26B31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2200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B88E4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6600 </w:t>
            </w:r>
          </w:p>
        </w:tc>
      </w:tr>
      <w:tr w14:paraId="71C3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74"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21F58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190CC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诊椅</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1C187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drawing>
                <wp:inline distT="0" distB="0" distL="114300" distR="114300">
                  <wp:extent cx="1308735" cy="1793240"/>
                  <wp:effectExtent l="0" t="0" r="5715" b="16510"/>
                  <wp:docPr id="37" name="图片 37" descr="174435514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744355143774"/>
                          <pic:cNvPicPr>
                            <a:picLocks noChangeAspect="1"/>
                          </pic:cNvPicPr>
                        </pic:nvPicPr>
                        <pic:blipFill>
                          <a:blip r:embed="rId20"/>
                          <a:stretch>
                            <a:fillRect/>
                          </a:stretch>
                        </pic:blipFill>
                        <pic:spPr>
                          <a:xfrm>
                            <a:off x="0" y="0"/>
                            <a:ext cx="1308735" cy="1793240"/>
                          </a:xfrm>
                          <a:prstGeom prst="rect">
                            <a:avLst/>
                          </a:prstGeom>
                        </pic:spPr>
                      </pic:pic>
                    </a:graphicData>
                  </a:graphic>
                </wp:inline>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E63E0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650*590*（1060-1160）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44D29F">
            <w:pPr>
              <w:keepNext w:val="0"/>
              <w:keepLines w:val="0"/>
              <w:pageBreakBefore w:val="0"/>
              <w:widowControl/>
              <w:numPr>
                <w:ilvl w:val="0"/>
                <w:numId w:val="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选用优质网布，依据GB 18401-2010《国家纺织产品基本安全技术规范》；GB/T 31713-2015《抗菌纺织品安全性卫生要求》；GB/T 24346-2009《纺织品 防霉性能的评价》﹔GB  17927.1-2011《软体家具 床垫和沙发抗引燃特性的 评定第1部分:阴燃的香烟》﹔FZ/T 62011.3-2016《布艺类产品 第3部分:家具用纺织品》标准；甲醛含量≤20mg/kg，可分解致癌芳香胺染料未检出，抗菌性能（抑菌率）≥99%，防霉等级0级或1级，沾色-聚酯纤维≥4级。</w:t>
            </w:r>
          </w:p>
          <w:p w14:paraId="302507CD">
            <w:pPr>
              <w:keepNext w:val="0"/>
              <w:keepLines w:val="0"/>
              <w:pageBreakBefore w:val="0"/>
              <w:widowControl/>
              <w:numPr>
                <w:ilvl w:val="0"/>
                <w:numId w:val="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采用优质阻燃高弹海绵，依据QB/T 2280-2016《办公家具 办公椅》、GB/T 6343-2009《泡沫塑料及橡胶 表观密度的测定》、GB 17927.1-2011《软体家具 床垫和沙发抗引燃特性的 评定第1部分：阴燃的香烟》、HJ 2547-2016《环境标志产品技术要求 家具》、QB/T 4371-2012《家具抗菌性能的评价》标准；长度、宽度极限偏差检测合格，厚度极限偏差检测合格，感官要求至少5项检测，物理力学性能（至少包含回弹率≥50%，拉伸强度≥150KPa，伸长率≥168%，撕裂强度≥4.5N/cm，干热老化后拉伸强度≥145KPa），密度≥50kg/m³，甲醛释放量≤0.03mg/m²h，TVOC≤0.05mg/m²h，抗引燃特性阻燃Ⅰ级，抗菌性能（抑菌率）≥95%。</w:t>
            </w:r>
          </w:p>
          <w:p w14:paraId="7DD490FD">
            <w:pPr>
              <w:keepNext w:val="0"/>
              <w:keepLines w:val="0"/>
              <w:pageBreakBefore w:val="0"/>
              <w:widowControl/>
              <w:numPr>
                <w:ilvl w:val="0"/>
                <w:numId w:val="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采用优质扶手，依据GB 28481-2012《塑料家具中有害物质限量》、GB/T 3325-2017《金属家具通用技术条件》、GB/T 32487-2016《塑料家具通用技术条件》、GB/T 24128-2018《塑料 塑料防霉剂的防霉效果评估》、GB/T 35607-2017《绿色产品评价 家具》标准；邻苯二甲酸酯未检出，重金属（可溶性铅、可溶性镉、可溶性铬、可溶性汞）均≤0.1mg/kg，甲醛释放量≤0.04mg/m³，防霉等级0级或1级。</w:t>
            </w:r>
          </w:p>
          <w:p w14:paraId="014B74AF">
            <w:pPr>
              <w:keepNext w:val="0"/>
              <w:keepLines w:val="0"/>
              <w:pageBreakBefore w:val="0"/>
              <w:widowControl/>
              <w:numPr>
                <w:ilvl w:val="0"/>
                <w:numId w:val="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采用优质气压棒，依据GB/T 29525-2013《座椅升降气弹簧 技术条件》；QB/T 2280-2016《办公家具办公椅》标准；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14:paraId="14AA8E91">
            <w:pPr>
              <w:keepNext w:val="0"/>
              <w:keepLines w:val="0"/>
              <w:pageBreakBefore w:val="0"/>
              <w:widowControl/>
              <w:numPr>
                <w:ilvl w:val="0"/>
                <w:numId w:val="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采用优质转椅底盘，依据GB/T 10125-2021《人造气氛腐蚀试验盐雾试验》、QB/T 3832- 1999《轻工产品金属镀层腐蚀试验结果的评价》标准乙酸盐雾试验连续喷雾≥18h，镀层本身的耐腐蚀等级≥10级，镀层对基体的保护等级≥10级。</w:t>
            </w:r>
          </w:p>
          <w:p w14:paraId="4EEF5F58">
            <w:pPr>
              <w:keepNext w:val="0"/>
              <w:keepLines w:val="0"/>
              <w:pageBreakBefore w:val="0"/>
              <w:widowControl/>
              <w:numPr>
                <w:ilvl w:val="0"/>
                <w:numId w:val="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采用优质钢制五星脚，依据GB/T 3325-2017《金属家具通用技术条件》； GB/T 10125-2021 《人造气氛腐蚀试验 盐雾试验》； QB/T 3832-1999 《轻工产品金属镀层腐蚀试验结果的评价》；GB/T 1741-2020 《漆膜耐霉菌性测定法》标准；金属件喷涂层无漏喷、锈蚀、脱色、掉色现象；金属件喷涂层无流挂、疙瘩、皱皮、飞漆等缺陷；乙酸盐雾试验≥240h，镀层本身的耐腐蚀等级≥10级，镀层对基体的保护等级≥10级，耐霉菌性等级0级或1级。</w:t>
            </w:r>
          </w:p>
          <w:p w14:paraId="115D0822">
            <w:pPr>
              <w:keepNext w:val="0"/>
              <w:keepLines w:val="0"/>
              <w:pageBreakBefore w:val="0"/>
              <w:widowControl/>
              <w:numPr>
                <w:ilvl w:val="0"/>
                <w:numId w:val="2"/>
              </w:numPr>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采用优质脚轮， 依据QB/T 4765-2014《家具用脚轮》； GB 28481-2012 《塑料家具中有害物质限量》；GB/T 3325-2017《金属家具通用技术条件》；GB/T 16422.3-2022《塑料 实验室光源暴露试验方法 第3部分:荧光紫外灯》；GB/T 35607-2017《绿色产品评价 家具》标准；脚轮的轮面光洁，无裂纹、伤痕、毛边等缺陷。抗冲击性、导电性、动载荷、滚动阻力检测合格，实验室光源暴露试验：荧光紫外灯4-5级。产品有害物质（铅、汞）≤1mg/kg。</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33DE5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264A9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44A42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330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63571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990 </w:t>
            </w:r>
          </w:p>
        </w:tc>
      </w:tr>
      <w:tr w14:paraId="2AA7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32"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CF67C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608EE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就诊凳</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24B6C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50165</wp:posOffset>
                  </wp:positionH>
                  <wp:positionV relativeFrom="paragraph">
                    <wp:posOffset>87630</wp:posOffset>
                  </wp:positionV>
                  <wp:extent cx="1076325" cy="992505"/>
                  <wp:effectExtent l="0" t="0" r="9525" b="17145"/>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21"/>
                          <a:stretch>
                            <a:fillRect/>
                          </a:stretch>
                        </pic:blipFill>
                        <pic:spPr>
                          <a:xfrm>
                            <a:off x="0" y="0"/>
                            <a:ext cx="1076325" cy="99250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3DD91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270*230*320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FBE2E">
            <w:pPr>
              <w:keepNext w:val="0"/>
              <w:keepLines w:val="0"/>
              <w:pageBreakBefore w:val="0"/>
              <w:widowControl/>
              <w:numPr>
                <w:ilvl w:val="0"/>
                <w:numId w:val="3"/>
              </w:numPr>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采用优质橡胶木，依据GB/T 35601-2017《绿色产品评价 人造板和木质地板》；GB 18584-2001《室内装饰装修材料木家具中有害物质限量》；GB/T 16734-1997《中国主要木材名称》；GB/T 29894-2013《木材鉴别方法通则》；GB/T 1927.5-2021《无疵小试样木材物理力学性质试验方法 第5部分：密度测定》；GB/T 3324-2017 《木家具通用技术条件》；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2、采用优质水性面漆，依据GB 18581-2020《木器涂料中有害物质限量》； GB/T 1741 -2020《漆膜耐霉菌性测定法》； GB/T 23999 -2009《室内装饰装修用水性木器涂料》； HJ 2537-2014 《环境标志产品技术要求水性涂料》标准；VOC含量≤5g/L，甲醛含量≤10mg/kg，总铅含量≤1mg/kg，镉含量≤2mg/kg，铬含量≤2mg/kg，汞含量≤2mg/kg，乙二醇醚及醚酯总和含量(限乙二醇甲醚、乙二醇甲醚醋酸酯、乙二醇乙醚、乙二醇乙醚醋酸酯、乙二醇二甲醚、乙二醇二乙醚、二乙二醇二甲醚、三乙二醇二甲醚)≤20mg/kg，苯系物总和含量≤30mg/kg,烷基酚聚氧乙烯醚总和含量≤20mg/kg,耐霉菌性等级1级或0级，卤代烃未检出。</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509DC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33D1A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F03F2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64BDA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900 </w:t>
            </w:r>
          </w:p>
        </w:tc>
      </w:tr>
      <w:tr w14:paraId="5428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22"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8A93E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84407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文件柜</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84D25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33655</wp:posOffset>
                  </wp:positionH>
                  <wp:positionV relativeFrom="paragraph">
                    <wp:posOffset>-20320</wp:posOffset>
                  </wp:positionV>
                  <wp:extent cx="1002030" cy="1272540"/>
                  <wp:effectExtent l="0" t="0" r="7620" b="3810"/>
                  <wp:wrapNone/>
                  <wp:docPr id="5" name="图片_6"/>
                  <wp:cNvGraphicFramePr/>
                  <a:graphic xmlns:a="http://schemas.openxmlformats.org/drawingml/2006/main">
                    <a:graphicData uri="http://schemas.openxmlformats.org/drawingml/2006/picture">
                      <pic:pic xmlns:pic="http://schemas.openxmlformats.org/drawingml/2006/picture">
                        <pic:nvPicPr>
                          <pic:cNvPr id="5" name="图片_6"/>
                          <pic:cNvPicPr/>
                        </pic:nvPicPr>
                        <pic:blipFill>
                          <a:blip r:embed="rId22"/>
                          <a:stretch>
                            <a:fillRect/>
                          </a:stretch>
                        </pic:blipFill>
                        <pic:spPr>
                          <a:xfrm>
                            <a:off x="0" y="0"/>
                            <a:ext cx="1002030" cy="1272540"/>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9B84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800*400*2000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E2DCC4">
            <w:pPr>
              <w:keepNext w:val="0"/>
              <w:keepLines w:val="0"/>
              <w:pageBreakBefore w:val="0"/>
              <w:widowControl/>
              <w:numPr>
                <w:ilvl w:val="0"/>
                <w:numId w:val="4"/>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采用优质实木多层板，依据GB/T 9846-2015《普通胶合板》；GB/T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w:t>
            </w:r>
          </w:p>
          <w:p w14:paraId="3D1D7643">
            <w:pPr>
              <w:keepNext w:val="0"/>
              <w:keepLines w:val="0"/>
              <w:pageBreakBefore w:val="0"/>
              <w:widowControl/>
              <w:numPr>
                <w:ilvl w:val="0"/>
                <w:numId w:val="4"/>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380B67C1">
            <w:pPr>
              <w:keepNext w:val="0"/>
              <w:keepLines w:val="0"/>
              <w:pageBreakBefore w:val="0"/>
              <w:widowControl/>
              <w:numPr>
                <w:ilvl w:val="0"/>
                <w:numId w:val="4"/>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选用优质品牌环保热熔胶，依据GB18583-2008《室内装饰装修材料胶粘剂中有害物质限量》﹔HJ2541-2016《环境标志产品技术要求胶粘剂》标准；游离甲醛≤0.1g/kg，苯≤0.02g/kg，甲苯≤0.02g/kg，二甲苯≤0.02g/kg，总挥发性有机物≤5g/L，游离甲苯二异氰酸酯≤1g/kg。 </w:t>
            </w:r>
          </w:p>
          <w:p w14:paraId="557E092D">
            <w:pPr>
              <w:keepNext w:val="0"/>
              <w:keepLines w:val="0"/>
              <w:pageBreakBefore w:val="0"/>
              <w:widowControl/>
              <w:numPr>
                <w:ilvl w:val="0"/>
                <w:numId w:val="4"/>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w:t>
            </w:r>
          </w:p>
          <w:p w14:paraId="7D98F577">
            <w:pPr>
              <w:keepNext w:val="0"/>
              <w:keepLines w:val="0"/>
              <w:pageBreakBefore w:val="0"/>
              <w:widowControl/>
              <w:numPr>
                <w:ilvl w:val="0"/>
                <w:numId w:val="4"/>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采用优质铰链，依据QB/T 2189-2013《家具五金杯状暗铰链》；GB/T 10125 -2021《人造气氛腐蚀试验盐雾 试验》； QB/T 3832-1999 《轻工产品金属镀层腐蚀试验结果的评价》检测标准；中性盐雾试验≥500h，镀层本身的耐腐蚀等级≥10级，镀层对基体的保护等级≥10级；乙酸盐雾试验≥250h，镀层本身的耐腐蚀等级≥10级，镀层对基体的保护等级≥10级；耐久性≥12万次检测合格，安装B型试验门时，下沉量不大于1.5mm，抗菌性能（抗菌率）≥99%。</w:t>
            </w:r>
          </w:p>
          <w:p w14:paraId="6BF03EBC">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D0799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2BA6E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A08CD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1480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90B21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4440 </w:t>
            </w:r>
          </w:p>
        </w:tc>
      </w:tr>
      <w:tr w14:paraId="7704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69"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8A7ED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1DB47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诊疗床</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95415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-32385</wp:posOffset>
                  </wp:positionH>
                  <wp:positionV relativeFrom="paragraph">
                    <wp:posOffset>57150</wp:posOffset>
                  </wp:positionV>
                  <wp:extent cx="1207135" cy="763905"/>
                  <wp:effectExtent l="0" t="0" r="12065" b="17145"/>
                  <wp:wrapNone/>
                  <wp:docPr id="18" name="图片_16"/>
                  <wp:cNvGraphicFramePr/>
                  <a:graphic xmlns:a="http://schemas.openxmlformats.org/drawingml/2006/main">
                    <a:graphicData uri="http://schemas.openxmlformats.org/drawingml/2006/picture">
                      <pic:pic xmlns:pic="http://schemas.openxmlformats.org/drawingml/2006/picture">
                        <pic:nvPicPr>
                          <pic:cNvPr id="18" name="图片_16"/>
                          <pic:cNvPicPr/>
                        </pic:nvPicPr>
                        <pic:blipFill>
                          <a:blip r:embed="rId23"/>
                          <a:stretch>
                            <a:fillRect/>
                          </a:stretch>
                        </pic:blipFill>
                        <pic:spPr>
                          <a:xfrm>
                            <a:off x="0" y="0"/>
                            <a:ext cx="1207135" cy="76390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6200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1900*600*650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9B211">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1、台架/腿架：采用优质钢架依据GB/T 10125-2021《人造气氛腐蚀试验盐雾 试验》；QB/T 3832- 1999《轻工产品金属镀层腐蚀试验结果的评价》；QB/T 4371- 2012《家具抗菌性能的评价》；GB/T 228.1-2021 《金属材料拉伸试验第1部分:室温试验方法》检测标准乙酸盐雾试验≥220h，镀层本身的耐腐蚀等级≥10级，镀层对基体的保护等级≥10级；抑菌率≥99%；断后伸长率A80mm45%，规定塑性延伸强度Rp0.2 259MPa。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2、床面：50mm厚西皮软包垫(西皮厚度不低于2mm）,采用高密度、高弹力聚氨脂海绵，密度不低于45，可防氧化、防碎，软硬适中，回弹性良好，不易变形</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AD0BF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7DEE7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5C29C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780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DFB96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2340 </w:t>
            </w:r>
          </w:p>
        </w:tc>
      </w:tr>
      <w:tr w14:paraId="0FE6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2C7FE0">
            <w:pPr>
              <w:pageBreakBefore w:val="0"/>
              <w:kinsoku/>
              <w:wordWrap w:val="0"/>
              <w:overflowPunct/>
              <w:topLinePunct w:val="0"/>
              <w:bidi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中医诊室</w:t>
            </w:r>
          </w:p>
        </w:tc>
      </w:tr>
      <w:tr w14:paraId="288A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36"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BD3C3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6CC86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实木桌</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9DA9E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-16510</wp:posOffset>
                  </wp:positionH>
                  <wp:positionV relativeFrom="paragraph">
                    <wp:posOffset>-431165</wp:posOffset>
                  </wp:positionV>
                  <wp:extent cx="1169035" cy="901700"/>
                  <wp:effectExtent l="0" t="0" r="12065" b="12700"/>
                  <wp:wrapNone/>
                  <wp:docPr id="19" name="图片_1_SpCnt_1"/>
                  <wp:cNvGraphicFramePr/>
                  <a:graphic xmlns:a="http://schemas.openxmlformats.org/drawingml/2006/main">
                    <a:graphicData uri="http://schemas.openxmlformats.org/drawingml/2006/picture">
                      <pic:pic xmlns:pic="http://schemas.openxmlformats.org/drawingml/2006/picture">
                        <pic:nvPicPr>
                          <pic:cNvPr id="19" name="图片_1_SpCnt_1"/>
                          <pic:cNvPicPr/>
                        </pic:nvPicPr>
                        <pic:blipFill>
                          <a:blip r:embed="rId24"/>
                          <a:stretch>
                            <a:fillRect/>
                          </a:stretch>
                        </pic:blipFill>
                        <pic:spPr>
                          <a:xfrm>
                            <a:off x="0" y="0"/>
                            <a:ext cx="1169035" cy="901700"/>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32E3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1600*800*750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2DC4F">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1、基材：采用优质白蜡木，木材含水率符合国标，木制件外观无贯通裂缝、无虫蛀现象，无腐朽材、无树脂囊，甲醛释放量≤0.05mg/L。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2、油漆：采用优质环保油漆，依据GB 18581-2020《木器涂料中有害物质限量》；GB/T 21866-2008《抗菌涂料（漆膜）抗菌性测定法和抗菌效果》；GB/T 23997-2009《室内装饰装修用溶剂型聚氨酯木器涂料》；HJ/T 414-2007《环境标志产品技术要求 室内装饰装修用溶剂型木器涂料》标准；VOC含量≤5g/L，总铅含量≤2mg/kg，镉含量≤2mg/kg，铬含量≤2mg/kg，汞含量≤2mg/kg，乙二醇醚及醚酯总和含量（限乙二醇甲醚、乙二醇甲醚醋酸酯、乙二醇乙醚、乙二醇乙醚醋酸酯、乙二醇二甲醚、乙二醇二乙醚、二乙二醇二甲醚、三乙二醇二甲醚)≤20mg/kg，苯含量≤0.1%，甲醛含量≤10mg/kg，甲苯与二甲苯（含乙苯）总和含量≤5%，多环芳烃总和含量≤1mg/kg，抗菌性能（抗细菌率）≥99.5%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3、五金配件：采用优质品牌五金配件，无锈蚀，具有足够的承载能力、耐腐蚀能力。</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3B930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CBE9E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17E80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3320D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3200 </w:t>
            </w:r>
          </w:p>
        </w:tc>
      </w:tr>
      <w:tr w14:paraId="4F9B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F1A41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D8C48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诊椅</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5553D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184785</wp:posOffset>
                  </wp:positionH>
                  <wp:positionV relativeFrom="paragraph">
                    <wp:posOffset>90170</wp:posOffset>
                  </wp:positionV>
                  <wp:extent cx="602615" cy="921385"/>
                  <wp:effectExtent l="0" t="0" r="6985" b="12065"/>
                  <wp:wrapNone/>
                  <wp:docPr id="27" name="图片_2"/>
                  <wp:cNvGraphicFramePr/>
                  <a:graphic xmlns:a="http://schemas.openxmlformats.org/drawingml/2006/main">
                    <a:graphicData uri="http://schemas.openxmlformats.org/drawingml/2006/picture">
                      <pic:pic xmlns:pic="http://schemas.openxmlformats.org/drawingml/2006/picture">
                        <pic:nvPicPr>
                          <pic:cNvPr id="27" name="图片_2"/>
                          <pic:cNvPicPr/>
                        </pic:nvPicPr>
                        <pic:blipFill>
                          <a:blip r:embed="rId25"/>
                          <a:stretch>
                            <a:fillRect/>
                          </a:stretch>
                        </pic:blipFill>
                        <pic:spPr>
                          <a:xfrm>
                            <a:off x="0" y="0"/>
                            <a:ext cx="602615" cy="92138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1F9D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4"/>
                <w:highlight w:val="none"/>
                <w:lang w:val="en-US" w:eastAsia="zh-CN"/>
              </w:rPr>
              <w:t>620*470*1140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41E5CF">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1、基材：采用优质白蜡木，木材含水率符合国标，木制件外观无贯通裂缝、无虫蛀现象，无腐朽材、无树脂囊，甲醛释放量≤0.05mg/L。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2、油漆：采用优质环保油漆，依据GB 18581-2020《木器涂料中有害物质限量》；GB/T 21866-2008《抗菌涂料（漆膜）抗菌性测定法和抗菌效果》；GB/T 23997-2009《室内装饰装修用溶剂型聚氨酯木器涂料》；HJ/T 414-2007《环境标志产品技术要求 室内装饰装修用溶剂型木器涂料》标准；VOC含量≤5g/L，总铅含量≤2mg/kg，镉含量≤2mg/kg，铬含量≤2mg/kg，汞含量≤2mg/kg，乙二醇醚及醚酯总和含量（限乙二醇甲醚、乙二醇甲醚醋酸酯、乙二醇乙醚、乙二醇乙醚醋酸酯、乙二醇二甲醚、乙二醇二乙醚、二乙二醇二甲醚、三乙二醇二甲醚)≤20mg/kg，苯含量≤0.1%，甲醛含量≤10mg/kg，甲苯与二甲苯（含乙苯）总和含量≤5%，多环芳烃总和含量≤1mg/kg，抗菌性能（抗细菌率）≥99.5%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3、五金配件：采用优质品牌五金配件，无锈蚀，具有足够的承载能力、耐腐蚀能力。</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178D4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B4107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37E95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E2352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1100 </w:t>
            </w:r>
          </w:p>
        </w:tc>
      </w:tr>
      <w:tr w14:paraId="3406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0"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1F9E7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7A949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就诊凳</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57FE0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118745</wp:posOffset>
                  </wp:positionH>
                  <wp:positionV relativeFrom="paragraph">
                    <wp:posOffset>46355</wp:posOffset>
                  </wp:positionV>
                  <wp:extent cx="799465" cy="840105"/>
                  <wp:effectExtent l="0" t="0" r="635" b="17145"/>
                  <wp:wrapNone/>
                  <wp:docPr id="24" name="图片_6_SpCnt_1"/>
                  <wp:cNvGraphicFramePr/>
                  <a:graphic xmlns:a="http://schemas.openxmlformats.org/drawingml/2006/main">
                    <a:graphicData uri="http://schemas.openxmlformats.org/drawingml/2006/picture">
                      <pic:pic xmlns:pic="http://schemas.openxmlformats.org/drawingml/2006/picture">
                        <pic:nvPicPr>
                          <pic:cNvPr id="24" name="图片_6_SpCnt_1"/>
                          <pic:cNvPicPr/>
                        </pic:nvPicPr>
                        <pic:blipFill>
                          <a:blip r:embed="rId26"/>
                          <a:stretch>
                            <a:fillRect/>
                          </a:stretch>
                        </pic:blipFill>
                        <pic:spPr>
                          <a:xfrm>
                            <a:off x="0" y="0"/>
                            <a:ext cx="799465" cy="84010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08DB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300*300*420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EA874">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1、基材：采用优质白蜡木，木材含水率符合国标，木制件外观无贯通裂缝、无虫蛀现象，无腐朽材、无树脂囊，甲醛释放量≤0.05mg/L。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2、油漆：采用优质环保油漆，依据GB 18581-2020《木器涂料中有害物质限量》；GB/T 21866-2008《抗菌涂料（漆膜）抗菌性测定法和抗菌效果》；GB/T 23997-2009《室内装饰装修用溶剂型聚氨酯木器涂料》；HJ/T 414-2007《环境标志产品技术要求 室内装饰装修用溶剂型木器涂料》标准；VOC含量≤5g/L，总铅含量≤2mg/kg，镉含量≤2mg/kg，铬含量≤2mg/kg，汞含量≤2mg/kg，乙二醇醚及醚酯总和含量（限乙二醇甲醚、乙二醇甲醚醋酸酯、乙二醇乙醚、乙二醇乙醚醋酸酯、乙二醇二甲醚、乙二醇二乙醚、二乙二醇二甲醚、三乙二醇二甲醚)≤20mg/kg，苯含量≤0.1%，甲醛含量≤10mg/kg，甲苯与二甲苯（含乙苯）总和含量≤5%，多环芳烃总和含量≤1mg/kg，抗菌性能（抗细菌率）≥99.5%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3、五金配件：采用优质品牌五金配件，无锈蚀，具有足够的承载能力、耐腐蚀能力。</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F7876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81F45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47729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430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58044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860 </w:t>
            </w:r>
          </w:p>
        </w:tc>
      </w:tr>
      <w:tr w14:paraId="42240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4E6ED2">
            <w:pPr>
              <w:pageBreakBefore w:val="0"/>
              <w:kinsoku/>
              <w:wordWrap w:val="0"/>
              <w:overflowPunct/>
              <w:topLinePunct w:val="0"/>
              <w:bidi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中医治疗区</w:t>
            </w:r>
          </w:p>
        </w:tc>
      </w:tr>
      <w:tr w14:paraId="5848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832"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57203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2C4A2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中医理疗床</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87438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-46355</wp:posOffset>
                  </wp:positionH>
                  <wp:positionV relativeFrom="paragraph">
                    <wp:posOffset>179070</wp:posOffset>
                  </wp:positionV>
                  <wp:extent cx="1203960" cy="710565"/>
                  <wp:effectExtent l="0" t="0" r="15240" b="13335"/>
                  <wp:wrapNone/>
                  <wp:docPr id="20" name="图片_4"/>
                  <wp:cNvGraphicFramePr/>
                  <a:graphic xmlns:a="http://schemas.openxmlformats.org/drawingml/2006/main">
                    <a:graphicData uri="http://schemas.openxmlformats.org/drawingml/2006/picture">
                      <pic:pic xmlns:pic="http://schemas.openxmlformats.org/drawingml/2006/picture">
                        <pic:nvPicPr>
                          <pic:cNvPr id="20" name="图片_4"/>
                          <pic:cNvPicPr/>
                        </pic:nvPicPr>
                        <pic:blipFill>
                          <a:blip r:embed="rId27"/>
                          <a:stretch>
                            <a:fillRect/>
                          </a:stretch>
                        </pic:blipFill>
                        <pic:spPr>
                          <a:xfrm>
                            <a:off x="0" y="0"/>
                            <a:ext cx="1203960" cy="71056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5D7C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1900*600*650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65AC2">
            <w:pPr>
              <w:keepNext w:val="0"/>
              <w:keepLines w:val="0"/>
              <w:pageBreakBefore w:val="0"/>
              <w:widowControl/>
              <w:numPr>
                <w:ilvl w:val="0"/>
                <w:numId w:val="5"/>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采用优质橡胶木，依据GB/T 35601-2017《绿色产品评价 人造板和木质地板》；GB 18584-2001《室内装饰装修材料木家具中有害物质限量》；GB/T 16734-1997《中国主要木材名称》；GB/T 29894-2013《木材鉴别方法通则》；GB/T 1927.5-2021《无疵小试样木材物理力学性质试验方法 第5部分：密度测定》；GB/T 3324-2017 《木家具通用技术条件》；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2、采用优质水性面漆，依据GB 18581-2020《木器涂料中有害物质限量》； GB/T 1741 -2020《漆膜耐霉菌性测定法》； GB/T 23999 -2009《室内装饰装修用水性木器涂料》； HJ 2537-2014 《环境标志产品技术要求水性涂料》标准；VOC含量≤5g/L，甲醛含量≤10mg/kg，总铅含量≤1mg/kg，镉含量≤2mg/kg，铬含量≤2mg/kg，汞含量≤2mg/kg，乙二醇醚及醚酯总和含量(限乙二醇甲醚、乙二醇甲醚醋酸酯、乙二醇乙醚、乙二醇乙醚醋酸酯、乙二醇二甲醚、乙二醇二乙醚、二乙二醇二甲醚、三乙二醇二甲醚)≤20mg/kg，苯系物总和含量≤30mg/kg,烷基酚聚氧乙烯醚总和含量≤20mg/kg,耐霉菌性等级1级或0级，卤代烃未检出。</w:t>
            </w:r>
          </w:p>
          <w:p w14:paraId="6A760688">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3、五金配件：采用优质品牌五金件。具有安装快速，结构简单，连接牢固，开启快捷之特点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4、软包：采用超纤皮软包垫。</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E5572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E46E5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2C26B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FEBBB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14400 </w:t>
            </w:r>
          </w:p>
        </w:tc>
      </w:tr>
      <w:tr w14:paraId="3D47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9C3F2F">
            <w:pPr>
              <w:pageBreakBefore w:val="0"/>
              <w:kinsoku/>
              <w:wordWrap w:val="0"/>
              <w:overflowPunct/>
              <w:topLinePunct w:val="0"/>
              <w:bidi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大厅、候诊区</w:t>
            </w:r>
          </w:p>
        </w:tc>
      </w:tr>
      <w:tr w14:paraId="31E5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82"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17644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DE579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等候沙发</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009B1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-52705</wp:posOffset>
                  </wp:positionH>
                  <wp:positionV relativeFrom="paragraph">
                    <wp:posOffset>127635</wp:posOffset>
                  </wp:positionV>
                  <wp:extent cx="1198245" cy="681990"/>
                  <wp:effectExtent l="0" t="0" r="1905" b="3810"/>
                  <wp:wrapNone/>
                  <wp:docPr id="28" name="图片_1_SpCnt_2"/>
                  <wp:cNvGraphicFramePr/>
                  <a:graphic xmlns:a="http://schemas.openxmlformats.org/drawingml/2006/main">
                    <a:graphicData uri="http://schemas.openxmlformats.org/drawingml/2006/picture">
                      <pic:pic xmlns:pic="http://schemas.openxmlformats.org/drawingml/2006/picture">
                        <pic:nvPicPr>
                          <pic:cNvPr id="28" name="图片_1_SpCnt_2"/>
                          <pic:cNvPicPr/>
                        </pic:nvPicPr>
                        <pic:blipFill>
                          <a:blip r:embed="rId28"/>
                          <a:stretch>
                            <a:fillRect/>
                          </a:stretch>
                        </pic:blipFill>
                        <pic:spPr>
                          <a:xfrm>
                            <a:off x="0" y="0"/>
                            <a:ext cx="1198245" cy="681990"/>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88AA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1100*1120*750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508B9">
            <w:pPr>
              <w:keepNext w:val="0"/>
              <w:keepLines w:val="0"/>
              <w:pageBreakBefore w:val="0"/>
              <w:widowControl/>
              <w:numPr>
                <w:ilvl w:val="0"/>
                <w:numId w:val="6"/>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 xml:space="preserve">选用优质环保皮，依据GB/T 16799-2018《家具用皮革》；QB/T 4199-2011《皮革 防霉性能测试方法》﹔GB 17927.1-2011《软体家具 床垫和沙发抗引燃特性的 评定第1部分:阴燃的香烟》；HJ 507-2009《环境标志产品技术要求皮革和合成革》标准；厚度≥1.2mm，全张革厚薄基本均匀，无油腻感；正面革不裂面、无管皱，主要部位不松面，革身平整、柔软、丰满有弹性；禁用偶氮染料未检出；耐光性≥5级，耐折牢度50000次无裂纹，游离甲醛≤20mg/kg，撕裂力≥90N，防霉等级0级或1级，抗引燃特性阻燃Ⅰ级。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2、阻燃海绵：采用优质阻燃高弹海绵，依据QB/T 2280-2016《办公家具 办公椅》、GB/T 6343-2009《泡沫塑料及橡胶 表观密度的测定》、GB 17927.1-2011《软体家具 床垫和沙发抗引燃特性的 评定第1部分：阴燃的香烟》、HJ 2547-2016《环境标志产品技术要求 家具》、QB/T 4371-2012《家具抗菌性能的评价》标准；长度、宽度极限偏差检测合格，厚度极限偏差检测合格，感官要求至少5项检测，物理力学性能（至少包含回弹率≥50%，拉伸强度≥150KPa，伸长率≥168%，撕裂强度≥4.5N/cm，干热老化后拉伸强度≥145KPa），密度≥50kg/m³，甲醛释放量≤0.03mg/m²h，TVOC≤0.05mg/m²h，抗引燃特性阻燃Ⅰ级，抗菌性能（抑菌率）≥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3、内架：内框架采用优质实木框架，经去皮、烘干、防虫防腐处理。           </w:t>
            </w:r>
          </w:p>
          <w:p w14:paraId="45599E3C">
            <w:pPr>
              <w:keepNext w:val="0"/>
              <w:keepLines w:val="0"/>
              <w:pageBreakBefore w:val="0"/>
              <w:widowControl/>
              <w:numPr>
                <w:ilvl w:val="0"/>
                <w:numId w:val="0"/>
              </w:numPr>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4、底座：多层板白色油漆，不锈钢踢脚，无扶手。</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34C92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84A1F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6FE1A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1740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C685C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6960 </w:t>
            </w:r>
          </w:p>
        </w:tc>
      </w:tr>
      <w:tr w14:paraId="0CC9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233152">
            <w:pPr>
              <w:pageBreakBefore w:val="0"/>
              <w:kinsoku/>
              <w:wordWrap w:val="0"/>
              <w:overflowPunct/>
              <w:topLinePunct w:val="0"/>
              <w:bidi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B超室</w:t>
            </w:r>
          </w:p>
        </w:tc>
      </w:tr>
      <w:tr w14:paraId="1DDD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5"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9961C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67249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办公桌</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F3354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80AB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1200*600*750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CA0E7A">
            <w:pPr>
              <w:keepNext w:val="0"/>
              <w:keepLines w:val="0"/>
              <w:pageBreakBefore w:val="0"/>
              <w:widowControl/>
              <w:numPr>
                <w:ilvl w:val="0"/>
                <w:numId w:val="7"/>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采用优质实木多层板，依据GB/T 9846-2015《普通胶合板》；GB/T 17657-2022《人造板及饰面人造板理化性能试验方法》；GB/T 39600-2021《人造板及其制品甲醛释放量分级》；GB 18580-2017《室</w:t>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-2305050</wp:posOffset>
                  </wp:positionH>
                  <wp:positionV relativeFrom="paragraph">
                    <wp:posOffset>889000</wp:posOffset>
                  </wp:positionV>
                  <wp:extent cx="1058545" cy="1261110"/>
                  <wp:effectExtent l="0" t="0" r="8255" b="15240"/>
                  <wp:wrapNone/>
                  <wp:docPr id="21" name="图片_1_SpCnt_3"/>
                  <wp:cNvGraphicFramePr/>
                  <a:graphic xmlns:a="http://schemas.openxmlformats.org/drawingml/2006/main">
                    <a:graphicData uri="http://schemas.openxmlformats.org/drawingml/2006/picture">
                      <pic:pic xmlns:pic="http://schemas.openxmlformats.org/drawingml/2006/picture">
                        <pic:nvPicPr>
                          <pic:cNvPr id="21" name="图片_1_SpCnt_3"/>
                          <pic:cNvPicPr/>
                        </pic:nvPicPr>
                        <pic:blipFill>
                          <a:blip r:embed="rId29"/>
                          <a:stretch>
                            <a:fillRect/>
                          </a:stretch>
                        </pic:blipFill>
                        <pic:spPr>
                          <a:xfrm>
                            <a:off x="0" y="0"/>
                            <a:ext cx="1058545" cy="1261110"/>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highlight w:val="none"/>
                <w:u w:val="none"/>
                <w:lang w:val="en-US" w:eastAsia="zh-CN" w:bidi="ar"/>
              </w:rPr>
              <w:t>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w:t>
            </w:r>
          </w:p>
          <w:p w14:paraId="59161ADD">
            <w:pPr>
              <w:keepNext w:val="0"/>
              <w:keepLines w:val="0"/>
              <w:pageBreakBefore w:val="0"/>
              <w:widowControl/>
              <w:numPr>
                <w:ilvl w:val="0"/>
                <w:numId w:val="7"/>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300BBD3B">
            <w:pPr>
              <w:keepNext w:val="0"/>
              <w:keepLines w:val="0"/>
              <w:pageBreakBefore w:val="0"/>
              <w:widowControl/>
              <w:numPr>
                <w:ilvl w:val="0"/>
                <w:numId w:val="7"/>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选用优质品牌环保热熔胶，依据GB18583-2008《室内装饰装修材料胶粘剂中有害物质限量》﹔HJ2541-2016《环境标志产品技术要求胶粘剂》标准；游离甲醛≤0.1g/kg，苯≤0.02g/kg，甲苯≤0.02g/kg，二甲苯≤0.02g/kg，总挥发性有机物≤5g/L，游离甲苯二异氰酸酯≤1g/kg。 </w:t>
            </w:r>
          </w:p>
          <w:p w14:paraId="4D085089">
            <w:pPr>
              <w:keepNext w:val="0"/>
              <w:keepLines w:val="0"/>
              <w:pageBreakBefore w:val="0"/>
              <w:widowControl/>
              <w:numPr>
                <w:ilvl w:val="0"/>
                <w:numId w:val="7"/>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w:t>
            </w:r>
          </w:p>
          <w:p w14:paraId="3D52291B">
            <w:pPr>
              <w:keepNext w:val="0"/>
              <w:keepLines w:val="0"/>
              <w:pageBreakBefore w:val="0"/>
              <w:widowControl/>
              <w:numPr>
                <w:ilvl w:val="0"/>
                <w:numId w:val="7"/>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采用优质导轨，依据GB/T 10125-2021《人造气氛腐蚀试验盐雾试验》；QB/T 3832- 1999《轻工产品金属镀层腐蚀试验结果的评价》； QB/T 2454-2013《家具五金抽屉导轨》检测标准；中性盐雾试验≥500h，镀层本身的耐腐蚀等级≥10级，镀层对基体的保护等级≥10级；乙酸盐雾试验≥250h，镀层本身的耐腐蚀等级≥10级，镀层对基体的保护等级≥10级；耐久性≥12万次检测合格。</w:t>
            </w:r>
          </w:p>
          <w:p w14:paraId="798879EB">
            <w:pPr>
              <w:keepNext w:val="0"/>
              <w:keepLines w:val="0"/>
              <w:pageBreakBefore w:val="0"/>
              <w:widowControl/>
              <w:numPr>
                <w:ilvl w:val="0"/>
                <w:numId w:val="7"/>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采用优质线盒，依据GB/T 3325-2017《金属家具通用技术条件》、HJ2547-2016《环境标志产品技术要求家具》标准；金属件喷涂层无漏喷、锈蚀、脱色、掉色现象；金属件喷涂层无流挂、疙瘩、皱皮、飞漆等缺陷；产品表面涂层可迁移元素的限量（铅、镉、汞、砷）未检出。</w:t>
            </w:r>
          </w:p>
          <w:p w14:paraId="661ECBE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7、采用优质钢架/钢制脚架，依据GB/T 10125-2021《人造气氛腐蚀试验盐雾 试验》；QB/T 3832- 1999《轻工产品金属镀层腐蚀试验结果的评价》；QB/T 4371- 2012《家具抗菌性能的评价》；GB/T 228.1-2021 《金属材料拉伸试验第1部分:室温试验方法》检测标准：乙酸盐雾试验≥220h，镀层本身的耐腐蚀等级≥10级，镀层对基体的保护等级≥10级；抑菌率≥99%；断后伸长率A80mm45%，规定塑性延伸强度Rp0.2 259MPa。 </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81888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FFA60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C4953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1020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5FB95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1020 </w:t>
            </w:r>
          </w:p>
        </w:tc>
      </w:tr>
      <w:tr w14:paraId="4D25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651CD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EB11A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办公椅</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420D0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drawing>
                <wp:inline distT="0" distB="0" distL="114300" distR="114300">
                  <wp:extent cx="1308735" cy="1793240"/>
                  <wp:effectExtent l="0" t="0" r="5715" b="16510"/>
                  <wp:docPr id="29" name="图片 29" descr="174435514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744355143774"/>
                          <pic:cNvPicPr>
                            <a:picLocks noChangeAspect="1"/>
                          </pic:cNvPicPr>
                        </pic:nvPicPr>
                        <pic:blipFill>
                          <a:blip r:embed="rId20"/>
                          <a:stretch>
                            <a:fillRect/>
                          </a:stretch>
                        </pic:blipFill>
                        <pic:spPr>
                          <a:xfrm>
                            <a:off x="0" y="0"/>
                            <a:ext cx="1308735" cy="1793240"/>
                          </a:xfrm>
                          <a:prstGeom prst="rect">
                            <a:avLst/>
                          </a:prstGeom>
                        </pic:spPr>
                      </pic:pic>
                    </a:graphicData>
                  </a:graphic>
                </wp:inline>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AAC5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650*590*（1060-1160）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9AD80">
            <w:pPr>
              <w:keepNext w:val="0"/>
              <w:keepLines w:val="0"/>
              <w:pageBreakBefore w:val="0"/>
              <w:widowControl/>
              <w:numPr>
                <w:ilvl w:val="0"/>
                <w:numId w:val="8"/>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选用优质网布，依据GB 18401-2010《国家纺织产品基本安全技术规范》；GB/T 31713-2015《抗菌纺织品安全性卫生要求》；GB/T 24346-2009《纺织品 防霉性能的评价》﹔GB  17927.1-2011《软体家具 床垫和沙发抗引燃特性的 评定第1部分:阴燃的香烟》﹔FZ/T 62011.3-2016《布艺类产品 第3部分:家具用纺织品》标准；甲醛含量≤20mg/kg，可分解致癌芳香胺染料未检出，抗菌性能（抑菌率）≥99%，防霉等级0级或1级，沾色-聚酯纤维≥4级。</w:t>
            </w:r>
          </w:p>
          <w:p w14:paraId="14749679">
            <w:pPr>
              <w:keepNext w:val="0"/>
              <w:keepLines w:val="0"/>
              <w:pageBreakBefore w:val="0"/>
              <w:widowControl/>
              <w:numPr>
                <w:ilvl w:val="0"/>
                <w:numId w:val="8"/>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采用优质阻燃高弹海绵，依据QB/T 2280-2016《办公家具 办公椅》、GB/T 6343-2009《泡沫塑料及橡胶 表观密度的测定》、GB 17927.1-2011《软体家具 床垫和沙发抗引燃特性的 评定第1部分：阴燃的香烟》、HJ 2547-2016《环境标志产品技术要求 家具》、QB/T 4371-2012《家具抗菌性能的评价》标准；长度、宽度极限偏差检测合格，厚度极限偏差检测合格，感官要求至少5项检测，物理力学性能（至少包含回弹率≥50%，拉伸强度≥150KPa，伸长率≥168%，撕裂强度≥4.5N/cm，干热老化后拉伸强度≥145KPa），密度≥50kg/m³，甲醛释放量≤0.03mg/m²h，TVOC≤0.05mg/m²h，抗引燃特性阻燃Ⅰ级，抗菌性能（抑菌率）≥95%。</w:t>
            </w:r>
          </w:p>
          <w:p w14:paraId="31C670C7">
            <w:pPr>
              <w:keepNext w:val="0"/>
              <w:keepLines w:val="0"/>
              <w:pageBreakBefore w:val="0"/>
              <w:widowControl/>
              <w:numPr>
                <w:ilvl w:val="0"/>
                <w:numId w:val="8"/>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采用优质扶手，依据GB 28481-2012《塑料家具中有害物质限量》、GB/T 3325-2017《金属家具通用技术条件》、GB/T 32487-2016《塑料家具通用技术条件》、GB/T 24128-2018《塑料 塑料防霉剂的防霉效果评估》、GB/T 35607-2017《绿色产品评价 家具》标准；邻苯二甲酸酯未检出，重金属（可溶性铅、可溶性镉、可溶性铬、可溶性汞）均≤0.1mg/kg，甲醛释放量≤0.04mg/m³，防霉等级0级或1级。</w:t>
            </w:r>
          </w:p>
          <w:p w14:paraId="48B5046B">
            <w:pPr>
              <w:keepNext w:val="0"/>
              <w:keepLines w:val="0"/>
              <w:pageBreakBefore w:val="0"/>
              <w:widowControl/>
              <w:numPr>
                <w:ilvl w:val="0"/>
                <w:numId w:val="8"/>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采用优质气压棒，依据GB/T 29525-2013《座椅升降气弹簧 技术条件》；QB/T 2280-2016《办公家具办公椅》标准；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14:paraId="49D5E8ED">
            <w:pPr>
              <w:keepNext w:val="0"/>
              <w:keepLines w:val="0"/>
              <w:pageBreakBefore w:val="0"/>
              <w:widowControl/>
              <w:numPr>
                <w:ilvl w:val="0"/>
                <w:numId w:val="8"/>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采用优质转椅底盘，依据GB/T 10125-2021《人造气氛腐蚀试验盐雾试验》、QB/T 3832- 1999《轻工产品金属镀层腐蚀试验结果的评价》标准乙酸盐雾试验连续喷雾≥18h，镀层本身的耐腐蚀等级≥10级，镀层对基体的保护等级≥10级。</w:t>
            </w:r>
          </w:p>
          <w:p w14:paraId="7A6A666B">
            <w:pPr>
              <w:keepNext w:val="0"/>
              <w:keepLines w:val="0"/>
              <w:pageBreakBefore w:val="0"/>
              <w:widowControl/>
              <w:numPr>
                <w:ilvl w:val="0"/>
                <w:numId w:val="8"/>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采用优质钢制五星脚，依据GB/T 3325-2017《金属家具通用技术条件》； GB/T 10125-2021 《人造气氛腐蚀试验 盐雾试验》； QB/T 3832-1999 《轻工产品金属镀层腐蚀试验结果的评价》；GB/T 1741-2020 《漆膜耐霉菌性测定法》标准；金属件喷涂层无漏喷、锈蚀、脱色、掉色现象；金属件喷涂层无流挂、疙瘩、皱皮、飞漆等缺陷；乙酸盐雾试验≥240h，镀层本身的耐腐蚀等级≥10级，镀层对基体的保护等级≥10级，耐霉菌性等级0级或1级。</w:t>
            </w:r>
          </w:p>
          <w:p w14:paraId="3A2DEEFA">
            <w:pPr>
              <w:keepNext w:val="0"/>
              <w:keepLines w:val="0"/>
              <w:pageBreakBefore w:val="0"/>
              <w:widowControl/>
              <w:numPr>
                <w:ilvl w:val="0"/>
                <w:numId w:val="8"/>
              </w:numPr>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采用优质脚轮， 依据QB/T 4765-2014《家具用脚轮》； GB 28481-2012 《塑料家具中有害物质限量》；GB/T 3325-2017《金属家具通用技术条件》；GB/T 16422.3-2022《塑料 实验室光源暴露试验方法 第3部分:荧光紫外灯》；GB/T 35607-2017《绿色产品评价 家具》标准；脚轮的轮面光洁，无裂纹、伤痕、毛边等缺陷。抗冲击性、导电性、动载荷、滚动阻力检测合格，实验室光源暴露试验：荧光紫外灯4-5级。产品有害物质（铅、汞）≤1mg/kg。</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12BF1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DCD16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41DE9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330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8CEB0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990 </w:t>
            </w:r>
          </w:p>
        </w:tc>
      </w:tr>
      <w:tr w14:paraId="2EDC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22"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A9246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CEAA2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诊疗床</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B1CB4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105410</wp:posOffset>
                  </wp:positionH>
                  <wp:positionV relativeFrom="paragraph">
                    <wp:posOffset>-48260</wp:posOffset>
                  </wp:positionV>
                  <wp:extent cx="905510" cy="903605"/>
                  <wp:effectExtent l="0" t="0" r="8890" b="10795"/>
                  <wp:wrapNone/>
                  <wp:docPr id="30" name="图片_8"/>
                  <wp:cNvGraphicFramePr/>
                  <a:graphic xmlns:a="http://schemas.openxmlformats.org/drawingml/2006/main">
                    <a:graphicData uri="http://schemas.openxmlformats.org/drawingml/2006/picture">
                      <pic:pic xmlns:pic="http://schemas.openxmlformats.org/drawingml/2006/picture">
                        <pic:nvPicPr>
                          <pic:cNvPr id="30" name="图片_8"/>
                          <pic:cNvPicPr/>
                        </pic:nvPicPr>
                        <pic:blipFill>
                          <a:blip r:embed="rId30"/>
                          <a:stretch>
                            <a:fillRect/>
                          </a:stretch>
                        </pic:blipFill>
                        <pic:spPr>
                          <a:xfrm>
                            <a:off x="0" y="0"/>
                            <a:ext cx="905510" cy="90360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AB2BD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1900*600*500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BB568F">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1、台架：优质冷扎钢管，金属表面经酸洗、磷化等化学防锈、防腐处理后，环氧树酯高温喷涂、烤漆，喷涂后具有耐腐蚀、防火、防潮等功能；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2、床面：50mm厚西皮软包垫(西皮厚度不低于2mm）,采用高密度、高弹力聚氨脂海绵，密度不低于45，可防氧化、防碎，软硬适中，回弹性良好，不易变形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3、床腿：采用优质冷扎钢管。</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593498">
            <w:pPr>
              <w:pageBreakBefore w:val="0"/>
              <w:kinsoku/>
              <w:wordWrap w:val="0"/>
              <w:overflowPunct/>
              <w:topLinePunct w:val="0"/>
              <w:bidi w:val="0"/>
              <w:jc w:val="center"/>
              <w:rPr>
                <w:rFonts w:hint="eastAsia" w:ascii="宋体" w:hAnsi="宋体" w:eastAsia="宋体" w:cs="宋体"/>
                <w:i w:val="0"/>
                <w:iCs w:val="0"/>
                <w:color w:val="auto"/>
                <w:sz w:val="24"/>
                <w:szCs w:val="24"/>
                <w:highlight w:val="none"/>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35BE7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BBF83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825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3C1B4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825 </w:t>
            </w:r>
          </w:p>
        </w:tc>
      </w:tr>
      <w:tr w14:paraId="68E5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BE53A6">
            <w:pPr>
              <w:pageBreakBefore w:val="0"/>
              <w:kinsoku/>
              <w:wordWrap w:val="0"/>
              <w:overflowPunct/>
              <w:topLinePunct w:val="0"/>
              <w:bidi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处置室</w:t>
            </w:r>
          </w:p>
        </w:tc>
      </w:tr>
      <w:tr w14:paraId="7056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59"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C2389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38FBA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定制矮柜</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7F1BA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-6350</wp:posOffset>
                  </wp:positionH>
                  <wp:positionV relativeFrom="paragraph">
                    <wp:posOffset>85090</wp:posOffset>
                  </wp:positionV>
                  <wp:extent cx="1179195" cy="814705"/>
                  <wp:effectExtent l="0" t="0" r="1905" b="4445"/>
                  <wp:wrapNone/>
                  <wp:docPr id="25" name="图片_18"/>
                  <wp:cNvGraphicFramePr/>
                  <a:graphic xmlns:a="http://schemas.openxmlformats.org/drawingml/2006/main">
                    <a:graphicData uri="http://schemas.openxmlformats.org/drawingml/2006/picture">
                      <pic:pic xmlns:pic="http://schemas.openxmlformats.org/drawingml/2006/picture">
                        <pic:nvPicPr>
                          <pic:cNvPr id="25" name="图片_18"/>
                          <pic:cNvPicPr/>
                        </pic:nvPicPr>
                        <pic:blipFill>
                          <a:blip r:embed="rId31"/>
                          <a:stretch>
                            <a:fillRect/>
                          </a:stretch>
                        </pic:blipFill>
                        <pic:spPr>
                          <a:xfrm>
                            <a:off x="0" y="0"/>
                            <a:ext cx="1179195" cy="81470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CBAA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2460*600*850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D1EAD6">
            <w:pPr>
              <w:keepNext w:val="0"/>
              <w:keepLines w:val="0"/>
              <w:pageBreakBefore w:val="0"/>
              <w:widowControl/>
              <w:numPr>
                <w:ilvl w:val="0"/>
                <w:numId w:val="9"/>
              </w:numPr>
              <w:suppressLineNumbers w:val="0"/>
              <w:kinsoku/>
              <w:wordWrap w:val="0"/>
              <w:overflowPunct/>
              <w:topLinePunct w:val="0"/>
              <w:bidi w:val="0"/>
              <w:jc w:val="left"/>
              <w:textAlignment w:val="center"/>
              <w:rPr>
                <w:rStyle w:val="377"/>
                <w:rFonts w:hint="eastAsia" w:ascii="宋体" w:hAnsi="宋体" w:eastAsia="宋体" w:cs="宋体"/>
                <w:color w:val="auto"/>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台面板：采用国产优质</w:t>
            </w:r>
            <w:r>
              <w:rPr>
                <w:rStyle w:val="981"/>
                <w:rFonts w:hint="eastAsia" w:ascii="宋体" w:hAnsi="宋体" w:eastAsia="宋体" w:cs="宋体"/>
                <w:color w:val="auto"/>
                <w:sz w:val="18"/>
                <w:szCs w:val="18"/>
                <w:highlight w:val="none"/>
                <w:lang w:val="en-US" w:eastAsia="zh-CN" w:bidi="ar"/>
              </w:rPr>
              <w:t>石英石台面</w:t>
            </w:r>
            <w:r>
              <w:rPr>
                <w:rStyle w:val="377"/>
                <w:rFonts w:hint="eastAsia" w:ascii="宋体" w:hAnsi="宋体" w:eastAsia="宋体" w:cs="宋体"/>
                <w:color w:val="auto"/>
                <w:sz w:val="18"/>
                <w:szCs w:val="18"/>
                <w:highlight w:val="none"/>
                <w:lang w:val="en-US" w:eastAsia="zh-CN" w:bidi="ar"/>
              </w:rPr>
              <w:t>；</w:t>
            </w:r>
            <w:r>
              <w:rPr>
                <w:rStyle w:val="377"/>
                <w:rFonts w:hint="eastAsia" w:ascii="宋体" w:hAnsi="宋体" w:eastAsia="宋体" w:cs="宋体"/>
                <w:color w:val="auto"/>
                <w:sz w:val="18"/>
                <w:szCs w:val="18"/>
                <w:highlight w:val="none"/>
                <w:lang w:val="en-US" w:eastAsia="zh-CN" w:bidi="ar"/>
              </w:rPr>
              <w:br w:type="textWrapping"/>
            </w:r>
            <w:r>
              <w:rPr>
                <w:rStyle w:val="377"/>
                <w:rFonts w:hint="eastAsia" w:ascii="宋体" w:hAnsi="宋体" w:eastAsia="宋体" w:cs="宋体"/>
                <w:color w:val="auto"/>
                <w:sz w:val="18"/>
                <w:szCs w:val="18"/>
                <w:highlight w:val="none"/>
                <w:lang w:val="en-US" w:eastAsia="zh-CN" w:bidi="ar"/>
              </w:rPr>
              <w:t>2、木制部分主材：采用优质实木多层板，依据GB/T 9846-2015《普通胶合板》；GB/T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3、封边：采用优质厚PVC封边带。封边带使用无铅、汞、镉三大重金属的高成份PVC粉做为原料来生产封边条，弹性好，耐撞击，达到国标环保要求；</w:t>
            </w:r>
          </w:p>
          <w:p w14:paraId="0F571E1C">
            <w:pPr>
              <w:keepNext w:val="0"/>
              <w:keepLines w:val="0"/>
              <w:pageBreakBefore w:val="0"/>
              <w:widowControl/>
              <w:numPr>
                <w:ilvl w:val="0"/>
                <w:numId w:val="9"/>
              </w:numPr>
              <w:suppressLineNumbers w:val="0"/>
              <w:kinsoku/>
              <w:wordWrap w:val="0"/>
              <w:overflowPunct/>
              <w:topLinePunct w:val="0"/>
              <w:bidi w:val="0"/>
              <w:ind w:left="0" w:leftChars="0" w:firstLine="0" w:firstLineChars="0"/>
              <w:jc w:val="left"/>
              <w:textAlignment w:val="center"/>
              <w:rPr>
                <w:rStyle w:val="377"/>
                <w:rFonts w:hint="eastAsia" w:ascii="宋体" w:hAnsi="宋体" w:eastAsia="宋体" w:cs="宋体"/>
                <w:color w:val="auto"/>
                <w:sz w:val="18"/>
                <w:szCs w:val="18"/>
                <w:highlight w:val="none"/>
                <w:lang w:val="en-US" w:eastAsia="zh-CN" w:bidi="ar"/>
              </w:rPr>
            </w:pPr>
            <w:r>
              <w:rPr>
                <w:rStyle w:val="377"/>
                <w:rFonts w:hint="eastAsia" w:ascii="宋体" w:hAnsi="宋体" w:eastAsia="宋体" w:cs="宋体"/>
                <w:color w:val="auto"/>
                <w:sz w:val="18"/>
                <w:szCs w:val="18"/>
                <w:highlight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1D98E572">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Style w:val="377"/>
                <w:rFonts w:hint="eastAsia" w:ascii="宋体" w:hAnsi="宋体" w:eastAsia="宋体" w:cs="宋体"/>
                <w:color w:val="auto"/>
                <w:sz w:val="18"/>
                <w:szCs w:val="18"/>
                <w:highlight w:val="none"/>
                <w:lang w:val="en-US" w:eastAsia="zh-CN" w:bidi="ar"/>
              </w:rPr>
              <w:t>4、采用优质ABS激光封边条，依据QB/T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5、五金配件：采用优质品牌五金件。                            6、底部不锈钢踢脚线                                          7、按客户需求配置：不锈钢洗水池；感应高抛水龙头；</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6C276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46D0B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9C0F8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4400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16032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4400 </w:t>
            </w:r>
          </w:p>
        </w:tc>
      </w:tr>
      <w:tr w14:paraId="4B79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74C70B">
            <w:pPr>
              <w:pageBreakBefore w:val="0"/>
              <w:kinsoku/>
              <w:wordWrap w:val="0"/>
              <w:overflowPunct/>
              <w:topLinePunct w:val="0"/>
              <w:bidi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输液、观察室、治疗室</w:t>
            </w:r>
          </w:p>
        </w:tc>
      </w:tr>
      <w:tr w14:paraId="1AF3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28"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5C198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A1B49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输液椅</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05CE9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19685</wp:posOffset>
                  </wp:positionH>
                  <wp:positionV relativeFrom="paragraph">
                    <wp:posOffset>4445</wp:posOffset>
                  </wp:positionV>
                  <wp:extent cx="1060450" cy="1405255"/>
                  <wp:effectExtent l="0" t="0" r="6350" b="4445"/>
                  <wp:wrapNone/>
                  <wp:docPr id="22" name="图片_2_SpCnt_1"/>
                  <wp:cNvGraphicFramePr/>
                  <a:graphic xmlns:a="http://schemas.openxmlformats.org/drawingml/2006/main">
                    <a:graphicData uri="http://schemas.openxmlformats.org/drawingml/2006/picture">
                      <pic:pic xmlns:pic="http://schemas.openxmlformats.org/drawingml/2006/picture">
                        <pic:nvPicPr>
                          <pic:cNvPr id="22" name="图片_2_SpCnt_1"/>
                          <pic:cNvPicPr/>
                        </pic:nvPicPr>
                        <pic:blipFill>
                          <a:blip r:embed="rId32"/>
                          <a:stretch>
                            <a:fillRect/>
                          </a:stretch>
                        </pic:blipFill>
                        <pic:spPr>
                          <a:xfrm>
                            <a:off x="0" y="0"/>
                            <a:ext cx="1060450" cy="140525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1D6A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830*730*1000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D9C9C">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1、覆面：优质医用皮面料，耐磨性强，透气性好。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2、采用优质阻燃高弹海绵，依据QB/T 2280-2016《办公家具 办公椅》、GB/T 6343-2009《泡沫塑料及橡胶 表观密度的测定》、GB 17927.1-2011《软体家具 床垫和沙发抗引燃特性的 评定第1部分：阴燃的香烟》、HJ 2547-2016《环境标志产品技术要求 家具》、QB/T 4371-2012《家具抗菌性能的评价》标准；长度、宽度极限偏差检测合格，厚度极限偏差检测合格，感官要求至少5项检测，物理力学性能（至少包含回弹率≥50%，拉伸强度≥150KPa，伸长率≥168%，撕裂强度≥4.5N/cm，干热老化后拉伸强度≥145KPa），密度≥50kg/m³，甲醛释放量≤0.03mg/m²h，TVOC≤0.05mg/m²h，抗引燃特性阻燃Ⅰ级，抗菌性能（抑菌率）≥95%。                                         3、金属钢架，带输液杆，可躺。</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93C36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36339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76119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5ED43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12000 </w:t>
            </w:r>
          </w:p>
        </w:tc>
      </w:tr>
      <w:tr w14:paraId="5C25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D7924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8F24C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办公椅</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4F220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drawing>
                <wp:inline distT="0" distB="0" distL="114300" distR="114300">
                  <wp:extent cx="1308735" cy="1793240"/>
                  <wp:effectExtent l="0" t="0" r="5715" b="16510"/>
                  <wp:docPr id="33" name="图片 33" descr="174435514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744355143774"/>
                          <pic:cNvPicPr>
                            <a:picLocks noChangeAspect="1"/>
                          </pic:cNvPicPr>
                        </pic:nvPicPr>
                        <pic:blipFill>
                          <a:blip r:embed="rId20"/>
                          <a:stretch>
                            <a:fillRect/>
                          </a:stretch>
                        </pic:blipFill>
                        <pic:spPr>
                          <a:xfrm>
                            <a:off x="0" y="0"/>
                            <a:ext cx="1308735" cy="1793240"/>
                          </a:xfrm>
                          <a:prstGeom prst="rect">
                            <a:avLst/>
                          </a:prstGeom>
                        </pic:spPr>
                      </pic:pic>
                    </a:graphicData>
                  </a:graphic>
                </wp:inline>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F1C98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650*590*（1060-1160）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917FE">
            <w:pPr>
              <w:keepNext w:val="0"/>
              <w:keepLines w:val="0"/>
              <w:pageBreakBefore w:val="0"/>
              <w:widowControl/>
              <w:numPr>
                <w:ilvl w:val="0"/>
                <w:numId w:val="10"/>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选用优质网布，依据GB 18401-2010《国家纺织产品基本安全技术规范》；GB/T 31713-2015《抗菌纺织品安全性卫生要求》；GB/T 24346-2009《纺织品 防霉性能的评价》﹔GB  17927.1-2011《软体家具 床垫和沙发抗引燃特性的 评定第1部分:阴燃的香烟》﹔FZ/T 62011.3-2016《布艺类产品 第3部分:家具用纺织品》标准；甲醛含量≤20mg/kg，可分解致癌芳香胺染料未检出，抗菌性能（抑菌率）≥99%，防霉等级0级或1级，沾色-聚酯纤维≥4级。</w:t>
            </w:r>
          </w:p>
          <w:p w14:paraId="0EAD4742">
            <w:pPr>
              <w:keepNext w:val="0"/>
              <w:keepLines w:val="0"/>
              <w:pageBreakBefore w:val="0"/>
              <w:widowControl/>
              <w:numPr>
                <w:ilvl w:val="0"/>
                <w:numId w:val="10"/>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采用优质阻燃高弹海绵，依据QB/T 2280-2016《办公家具 办公椅》、GB/T 6343-2009《泡沫塑料及橡胶 表观密度的测定》、GB 17927.1-2011《软体家具 床垫和沙发抗引燃特性的 评定第1部分：阴燃的香烟》、HJ 2547-2016《环境标志产品技术要求 家具》、QB/T 4371-2012《家具抗菌性能的评价》标准；长度、宽度极限偏差检测合格，厚度极限偏差检测合格，感官要求至少5项检测，物理力学性能（至少包含回弹率≥50%，拉伸强度≥150KPa，伸长率≥168%，撕裂强度≥4.5N/cm，干热老化后拉伸强度≥145KPa），密度≥50kg/m³，甲醛释放量≤0.03mg/m²h，TVOC≤0.05mg/m²h，抗引燃特性阻燃Ⅰ级，抗菌性能（抑菌率）≥95%。</w:t>
            </w:r>
          </w:p>
          <w:p w14:paraId="0877430E">
            <w:pPr>
              <w:keepNext w:val="0"/>
              <w:keepLines w:val="0"/>
              <w:pageBreakBefore w:val="0"/>
              <w:widowControl/>
              <w:numPr>
                <w:ilvl w:val="0"/>
                <w:numId w:val="10"/>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采用优质扶手，依据GB 28481-2012《塑料家具中有害物质限量》、GB/T 3325-2017《金属家具通用技术条件》、GB/T 32487-2016《塑料家具通用技术条件》、GB/T 24128-2018《塑料 塑料防霉剂的防霉效果评估》、GB/T 35607-2017《绿色产品评价 家具》标准；邻苯二甲酸酯未检出，重金属（可溶性铅、可溶性镉、可溶性铬、可溶性汞）均≤0.1mg/kg，甲醛释放量≤0.04mg/m³，防霉等级0级或1级。</w:t>
            </w:r>
          </w:p>
          <w:p w14:paraId="71680853">
            <w:pPr>
              <w:keepNext w:val="0"/>
              <w:keepLines w:val="0"/>
              <w:pageBreakBefore w:val="0"/>
              <w:widowControl/>
              <w:numPr>
                <w:ilvl w:val="0"/>
                <w:numId w:val="10"/>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采用优质气压棒，依据GB/T 29525-2013《座椅升降气弹簧 技术条件》；QB/T 2280-2016《办公家具办公椅》标准；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14:paraId="7E5BA445">
            <w:pPr>
              <w:keepNext w:val="0"/>
              <w:keepLines w:val="0"/>
              <w:pageBreakBefore w:val="0"/>
              <w:widowControl/>
              <w:numPr>
                <w:ilvl w:val="0"/>
                <w:numId w:val="10"/>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采用优质转椅底盘，依据GB/T 10125-2021《人造气氛腐蚀试验盐雾试验》、QB/T 3832- 1999《轻工产品金属镀层腐蚀试验结果的评价》标准乙酸盐雾试验连续喷雾≥18h，镀层本身的耐腐蚀等级≥10级，镀层对基体的保护等级≥10级。</w:t>
            </w:r>
          </w:p>
          <w:p w14:paraId="5C87FF8E">
            <w:pPr>
              <w:keepNext w:val="0"/>
              <w:keepLines w:val="0"/>
              <w:pageBreakBefore w:val="0"/>
              <w:widowControl/>
              <w:numPr>
                <w:ilvl w:val="0"/>
                <w:numId w:val="10"/>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采用优质钢制五星脚，依据GB/T 3325-2017《金属家具通用技术条件》； GB/T 10125-2021 《人造气氛腐蚀试验 盐雾试验》； QB/T 3832-1999 《轻工产品金属镀层腐蚀试验结果的评价》；GB/T 1741-2020 《漆膜耐霉菌性测定法》标准；金属件喷涂层无漏喷、锈蚀、脱色、掉色现象；金属件喷涂层无流挂、疙瘩、皱皮、飞漆等缺陷；乙酸盐雾试验≥240h，镀层本身的耐腐蚀等级≥10级，镀层对基体的保护等级≥10级，耐霉菌性等级0级或1级。</w:t>
            </w:r>
          </w:p>
          <w:p w14:paraId="6EB41564">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采用优质脚轮， 依据QB/T 4765-2014《家具用脚轮》； GB 28481-2012 《塑料家具中有害物质限量》；GB/T 3325-2017《金属家具通用技术条件》；GB/T 16422.3-2022《塑料 实验室光源暴露试验方法 第3部分:荧光紫外灯》；GB/T 35607-2017《绿色产品评价 家具》标准；脚轮的轮面光洁，无裂纹、伤痕、毛边等缺陷。抗冲击性、导电性、动载荷、滚动阻力检测合格，实验室光源暴露试验：荧光紫外灯4-5级。产品有害物质（铅、汞）≤1mg/kg。</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DD230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9FA71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AB235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330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22A44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660 </w:t>
            </w:r>
          </w:p>
        </w:tc>
      </w:tr>
      <w:tr w14:paraId="325E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99"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4A7EE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DDDB1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定制矮柜</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C8875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14605</wp:posOffset>
                  </wp:positionH>
                  <wp:positionV relativeFrom="paragraph">
                    <wp:posOffset>62230</wp:posOffset>
                  </wp:positionV>
                  <wp:extent cx="1137285" cy="797560"/>
                  <wp:effectExtent l="0" t="0" r="5715" b="2540"/>
                  <wp:wrapNone/>
                  <wp:docPr id="31" name="图片_22"/>
                  <wp:cNvGraphicFramePr/>
                  <a:graphic xmlns:a="http://schemas.openxmlformats.org/drawingml/2006/main">
                    <a:graphicData uri="http://schemas.openxmlformats.org/drawingml/2006/picture">
                      <pic:pic xmlns:pic="http://schemas.openxmlformats.org/drawingml/2006/picture">
                        <pic:nvPicPr>
                          <pic:cNvPr id="31" name="图片_22"/>
                          <pic:cNvPicPr/>
                        </pic:nvPicPr>
                        <pic:blipFill>
                          <a:blip r:embed="rId33"/>
                          <a:stretch>
                            <a:fillRect/>
                          </a:stretch>
                        </pic:blipFill>
                        <pic:spPr>
                          <a:xfrm>
                            <a:off x="0" y="0"/>
                            <a:ext cx="1137285" cy="797560"/>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4EF0C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3660*600*850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A5F5D">
            <w:pPr>
              <w:keepNext w:val="0"/>
              <w:keepLines w:val="0"/>
              <w:pageBreakBefore w:val="0"/>
              <w:widowControl/>
              <w:numPr>
                <w:ilvl w:val="0"/>
                <w:numId w:val="9"/>
              </w:numPr>
              <w:suppressLineNumbers w:val="0"/>
              <w:kinsoku/>
              <w:wordWrap w:val="0"/>
              <w:overflowPunct/>
              <w:topLinePunct w:val="0"/>
              <w:bidi w:val="0"/>
              <w:jc w:val="left"/>
              <w:textAlignment w:val="center"/>
              <w:rPr>
                <w:rStyle w:val="377"/>
                <w:rFonts w:hint="eastAsia" w:ascii="宋体" w:hAnsi="宋体" w:eastAsia="宋体" w:cs="宋体"/>
                <w:color w:val="auto"/>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台面板：采用国产优质</w:t>
            </w:r>
            <w:r>
              <w:rPr>
                <w:rStyle w:val="981"/>
                <w:rFonts w:hint="eastAsia" w:ascii="宋体" w:hAnsi="宋体" w:eastAsia="宋体" w:cs="宋体"/>
                <w:color w:val="auto"/>
                <w:sz w:val="18"/>
                <w:szCs w:val="18"/>
                <w:highlight w:val="none"/>
                <w:lang w:val="en-US" w:eastAsia="zh-CN" w:bidi="ar"/>
              </w:rPr>
              <w:t>石英石台面</w:t>
            </w:r>
            <w:r>
              <w:rPr>
                <w:rStyle w:val="377"/>
                <w:rFonts w:hint="eastAsia" w:ascii="宋体" w:hAnsi="宋体" w:eastAsia="宋体" w:cs="宋体"/>
                <w:color w:val="auto"/>
                <w:sz w:val="18"/>
                <w:szCs w:val="18"/>
                <w:highlight w:val="none"/>
                <w:lang w:val="en-US" w:eastAsia="zh-CN" w:bidi="ar"/>
              </w:rPr>
              <w:t>；</w:t>
            </w:r>
            <w:r>
              <w:rPr>
                <w:rStyle w:val="377"/>
                <w:rFonts w:hint="eastAsia" w:ascii="宋体" w:hAnsi="宋体" w:eastAsia="宋体" w:cs="宋体"/>
                <w:color w:val="auto"/>
                <w:sz w:val="18"/>
                <w:szCs w:val="18"/>
                <w:highlight w:val="none"/>
                <w:lang w:val="en-US" w:eastAsia="zh-CN" w:bidi="ar"/>
              </w:rPr>
              <w:br w:type="textWrapping"/>
            </w:r>
            <w:r>
              <w:rPr>
                <w:rStyle w:val="377"/>
                <w:rFonts w:hint="eastAsia" w:ascii="宋体" w:hAnsi="宋体" w:eastAsia="宋体" w:cs="宋体"/>
                <w:color w:val="auto"/>
                <w:sz w:val="18"/>
                <w:szCs w:val="18"/>
                <w:highlight w:val="none"/>
                <w:lang w:val="en-US" w:eastAsia="zh-CN" w:bidi="ar"/>
              </w:rPr>
              <w:t>2、木制部分主材：采用优质实木多层板，依据GB/T 9846-2015《普通胶合板》；GB/T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3、封边：采用优质厚PVC封边带。封边带使用无铅、汞、镉三大重金属的高成份PVC粉做为原料来生产封边条，弹性好，耐撞击，达到国标环保要求；</w:t>
            </w:r>
          </w:p>
          <w:p w14:paraId="4C3B40F1">
            <w:pPr>
              <w:keepNext w:val="0"/>
              <w:keepLines w:val="0"/>
              <w:pageBreakBefore w:val="0"/>
              <w:widowControl/>
              <w:numPr>
                <w:ilvl w:val="0"/>
                <w:numId w:val="9"/>
              </w:numPr>
              <w:suppressLineNumbers w:val="0"/>
              <w:kinsoku/>
              <w:wordWrap w:val="0"/>
              <w:overflowPunct/>
              <w:topLinePunct w:val="0"/>
              <w:bidi w:val="0"/>
              <w:ind w:left="0" w:leftChars="0" w:firstLine="0" w:firstLineChars="0"/>
              <w:jc w:val="left"/>
              <w:textAlignment w:val="center"/>
              <w:rPr>
                <w:rStyle w:val="377"/>
                <w:rFonts w:hint="eastAsia" w:ascii="宋体" w:hAnsi="宋体" w:eastAsia="宋体" w:cs="宋体"/>
                <w:color w:val="auto"/>
                <w:sz w:val="18"/>
                <w:szCs w:val="18"/>
                <w:highlight w:val="none"/>
                <w:lang w:val="en-US" w:eastAsia="zh-CN" w:bidi="ar"/>
              </w:rPr>
            </w:pPr>
            <w:r>
              <w:rPr>
                <w:rStyle w:val="377"/>
                <w:rFonts w:hint="eastAsia" w:ascii="宋体" w:hAnsi="宋体" w:eastAsia="宋体" w:cs="宋体"/>
                <w:color w:val="auto"/>
                <w:sz w:val="18"/>
                <w:szCs w:val="18"/>
                <w:highlight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68A6D9F4">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Style w:val="377"/>
                <w:rFonts w:hint="eastAsia" w:ascii="宋体" w:hAnsi="宋体" w:eastAsia="宋体" w:cs="宋体"/>
                <w:color w:val="auto"/>
                <w:sz w:val="18"/>
                <w:szCs w:val="18"/>
                <w:highlight w:val="none"/>
                <w:lang w:val="en-US" w:eastAsia="zh-CN" w:bidi="ar"/>
              </w:rPr>
              <w:t>4、采用优质ABS激光封边条，依据QB/T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5、五金配件：采用优质品牌五金件。                            6、底部不锈钢踢脚线                                          7、按客户需求配置：不锈钢洗水池；感应高抛水龙头；</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D6430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FD7A6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EAE9B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6588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1BBA5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6588 </w:t>
            </w:r>
          </w:p>
        </w:tc>
      </w:tr>
      <w:tr w14:paraId="48DA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C37DE1">
            <w:pPr>
              <w:pageBreakBefore w:val="0"/>
              <w:kinsoku/>
              <w:wordWrap w:val="0"/>
              <w:overflowPunct/>
              <w:topLinePunct w:val="0"/>
              <w:bidi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挂号收费、药房</w:t>
            </w:r>
          </w:p>
        </w:tc>
      </w:tr>
      <w:tr w14:paraId="42C7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70"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048DB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80E77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办公桌</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E85DA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20320</wp:posOffset>
                  </wp:positionH>
                  <wp:positionV relativeFrom="paragraph">
                    <wp:posOffset>31750</wp:posOffset>
                  </wp:positionV>
                  <wp:extent cx="1048385" cy="1172845"/>
                  <wp:effectExtent l="0" t="0" r="18415" b="8255"/>
                  <wp:wrapNone/>
                  <wp:docPr id="26" name="图片_2_SpCnt_2"/>
                  <wp:cNvGraphicFramePr/>
                  <a:graphic xmlns:a="http://schemas.openxmlformats.org/drawingml/2006/main">
                    <a:graphicData uri="http://schemas.openxmlformats.org/drawingml/2006/picture">
                      <pic:pic xmlns:pic="http://schemas.openxmlformats.org/drawingml/2006/picture">
                        <pic:nvPicPr>
                          <pic:cNvPr id="26" name="图片_2_SpCnt_2"/>
                          <pic:cNvPicPr/>
                        </pic:nvPicPr>
                        <pic:blipFill>
                          <a:blip r:embed="rId34"/>
                          <a:stretch>
                            <a:fillRect/>
                          </a:stretch>
                        </pic:blipFill>
                        <pic:spPr>
                          <a:xfrm>
                            <a:off x="0" y="0"/>
                            <a:ext cx="1048385" cy="117284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4E22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1200*600*750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C77765">
            <w:pPr>
              <w:keepNext w:val="0"/>
              <w:keepLines w:val="0"/>
              <w:pageBreakBefore w:val="0"/>
              <w:widowControl/>
              <w:numPr>
                <w:ilvl w:val="0"/>
                <w:numId w:val="1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采用优质实木多层板，依据GB/T 9846-2015《普通胶合板》；GB/T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w:t>
            </w:r>
          </w:p>
          <w:p w14:paraId="6421EDC1">
            <w:pPr>
              <w:keepNext w:val="0"/>
              <w:keepLines w:val="0"/>
              <w:pageBreakBefore w:val="0"/>
              <w:widowControl/>
              <w:numPr>
                <w:ilvl w:val="0"/>
                <w:numId w:val="1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7ED13459">
            <w:pPr>
              <w:keepNext w:val="0"/>
              <w:keepLines w:val="0"/>
              <w:pageBreakBefore w:val="0"/>
              <w:widowControl/>
              <w:numPr>
                <w:ilvl w:val="0"/>
                <w:numId w:val="1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选用优质品牌环保热熔胶，依据GB18583-2008《室内装饰装修材料胶粘剂中有害物质限量》﹔HJ2541-2016《环境标志产品技术要求胶粘剂》标准；游离甲醛≤0.1g/kg，苯≤0.02g/kg，甲苯≤0.02g/kg，二甲苯≤0.02g/kg，总挥发性有机物≤5g/L，游离甲苯二异氰酸酯≤1g/kg。 </w:t>
            </w:r>
          </w:p>
          <w:p w14:paraId="3A98173D">
            <w:pPr>
              <w:keepNext w:val="0"/>
              <w:keepLines w:val="0"/>
              <w:pageBreakBefore w:val="0"/>
              <w:widowControl/>
              <w:numPr>
                <w:ilvl w:val="0"/>
                <w:numId w:val="1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w:t>
            </w:r>
          </w:p>
          <w:p w14:paraId="10AF72B8">
            <w:pPr>
              <w:keepNext w:val="0"/>
              <w:keepLines w:val="0"/>
              <w:pageBreakBefore w:val="0"/>
              <w:widowControl/>
              <w:numPr>
                <w:ilvl w:val="0"/>
                <w:numId w:val="1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采用优质导轨，依据GB/T 10125-2021《人造气氛腐蚀试验盐雾试验》；QB/T 3832- 1999《轻工产品金属镀层腐蚀试验结果的评价》； QB/T 2454-2013《家具五金抽屉导轨》检测标准；中性盐雾试验≥500h，镀层本身的耐腐蚀等级≥10级，镀层对基体的保护等级≥10级；乙酸盐雾试验≥250h，镀层本身的耐腐蚀等级≥10级，镀层对基体的保护等级≥10级；耐久性≥12万次检测合格。</w:t>
            </w:r>
          </w:p>
          <w:p w14:paraId="3E677472">
            <w:pPr>
              <w:keepNext w:val="0"/>
              <w:keepLines w:val="0"/>
              <w:pageBreakBefore w:val="0"/>
              <w:widowControl/>
              <w:numPr>
                <w:ilvl w:val="0"/>
                <w:numId w:val="11"/>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采用优质线盒，依据GB/T 3325-2017《金属家具通用技术条件》、HJ2547-2016《环境标志产品技术要求家具》标准；金属件喷涂层无漏喷、锈蚀、脱色、掉色现象；金属件喷涂层无流挂、疙瘩、皱皮、飞漆等缺陷；产品表面涂层可迁移元素的限量（铅、镉、汞、砷）未检出。</w:t>
            </w:r>
          </w:p>
          <w:p w14:paraId="4DDE4BCF">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7、采用优质钢架/钢制脚架，依据GB/T 10125-2021《人造气氛腐蚀试验盐雾 试验》；QB/T 3832- 1999《轻工产品金属镀层腐蚀试验结果的评价》；QB/T 4371- 2012《家具抗菌性能的评价》；GB/T 228.1-2021 《金属材料拉伸试验第1部分:室温试验方法》检测标准：乙酸盐雾试验≥220h，镀层本身的耐腐蚀等级≥10级，镀层对基体的保护等级≥10级；抑菌率≥99%；断后伸长率A80mm45%，规定塑性延伸强度Rp0.2 259MPa。 </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C2DA0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A79DE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B85CF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1020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960D1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2040 </w:t>
            </w:r>
          </w:p>
        </w:tc>
      </w:tr>
      <w:tr w14:paraId="38B5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E7AFC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10B49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办公椅</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57271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eastAsia="zh-CN"/>
              </w:rPr>
              <w:drawing>
                <wp:inline distT="0" distB="0" distL="114300" distR="114300">
                  <wp:extent cx="1308735" cy="1793240"/>
                  <wp:effectExtent l="0" t="0" r="5715" b="16510"/>
                  <wp:docPr id="34" name="图片 34" descr="174435514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744355143774"/>
                          <pic:cNvPicPr>
                            <a:picLocks noChangeAspect="1"/>
                          </pic:cNvPicPr>
                        </pic:nvPicPr>
                        <pic:blipFill>
                          <a:blip r:embed="rId20"/>
                          <a:stretch>
                            <a:fillRect/>
                          </a:stretch>
                        </pic:blipFill>
                        <pic:spPr>
                          <a:xfrm>
                            <a:off x="0" y="0"/>
                            <a:ext cx="1308735" cy="1793240"/>
                          </a:xfrm>
                          <a:prstGeom prst="rect">
                            <a:avLst/>
                          </a:prstGeom>
                        </pic:spPr>
                      </pic:pic>
                    </a:graphicData>
                  </a:graphic>
                </wp:inline>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AE2E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650*590*（1060-1160）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33EF8">
            <w:pPr>
              <w:keepNext w:val="0"/>
              <w:keepLines w:val="0"/>
              <w:pageBreakBefore w:val="0"/>
              <w:widowControl/>
              <w:numPr>
                <w:ilvl w:val="0"/>
                <w:numId w:val="1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选用优质网布，依据GB 18401-2010《国家纺织产品基本安全技术规范》；GB/T 31713-2015《抗菌纺织品安全性卫生要求》；GB/T 24346-2009《纺织品 防霉性能的评价》﹔GB  17927.1-2011《软体家具 床垫和沙发抗引燃特性的 评定第1部分:阴燃的香烟》﹔FZ/T 62011.3-2016《布艺类产品 第3部分:家具用纺织品》标准；甲醛含量≤20mg/kg，可分解致癌芳香胺染料未检出，抗菌性能（抑菌率）≥99%，防霉等级0级或1级，沾色-聚酯纤维≥4级。</w:t>
            </w:r>
          </w:p>
          <w:p w14:paraId="55C96A58">
            <w:pPr>
              <w:keepNext w:val="0"/>
              <w:keepLines w:val="0"/>
              <w:pageBreakBefore w:val="0"/>
              <w:widowControl/>
              <w:numPr>
                <w:ilvl w:val="0"/>
                <w:numId w:val="1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采用优质阻燃高弹海绵，依据QB/T 2280-2016《办公家具 办公椅》、GB/T 6343-2009《泡沫塑料及橡胶 表观密度的测定》、GB 17927.1-2011《软体家具 床垫和沙发抗引燃特性的 评定第1部分：阴燃的香烟》、HJ 2547-2016《环境标志产品技术要求 家具》、QB/T 4371-2012《家具抗菌性能的评价》标准；长度、宽度极限偏差检测合格，厚度极限偏差检测合格，感官要求至少5项检测，物理力学性能（至少包含回弹率≥50%，拉伸强度≥150KPa，伸长率≥168%，撕裂强度≥4.5N/cm，干热老化后拉伸强度≥145KPa），密度≥50kg/m³，甲醛释放量≤0.03mg/m²h，TVOC≤0.05mg/m²h，抗引燃特性阻燃Ⅰ级，抗菌性能（抑菌率）≥95%。</w:t>
            </w:r>
          </w:p>
          <w:p w14:paraId="563FDC92">
            <w:pPr>
              <w:keepNext w:val="0"/>
              <w:keepLines w:val="0"/>
              <w:pageBreakBefore w:val="0"/>
              <w:widowControl/>
              <w:numPr>
                <w:ilvl w:val="0"/>
                <w:numId w:val="1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采用优质扶手，依据GB 28481-2012《塑料家具中有害物质限量》、GB/T 3325-2017《金属家具通用技术条件》、GB/T 32487-2016《塑料家具通用技术条件》、GB/T 24128-2018《塑料 塑料防霉剂的防霉效果评估》、GB/T 35607-2017《绿色产品评价 家具》标准；邻苯二甲酸酯未检出，重金属（可溶性铅、可溶性镉、可溶性铬、可溶性汞）均≤0.1mg/kg，甲醛释放量≤0.04mg/m³，防霉等级0级或1级。</w:t>
            </w:r>
          </w:p>
          <w:p w14:paraId="67E6D210">
            <w:pPr>
              <w:keepNext w:val="0"/>
              <w:keepLines w:val="0"/>
              <w:pageBreakBefore w:val="0"/>
              <w:widowControl/>
              <w:numPr>
                <w:ilvl w:val="0"/>
                <w:numId w:val="1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采用优质气压棒，依据GB/T 29525-2013《座椅升降气弹簧 技术条件》；QB/T 2280-2016《办公家具办公椅》标准；金属件镀层应无烧焦、起泡、针孔、裂纹、毛刺、花斑（不包括镀彩锌）和划痕。气弹簧的启动力应小于1.5F3，气弹簧锁定在任意位置，经72h常温储存后，活塞杆不应产生位移。气弹簧经-30℃和60℃高低温储存后，公称力Fa衰减量应不大于5%。行程100mm，公称力Fa的总衰减量应不大于5%。</w:t>
            </w:r>
          </w:p>
          <w:p w14:paraId="6AA6ACAE">
            <w:pPr>
              <w:keepNext w:val="0"/>
              <w:keepLines w:val="0"/>
              <w:pageBreakBefore w:val="0"/>
              <w:widowControl/>
              <w:numPr>
                <w:ilvl w:val="0"/>
                <w:numId w:val="1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采用优质转椅底盘，依据GB/T 10125-2021《人造气氛腐蚀试验盐雾试验》、QB/T 3832- 1999《轻工产品金属镀层腐蚀试验结果的评价》标准乙酸盐雾试验连续喷雾≥18h，镀层本身的耐腐蚀等级≥10级，镀层对基体的保护等级≥10级。</w:t>
            </w:r>
          </w:p>
          <w:p w14:paraId="414962D9">
            <w:pPr>
              <w:keepNext w:val="0"/>
              <w:keepLines w:val="0"/>
              <w:pageBreakBefore w:val="0"/>
              <w:widowControl/>
              <w:numPr>
                <w:ilvl w:val="0"/>
                <w:numId w:val="12"/>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采用优质钢制五星脚，依据GB/T 3325-2017《金属家具通用技术条件》； GB/T 10125-2021 《人造气氛腐蚀试验 盐雾试验》； QB/T 3832-1999 《轻工产品金属镀层腐蚀试验结果的评价》；GB/T 1741-2020 《漆膜耐霉菌性测定法》标准；金属件喷涂层无漏喷、锈蚀、脱色、掉色现象；金属件喷涂层无流挂、疙瘩、皱皮、飞漆等缺陷；乙酸盐雾试验≥240h，镀层本身的耐腐蚀等级≥10级，镀层对基体的保护等级≥10级，耐霉菌性等级0级或1级。</w:t>
            </w:r>
          </w:p>
          <w:p w14:paraId="022DACCA">
            <w:pPr>
              <w:keepNext w:val="0"/>
              <w:keepLines w:val="0"/>
              <w:pageBreakBefore w:val="0"/>
              <w:widowControl/>
              <w:numPr>
                <w:ilvl w:val="0"/>
                <w:numId w:val="12"/>
              </w:numPr>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采用优质脚轮， 依据QB/T 4765-2014《家具用脚轮》； GB 28481-2012 《塑料家具中有害物质限量》；GB/T 3325-2017《金属家具通用技术条件》；GB/T 16422.3-2022《塑料 实验室光源暴露试验方法 第3部分:荧光紫外灯》；GB/T 35607-2017《绿色产品评价 家具》标准；脚轮的轮面光洁，无裂纹、伤痕、毛边等缺陷。抗冲击性、导电性、动载荷、滚动阻力检测合格，实验室光源暴露试验：荧光紫外灯4-5级。产品有害物质（铅、汞）≤1mg/kg。</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1A860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2BAD0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5A072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330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147C8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660 </w:t>
            </w:r>
          </w:p>
        </w:tc>
      </w:tr>
      <w:tr w14:paraId="79DA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20" w:hRule="atLeast"/>
        </w:trPr>
        <w:tc>
          <w:tcPr>
            <w:tcW w:w="494" w:type="dxa"/>
            <w:tcBorders>
              <w:top w:val="single" w:color="000000" w:sz="4" w:space="0"/>
              <w:left w:val="single" w:color="000000" w:sz="4" w:space="0"/>
              <w:bottom w:val="nil"/>
              <w:right w:val="single" w:color="000000" w:sz="4" w:space="0"/>
            </w:tcBorders>
            <w:shd w:val="clear" w:color="auto" w:fill="FFFFFF" w:themeFill="background1"/>
            <w:noWrap/>
            <w:vAlign w:val="center"/>
          </w:tcPr>
          <w:p w14:paraId="12B694B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093" w:type="dxa"/>
            <w:tcBorders>
              <w:top w:val="single" w:color="000000" w:sz="4" w:space="0"/>
              <w:left w:val="single" w:color="000000" w:sz="4" w:space="0"/>
              <w:bottom w:val="nil"/>
              <w:right w:val="single" w:color="000000" w:sz="4" w:space="0"/>
            </w:tcBorders>
            <w:shd w:val="clear" w:color="auto" w:fill="FFFFFF" w:themeFill="background1"/>
            <w:noWrap/>
            <w:vAlign w:val="center"/>
          </w:tcPr>
          <w:p w14:paraId="4EDEE06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药品柜</w:t>
            </w:r>
          </w:p>
        </w:tc>
        <w:tc>
          <w:tcPr>
            <w:tcW w:w="1957" w:type="dxa"/>
            <w:tcBorders>
              <w:top w:val="single" w:color="000000" w:sz="4" w:space="0"/>
              <w:left w:val="single" w:color="000000" w:sz="4" w:space="0"/>
              <w:bottom w:val="nil"/>
              <w:right w:val="single" w:color="000000" w:sz="4" w:space="0"/>
            </w:tcBorders>
            <w:shd w:val="clear" w:color="auto" w:fill="FFFFFF" w:themeFill="background1"/>
            <w:noWrap/>
            <w:vAlign w:val="center"/>
          </w:tcPr>
          <w:p w14:paraId="0775216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92710</wp:posOffset>
                  </wp:positionH>
                  <wp:positionV relativeFrom="paragraph">
                    <wp:posOffset>14605</wp:posOffset>
                  </wp:positionV>
                  <wp:extent cx="852805" cy="997585"/>
                  <wp:effectExtent l="0" t="0" r="4445" b="12065"/>
                  <wp:wrapNone/>
                  <wp:docPr id="32" name="图片_1_SpCnt_4"/>
                  <wp:cNvGraphicFramePr/>
                  <a:graphic xmlns:a="http://schemas.openxmlformats.org/drawingml/2006/main">
                    <a:graphicData uri="http://schemas.openxmlformats.org/drawingml/2006/picture">
                      <pic:pic xmlns:pic="http://schemas.openxmlformats.org/drawingml/2006/picture">
                        <pic:nvPicPr>
                          <pic:cNvPr id="32" name="图片_1_SpCnt_4"/>
                          <pic:cNvPicPr/>
                        </pic:nvPicPr>
                        <pic:blipFill>
                          <a:blip r:embed="rId35"/>
                          <a:stretch>
                            <a:fillRect/>
                          </a:stretch>
                        </pic:blipFill>
                        <pic:spPr>
                          <a:xfrm>
                            <a:off x="0" y="0"/>
                            <a:ext cx="852805" cy="99758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B6C2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900*460*2000</w:t>
            </w:r>
          </w:p>
        </w:tc>
        <w:tc>
          <w:tcPr>
            <w:tcW w:w="5674" w:type="dxa"/>
            <w:tcBorders>
              <w:top w:val="single" w:color="000000" w:sz="4" w:space="0"/>
              <w:left w:val="single" w:color="000000" w:sz="4" w:space="0"/>
              <w:bottom w:val="nil"/>
              <w:right w:val="single" w:color="000000" w:sz="4" w:space="0"/>
            </w:tcBorders>
            <w:shd w:val="clear" w:color="auto" w:fill="FFFFFF" w:themeFill="background1"/>
            <w:vAlign w:val="center"/>
          </w:tcPr>
          <w:p w14:paraId="257C1AE7">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基材：采用优质冷轧钢，表面光滑，承重力高，强度高，不易变形。</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EFE40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255BE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CE4E8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850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6E2AC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4250 </w:t>
            </w:r>
          </w:p>
        </w:tc>
      </w:tr>
      <w:tr w14:paraId="2DE1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201A75">
            <w:pPr>
              <w:pageBreakBefore w:val="0"/>
              <w:kinsoku/>
              <w:wordWrap w:val="0"/>
              <w:overflowPunct/>
              <w:topLinePunct w:val="0"/>
              <w:bidi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化验室</w:t>
            </w:r>
          </w:p>
        </w:tc>
      </w:tr>
      <w:tr w14:paraId="4603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2"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C9E91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ED066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办公桌</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0C585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-6985</wp:posOffset>
                  </wp:positionH>
                  <wp:positionV relativeFrom="paragraph">
                    <wp:posOffset>-218440</wp:posOffset>
                  </wp:positionV>
                  <wp:extent cx="1124585" cy="1335405"/>
                  <wp:effectExtent l="0" t="0" r="18415" b="17145"/>
                  <wp:wrapNone/>
                  <wp:docPr id="16" name="图片_3"/>
                  <wp:cNvGraphicFramePr/>
                  <a:graphic xmlns:a="http://schemas.openxmlformats.org/drawingml/2006/main">
                    <a:graphicData uri="http://schemas.openxmlformats.org/drawingml/2006/picture">
                      <pic:pic xmlns:pic="http://schemas.openxmlformats.org/drawingml/2006/picture">
                        <pic:nvPicPr>
                          <pic:cNvPr id="16" name="图片_3"/>
                          <pic:cNvPicPr/>
                        </pic:nvPicPr>
                        <pic:blipFill>
                          <a:blip r:embed="rId36"/>
                          <a:stretch>
                            <a:fillRect/>
                          </a:stretch>
                        </pic:blipFill>
                        <pic:spPr>
                          <a:xfrm>
                            <a:off x="0" y="0"/>
                            <a:ext cx="1124585" cy="133540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B361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800*600*750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550DD">
            <w:pPr>
              <w:keepNext w:val="0"/>
              <w:keepLines w:val="0"/>
              <w:pageBreakBefore w:val="0"/>
              <w:widowControl/>
              <w:numPr>
                <w:ilvl w:val="0"/>
                <w:numId w:val="13"/>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采用优质实木多层板，依据GB/T 9846-2015《普通胶合板》；GB/T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w:t>
            </w:r>
          </w:p>
          <w:p w14:paraId="280FB85C">
            <w:pPr>
              <w:keepNext w:val="0"/>
              <w:keepLines w:val="0"/>
              <w:pageBreakBefore w:val="0"/>
              <w:widowControl/>
              <w:numPr>
                <w:ilvl w:val="0"/>
                <w:numId w:val="13"/>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44F9372E">
            <w:pPr>
              <w:keepNext w:val="0"/>
              <w:keepLines w:val="0"/>
              <w:pageBreakBefore w:val="0"/>
              <w:widowControl/>
              <w:numPr>
                <w:ilvl w:val="0"/>
                <w:numId w:val="13"/>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选用优质品牌环保热熔胶，依据GB18583-2008《室内装饰装修材料胶粘剂中有害物质限量》﹔HJ2541-2016《环境标志产品技术要求胶粘剂》标准；游离甲醛≤0.1g/kg，苯≤0.02g/kg，甲苯≤0.02g/kg，二甲苯≤0.02g/kg，总挥发性有机物≤5g/L，游离甲苯二异氰酸酯≤1g/kg。 </w:t>
            </w:r>
          </w:p>
          <w:p w14:paraId="1B21F3EB">
            <w:pPr>
              <w:keepNext w:val="0"/>
              <w:keepLines w:val="0"/>
              <w:pageBreakBefore w:val="0"/>
              <w:widowControl/>
              <w:numPr>
                <w:ilvl w:val="0"/>
                <w:numId w:val="13"/>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w:t>
            </w:r>
          </w:p>
          <w:p w14:paraId="39528BC0">
            <w:pPr>
              <w:keepNext w:val="0"/>
              <w:keepLines w:val="0"/>
              <w:pageBreakBefore w:val="0"/>
              <w:widowControl/>
              <w:numPr>
                <w:ilvl w:val="0"/>
                <w:numId w:val="13"/>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采用优质导轨，依据GB/T 10125-2021《人造气氛腐蚀试验盐雾试验》；QB/T 3832- 1999《轻工产品金属镀层腐蚀试验结果的评价》； QB/T 2454-2013《家具五金抽屉导轨》检测标准；中性盐雾试验≥500h，镀层本身的耐腐蚀等级≥10级，镀层对基体的保护等级≥10级；乙酸盐雾试验≥250h，镀层本身的耐腐蚀等级≥10级，镀层对基体的保护等级≥10级；耐久性≥12万次检测合格。</w:t>
            </w:r>
          </w:p>
          <w:p w14:paraId="1A3C748D">
            <w:pPr>
              <w:keepNext w:val="0"/>
              <w:keepLines w:val="0"/>
              <w:pageBreakBefore w:val="0"/>
              <w:widowControl/>
              <w:numPr>
                <w:ilvl w:val="0"/>
                <w:numId w:val="13"/>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采用优质线盒，依据GB/T 3325-2017《金属家具通用技术条件》、HJ2547-2016《环境标志产品技术要求家具》标准；金属件喷涂层无漏喷、锈蚀、脱色、掉色现象；金属件喷涂层无流挂、疙瘩、皱皮、飞漆等缺陷；产品表面涂层可迁移元素的限量（铅、镉、汞、砷）未检出。</w:t>
            </w:r>
          </w:p>
          <w:p w14:paraId="41DB17A3">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7、采用优质钢架/钢制脚架，依据GB/T 10125-2021《人造气氛腐蚀试验盐雾 试验》；QB/T 3832- 1999《轻工产品金属镀层腐蚀试验结果的评价》；QB/T 4371- 2012《家具抗菌性能的评价》；GB/T 228.1-2021 《金属材料拉伸试验第1部分:室温试验方法》检测标准：乙酸盐雾试验≥220h，镀层本身的耐腐蚀等级≥10级，镀层对基体的保护等级≥10级；抑菌率≥99%；断后伸长率A80mm45%，规定塑性延伸强度Rp0.2 259MPa。 </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F01C3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F2613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95CA0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980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F1D2E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1960 </w:t>
            </w:r>
          </w:p>
        </w:tc>
      </w:tr>
      <w:tr w14:paraId="6ED4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AF95A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B9947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办公椅</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C3EB9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drawing>
                <wp:inline distT="0" distB="0" distL="114300" distR="114300">
                  <wp:extent cx="814705" cy="942340"/>
                  <wp:effectExtent l="0" t="0" r="4445" b="10160"/>
                  <wp:docPr id="9" name="图片 9" descr="b46df607b181de6fc248f9bdefec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46df607b181de6fc248f9bdefece5a"/>
                          <pic:cNvPicPr>
                            <a:picLocks noChangeAspect="1"/>
                          </pic:cNvPicPr>
                        </pic:nvPicPr>
                        <pic:blipFill>
                          <a:blip r:embed="rId37"/>
                          <a:stretch>
                            <a:fillRect/>
                          </a:stretch>
                        </pic:blipFill>
                        <pic:spPr>
                          <a:xfrm>
                            <a:off x="0" y="0"/>
                            <a:ext cx="814705" cy="942340"/>
                          </a:xfrm>
                          <a:prstGeom prst="rect">
                            <a:avLst/>
                          </a:prstGeom>
                        </pic:spPr>
                      </pic:pic>
                    </a:graphicData>
                  </a:graphic>
                </wp:inline>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5356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常规</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342283">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黑色PP料背架，带固定腰靠</w:t>
            </w:r>
          </w:p>
          <w:p w14:paraId="0FA9C9D7">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·高回弹中软切割海绵</w:t>
            </w:r>
          </w:p>
          <w:p w14:paraId="32B38BEB">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·PP连体固定扶手</w:t>
            </w:r>
          </w:p>
          <w:p w14:paraId="3EF873E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·85#沉口4公分黑色汽杆</w:t>
            </w:r>
          </w:p>
          <w:p w14:paraId="3AAD1145">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·∮320尼龙高脚</w:t>
            </w:r>
          </w:p>
          <w:p w14:paraId="18A0E7C0">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·φ50MM黑色尼龙轮。</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85E4A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FFC4D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D3D89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330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8CE03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660 </w:t>
            </w:r>
          </w:p>
        </w:tc>
      </w:tr>
      <w:tr w14:paraId="5778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40"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71D04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230D9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就诊凳</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2E162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40005</wp:posOffset>
                  </wp:positionH>
                  <wp:positionV relativeFrom="paragraph">
                    <wp:posOffset>4445</wp:posOffset>
                  </wp:positionV>
                  <wp:extent cx="1076325" cy="992505"/>
                  <wp:effectExtent l="0" t="0" r="9525" b="17145"/>
                  <wp:wrapNone/>
                  <wp:docPr id="6" name="图片_1_SpCnt_5"/>
                  <wp:cNvGraphicFramePr/>
                  <a:graphic xmlns:a="http://schemas.openxmlformats.org/drawingml/2006/main">
                    <a:graphicData uri="http://schemas.openxmlformats.org/drawingml/2006/picture">
                      <pic:pic xmlns:pic="http://schemas.openxmlformats.org/drawingml/2006/picture">
                        <pic:nvPicPr>
                          <pic:cNvPr id="6" name="图片_1_SpCnt_5"/>
                          <pic:cNvPicPr/>
                        </pic:nvPicPr>
                        <pic:blipFill>
                          <a:blip r:embed="rId21"/>
                          <a:stretch>
                            <a:fillRect/>
                          </a:stretch>
                        </pic:blipFill>
                        <pic:spPr>
                          <a:xfrm>
                            <a:off x="0" y="0"/>
                            <a:ext cx="1076325" cy="99250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E8A7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270*230*320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D4FB2">
            <w:pPr>
              <w:keepNext w:val="0"/>
              <w:keepLines w:val="0"/>
              <w:pageBreakBefore w:val="0"/>
              <w:widowControl/>
              <w:numPr>
                <w:ilvl w:val="0"/>
                <w:numId w:val="14"/>
              </w:numPr>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采用优质橡胶木，依据GB/T 35601-2017《绿色产品评价 人造板和木质地板》；GB 18584-2001《室内装饰装修材料木家具中有害物质限量》；GB/T 16734-1997《中国主要木材名称》；GB/T 29894-2013《木材鉴别方法通则》；GB/T 1927.5-2021《无疵小试样木材物理力学性质试验方法 第5部分：密度测定》；GB/T 3324-2017 《木家具通用技术条件》；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2、采用优质水性面漆，依据GB 18581-2020《木器涂料中有害物质限量》； GB/T 1741 -2020《漆膜耐霉菌性测定法》； GB/T 23999 -2009《室内装饰装修用水性木器涂料》； HJ 2537-2014 《环境标志产品技术要求水性涂料》标准；VOC含量≤5g/L，甲醛含量≤10mg/kg，总铅含量≤1mg/kg，镉含量≤2mg/kg，铬含量≤2mg/kg，汞含量≤2mg/kg，乙二醇醚及醚酯总和含量(限乙二醇甲醚、乙二醇甲醚醋酸酯、乙二醇乙醚、乙二醇乙醚醋酸酯、乙二醇二甲醚、乙二醇二乙醚、二乙二醇二甲醚、三乙二醇二甲醚)≤20mg/kg，苯系物总和含量≤30mg/kg,烷基酚聚氧乙烯醚总和含量≤20mg/kg,耐霉菌性等级1级或0级，卤代烃未检出。</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E0205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B6E04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4F71D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150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6DBBC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300 </w:t>
            </w:r>
          </w:p>
        </w:tc>
      </w:tr>
      <w:tr w14:paraId="74F4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59"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6F122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38DAF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定制矮柜</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0ABA1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-16510</wp:posOffset>
                  </wp:positionH>
                  <wp:positionV relativeFrom="paragraph">
                    <wp:posOffset>-331470</wp:posOffset>
                  </wp:positionV>
                  <wp:extent cx="1148080" cy="1273175"/>
                  <wp:effectExtent l="0" t="0" r="13970" b="3175"/>
                  <wp:wrapNone/>
                  <wp:docPr id="7" name="图片_26"/>
                  <wp:cNvGraphicFramePr/>
                  <a:graphic xmlns:a="http://schemas.openxmlformats.org/drawingml/2006/main">
                    <a:graphicData uri="http://schemas.openxmlformats.org/drawingml/2006/picture">
                      <pic:pic xmlns:pic="http://schemas.openxmlformats.org/drawingml/2006/picture">
                        <pic:nvPicPr>
                          <pic:cNvPr id="7" name="图片_26"/>
                          <pic:cNvPicPr/>
                        </pic:nvPicPr>
                        <pic:blipFill>
                          <a:blip r:embed="rId33"/>
                          <a:stretch>
                            <a:fillRect/>
                          </a:stretch>
                        </pic:blipFill>
                        <pic:spPr>
                          <a:xfrm>
                            <a:off x="0" y="0"/>
                            <a:ext cx="1148080" cy="127317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0790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5760*600*850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7A1968">
            <w:pPr>
              <w:keepNext w:val="0"/>
              <w:keepLines w:val="0"/>
              <w:pageBreakBefore w:val="0"/>
              <w:widowControl/>
              <w:numPr>
                <w:ilvl w:val="0"/>
                <w:numId w:val="9"/>
              </w:numPr>
              <w:suppressLineNumbers w:val="0"/>
              <w:kinsoku/>
              <w:wordWrap w:val="0"/>
              <w:overflowPunct/>
              <w:topLinePunct w:val="0"/>
              <w:bidi w:val="0"/>
              <w:jc w:val="left"/>
              <w:textAlignment w:val="center"/>
              <w:rPr>
                <w:rStyle w:val="377"/>
                <w:rFonts w:hint="eastAsia" w:ascii="宋体" w:hAnsi="宋体" w:eastAsia="宋体" w:cs="宋体"/>
                <w:color w:val="auto"/>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台面板：采用国产优质</w:t>
            </w:r>
            <w:r>
              <w:rPr>
                <w:rStyle w:val="981"/>
                <w:rFonts w:hint="eastAsia" w:ascii="宋体" w:hAnsi="宋体" w:eastAsia="宋体" w:cs="宋体"/>
                <w:color w:val="auto"/>
                <w:sz w:val="18"/>
                <w:szCs w:val="18"/>
                <w:highlight w:val="none"/>
                <w:lang w:val="en-US" w:eastAsia="zh-CN" w:bidi="ar"/>
              </w:rPr>
              <w:t>石英石台面</w:t>
            </w:r>
            <w:r>
              <w:rPr>
                <w:rStyle w:val="377"/>
                <w:rFonts w:hint="eastAsia" w:ascii="宋体" w:hAnsi="宋体" w:eastAsia="宋体" w:cs="宋体"/>
                <w:color w:val="auto"/>
                <w:sz w:val="18"/>
                <w:szCs w:val="18"/>
                <w:highlight w:val="none"/>
                <w:lang w:val="en-US" w:eastAsia="zh-CN" w:bidi="ar"/>
              </w:rPr>
              <w:t>；</w:t>
            </w:r>
            <w:r>
              <w:rPr>
                <w:rStyle w:val="377"/>
                <w:rFonts w:hint="eastAsia" w:ascii="宋体" w:hAnsi="宋体" w:eastAsia="宋体" w:cs="宋体"/>
                <w:color w:val="auto"/>
                <w:sz w:val="18"/>
                <w:szCs w:val="18"/>
                <w:highlight w:val="none"/>
                <w:lang w:val="en-US" w:eastAsia="zh-CN" w:bidi="ar"/>
              </w:rPr>
              <w:br w:type="textWrapping"/>
            </w:r>
            <w:r>
              <w:rPr>
                <w:rStyle w:val="377"/>
                <w:rFonts w:hint="eastAsia" w:ascii="宋体" w:hAnsi="宋体" w:eastAsia="宋体" w:cs="宋体"/>
                <w:color w:val="auto"/>
                <w:sz w:val="18"/>
                <w:szCs w:val="18"/>
                <w:highlight w:val="none"/>
                <w:lang w:val="en-US" w:eastAsia="zh-CN" w:bidi="ar"/>
              </w:rPr>
              <w:t>2、木制部分主材：采用优质实木多层板，依据GB/T 9846-2015《普通胶合板》；GB/T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3、封边：采用优质厚PVC封边带。封边带使用无铅、汞、镉三大重金属的高成份PVC粉做为原料来生产封边条，弹性好，耐撞击，达到国标环保要求；</w:t>
            </w:r>
          </w:p>
          <w:p w14:paraId="0D827273">
            <w:pPr>
              <w:keepNext w:val="0"/>
              <w:keepLines w:val="0"/>
              <w:pageBreakBefore w:val="0"/>
              <w:widowControl/>
              <w:numPr>
                <w:ilvl w:val="0"/>
                <w:numId w:val="9"/>
              </w:numPr>
              <w:suppressLineNumbers w:val="0"/>
              <w:kinsoku/>
              <w:wordWrap w:val="0"/>
              <w:overflowPunct/>
              <w:topLinePunct w:val="0"/>
              <w:bidi w:val="0"/>
              <w:ind w:left="0" w:leftChars="0" w:firstLine="0" w:firstLineChars="0"/>
              <w:jc w:val="left"/>
              <w:textAlignment w:val="center"/>
              <w:rPr>
                <w:rStyle w:val="377"/>
                <w:rFonts w:hint="eastAsia" w:ascii="宋体" w:hAnsi="宋体" w:eastAsia="宋体" w:cs="宋体"/>
                <w:color w:val="auto"/>
                <w:sz w:val="18"/>
                <w:szCs w:val="18"/>
                <w:highlight w:val="none"/>
                <w:lang w:val="en-US" w:eastAsia="zh-CN" w:bidi="ar"/>
              </w:rPr>
            </w:pPr>
            <w:r>
              <w:rPr>
                <w:rStyle w:val="377"/>
                <w:rFonts w:hint="eastAsia" w:ascii="宋体" w:hAnsi="宋体" w:eastAsia="宋体" w:cs="宋体"/>
                <w:color w:val="auto"/>
                <w:sz w:val="18"/>
                <w:szCs w:val="18"/>
                <w:highlight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187C4EE2">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Style w:val="377"/>
                <w:rFonts w:hint="eastAsia" w:ascii="宋体" w:hAnsi="宋体" w:eastAsia="宋体" w:cs="宋体"/>
                <w:color w:val="auto"/>
                <w:sz w:val="18"/>
                <w:szCs w:val="18"/>
                <w:highlight w:val="none"/>
                <w:lang w:val="en-US" w:eastAsia="zh-CN" w:bidi="ar"/>
              </w:rPr>
              <w:t>4、采用优质ABS激光封边条，依据QB/T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5、五金配件：采用优质品牌五金件。                            6、底部不锈钢踢脚线                                          7、按客户需求配置：不锈钢洗水池；感应高抛水龙头；</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C7D46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035C4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05E47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10360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DBD26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10360 </w:t>
            </w:r>
          </w:p>
        </w:tc>
      </w:tr>
      <w:tr w14:paraId="71FD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36366A">
            <w:pPr>
              <w:pageBreakBefore w:val="0"/>
              <w:kinsoku/>
              <w:wordWrap w:val="0"/>
              <w:overflowPunct/>
              <w:topLinePunct w:val="0"/>
              <w:bidi w:val="0"/>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 xml:space="preserve">二层 </w:t>
            </w:r>
          </w:p>
        </w:tc>
      </w:tr>
      <w:tr w14:paraId="0257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B56EE1">
            <w:pPr>
              <w:pageBreakBefore w:val="0"/>
              <w:kinsoku/>
              <w:wordWrap w:val="0"/>
              <w:overflowPunct/>
              <w:topLinePunct w:val="0"/>
              <w:bidi w:val="0"/>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宣教室</w:t>
            </w:r>
          </w:p>
        </w:tc>
      </w:tr>
      <w:tr w14:paraId="6A451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59"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6ED02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FCF36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条桌</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01CEF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-10795</wp:posOffset>
                  </wp:positionH>
                  <wp:positionV relativeFrom="paragraph">
                    <wp:posOffset>12700</wp:posOffset>
                  </wp:positionV>
                  <wp:extent cx="1133475" cy="1266825"/>
                  <wp:effectExtent l="0" t="0" r="9525" b="9525"/>
                  <wp:wrapNone/>
                  <wp:docPr id="12" name="图片_32"/>
                  <wp:cNvGraphicFramePr/>
                  <a:graphic xmlns:a="http://schemas.openxmlformats.org/drawingml/2006/main">
                    <a:graphicData uri="http://schemas.openxmlformats.org/drawingml/2006/picture">
                      <pic:pic xmlns:pic="http://schemas.openxmlformats.org/drawingml/2006/picture">
                        <pic:nvPicPr>
                          <pic:cNvPr id="12" name="图片_32"/>
                          <pic:cNvPicPr/>
                        </pic:nvPicPr>
                        <pic:blipFill>
                          <a:blip r:embed="rId38"/>
                          <a:stretch>
                            <a:fillRect/>
                          </a:stretch>
                        </pic:blipFill>
                        <pic:spPr>
                          <a:xfrm>
                            <a:off x="0" y="0"/>
                            <a:ext cx="1133475" cy="126682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7E3D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1400*400*750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EC41E">
            <w:pPr>
              <w:keepNext w:val="0"/>
              <w:keepLines w:val="0"/>
              <w:pageBreakBefore w:val="0"/>
              <w:widowControl/>
              <w:numPr>
                <w:ilvl w:val="0"/>
                <w:numId w:val="15"/>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采用优质实木多层板，依据GB/T 9846-2015《普通胶合板》；GB/T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w:t>
            </w:r>
          </w:p>
          <w:p w14:paraId="79B79498">
            <w:pPr>
              <w:keepNext w:val="0"/>
              <w:keepLines w:val="0"/>
              <w:pageBreakBefore w:val="0"/>
              <w:widowControl/>
              <w:numPr>
                <w:ilvl w:val="0"/>
                <w:numId w:val="15"/>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6E0B7B63">
            <w:pPr>
              <w:keepNext w:val="0"/>
              <w:keepLines w:val="0"/>
              <w:pageBreakBefore w:val="0"/>
              <w:widowControl/>
              <w:numPr>
                <w:ilvl w:val="0"/>
                <w:numId w:val="15"/>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选用优质品牌环保热熔胶，依据GB18583-2008《室内装饰装修材料胶粘剂中有害物质限量》﹔HJ2541-2016《环境标志产品技术要求胶粘剂》标准；游离甲醛≤0.1g/kg，苯≤0.02g/kg，甲苯≤0.02g/kg，二甲苯≤0.02g/kg，总挥发性有机物≤5g/L，游离甲苯二异氰酸酯≤1g/kg。 </w:t>
            </w:r>
          </w:p>
          <w:p w14:paraId="6A9182AD">
            <w:pPr>
              <w:keepNext w:val="0"/>
              <w:keepLines w:val="0"/>
              <w:pageBreakBefore w:val="0"/>
              <w:widowControl/>
              <w:numPr>
                <w:ilvl w:val="0"/>
                <w:numId w:val="15"/>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w:t>
            </w:r>
          </w:p>
          <w:p w14:paraId="6B5FD69F">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5、采用优质钢架/钢制脚架，依据GB/T 10125-2021《人造气氛腐蚀试验盐雾 试验》；QB/T 3832- 1999《轻工产品金属镀层腐蚀试验结果的评价》；QB/T 4371- 2012《家具抗菌性能的评价》；GB/T 228.1-2021 《金属材料拉伸试验第1部分:室温试验方法》检测标准：乙酸盐雾试验≥220h，镀层本身的耐腐蚀等级≥10级，镀层对基体的保护等级≥10级；抑菌率≥99%；断后伸长率A80mm45%，规定塑性延伸强度Rp0.2 259MPa。 </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82FFD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CBEA4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BD90A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720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C6E3B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8640 </w:t>
            </w:r>
          </w:p>
        </w:tc>
      </w:tr>
      <w:tr w14:paraId="2F49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446E52">
            <w:pPr>
              <w:pageBreakBefore w:val="0"/>
              <w:kinsoku/>
              <w:wordWrap w:val="0"/>
              <w:overflowPunct/>
              <w:topLinePunct w:val="0"/>
              <w:bidi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资料室</w:t>
            </w:r>
          </w:p>
        </w:tc>
      </w:tr>
      <w:tr w14:paraId="1959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8"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63E5D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05964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资料柜</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19066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24C0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800*400*2000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A91811">
            <w:pPr>
              <w:keepNext w:val="0"/>
              <w:keepLines w:val="0"/>
              <w:pageBreakBefore w:val="0"/>
              <w:widowControl/>
              <w:numPr>
                <w:ilvl w:val="0"/>
                <w:numId w:val="16"/>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采用优质实木多层板，依据GB/T 9846-2015《普通胶合板》；GB/T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w:t>
            </w:r>
          </w:p>
          <w:p w14:paraId="5A2946E6">
            <w:pPr>
              <w:keepNext w:val="0"/>
              <w:keepLines w:val="0"/>
              <w:pageBreakBefore w:val="0"/>
              <w:widowControl/>
              <w:numPr>
                <w:ilvl w:val="0"/>
                <w:numId w:val="16"/>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-2295525</wp:posOffset>
                  </wp:positionH>
                  <wp:positionV relativeFrom="paragraph">
                    <wp:posOffset>381000</wp:posOffset>
                  </wp:positionV>
                  <wp:extent cx="1059815" cy="1768475"/>
                  <wp:effectExtent l="0" t="0" r="6985" b="3175"/>
                  <wp:wrapNone/>
                  <wp:docPr id="14" name="图片_1_SpCnt_6"/>
                  <wp:cNvGraphicFramePr/>
                  <a:graphic xmlns:a="http://schemas.openxmlformats.org/drawingml/2006/main">
                    <a:graphicData uri="http://schemas.openxmlformats.org/drawingml/2006/picture">
                      <pic:pic xmlns:pic="http://schemas.openxmlformats.org/drawingml/2006/picture">
                        <pic:nvPicPr>
                          <pic:cNvPr id="14" name="图片_1_SpCnt_6"/>
                          <pic:cNvPicPr/>
                        </pic:nvPicPr>
                        <pic:blipFill>
                          <a:blip r:embed="rId39"/>
                          <a:stretch>
                            <a:fillRect/>
                          </a:stretch>
                        </pic:blipFill>
                        <pic:spPr>
                          <a:xfrm>
                            <a:off x="0" y="0"/>
                            <a:ext cx="1059815" cy="1768475"/>
                          </a:xfrm>
                          <a:prstGeom prst="rect">
                            <a:avLst/>
                          </a:prstGeom>
                          <a:noFill/>
                          <a:ln>
                            <a:noFill/>
                          </a:ln>
                        </pic:spPr>
                      </pic:pic>
                    </a:graphicData>
                  </a:graphic>
                </wp:anchor>
              </w:drawing>
            </w:r>
            <w:r>
              <w:rPr>
                <w:rFonts w:hint="eastAsia" w:ascii="宋体" w:hAnsi="宋体" w:eastAsia="宋体" w:cs="宋体"/>
                <w:i w:val="0"/>
                <w:iCs w:val="0"/>
                <w:color w:val="auto"/>
                <w:kern w:val="0"/>
                <w:sz w:val="18"/>
                <w:szCs w:val="18"/>
                <w:highlight w:val="none"/>
                <w:u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08BF7FDC">
            <w:pPr>
              <w:keepNext w:val="0"/>
              <w:keepLines w:val="0"/>
              <w:pageBreakBefore w:val="0"/>
              <w:widowControl/>
              <w:numPr>
                <w:ilvl w:val="0"/>
                <w:numId w:val="16"/>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选用优质品牌环保热熔胶，依据GB18583-2008《室内装饰装修材料胶粘剂中有害物质限量》﹔HJ2541-2016《环境标志产品技术要求胶粘剂》标准；游离甲醛≤0.1g/kg，苯≤0.02g/kg，甲苯≤0.02g/kg，二甲苯≤0.02g/kg，总挥发性有机物≤5g/L，游离甲苯二异氰酸酯≤1g/kg。 </w:t>
            </w:r>
          </w:p>
          <w:p w14:paraId="79171A10">
            <w:pPr>
              <w:keepNext w:val="0"/>
              <w:keepLines w:val="0"/>
              <w:pageBreakBefore w:val="0"/>
              <w:widowControl/>
              <w:numPr>
                <w:ilvl w:val="0"/>
                <w:numId w:val="16"/>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w:t>
            </w:r>
          </w:p>
          <w:p w14:paraId="6F30C957">
            <w:pPr>
              <w:keepNext w:val="0"/>
              <w:keepLines w:val="0"/>
              <w:pageBreakBefore w:val="0"/>
              <w:widowControl/>
              <w:numPr>
                <w:ilvl w:val="0"/>
                <w:numId w:val="16"/>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采用优质铰链，依据QB/T 2189-2013《家具五金杯状暗铰链》；GB/T 10125 -2021《人造气氛腐蚀试验盐雾 试验》； QB/T 3832-1999 《轻工产品金属镀层腐蚀试验结果的评价》检测标准；中性盐雾试验≥500h，镀层本身的耐腐蚀等级≥10级，镀层对基体的保护等级≥10级；乙酸盐雾试验≥250h，镀层本身的耐腐蚀等级≥10级，镀层对基体的保护等级≥10级；耐久性≥12万次检测合格，安装B型试验门时，下沉量不大于1.5mm，抗菌性能（抗菌率）≥99%。</w:t>
            </w:r>
          </w:p>
          <w:p w14:paraId="7456983B">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CAE9D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E3E4E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A3881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1360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F1706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10880 </w:t>
            </w:r>
          </w:p>
        </w:tc>
      </w:tr>
      <w:tr w14:paraId="0985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9948D0">
            <w:pPr>
              <w:pageBreakBefore w:val="0"/>
              <w:kinsoku/>
              <w:wordWrap w:val="0"/>
              <w:overflowPunct/>
              <w:topLinePunct w:val="0"/>
              <w:bidi w:val="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值班室</w:t>
            </w:r>
          </w:p>
        </w:tc>
      </w:tr>
      <w:tr w14:paraId="4FE6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37"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C916AB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7429E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高低床</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C46CD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-17780</wp:posOffset>
                  </wp:positionH>
                  <wp:positionV relativeFrom="paragraph">
                    <wp:posOffset>367665</wp:posOffset>
                  </wp:positionV>
                  <wp:extent cx="1153160" cy="1029335"/>
                  <wp:effectExtent l="0" t="0" r="8890" b="18415"/>
                  <wp:wrapNone/>
                  <wp:docPr id="10" name="图片_1_SpCnt_7"/>
                  <wp:cNvGraphicFramePr/>
                  <a:graphic xmlns:a="http://schemas.openxmlformats.org/drawingml/2006/main">
                    <a:graphicData uri="http://schemas.openxmlformats.org/drawingml/2006/picture">
                      <pic:pic xmlns:pic="http://schemas.openxmlformats.org/drawingml/2006/picture">
                        <pic:nvPicPr>
                          <pic:cNvPr id="10" name="图片_1_SpCnt_7"/>
                          <pic:cNvPicPr/>
                        </pic:nvPicPr>
                        <pic:blipFill>
                          <a:blip r:embed="rId40"/>
                          <a:stretch>
                            <a:fillRect/>
                          </a:stretch>
                        </pic:blipFill>
                        <pic:spPr>
                          <a:xfrm>
                            <a:off x="0" y="0"/>
                            <a:ext cx="1153160" cy="102933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EC9B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2000*1200*1650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9E28C">
            <w:pPr>
              <w:keepNext w:val="0"/>
              <w:keepLines w:val="0"/>
              <w:pageBreakBefore w:val="0"/>
              <w:widowControl/>
              <w:numPr>
                <w:ilvl w:val="0"/>
                <w:numId w:val="17"/>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基材：采用优质橡胶木，依据GB/T 35601-2017《绿色产品评价 人造板和木质地板》；GB 18584-2001《室内装饰装修材料木家具中有害物质限量》；GB/T 16734-1997《中国主要木材名称》；GB/T 29894-2013《木材鉴别方法通则》；GB/T 1927.5-2021《无疵小试样木材物理力学性质试验方法 第5部分：密度测定》；GB/T 3324-2017 《木家具通用技术条件》；</w:t>
            </w:r>
          </w:p>
          <w:p w14:paraId="4D74E003">
            <w:pPr>
              <w:keepNext w:val="0"/>
              <w:keepLines w:val="0"/>
              <w:pageBreakBefore w:val="0"/>
              <w:widowControl/>
              <w:numPr>
                <w:ilvl w:val="0"/>
                <w:numId w:val="17"/>
              </w:numPr>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sz w:val="18"/>
                <w:szCs w:val="18"/>
                <w:highlight w:val="none"/>
                <w:lang w:val="en-US" w:eastAsia="zh-CN"/>
              </w:rPr>
              <w:t>★</w:t>
            </w:r>
            <w:r>
              <w:rPr>
                <w:rFonts w:hint="eastAsia" w:ascii="宋体" w:hAnsi="宋体" w:eastAsia="宋体" w:cs="宋体"/>
                <w:i w:val="0"/>
                <w:iCs w:val="0"/>
                <w:color w:val="auto"/>
                <w:kern w:val="0"/>
                <w:sz w:val="18"/>
                <w:szCs w:val="18"/>
                <w:highlight w:val="none"/>
                <w:u w:val="none"/>
                <w:lang w:val="en-US" w:eastAsia="zh-CN" w:bidi="ar"/>
              </w:rPr>
              <w:t>油漆，采用优质环保油漆，依据GB 18581-2020《木器涂料中有害物质限量》；GB/T 21866-2008《抗菌涂料（漆膜）抗菌性测定法和抗菌效果》；GB/T 23997-2009《室内装饰装修用溶剂型聚氨酯木器涂料》；HJ/T 414-2007《环境标志产品技术要求 室内装饰装修用溶剂型木器涂料》标准；VOC含量≤5g/L，总铅含量≤2mg/kg，镉含量≤2mg/kg，铬含量≤2mg/kg，汞含量≤2mg/kg，乙二醇醚及醚酯总和含量（限乙二醇甲醚、乙二醇甲醚醋酸酯、乙二醇乙醚、乙二醇乙醚醋酸酯、乙二醇二甲醚、乙二醇二乙醚、二乙二醇二甲醚、三乙二醇二甲醚)≤20mg/kg，苯含量≤0.1%，甲醛含量≤10mg/kg，甲苯与二甲苯（含乙苯）总和含量≤5%，多环芳烃总和含量≤1mg/kg，抗菌性能（抗细菌率）≥99.5%。</w:t>
            </w:r>
          </w:p>
          <w:p w14:paraId="67DACE27">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结构：采用榫卯结构；            </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7FB4B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3523D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36BF8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7A6EB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4200 </w:t>
            </w:r>
          </w:p>
        </w:tc>
      </w:tr>
      <w:tr w14:paraId="4F44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78"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6D496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D5E35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衣柜</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085ED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130175</wp:posOffset>
                  </wp:positionH>
                  <wp:positionV relativeFrom="paragraph">
                    <wp:posOffset>156210</wp:posOffset>
                  </wp:positionV>
                  <wp:extent cx="904875" cy="1346200"/>
                  <wp:effectExtent l="0" t="0" r="9525" b="6350"/>
                  <wp:wrapNone/>
                  <wp:docPr id="13" name="图片_2_SpCnt_3"/>
                  <wp:cNvGraphicFramePr/>
                  <a:graphic xmlns:a="http://schemas.openxmlformats.org/drawingml/2006/main">
                    <a:graphicData uri="http://schemas.openxmlformats.org/drawingml/2006/picture">
                      <pic:pic xmlns:pic="http://schemas.openxmlformats.org/drawingml/2006/picture">
                        <pic:nvPicPr>
                          <pic:cNvPr id="13" name="图片_2_SpCnt_3"/>
                          <pic:cNvPicPr/>
                        </pic:nvPicPr>
                        <pic:blipFill>
                          <a:blip r:embed="rId41"/>
                          <a:stretch>
                            <a:fillRect/>
                          </a:stretch>
                        </pic:blipFill>
                        <pic:spPr>
                          <a:xfrm>
                            <a:off x="0" y="0"/>
                            <a:ext cx="904875" cy="1346200"/>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88E2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1600*500*2000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E6DAA">
            <w:pPr>
              <w:keepNext w:val="0"/>
              <w:keepLines w:val="0"/>
              <w:pageBreakBefore w:val="0"/>
              <w:widowControl/>
              <w:numPr>
                <w:ilvl w:val="0"/>
                <w:numId w:val="18"/>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采用优质实木多层板，依据GB/T 9846-2015《普通胶合板》；GB/T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w:t>
            </w:r>
          </w:p>
          <w:p w14:paraId="3D44FB1D">
            <w:pPr>
              <w:keepNext w:val="0"/>
              <w:keepLines w:val="0"/>
              <w:pageBreakBefore w:val="0"/>
              <w:widowControl/>
              <w:numPr>
                <w:ilvl w:val="0"/>
                <w:numId w:val="18"/>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185A4EEC">
            <w:pPr>
              <w:keepNext w:val="0"/>
              <w:keepLines w:val="0"/>
              <w:pageBreakBefore w:val="0"/>
              <w:widowControl/>
              <w:numPr>
                <w:ilvl w:val="0"/>
                <w:numId w:val="18"/>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选用优质品牌环保热熔胶，依据GB18583-2008《室内装饰装修材料胶粘剂中有害物质限量》﹔HJ2541-2016《环境标志产品技术要求胶粘剂》标准；游离甲醛≤0.1g/kg，苯≤0.02g/kg，甲苯≤0.02g/kg，二甲苯≤0.02g/kg，总挥发性有机物≤5g/L，游离甲苯二异氰酸酯≤1g/kg。 </w:t>
            </w:r>
          </w:p>
          <w:p w14:paraId="03BF0785">
            <w:pPr>
              <w:keepNext w:val="0"/>
              <w:keepLines w:val="0"/>
              <w:pageBreakBefore w:val="0"/>
              <w:widowControl/>
              <w:numPr>
                <w:ilvl w:val="0"/>
                <w:numId w:val="18"/>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w:t>
            </w:r>
          </w:p>
          <w:p w14:paraId="7ED23F89">
            <w:pPr>
              <w:keepNext w:val="0"/>
              <w:keepLines w:val="0"/>
              <w:pageBreakBefore w:val="0"/>
              <w:widowControl/>
              <w:numPr>
                <w:ilvl w:val="0"/>
                <w:numId w:val="18"/>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采用优质铰链，依据QB/T 2189-2013《家具五金杯状暗铰链》；GB/T 10125 -2021《人造气氛腐蚀试验盐雾 试验》； QB/T 3832-1999 《轻工产品金属镀层腐蚀试验结果的评价》检测标准；中性盐雾试验≥500h，镀层本身的耐腐蚀等级≥10级，镀层对基体的保护等级≥10级；乙酸盐雾试验≥250h，镀层本身的耐腐蚀等级≥10级，镀层对基体的保护等级≥10级；耐久性≥12万次检测合格，安装B型试验门时，下沉量不大于1.5mm，抗菌性能（抗菌率）≥99%。</w:t>
            </w:r>
          </w:p>
          <w:p w14:paraId="020C2891">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6E589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326FF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86976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2490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BF23B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4980 </w:t>
            </w:r>
          </w:p>
        </w:tc>
      </w:tr>
      <w:tr w14:paraId="46AA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33" w:hRule="atLeast"/>
        </w:trPr>
        <w:tc>
          <w:tcPr>
            <w:tcW w:w="14095"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C0871B">
            <w:pPr>
              <w:pageBreakBefore w:val="0"/>
              <w:kinsoku/>
              <w:wordWrap w:val="0"/>
              <w:overflowPunct/>
              <w:topLinePunct w:val="0"/>
              <w:bidi w:val="0"/>
              <w:jc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会议室</w:t>
            </w:r>
          </w:p>
        </w:tc>
      </w:tr>
      <w:tr w14:paraId="208E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38FDC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6D67E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会议桌</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1D369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15875</wp:posOffset>
                  </wp:positionH>
                  <wp:positionV relativeFrom="paragraph">
                    <wp:posOffset>49530</wp:posOffset>
                  </wp:positionV>
                  <wp:extent cx="1130300" cy="962025"/>
                  <wp:effectExtent l="0" t="0" r="12700" b="9525"/>
                  <wp:wrapNone/>
                  <wp:docPr id="8" name="图片_3_SpCnt_1"/>
                  <wp:cNvGraphicFramePr/>
                  <a:graphic xmlns:a="http://schemas.openxmlformats.org/drawingml/2006/main">
                    <a:graphicData uri="http://schemas.openxmlformats.org/drawingml/2006/picture">
                      <pic:pic xmlns:pic="http://schemas.openxmlformats.org/drawingml/2006/picture">
                        <pic:nvPicPr>
                          <pic:cNvPr id="8" name="图片_3_SpCnt_1"/>
                          <pic:cNvPicPr/>
                        </pic:nvPicPr>
                        <pic:blipFill>
                          <a:blip r:embed="rId42"/>
                          <a:stretch>
                            <a:fillRect/>
                          </a:stretch>
                        </pic:blipFill>
                        <pic:spPr>
                          <a:xfrm>
                            <a:off x="0" y="0"/>
                            <a:ext cx="1130300" cy="96202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CE535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3000*1500*750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9307B">
            <w:pPr>
              <w:keepNext w:val="0"/>
              <w:keepLines w:val="0"/>
              <w:pageBreakBefore w:val="0"/>
              <w:widowControl/>
              <w:numPr>
                <w:ilvl w:val="0"/>
                <w:numId w:val="19"/>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采用优质实木多层板，依据GB/T 9846-2015《普通胶合板》；GB/T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标准外观质量（无活节，无裂缝，无虫孔、排钉孔、孔洞，无腐朽，无鼓泡、分层）。含水率、胶合强度、浸渍剥离、静曲强度、弹性模量均符合要求，密度≥0.73g/cm³，握螺钉力板边≥1500N，握螺钉力板面≥1700N，甲醛释放量≤0.05mg/m³，总挥发性有机化合物≤20㎍/m³，防霉菌等级0级或1级。</w:t>
            </w:r>
          </w:p>
          <w:p w14:paraId="3461BBC3">
            <w:pPr>
              <w:keepNext w:val="0"/>
              <w:keepLines w:val="0"/>
              <w:pageBreakBefore w:val="0"/>
              <w:widowControl/>
              <w:numPr>
                <w:ilvl w:val="0"/>
                <w:numId w:val="19"/>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采用优质三聚氰胺浸渍胶膜纸，依据GB 18584-2001《室内装饰装修材料木家具中有害物质限量》；LY/T 1831-2009《人造板饰面专用装饰纸》；GB/T 35601-2017《绿色产品评价 人造板和木质地板》标准；耐热性1级，苯≤5㎍/m³，挥发物含量5%-9%，甲醛释放量≤0.5mg/L。</w:t>
            </w:r>
          </w:p>
          <w:p w14:paraId="51A50CA5">
            <w:pPr>
              <w:keepNext w:val="0"/>
              <w:keepLines w:val="0"/>
              <w:pageBreakBefore w:val="0"/>
              <w:widowControl/>
              <w:numPr>
                <w:ilvl w:val="0"/>
                <w:numId w:val="19"/>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选用优质品牌环保热熔胶，依据GB18583-2008《室内装饰装修材料胶粘剂中有害物质限量》﹔HJ2541-2016《环境标志产品技术要求胶粘剂》标准；游离甲醛≤0.1g/kg，苯≤0.02g/kg，甲苯≤0.02g/kg，二甲苯≤0.02g/kg，总挥发性有机物≤5g/L，游离甲苯二异氰酸酯≤1g/kg。 </w:t>
            </w:r>
          </w:p>
          <w:p w14:paraId="0696E831">
            <w:pPr>
              <w:keepNext w:val="0"/>
              <w:keepLines w:val="0"/>
              <w:pageBreakBefore w:val="0"/>
              <w:widowControl/>
              <w:numPr>
                <w:ilvl w:val="0"/>
                <w:numId w:val="19"/>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采用优质ABS激光封边条，依据QB/T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w:t>
            </w:r>
          </w:p>
          <w:p w14:paraId="22C2C702">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5、采用优质钢架/钢制脚架，依据GB/T 10125-2021《人造气氛腐蚀试验盐雾 试验》；QB/T 3832- 1999《轻工产品金属镀层腐蚀试验结果的评价》；QB/T 4371- 2012《家具抗菌性能的评价》；GB/T 228.1-2021 《金属材料拉伸试验第1部分:室温试验方法》检测标准：乙酸盐雾试验≥220h，镀层本身的耐腐蚀等级≥10级，镀层对基体的保护等级≥10级；抑菌率≥99%；断后伸长率A80mm45%，规定塑性延伸强度Rp0.2 259MPa。 </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B5AB5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DE76B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11BEF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3200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A81B3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3200 </w:t>
            </w:r>
          </w:p>
        </w:tc>
      </w:tr>
      <w:tr w14:paraId="2F8F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0"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3CD45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7D609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会议椅</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08D49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73660</wp:posOffset>
                  </wp:positionH>
                  <wp:positionV relativeFrom="paragraph">
                    <wp:posOffset>-88265</wp:posOffset>
                  </wp:positionV>
                  <wp:extent cx="851535" cy="812800"/>
                  <wp:effectExtent l="0" t="0" r="5715" b="6350"/>
                  <wp:wrapNone/>
                  <wp:docPr id="15" name="图片_4_SpCnt_1"/>
                  <wp:cNvGraphicFramePr/>
                  <a:graphic xmlns:a="http://schemas.openxmlformats.org/drawingml/2006/main">
                    <a:graphicData uri="http://schemas.openxmlformats.org/drawingml/2006/picture">
                      <pic:pic xmlns:pic="http://schemas.openxmlformats.org/drawingml/2006/picture">
                        <pic:nvPicPr>
                          <pic:cNvPr id="15" name="图片_4_SpCnt_1"/>
                          <pic:cNvPicPr/>
                        </pic:nvPicPr>
                        <pic:blipFill>
                          <a:blip r:embed="rId43"/>
                          <a:stretch>
                            <a:fillRect/>
                          </a:stretch>
                        </pic:blipFill>
                        <pic:spPr>
                          <a:xfrm>
                            <a:off x="0" y="0"/>
                            <a:ext cx="851535" cy="812800"/>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52FD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常规</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0C4E0">
            <w:pPr>
              <w:keepNext w:val="0"/>
              <w:keepLines w:val="0"/>
              <w:pageBreakBefore w:val="0"/>
              <w:widowControl/>
              <w:numPr>
                <w:ilvl w:val="0"/>
                <w:numId w:val="20"/>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选用优质网布，依据GB 18401-2010《国家纺织产品基本安全技术规范》；GB/T 31713-2015《抗菌纺织品安全性卫生要求》；GB/T 24346-2009《纺织品 防霉性能的评价》﹔GB  17927.1-2011《软体家具 床垫和沙发抗引燃特性的 评定第1部分:阴燃的香烟》﹔FZ/T 62011.3-2016《布艺类产品 第3部分:家具用纺织品》标准；甲醛含量≤20mg/kg，可分解致癌芳香胺染料未检出，抗菌性能（抑菌率）≥99%，防霉等级0级或1级，沾色-聚酯纤维≥4级。</w:t>
            </w:r>
          </w:p>
          <w:p w14:paraId="68C97199">
            <w:pPr>
              <w:keepNext w:val="0"/>
              <w:keepLines w:val="0"/>
              <w:pageBreakBefore w:val="0"/>
              <w:widowControl/>
              <w:numPr>
                <w:ilvl w:val="0"/>
                <w:numId w:val="20"/>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采用优质阻燃高弹海绵，依据QB/T 2280-2016《办公家具 办公椅》、GB/T 6343-2009《泡沫塑料及橡胶 表观密度的测定》、GB 17927.1-2011《软体家具 床垫和沙发抗引燃特性的 评定第1部分：阴燃的香烟》、HJ 2547-2016《环境标志产品技术要求 家具》、QB/T 4371-2012《家具抗菌性能的评价》标准；长度、宽度极限偏差检测合格，厚度极限偏差检测合格，感官要求至少5项检测，物理力学性能（至少包含回弹率≥50%，拉伸强度≥150KPa，伸长率≥168%，撕裂强度≥4.5N/cm，干热老化后拉伸强度≥145KPa），密度≥50kg/m³，甲醛释放量≤0.03mg/m²h，TVOC≤0.05mg/m²h，抗引燃特性阻燃Ⅰ级，抗菌性能（抑菌率）≥95%。</w:t>
            </w:r>
          </w:p>
          <w:p w14:paraId="3B12C25D">
            <w:pPr>
              <w:keepNext w:val="0"/>
              <w:keepLines w:val="0"/>
              <w:pageBreakBefore w:val="0"/>
              <w:widowControl/>
              <w:numPr>
                <w:ilvl w:val="0"/>
                <w:numId w:val="20"/>
              </w:numPr>
              <w:suppressLineNumbers w:val="0"/>
              <w:kinsoku/>
              <w:wordWrap w:val="0"/>
              <w:overflowPunct/>
              <w:topLinePunct w:val="0"/>
              <w:bidi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采用优质扶手，依据GB 28481-2012《塑料家具中有害物质限量》、GB/T 3325-2017《金属家具通用技术条件》、GB/T 32487-2016《塑料家具通用技术条件》、GB/T 24128-2018《塑料 塑料防霉剂的防霉效果评估》、GB/T 35607-2017《绿色产品评价 家具》标准；邻苯二甲酸酯未检出，重金属（可溶性铅、可溶性镉、可溶性铬、可溶性汞）均≤0.1mg/kg，甲醛释放量≤0.04mg/m³，防霉等级0级或1级。</w:t>
            </w:r>
          </w:p>
          <w:p w14:paraId="3318CCBD">
            <w:pPr>
              <w:keepNext w:val="0"/>
              <w:keepLines w:val="0"/>
              <w:pageBreakBefore w:val="0"/>
              <w:widowControl/>
              <w:numPr>
                <w:ilvl w:val="0"/>
                <w:numId w:val="20"/>
              </w:numPr>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采用优质弓形脚，依据GB/T 10125 -2021《人造气氛腐蚀试验 盐雾试验》；QB/T 3832-1999《轻工产品金属镀层腐蚀试验结果的评价》；检测标准；乙酸盐雾试验≥220h，镀层本身的耐腐蚀等级≥10级，镀层对基体的保护等级≥10级.</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E76CD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1B828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85DA7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360 </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EB49D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6480 </w:t>
            </w:r>
          </w:p>
        </w:tc>
      </w:tr>
      <w:tr w14:paraId="7138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76E48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EB180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成品展示柜</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67D942">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shd w:val="clear" w:fill="FFFFFF"/>
                <w:lang w:val="en-US" w:eastAsia="zh-CN" w:bidi="ar"/>
              </w:rPr>
              <w:drawing>
                <wp:anchor distT="0" distB="0" distL="114300" distR="114300" simplePos="0" relativeHeight="251661312" behindDoc="0" locked="0" layoutInCell="1" allowOverlap="1">
                  <wp:simplePos x="0" y="0"/>
                  <wp:positionH relativeFrom="column">
                    <wp:posOffset>-9525</wp:posOffset>
                  </wp:positionH>
                  <wp:positionV relativeFrom="paragraph">
                    <wp:posOffset>-5080</wp:posOffset>
                  </wp:positionV>
                  <wp:extent cx="1132840" cy="848360"/>
                  <wp:effectExtent l="0" t="0" r="10160" b="8890"/>
                  <wp:wrapNone/>
                  <wp:docPr id="11" name="图片_6_SpCnt_2"/>
                  <wp:cNvGraphicFramePr/>
                  <a:graphic xmlns:a="http://schemas.openxmlformats.org/drawingml/2006/main">
                    <a:graphicData uri="http://schemas.openxmlformats.org/drawingml/2006/picture">
                      <pic:pic xmlns:pic="http://schemas.openxmlformats.org/drawingml/2006/picture">
                        <pic:nvPicPr>
                          <pic:cNvPr id="11" name="图片_6_SpCnt_2"/>
                          <pic:cNvPicPr/>
                        </pic:nvPicPr>
                        <pic:blipFill>
                          <a:blip r:embed="rId44"/>
                          <a:stretch>
                            <a:fillRect/>
                          </a:stretch>
                        </pic:blipFill>
                        <pic:spPr>
                          <a:xfrm>
                            <a:off x="0" y="0"/>
                            <a:ext cx="1132840" cy="848360"/>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E1F7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1600*420*2000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DC406">
            <w:pPr>
              <w:pageBreakBefore w:val="0"/>
              <w:kinsoku/>
              <w:wordWrap w:val="0"/>
              <w:overflowPunct/>
              <w:topLinePunct w:val="0"/>
              <w:bidi w:val="0"/>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1、尺寸：1600*420*2000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2、材料：钢化玻璃柜门，柜体实木多层板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3、封边：PVC封边平整度高防水防潮，耐磨易清洗</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E328D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04401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7C53A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2A518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2100 </w:t>
            </w:r>
          </w:p>
        </w:tc>
      </w:tr>
      <w:tr w14:paraId="04FA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1"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B8106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0C4E1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中式博古架</w:t>
            </w:r>
          </w:p>
        </w:tc>
        <w:tc>
          <w:tcPr>
            <w:tcW w:w="195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417AB1">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-23495</wp:posOffset>
                  </wp:positionH>
                  <wp:positionV relativeFrom="paragraph">
                    <wp:posOffset>69850</wp:posOffset>
                  </wp:positionV>
                  <wp:extent cx="1053465" cy="757555"/>
                  <wp:effectExtent l="0" t="0" r="13335" b="4445"/>
                  <wp:wrapNone/>
                  <wp:docPr id="17" name="图片_9"/>
                  <wp:cNvGraphicFramePr/>
                  <a:graphic xmlns:a="http://schemas.openxmlformats.org/drawingml/2006/main">
                    <a:graphicData uri="http://schemas.openxmlformats.org/drawingml/2006/picture">
                      <pic:pic xmlns:pic="http://schemas.openxmlformats.org/drawingml/2006/picture">
                        <pic:nvPicPr>
                          <pic:cNvPr id="17" name="图片_9"/>
                          <pic:cNvPicPr/>
                        </pic:nvPicPr>
                        <pic:blipFill>
                          <a:blip r:embed="rId45"/>
                          <a:stretch>
                            <a:fillRect/>
                          </a:stretch>
                        </pic:blipFill>
                        <pic:spPr>
                          <a:xfrm>
                            <a:off x="0" y="0"/>
                            <a:ext cx="1053465" cy="757555"/>
                          </a:xfrm>
                          <a:prstGeom prst="rect">
                            <a:avLst/>
                          </a:prstGeom>
                          <a:noFill/>
                          <a:ln>
                            <a:noFill/>
                          </a:ln>
                        </pic:spPr>
                      </pic:pic>
                    </a:graphicData>
                  </a:graphic>
                </wp:anchor>
              </w:drawing>
            </w:r>
          </w:p>
        </w:tc>
        <w:tc>
          <w:tcPr>
            <w:tcW w:w="17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1A17F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980*350*1980</w:t>
            </w:r>
          </w:p>
        </w:tc>
        <w:tc>
          <w:tcPr>
            <w:tcW w:w="56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83538">
            <w:pPr>
              <w:keepNext w:val="0"/>
              <w:keepLines w:val="0"/>
              <w:pageBreakBefore w:val="0"/>
              <w:widowControl/>
              <w:suppressLineNumbers w:val="0"/>
              <w:kinsoku/>
              <w:wordWrap w:val="0"/>
              <w:overflowPunct/>
              <w:topLinePunct w:val="0"/>
              <w:bidi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1、基材：采用优质白蜡木，木材含水率符合国标，木制件外观无贯通裂缝、无虫蛀现象，无腐朽材、无树脂囊，甲醛释放量≤0.05mg/L。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2、油漆：采用优质环保油漆，依据GB 18581-2020《木器涂料中有害物质限量》；GB/T 21866-2008《抗菌涂料（漆膜）抗菌性测定法和抗菌效果》；GB/T 23997-2009《室内装饰装修用溶剂型聚氨酯木器涂料》；HJ/T 414-2007《环境标志产品技术要求 室内装饰装修用溶剂型木器涂料》标准；VOC含量≤5g/L，总铅含量≤2mg/kg，镉含量≤2mg/kg，铬含量≤2mg/kg，汞含量≤2mg/kg，乙二醇醚及醚酯总和含量（限乙二醇甲醚、乙二醇甲醚醋酸酯、乙二醇乙醚、乙二醇乙醚醋酸酯、乙二醇二甲醚、乙二醇二乙醚、二乙二醇二甲醚、三乙二醇二甲醚)≤20mg/kg，苯含量≤0.1%，甲醛含量≤10mg/kg，甲苯与二甲苯（含乙苯）总和含量≤5%，多环芳烃总和含量≤1mg/kg，抗菌性能（抗细菌率）≥99.5%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3、五金配件：采用优质品牌五金配件，无锈蚀，具有足够的承载能力、耐腐蚀能力。</w:t>
            </w:r>
          </w:p>
        </w:tc>
        <w:tc>
          <w:tcPr>
            <w:tcW w:w="6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3C94A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D14A8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C842E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77EE5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3200 </w:t>
            </w:r>
          </w:p>
        </w:tc>
      </w:tr>
      <w:tr w14:paraId="2A15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 w:hRule="atLeast"/>
        </w:trPr>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B8A528">
            <w:pPr>
              <w:keepNext w:val="0"/>
              <w:keepLines w:val="0"/>
              <w:pageBreakBefore w:val="0"/>
              <w:widowControl/>
              <w:suppressLineNumbers w:val="0"/>
              <w:kinsoku/>
              <w:wordWrap w:val="0"/>
              <w:overflowPunct/>
              <w:topLinePunct w:val="0"/>
              <w:bidi w:val="0"/>
              <w:jc w:val="right"/>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12506"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B55C9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BFA20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132183</w:t>
            </w:r>
          </w:p>
        </w:tc>
      </w:tr>
    </w:tbl>
    <w:p w14:paraId="6DBE0388">
      <w:pPr>
        <w:pageBreakBefore w:val="0"/>
        <w:widowControl/>
        <w:kinsoku/>
        <w:wordWrap w:val="0"/>
        <w:overflowPunct/>
        <w:topLinePunct w:val="0"/>
        <w:bidi w:val="0"/>
        <w:spacing w:line="300" w:lineRule="auto"/>
        <w:jc w:val="left"/>
        <w:rPr>
          <w:rFonts w:hint="eastAsia" w:ascii="宋体" w:hAnsi="宋体" w:eastAsia="宋体" w:cs="宋体"/>
          <w:b/>
          <w:bCs/>
          <w:sz w:val="24"/>
          <w:szCs w:val="24"/>
          <w:highlight w:val="none"/>
          <w:lang w:val="en-US" w:eastAsia="zh-CN"/>
        </w:rPr>
      </w:pPr>
    </w:p>
    <w:p w14:paraId="1A71CF48">
      <w:pPr>
        <w:pageBreakBefore w:val="0"/>
        <w:widowControl/>
        <w:kinsoku/>
        <w:wordWrap w:val="0"/>
        <w:overflowPunct/>
        <w:topLinePunct w:val="0"/>
        <w:bidi w:val="0"/>
        <w:spacing w:line="300" w:lineRule="auto"/>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表格2 广告牌制作</w:t>
      </w:r>
    </w:p>
    <w:tbl>
      <w:tblPr>
        <w:tblStyle w:val="63"/>
        <w:tblW w:w="142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3216"/>
        <w:gridCol w:w="2472"/>
        <w:gridCol w:w="1022"/>
        <w:gridCol w:w="929"/>
        <w:gridCol w:w="948"/>
        <w:gridCol w:w="873"/>
        <w:gridCol w:w="873"/>
        <w:gridCol w:w="892"/>
        <w:gridCol w:w="1096"/>
        <w:gridCol w:w="1338"/>
      </w:tblGrid>
      <w:tr w14:paraId="01FE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restart"/>
            <w:tcBorders>
              <w:top w:val="nil"/>
              <w:left w:val="single" w:color="000000" w:sz="4" w:space="0"/>
              <w:bottom w:val="single" w:color="000000" w:sz="4" w:space="0"/>
              <w:right w:val="single" w:color="000000" w:sz="4" w:space="0"/>
            </w:tcBorders>
            <w:shd w:val="clear" w:color="auto" w:fill="auto"/>
            <w:noWrap/>
            <w:vAlign w:val="center"/>
          </w:tcPr>
          <w:p w14:paraId="10F0BFB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BD8C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制作内容 </w:t>
            </w:r>
          </w:p>
        </w:tc>
        <w:tc>
          <w:tcPr>
            <w:tcW w:w="2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6658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制作工艺/材质</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A3B1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规格（m）</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D50E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数量</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DBE9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单位</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F933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数量</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B75A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结算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单位</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0D0D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223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金额</w:t>
            </w:r>
          </w:p>
        </w:tc>
      </w:tr>
      <w:tr w14:paraId="72472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57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DC94E49">
            <w:pPr>
              <w:pageBreakBefore w:val="0"/>
              <w:kinsoku/>
              <w:wordWrap w:val="0"/>
              <w:overflowPunct/>
              <w:topLinePunct w:val="0"/>
              <w:bidi w:val="0"/>
              <w:jc w:val="center"/>
              <w:rPr>
                <w:rFonts w:hint="eastAsia" w:ascii="宋体" w:hAnsi="宋体" w:eastAsia="宋体" w:cs="宋体"/>
                <w:i w:val="0"/>
                <w:iCs w:val="0"/>
                <w:color w:val="000000"/>
                <w:sz w:val="24"/>
                <w:szCs w:val="24"/>
                <w:highlight w:val="none"/>
                <w:u w:val="none"/>
              </w:rPr>
            </w:pPr>
          </w:p>
        </w:tc>
        <w:tc>
          <w:tcPr>
            <w:tcW w:w="3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92669">
            <w:pPr>
              <w:pageBreakBefore w:val="0"/>
              <w:kinsoku/>
              <w:wordWrap w:val="0"/>
              <w:overflowPunct/>
              <w:topLinePunct w:val="0"/>
              <w:bidi w:val="0"/>
              <w:jc w:val="center"/>
              <w:rPr>
                <w:rFonts w:hint="eastAsia" w:ascii="宋体" w:hAnsi="宋体" w:eastAsia="宋体" w:cs="宋体"/>
                <w:i w:val="0"/>
                <w:iCs w:val="0"/>
                <w:color w:val="000000"/>
                <w:sz w:val="24"/>
                <w:szCs w:val="24"/>
                <w:highlight w:val="none"/>
                <w:u w:val="none"/>
              </w:rPr>
            </w:pP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8641F">
            <w:pPr>
              <w:pageBreakBefore w:val="0"/>
              <w:kinsoku/>
              <w:wordWrap w:val="0"/>
              <w:overflowPunct/>
              <w:topLinePunct w:val="0"/>
              <w:bidi w:val="0"/>
              <w:jc w:val="center"/>
              <w:rPr>
                <w:rFonts w:hint="eastAsia" w:ascii="宋体" w:hAnsi="宋体" w:eastAsia="宋体" w:cs="宋体"/>
                <w:i w:val="0"/>
                <w:iCs w:val="0"/>
                <w:color w:val="000000"/>
                <w:sz w:val="24"/>
                <w:szCs w:val="24"/>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2BD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D8F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宽</w:t>
            </w: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8C3D">
            <w:pPr>
              <w:pageBreakBefore w:val="0"/>
              <w:kinsoku/>
              <w:wordWrap w:val="0"/>
              <w:overflowPunct/>
              <w:topLinePunct w:val="0"/>
              <w:bidi w:val="0"/>
              <w:jc w:val="center"/>
              <w:rPr>
                <w:rFonts w:hint="eastAsia" w:ascii="宋体" w:hAnsi="宋体" w:eastAsia="宋体" w:cs="宋体"/>
                <w:i w:val="0"/>
                <w:iCs w:val="0"/>
                <w:color w:val="000000"/>
                <w:sz w:val="24"/>
                <w:szCs w:val="24"/>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E3C7A">
            <w:pPr>
              <w:pageBreakBefore w:val="0"/>
              <w:kinsoku/>
              <w:wordWrap w:val="0"/>
              <w:overflowPunct/>
              <w:topLinePunct w:val="0"/>
              <w:bidi w:val="0"/>
              <w:jc w:val="center"/>
              <w:rPr>
                <w:rFonts w:hint="eastAsia" w:ascii="宋体" w:hAnsi="宋体" w:eastAsia="宋体" w:cs="宋体"/>
                <w:i w:val="0"/>
                <w:iCs w:val="0"/>
                <w:color w:val="000000"/>
                <w:sz w:val="24"/>
                <w:szCs w:val="24"/>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56DF4">
            <w:pPr>
              <w:pageBreakBefore w:val="0"/>
              <w:kinsoku/>
              <w:wordWrap w:val="0"/>
              <w:overflowPunct/>
              <w:topLinePunct w:val="0"/>
              <w:bidi w:val="0"/>
              <w:jc w:val="center"/>
              <w:rPr>
                <w:rFonts w:hint="eastAsia" w:ascii="宋体" w:hAnsi="宋体" w:eastAsia="宋体" w:cs="宋体"/>
                <w:i w:val="0"/>
                <w:iCs w:val="0"/>
                <w:color w:val="000000"/>
                <w:sz w:val="24"/>
                <w:szCs w:val="24"/>
                <w:highlight w:val="none"/>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E1F49">
            <w:pPr>
              <w:pageBreakBefore w:val="0"/>
              <w:kinsoku/>
              <w:wordWrap w:val="0"/>
              <w:overflowPunct/>
              <w:topLinePunct w:val="0"/>
              <w:bidi w:val="0"/>
              <w:jc w:val="center"/>
              <w:rPr>
                <w:rFonts w:hint="eastAsia" w:ascii="宋体" w:hAnsi="宋体" w:eastAsia="宋体" w:cs="宋体"/>
                <w:i w:val="0"/>
                <w:iCs w:val="0"/>
                <w:color w:val="000000"/>
                <w:sz w:val="24"/>
                <w:szCs w:val="24"/>
                <w:highlight w:val="none"/>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5FC37">
            <w:pPr>
              <w:pageBreakBefore w:val="0"/>
              <w:kinsoku/>
              <w:wordWrap w:val="0"/>
              <w:overflowPunct/>
              <w:topLinePunct w:val="0"/>
              <w:bidi w:val="0"/>
              <w:jc w:val="center"/>
              <w:rPr>
                <w:rFonts w:hint="eastAsia" w:ascii="宋体" w:hAnsi="宋体" w:eastAsia="宋体" w:cs="宋体"/>
                <w:i w:val="0"/>
                <w:iCs w:val="0"/>
                <w:color w:val="000000"/>
                <w:sz w:val="24"/>
                <w:szCs w:val="24"/>
                <w:highlight w:val="none"/>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4CF7">
            <w:pPr>
              <w:pageBreakBefore w:val="0"/>
              <w:kinsoku/>
              <w:wordWrap w:val="0"/>
              <w:overflowPunct/>
              <w:topLinePunct w:val="0"/>
              <w:bidi w:val="0"/>
              <w:jc w:val="center"/>
              <w:rPr>
                <w:rFonts w:hint="eastAsia" w:ascii="宋体" w:hAnsi="宋体" w:eastAsia="宋体" w:cs="宋体"/>
                <w:i w:val="0"/>
                <w:iCs w:val="0"/>
                <w:color w:val="000000"/>
                <w:sz w:val="24"/>
                <w:szCs w:val="24"/>
                <w:highlight w:val="none"/>
                <w:u w:val="none"/>
              </w:rPr>
            </w:pPr>
          </w:p>
        </w:tc>
      </w:tr>
      <w:tr w14:paraId="67FA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42E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63F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科室牌</w:t>
            </w:r>
          </w:p>
        </w:tc>
        <w:tc>
          <w:tcPr>
            <w:tcW w:w="2472" w:type="dxa"/>
            <w:tcBorders>
              <w:top w:val="single" w:color="000000" w:sz="4" w:space="0"/>
              <w:left w:val="single" w:color="000000" w:sz="4" w:space="0"/>
              <w:bottom w:val="single" w:color="000000" w:sz="4" w:space="0"/>
              <w:right w:val="nil"/>
            </w:tcBorders>
            <w:shd w:val="clear" w:color="auto" w:fill="auto"/>
            <w:vAlign w:val="center"/>
          </w:tcPr>
          <w:p w14:paraId="4F607F6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亚克力材质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445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0.30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F41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0.13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8B4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591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69C141B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31.00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494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4F9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1E0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1240.00 </w:t>
            </w:r>
          </w:p>
        </w:tc>
      </w:tr>
      <w:tr w14:paraId="093F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F5C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AE4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制度牌</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C4E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亚克力材质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636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0.80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C69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0.60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03C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9F8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13CE253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451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A64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55.40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CCE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1440.40 </w:t>
            </w:r>
          </w:p>
        </w:tc>
      </w:tr>
      <w:tr w14:paraId="6706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1FE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A57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导医台背景</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17C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2cmPVC UV</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ACC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2.60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4F1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2F3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D1B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2DCD735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3.12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63C5">
            <w:pPr>
              <w:keepNext w:val="0"/>
              <w:keepLines w:val="0"/>
              <w:pageBreakBefore w:val="0"/>
              <w:widowControl/>
              <w:suppressLineNumbers w:val="0"/>
              <w:kinsoku/>
              <w:wordWrap w:val="0"/>
              <w:overflowPunct/>
              <w:topLinePunct w:val="0"/>
              <w:bidi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2E6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4A4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873.60 </w:t>
            </w:r>
          </w:p>
        </w:tc>
      </w:tr>
      <w:tr w14:paraId="7DC2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797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044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候诊区背景</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FD8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2cmPVC UV</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B25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94C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3E3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159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13C02A5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3.60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045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BD5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59E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1008.00 </w:t>
            </w:r>
          </w:p>
        </w:tc>
      </w:tr>
      <w:tr w14:paraId="7F9B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D4C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C78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大厅展板</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E7D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铝型材边框/1cmpvcUV</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A93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1.60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990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0.80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301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E08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6AA5C46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5A0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C89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7A8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640.00 </w:t>
            </w:r>
          </w:p>
        </w:tc>
      </w:tr>
      <w:tr w14:paraId="1A81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CE7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120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中医馆（大医精诚）</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8AC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2cmPVC UV</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BB2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3.50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A2F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DF5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F00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5730A79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6.30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7A6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065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10D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1764.00 </w:t>
            </w:r>
          </w:p>
        </w:tc>
      </w:tr>
      <w:tr w14:paraId="7D26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02E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155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中医馆（中医文化）</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C21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2cmPVC UV</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D8B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F03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09A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49A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20FA23E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5.40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BA4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72D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5D2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1512.00 </w:t>
            </w:r>
          </w:p>
        </w:tc>
      </w:tr>
      <w:tr w14:paraId="6527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F53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F09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中医馆（望闻问切）</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01E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2cmPVC UV</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D9E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4.00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3FC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887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A52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6BA8D44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7.20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288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E65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A11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2016.00 </w:t>
            </w:r>
          </w:p>
        </w:tc>
      </w:tr>
      <w:tr w14:paraId="4AB49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905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A34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公示栏</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13D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2cmPVC UV</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9FF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3.00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AE6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278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435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432C929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4.20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731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2E3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04B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1176.00 </w:t>
            </w:r>
          </w:p>
        </w:tc>
      </w:tr>
      <w:tr w14:paraId="5AF7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0BA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6BB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宣传栏</w:t>
            </w:r>
          </w:p>
        </w:tc>
        <w:tc>
          <w:tcPr>
            <w:tcW w:w="2472" w:type="dxa"/>
            <w:tcBorders>
              <w:top w:val="single" w:color="000000" w:sz="4" w:space="0"/>
              <w:left w:val="single" w:color="000000" w:sz="4" w:space="0"/>
              <w:bottom w:val="single" w:color="000000" w:sz="4" w:space="0"/>
              <w:right w:val="nil"/>
            </w:tcBorders>
            <w:shd w:val="clear" w:color="auto" w:fill="auto"/>
            <w:vAlign w:val="center"/>
          </w:tcPr>
          <w:p w14:paraId="0E93030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钢架、液压前开启门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F71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FCA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2.50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B26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534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2A3AD74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067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B1E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1400.00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ACE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3920.00 </w:t>
            </w:r>
          </w:p>
        </w:tc>
      </w:tr>
      <w:tr w14:paraId="7194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4E1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209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挂号/收费/药房悬挂指示牌</w:t>
            </w:r>
          </w:p>
        </w:tc>
        <w:tc>
          <w:tcPr>
            <w:tcW w:w="2472" w:type="dxa"/>
            <w:tcBorders>
              <w:top w:val="single" w:color="000000" w:sz="4" w:space="0"/>
              <w:left w:val="single" w:color="000000" w:sz="4" w:space="0"/>
              <w:bottom w:val="single" w:color="000000" w:sz="4" w:space="0"/>
              <w:right w:val="nil"/>
            </w:tcBorders>
            <w:shd w:val="clear" w:color="auto" w:fill="auto"/>
            <w:vAlign w:val="center"/>
          </w:tcPr>
          <w:p w14:paraId="195495E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镀锌板烤漆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ABB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25F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0.60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809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55C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228C7096">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47A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8C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1200.00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DCF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2400.00 </w:t>
            </w:r>
          </w:p>
        </w:tc>
      </w:tr>
      <w:tr w14:paraId="64CB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88D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42C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入口招牌</w:t>
            </w:r>
          </w:p>
        </w:tc>
        <w:tc>
          <w:tcPr>
            <w:tcW w:w="2472" w:type="dxa"/>
            <w:tcBorders>
              <w:top w:val="single" w:color="000000" w:sz="4" w:space="0"/>
              <w:left w:val="single" w:color="000000" w:sz="4" w:space="0"/>
              <w:bottom w:val="single" w:color="000000" w:sz="4" w:space="0"/>
              <w:right w:val="nil"/>
            </w:tcBorders>
            <w:shd w:val="clear" w:color="auto" w:fill="auto"/>
            <w:vAlign w:val="center"/>
          </w:tcPr>
          <w:p w14:paraId="549831A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钢结构+84彩钢扣板板 </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FEB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9.00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B0E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4.00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39E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712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3085917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36.00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612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E36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826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6480.00 </w:t>
            </w:r>
          </w:p>
        </w:tc>
      </w:tr>
      <w:tr w14:paraId="31A1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412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B8F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建德市乾潭镇安仁卫生服务站</w:t>
            </w:r>
          </w:p>
        </w:tc>
        <w:tc>
          <w:tcPr>
            <w:tcW w:w="2472" w:type="dxa"/>
            <w:tcBorders>
              <w:top w:val="single" w:color="000000" w:sz="4" w:space="0"/>
              <w:left w:val="single" w:color="000000" w:sz="4" w:space="0"/>
              <w:bottom w:val="single" w:color="000000" w:sz="4" w:space="0"/>
              <w:right w:val="nil"/>
            </w:tcBorders>
            <w:shd w:val="clear" w:color="auto" w:fill="auto"/>
            <w:vAlign w:val="center"/>
          </w:tcPr>
          <w:p w14:paraId="0C6AFF9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金属字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FE8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0.45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FF4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0.45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55D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152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2045B0B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5.85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FE2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BAC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CE6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1872.00 </w:t>
            </w:r>
          </w:p>
        </w:tc>
      </w:tr>
      <w:tr w14:paraId="6FFA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33C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E4D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logo</w:t>
            </w:r>
          </w:p>
        </w:tc>
        <w:tc>
          <w:tcPr>
            <w:tcW w:w="2472" w:type="dxa"/>
            <w:tcBorders>
              <w:top w:val="single" w:color="000000" w:sz="4" w:space="0"/>
              <w:left w:val="single" w:color="000000" w:sz="4" w:space="0"/>
              <w:bottom w:val="single" w:color="000000" w:sz="4" w:space="0"/>
              <w:right w:val="nil"/>
            </w:tcBorders>
            <w:shd w:val="clear" w:color="auto" w:fill="auto"/>
            <w:vAlign w:val="center"/>
          </w:tcPr>
          <w:p w14:paraId="0C33051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金属字</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5B9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0.90 </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28D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0.90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23F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1.00 </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FDC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73" w:type="dxa"/>
            <w:tcBorders>
              <w:top w:val="single" w:color="000000" w:sz="4" w:space="0"/>
              <w:left w:val="single" w:color="000000" w:sz="4" w:space="0"/>
              <w:bottom w:val="single" w:color="000000" w:sz="4" w:space="0"/>
              <w:right w:val="nil"/>
            </w:tcBorders>
            <w:shd w:val="clear" w:color="auto" w:fill="auto"/>
            <w:vAlign w:val="center"/>
          </w:tcPr>
          <w:p w14:paraId="7F1CCA8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0.90 </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885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870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320.00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CBB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288.00 </w:t>
            </w:r>
          </w:p>
        </w:tc>
      </w:tr>
      <w:tr w14:paraId="22E2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1289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CB0A">
            <w:pPr>
              <w:pageBreakBefore w:val="0"/>
              <w:kinsoku/>
              <w:wordWrap w:val="0"/>
              <w:overflowPunct/>
              <w:topLinePunct w:val="0"/>
              <w:bidi w:val="0"/>
              <w:jc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C05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26630.00</w:t>
            </w:r>
          </w:p>
        </w:tc>
      </w:tr>
    </w:tbl>
    <w:p w14:paraId="4FFFE220">
      <w:pPr>
        <w:pageBreakBefore w:val="0"/>
        <w:widowControl/>
        <w:kinsoku/>
        <w:wordWrap w:val="0"/>
        <w:overflowPunct/>
        <w:topLinePunct w:val="0"/>
        <w:bidi w:val="0"/>
        <w:spacing w:line="300" w:lineRule="auto"/>
        <w:jc w:val="left"/>
        <w:rPr>
          <w:rFonts w:hint="eastAsia" w:ascii="宋体" w:hAnsi="宋体" w:eastAsia="宋体" w:cs="宋体"/>
          <w:b/>
          <w:bCs/>
          <w:sz w:val="24"/>
          <w:szCs w:val="24"/>
          <w:highlight w:val="none"/>
          <w:lang w:val="en-US" w:eastAsia="zh-CN"/>
        </w:rPr>
      </w:pPr>
    </w:p>
    <w:p w14:paraId="571B3816">
      <w:pPr>
        <w:pStyle w:val="3"/>
        <w:pageBreakBefore w:val="0"/>
        <w:tabs>
          <w:tab w:val="left" w:pos="720"/>
          <w:tab w:val="clear" w:pos="432"/>
        </w:tabs>
        <w:kinsoku/>
        <w:wordWrap w:val="0"/>
        <w:overflowPunct/>
        <w:topLinePunct w:val="0"/>
        <w:bidi w:val="0"/>
        <w:spacing w:line="24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表格3 家电清单</w:t>
      </w:r>
    </w:p>
    <w:tbl>
      <w:tblPr>
        <w:tblStyle w:val="63"/>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1347"/>
        <w:gridCol w:w="1857"/>
        <w:gridCol w:w="5865"/>
        <w:gridCol w:w="910"/>
        <w:gridCol w:w="928"/>
        <w:gridCol w:w="1311"/>
        <w:gridCol w:w="1298"/>
      </w:tblGrid>
      <w:tr w14:paraId="7A3A1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40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56ADB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家电</w:t>
            </w:r>
          </w:p>
        </w:tc>
      </w:tr>
      <w:tr w14:paraId="6A73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488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E80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94E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推荐品牌</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C2D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7DE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A14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F01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8AB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总价</w:t>
            </w:r>
          </w:p>
        </w:tc>
      </w:tr>
      <w:tr w14:paraId="0DAB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E2F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315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台式电脑含显示器</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B12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highlight w:val="none"/>
                <w:lang w:val="en-US" w:eastAsia="zh-CN"/>
              </w:rPr>
              <w:t>中科可控、紫光、浪潮</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18E8">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i w:val="0"/>
                <w:iCs w:val="0"/>
                <w:color w:val="000000"/>
                <w:kern w:val="0"/>
                <w:sz w:val="24"/>
                <w:szCs w:val="24"/>
                <w:highlight w:val="none"/>
                <w:u w:val="none"/>
                <w:lang w:val="en-US" w:eastAsia="zh-CN" w:bidi="ar"/>
              </w:rPr>
              <w:t>国产芯片≧8核8线程/主频≧2.7G/内存≧</w:t>
            </w:r>
            <w:r>
              <w:rPr>
                <w:rStyle w:val="270"/>
                <w:rFonts w:hint="eastAsia" w:ascii="宋体" w:hAnsi="宋体" w:eastAsia="宋体" w:cs="宋体"/>
                <w:sz w:val="24"/>
                <w:szCs w:val="24"/>
                <w:highlight w:val="none"/>
                <w:lang w:val="en-US" w:eastAsia="zh-CN" w:bidi="ar"/>
              </w:rPr>
              <w:t>8G/显存≧2G/固态硬盘≧512G/兼容WINDOWS/统信UOS/麒麟操作系统/显示尺寸</w:t>
            </w:r>
            <w:r>
              <w:rPr>
                <w:rFonts w:hint="eastAsia" w:ascii="宋体" w:hAnsi="宋体" w:eastAsia="宋体" w:cs="宋体"/>
                <w:i w:val="0"/>
                <w:iCs w:val="0"/>
                <w:color w:val="000000"/>
                <w:kern w:val="0"/>
                <w:sz w:val="24"/>
                <w:szCs w:val="24"/>
                <w:highlight w:val="none"/>
                <w:u w:val="none"/>
                <w:lang w:val="en-US" w:eastAsia="zh-CN" w:bidi="ar"/>
              </w:rPr>
              <w:t>≧</w:t>
            </w:r>
            <w:r>
              <w:rPr>
                <w:rStyle w:val="270"/>
                <w:rFonts w:hint="eastAsia" w:ascii="宋体" w:hAnsi="宋体" w:eastAsia="宋体" w:cs="宋体"/>
                <w:sz w:val="24"/>
                <w:szCs w:val="24"/>
                <w:highlight w:val="none"/>
                <w:lang w:val="en-US" w:eastAsia="zh-CN" w:bidi="ar"/>
              </w:rPr>
              <w:t>21.5英寸/面板类型VA技术/分辨率</w:t>
            </w:r>
            <w:r>
              <w:rPr>
                <w:rFonts w:hint="eastAsia" w:ascii="宋体" w:hAnsi="宋体" w:eastAsia="宋体" w:cs="宋体"/>
                <w:i w:val="0"/>
                <w:iCs w:val="0"/>
                <w:color w:val="000000"/>
                <w:kern w:val="0"/>
                <w:sz w:val="24"/>
                <w:szCs w:val="24"/>
                <w:highlight w:val="none"/>
                <w:u w:val="none"/>
                <w:lang w:val="en-US" w:eastAsia="zh-CN" w:bidi="ar"/>
              </w:rPr>
              <w:t>≧</w:t>
            </w:r>
            <w:r>
              <w:rPr>
                <w:rStyle w:val="270"/>
                <w:rFonts w:hint="eastAsia" w:ascii="宋体" w:hAnsi="宋体" w:eastAsia="宋体" w:cs="宋体"/>
                <w:sz w:val="24"/>
                <w:szCs w:val="24"/>
                <w:highlight w:val="none"/>
                <w:lang w:val="en-US" w:eastAsia="zh-CN" w:bidi="ar"/>
              </w:rPr>
              <w:t>1920*1080/刷新率（Max）100HZ(HDMI)/亮度250nits/静态对比度3000:1/可视角度178°178°/背光LED/接口类型VGA +HDMI/电源/功耗12V-2A，通过中国节能认证，提供认证证书。</w:t>
            </w:r>
          </w:p>
          <w:p w14:paraId="0A9EC00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EF9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70A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4FE1">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3800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AEE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22800 </w:t>
            </w:r>
          </w:p>
        </w:tc>
      </w:tr>
      <w:tr w14:paraId="5AD0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6F9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899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黑白激光打印机</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90D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联想、得力、奔图</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BD98">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打印速度</w:t>
            </w:r>
            <w:r>
              <w:rPr>
                <w:rFonts w:hint="eastAsia" w:ascii="宋体" w:hAnsi="宋体" w:eastAsia="宋体" w:cs="宋体"/>
                <w:highlight w:val="none"/>
              </w:rPr>
              <w:tab/>
            </w:r>
            <w:r>
              <w:rPr>
                <w:rStyle w:val="270"/>
                <w:rFonts w:hint="eastAsia" w:ascii="宋体" w:hAnsi="宋体" w:eastAsia="宋体" w:cs="宋体"/>
                <w:sz w:val="24"/>
                <w:szCs w:val="24"/>
                <w:highlight w:val="none"/>
                <w:lang w:val="en-US" w:eastAsia="zh-CN" w:bidi="ar"/>
              </w:rPr>
              <w:t>≧</w:t>
            </w:r>
            <w:r>
              <w:rPr>
                <w:rFonts w:hint="eastAsia" w:ascii="宋体" w:hAnsi="宋体" w:eastAsia="宋体" w:cs="宋体"/>
                <w:highlight w:val="none"/>
              </w:rPr>
              <w:t>33ppm(A4) ；</w:t>
            </w:r>
            <w:r>
              <w:rPr>
                <w:rStyle w:val="270"/>
                <w:rFonts w:hint="eastAsia" w:ascii="宋体" w:hAnsi="宋体" w:eastAsia="宋体" w:cs="宋体"/>
                <w:sz w:val="24"/>
                <w:szCs w:val="24"/>
                <w:highlight w:val="none"/>
                <w:lang w:val="en-US" w:eastAsia="zh-CN" w:bidi="ar"/>
              </w:rPr>
              <w:t>≧</w:t>
            </w:r>
            <w:r>
              <w:rPr>
                <w:rFonts w:hint="eastAsia" w:ascii="宋体" w:hAnsi="宋体" w:eastAsia="宋体" w:cs="宋体"/>
                <w:highlight w:val="none"/>
              </w:rPr>
              <w:t>35ppm(Letter)</w:t>
            </w:r>
          </w:p>
          <w:p w14:paraId="4BFA0651">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首页输出时间</w:t>
            </w:r>
            <w:r>
              <w:rPr>
                <w:rFonts w:hint="eastAsia" w:ascii="宋体" w:hAnsi="宋体" w:eastAsia="宋体" w:cs="宋体"/>
                <w:highlight w:val="none"/>
              </w:rPr>
              <w:tab/>
            </w:r>
            <w:r>
              <w:rPr>
                <w:rFonts w:hint="eastAsia" w:ascii="宋体" w:hAnsi="宋体" w:eastAsia="宋体" w:cs="宋体"/>
                <w:highlight w:val="none"/>
              </w:rPr>
              <w:t>≤7.8秒</w:t>
            </w:r>
          </w:p>
          <w:p w14:paraId="25EB7F85">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最大月打印量</w:t>
            </w:r>
            <w:r>
              <w:rPr>
                <w:rFonts w:hint="eastAsia" w:ascii="宋体" w:hAnsi="宋体" w:eastAsia="宋体" w:cs="宋体"/>
                <w:highlight w:val="none"/>
              </w:rPr>
              <w:tab/>
            </w:r>
            <w:r>
              <w:rPr>
                <w:rStyle w:val="270"/>
                <w:rFonts w:hint="eastAsia" w:ascii="宋体" w:hAnsi="宋体" w:eastAsia="宋体" w:cs="宋体"/>
                <w:sz w:val="24"/>
                <w:szCs w:val="24"/>
                <w:highlight w:val="none"/>
                <w:lang w:val="en-US" w:eastAsia="zh-CN" w:bidi="ar"/>
              </w:rPr>
              <w:t>≧</w:t>
            </w:r>
            <w:r>
              <w:rPr>
                <w:rFonts w:hint="eastAsia" w:ascii="宋体" w:hAnsi="宋体" w:eastAsia="宋体" w:cs="宋体"/>
                <w:highlight w:val="none"/>
              </w:rPr>
              <w:t>25000页</w:t>
            </w:r>
          </w:p>
          <w:p w14:paraId="4B81EACB">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打印语言</w:t>
            </w:r>
            <w:r>
              <w:rPr>
                <w:rFonts w:hint="eastAsia" w:ascii="宋体" w:hAnsi="宋体" w:eastAsia="宋体" w:cs="宋体"/>
                <w:highlight w:val="none"/>
              </w:rPr>
              <w:tab/>
            </w:r>
            <w:r>
              <w:rPr>
                <w:rFonts w:hint="eastAsia" w:ascii="宋体" w:hAnsi="宋体" w:eastAsia="宋体" w:cs="宋体"/>
                <w:highlight w:val="none"/>
              </w:rPr>
              <w:t>GDI</w:t>
            </w:r>
          </w:p>
          <w:p w14:paraId="0E85A87F">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CPU</w:t>
            </w:r>
            <w:r>
              <w:rPr>
                <w:rFonts w:hint="eastAsia" w:ascii="宋体" w:hAnsi="宋体" w:eastAsia="宋体" w:cs="宋体"/>
                <w:highlight w:val="none"/>
              </w:rPr>
              <w:tab/>
            </w:r>
            <w:r>
              <w:rPr>
                <w:rFonts w:hint="eastAsia" w:ascii="宋体" w:hAnsi="宋体" w:eastAsia="宋体" w:cs="宋体"/>
                <w:highlight w:val="none"/>
              </w:rPr>
              <w:t>500MHz</w:t>
            </w:r>
          </w:p>
          <w:p w14:paraId="4B458CD1">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内存</w:t>
            </w:r>
            <w:r>
              <w:rPr>
                <w:rFonts w:hint="eastAsia" w:ascii="宋体" w:hAnsi="宋体" w:eastAsia="宋体" w:cs="宋体"/>
                <w:highlight w:val="none"/>
              </w:rPr>
              <w:tab/>
            </w:r>
            <w:r>
              <w:rPr>
                <w:rFonts w:hint="eastAsia" w:ascii="宋体" w:hAnsi="宋体" w:eastAsia="宋体" w:cs="宋体"/>
                <w:highlight w:val="none"/>
              </w:rPr>
              <w:t>32MB</w:t>
            </w:r>
          </w:p>
          <w:p w14:paraId="253EAADF">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双面打印</w:t>
            </w:r>
            <w:r>
              <w:rPr>
                <w:rFonts w:hint="eastAsia" w:ascii="宋体" w:hAnsi="宋体" w:eastAsia="宋体" w:cs="宋体"/>
                <w:highlight w:val="none"/>
              </w:rPr>
              <w:tab/>
            </w:r>
            <w:r>
              <w:rPr>
                <w:rFonts w:hint="eastAsia" w:ascii="宋体" w:hAnsi="宋体" w:eastAsia="宋体" w:cs="宋体"/>
                <w:highlight w:val="none"/>
              </w:rPr>
              <w:t>自动双面</w:t>
            </w:r>
          </w:p>
          <w:p w14:paraId="2BBC5834">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显示屏</w:t>
            </w:r>
            <w:r>
              <w:rPr>
                <w:rFonts w:hint="eastAsia" w:ascii="宋体" w:hAnsi="宋体" w:eastAsia="宋体" w:cs="宋体"/>
                <w:highlight w:val="none"/>
              </w:rPr>
              <w:tab/>
            </w:r>
            <w:r>
              <w:rPr>
                <w:rFonts w:hint="eastAsia" w:ascii="宋体" w:hAnsi="宋体" w:eastAsia="宋体" w:cs="宋体"/>
                <w:highlight w:val="none"/>
              </w:rPr>
              <w:t>LED</w:t>
            </w:r>
          </w:p>
          <w:p w14:paraId="0D0A7E6C">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纸张处理</w:t>
            </w:r>
          </w:p>
          <w:p w14:paraId="68E7AE35">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纸张输入容量</w:t>
            </w:r>
            <w:r>
              <w:rPr>
                <w:rFonts w:hint="eastAsia" w:ascii="宋体" w:hAnsi="宋体" w:eastAsia="宋体" w:cs="宋体"/>
                <w:highlight w:val="none"/>
              </w:rPr>
              <w:tab/>
            </w:r>
            <w:r>
              <w:rPr>
                <w:rFonts w:hint="eastAsia" w:ascii="宋体" w:hAnsi="宋体" w:eastAsia="宋体" w:cs="宋体"/>
                <w:highlight w:val="none"/>
              </w:rPr>
              <w:t>自动纸盒：</w:t>
            </w:r>
            <w:r>
              <w:rPr>
                <w:rStyle w:val="270"/>
                <w:rFonts w:hint="eastAsia" w:ascii="宋体" w:hAnsi="宋体" w:eastAsia="宋体" w:cs="宋体"/>
                <w:sz w:val="24"/>
                <w:szCs w:val="24"/>
                <w:highlight w:val="none"/>
                <w:lang w:val="en-US" w:eastAsia="zh-CN" w:bidi="ar"/>
              </w:rPr>
              <w:t>≧</w:t>
            </w:r>
            <w:r>
              <w:rPr>
                <w:rFonts w:hint="eastAsia" w:ascii="宋体" w:hAnsi="宋体" w:eastAsia="宋体" w:cs="宋体"/>
                <w:highlight w:val="none"/>
              </w:rPr>
              <w:t>250页 ；手动进纸器：1页</w:t>
            </w:r>
          </w:p>
          <w:p w14:paraId="032F3DF6">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纸张输出容量</w:t>
            </w:r>
            <w:r>
              <w:rPr>
                <w:rFonts w:hint="eastAsia" w:ascii="宋体" w:hAnsi="宋体" w:eastAsia="宋体" w:cs="宋体"/>
                <w:highlight w:val="none"/>
              </w:rPr>
              <w:tab/>
            </w:r>
            <w:r>
              <w:rPr>
                <w:rStyle w:val="270"/>
                <w:rFonts w:hint="eastAsia" w:ascii="宋体" w:hAnsi="宋体" w:eastAsia="宋体" w:cs="宋体"/>
                <w:sz w:val="24"/>
                <w:szCs w:val="24"/>
                <w:highlight w:val="none"/>
                <w:lang w:val="en-US" w:eastAsia="zh-CN" w:bidi="ar"/>
              </w:rPr>
              <w:t>≧</w:t>
            </w:r>
            <w:r>
              <w:rPr>
                <w:rFonts w:hint="eastAsia" w:ascii="宋体" w:hAnsi="宋体" w:eastAsia="宋体" w:cs="宋体"/>
                <w:highlight w:val="none"/>
              </w:rPr>
              <w:t>120页</w:t>
            </w:r>
          </w:p>
          <w:p w14:paraId="7FEE8A03">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打印环境</w:t>
            </w:r>
            <w:r>
              <w:rPr>
                <w:rFonts w:hint="eastAsia" w:ascii="宋体" w:hAnsi="宋体" w:eastAsia="宋体" w:cs="宋体"/>
                <w:highlight w:val="none"/>
              </w:rPr>
              <w:tab/>
            </w:r>
            <w:r>
              <w:rPr>
                <w:rFonts w:hint="eastAsia" w:ascii="宋体" w:hAnsi="宋体" w:eastAsia="宋体" w:cs="宋体"/>
                <w:highlight w:val="none"/>
              </w:rPr>
              <w:t>最佳打印温度范围:10～32℃ ；相对湿度：20% ～ 80%</w:t>
            </w:r>
          </w:p>
          <w:p w14:paraId="185A04C0">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电源电压</w:t>
            </w:r>
            <w:r>
              <w:rPr>
                <w:rFonts w:hint="eastAsia" w:ascii="宋体" w:hAnsi="宋体" w:eastAsia="宋体" w:cs="宋体"/>
                <w:highlight w:val="none"/>
              </w:rPr>
              <w:tab/>
            </w:r>
            <w:r>
              <w:rPr>
                <w:rFonts w:hint="eastAsia" w:ascii="宋体" w:hAnsi="宋体" w:eastAsia="宋体" w:cs="宋体"/>
                <w:highlight w:val="none"/>
              </w:rPr>
              <w:t>220V： AC220-240V, 50/60Hz，4.5A</w:t>
            </w:r>
          </w:p>
          <w:p w14:paraId="3CC4C0C8">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噪音</w:t>
            </w:r>
            <w:r>
              <w:rPr>
                <w:rFonts w:hint="eastAsia" w:ascii="宋体" w:hAnsi="宋体" w:eastAsia="宋体" w:cs="宋体"/>
                <w:highlight w:val="none"/>
              </w:rPr>
              <w:tab/>
            </w:r>
            <w:r>
              <w:rPr>
                <w:rFonts w:hint="eastAsia" w:ascii="宋体" w:hAnsi="宋体" w:eastAsia="宋体" w:cs="宋体"/>
                <w:highlight w:val="none"/>
              </w:rPr>
              <w:t>打印：52dB(A)； 待机：30dB(A)</w:t>
            </w:r>
          </w:p>
          <w:p w14:paraId="6C73C249">
            <w:pPr>
              <w:pStyle w:val="20"/>
              <w:pageBreakBefore w:val="0"/>
              <w:kinsoku/>
              <w:wordWrap w:val="0"/>
              <w:overflowPunct/>
              <w:topLinePunct w:val="0"/>
              <w:bidi w:val="0"/>
              <w:rPr>
                <w:rFonts w:hint="eastAsia" w:ascii="宋体" w:hAnsi="宋体" w:eastAsia="宋体" w:cs="宋体"/>
                <w:i w:val="0"/>
                <w:iCs w:val="0"/>
                <w:color w:val="000000"/>
                <w:sz w:val="24"/>
                <w:szCs w:val="24"/>
                <w:highlight w:val="none"/>
                <w:u w:val="none"/>
              </w:rPr>
            </w:pPr>
            <w:r>
              <w:rPr>
                <w:rFonts w:hint="eastAsia" w:ascii="宋体" w:hAnsi="宋体" w:eastAsia="宋体" w:cs="宋体"/>
                <w:highlight w:val="none"/>
              </w:rPr>
              <w:t>功耗</w:t>
            </w:r>
            <w:r>
              <w:rPr>
                <w:rFonts w:hint="eastAsia" w:ascii="宋体" w:hAnsi="宋体" w:eastAsia="宋体" w:cs="宋体"/>
                <w:highlight w:val="none"/>
              </w:rPr>
              <w:tab/>
            </w:r>
            <w:r>
              <w:rPr>
                <w:rFonts w:hint="eastAsia" w:ascii="宋体" w:hAnsi="宋体" w:eastAsia="宋体" w:cs="宋体"/>
                <w:highlight w:val="none"/>
              </w:rPr>
              <w:t>打印: 平均525W； 就绪: 50W； 休眠：小于2 W</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202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DDB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872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980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ED1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5880 </w:t>
            </w:r>
          </w:p>
        </w:tc>
      </w:tr>
      <w:tr w14:paraId="00DE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3A45">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65F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复印机</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EED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联想、得力、奔图</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1D5A">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打印速度</w:t>
            </w:r>
            <w:r>
              <w:rPr>
                <w:rFonts w:hint="eastAsia" w:ascii="宋体" w:hAnsi="宋体" w:eastAsia="宋体" w:cs="宋体"/>
                <w:highlight w:val="none"/>
              </w:rPr>
              <w:tab/>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highlight w:val="none"/>
              </w:rPr>
              <w:t>18ppm(A4) ；</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highlight w:val="none"/>
              </w:rPr>
              <w:t>19ppm(LTR)</w:t>
            </w:r>
          </w:p>
          <w:p w14:paraId="5E9341C5">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打印语言</w:t>
            </w:r>
            <w:r>
              <w:rPr>
                <w:rFonts w:hint="eastAsia" w:ascii="宋体" w:hAnsi="宋体" w:eastAsia="宋体" w:cs="宋体"/>
                <w:highlight w:val="none"/>
              </w:rPr>
              <w:tab/>
            </w:r>
            <w:r>
              <w:rPr>
                <w:rFonts w:hint="eastAsia" w:ascii="宋体" w:hAnsi="宋体" w:eastAsia="宋体" w:cs="宋体"/>
                <w:highlight w:val="none"/>
              </w:rPr>
              <w:t>PCL6/PS3</w:t>
            </w:r>
          </w:p>
          <w:p w14:paraId="4A293294">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双面打印</w:t>
            </w:r>
            <w:r>
              <w:rPr>
                <w:rFonts w:hint="eastAsia" w:ascii="宋体" w:hAnsi="宋体" w:eastAsia="宋体" w:cs="宋体"/>
                <w:highlight w:val="none"/>
              </w:rPr>
              <w:tab/>
            </w:r>
            <w:r>
              <w:rPr>
                <w:rFonts w:hint="eastAsia" w:ascii="宋体" w:hAnsi="宋体" w:eastAsia="宋体" w:cs="宋体"/>
                <w:highlight w:val="none"/>
              </w:rPr>
              <w:t>支持</w:t>
            </w:r>
          </w:p>
          <w:p w14:paraId="2FA05E13">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纸张处理</w:t>
            </w:r>
          </w:p>
          <w:p w14:paraId="1C40534F">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纸张输入容量</w:t>
            </w:r>
            <w:r>
              <w:rPr>
                <w:rFonts w:hint="eastAsia" w:ascii="宋体" w:hAnsi="宋体" w:eastAsia="宋体" w:cs="宋体"/>
                <w:highlight w:val="none"/>
              </w:rPr>
              <w:tab/>
            </w:r>
            <w:r>
              <w:rPr>
                <w:rFonts w:hint="eastAsia" w:ascii="宋体" w:hAnsi="宋体" w:eastAsia="宋体" w:cs="宋体"/>
                <w:highlight w:val="none"/>
              </w:rPr>
              <w:t>标配纸盒：</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highlight w:val="none"/>
              </w:rPr>
              <w:t>250页 ；手动进纸盒：1页</w:t>
            </w:r>
          </w:p>
          <w:p w14:paraId="0C267974">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纸张输出容量</w:t>
            </w:r>
            <w:r>
              <w:rPr>
                <w:rFonts w:hint="eastAsia" w:ascii="宋体" w:hAnsi="宋体" w:eastAsia="宋体" w:cs="宋体"/>
                <w:highlight w:val="none"/>
              </w:rPr>
              <w:tab/>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highlight w:val="none"/>
              </w:rPr>
              <w:t>100页</w:t>
            </w:r>
          </w:p>
          <w:p w14:paraId="66818A6F">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打印环境</w:t>
            </w:r>
            <w:r>
              <w:rPr>
                <w:rFonts w:hint="eastAsia" w:ascii="宋体" w:hAnsi="宋体" w:eastAsia="宋体" w:cs="宋体"/>
                <w:highlight w:val="none"/>
              </w:rPr>
              <w:tab/>
            </w:r>
            <w:r>
              <w:rPr>
                <w:rFonts w:hint="eastAsia" w:ascii="宋体" w:hAnsi="宋体" w:eastAsia="宋体" w:cs="宋体"/>
                <w:highlight w:val="none"/>
              </w:rPr>
              <w:t>温度：10-32℃ ；湿度：20% ～ 80%RH ；海拔≤2000m</w:t>
            </w:r>
          </w:p>
          <w:p w14:paraId="36227DE6">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电源电压</w:t>
            </w:r>
            <w:r>
              <w:rPr>
                <w:rFonts w:hint="eastAsia" w:ascii="宋体" w:hAnsi="宋体" w:eastAsia="宋体" w:cs="宋体"/>
                <w:highlight w:val="none"/>
              </w:rPr>
              <w:tab/>
            </w:r>
            <w:r>
              <w:rPr>
                <w:rFonts w:hint="eastAsia" w:ascii="宋体" w:hAnsi="宋体" w:eastAsia="宋体" w:cs="宋体"/>
                <w:highlight w:val="none"/>
              </w:rPr>
              <w:t>AC 220-240V，50Hz/60Hz，3.5A</w:t>
            </w:r>
          </w:p>
          <w:p w14:paraId="3593BD7F">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操作系统</w:t>
            </w:r>
            <w:r>
              <w:rPr>
                <w:rFonts w:hint="eastAsia" w:ascii="宋体" w:hAnsi="宋体" w:eastAsia="宋体" w:cs="宋体"/>
                <w:highlight w:val="none"/>
              </w:rPr>
              <w:tab/>
            </w:r>
            <w:r>
              <w:rPr>
                <w:rFonts w:hint="eastAsia" w:ascii="宋体" w:hAnsi="宋体" w:eastAsia="宋体" w:cs="宋体"/>
                <w:highlight w:val="none"/>
              </w:rPr>
              <w:t>Windows XP/Windows7/Windows8/Windows8.1/Win10（32/64 位）/windows11/ Windows server/2012/2016</w:t>
            </w:r>
          </w:p>
          <w:p w14:paraId="15885223">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Mac OS 10.9/10.10/10.11/10.12/10.13/10.14/10.15/11.6/12.0.1/12.1/12.2/12.3/12.4/12.5</w:t>
            </w:r>
          </w:p>
          <w:p w14:paraId="7827F0B2">
            <w:pPr>
              <w:pStyle w:val="20"/>
              <w:pageBreakBefore w:val="0"/>
              <w:kinsoku/>
              <w:wordWrap w:val="0"/>
              <w:overflowPunct/>
              <w:topLinePunct w:val="0"/>
              <w:bidi w:val="0"/>
              <w:rPr>
                <w:rFonts w:hint="eastAsia" w:ascii="宋体" w:hAnsi="宋体" w:eastAsia="宋体" w:cs="宋体"/>
                <w:highlight w:val="none"/>
              </w:rPr>
            </w:pPr>
            <w:r>
              <w:rPr>
                <w:rFonts w:hint="eastAsia" w:ascii="宋体" w:hAnsi="宋体" w:eastAsia="宋体" w:cs="宋体"/>
                <w:highlight w:val="none"/>
              </w:rPr>
              <w:t>Linux ubuntu 16.04/18.04/20.04/21.10/22.04</w:t>
            </w:r>
          </w:p>
          <w:p w14:paraId="5AA1311B">
            <w:pPr>
              <w:pStyle w:val="20"/>
              <w:pageBreakBefore w:val="0"/>
              <w:kinsoku/>
              <w:wordWrap w:val="0"/>
              <w:overflowPunct/>
              <w:topLinePunct w:val="0"/>
              <w:bidi w:val="0"/>
              <w:rPr>
                <w:rFonts w:hint="eastAsia" w:ascii="宋体" w:hAnsi="宋体" w:eastAsia="宋体" w:cs="宋体"/>
                <w:i w:val="0"/>
                <w:iCs w:val="0"/>
                <w:color w:val="000000"/>
                <w:sz w:val="24"/>
                <w:szCs w:val="24"/>
                <w:highlight w:val="none"/>
                <w:u w:val="none"/>
              </w:rPr>
            </w:pPr>
            <w:r>
              <w:rPr>
                <w:rFonts w:hint="eastAsia" w:ascii="宋体" w:hAnsi="宋体" w:eastAsia="宋体" w:cs="宋体"/>
                <w:highlight w:val="none"/>
              </w:rPr>
              <w:t>接口类型</w:t>
            </w:r>
            <w:r>
              <w:rPr>
                <w:rFonts w:hint="eastAsia" w:ascii="宋体" w:hAnsi="宋体" w:eastAsia="宋体" w:cs="宋体"/>
                <w:highlight w:val="none"/>
              </w:rPr>
              <w:tab/>
            </w:r>
            <w:r>
              <w:rPr>
                <w:rFonts w:hint="eastAsia" w:ascii="宋体" w:hAnsi="宋体" w:eastAsia="宋体" w:cs="宋体"/>
                <w:highlight w:val="none"/>
              </w:rPr>
              <w:t>USB2.0(High Speed) ；IEEE802.3 10 /100Base-Tx</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19A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8AB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4F48">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2550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F17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2550 </w:t>
            </w:r>
          </w:p>
        </w:tc>
      </w:tr>
      <w:tr w14:paraId="2A01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1C7">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DCBDC">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电视机</w:t>
            </w:r>
          </w:p>
        </w:tc>
        <w:tc>
          <w:tcPr>
            <w:tcW w:w="18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C8947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创维、海信、小米</w:t>
            </w:r>
          </w:p>
        </w:tc>
        <w:tc>
          <w:tcPr>
            <w:tcW w:w="58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D5F8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屏幕尺寸：86英寸/物理分辨率:4K/亮度:≧</w:t>
            </w:r>
            <w:r>
              <w:rPr>
                <w:rStyle w:val="270"/>
                <w:rFonts w:hint="eastAsia" w:ascii="宋体" w:hAnsi="宋体" w:eastAsia="宋体" w:cs="宋体"/>
                <w:sz w:val="24"/>
                <w:szCs w:val="24"/>
                <w:highlight w:val="none"/>
                <w:lang w:val="en-US" w:eastAsia="zh-CN" w:bidi="ar"/>
              </w:rPr>
              <w:t>350nits(Typ)/操作系统Android 11以上/ROM:≧32GB/</w:t>
            </w:r>
            <w:r>
              <w:rPr>
                <w:rStyle w:val="270"/>
                <w:rFonts w:hint="eastAsia" w:ascii="宋体" w:hAnsi="宋体" w:eastAsia="宋体" w:cs="宋体"/>
                <w:sz w:val="24"/>
                <w:szCs w:val="24"/>
                <w:highlight w:val="none"/>
                <w:lang w:val="en-US" w:eastAsia="zh-CN" w:bidi="ar"/>
              </w:rPr>
              <w:br w:type="textWrapping"/>
            </w:r>
            <w:r>
              <w:rPr>
                <w:rStyle w:val="270"/>
                <w:rFonts w:hint="eastAsia" w:ascii="宋体" w:hAnsi="宋体" w:eastAsia="宋体" w:cs="宋体"/>
                <w:sz w:val="24"/>
                <w:szCs w:val="24"/>
                <w:highlight w:val="none"/>
                <w:lang w:val="en-US" w:eastAsia="zh-CN" w:bidi="ar"/>
              </w:rPr>
              <w:t>RAM:≧3GB/无线网络:2.4GHz/5GHz，独立双频双WiFi模块/蓝牙:支持/有线网络:10/100Mbps RJ45*1/接口:HDMI IN≧2/USB/USB2.0≧1, USB3.0≧1/Type-C≧1音/视频信号输出接口/SPDIF OUT≧1/声音/麦克风≧4阵列/喇叭功率:≧2*10W/支持无线投屏/</w:t>
            </w:r>
          </w:p>
        </w:tc>
        <w:tc>
          <w:tcPr>
            <w:tcW w:w="9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7E489">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922554">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3E7ED">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6900 </w:t>
            </w:r>
          </w:p>
        </w:tc>
        <w:tc>
          <w:tcPr>
            <w:tcW w:w="12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F863E3">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6900 </w:t>
            </w:r>
          </w:p>
        </w:tc>
      </w:tr>
      <w:tr w14:paraId="1CF5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6F22">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5E6F">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电视机</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1F6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创维、海信、小米</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D92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屏幕尺寸：65英寸/屏幕分辨率：4K/屏幕比例：16:9/亮度200-300尼特/背光方式：DLED/WIFI频段：2.4G&amp;5G/RAM:≧</w:t>
            </w:r>
            <w:r>
              <w:rPr>
                <w:rStyle w:val="270"/>
                <w:rFonts w:hint="eastAsia" w:ascii="宋体" w:hAnsi="宋体" w:eastAsia="宋体" w:cs="宋体"/>
                <w:sz w:val="24"/>
                <w:szCs w:val="24"/>
                <w:highlight w:val="none"/>
                <w:lang w:val="en-US" w:eastAsia="zh-CN" w:bidi="ar"/>
              </w:rPr>
              <w:t>2GB/ROM:</w:t>
            </w:r>
            <w:r>
              <w:rPr>
                <w:rFonts w:hint="eastAsia" w:ascii="宋体" w:hAnsi="宋体" w:eastAsia="宋体" w:cs="宋体"/>
                <w:i w:val="0"/>
                <w:iCs w:val="0"/>
                <w:color w:val="000000"/>
                <w:kern w:val="0"/>
                <w:sz w:val="24"/>
                <w:szCs w:val="24"/>
                <w:highlight w:val="none"/>
                <w:u w:val="none"/>
                <w:lang w:val="en-US" w:eastAsia="zh-CN" w:bidi="ar"/>
              </w:rPr>
              <w:t>≧</w:t>
            </w:r>
            <w:r>
              <w:rPr>
                <w:rStyle w:val="270"/>
                <w:rFonts w:hint="eastAsia" w:ascii="宋体" w:hAnsi="宋体" w:eastAsia="宋体" w:cs="宋体"/>
                <w:sz w:val="24"/>
                <w:szCs w:val="24"/>
                <w:highlight w:val="none"/>
                <w:lang w:val="en-US" w:eastAsia="zh-CN" w:bidi="ar"/>
              </w:rPr>
              <w:t>32GB/音响功率：</w:t>
            </w:r>
            <w:r>
              <w:rPr>
                <w:rFonts w:hint="eastAsia" w:ascii="宋体" w:hAnsi="宋体" w:eastAsia="宋体" w:cs="宋体"/>
                <w:i w:val="0"/>
                <w:iCs w:val="0"/>
                <w:color w:val="000000"/>
                <w:kern w:val="0"/>
                <w:sz w:val="24"/>
                <w:szCs w:val="24"/>
                <w:highlight w:val="none"/>
                <w:u w:val="none"/>
                <w:lang w:val="en-US" w:eastAsia="zh-CN" w:bidi="ar"/>
              </w:rPr>
              <w:t>≧</w:t>
            </w:r>
            <w:r>
              <w:rPr>
                <w:rStyle w:val="270"/>
                <w:rFonts w:hint="eastAsia" w:ascii="宋体" w:hAnsi="宋体" w:eastAsia="宋体" w:cs="宋体"/>
                <w:sz w:val="24"/>
                <w:szCs w:val="24"/>
                <w:highlight w:val="none"/>
                <w:lang w:val="en-US" w:eastAsia="zh-CN" w:bidi="ar"/>
              </w:rPr>
              <w:t>20W/有线网络:10/100Mbps RJ45*1/接口:HDMI IN≧2/USB/USB2.0≧1, USB3.0≧1</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127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6C1B">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4FF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6F00">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2800 </w:t>
            </w:r>
          </w:p>
        </w:tc>
      </w:tr>
      <w:tr w14:paraId="461B0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27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A0AC9E">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小计</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6ADA">
            <w:pPr>
              <w:keepNext w:val="0"/>
              <w:keepLines w:val="0"/>
              <w:pageBreakBefore w:val="0"/>
              <w:widowControl/>
              <w:suppressLineNumbers w:val="0"/>
              <w:kinsoku/>
              <w:wordWrap w:val="0"/>
              <w:overflowPunct/>
              <w:topLinePunct w:val="0"/>
              <w:bidi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 xml:space="preserve">40930 </w:t>
            </w:r>
          </w:p>
        </w:tc>
      </w:tr>
    </w:tbl>
    <w:p w14:paraId="790B0CCD">
      <w:pPr>
        <w:pageBreakBefore w:val="0"/>
        <w:numPr>
          <w:ilvl w:val="0"/>
          <w:numId w:val="0"/>
        </w:numPr>
        <w:kinsoku/>
        <w:wordWrap w:val="0"/>
        <w:overflowPunct/>
        <w:topLinePunct w:val="0"/>
        <w:bidi w:val="0"/>
        <w:snapToGrid w:val="0"/>
        <w:spacing w:line="360" w:lineRule="auto"/>
        <w:rPr>
          <w:rFonts w:hint="eastAsia" w:ascii="宋体" w:hAnsi="宋体" w:eastAsia="宋体" w:cs="宋体"/>
          <w:color w:val="auto"/>
          <w:sz w:val="24"/>
          <w:szCs w:val="24"/>
          <w:highlight w:val="none"/>
          <w:lang w:eastAsia="zh-CN"/>
        </w:rPr>
      </w:pPr>
    </w:p>
    <w:p w14:paraId="6DDEED91">
      <w:pPr>
        <w:pageBreakBefore w:val="0"/>
        <w:kinsoku/>
        <w:wordWrap w:val="0"/>
        <w:overflowPunct/>
        <w:topLinePunct w:val="0"/>
        <w:bidi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注：1、本项目为交钥匙工程。以上总金额包设计开发、产品生产供货、运输装卸、安装调试、产品保护、备品备件、税金、培训、保险、验收、售后服务及辅助工作等完成本项目的所有费用。</w:t>
      </w:r>
    </w:p>
    <w:p w14:paraId="09407DCF">
      <w:pPr>
        <w:pageBreakBefore w:val="0"/>
        <w:kinsoku/>
        <w:wordWrap w:val="0"/>
        <w:overflowPunct/>
        <w:topLinePunct w:val="0"/>
        <w:bidi w:val="0"/>
        <w:spacing w:line="24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2、供货时提供产品合格证、原厂质保证明等相关资料。</w:t>
      </w:r>
    </w:p>
    <w:p w14:paraId="6F0D09D1">
      <w:pPr>
        <w:pageBreakBefore w:val="0"/>
        <w:widowControl/>
        <w:shd w:val="clear"/>
        <w:tabs>
          <w:tab w:val="left" w:pos="425"/>
          <w:tab w:val="left" w:pos="747"/>
        </w:tabs>
        <w:kinsoku/>
        <w:wordWrap w:val="0"/>
        <w:overflowPunct/>
        <w:topLinePunct w:val="0"/>
        <w:bidi w:val="0"/>
        <w:spacing w:line="360" w:lineRule="auto"/>
        <w:ind w:left="0" w:leftChars="0" w:firstLine="0" w:firstLineChars="0"/>
        <w:jc w:val="left"/>
        <w:rPr>
          <w:rFonts w:hint="eastAsia" w:ascii="宋体" w:hAnsi="宋体" w:eastAsia="宋体" w:cs="宋体"/>
          <w:b/>
          <w:color w:val="auto"/>
          <w:sz w:val="28"/>
          <w:szCs w:val="28"/>
          <w:highlight w:val="none"/>
        </w:rPr>
        <w:sectPr>
          <w:headerReference r:id="rId6" w:type="first"/>
          <w:footerReference r:id="rId8" w:type="first"/>
          <w:headerReference r:id="rId5" w:type="default"/>
          <w:footerReference r:id="rId7" w:type="default"/>
          <w:pgSz w:w="16838" w:h="11905" w:orient="landscape"/>
          <w:pgMar w:top="1814" w:right="1474" w:bottom="1814" w:left="1474" w:header="851" w:footer="850" w:gutter="0"/>
          <w:cols w:space="0" w:num="1"/>
          <w:rtlGutter w:val="0"/>
          <w:docGrid w:linePitch="312" w:charSpace="0"/>
        </w:sectPr>
      </w:pPr>
    </w:p>
    <w:p w14:paraId="77376065">
      <w:pPr>
        <w:pStyle w:val="83"/>
        <w:pageBreakBefore w:val="0"/>
        <w:kinsoku/>
        <w:wordWrap w:val="0"/>
        <w:overflowPunct/>
        <w:topLinePunct w:val="0"/>
        <w:bidi w:val="0"/>
        <w:rPr>
          <w:rFonts w:hint="eastAsia" w:ascii="宋体" w:hAnsi="宋体" w:eastAsia="宋体" w:cs="宋体"/>
          <w:color w:val="auto"/>
          <w:highlight w:val="none"/>
        </w:rPr>
      </w:pPr>
    </w:p>
    <w:p w14:paraId="71E5533F">
      <w:pPr>
        <w:pageBreakBefore w:val="0"/>
        <w:numPr>
          <w:ilvl w:val="0"/>
          <w:numId w:val="0"/>
        </w:numPr>
        <w:kinsoku/>
        <w:wordWrap w:val="0"/>
        <w:overflowPunct/>
        <w:topLinePunct w:val="0"/>
        <w:bidi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（二）其他要求</w:t>
      </w:r>
    </w:p>
    <w:p w14:paraId="38CF7313">
      <w:pPr>
        <w:pageBreakBefore w:val="0"/>
        <w:numPr>
          <w:ilvl w:val="0"/>
          <w:numId w:val="0"/>
        </w:numPr>
        <w:kinsoku/>
        <w:wordWrap w:val="0"/>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、投标人提供的投标产品须相当于或优于采购需求技术参数要求。</w:t>
      </w:r>
    </w:p>
    <w:p w14:paraId="50F40311">
      <w:pPr>
        <w:pageBreakBefore w:val="0"/>
        <w:numPr>
          <w:ilvl w:val="0"/>
          <w:numId w:val="0"/>
        </w:numPr>
        <w:kinsoku/>
        <w:wordWrap w:val="0"/>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、如果中标人提供的设备（系统）与投标时提供的情况不符，均由中标人负责整改，但不得损坏主体结构，所有费用含在投标总价中而不做调整。</w:t>
      </w:r>
    </w:p>
    <w:p w14:paraId="1346F8B7">
      <w:pPr>
        <w:pageBreakBefore w:val="0"/>
        <w:numPr>
          <w:ilvl w:val="0"/>
          <w:numId w:val="0"/>
        </w:numPr>
        <w:kinsoku/>
        <w:wordWrap w:val="0"/>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、中标人需接受采购单位的管理，自行承担安全文明规范施工的责任，严格按安全标准组织安装，采取必要的安全防护措施，对安装、调试等负责，直至拿到竣工验收报告，其验收费用包括在投标总价中。</w:t>
      </w:r>
    </w:p>
    <w:p w14:paraId="66CB3099">
      <w:pPr>
        <w:pageBreakBefore w:val="0"/>
        <w:numPr>
          <w:ilvl w:val="0"/>
          <w:numId w:val="0"/>
        </w:numPr>
        <w:kinsoku/>
        <w:wordWrap w:val="0"/>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、中标人须遵守安全生产有关管理规定，严格按安全标准组织安装，采取必要的安全防护措施，消除事故隐患。由于中标人造成的安全事故，其责任和因此发生的一切费用，由中标人承担。</w:t>
      </w:r>
    </w:p>
    <w:p w14:paraId="5E430CCF">
      <w:pPr>
        <w:pageBreakBefore w:val="0"/>
        <w:numPr>
          <w:ilvl w:val="0"/>
          <w:numId w:val="0"/>
        </w:numPr>
        <w:kinsoku/>
        <w:wordWrap w:val="0"/>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、在安装过程中，如建筑结构或其它设备被损坏，中标人将要负责修理或赔偿损失。</w:t>
      </w:r>
    </w:p>
    <w:p w14:paraId="61566F21">
      <w:pPr>
        <w:pageBreakBefore w:val="0"/>
        <w:widowControl/>
        <w:shd w:val="clear"/>
        <w:tabs>
          <w:tab w:val="left" w:pos="425"/>
          <w:tab w:val="left" w:pos="747"/>
        </w:tabs>
        <w:kinsoku/>
        <w:wordWrap w:val="0"/>
        <w:overflowPunct/>
        <w:topLinePunct w:val="0"/>
        <w:bidi w:val="0"/>
        <w:spacing w:line="360" w:lineRule="auto"/>
        <w:ind w:left="0" w:leftChars="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&lt;</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&gt;</w:t>
      </w:r>
      <w:r>
        <w:rPr>
          <w:rFonts w:hint="eastAsia" w:ascii="宋体" w:hAnsi="宋体" w:eastAsia="宋体" w:cs="宋体"/>
          <w:b/>
          <w:color w:val="auto"/>
          <w:sz w:val="28"/>
          <w:szCs w:val="28"/>
          <w:highlight w:val="none"/>
          <w:lang w:val="en-US" w:eastAsia="zh-CN"/>
        </w:rPr>
        <w:t>商务条款</w:t>
      </w:r>
    </w:p>
    <w:p w14:paraId="01D08A55">
      <w:pPr>
        <w:pageBreakBefore w:val="0"/>
        <w:kinsoku/>
        <w:wordWrap w:val="0"/>
        <w:overflowPunct/>
        <w:topLinePunct w:val="0"/>
        <w:autoSpaceDE w:val="0"/>
        <w:autoSpaceDN w:val="0"/>
        <w:bidi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1、采购的总体要求</w:t>
      </w:r>
    </w:p>
    <w:p w14:paraId="35705BD5">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1）必须符合招标文件(包括补充更正，如有)的技术要求和配置；必须是国内相应制造厂商生产并提供的原装合格产品；必须是</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6月1日</w:t>
      </w:r>
      <w:r>
        <w:rPr>
          <w:rFonts w:hint="eastAsia" w:ascii="宋体" w:hAnsi="宋体" w:eastAsia="宋体" w:cs="宋体"/>
          <w:color w:val="auto"/>
          <w:sz w:val="24"/>
          <w:highlight w:val="none"/>
        </w:rPr>
        <w:t>以后生产的、符合国家质量技术标准的设备。</w:t>
      </w:r>
    </w:p>
    <w:p w14:paraId="16F9A1D0">
      <w:pPr>
        <w:pageBreakBefore w:val="0"/>
        <w:kinsoku/>
        <w:wordWrap w:val="0"/>
        <w:overflowPunct/>
        <w:topLinePunct w:val="0"/>
        <w:autoSpaceDE w:val="0"/>
        <w:autoSpaceDN w:val="0"/>
        <w:bidi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2）售后服务按国家市场监督管理总局和国家其他有关规定执行，国家没有规定的按厂商规定执行。国家规定标准低于厂商标准的按厂商标准执行，但最低免费原厂质保服务期不得少于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p>
    <w:p w14:paraId="2292F3B6">
      <w:pPr>
        <w:pageBreakBefore w:val="0"/>
        <w:shd w:val="clear" w:color="auto" w:fill="auto"/>
        <w:kinsoku/>
        <w:wordWrap w:val="0"/>
        <w:overflowPunct/>
        <w:topLinePunct w:val="0"/>
        <w:autoSpaceDE w:val="0"/>
        <w:autoSpaceDN w:val="0"/>
        <w:bidi w:val="0"/>
        <w:adjustRightInd w:val="0"/>
        <w:snapToGrid w:val="0"/>
        <w:spacing w:line="360" w:lineRule="auto"/>
        <w:ind w:right="-178" w:rightChars="-85"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付款方式</w:t>
      </w:r>
    </w:p>
    <w:p w14:paraId="71DC7743">
      <w:pPr>
        <w:pageBreakBefore w:val="0"/>
        <w:kinsoku/>
        <w:wordWrap w:val="0"/>
        <w:overflowPunct/>
        <w:topLinePunct w:val="0"/>
        <w:autoSpaceDE w:val="0"/>
        <w:autoSpaceDN w:val="0"/>
        <w:bidi w:val="0"/>
        <w:snapToGrid w:val="0"/>
        <w:spacing w:line="360" w:lineRule="auto"/>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按财务结算要求，通过银行划帐方式结算。</w:t>
      </w:r>
    </w:p>
    <w:p w14:paraId="6AEA829B">
      <w:pPr>
        <w:pageBreakBefore w:val="0"/>
        <w:kinsoku/>
        <w:wordWrap w:val="0"/>
        <w:overflowPunct/>
        <w:topLinePunct w:val="0"/>
        <w:autoSpaceDE w:val="0"/>
        <w:autoSpaceDN w:val="0"/>
        <w:bidi w:val="0"/>
        <w:snapToGrid w:val="0"/>
        <w:spacing w:line="360" w:lineRule="auto"/>
        <w:ind w:firstLine="482" w:firstLineChars="200"/>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、售后服务</w:t>
      </w:r>
    </w:p>
    <w:p w14:paraId="10F87107">
      <w:pPr>
        <w:pageBreakBefore w:val="0"/>
        <w:kinsoku/>
        <w:wordWrap w:val="0"/>
        <w:overflowPunct/>
        <w:topLinePunct w:val="0"/>
        <w:autoSpaceDE w:val="0"/>
        <w:autoSpaceDN w:val="0"/>
        <w:bidi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）本项目提供</w:t>
      </w:r>
      <w:r>
        <w:rPr>
          <w:rFonts w:hint="eastAsia" w:ascii="宋体" w:hAnsi="宋体" w:eastAsia="宋体" w:cs="宋体"/>
          <w:color w:val="auto"/>
          <w:sz w:val="24"/>
          <w:highlight w:val="none"/>
          <w:lang w:eastAsia="zh-CN"/>
        </w:rPr>
        <w:t>≥3年</w:t>
      </w:r>
      <w:r>
        <w:rPr>
          <w:rFonts w:hint="eastAsia" w:ascii="宋体" w:hAnsi="宋体" w:eastAsia="宋体" w:cs="宋体"/>
          <w:color w:val="auto"/>
          <w:sz w:val="24"/>
          <w:highlight w:val="none"/>
          <w:lang w:eastAsia="zh-CN"/>
        </w:rPr>
        <w:t>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中标供应商免费技术服务和维修</w:t>
      </w:r>
      <w:r>
        <w:rPr>
          <w:rFonts w:hint="eastAsia" w:ascii="宋体" w:hAnsi="宋体" w:eastAsia="宋体" w:cs="宋体"/>
          <w:color w:val="auto"/>
          <w:sz w:val="24"/>
          <w:highlight w:val="none"/>
        </w:rPr>
        <w:t>。</w:t>
      </w:r>
    </w:p>
    <w:p w14:paraId="40DE2180">
      <w:pPr>
        <w:pageBreakBefore w:val="0"/>
        <w:kinsoku/>
        <w:wordWrap w:val="0"/>
        <w:overflowPunct/>
        <w:topLinePunct w:val="0"/>
        <w:autoSpaceDE w:val="0"/>
        <w:autoSpaceDN w:val="0"/>
        <w:bidi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）在设备（或系统）整个使用期内，中标供应商应确保正常使用，在接到采购单位维修要求后在</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小时内响应并提出解决方案，</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eastAsia="zh-CN"/>
        </w:rPr>
        <w:t>小时内到达现场对故障进行处理，维修过程中所需材料中标供应商在接到通知后应及时提供，最长不超过48小时必须送达。若48小时内无法修复的，应及时提供相应备用设备并负责安装调试，为此，供应商应提供相应承诺书</w:t>
      </w:r>
      <w:r>
        <w:rPr>
          <w:rFonts w:hint="eastAsia" w:ascii="宋体" w:hAnsi="宋体" w:eastAsia="宋体" w:cs="宋体"/>
          <w:color w:val="auto"/>
          <w:sz w:val="24"/>
          <w:highlight w:val="none"/>
          <w:lang w:val="en-US" w:eastAsia="zh-CN"/>
        </w:rPr>
        <w:t>。</w:t>
      </w:r>
    </w:p>
    <w:p w14:paraId="2A0B5C36">
      <w:pPr>
        <w:pageBreakBefore w:val="0"/>
        <w:kinsoku/>
        <w:wordWrap w:val="0"/>
        <w:overflowPunct/>
        <w:topLinePunct w:val="0"/>
        <w:autoSpaceDE w:val="0"/>
        <w:autoSpaceDN w:val="0"/>
        <w:bidi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）在质保期内，中标供应商应负责对其提供的设备进行现场维修、损坏件更换，不收取额外费用，响应时间必须满足采购人工作正常运行的要求</w:t>
      </w:r>
      <w:r>
        <w:rPr>
          <w:rFonts w:hint="eastAsia" w:ascii="宋体" w:hAnsi="宋体" w:eastAsia="宋体" w:cs="宋体"/>
          <w:color w:val="auto"/>
          <w:sz w:val="24"/>
          <w:highlight w:val="none"/>
          <w:lang w:val="en-US" w:eastAsia="zh-CN"/>
        </w:rPr>
        <w:t>。</w:t>
      </w:r>
    </w:p>
    <w:p w14:paraId="6EC53257">
      <w:pPr>
        <w:pageBreakBefore w:val="0"/>
        <w:kinsoku/>
        <w:wordWrap w:val="0"/>
        <w:overflowPunct/>
        <w:topLinePunct w:val="0"/>
        <w:autoSpaceDE w:val="0"/>
        <w:autoSpaceDN w:val="0"/>
        <w:bidi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供应商在投标文件中须说明保修期内提供的服务计划。</w:t>
      </w:r>
    </w:p>
    <w:p w14:paraId="43A9515A">
      <w:pPr>
        <w:pageBreakBefore w:val="0"/>
        <w:kinsoku/>
        <w:wordWrap w:val="0"/>
        <w:overflowPunct/>
        <w:topLinePunct w:val="0"/>
        <w:autoSpaceDE w:val="0"/>
        <w:autoSpaceDN w:val="0"/>
        <w:bidi w:val="0"/>
        <w:snapToGrid w:val="0"/>
        <w:spacing w:line="360" w:lineRule="auto"/>
        <w:ind w:right="-178" w:rightChars="-85" w:firstLine="482" w:firstLineChars="200"/>
        <w:textAlignment w:val="bottom"/>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4、培训</w:t>
      </w:r>
    </w:p>
    <w:p w14:paraId="2722C600">
      <w:pPr>
        <w:pageBreakBefore w:val="0"/>
        <w:kinsoku/>
        <w:wordWrap w:val="0"/>
        <w:overflowPunct/>
        <w:topLinePunct w:val="0"/>
        <w:autoSpaceDE w:val="0"/>
        <w:autoSpaceDN w:val="0"/>
        <w:bidi w:val="0"/>
        <w:snapToGrid w:val="0"/>
        <w:spacing w:line="360" w:lineRule="auto"/>
        <w:ind w:right="-178" w:rightChars="-85" w:firstLine="480" w:firstLineChars="200"/>
        <w:textAlignment w:val="bottom"/>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投标单位应提供相应的培训计划，详细说明培训的方式、地点、人数、时间等实质性内容。</w:t>
      </w:r>
    </w:p>
    <w:p w14:paraId="36041316">
      <w:pPr>
        <w:pageBreakBefore w:val="0"/>
        <w:kinsoku/>
        <w:wordWrap w:val="0"/>
        <w:overflowPunct/>
        <w:topLinePunct w:val="0"/>
        <w:bidi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完成时间</w:t>
      </w:r>
    </w:p>
    <w:p w14:paraId="69644574">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交付期限：合同签订生效之日</w:t>
      </w:r>
      <w:r>
        <w:rPr>
          <w:rFonts w:hint="eastAsia" w:ascii="宋体" w:hAnsi="宋体" w:eastAsia="宋体" w:cs="宋体"/>
          <w:color w:val="auto"/>
          <w:sz w:val="24"/>
          <w:highlight w:val="none"/>
          <w:lang w:eastAsia="zh-CN"/>
        </w:rPr>
        <w:t>起，必须</w:t>
      </w:r>
      <w:r>
        <w:rPr>
          <w:rFonts w:hint="eastAsia" w:ascii="宋体" w:hAnsi="宋体" w:eastAsia="宋体" w:cs="宋体"/>
          <w:color w:val="auto"/>
          <w:sz w:val="24"/>
          <w:highlight w:val="none"/>
          <w:lang w:eastAsia="zh-CN"/>
        </w:rPr>
        <w:t>在</w:t>
      </w:r>
      <w:r>
        <w:rPr>
          <w:rFonts w:hint="eastAsia" w:ascii="宋体" w:hAnsi="宋体" w:eastAsia="宋体" w:cs="宋体"/>
          <w:color w:val="auto"/>
          <w:sz w:val="24"/>
          <w:highlight w:val="none"/>
          <w:lang w:val="en-US" w:eastAsia="zh-CN"/>
        </w:rPr>
        <w:t>90日历天内</w:t>
      </w:r>
      <w:r>
        <w:rPr>
          <w:rFonts w:hint="eastAsia" w:ascii="宋体" w:hAnsi="宋体" w:eastAsia="宋体" w:cs="宋体"/>
          <w:color w:val="auto"/>
          <w:sz w:val="24"/>
          <w:highlight w:val="none"/>
          <w:lang w:eastAsia="zh-CN"/>
        </w:rPr>
        <w:t>按采购单位要求完成交货、安装调试完成，无质量问题并通过验收后交付采购单位使用</w:t>
      </w:r>
      <w:r>
        <w:rPr>
          <w:rFonts w:hint="eastAsia" w:ascii="宋体" w:hAnsi="宋体" w:eastAsia="宋体" w:cs="宋体"/>
          <w:color w:val="auto"/>
          <w:sz w:val="24"/>
          <w:highlight w:val="none"/>
        </w:rPr>
        <w:t>。如在规定的时间内由于中标人的原因不能送达货物并安装调试完成通过验收的，中标人应承担由此给</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造成的损失。</w:t>
      </w:r>
    </w:p>
    <w:p w14:paraId="439787B8">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交付地点：</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lang w:val="en-US"/>
        </w:rPr>
        <w:t>指定地点</w:t>
      </w:r>
      <w:r>
        <w:rPr>
          <w:rFonts w:hint="eastAsia" w:ascii="宋体" w:hAnsi="宋体" w:eastAsia="宋体" w:cs="宋体"/>
          <w:color w:val="auto"/>
          <w:sz w:val="24"/>
          <w:highlight w:val="none"/>
        </w:rPr>
        <w:t>。</w:t>
      </w:r>
    </w:p>
    <w:p w14:paraId="5FBFB314">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交付方式：中标人提供中标货物的安装、培训和技术指导。</w:t>
      </w:r>
    </w:p>
    <w:p w14:paraId="08AC3DAE">
      <w:pPr>
        <w:pageBreakBefore w:val="0"/>
        <w:kinsoku/>
        <w:wordWrap w:val="0"/>
        <w:overflowPunct/>
        <w:topLinePunct w:val="0"/>
        <w:bidi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、验收</w:t>
      </w:r>
    </w:p>
    <w:p w14:paraId="008D79D4">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1）中标人应提供设备</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的有效检验材料，经采购人认可后，与合同的技术指标一起作为验收标准。采购人对设备</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验收合格后，出具验收报告并在《建德市政府采购物品验收反馈表》上签署意见并加盖单位公章。验收中发现设备</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达不到验收标准或合同规定的技术指标，中标人必须更换，并负担由此给采购人造成的损失，直到验收合格为止。</w:t>
      </w:r>
    </w:p>
    <w:p w14:paraId="5E7AFE14">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2）投标人应于投标书中提供设备</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的验收标准和检测办法，并在验收中提供采购人认可的相应检测手段，验收标准应符合中国有关的国家、地方、行业的标准，如若中标，经采购人确认后作为验收的依据。</w:t>
      </w:r>
    </w:p>
    <w:p w14:paraId="7C3DF32D">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3）验收费用由中标人承担。</w:t>
      </w:r>
    </w:p>
    <w:p w14:paraId="37670AE6">
      <w:pPr>
        <w:pageBreakBefore w:val="0"/>
        <w:kinsoku/>
        <w:wordWrap w:val="0"/>
        <w:overflowPunct/>
        <w:topLinePunct w:val="0"/>
        <w:bidi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货款的结算</w:t>
      </w:r>
    </w:p>
    <w:p w14:paraId="21E8DB0B">
      <w:pPr>
        <w:pageBreakBefore w:val="0"/>
        <w:tabs>
          <w:tab w:val="left" w:pos="0"/>
        </w:tabs>
        <w:kinsoku/>
        <w:wordWrap w:val="0"/>
        <w:overflowPunct/>
        <w:topLinePunct w:val="0"/>
        <w:bidi w:val="0"/>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采购人根据合同、投标文件等资料进行验收。</w:t>
      </w:r>
    </w:p>
    <w:p w14:paraId="1FD39B6E">
      <w:pPr>
        <w:pageBreakBefore w:val="0"/>
        <w:tabs>
          <w:tab w:val="left" w:pos="0"/>
        </w:tabs>
        <w:kinsoku/>
        <w:wordWrap w:val="0"/>
        <w:overflowPunct/>
        <w:topLinePunct w:val="0"/>
        <w:bidi w:val="0"/>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项目款结算采取分期付款方式。</w:t>
      </w:r>
    </w:p>
    <w:p w14:paraId="7FF1C384">
      <w:pPr>
        <w:pageBreakBefore w:val="0"/>
        <w:tabs>
          <w:tab w:val="left" w:pos="0"/>
        </w:tabs>
        <w:kinsoku/>
        <w:wordWrap w:val="0"/>
        <w:overflowPunct/>
        <w:topLinePunct w:val="0"/>
        <w:bidi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采购合同签订生效后中标人运输设备到场后支付至合同价的50%，所有设备安装完成后支付至合同价的80%，本项目通过业主验收合格后支付至合同价的100%。</w:t>
      </w:r>
    </w:p>
    <w:p w14:paraId="0BB794BC">
      <w:pPr>
        <w:pageBreakBefore w:val="0"/>
        <w:tabs>
          <w:tab w:val="left" w:pos="0"/>
        </w:tabs>
        <w:kinsoku/>
        <w:wordWrap w:val="0"/>
        <w:overflowPunct/>
        <w:topLinePunct w:val="0"/>
        <w:bidi w:val="0"/>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支付项目款时，中标人将结款申请1份、增值税专用发票原件（开具当期支付金额）及复印件1份、合同复印件1份、系设备（系统）清单和经采购人验收确认的《验收反馈表》和验收报告提交采购人，由采购人向中标人支付结算当期项目款。</w:t>
      </w:r>
    </w:p>
    <w:p w14:paraId="7CF6E0C3">
      <w:pPr>
        <w:pageBreakBefore w:val="0"/>
        <w:tabs>
          <w:tab w:val="left" w:pos="0"/>
        </w:tabs>
        <w:kinsoku/>
        <w:wordWrap w:val="0"/>
        <w:overflowPunct/>
        <w:topLinePunct w:val="0"/>
        <w:bidi w:val="0"/>
        <w:spacing w:line="360" w:lineRule="auto"/>
        <w:ind w:firstLine="48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8、履约保证金：无</w:t>
      </w:r>
    </w:p>
    <w:p w14:paraId="46917399">
      <w:pPr>
        <w:pageBreakBefore w:val="0"/>
        <w:tabs>
          <w:tab w:val="left" w:pos="0"/>
        </w:tabs>
        <w:kinsoku/>
        <w:wordWrap w:val="0"/>
        <w:overflowPunct/>
        <w:topLinePunct w:val="0"/>
        <w:bidi w:val="0"/>
        <w:spacing w:line="360" w:lineRule="auto"/>
        <w:ind w:firstLine="480"/>
        <w:rPr>
          <w:rFonts w:hint="eastAsia" w:ascii="宋体" w:hAnsi="宋体" w:eastAsia="宋体" w:cs="宋体"/>
          <w:color w:val="auto"/>
          <w:kern w:val="0"/>
          <w:sz w:val="24"/>
          <w:highlight w:val="none"/>
          <w:lang w:val="en-US" w:eastAsia="zh-CN"/>
        </w:rPr>
      </w:pPr>
    </w:p>
    <w:p w14:paraId="69A4EB30">
      <w:pPr>
        <w:pageBreakBefore w:val="0"/>
        <w:kinsoku/>
        <w:wordWrap w:val="0"/>
        <w:overflowPunct/>
        <w:topLinePunct w:val="0"/>
        <w:bidi w:val="0"/>
        <w:spacing w:line="360" w:lineRule="auto"/>
        <w:jc w:val="center"/>
        <w:outlineLvl w:val="0"/>
        <w:rPr>
          <w:rFonts w:hint="eastAsia" w:ascii="宋体" w:hAnsi="宋体" w:eastAsia="宋体" w:cs="宋体"/>
          <w:b/>
          <w:color w:val="auto"/>
          <w:sz w:val="36"/>
          <w:szCs w:val="36"/>
          <w:highlight w:val="none"/>
        </w:rPr>
      </w:pPr>
    </w:p>
    <w:p w14:paraId="624C38F9">
      <w:pPr>
        <w:pageBreakBefore w:val="0"/>
        <w:kinsoku/>
        <w:wordWrap w:val="0"/>
        <w:overflowPunct/>
        <w:topLinePunct w:val="0"/>
        <w:bidi w:val="0"/>
        <w:spacing w:line="360" w:lineRule="auto"/>
        <w:jc w:val="center"/>
        <w:outlineLvl w:val="0"/>
        <w:rPr>
          <w:rFonts w:hint="eastAsia" w:ascii="宋体" w:hAnsi="宋体" w:eastAsia="宋体" w:cs="宋体"/>
          <w:b/>
          <w:color w:val="auto"/>
          <w:sz w:val="36"/>
          <w:szCs w:val="36"/>
          <w:highlight w:val="none"/>
        </w:rPr>
      </w:pPr>
    </w:p>
    <w:p w14:paraId="0AD2D4BA">
      <w:pPr>
        <w:pageBreakBefore w:val="0"/>
        <w:kinsoku/>
        <w:wordWrap w:val="0"/>
        <w:overflowPunct/>
        <w:topLinePunct w:val="0"/>
        <w:bidi w:val="0"/>
        <w:spacing w:line="360" w:lineRule="auto"/>
        <w:jc w:val="center"/>
        <w:outlineLvl w:val="0"/>
        <w:rPr>
          <w:rFonts w:hint="eastAsia" w:ascii="宋体" w:hAnsi="宋体" w:eastAsia="宋体" w:cs="宋体"/>
          <w:b/>
          <w:color w:val="auto"/>
          <w:sz w:val="36"/>
          <w:szCs w:val="36"/>
          <w:highlight w:val="none"/>
        </w:rPr>
      </w:pPr>
    </w:p>
    <w:p w14:paraId="4AF0A1BE">
      <w:pPr>
        <w:pageBreakBefore w:val="0"/>
        <w:kinsoku/>
        <w:wordWrap w:val="0"/>
        <w:overflowPunct/>
        <w:topLinePunct w:val="0"/>
        <w:bidi w:val="0"/>
        <w:spacing w:line="360" w:lineRule="auto"/>
        <w:jc w:val="center"/>
        <w:outlineLvl w:val="0"/>
        <w:rPr>
          <w:rFonts w:hint="eastAsia" w:ascii="宋体" w:hAnsi="宋体" w:eastAsia="宋体" w:cs="宋体"/>
          <w:b/>
          <w:color w:val="auto"/>
          <w:sz w:val="36"/>
          <w:szCs w:val="36"/>
          <w:highlight w:val="none"/>
        </w:rPr>
      </w:pPr>
    </w:p>
    <w:p w14:paraId="1691177F">
      <w:pPr>
        <w:pageBreakBefore w:val="0"/>
        <w:kinsoku/>
        <w:wordWrap w:val="0"/>
        <w:overflowPunct/>
        <w:topLinePunct w:val="0"/>
        <w:bidi w:val="0"/>
        <w:spacing w:line="360" w:lineRule="auto"/>
        <w:jc w:val="center"/>
        <w:outlineLvl w:val="0"/>
        <w:rPr>
          <w:rFonts w:hint="eastAsia" w:ascii="宋体" w:hAnsi="宋体" w:eastAsia="宋体" w:cs="宋体"/>
          <w:b/>
          <w:color w:val="auto"/>
          <w:sz w:val="36"/>
          <w:szCs w:val="36"/>
          <w:highlight w:val="none"/>
        </w:rPr>
      </w:pPr>
    </w:p>
    <w:p w14:paraId="51C50AE4">
      <w:pPr>
        <w:pageBreakBefore w:val="0"/>
        <w:kinsoku/>
        <w:wordWrap w:val="0"/>
        <w:overflowPunct/>
        <w:topLinePunct w:val="0"/>
        <w:bidi w:val="0"/>
        <w:spacing w:line="360" w:lineRule="auto"/>
        <w:jc w:val="center"/>
        <w:outlineLvl w:val="0"/>
        <w:rPr>
          <w:rFonts w:hint="eastAsia" w:ascii="宋体" w:hAnsi="宋体" w:eastAsia="宋体" w:cs="宋体"/>
          <w:b/>
          <w:color w:val="auto"/>
          <w:sz w:val="36"/>
          <w:szCs w:val="36"/>
          <w:highlight w:val="none"/>
        </w:rPr>
      </w:pPr>
    </w:p>
    <w:p w14:paraId="4FE9AB28">
      <w:pPr>
        <w:pageBreakBefore w:val="0"/>
        <w:kinsoku/>
        <w:wordWrap w:val="0"/>
        <w:overflowPunct/>
        <w:topLinePunct w:val="0"/>
        <w:bidi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AD0BFC1">
      <w:pPr>
        <w:pageBreakBefore w:val="0"/>
        <w:kinsoku/>
        <w:wordWrap w:val="0"/>
        <w:overflowPunct/>
        <w:topLinePunct w:val="0"/>
        <w:bidi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1" w:name="_Toc184313278"/>
      <w:bookmarkEnd w:id="31"/>
      <w:bookmarkStart w:id="32" w:name="_Toc184314454"/>
      <w:bookmarkEnd w:id="32"/>
      <w:bookmarkStart w:id="33" w:name="_Toc184308042"/>
      <w:bookmarkEnd w:id="33"/>
      <w:bookmarkStart w:id="34" w:name="_Toc184312128"/>
      <w:bookmarkEnd w:id="34"/>
      <w:bookmarkStart w:id="35" w:name="_Toc184308090"/>
      <w:bookmarkEnd w:id="35"/>
      <w:bookmarkStart w:id="36" w:name="_Toc184308067"/>
      <w:bookmarkEnd w:id="36"/>
      <w:bookmarkStart w:id="37" w:name="_Toc184310289"/>
      <w:bookmarkEnd w:id="37"/>
      <w:bookmarkStart w:id="38" w:name="_Toc184310318"/>
      <w:bookmarkEnd w:id="38"/>
      <w:bookmarkStart w:id="39" w:name="_Toc184310331"/>
      <w:bookmarkEnd w:id="39"/>
      <w:bookmarkStart w:id="40" w:name="_Toc184312100"/>
      <w:bookmarkEnd w:id="40"/>
      <w:bookmarkStart w:id="41" w:name="_Toc184314430"/>
      <w:bookmarkEnd w:id="41"/>
      <w:bookmarkStart w:id="42" w:name="_Toc184308070"/>
      <w:bookmarkEnd w:id="42"/>
      <w:bookmarkStart w:id="43" w:name="_Toc184312080"/>
      <w:bookmarkEnd w:id="43"/>
      <w:bookmarkStart w:id="44" w:name="_Toc184314437"/>
      <w:bookmarkEnd w:id="44"/>
      <w:bookmarkStart w:id="45" w:name="_Toc184313309"/>
      <w:bookmarkEnd w:id="45"/>
      <w:bookmarkStart w:id="46" w:name="_Toc184310291"/>
      <w:bookmarkEnd w:id="46"/>
      <w:bookmarkStart w:id="47" w:name="_Toc184312138"/>
      <w:bookmarkEnd w:id="47"/>
      <w:bookmarkStart w:id="48" w:name="_Toc184314479"/>
      <w:bookmarkEnd w:id="48"/>
      <w:bookmarkStart w:id="49" w:name="_Toc184310308"/>
      <w:bookmarkEnd w:id="49"/>
      <w:bookmarkStart w:id="50" w:name="_Toc184310324"/>
      <w:bookmarkEnd w:id="50"/>
      <w:bookmarkStart w:id="51" w:name="_Toc184312086"/>
      <w:bookmarkEnd w:id="51"/>
      <w:bookmarkStart w:id="52" w:name="_Toc184314419"/>
      <w:bookmarkEnd w:id="52"/>
      <w:bookmarkStart w:id="53" w:name="_Toc184310326"/>
      <w:bookmarkEnd w:id="53"/>
      <w:bookmarkStart w:id="54" w:name="_Toc184313271"/>
      <w:bookmarkEnd w:id="54"/>
      <w:bookmarkStart w:id="55" w:name="_Toc184310315"/>
      <w:bookmarkEnd w:id="55"/>
      <w:bookmarkStart w:id="56" w:name="_Toc184314426"/>
      <w:bookmarkEnd w:id="56"/>
      <w:bookmarkStart w:id="57" w:name="_Toc184313280"/>
      <w:bookmarkEnd w:id="57"/>
      <w:bookmarkStart w:id="58" w:name="_Toc184308049"/>
      <w:bookmarkEnd w:id="58"/>
      <w:bookmarkStart w:id="59" w:name="_Toc184310292"/>
      <w:bookmarkEnd w:id="59"/>
      <w:bookmarkStart w:id="60" w:name="_Toc184312091"/>
      <w:bookmarkEnd w:id="60"/>
      <w:bookmarkStart w:id="61" w:name="_Toc184313307"/>
      <w:bookmarkEnd w:id="61"/>
      <w:bookmarkStart w:id="62" w:name="_Toc184314410"/>
      <w:bookmarkEnd w:id="62"/>
      <w:bookmarkStart w:id="63" w:name="_Toc184308074"/>
      <w:bookmarkEnd w:id="63"/>
      <w:bookmarkStart w:id="64" w:name="_Toc184310300"/>
      <w:bookmarkEnd w:id="64"/>
      <w:bookmarkStart w:id="65" w:name="_Toc184312096"/>
      <w:bookmarkEnd w:id="65"/>
      <w:bookmarkStart w:id="66" w:name="_Toc184313259"/>
      <w:bookmarkEnd w:id="66"/>
      <w:bookmarkStart w:id="67" w:name="_Toc184314475"/>
      <w:bookmarkEnd w:id="67"/>
      <w:bookmarkStart w:id="68" w:name="_Toc184312118"/>
      <w:bookmarkEnd w:id="68"/>
      <w:bookmarkStart w:id="69" w:name="_Toc184308084"/>
      <w:bookmarkEnd w:id="69"/>
      <w:bookmarkStart w:id="70" w:name="_Toc184313304"/>
      <w:bookmarkEnd w:id="70"/>
      <w:bookmarkStart w:id="71" w:name="_Toc184312102"/>
      <w:bookmarkEnd w:id="71"/>
      <w:bookmarkStart w:id="72" w:name="_Toc184310287"/>
      <w:bookmarkEnd w:id="72"/>
      <w:bookmarkStart w:id="73" w:name="_Toc184312078"/>
      <w:bookmarkEnd w:id="73"/>
      <w:bookmarkStart w:id="74" w:name="_Toc184313262"/>
      <w:bookmarkEnd w:id="74"/>
      <w:bookmarkStart w:id="75" w:name="_Toc184313251"/>
      <w:bookmarkEnd w:id="75"/>
      <w:bookmarkStart w:id="76" w:name="_Toc184312109"/>
      <w:bookmarkEnd w:id="76"/>
      <w:bookmarkStart w:id="77" w:name="_Toc184314434"/>
      <w:bookmarkEnd w:id="77"/>
      <w:bookmarkStart w:id="78" w:name="_Toc184310282"/>
      <w:bookmarkEnd w:id="78"/>
      <w:bookmarkStart w:id="79" w:name="_Toc184313290"/>
      <w:bookmarkEnd w:id="79"/>
      <w:bookmarkStart w:id="80" w:name="_Toc184313243"/>
      <w:bookmarkEnd w:id="80"/>
      <w:bookmarkStart w:id="81" w:name="_Toc184312133"/>
      <w:bookmarkEnd w:id="81"/>
      <w:bookmarkStart w:id="82" w:name="_Toc184310317"/>
      <w:bookmarkEnd w:id="82"/>
      <w:bookmarkStart w:id="83" w:name="_Toc184312103"/>
      <w:bookmarkEnd w:id="83"/>
      <w:bookmarkStart w:id="84" w:name="_Toc184314467"/>
      <w:bookmarkEnd w:id="84"/>
      <w:bookmarkStart w:id="85" w:name="_Toc184313247"/>
      <w:bookmarkEnd w:id="85"/>
      <w:bookmarkStart w:id="86" w:name="_Toc184308101"/>
      <w:bookmarkEnd w:id="86"/>
      <w:bookmarkStart w:id="87" w:name="_Toc184312112"/>
      <w:bookmarkEnd w:id="87"/>
      <w:bookmarkStart w:id="88" w:name="_Toc184313274"/>
      <w:bookmarkEnd w:id="88"/>
      <w:bookmarkStart w:id="89" w:name="_Toc184313282"/>
      <w:bookmarkEnd w:id="89"/>
      <w:bookmarkStart w:id="90" w:name="_Toc184312127"/>
      <w:bookmarkEnd w:id="90"/>
      <w:bookmarkStart w:id="91" w:name="_Toc184312117"/>
      <w:bookmarkEnd w:id="91"/>
      <w:bookmarkStart w:id="92" w:name="_Toc184310303"/>
      <w:bookmarkEnd w:id="92"/>
      <w:bookmarkStart w:id="93" w:name="_Toc184308055"/>
      <w:bookmarkEnd w:id="93"/>
      <w:bookmarkStart w:id="94" w:name="_Toc184310323"/>
      <w:bookmarkEnd w:id="94"/>
      <w:bookmarkStart w:id="95" w:name="_Toc184314462"/>
      <w:bookmarkEnd w:id="95"/>
      <w:bookmarkStart w:id="96" w:name="_Toc184310342"/>
      <w:bookmarkEnd w:id="96"/>
      <w:bookmarkStart w:id="97" w:name="_Toc184313285"/>
      <w:bookmarkEnd w:id="97"/>
      <w:bookmarkStart w:id="98" w:name="_Toc184308073"/>
      <w:bookmarkEnd w:id="98"/>
      <w:bookmarkStart w:id="99" w:name="_Toc184310322"/>
      <w:bookmarkEnd w:id="99"/>
      <w:bookmarkStart w:id="100" w:name="_Toc184312070"/>
      <w:bookmarkEnd w:id="100"/>
      <w:bookmarkStart w:id="101" w:name="_Toc184312077"/>
      <w:bookmarkEnd w:id="101"/>
      <w:bookmarkStart w:id="102" w:name="_Toc184313239"/>
      <w:bookmarkEnd w:id="102"/>
      <w:bookmarkStart w:id="103" w:name="_Toc184314423"/>
      <w:bookmarkEnd w:id="103"/>
      <w:bookmarkStart w:id="104" w:name="_Toc184310311"/>
      <w:bookmarkEnd w:id="104"/>
      <w:bookmarkStart w:id="105" w:name="_Toc184313276"/>
      <w:bookmarkEnd w:id="105"/>
      <w:bookmarkStart w:id="106" w:name="_Toc184313241"/>
      <w:bookmarkEnd w:id="106"/>
      <w:bookmarkStart w:id="107" w:name="_Toc184308083"/>
      <w:bookmarkEnd w:id="107"/>
      <w:bookmarkStart w:id="108" w:name="_Toc184308043"/>
      <w:bookmarkEnd w:id="108"/>
      <w:bookmarkStart w:id="109" w:name="_Toc184312136"/>
      <w:bookmarkEnd w:id="109"/>
      <w:bookmarkStart w:id="110" w:name="_Toc184310278"/>
      <w:bookmarkEnd w:id="110"/>
      <w:bookmarkStart w:id="111" w:name="_Toc184308089"/>
      <w:bookmarkEnd w:id="111"/>
      <w:bookmarkStart w:id="112" w:name="_Toc184308061"/>
      <w:bookmarkEnd w:id="112"/>
      <w:bookmarkStart w:id="113" w:name="_Toc184314460"/>
      <w:bookmarkEnd w:id="113"/>
      <w:bookmarkStart w:id="114" w:name="_Toc184312094"/>
      <w:bookmarkEnd w:id="114"/>
      <w:bookmarkStart w:id="115" w:name="_Toc184312074"/>
      <w:bookmarkEnd w:id="115"/>
      <w:bookmarkStart w:id="116" w:name="_Toc184313253"/>
      <w:bookmarkEnd w:id="116"/>
      <w:bookmarkStart w:id="117" w:name="_Toc184313249"/>
      <w:bookmarkEnd w:id="117"/>
      <w:bookmarkStart w:id="118" w:name="_Toc184314436"/>
      <w:bookmarkEnd w:id="118"/>
      <w:bookmarkStart w:id="119" w:name="_Toc184308080"/>
      <w:bookmarkEnd w:id="119"/>
      <w:bookmarkStart w:id="120" w:name="_Toc184312114"/>
      <w:bookmarkEnd w:id="120"/>
      <w:bookmarkStart w:id="121" w:name="_Toc184314450"/>
      <w:bookmarkEnd w:id="121"/>
      <w:bookmarkStart w:id="122" w:name="_Toc184313244"/>
      <w:bookmarkEnd w:id="122"/>
      <w:bookmarkStart w:id="123" w:name="_Toc184308079"/>
      <w:bookmarkEnd w:id="123"/>
      <w:bookmarkStart w:id="124" w:name="_Toc184314424"/>
      <w:bookmarkEnd w:id="124"/>
      <w:bookmarkStart w:id="125" w:name="_Toc184310320"/>
      <w:bookmarkEnd w:id="125"/>
      <w:bookmarkStart w:id="126" w:name="_Toc184308092"/>
      <w:bookmarkEnd w:id="126"/>
      <w:bookmarkStart w:id="127" w:name="_Toc184314443"/>
      <w:bookmarkEnd w:id="127"/>
      <w:bookmarkStart w:id="128" w:name="_Toc184313272"/>
      <w:bookmarkEnd w:id="128"/>
      <w:bookmarkStart w:id="129" w:name="_Toc184314465"/>
      <w:bookmarkEnd w:id="129"/>
      <w:bookmarkStart w:id="130" w:name="_Toc184308056"/>
      <w:bookmarkEnd w:id="130"/>
      <w:bookmarkStart w:id="131" w:name="_Toc184308058"/>
      <w:bookmarkEnd w:id="131"/>
      <w:bookmarkStart w:id="132" w:name="_Toc184312124"/>
      <w:bookmarkEnd w:id="132"/>
      <w:bookmarkStart w:id="133" w:name="_Toc184312131"/>
      <w:bookmarkEnd w:id="133"/>
      <w:bookmarkStart w:id="134" w:name="_Toc184312116"/>
      <w:bookmarkEnd w:id="134"/>
      <w:bookmarkStart w:id="135" w:name="_Toc184312126"/>
      <w:bookmarkEnd w:id="135"/>
      <w:bookmarkStart w:id="136" w:name="_Toc184310275"/>
      <w:bookmarkEnd w:id="136"/>
      <w:bookmarkStart w:id="137" w:name="_Toc184308048"/>
      <w:bookmarkEnd w:id="137"/>
      <w:bookmarkStart w:id="138" w:name="_Toc184313240"/>
      <w:bookmarkEnd w:id="138"/>
      <w:bookmarkStart w:id="139" w:name="_Toc184312067"/>
      <w:bookmarkEnd w:id="139"/>
      <w:bookmarkStart w:id="140" w:name="_Toc184308104"/>
      <w:bookmarkEnd w:id="140"/>
      <w:bookmarkStart w:id="141" w:name="_Toc184310335"/>
      <w:bookmarkEnd w:id="141"/>
      <w:bookmarkStart w:id="142" w:name="_Toc184312110"/>
      <w:bookmarkEnd w:id="142"/>
      <w:bookmarkStart w:id="143" w:name="_Toc184314464"/>
      <w:bookmarkEnd w:id="143"/>
      <w:bookmarkStart w:id="144" w:name="_Toc184314457"/>
      <w:bookmarkEnd w:id="144"/>
      <w:bookmarkStart w:id="145" w:name="_Toc184314415"/>
      <w:bookmarkEnd w:id="145"/>
      <w:bookmarkStart w:id="146" w:name="_Toc184310327"/>
      <w:bookmarkEnd w:id="146"/>
      <w:bookmarkStart w:id="147" w:name="_Toc184312122"/>
      <w:bookmarkEnd w:id="147"/>
      <w:bookmarkStart w:id="148" w:name="_Toc184308085"/>
      <w:bookmarkEnd w:id="148"/>
      <w:bookmarkStart w:id="149" w:name="_Toc184308103"/>
      <w:bookmarkEnd w:id="149"/>
      <w:bookmarkStart w:id="150" w:name="_Toc184310279"/>
      <w:bookmarkEnd w:id="150"/>
      <w:bookmarkStart w:id="151" w:name="_Toc184312068"/>
      <w:bookmarkEnd w:id="151"/>
      <w:bookmarkStart w:id="152" w:name="_Toc184314418"/>
      <w:bookmarkEnd w:id="152"/>
      <w:bookmarkStart w:id="153" w:name="_Toc184312090"/>
      <w:bookmarkEnd w:id="153"/>
      <w:bookmarkStart w:id="154" w:name="_Toc184310297"/>
      <w:bookmarkEnd w:id="154"/>
      <w:bookmarkStart w:id="155" w:name="_Toc184314478"/>
      <w:bookmarkEnd w:id="155"/>
      <w:bookmarkStart w:id="156" w:name="_Toc184308075"/>
      <w:bookmarkEnd w:id="156"/>
      <w:bookmarkStart w:id="157" w:name="_Toc184312071"/>
      <w:bookmarkEnd w:id="157"/>
      <w:bookmarkStart w:id="158" w:name="_Toc184312132"/>
      <w:bookmarkEnd w:id="158"/>
      <w:bookmarkStart w:id="159" w:name="_Toc184314447"/>
      <w:bookmarkEnd w:id="159"/>
      <w:bookmarkStart w:id="160" w:name="_Toc184313292"/>
      <w:bookmarkEnd w:id="160"/>
      <w:bookmarkStart w:id="161" w:name="_Toc184308097"/>
      <w:bookmarkEnd w:id="161"/>
      <w:bookmarkStart w:id="162" w:name="_Toc184314466"/>
      <w:bookmarkEnd w:id="162"/>
      <w:bookmarkStart w:id="163" w:name="_Toc184314452"/>
      <w:bookmarkEnd w:id="163"/>
      <w:bookmarkStart w:id="164" w:name="_Toc184308037"/>
      <w:bookmarkEnd w:id="164"/>
      <w:bookmarkStart w:id="165" w:name="_Toc184308036"/>
      <w:bookmarkEnd w:id="165"/>
      <w:bookmarkStart w:id="166" w:name="_Toc184314471"/>
      <w:bookmarkEnd w:id="166"/>
      <w:bookmarkStart w:id="167" w:name="_Toc184310276"/>
      <w:bookmarkEnd w:id="167"/>
      <w:bookmarkStart w:id="168" w:name="_Toc184312082"/>
      <w:bookmarkEnd w:id="168"/>
      <w:bookmarkStart w:id="169" w:name="_Toc184308054"/>
      <w:bookmarkEnd w:id="169"/>
      <w:bookmarkStart w:id="170" w:name="_Toc184308087"/>
      <w:bookmarkEnd w:id="170"/>
      <w:bookmarkStart w:id="171" w:name="_Toc184313263"/>
      <w:bookmarkEnd w:id="171"/>
      <w:bookmarkStart w:id="172" w:name="_Toc184308057"/>
      <w:bookmarkEnd w:id="172"/>
      <w:bookmarkStart w:id="173" w:name="_Toc184313246"/>
      <w:bookmarkEnd w:id="173"/>
      <w:bookmarkStart w:id="174" w:name="_Toc184313300"/>
      <w:bookmarkEnd w:id="174"/>
      <w:bookmarkStart w:id="175" w:name="_Toc184310341"/>
      <w:bookmarkEnd w:id="175"/>
      <w:bookmarkStart w:id="176" w:name="_Toc184314412"/>
      <w:bookmarkEnd w:id="176"/>
      <w:bookmarkStart w:id="177" w:name="_Toc184308100"/>
      <w:bookmarkEnd w:id="177"/>
      <w:bookmarkStart w:id="178" w:name="_Toc184314477"/>
      <w:bookmarkEnd w:id="178"/>
      <w:bookmarkStart w:id="179" w:name="_Toc184310285"/>
      <w:bookmarkEnd w:id="179"/>
      <w:bookmarkStart w:id="180" w:name="_Toc184308088"/>
      <w:bookmarkEnd w:id="180"/>
      <w:bookmarkStart w:id="181" w:name="_Toc184310340"/>
      <w:bookmarkEnd w:id="181"/>
      <w:bookmarkStart w:id="182" w:name="_Toc184312120"/>
      <w:bookmarkEnd w:id="182"/>
      <w:bookmarkStart w:id="183" w:name="_Toc184313277"/>
      <w:bookmarkEnd w:id="183"/>
      <w:bookmarkStart w:id="184" w:name="_Toc184312125"/>
      <w:bookmarkEnd w:id="184"/>
      <w:bookmarkStart w:id="185" w:name="_Toc184312081"/>
      <w:bookmarkEnd w:id="185"/>
      <w:bookmarkStart w:id="186" w:name="_Toc184314481"/>
      <w:bookmarkEnd w:id="186"/>
      <w:bookmarkStart w:id="187" w:name="_Toc184312113"/>
      <w:bookmarkEnd w:id="187"/>
      <w:bookmarkStart w:id="188" w:name="_Toc184310334"/>
      <w:bookmarkEnd w:id="188"/>
      <w:bookmarkStart w:id="189" w:name="_Toc184308072"/>
      <w:bookmarkEnd w:id="189"/>
      <w:bookmarkStart w:id="190" w:name="_Toc184308086"/>
      <w:bookmarkEnd w:id="190"/>
      <w:bookmarkStart w:id="191" w:name="_Toc184310316"/>
      <w:bookmarkEnd w:id="191"/>
      <w:bookmarkStart w:id="192" w:name="_Toc184310280"/>
      <w:bookmarkEnd w:id="192"/>
      <w:bookmarkStart w:id="193" w:name="_Toc184310336"/>
      <w:bookmarkEnd w:id="193"/>
      <w:bookmarkStart w:id="194" w:name="_Toc184308051"/>
      <w:bookmarkEnd w:id="194"/>
      <w:bookmarkStart w:id="195" w:name="_Toc184314451"/>
      <w:bookmarkEnd w:id="195"/>
      <w:bookmarkStart w:id="196" w:name="_Toc184308096"/>
      <w:bookmarkEnd w:id="196"/>
      <w:bookmarkStart w:id="197" w:name="_Toc184313279"/>
      <w:bookmarkEnd w:id="197"/>
      <w:bookmarkStart w:id="198" w:name="_Toc184314476"/>
      <w:bookmarkEnd w:id="198"/>
      <w:bookmarkStart w:id="199" w:name="_Toc184310313"/>
      <w:bookmarkEnd w:id="199"/>
      <w:bookmarkStart w:id="200" w:name="_Toc184310286"/>
      <w:bookmarkEnd w:id="200"/>
      <w:bookmarkStart w:id="201" w:name="_Toc184313291"/>
      <w:bookmarkEnd w:id="201"/>
      <w:bookmarkStart w:id="202" w:name="_Toc184313310"/>
      <w:bookmarkEnd w:id="202"/>
      <w:bookmarkStart w:id="203" w:name="_Toc184313288"/>
      <w:bookmarkEnd w:id="203"/>
      <w:bookmarkStart w:id="204" w:name="_Toc184313298"/>
      <w:bookmarkEnd w:id="204"/>
      <w:bookmarkStart w:id="205" w:name="_Toc184313296"/>
      <w:bookmarkEnd w:id="205"/>
      <w:bookmarkStart w:id="206" w:name="_Toc184308106"/>
      <w:bookmarkEnd w:id="206"/>
      <w:bookmarkStart w:id="207" w:name="_Toc184308068"/>
      <w:bookmarkEnd w:id="207"/>
      <w:bookmarkStart w:id="208" w:name="_Toc184314421"/>
      <w:bookmarkEnd w:id="208"/>
      <w:bookmarkStart w:id="209" w:name="_Toc184308050"/>
      <w:bookmarkEnd w:id="209"/>
      <w:bookmarkStart w:id="210" w:name="_Toc184312069"/>
      <w:bookmarkEnd w:id="210"/>
      <w:bookmarkStart w:id="211" w:name="_Toc184314480"/>
      <w:bookmarkEnd w:id="211"/>
      <w:bookmarkStart w:id="212" w:name="_Toc184310344"/>
      <w:bookmarkEnd w:id="212"/>
      <w:bookmarkStart w:id="213" w:name="_Toc184313295"/>
      <w:bookmarkEnd w:id="213"/>
      <w:bookmarkStart w:id="214" w:name="_Toc184312107"/>
      <w:bookmarkEnd w:id="214"/>
      <w:bookmarkStart w:id="215" w:name="_Toc184308066"/>
      <w:bookmarkEnd w:id="215"/>
      <w:bookmarkStart w:id="216" w:name="_Toc184310277"/>
      <w:bookmarkEnd w:id="216"/>
      <w:bookmarkStart w:id="217" w:name="_Toc184308062"/>
      <w:bookmarkEnd w:id="217"/>
      <w:bookmarkStart w:id="218" w:name="_Toc184314432"/>
      <w:bookmarkEnd w:id="218"/>
      <w:bookmarkStart w:id="219" w:name="_Toc184313265"/>
      <w:bookmarkEnd w:id="219"/>
      <w:bookmarkStart w:id="220" w:name="_Toc184310309"/>
      <w:bookmarkEnd w:id="220"/>
      <w:bookmarkStart w:id="221" w:name="_Toc184310294"/>
      <w:bookmarkEnd w:id="221"/>
      <w:bookmarkStart w:id="222" w:name="_Toc184313264"/>
      <w:bookmarkEnd w:id="222"/>
      <w:bookmarkStart w:id="223" w:name="_Toc184314470"/>
      <w:bookmarkEnd w:id="223"/>
      <w:bookmarkStart w:id="224" w:name="_Toc184313269"/>
      <w:bookmarkEnd w:id="224"/>
      <w:bookmarkStart w:id="225" w:name="_Toc184314427"/>
      <w:bookmarkEnd w:id="225"/>
      <w:bookmarkStart w:id="226" w:name="_Toc184310332"/>
      <w:bookmarkEnd w:id="226"/>
      <w:bookmarkStart w:id="227" w:name="_Toc184308094"/>
      <w:bookmarkEnd w:id="227"/>
      <w:bookmarkStart w:id="228" w:name="_Toc184308078"/>
      <w:bookmarkEnd w:id="228"/>
      <w:bookmarkStart w:id="229" w:name="_Toc184312073"/>
      <w:bookmarkEnd w:id="229"/>
      <w:bookmarkStart w:id="230" w:name="_Toc184314441"/>
      <w:bookmarkEnd w:id="230"/>
      <w:bookmarkStart w:id="231" w:name="_Toc184313261"/>
      <w:bookmarkEnd w:id="231"/>
      <w:bookmarkStart w:id="232" w:name="_Toc184314413"/>
      <w:bookmarkEnd w:id="232"/>
      <w:bookmarkStart w:id="233" w:name="_Toc184314414"/>
      <w:bookmarkEnd w:id="233"/>
      <w:bookmarkStart w:id="234" w:name="_Toc184313284"/>
      <w:bookmarkEnd w:id="234"/>
      <w:bookmarkStart w:id="235" w:name="_Toc184312075"/>
      <w:bookmarkEnd w:id="235"/>
      <w:bookmarkStart w:id="236" w:name="_Toc184314420"/>
      <w:bookmarkEnd w:id="236"/>
      <w:bookmarkStart w:id="237" w:name="_Toc184312085"/>
      <w:bookmarkEnd w:id="237"/>
      <w:bookmarkStart w:id="238" w:name="_Toc184314449"/>
      <w:bookmarkEnd w:id="238"/>
      <w:bookmarkStart w:id="239" w:name="_Toc184310284"/>
      <w:bookmarkEnd w:id="239"/>
      <w:bookmarkStart w:id="240" w:name="_Toc184308071"/>
      <w:bookmarkEnd w:id="240"/>
      <w:bookmarkStart w:id="241" w:name="_Toc184313281"/>
      <w:bookmarkEnd w:id="241"/>
      <w:bookmarkStart w:id="242" w:name="_Toc184314425"/>
      <w:bookmarkEnd w:id="242"/>
      <w:bookmarkStart w:id="243" w:name="_Toc184312121"/>
      <w:bookmarkEnd w:id="243"/>
      <w:bookmarkStart w:id="244" w:name="_Toc184310290"/>
      <w:bookmarkEnd w:id="244"/>
      <w:bookmarkStart w:id="245" w:name="_Toc184313242"/>
      <w:bookmarkEnd w:id="245"/>
      <w:bookmarkStart w:id="246" w:name="_Toc184314428"/>
      <w:bookmarkEnd w:id="246"/>
      <w:bookmarkStart w:id="247" w:name="_Toc184313248"/>
      <w:bookmarkEnd w:id="247"/>
      <w:bookmarkStart w:id="248" w:name="_Toc184310307"/>
      <w:bookmarkEnd w:id="248"/>
      <w:bookmarkStart w:id="249" w:name="_Toc184313287"/>
      <w:bookmarkEnd w:id="249"/>
      <w:bookmarkStart w:id="250" w:name="_Toc184312087"/>
      <w:bookmarkEnd w:id="250"/>
      <w:bookmarkStart w:id="251" w:name="_Toc184308102"/>
      <w:bookmarkEnd w:id="251"/>
      <w:bookmarkStart w:id="252" w:name="_Toc184314435"/>
      <w:bookmarkEnd w:id="252"/>
      <w:bookmarkStart w:id="253" w:name="_Toc184314416"/>
      <w:bookmarkEnd w:id="253"/>
      <w:bookmarkStart w:id="254" w:name="_Toc184308065"/>
      <w:bookmarkEnd w:id="254"/>
      <w:bookmarkStart w:id="255" w:name="_Toc184313257"/>
      <w:bookmarkEnd w:id="255"/>
      <w:bookmarkStart w:id="256" w:name="_Toc184312105"/>
      <w:bookmarkEnd w:id="256"/>
      <w:bookmarkStart w:id="257" w:name="_Toc184314463"/>
      <w:bookmarkEnd w:id="257"/>
      <w:bookmarkStart w:id="258" w:name="_Toc184313306"/>
      <w:bookmarkEnd w:id="258"/>
      <w:bookmarkStart w:id="259" w:name="_Toc184310329"/>
      <w:bookmarkEnd w:id="259"/>
      <w:bookmarkStart w:id="260" w:name="_Toc184313267"/>
      <w:bookmarkEnd w:id="260"/>
      <w:bookmarkStart w:id="261" w:name="_Toc184310274"/>
      <w:bookmarkEnd w:id="261"/>
      <w:bookmarkStart w:id="262" w:name="_Toc184312139"/>
      <w:bookmarkEnd w:id="262"/>
      <w:bookmarkStart w:id="263" w:name="_Toc184312111"/>
      <w:bookmarkEnd w:id="263"/>
      <w:bookmarkStart w:id="264" w:name="_Toc184314445"/>
      <w:bookmarkEnd w:id="264"/>
      <w:bookmarkStart w:id="265" w:name="_Toc184308095"/>
      <w:bookmarkEnd w:id="265"/>
      <w:bookmarkStart w:id="266" w:name="_Toc184308052"/>
      <w:bookmarkEnd w:id="266"/>
      <w:bookmarkStart w:id="267" w:name="_Toc184313297"/>
      <w:bookmarkEnd w:id="267"/>
      <w:bookmarkStart w:id="268" w:name="_Toc184310337"/>
      <w:bookmarkEnd w:id="268"/>
      <w:bookmarkStart w:id="269" w:name="_Toc184312108"/>
      <w:bookmarkEnd w:id="269"/>
      <w:bookmarkStart w:id="270" w:name="_Toc184312072"/>
      <w:bookmarkEnd w:id="270"/>
      <w:bookmarkStart w:id="271" w:name="_Toc184310304"/>
      <w:bookmarkEnd w:id="271"/>
      <w:bookmarkStart w:id="272" w:name="_Toc184313270"/>
      <w:bookmarkEnd w:id="272"/>
      <w:bookmarkStart w:id="273" w:name="_Toc184310333"/>
      <w:bookmarkEnd w:id="273"/>
      <w:bookmarkStart w:id="274" w:name="_Toc184310339"/>
      <w:bookmarkEnd w:id="274"/>
      <w:bookmarkStart w:id="275" w:name="_Toc184308053"/>
      <w:bookmarkEnd w:id="275"/>
      <w:bookmarkStart w:id="276" w:name="_Toc184310301"/>
      <w:bookmarkEnd w:id="276"/>
      <w:bookmarkStart w:id="277" w:name="_Toc184308091"/>
      <w:bookmarkEnd w:id="277"/>
      <w:bookmarkStart w:id="278" w:name="_Toc184314438"/>
      <w:bookmarkEnd w:id="278"/>
      <w:bookmarkStart w:id="279" w:name="_Toc184308107"/>
      <w:bookmarkEnd w:id="279"/>
      <w:bookmarkStart w:id="280" w:name="_Toc184314458"/>
      <w:bookmarkEnd w:id="280"/>
      <w:bookmarkStart w:id="281" w:name="_Toc184312097"/>
      <w:bookmarkEnd w:id="281"/>
      <w:bookmarkStart w:id="282" w:name="_Toc184314474"/>
      <w:bookmarkEnd w:id="282"/>
      <w:bookmarkStart w:id="283" w:name="_Toc184310319"/>
      <w:bookmarkEnd w:id="283"/>
      <w:bookmarkStart w:id="284" w:name="_Toc184314433"/>
      <w:bookmarkEnd w:id="284"/>
      <w:bookmarkStart w:id="285" w:name="_Toc184314473"/>
      <w:bookmarkEnd w:id="285"/>
      <w:bookmarkStart w:id="286" w:name="_Toc184312093"/>
      <w:bookmarkEnd w:id="286"/>
      <w:bookmarkStart w:id="287" w:name="_Toc184308069"/>
      <w:bookmarkEnd w:id="287"/>
      <w:bookmarkStart w:id="288" w:name="_Toc184310296"/>
      <w:bookmarkEnd w:id="288"/>
      <w:bookmarkStart w:id="289" w:name="_Toc184310310"/>
      <w:bookmarkEnd w:id="289"/>
      <w:bookmarkStart w:id="290" w:name="_Toc184308093"/>
      <w:bookmarkEnd w:id="290"/>
      <w:bookmarkStart w:id="291" w:name="_Toc184312119"/>
      <w:bookmarkEnd w:id="291"/>
      <w:bookmarkStart w:id="292" w:name="_Toc184312079"/>
      <w:bookmarkEnd w:id="292"/>
      <w:bookmarkStart w:id="293" w:name="_Toc184314431"/>
      <w:bookmarkEnd w:id="293"/>
      <w:bookmarkStart w:id="294" w:name="_Toc184310302"/>
      <w:bookmarkEnd w:id="294"/>
      <w:bookmarkStart w:id="295" w:name="_Toc184310293"/>
      <w:bookmarkEnd w:id="295"/>
      <w:bookmarkStart w:id="296" w:name="_Toc184313302"/>
      <w:bookmarkEnd w:id="296"/>
      <w:bookmarkStart w:id="297" w:name="_Toc184314446"/>
      <w:bookmarkEnd w:id="297"/>
      <w:bookmarkStart w:id="298" w:name="_Toc184312095"/>
      <w:bookmarkEnd w:id="298"/>
      <w:bookmarkStart w:id="299" w:name="_Toc184312101"/>
      <w:bookmarkEnd w:id="299"/>
      <w:bookmarkStart w:id="300" w:name="_Toc184312137"/>
      <w:bookmarkEnd w:id="300"/>
      <w:bookmarkStart w:id="301" w:name="_Toc184313238"/>
      <w:bookmarkEnd w:id="301"/>
      <w:bookmarkStart w:id="302" w:name="_Toc184312106"/>
      <w:bookmarkEnd w:id="302"/>
      <w:bookmarkStart w:id="303" w:name="_Toc184313289"/>
      <w:bookmarkEnd w:id="303"/>
      <w:bookmarkStart w:id="304" w:name="_Toc184310338"/>
      <w:bookmarkEnd w:id="304"/>
      <w:bookmarkStart w:id="305" w:name="_Toc184310343"/>
      <w:bookmarkEnd w:id="305"/>
      <w:bookmarkStart w:id="306" w:name="_Toc184313245"/>
      <w:bookmarkEnd w:id="306"/>
      <w:bookmarkStart w:id="307" w:name="_Toc184308045"/>
      <w:bookmarkEnd w:id="307"/>
      <w:bookmarkStart w:id="308" w:name="_Toc184313256"/>
      <w:bookmarkEnd w:id="308"/>
      <w:bookmarkStart w:id="309" w:name="_Toc184310312"/>
      <w:bookmarkEnd w:id="309"/>
      <w:bookmarkStart w:id="310" w:name="_Toc184314472"/>
      <w:bookmarkEnd w:id="310"/>
      <w:bookmarkStart w:id="311" w:name="_Toc184314461"/>
      <w:bookmarkEnd w:id="311"/>
      <w:bookmarkStart w:id="312" w:name="_Toc184313252"/>
      <w:bookmarkEnd w:id="312"/>
      <w:bookmarkStart w:id="313" w:name="_Toc184310306"/>
      <w:bookmarkEnd w:id="313"/>
      <w:bookmarkStart w:id="314" w:name="_Toc184308077"/>
      <w:bookmarkEnd w:id="314"/>
      <w:bookmarkStart w:id="315" w:name="_Toc184308040"/>
      <w:bookmarkEnd w:id="315"/>
      <w:bookmarkStart w:id="316" w:name="_Toc184312129"/>
      <w:bookmarkEnd w:id="316"/>
      <w:bookmarkStart w:id="317" w:name="_Toc184308098"/>
      <w:bookmarkEnd w:id="317"/>
      <w:bookmarkStart w:id="318" w:name="_Toc184308060"/>
      <w:bookmarkEnd w:id="318"/>
      <w:bookmarkStart w:id="319" w:name="_Toc184312088"/>
      <w:bookmarkEnd w:id="319"/>
      <w:bookmarkStart w:id="320" w:name="_Toc184314453"/>
      <w:bookmarkEnd w:id="320"/>
      <w:bookmarkStart w:id="321" w:name="_Toc184310299"/>
      <w:bookmarkEnd w:id="321"/>
      <w:bookmarkStart w:id="322" w:name="_Toc184310330"/>
      <w:bookmarkEnd w:id="322"/>
      <w:bookmarkStart w:id="323" w:name="_Toc184310273"/>
      <w:bookmarkEnd w:id="323"/>
      <w:bookmarkStart w:id="324" w:name="_Toc184314455"/>
      <w:bookmarkEnd w:id="324"/>
      <w:bookmarkStart w:id="325" w:name="_Toc184313266"/>
      <w:bookmarkEnd w:id="325"/>
      <w:bookmarkStart w:id="326" w:name="_Toc184312076"/>
      <w:bookmarkEnd w:id="326"/>
      <w:bookmarkStart w:id="327" w:name="_Toc184310298"/>
      <w:bookmarkEnd w:id="327"/>
      <w:bookmarkStart w:id="328" w:name="_Toc184314429"/>
      <w:bookmarkEnd w:id="328"/>
      <w:bookmarkStart w:id="329" w:name="_Toc184314417"/>
      <w:bookmarkEnd w:id="329"/>
      <w:bookmarkStart w:id="330" w:name="_Toc184314444"/>
      <w:bookmarkEnd w:id="330"/>
      <w:bookmarkStart w:id="331" w:name="_Toc184312135"/>
      <w:bookmarkEnd w:id="331"/>
      <w:bookmarkStart w:id="332" w:name="_Toc184313286"/>
      <w:bookmarkEnd w:id="332"/>
      <w:bookmarkStart w:id="333" w:name="_Toc184310321"/>
      <w:bookmarkEnd w:id="333"/>
      <w:bookmarkStart w:id="334" w:name="_Toc184314456"/>
      <w:bookmarkEnd w:id="334"/>
      <w:bookmarkStart w:id="335" w:name="_Toc184314439"/>
      <w:bookmarkEnd w:id="335"/>
      <w:bookmarkStart w:id="336" w:name="_Toc184308044"/>
      <w:bookmarkEnd w:id="336"/>
      <w:bookmarkStart w:id="337" w:name="_Toc184314422"/>
      <w:bookmarkEnd w:id="337"/>
      <w:bookmarkStart w:id="338" w:name="_Toc184314440"/>
      <w:bookmarkEnd w:id="338"/>
      <w:bookmarkStart w:id="339" w:name="_Toc184308099"/>
      <w:bookmarkEnd w:id="339"/>
      <w:bookmarkStart w:id="340" w:name="_Toc184312134"/>
      <w:bookmarkEnd w:id="340"/>
      <w:bookmarkStart w:id="341" w:name="_Toc184313293"/>
      <w:bookmarkEnd w:id="341"/>
      <w:bookmarkStart w:id="342" w:name="_Toc184312098"/>
      <w:bookmarkEnd w:id="342"/>
      <w:bookmarkStart w:id="343" w:name="_Toc184308039"/>
      <w:bookmarkEnd w:id="343"/>
      <w:bookmarkStart w:id="344" w:name="_Toc184313255"/>
      <w:bookmarkEnd w:id="344"/>
      <w:bookmarkStart w:id="345" w:name="_Toc184313268"/>
      <w:bookmarkEnd w:id="345"/>
      <w:bookmarkStart w:id="346" w:name="_Toc184310328"/>
      <w:bookmarkEnd w:id="346"/>
      <w:bookmarkStart w:id="347" w:name="_Toc184308041"/>
      <w:bookmarkEnd w:id="347"/>
      <w:bookmarkStart w:id="348" w:name="_Toc184310288"/>
      <w:bookmarkEnd w:id="348"/>
      <w:bookmarkStart w:id="349" w:name="_Toc184308038"/>
      <w:bookmarkEnd w:id="349"/>
      <w:bookmarkStart w:id="350" w:name="_Toc184313308"/>
      <w:bookmarkEnd w:id="350"/>
      <w:bookmarkStart w:id="351" w:name="_Toc184312092"/>
      <w:bookmarkEnd w:id="351"/>
      <w:bookmarkStart w:id="352" w:name="_Toc184312089"/>
      <w:bookmarkEnd w:id="352"/>
      <w:bookmarkStart w:id="353" w:name="_Toc184313273"/>
      <w:bookmarkEnd w:id="353"/>
      <w:bookmarkStart w:id="354" w:name="_Toc184308046"/>
      <w:bookmarkEnd w:id="354"/>
      <w:bookmarkStart w:id="355" w:name="_Toc184313305"/>
      <w:bookmarkEnd w:id="355"/>
      <w:bookmarkStart w:id="356" w:name="_Toc184312084"/>
      <w:bookmarkEnd w:id="356"/>
      <w:bookmarkStart w:id="357" w:name="_Toc184308063"/>
      <w:bookmarkEnd w:id="357"/>
      <w:bookmarkStart w:id="358" w:name="_Toc184313275"/>
      <w:bookmarkEnd w:id="358"/>
      <w:bookmarkStart w:id="359" w:name="_Toc184314442"/>
      <w:bookmarkEnd w:id="359"/>
      <w:bookmarkStart w:id="360" w:name="_Toc184314411"/>
      <w:bookmarkEnd w:id="360"/>
      <w:bookmarkStart w:id="361" w:name="_Toc184308076"/>
      <w:bookmarkEnd w:id="361"/>
      <w:bookmarkStart w:id="362" w:name="_Toc184312104"/>
      <w:bookmarkEnd w:id="362"/>
      <w:bookmarkStart w:id="363" w:name="_Toc184310272"/>
      <w:bookmarkEnd w:id="363"/>
      <w:bookmarkStart w:id="364" w:name="_Toc184312099"/>
      <w:bookmarkEnd w:id="364"/>
      <w:bookmarkStart w:id="365" w:name="_Toc184312083"/>
      <w:bookmarkEnd w:id="365"/>
      <w:bookmarkStart w:id="366" w:name="_Toc184314469"/>
      <w:bookmarkEnd w:id="366"/>
      <w:bookmarkStart w:id="367" w:name="_Toc184308059"/>
      <w:bookmarkEnd w:id="367"/>
      <w:bookmarkStart w:id="368" w:name="_Toc184314468"/>
      <w:bookmarkEnd w:id="368"/>
      <w:bookmarkStart w:id="369" w:name="_Toc184308081"/>
      <w:bookmarkEnd w:id="369"/>
      <w:bookmarkStart w:id="370" w:name="_Toc184313294"/>
      <w:bookmarkEnd w:id="370"/>
      <w:bookmarkStart w:id="371" w:name="_Toc184312123"/>
      <w:bookmarkEnd w:id="371"/>
      <w:bookmarkStart w:id="372" w:name="_Toc184310325"/>
      <w:bookmarkEnd w:id="372"/>
      <w:bookmarkStart w:id="373" w:name="_Toc184310283"/>
      <w:bookmarkEnd w:id="373"/>
      <w:bookmarkStart w:id="374" w:name="_Toc184314459"/>
      <w:bookmarkEnd w:id="374"/>
      <w:bookmarkStart w:id="375" w:name="_Toc184313303"/>
      <w:bookmarkEnd w:id="375"/>
      <w:bookmarkStart w:id="376" w:name="_Toc184308108"/>
      <w:bookmarkEnd w:id="376"/>
      <w:bookmarkStart w:id="377" w:name="_Toc184314448"/>
      <w:bookmarkEnd w:id="377"/>
      <w:bookmarkStart w:id="378" w:name="_Toc184308105"/>
      <w:bookmarkEnd w:id="378"/>
      <w:bookmarkStart w:id="379" w:name="_Toc184310305"/>
      <w:bookmarkEnd w:id="379"/>
      <w:bookmarkStart w:id="380" w:name="_Toc184313283"/>
      <w:bookmarkEnd w:id="380"/>
      <w:bookmarkStart w:id="381" w:name="_Toc184313258"/>
      <w:bookmarkEnd w:id="381"/>
      <w:bookmarkStart w:id="382" w:name="_Toc184312130"/>
      <w:bookmarkEnd w:id="382"/>
      <w:bookmarkStart w:id="383" w:name="_Toc184313254"/>
      <w:bookmarkEnd w:id="383"/>
      <w:bookmarkStart w:id="384" w:name="_Toc184313299"/>
      <w:bookmarkEnd w:id="384"/>
      <w:bookmarkStart w:id="385" w:name="_Toc184313260"/>
      <w:bookmarkEnd w:id="385"/>
      <w:bookmarkStart w:id="386" w:name="_Toc184310281"/>
      <w:bookmarkEnd w:id="386"/>
      <w:bookmarkStart w:id="387" w:name="_Toc184310314"/>
      <w:bookmarkEnd w:id="387"/>
      <w:bookmarkStart w:id="388" w:name="_Toc184310295"/>
      <w:bookmarkEnd w:id="388"/>
      <w:bookmarkStart w:id="389" w:name="_Toc184313301"/>
      <w:bookmarkEnd w:id="389"/>
      <w:bookmarkStart w:id="390" w:name="_Toc184312115"/>
      <w:bookmarkEnd w:id="390"/>
      <w:bookmarkStart w:id="391" w:name="_Toc184314482"/>
      <w:bookmarkEnd w:id="391"/>
      <w:bookmarkStart w:id="392" w:name="_Toc184308082"/>
      <w:bookmarkEnd w:id="392"/>
      <w:bookmarkStart w:id="393" w:name="_Toc184308047"/>
      <w:bookmarkEnd w:id="393"/>
      <w:bookmarkStart w:id="394" w:name="_Toc184308064"/>
      <w:bookmarkEnd w:id="394"/>
      <w:bookmarkStart w:id="395" w:name="_Toc184313250"/>
      <w:bookmarkEnd w:id="395"/>
      <w:r>
        <w:rPr>
          <w:rFonts w:hint="eastAsia" w:ascii="宋体" w:hAnsi="宋体" w:eastAsia="宋体" w:cs="宋体"/>
          <w:b/>
          <w:color w:val="auto"/>
          <w:sz w:val="36"/>
          <w:szCs w:val="36"/>
          <w:highlight w:val="none"/>
        </w:rPr>
        <w:t>评标办法</w:t>
      </w:r>
    </w:p>
    <w:p w14:paraId="09C0DCBD">
      <w:pPr>
        <w:pageBreakBefore w:val="0"/>
        <w:kinsoku/>
        <w:wordWrap w:val="0"/>
        <w:overflowPunct/>
        <w:topLinePunct w:val="0"/>
        <w:bidi w:val="0"/>
        <w:snapToGrid w:val="0"/>
        <w:spacing w:line="360" w:lineRule="auto"/>
        <w:ind w:firstLine="643"/>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6439"/>
        <w:gridCol w:w="765"/>
        <w:gridCol w:w="1029"/>
        <w:gridCol w:w="1029"/>
      </w:tblGrid>
      <w:tr w14:paraId="6B36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75" w:type="dxa"/>
            <w:noWrap w:val="0"/>
            <w:vAlign w:val="center"/>
          </w:tcPr>
          <w:p w14:paraId="68517367">
            <w:pPr>
              <w:spacing w:line="360" w:lineRule="auto"/>
              <w:jc w:val="center"/>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rPr>
              <w:t>序号</w:t>
            </w:r>
          </w:p>
        </w:tc>
        <w:tc>
          <w:tcPr>
            <w:tcW w:w="6439" w:type="dxa"/>
            <w:noWrap w:val="0"/>
            <w:vAlign w:val="center"/>
          </w:tcPr>
          <w:p w14:paraId="44128C9A">
            <w:pPr>
              <w:spacing w:line="360" w:lineRule="auto"/>
              <w:jc w:val="center"/>
              <w:outlineLvl w:val="0"/>
              <w:rPr>
                <w:rFonts w:hint="eastAsia" w:ascii="宋体" w:hAnsi="宋体" w:eastAsia="宋体" w:cs="宋体"/>
                <w:b w:val="0"/>
                <w:bCs/>
                <w:sz w:val="18"/>
                <w:szCs w:val="18"/>
                <w:highlight w:val="none"/>
              </w:rPr>
            </w:pPr>
            <w:r>
              <w:rPr>
                <w:rFonts w:hint="eastAsia" w:ascii="宋体" w:hAnsi="宋体" w:eastAsia="宋体" w:cs="宋体"/>
                <w:b w:val="0"/>
                <w:bCs/>
                <w:sz w:val="24"/>
                <w:highlight w:val="none"/>
              </w:rPr>
              <w:t>评标标准</w:t>
            </w:r>
          </w:p>
        </w:tc>
        <w:tc>
          <w:tcPr>
            <w:tcW w:w="765" w:type="dxa"/>
            <w:noWrap w:val="0"/>
            <w:vAlign w:val="center"/>
          </w:tcPr>
          <w:p w14:paraId="22F889A6">
            <w:pPr>
              <w:spacing w:line="360" w:lineRule="auto"/>
              <w:jc w:val="center"/>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rPr>
              <w:t>权重</w:t>
            </w:r>
          </w:p>
        </w:tc>
        <w:tc>
          <w:tcPr>
            <w:tcW w:w="1029" w:type="dxa"/>
            <w:noWrap w:val="0"/>
            <w:vAlign w:val="center"/>
          </w:tcPr>
          <w:p w14:paraId="7AC41543">
            <w:pPr>
              <w:spacing w:line="360" w:lineRule="auto"/>
              <w:jc w:val="center"/>
              <w:outlineLvl w:val="0"/>
              <w:rPr>
                <w:rFonts w:hint="eastAsia" w:ascii="宋体" w:hAnsi="宋体" w:eastAsia="宋体" w:cs="宋体"/>
                <w:b w:val="0"/>
                <w:bCs/>
                <w:sz w:val="24"/>
                <w:highlight w:val="none"/>
              </w:rPr>
            </w:pPr>
            <w:r>
              <w:rPr>
                <w:rFonts w:hint="eastAsia" w:ascii="宋体" w:hAnsi="宋体" w:eastAsia="宋体" w:cs="宋体"/>
                <w:b w:val="0"/>
                <w:bCs/>
                <w:sz w:val="24"/>
                <w:highlight w:val="none"/>
              </w:rPr>
              <w:t>主观分/客观分属性</w:t>
            </w:r>
          </w:p>
        </w:tc>
        <w:tc>
          <w:tcPr>
            <w:tcW w:w="1029" w:type="dxa"/>
            <w:noWrap w:val="0"/>
            <w:vAlign w:val="center"/>
          </w:tcPr>
          <w:p w14:paraId="7E133302">
            <w:pPr>
              <w:spacing w:line="360" w:lineRule="auto"/>
              <w:jc w:val="center"/>
              <w:outlineLvl w:val="0"/>
              <w:rPr>
                <w:rFonts w:hint="eastAsia" w:ascii="宋体" w:hAnsi="宋体" w:eastAsia="宋体" w:cs="宋体"/>
                <w:b w:val="0"/>
                <w:bCs/>
                <w:sz w:val="24"/>
                <w:highlight w:val="none"/>
              </w:rPr>
            </w:pPr>
            <w:r>
              <w:rPr>
                <w:rFonts w:hint="eastAsia" w:ascii="宋体" w:hAnsi="宋体" w:eastAsia="宋体" w:cs="宋体"/>
                <w:bCs/>
                <w:color w:val="auto"/>
                <w:sz w:val="24"/>
                <w:highlight w:val="none"/>
              </w:rPr>
              <w:t>投标文件中评标标准相应的商务技术资料目录*</w:t>
            </w:r>
          </w:p>
        </w:tc>
      </w:tr>
      <w:tr w14:paraId="1703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5" w:type="dxa"/>
            <w:noWrap w:val="0"/>
            <w:vAlign w:val="center"/>
          </w:tcPr>
          <w:p w14:paraId="0C24938A">
            <w:pPr>
              <w:spacing w:line="400" w:lineRule="exact"/>
              <w:jc w:val="center"/>
              <w:outlineLvl w:val="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w:t>
            </w:r>
          </w:p>
        </w:tc>
        <w:tc>
          <w:tcPr>
            <w:tcW w:w="6439" w:type="dxa"/>
            <w:noWrap w:val="0"/>
            <w:vAlign w:val="top"/>
          </w:tcPr>
          <w:p w14:paraId="7271995B">
            <w:pPr>
              <w:spacing w:before="156" w:line="240" w:lineRule="auto"/>
              <w:rPr>
                <w:rFonts w:hint="eastAsia" w:ascii="宋体" w:hAnsi="宋体" w:eastAsia="宋体" w:cs="宋体"/>
                <w:b/>
                <w:color w:val="000000"/>
                <w:sz w:val="24"/>
                <w:szCs w:val="24"/>
                <w:highlight w:val="none"/>
                <w:lang w:val="en-US" w:eastAsia="zh-CN"/>
              </w:rPr>
            </w:pPr>
            <w:r>
              <w:rPr>
                <w:rFonts w:hint="eastAsia" w:ascii="宋体" w:hAnsi="宋体" w:eastAsia="宋体" w:cs="宋体"/>
                <w:color w:val="auto"/>
                <w:kern w:val="0"/>
                <w:sz w:val="24"/>
                <w:highlight w:val="none"/>
                <w:lang w:eastAsia="zh-CN"/>
              </w:rPr>
              <w:t>投标人或</w:t>
            </w:r>
            <w:r>
              <w:rPr>
                <w:rFonts w:hint="eastAsia" w:ascii="宋体" w:hAnsi="宋体" w:eastAsia="宋体" w:cs="宋体"/>
                <w:kern w:val="0"/>
                <w:sz w:val="24"/>
                <w:highlight w:val="none"/>
              </w:rPr>
              <w:t>产品生产制造商具有有效期内的ISO9001质量管理体系认证证书、ISO14001环境管理体系认证证书、ISO45001职业健康</w:t>
            </w:r>
            <w:r>
              <w:rPr>
                <w:rFonts w:hint="eastAsia" w:ascii="宋体" w:hAnsi="宋体" w:eastAsia="宋体" w:cs="宋体"/>
                <w:color w:val="auto"/>
                <w:kern w:val="0"/>
                <w:sz w:val="24"/>
                <w:highlight w:val="none"/>
              </w:rPr>
              <w:t>安全管理体系认证证书或(GB/T28001职业健康安全管理体系认证证书)，证书的认证范围须包括</w:t>
            </w:r>
            <w:r>
              <w:rPr>
                <w:rFonts w:hint="eastAsia" w:ascii="宋体" w:hAnsi="宋体" w:eastAsia="宋体" w:cs="宋体"/>
                <w:color w:val="auto"/>
                <w:kern w:val="0"/>
                <w:sz w:val="24"/>
                <w:highlight w:val="none"/>
                <w:lang w:val="en-US" w:eastAsia="zh-CN"/>
              </w:rPr>
              <w:t>但不仅限于实木家具、人造板家具</w:t>
            </w:r>
            <w:r>
              <w:rPr>
                <w:rFonts w:hint="eastAsia" w:ascii="宋体" w:hAnsi="宋体" w:eastAsia="宋体" w:cs="宋体"/>
                <w:color w:val="auto"/>
                <w:kern w:val="0"/>
                <w:sz w:val="24"/>
                <w:highlight w:val="none"/>
              </w:rPr>
              <w:t>、金属家具、软体家具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展览展示（或广告设计）、微型计算机</w:t>
            </w:r>
            <w:r>
              <w:rPr>
                <w:rFonts w:hint="eastAsia" w:ascii="宋体" w:hAnsi="宋体" w:eastAsia="宋体" w:cs="宋体"/>
                <w:color w:val="auto"/>
                <w:kern w:val="0"/>
                <w:sz w:val="24"/>
                <w:highlight w:val="none"/>
              </w:rPr>
              <w:t>。以上全部满足得3分，缺少一项，每项扣1分，扣完为止。</w:t>
            </w:r>
            <w:r>
              <w:rPr>
                <w:rFonts w:hint="eastAsia" w:ascii="宋体" w:hAnsi="宋体" w:eastAsia="宋体" w:cs="宋体"/>
                <w:color w:val="auto"/>
                <w:kern w:val="0"/>
                <w:sz w:val="24"/>
                <w:highlight w:val="none"/>
              </w:rPr>
              <w:t>（1.</w:t>
            </w:r>
            <w:r>
              <w:rPr>
                <w:rFonts w:hint="eastAsia" w:ascii="宋体" w:hAnsi="宋体" w:eastAsia="宋体" w:cs="宋体"/>
                <w:b/>
                <w:bCs/>
                <w:color w:val="auto"/>
                <w:sz w:val="24"/>
                <w:highlight w:val="none"/>
              </w:rPr>
              <w:t>以上证书需提供证书复印件及在全国认证认可信息公共服务平台证书查询截图，否则不得分。2.认证范围中的产品品类与上述名称一一对应即可，无需每个字都一样</w:t>
            </w:r>
            <w:r>
              <w:rPr>
                <w:rFonts w:hint="eastAsia" w:ascii="宋体" w:hAnsi="宋体" w:eastAsia="宋体" w:cs="宋体"/>
                <w:color w:val="auto"/>
                <w:kern w:val="0"/>
                <w:sz w:val="24"/>
                <w:highlight w:val="none"/>
              </w:rPr>
              <w:t>）</w:t>
            </w:r>
          </w:p>
        </w:tc>
        <w:tc>
          <w:tcPr>
            <w:tcW w:w="765" w:type="dxa"/>
            <w:noWrap w:val="0"/>
            <w:vAlign w:val="center"/>
          </w:tcPr>
          <w:p w14:paraId="25D6586E">
            <w:pPr>
              <w:widowControl/>
              <w:adjustRightInd/>
              <w:spacing w:line="360" w:lineRule="auto"/>
              <w:jc w:val="center"/>
              <w:textAlignment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3</w:t>
            </w:r>
          </w:p>
        </w:tc>
        <w:tc>
          <w:tcPr>
            <w:tcW w:w="1029" w:type="dxa"/>
            <w:noWrap w:val="0"/>
            <w:vAlign w:val="center"/>
          </w:tcPr>
          <w:p w14:paraId="62A86B9C">
            <w:pPr>
              <w:widowControl/>
              <w:adjustRightInd/>
              <w:spacing w:line="360" w:lineRule="auto"/>
              <w:jc w:val="center"/>
              <w:textAlignment w:val="center"/>
              <w:rPr>
                <w:rFonts w:hint="eastAsia" w:ascii="宋体" w:hAnsi="宋体" w:eastAsia="宋体" w:cs="宋体"/>
                <w:color w:val="000000"/>
                <w:kern w:val="0"/>
                <w:sz w:val="24"/>
                <w:highlight w:val="none"/>
              </w:rPr>
            </w:pPr>
            <w:bookmarkStart w:id="396" w:name="OLE_LINK9"/>
            <w:r>
              <w:rPr>
                <w:rFonts w:hint="eastAsia" w:ascii="宋体" w:hAnsi="宋体" w:eastAsia="宋体" w:cs="宋体"/>
                <w:color w:val="000000"/>
                <w:kern w:val="0"/>
                <w:sz w:val="24"/>
                <w:highlight w:val="none"/>
              </w:rPr>
              <w:t>客观</w:t>
            </w:r>
            <w:bookmarkEnd w:id="396"/>
          </w:p>
        </w:tc>
        <w:tc>
          <w:tcPr>
            <w:tcW w:w="1029" w:type="dxa"/>
            <w:noWrap w:val="0"/>
            <w:vAlign w:val="center"/>
          </w:tcPr>
          <w:p w14:paraId="35211EE7">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5F86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575" w:type="dxa"/>
            <w:noWrap w:val="0"/>
            <w:vAlign w:val="center"/>
          </w:tcPr>
          <w:p w14:paraId="6AF0D697">
            <w:pPr>
              <w:spacing w:line="400" w:lineRule="exact"/>
              <w:jc w:val="center"/>
              <w:outlineLvl w:val="0"/>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val="en-US" w:eastAsia="zh-CN"/>
              </w:rPr>
              <w:t>2</w:t>
            </w:r>
          </w:p>
        </w:tc>
        <w:tc>
          <w:tcPr>
            <w:tcW w:w="6439" w:type="dxa"/>
            <w:noWrap w:val="0"/>
            <w:vAlign w:val="top"/>
          </w:tcPr>
          <w:p w14:paraId="6E74D6D9">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须提供生产厂家的核心专业生产设备，最高得</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分。核心生产设备按品类，具体要求如下：</w:t>
            </w:r>
          </w:p>
          <w:p w14:paraId="6CE9E904">
            <w:pPr>
              <w:spacing w:line="280" w:lineRule="exac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bidi="ar"/>
              </w:rPr>
              <w:t>1.</w:t>
            </w:r>
            <w:r>
              <w:rPr>
                <w:rFonts w:hint="eastAsia" w:ascii="宋体" w:hAnsi="宋体" w:eastAsia="宋体" w:cs="宋体"/>
                <w:b/>
                <w:bCs/>
                <w:color w:val="auto"/>
                <w:kern w:val="0"/>
                <w:sz w:val="24"/>
                <w:szCs w:val="24"/>
                <w:highlight w:val="none"/>
                <w:lang w:bidi="ar"/>
              </w:rPr>
              <w:t>人造板类：</w:t>
            </w:r>
            <w:r>
              <w:rPr>
                <w:rFonts w:hint="eastAsia" w:ascii="宋体" w:hAnsi="宋体" w:eastAsia="宋体" w:cs="宋体"/>
                <w:b w:val="0"/>
                <w:bCs w:val="0"/>
                <w:kern w:val="0"/>
                <w:sz w:val="24"/>
                <w:szCs w:val="24"/>
                <w:highlight w:val="none"/>
              </w:rPr>
              <w:t>电子</w:t>
            </w:r>
            <w:r>
              <w:rPr>
                <w:rFonts w:hint="eastAsia" w:ascii="宋体" w:hAnsi="宋体" w:eastAsia="宋体" w:cs="宋体"/>
                <w:b w:val="0"/>
                <w:bCs w:val="0"/>
                <w:color w:val="auto"/>
                <w:kern w:val="0"/>
                <w:sz w:val="24"/>
                <w:szCs w:val="24"/>
                <w:highlight w:val="none"/>
                <w:lang w:bidi="ar"/>
              </w:rPr>
              <w:t>开料锯机、</w:t>
            </w:r>
            <w:r>
              <w:rPr>
                <w:rFonts w:hint="eastAsia" w:ascii="宋体" w:hAnsi="宋体" w:eastAsia="宋体" w:cs="宋体"/>
                <w:b w:val="0"/>
                <w:bCs w:val="0"/>
                <w:kern w:val="0"/>
                <w:sz w:val="24"/>
                <w:szCs w:val="24"/>
                <w:highlight w:val="none"/>
              </w:rPr>
              <w:t>激光封边机及其控制系统</w:t>
            </w:r>
            <w:r>
              <w:rPr>
                <w:rFonts w:hint="eastAsia" w:ascii="宋体" w:hAnsi="宋体" w:eastAsia="宋体" w:cs="宋体"/>
                <w:b w:val="0"/>
                <w:bCs w:val="0"/>
                <w:color w:val="auto"/>
                <w:kern w:val="0"/>
                <w:sz w:val="24"/>
                <w:szCs w:val="24"/>
                <w:highlight w:val="none"/>
                <w:lang w:bidi="ar"/>
              </w:rPr>
              <w:t>、</w:t>
            </w:r>
            <w:r>
              <w:rPr>
                <w:rFonts w:hint="eastAsia" w:ascii="宋体" w:hAnsi="宋体" w:eastAsia="宋体" w:cs="宋体"/>
                <w:b w:val="0"/>
                <w:bCs w:val="0"/>
                <w:kern w:val="0"/>
                <w:sz w:val="24"/>
                <w:szCs w:val="24"/>
                <w:highlight w:val="none"/>
              </w:rPr>
              <w:t>全自动多排钻</w:t>
            </w:r>
            <w:r>
              <w:rPr>
                <w:rFonts w:hint="eastAsia" w:ascii="宋体" w:hAnsi="宋体" w:eastAsia="宋体" w:cs="宋体"/>
                <w:b w:val="0"/>
                <w:bCs w:val="0"/>
                <w:color w:val="auto"/>
                <w:kern w:val="0"/>
                <w:sz w:val="24"/>
                <w:szCs w:val="24"/>
                <w:highlight w:val="none"/>
                <w:lang w:bidi="ar"/>
              </w:rPr>
              <w:t>、热压机、涂装设备、</w:t>
            </w:r>
            <w:r>
              <w:rPr>
                <w:rFonts w:hint="eastAsia" w:ascii="宋体" w:hAnsi="宋体" w:eastAsia="宋体" w:cs="宋体"/>
                <w:b w:val="0"/>
                <w:bCs w:val="0"/>
                <w:kern w:val="0"/>
                <w:sz w:val="24"/>
                <w:szCs w:val="24"/>
                <w:highlight w:val="none"/>
              </w:rPr>
              <w:t>数控加工中心</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val="en-US" w:eastAsia="zh-CN" w:bidi="ar"/>
              </w:rPr>
              <w:t>每提供一种得0.2分，最高得1.2分；</w:t>
            </w:r>
          </w:p>
          <w:p w14:paraId="38181462">
            <w:pPr>
              <w:spacing w:line="280" w:lineRule="exact"/>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2.实木类</w:t>
            </w:r>
            <w:r>
              <w:rPr>
                <w:rFonts w:hint="eastAsia" w:ascii="宋体" w:hAnsi="宋体" w:eastAsia="宋体" w:cs="宋体"/>
                <w:b w:val="0"/>
                <w:bCs w:val="0"/>
                <w:color w:val="auto"/>
                <w:kern w:val="0"/>
                <w:sz w:val="24"/>
                <w:szCs w:val="24"/>
                <w:highlight w:val="none"/>
                <w:lang w:bidi="ar"/>
              </w:rPr>
              <w:t>：横截锯机、平刨床、压刨</w:t>
            </w:r>
            <w:r>
              <w:rPr>
                <w:rFonts w:hint="eastAsia" w:ascii="宋体" w:hAnsi="宋体" w:eastAsia="宋体" w:cs="宋体"/>
                <w:b w:val="0"/>
                <w:bCs w:val="0"/>
                <w:color w:val="auto"/>
                <w:kern w:val="0"/>
                <w:sz w:val="24"/>
                <w:szCs w:val="24"/>
                <w:highlight w:val="none"/>
                <w:lang w:val="en-US" w:eastAsia="zh-CN" w:bidi="ar"/>
              </w:rPr>
              <w:t>机</w:t>
            </w:r>
            <w:r>
              <w:rPr>
                <w:rFonts w:hint="eastAsia" w:ascii="宋体" w:hAnsi="宋体" w:eastAsia="宋体" w:cs="宋体"/>
                <w:b w:val="0"/>
                <w:bCs w:val="0"/>
                <w:color w:val="auto"/>
                <w:kern w:val="0"/>
                <w:sz w:val="24"/>
                <w:szCs w:val="24"/>
                <w:highlight w:val="none"/>
                <w:lang w:bidi="ar"/>
              </w:rPr>
              <w:t>、拼板机、开榫机、</w:t>
            </w:r>
            <w:r>
              <w:rPr>
                <w:rFonts w:hint="eastAsia" w:ascii="宋体" w:hAnsi="宋体" w:eastAsia="宋体" w:cs="宋体"/>
                <w:b w:val="0"/>
                <w:bCs w:val="0"/>
                <w:color w:val="auto"/>
                <w:kern w:val="0"/>
                <w:sz w:val="24"/>
                <w:szCs w:val="24"/>
                <w:highlight w:val="none"/>
                <w:lang w:val="en-US" w:eastAsia="zh-CN" w:bidi="ar"/>
              </w:rPr>
              <w:t>木工钻铣</w:t>
            </w:r>
            <w:r>
              <w:rPr>
                <w:rFonts w:hint="eastAsia" w:ascii="宋体" w:hAnsi="宋体" w:eastAsia="宋体" w:cs="宋体"/>
                <w:b w:val="0"/>
                <w:bCs w:val="0"/>
                <w:color w:val="auto"/>
                <w:kern w:val="0"/>
                <w:sz w:val="24"/>
                <w:szCs w:val="24"/>
                <w:highlight w:val="none"/>
                <w:lang w:bidi="ar"/>
              </w:rPr>
              <w:t>加工中心、干燥</w:t>
            </w:r>
            <w:r>
              <w:rPr>
                <w:rFonts w:hint="eastAsia" w:ascii="宋体" w:hAnsi="宋体" w:eastAsia="宋体" w:cs="宋体"/>
                <w:b w:val="0"/>
                <w:bCs w:val="0"/>
                <w:color w:val="auto"/>
                <w:kern w:val="0"/>
                <w:sz w:val="24"/>
                <w:szCs w:val="24"/>
                <w:highlight w:val="none"/>
                <w:lang w:val="en-US" w:eastAsia="zh-CN" w:bidi="ar"/>
              </w:rPr>
              <w:t>机</w:t>
            </w:r>
            <w:r>
              <w:rPr>
                <w:rFonts w:hint="eastAsia" w:ascii="宋体" w:hAnsi="宋体" w:eastAsia="宋体" w:cs="宋体"/>
                <w:b w:val="0"/>
                <w:bCs w:val="0"/>
                <w:color w:val="auto"/>
                <w:kern w:val="0"/>
                <w:sz w:val="24"/>
                <w:szCs w:val="24"/>
                <w:highlight w:val="none"/>
                <w:lang w:bidi="ar"/>
              </w:rPr>
              <w:t>、涂装设备</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val="en-US" w:eastAsia="zh-CN" w:bidi="ar"/>
              </w:rPr>
              <w:t>每提供一种得0.2分，最高得1.6分；</w:t>
            </w:r>
          </w:p>
          <w:p w14:paraId="347AA137">
            <w:pPr>
              <w:spacing w:line="280" w:lineRule="exact"/>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3.钢制类</w:t>
            </w:r>
            <w:r>
              <w:rPr>
                <w:rFonts w:hint="eastAsia" w:ascii="宋体" w:hAnsi="宋体" w:eastAsia="宋体" w:cs="宋体"/>
                <w:b w:val="0"/>
                <w:bCs w:val="0"/>
                <w:color w:val="auto"/>
                <w:kern w:val="0"/>
                <w:sz w:val="24"/>
                <w:szCs w:val="24"/>
                <w:highlight w:val="none"/>
                <w:lang w:bidi="ar"/>
              </w:rPr>
              <w:t>：</w:t>
            </w:r>
            <w:r>
              <w:rPr>
                <w:rFonts w:hint="eastAsia" w:ascii="宋体" w:hAnsi="宋体" w:eastAsia="宋体" w:cs="宋体"/>
                <w:b w:val="0"/>
                <w:bCs w:val="0"/>
                <w:kern w:val="0"/>
                <w:sz w:val="24"/>
                <w:szCs w:val="24"/>
                <w:highlight w:val="none"/>
              </w:rPr>
              <w:t>激光切割机</w:t>
            </w:r>
            <w:r>
              <w:rPr>
                <w:rFonts w:hint="eastAsia" w:ascii="宋体" w:hAnsi="宋体" w:eastAsia="宋体" w:cs="宋体"/>
                <w:b w:val="0"/>
                <w:bCs w:val="0"/>
                <w:color w:val="auto"/>
                <w:kern w:val="0"/>
                <w:sz w:val="24"/>
                <w:szCs w:val="24"/>
                <w:highlight w:val="none"/>
                <w:lang w:bidi="ar"/>
              </w:rPr>
              <w:t>、</w:t>
            </w:r>
            <w:r>
              <w:rPr>
                <w:rFonts w:hint="eastAsia" w:ascii="宋体" w:hAnsi="宋体" w:eastAsia="宋体" w:cs="宋体"/>
                <w:b w:val="0"/>
                <w:bCs w:val="0"/>
                <w:kern w:val="0"/>
                <w:sz w:val="24"/>
                <w:szCs w:val="24"/>
                <w:highlight w:val="none"/>
              </w:rPr>
              <w:t>激光焊接机器人</w:t>
            </w:r>
            <w:r>
              <w:rPr>
                <w:rFonts w:hint="eastAsia" w:ascii="宋体" w:hAnsi="宋体" w:eastAsia="宋体" w:cs="宋体"/>
                <w:b w:val="0"/>
                <w:bCs w:val="0"/>
                <w:color w:val="auto"/>
                <w:kern w:val="0"/>
                <w:sz w:val="24"/>
                <w:szCs w:val="24"/>
                <w:highlight w:val="none"/>
                <w:lang w:bidi="ar"/>
              </w:rPr>
              <w:t>、涂装设备、冲床、</w:t>
            </w:r>
            <w:r>
              <w:rPr>
                <w:rFonts w:hint="eastAsia" w:ascii="宋体" w:hAnsi="宋体" w:eastAsia="宋体" w:cs="宋体"/>
                <w:b w:val="0"/>
                <w:bCs w:val="0"/>
                <w:kern w:val="0"/>
                <w:sz w:val="24"/>
                <w:szCs w:val="24"/>
                <w:highlight w:val="none"/>
              </w:rPr>
              <w:t>自动折弯机</w:t>
            </w:r>
            <w:r>
              <w:rPr>
                <w:rFonts w:hint="eastAsia" w:ascii="宋体" w:hAnsi="宋体" w:eastAsia="宋体" w:cs="宋体"/>
                <w:b w:val="0"/>
                <w:bCs w:val="0"/>
                <w:color w:val="auto"/>
                <w:kern w:val="0"/>
                <w:sz w:val="24"/>
                <w:szCs w:val="24"/>
                <w:highlight w:val="none"/>
                <w:lang w:bidi="ar"/>
              </w:rPr>
              <w:t>、加工中心</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val="en-US" w:eastAsia="zh-CN" w:bidi="ar"/>
              </w:rPr>
              <w:t>每提供一种得0.2分，最高得1.2分；</w:t>
            </w:r>
          </w:p>
          <w:p w14:paraId="29749570">
            <w:pPr>
              <w:spacing w:line="280" w:lineRule="exac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bidi="ar"/>
              </w:rPr>
              <w:t>4.钢木类：</w:t>
            </w:r>
            <w:r>
              <w:rPr>
                <w:rFonts w:hint="eastAsia" w:ascii="宋体" w:hAnsi="宋体" w:eastAsia="宋体" w:cs="宋体"/>
                <w:b w:val="0"/>
                <w:bCs w:val="0"/>
                <w:color w:val="auto"/>
                <w:kern w:val="0"/>
                <w:sz w:val="24"/>
                <w:szCs w:val="24"/>
                <w:highlight w:val="none"/>
                <w:lang w:bidi="ar"/>
              </w:rPr>
              <w:t>切割设备、折弯机、焊接设备、</w:t>
            </w:r>
            <w:r>
              <w:rPr>
                <w:rFonts w:hint="eastAsia" w:ascii="宋体" w:hAnsi="宋体" w:eastAsia="宋体" w:cs="宋体"/>
                <w:b w:val="0"/>
                <w:bCs w:val="0"/>
                <w:color w:val="auto"/>
                <w:kern w:val="0"/>
                <w:sz w:val="24"/>
                <w:szCs w:val="24"/>
                <w:highlight w:val="none"/>
                <w:lang w:val="en-US" w:eastAsia="zh-CN" w:bidi="ar"/>
              </w:rPr>
              <w:t>粉喷涂</w:t>
            </w:r>
            <w:r>
              <w:rPr>
                <w:rFonts w:hint="eastAsia" w:ascii="宋体" w:hAnsi="宋体" w:eastAsia="宋体" w:cs="宋体"/>
                <w:b w:val="0"/>
                <w:bCs w:val="0"/>
                <w:color w:val="auto"/>
                <w:kern w:val="0"/>
                <w:sz w:val="24"/>
                <w:szCs w:val="24"/>
                <w:highlight w:val="none"/>
                <w:lang w:bidi="ar"/>
              </w:rPr>
              <w:t>设备、</w:t>
            </w:r>
            <w:r>
              <w:rPr>
                <w:rFonts w:hint="eastAsia" w:ascii="宋体" w:hAnsi="宋体" w:eastAsia="宋体" w:cs="宋体"/>
                <w:b w:val="0"/>
                <w:bCs w:val="0"/>
                <w:color w:val="auto"/>
                <w:kern w:val="0"/>
                <w:sz w:val="24"/>
                <w:szCs w:val="24"/>
                <w:highlight w:val="none"/>
                <w:lang w:val="en-US" w:eastAsia="zh-CN" w:bidi="ar"/>
              </w:rPr>
              <w:t>电子锯</w:t>
            </w:r>
            <w:r>
              <w:rPr>
                <w:rFonts w:hint="eastAsia" w:ascii="宋体" w:hAnsi="宋体" w:eastAsia="宋体" w:cs="宋体"/>
                <w:b w:val="0"/>
                <w:bCs w:val="0"/>
                <w:color w:val="auto"/>
                <w:kern w:val="0"/>
                <w:sz w:val="24"/>
                <w:szCs w:val="24"/>
                <w:highlight w:val="none"/>
                <w:lang w:bidi="ar"/>
              </w:rPr>
              <w:t>、钻床</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val="en-US" w:eastAsia="zh-CN" w:bidi="ar"/>
              </w:rPr>
              <w:t>每提供一种得0.2分，最高得1.2分；</w:t>
            </w:r>
          </w:p>
          <w:p w14:paraId="2843EF80">
            <w:pPr>
              <w:pStyle w:val="34"/>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5、软体类：</w:t>
            </w:r>
            <w:r>
              <w:rPr>
                <w:rFonts w:hint="eastAsia" w:ascii="宋体" w:hAnsi="宋体" w:eastAsia="宋体" w:cs="宋体"/>
                <w:b w:val="0"/>
                <w:bCs w:val="0"/>
                <w:kern w:val="0"/>
                <w:sz w:val="24"/>
                <w:szCs w:val="24"/>
                <w:highlight w:val="none"/>
              </w:rPr>
              <w:t>数控智能裁皮机、全自动铺布机、碎绵机、</w:t>
            </w:r>
            <w:r>
              <w:rPr>
                <w:rFonts w:hint="eastAsia" w:ascii="宋体" w:hAnsi="宋体" w:eastAsia="宋体" w:cs="宋体"/>
                <w:b w:val="0"/>
                <w:bCs w:val="0"/>
                <w:kern w:val="0"/>
                <w:sz w:val="24"/>
                <w:szCs w:val="24"/>
                <w:highlight w:val="none"/>
                <w:lang w:val="en-US" w:eastAsia="zh-CN"/>
              </w:rPr>
              <w:t>缝纫机</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bidi="ar"/>
              </w:rPr>
              <w:t>每提供一种得0.2分，最高得0.8分；</w:t>
            </w:r>
          </w:p>
          <w:p w14:paraId="04BAF839">
            <w:pPr>
              <w:pStyle w:val="34"/>
              <w:rPr>
                <w:rFonts w:hint="eastAsia" w:ascii="宋体" w:hAnsi="宋体" w:eastAsia="宋体" w:cs="宋体"/>
                <w:color w:val="auto"/>
                <w:highlight w:val="none"/>
                <w:lang w:bidi="ar"/>
              </w:rPr>
            </w:pPr>
            <w:r>
              <w:rPr>
                <w:rFonts w:hint="eastAsia" w:ascii="宋体" w:hAnsi="宋体" w:eastAsia="宋体" w:cs="宋体"/>
                <w:b/>
                <w:bCs/>
                <w:color w:val="auto"/>
                <w:highlight w:val="none"/>
                <w:lang w:bidi="ar"/>
              </w:rPr>
              <w:t>注：</w:t>
            </w:r>
            <w:r>
              <w:rPr>
                <w:rFonts w:hint="eastAsia" w:ascii="宋体" w:hAnsi="宋体" w:eastAsia="宋体" w:cs="宋体"/>
                <w:color w:val="auto"/>
                <w:highlight w:val="none"/>
                <w:lang w:bidi="ar"/>
              </w:rPr>
              <w:t>①若设备为自持的，投标文件中需提供设备发票原件复印件（扫描件），发票抬头须与生产厂家名称一致，不提供不得分。</w:t>
            </w:r>
          </w:p>
          <w:p w14:paraId="7F40B5B0">
            <w:pPr>
              <w:spacing w:before="156" w:line="240" w:lineRule="auto"/>
              <w:rPr>
                <w:rFonts w:hint="eastAsia" w:ascii="宋体" w:hAnsi="宋体" w:eastAsia="宋体" w:cs="宋体"/>
                <w:b/>
                <w:color w:val="000000"/>
                <w:sz w:val="24"/>
                <w:szCs w:val="24"/>
                <w:highlight w:val="none"/>
              </w:rPr>
            </w:pPr>
            <w:r>
              <w:rPr>
                <w:rFonts w:hint="eastAsia" w:ascii="宋体" w:hAnsi="宋体" w:eastAsia="宋体" w:cs="宋体"/>
                <w:color w:val="auto"/>
                <w:highlight w:val="none"/>
                <w:lang w:bidi="ar"/>
              </w:rPr>
              <w:t>②若设备为租赁的，投标文件中需提供租赁合同及租赁方设备发票原件复印件（扫描件），发票抬头须与租赁方名称一致，否则不得分。</w:t>
            </w:r>
          </w:p>
        </w:tc>
        <w:tc>
          <w:tcPr>
            <w:tcW w:w="765" w:type="dxa"/>
            <w:noWrap w:val="0"/>
            <w:vAlign w:val="center"/>
          </w:tcPr>
          <w:p w14:paraId="0F975E12">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6</w:t>
            </w:r>
          </w:p>
        </w:tc>
        <w:tc>
          <w:tcPr>
            <w:tcW w:w="1029" w:type="dxa"/>
            <w:noWrap w:val="0"/>
            <w:vAlign w:val="center"/>
          </w:tcPr>
          <w:p w14:paraId="3A053CEE">
            <w:pPr>
              <w:widowControl/>
              <w:adjustRightInd/>
              <w:spacing w:line="360" w:lineRule="auto"/>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客观</w:t>
            </w:r>
          </w:p>
        </w:tc>
        <w:tc>
          <w:tcPr>
            <w:tcW w:w="1029" w:type="dxa"/>
            <w:noWrap w:val="0"/>
            <w:vAlign w:val="center"/>
          </w:tcPr>
          <w:p w14:paraId="3956CABB">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1127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575" w:type="dxa"/>
            <w:noWrap w:val="0"/>
            <w:vAlign w:val="center"/>
          </w:tcPr>
          <w:p w14:paraId="5C64C051">
            <w:pPr>
              <w:spacing w:line="400" w:lineRule="exact"/>
              <w:jc w:val="center"/>
              <w:outlineLvl w:val="0"/>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val="en-US" w:eastAsia="zh-CN"/>
              </w:rPr>
              <w:t>3</w:t>
            </w:r>
          </w:p>
        </w:tc>
        <w:tc>
          <w:tcPr>
            <w:tcW w:w="6439" w:type="dxa"/>
            <w:noWrap w:val="0"/>
            <w:vAlign w:val="top"/>
          </w:tcPr>
          <w:p w14:paraId="1C04E594">
            <w:pPr>
              <w:spacing w:before="156" w:line="240" w:lineRule="auto"/>
              <w:rPr>
                <w:rFonts w:hint="eastAsia" w:ascii="宋体" w:hAnsi="宋体" w:eastAsia="宋体" w:cs="宋体"/>
                <w:color w:val="000000"/>
                <w:sz w:val="24"/>
                <w:szCs w:val="24"/>
                <w:highlight w:val="none"/>
              </w:rPr>
            </w:pPr>
            <w:r>
              <w:rPr>
                <w:rFonts w:hint="eastAsia" w:ascii="宋体" w:hAnsi="宋体" w:eastAsia="宋体" w:cs="宋体"/>
                <w:color w:val="auto"/>
                <w:kern w:val="0"/>
                <w:sz w:val="24"/>
                <w:highlight w:val="none"/>
              </w:rPr>
              <w:t>供应商提供自202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年1月1日以来（以合同签订时间为准）的同类项目成功案例，每个案例需提供有效的合同以及验收报告复印件，两者缺一不可，每提供一个案例得1分，最高得3分。（注：同类案例指与采购标的同品类的产品案例）。</w:t>
            </w:r>
          </w:p>
        </w:tc>
        <w:tc>
          <w:tcPr>
            <w:tcW w:w="765" w:type="dxa"/>
            <w:noWrap w:val="0"/>
            <w:vAlign w:val="center"/>
          </w:tcPr>
          <w:p w14:paraId="75777F9E">
            <w:pPr>
              <w:widowControl/>
              <w:adjustRightInd/>
              <w:spacing w:line="360" w:lineRule="auto"/>
              <w:jc w:val="center"/>
              <w:textAlignment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3</w:t>
            </w:r>
          </w:p>
        </w:tc>
        <w:tc>
          <w:tcPr>
            <w:tcW w:w="1029" w:type="dxa"/>
            <w:noWrap w:val="0"/>
            <w:vAlign w:val="center"/>
          </w:tcPr>
          <w:p w14:paraId="40434AD2">
            <w:pPr>
              <w:widowControl/>
              <w:adjustRightInd/>
              <w:spacing w:line="360" w:lineRule="auto"/>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客观</w:t>
            </w:r>
          </w:p>
        </w:tc>
        <w:tc>
          <w:tcPr>
            <w:tcW w:w="1029" w:type="dxa"/>
            <w:noWrap w:val="0"/>
            <w:vAlign w:val="center"/>
          </w:tcPr>
          <w:p w14:paraId="1D54DD84">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030F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75" w:type="dxa"/>
            <w:noWrap w:val="0"/>
            <w:vAlign w:val="center"/>
          </w:tcPr>
          <w:p w14:paraId="6ED12D40">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4</w:t>
            </w:r>
          </w:p>
        </w:tc>
        <w:tc>
          <w:tcPr>
            <w:tcW w:w="6439" w:type="dxa"/>
            <w:noWrap w:val="0"/>
            <w:vAlign w:val="center"/>
          </w:tcPr>
          <w:p w14:paraId="3C7F8910">
            <w:pPr>
              <w:rPr>
                <w:rFonts w:hint="eastAsia" w:ascii="宋体" w:hAnsi="宋体" w:eastAsia="宋体" w:cs="宋体"/>
                <w:highlight w:val="none"/>
              </w:rPr>
            </w:pPr>
            <w:r>
              <w:rPr>
                <w:rFonts w:hint="eastAsia" w:ascii="宋体" w:hAnsi="宋体" w:eastAsia="宋体" w:cs="宋体"/>
                <w:sz w:val="24"/>
                <w:highlight w:val="none"/>
              </w:rPr>
              <w:t>产品技术参数响应情况：</w:t>
            </w:r>
            <w:r>
              <w:rPr>
                <w:rFonts w:hint="eastAsia" w:ascii="宋体" w:hAnsi="宋体" w:eastAsia="宋体" w:cs="宋体"/>
                <w:sz w:val="24"/>
                <w:szCs w:val="24"/>
                <w:highlight w:val="none"/>
              </w:rPr>
              <w:t>投标产品</w:t>
            </w:r>
            <w:r>
              <w:rPr>
                <w:rFonts w:hint="eastAsia" w:ascii="宋体" w:hAnsi="宋体" w:eastAsia="宋体" w:cs="宋体"/>
                <w:sz w:val="24"/>
                <w:highlight w:val="none"/>
              </w:rPr>
              <w:t>关键技术指标（标“</w:t>
            </w:r>
            <w:r>
              <w:rPr>
                <w:rFonts w:hint="eastAsia" w:ascii="宋体" w:hAnsi="宋体" w:eastAsia="宋体" w:cs="宋体"/>
                <w:highlight w:val="none"/>
                <w:lang w:val="en-US" w:eastAsia="zh-CN"/>
              </w:rPr>
              <w:t>★</w:t>
            </w:r>
            <w:r>
              <w:rPr>
                <w:rFonts w:hint="eastAsia" w:ascii="宋体" w:hAnsi="宋体" w:eastAsia="宋体" w:cs="宋体"/>
                <w:sz w:val="24"/>
                <w:highlight w:val="none"/>
              </w:rPr>
              <w:t>”处）</w:t>
            </w:r>
            <w:r>
              <w:rPr>
                <w:rFonts w:hint="eastAsia" w:ascii="宋体" w:hAnsi="宋体" w:eastAsia="宋体" w:cs="宋体"/>
                <w:color w:val="auto"/>
                <w:sz w:val="24"/>
                <w:highlight w:val="none"/>
              </w:rPr>
              <w:t>每项负偏离或缺漏项的扣</w:t>
            </w:r>
            <w:r>
              <w:rPr>
                <w:rFonts w:hint="eastAsia" w:ascii="宋体" w:hAnsi="宋体" w:eastAsia="宋体" w:cs="宋体"/>
                <w:color w:val="auto"/>
                <w:sz w:val="24"/>
                <w:highlight w:val="none"/>
                <w:lang w:val="en-US" w:eastAsia="zh-CN"/>
              </w:rPr>
              <w:t>0.6</w:t>
            </w:r>
            <w:r>
              <w:rPr>
                <w:rFonts w:hint="eastAsia" w:ascii="宋体" w:hAnsi="宋体" w:eastAsia="宋体" w:cs="宋体"/>
                <w:color w:val="auto"/>
                <w:sz w:val="24"/>
                <w:highlight w:val="none"/>
              </w:rPr>
              <w:t>分，其他技术指标每项负偏离或缺漏项的扣0.</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分，本项最高得 </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p>
          <w:p w14:paraId="04746D00">
            <w:pPr>
              <w:widowControl/>
              <w:adjustRightInd/>
              <w:spacing w:line="240" w:lineRule="auto"/>
              <w:jc w:val="left"/>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sz w:val="21"/>
                <w:szCs w:val="21"/>
                <w:highlight w:val="none"/>
              </w:rPr>
              <w:t>（</w:t>
            </w:r>
            <w:r>
              <w:rPr>
                <w:rFonts w:hint="eastAsia" w:ascii="宋体" w:hAnsi="宋体" w:eastAsia="宋体" w:cs="宋体"/>
                <w:b/>
                <w:bCs/>
                <w:color w:val="auto"/>
                <w:kern w:val="0"/>
                <w:sz w:val="21"/>
                <w:szCs w:val="21"/>
                <w:highlight w:val="none"/>
                <w:lang w:val="en-US" w:eastAsia="zh-CN" w:bidi="ar"/>
              </w:rPr>
              <w:t>注：</w:t>
            </w:r>
            <w:r>
              <w:rPr>
                <w:rFonts w:hint="eastAsia" w:ascii="宋体" w:hAnsi="宋体" w:eastAsia="宋体" w:cs="宋体"/>
                <w:b w:val="0"/>
                <w:bCs w:val="0"/>
                <w:color w:val="auto"/>
                <w:kern w:val="0"/>
                <w:sz w:val="21"/>
                <w:szCs w:val="21"/>
                <w:highlight w:val="none"/>
                <w:lang w:val="en-US" w:eastAsia="zh-CN" w:bidi="ar"/>
              </w:rPr>
              <w:t>国家认可的具备检测资格的检测机构出具的检测报告复印件，检测报告上需体现“CMA”或“CNAS”标志，报告上含有二维码和网址，并提供全国认证认可信息公共服务平台有效页面截图信息并加盖投标人</w:t>
            </w:r>
            <w:r>
              <w:rPr>
                <w:rFonts w:hint="eastAsia" w:ascii="宋体" w:hAnsi="宋体" w:eastAsia="宋体" w:cs="宋体"/>
                <w:b w:val="0"/>
                <w:bCs w:val="0"/>
                <w:sz w:val="21"/>
                <w:szCs w:val="21"/>
                <w:highlight w:val="none"/>
                <w:lang w:val="en-US" w:eastAsia="zh-CN"/>
              </w:rPr>
              <w:t>或所投产品制造厂家</w:t>
            </w:r>
            <w:r>
              <w:rPr>
                <w:rFonts w:hint="eastAsia" w:ascii="宋体" w:hAnsi="宋体" w:eastAsia="宋体" w:cs="宋体"/>
                <w:b w:val="0"/>
                <w:bCs w:val="0"/>
                <w:color w:val="auto"/>
                <w:kern w:val="0"/>
                <w:sz w:val="21"/>
                <w:szCs w:val="21"/>
                <w:highlight w:val="none"/>
                <w:lang w:val="en-US" w:eastAsia="zh-CN" w:bidi="ar"/>
              </w:rPr>
              <w:t>公章</w:t>
            </w:r>
            <w:r>
              <w:rPr>
                <w:rFonts w:hint="eastAsia" w:ascii="宋体" w:hAnsi="宋体" w:eastAsia="宋体" w:cs="宋体"/>
                <w:b w:val="0"/>
                <w:bCs w:val="0"/>
                <w:color w:val="0000FF"/>
                <w:kern w:val="0"/>
                <w:sz w:val="21"/>
                <w:szCs w:val="21"/>
                <w:highlight w:val="none"/>
                <w:lang w:val="en-US" w:eastAsia="zh-CN" w:bidi="ar"/>
              </w:rPr>
              <w:t>；</w:t>
            </w:r>
            <w:r>
              <w:rPr>
                <w:rFonts w:hint="eastAsia" w:ascii="宋体" w:hAnsi="宋体" w:eastAsia="宋体" w:cs="宋体"/>
                <w:sz w:val="21"/>
                <w:szCs w:val="21"/>
                <w:highlight w:val="none"/>
              </w:rPr>
              <w:t>若</w:t>
            </w:r>
            <w:r>
              <w:rPr>
                <w:rFonts w:hint="eastAsia" w:ascii="宋体" w:hAnsi="宋体" w:eastAsia="宋体" w:cs="宋体"/>
                <w:kern w:val="0"/>
                <w:sz w:val="21"/>
                <w:szCs w:val="21"/>
                <w:highlight w:val="none"/>
              </w:rPr>
              <w:t>提供虚假材料投标的，投标无效</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w:t>
            </w:r>
          </w:p>
        </w:tc>
        <w:tc>
          <w:tcPr>
            <w:tcW w:w="765" w:type="dxa"/>
            <w:noWrap w:val="0"/>
            <w:vAlign w:val="center"/>
          </w:tcPr>
          <w:p w14:paraId="049C85C2">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10</w:t>
            </w:r>
          </w:p>
        </w:tc>
        <w:tc>
          <w:tcPr>
            <w:tcW w:w="1029" w:type="dxa"/>
            <w:noWrap w:val="0"/>
            <w:vAlign w:val="center"/>
          </w:tcPr>
          <w:p w14:paraId="28010CF5">
            <w:pPr>
              <w:snapToGrid w:val="0"/>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rPr>
              <w:t>客观</w:t>
            </w:r>
          </w:p>
        </w:tc>
        <w:tc>
          <w:tcPr>
            <w:tcW w:w="1029" w:type="dxa"/>
            <w:noWrap w:val="0"/>
            <w:vAlign w:val="center"/>
          </w:tcPr>
          <w:p w14:paraId="02F4A901">
            <w:pPr>
              <w:snapToGrid w:val="0"/>
              <w:spacing w:line="360" w:lineRule="auto"/>
              <w:jc w:val="center"/>
              <w:rPr>
                <w:rFonts w:hint="eastAsia" w:ascii="宋体" w:hAnsi="宋体" w:eastAsia="宋体" w:cs="宋体"/>
                <w:color w:val="000000"/>
                <w:sz w:val="24"/>
                <w:highlight w:val="none"/>
              </w:rPr>
            </w:pPr>
          </w:p>
        </w:tc>
      </w:tr>
      <w:tr w14:paraId="729D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75" w:type="dxa"/>
            <w:noWrap w:val="0"/>
            <w:vAlign w:val="center"/>
          </w:tcPr>
          <w:p w14:paraId="3FA615BA">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5</w:t>
            </w:r>
          </w:p>
        </w:tc>
        <w:tc>
          <w:tcPr>
            <w:tcW w:w="6439" w:type="dxa"/>
            <w:noWrap w:val="0"/>
            <w:vAlign w:val="center"/>
          </w:tcPr>
          <w:p w14:paraId="03992C07">
            <w:pPr>
              <w:jc w:val="left"/>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投标人或</w:t>
            </w:r>
            <w:r>
              <w:rPr>
                <w:rFonts w:hint="eastAsia" w:ascii="宋体" w:hAnsi="宋体" w:eastAsia="宋体" w:cs="宋体"/>
                <w:color w:val="auto"/>
                <w:kern w:val="0"/>
                <w:sz w:val="24"/>
                <w:highlight w:val="none"/>
              </w:rPr>
              <w:t>产品生产制造商具有有效期内的“CQC中国环保产品认证证书”（认证范围须包含</w:t>
            </w:r>
            <w:r>
              <w:rPr>
                <w:rFonts w:hint="eastAsia" w:ascii="宋体" w:hAnsi="宋体" w:eastAsia="宋体" w:cs="宋体"/>
                <w:color w:val="auto"/>
                <w:kern w:val="0"/>
                <w:sz w:val="24"/>
                <w:highlight w:val="none"/>
                <w:lang w:val="en-US" w:eastAsia="zh-CN"/>
              </w:rPr>
              <w:t>但不仅限于</w:t>
            </w:r>
            <w:r>
              <w:rPr>
                <w:rFonts w:hint="eastAsia" w:ascii="宋体" w:hAnsi="宋体" w:eastAsia="宋体" w:cs="宋体"/>
                <w:color w:val="auto"/>
                <w:kern w:val="0"/>
                <w:sz w:val="24"/>
                <w:highlight w:val="none"/>
              </w:rPr>
              <w:t>金属办公家具、木</w:t>
            </w:r>
            <w:r>
              <w:rPr>
                <w:rFonts w:hint="eastAsia" w:ascii="宋体" w:hAnsi="宋体" w:eastAsia="宋体" w:cs="宋体"/>
                <w:color w:val="auto"/>
                <w:kern w:val="0"/>
                <w:sz w:val="24"/>
                <w:highlight w:val="none"/>
                <w:lang w:val="en-US" w:eastAsia="zh-CN"/>
              </w:rPr>
              <w:t>质</w:t>
            </w:r>
            <w:r>
              <w:rPr>
                <w:rFonts w:hint="eastAsia" w:ascii="宋体" w:hAnsi="宋体" w:eastAsia="宋体" w:cs="宋体"/>
                <w:color w:val="auto"/>
                <w:kern w:val="0"/>
                <w:sz w:val="24"/>
                <w:highlight w:val="none"/>
              </w:rPr>
              <w:t>办公家具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木质家具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、软体家具），有得1分，没有不得分。</w:t>
            </w:r>
          </w:p>
          <w:p w14:paraId="32C9AB83">
            <w:pPr>
              <w:jc w:val="left"/>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投标人或</w:t>
            </w:r>
            <w:r>
              <w:rPr>
                <w:rFonts w:hint="eastAsia" w:ascii="宋体" w:hAnsi="宋体" w:eastAsia="宋体" w:cs="宋体"/>
                <w:color w:val="auto"/>
                <w:kern w:val="0"/>
                <w:sz w:val="24"/>
                <w:highlight w:val="none"/>
              </w:rPr>
              <w:t>产品生产制造商具有有效期内的“CEC家具产品环保卫士认证证书”（认证范围须包含</w:t>
            </w:r>
            <w:r>
              <w:rPr>
                <w:rFonts w:hint="eastAsia" w:ascii="宋体" w:hAnsi="宋体" w:eastAsia="宋体" w:cs="宋体"/>
                <w:color w:val="auto"/>
                <w:kern w:val="0"/>
                <w:sz w:val="24"/>
                <w:highlight w:val="none"/>
                <w:lang w:val="en-US" w:eastAsia="zh-CN"/>
              </w:rPr>
              <w:t>但不仅限于</w:t>
            </w:r>
            <w:r>
              <w:rPr>
                <w:rFonts w:hint="eastAsia" w:ascii="宋体" w:hAnsi="宋体" w:eastAsia="宋体" w:cs="宋体"/>
                <w:color w:val="auto"/>
                <w:kern w:val="0"/>
                <w:sz w:val="24"/>
                <w:highlight w:val="none"/>
              </w:rPr>
              <w:t>金属家具、木家具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木质家具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、软体家具），有得1分，没有不得分。</w:t>
            </w:r>
          </w:p>
          <w:p w14:paraId="43419005">
            <w:pPr>
              <w:jc w:val="left"/>
              <w:outlineLvl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CN"/>
              </w:rPr>
              <w:t>投标人或</w:t>
            </w:r>
            <w:r>
              <w:rPr>
                <w:rFonts w:hint="eastAsia" w:ascii="宋体" w:hAnsi="宋体" w:eastAsia="宋体" w:cs="宋体"/>
                <w:color w:val="auto"/>
                <w:kern w:val="0"/>
                <w:sz w:val="24"/>
                <w:highlight w:val="none"/>
              </w:rPr>
              <w:t>产品生产制造商具有有效期内的“品质验证证书”（认证范围须包含</w:t>
            </w:r>
            <w:r>
              <w:rPr>
                <w:rFonts w:hint="eastAsia" w:ascii="宋体" w:hAnsi="宋体" w:eastAsia="宋体" w:cs="宋体"/>
                <w:color w:val="auto"/>
                <w:kern w:val="0"/>
                <w:sz w:val="24"/>
                <w:highlight w:val="none"/>
                <w:lang w:val="en-US" w:eastAsia="zh-CN"/>
              </w:rPr>
              <w:t>但不仅限于</w:t>
            </w:r>
            <w:r>
              <w:rPr>
                <w:rFonts w:hint="eastAsia" w:ascii="宋体" w:hAnsi="宋体" w:eastAsia="宋体" w:cs="宋体"/>
                <w:color w:val="auto"/>
                <w:kern w:val="0"/>
                <w:sz w:val="24"/>
                <w:highlight w:val="none"/>
              </w:rPr>
              <w:t>金属家具、综合类木家具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木家具/木质家具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、软体家具），有得1分，没有不得分。</w:t>
            </w:r>
          </w:p>
          <w:p w14:paraId="0816D7E8">
            <w:pPr>
              <w:jc w:val="left"/>
              <w:outlineLvl w:val="0"/>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b/>
                <w:bCs/>
                <w:color w:val="auto"/>
                <w:sz w:val="24"/>
                <w:szCs w:val="24"/>
                <w:highlight w:val="none"/>
              </w:rPr>
              <w:t>以上证书需提供证书复印件及在全国认证认可信息公共服务平台证书查询截图，否则不得分。</w:t>
            </w:r>
          </w:p>
          <w:p w14:paraId="768E6183">
            <w:pPr>
              <w:widowControl/>
              <w:adjustRightInd/>
              <w:spacing w:line="240" w:lineRule="auto"/>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2.认证范围中的产品品类与上述名称一一对应即可，无需每个字都一样</w:t>
            </w:r>
            <w:r>
              <w:rPr>
                <w:rFonts w:hint="eastAsia" w:ascii="宋体" w:hAnsi="宋体" w:eastAsia="宋体" w:cs="宋体"/>
                <w:color w:val="auto"/>
                <w:kern w:val="0"/>
                <w:sz w:val="24"/>
                <w:highlight w:val="none"/>
              </w:rPr>
              <w:t>）。</w:t>
            </w:r>
          </w:p>
        </w:tc>
        <w:tc>
          <w:tcPr>
            <w:tcW w:w="765" w:type="dxa"/>
            <w:noWrap w:val="0"/>
            <w:vAlign w:val="center"/>
          </w:tcPr>
          <w:p w14:paraId="2E9891EB">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w:t>
            </w:r>
          </w:p>
        </w:tc>
        <w:tc>
          <w:tcPr>
            <w:tcW w:w="1029" w:type="dxa"/>
            <w:noWrap w:val="0"/>
            <w:vAlign w:val="center"/>
          </w:tcPr>
          <w:p w14:paraId="166F4D75">
            <w:pPr>
              <w:widowControl/>
              <w:adjustRightInd/>
              <w:spacing w:line="360" w:lineRule="auto"/>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客观</w:t>
            </w:r>
          </w:p>
        </w:tc>
        <w:tc>
          <w:tcPr>
            <w:tcW w:w="1029" w:type="dxa"/>
            <w:noWrap w:val="0"/>
            <w:vAlign w:val="center"/>
          </w:tcPr>
          <w:p w14:paraId="49B7D795">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502B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5" w:type="dxa"/>
            <w:noWrap w:val="0"/>
            <w:vAlign w:val="center"/>
          </w:tcPr>
          <w:p w14:paraId="4D612902">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6</w:t>
            </w:r>
          </w:p>
        </w:tc>
        <w:tc>
          <w:tcPr>
            <w:tcW w:w="6439" w:type="dxa"/>
            <w:noWrap w:val="0"/>
            <w:vAlign w:val="center"/>
          </w:tcPr>
          <w:p w14:paraId="5656933D">
            <w:pPr>
              <w:widowControl/>
              <w:numPr>
                <w:ilvl w:val="0"/>
                <w:numId w:val="21"/>
              </w:numPr>
              <w:adjustRightInd/>
              <w:spacing w:line="24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环境标志产品评审。投标产品列入财政部、生态环境部等部门发布的“环境标志产品品目清单”，且获得指定认证机构出具的环境标志产品认证证书，</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认证单元含但不仅限于：实木类家具、金属家具、人造板家具、软体家具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每项产品得0.5分，最高得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投标人或</w:t>
            </w:r>
            <w:r>
              <w:rPr>
                <w:rFonts w:hint="eastAsia" w:ascii="宋体" w:hAnsi="宋体" w:eastAsia="宋体" w:cs="宋体"/>
                <w:color w:val="auto"/>
                <w:kern w:val="0"/>
                <w:sz w:val="24"/>
                <w:highlight w:val="none"/>
              </w:rPr>
              <w:t>产品生产制造商须提供国家确定的认证机构出具的、处于有效期之内的环境标志产品认证证书复印件，否则不得分。</w:t>
            </w:r>
          </w:p>
          <w:p w14:paraId="046E0F4E">
            <w:pPr>
              <w:widowControl/>
              <w:numPr>
                <w:ilvl w:val="0"/>
                <w:numId w:val="0"/>
              </w:numPr>
              <w:adjustRightInd/>
              <w:spacing w:line="24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w:t>
            </w:r>
            <w:r>
              <w:rPr>
                <w:rFonts w:hint="eastAsia" w:ascii="宋体" w:hAnsi="宋体" w:eastAsia="宋体" w:cs="宋体"/>
                <w:b/>
                <w:bCs/>
                <w:color w:val="auto"/>
                <w:sz w:val="24"/>
                <w:highlight w:val="none"/>
              </w:rPr>
              <w:t>以上证书需提供证书复印件及在全国认证认可信息公共服务平台证书查询截图，否则不得分。2.认证范围中的产品品类与上述名称一一对应即可，无需每个字都一样</w:t>
            </w:r>
            <w:r>
              <w:rPr>
                <w:rFonts w:hint="eastAsia" w:ascii="宋体" w:hAnsi="宋体" w:eastAsia="宋体" w:cs="宋体"/>
                <w:color w:val="auto"/>
                <w:kern w:val="0"/>
                <w:sz w:val="24"/>
                <w:highlight w:val="none"/>
                <w:lang w:eastAsia="zh-CN"/>
              </w:rPr>
              <w:t>）</w:t>
            </w:r>
          </w:p>
          <w:p w14:paraId="1289CDF9">
            <w:pPr>
              <w:jc w:val="left"/>
              <w:outlineLvl w:val="0"/>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strike w:val="0"/>
                <w:dstrike w:val="0"/>
                <w:color w:val="auto"/>
                <w:kern w:val="0"/>
                <w:sz w:val="24"/>
                <w:highlight w:val="none"/>
                <w:shd w:val="clear"/>
                <w:lang w:val="en-US" w:eastAsia="zh-CN"/>
              </w:rPr>
              <w:t>投标产品（计算机）</w:t>
            </w:r>
            <w:r>
              <w:rPr>
                <w:rFonts w:hint="eastAsia" w:ascii="宋体" w:hAnsi="宋体" w:eastAsia="宋体" w:cs="宋体"/>
                <w:color w:val="auto"/>
                <w:kern w:val="0"/>
                <w:sz w:val="24"/>
                <w:highlight w:val="none"/>
                <w:lang w:val="en-US" w:eastAsia="zh-CN"/>
              </w:rPr>
              <w:t>提供中国节能认证证书，</w:t>
            </w:r>
            <w:r>
              <w:rPr>
                <w:rFonts w:hint="eastAsia" w:ascii="宋体" w:hAnsi="宋体" w:eastAsia="宋体" w:cs="宋体"/>
                <w:color w:val="auto"/>
                <w:kern w:val="0"/>
                <w:sz w:val="24"/>
                <w:highlight w:val="none"/>
              </w:rPr>
              <w:t>有得1分，没有不得分。</w:t>
            </w:r>
            <w:r>
              <w:rPr>
                <w:rFonts w:hint="eastAsia" w:ascii="宋体" w:hAnsi="宋体" w:eastAsia="宋体" w:cs="宋体"/>
                <w:color w:val="auto"/>
                <w:kern w:val="0"/>
                <w:sz w:val="24"/>
                <w:highlight w:val="none"/>
                <w:lang w:eastAsia="zh-CN"/>
              </w:rPr>
              <w:t>（</w:t>
            </w:r>
            <w:r>
              <w:rPr>
                <w:rFonts w:hint="eastAsia" w:ascii="宋体" w:hAnsi="宋体" w:eastAsia="宋体" w:cs="宋体"/>
                <w:b/>
                <w:bCs/>
                <w:color w:val="auto"/>
                <w:sz w:val="24"/>
                <w:highlight w:val="none"/>
              </w:rPr>
              <w:t>以上证书需提供证书复印件及在全国认证认可信息公共服务平台证书查询截图，否则不得分。</w:t>
            </w:r>
            <w:r>
              <w:rPr>
                <w:rFonts w:hint="eastAsia" w:ascii="宋体" w:hAnsi="宋体" w:eastAsia="宋体" w:cs="宋体"/>
                <w:color w:val="auto"/>
                <w:kern w:val="0"/>
                <w:sz w:val="24"/>
                <w:highlight w:val="none"/>
                <w:lang w:eastAsia="zh-CN"/>
              </w:rPr>
              <w:t>）</w:t>
            </w:r>
          </w:p>
        </w:tc>
        <w:tc>
          <w:tcPr>
            <w:tcW w:w="765" w:type="dxa"/>
            <w:noWrap w:val="0"/>
            <w:vAlign w:val="center"/>
          </w:tcPr>
          <w:p w14:paraId="73CBEA4B">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w:t>
            </w:r>
          </w:p>
        </w:tc>
        <w:tc>
          <w:tcPr>
            <w:tcW w:w="1029" w:type="dxa"/>
            <w:noWrap w:val="0"/>
            <w:vAlign w:val="center"/>
          </w:tcPr>
          <w:p w14:paraId="5E2A3B4D">
            <w:pPr>
              <w:widowControl/>
              <w:adjustRightInd/>
              <w:spacing w:line="360" w:lineRule="auto"/>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客观</w:t>
            </w:r>
          </w:p>
        </w:tc>
        <w:tc>
          <w:tcPr>
            <w:tcW w:w="1029" w:type="dxa"/>
            <w:noWrap w:val="0"/>
            <w:vAlign w:val="center"/>
          </w:tcPr>
          <w:p w14:paraId="598CF84B">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1A8C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75" w:type="dxa"/>
            <w:noWrap w:val="0"/>
            <w:vAlign w:val="center"/>
          </w:tcPr>
          <w:p w14:paraId="1D397AEF">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7</w:t>
            </w:r>
          </w:p>
        </w:tc>
        <w:tc>
          <w:tcPr>
            <w:tcW w:w="6439" w:type="dxa"/>
            <w:noWrap w:val="0"/>
            <w:vAlign w:val="center"/>
          </w:tcPr>
          <w:p w14:paraId="5F6307D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rPr>
              <w:t>设计方案投标人根据提供的建筑平面图</w:t>
            </w:r>
            <w:r>
              <w:rPr>
                <w:rFonts w:hint="eastAsia" w:ascii="宋体" w:hAnsi="宋体" w:eastAsia="宋体" w:cs="宋体"/>
                <w:color w:val="auto"/>
                <w:sz w:val="24"/>
                <w:szCs w:val="24"/>
                <w:highlight w:val="none"/>
                <w:lang w:val="en-US" w:eastAsia="zh-CN"/>
              </w:rPr>
              <w:t>及现场实地勘察情况</w:t>
            </w:r>
            <w:r>
              <w:rPr>
                <w:rFonts w:hint="eastAsia" w:ascii="宋体" w:hAnsi="宋体" w:eastAsia="宋体" w:cs="宋体"/>
                <w:color w:val="auto"/>
                <w:sz w:val="24"/>
                <w:szCs w:val="24"/>
                <w:highlight w:val="none"/>
                <w:lang w:val="zh-TW"/>
              </w:rPr>
              <w:t>，对家具产品进行整体设计，评审小组根据效果与行业属性及地区特色相融、效果图、布局图的完整性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同时投标人根据参考图提供实物图的情况</w:t>
            </w:r>
            <w:r>
              <w:rPr>
                <w:rFonts w:hint="eastAsia" w:ascii="宋体" w:hAnsi="宋体" w:eastAsia="宋体" w:cs="宋体"/>
                <w:color w:val="auto"/>
                <w:sz w:val="24"/>
                <w:szCs w:val="24"/>
                <w:highlight w:val="none"/>
                <w:lang w:val="zh-TW"/>
              </w:rPr>
              <w:t>进行打分</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最高得分2分。</w:t>
            </w:r>
          </w:p>
          <w:p w14:paraId="1EA876D3">
            <w:pPr>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zh-TW"/>
              </w:rPr>
              <w:t>提供的效果图、布局图内容完整，具有可操作性视，</w:t>
            </w:r>
            <w:r>
              <w:rPr>
                <w:rFonts w:hint="eastAsia" w:ascii="宋体" w:hAnsi="宋体" w:eastAsia="宋体" w:cs="宋体"/>
                <w:color w:val="auto"/>
                <w:sz w:val="24"/>
                <w:szCs w:val="24"/>
                <w:highlight w:val="none"/>
                <w:lang w:val="en-US" w:eastAsia="zh-CN"/>
              </w:rPr>
              <w:t>设计效果</w:t>
            </w:r>
            <w:r>
              <w:rPr>
                <w:rFonts w:hint="eastAsia" w:ascii="宋体" w:hAnsi="宋体" w:eastAsia="宋体" w:cs="宋体"/>
                <w:color w:val="auto"/>
                <w:sz w:val="24"/>
                <w:szCs w:val="24"/>
                <w:highlight w:val="none"/>
                <w:lang w:val="zh-TW"/>
              </w:rPr>
              <w:t>与行业属性</w:t>
            </w:r>
            <w:r>
              <w:rPr>
                <w:rFonts w:hint="eastAsia" w:ascii="宋体" w:hAnsi="宋体" w:eastAsia="宋体" w:cs="宋体"/>
                <w:color w:val="auto"/>
                <w:sz w:val="24"/>
                <w:szCs w:val="24"/>
                <w:highlight w:val="none"/>
                <w:lang w:val="en-US" w:eastAsia="zh-CN"/>
              </w:rPr>
              <w:t>相符合，实物图且</w:t>
            </w:r>
            <w:r>
              <w:rPr>
                <w:rFonts w:hint="eastAsia" w:ascii="宋体" w:hAnsi="宋体" w:eastAsia="宋体" w:cs="宋体"/>
                <w:i w:val="0"/>
                <w:iCs w:val="0"/>
                <w:caps w:val="0"/>
                <w:color w:val="000000"/>
                <w:spacing w:val="0"/>
                <w:sz w:val="24"/>
                <w:szCs w:val="24"/>
                <w:highlight w:val="none"/>
              </w:rPr>
              <w:t>达到采购人要求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TW"/>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rPr>
              <w:t>分</w:t>
            </w:r>
            <w:r>
              <w:rPr>
                <w:rFonts w:hint="eastAsia" w:ascii="宋体" w:hAnsi="宋体" w:eastAsia="宋体" w:cs="宋体"/>
                <w:color w:val="auto"/>
                <w:sz w:val="24"/>
                <w:szCs w:val="24"/>
                <w:highlight w:val="none"/>
                <w:lang w:val="en-US" w:eastAsia="zh-CN"/>
              </w:rPr>
              <w:t>；</w:t>
            </w:r>
          </w:p>
          <w:p w14:paraId="75C685D6">
            <w:pPr>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TW"/>
              </w:rPr>
              <w:t>提供的效果图、布局图内容较完整，但有所欠缺，设计效果与行业属性一般的</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实物图较符合</w:t>
            </w:r>
            <w:r>
              <w:rPr>
                <w:rFonts w:hint="eastAsia" w:ascii="宋体" w:hAnsi="宋体" w:eastAsia="宋体" w:cs="宋体"/>
                <w:i w:val="0"/>
                <w:iCs w:val="0"/>
                <w:caps w:val="0"/>
                <w:color w:val="000000"/>
                <w:spacing w:val="0"/>
                <w:sz w:val="24"/>
                <w:szCs w:val="24"/>
                <w:highlight w:val="none"/>
              </w:rPr>
              <w:t>采购人要求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TW"/>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rPr>
              <w:t>分</w:t>
            </w:r>
            <w:r>
              <w:rPr>
                <w:rFonts w:hint="eastAsia" w:ascii="宋体" w:hAnsi="宋体" w:eastAsia="宋体" w:cs="宋体"/>
                <w:color w:val="auto"/>
                <w:sz w:val="24"/>
                <w:szCs w:val="24"/>
                <w:highlight w:val="none"/>
                <w:lang w:val="en-US" w:eastAsia="zh-CN"/>
              </w:rPr>
              <w:t>；</w:t>
            </w:r>
          </w:p>
          <w:p w14:paraId="485B41E1">
            <w:pPr>
              <w:rPr>
                <w:rFonts w:hint="eastAsia" w:ascii="宋体" w:hAnsi="宋体" w:eastAsia="宋体" w:cs="宋体"/>
                <w:kern w:val="0"/>
                <w:sz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zh-TW"/>
              </w:rPr>
              <w:t>提供的效果图、布局图内容不完整，存在瑕疵或不足，与本项目实际有偏差的得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TW"/>
              </w:rPr>
              <w:t>分</w:t>
            </w:r>
            <w:r>
              <w:rPr>
                <w:rFonts w:hint="eastAsia" w:ascii="宋体" w:hAnsi="宋体" w:cs="宋体"/>
                <w:color w:val="auto"/>
                <w:sz w:val="24"/>
                <w:szCs w:val="24"/>
                <w:highlight w:val="none"/>
                <w:lang w:val="en-US" w:eastAsia="zh-CN"/>
              </w:rPr>
              <w:t>。</w:t>
            </w:r>
          </w:p>
        </w:tc>
        <w:tc>
          <w:tcPr>
            <w:tcW w:w="765" w:type="dxa"/>
            <w:noWrap w:val="0"/>
            <w:vAlign w:val="center"/>
          </w:tcPr>
          <w:p w14:paraId="7CAF581E">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w:t>
            </w:r>
          </w:p>
        </w:tc>
        <w:tc>
          <w:tcPr>
            <w:tcW w:w="1029" w:type="dxa"/>
            <w:noWrap w:val="0"/>
            <w:vAlign w:val="center"/>
          </w:tcPr>
          <w:p w14:paraId="325B019A">
            <w:pPr>
              <w:widowControl/>
              <w:adjustRightInd/>
              <w:spacing w:line="360" w:lineRule="auto"/>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主观</w:t>
            </w:r>
          </w:p>
        </w:tc>
        <w:tc>
          <w:tcPr>
            <w:tcW w:w="1029" w:type="dxa"/>
            <w:noWrap w:val="0"/>
            <w:vAlign w:val="center"/>
          </w:tcPr>
          <w:p w14:paraId="4EB77EB8">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52D0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75" w:type="dxa"/>
            <w:noWrap w:val="0"/>
            <w:vAlign w:val="center"/>
          </w:tcPr>
          <w:p w14:paraId="5D4B558E">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8</w:t>
            </w:r>
          </w:p>
        </w:tc>
        <w:tc>
          <w:tcPr>
            <w:tcW w:w="6439" w:type="dxa"/>
            <w:noWrap w:val="0"/>
            <w:vAlign w:val="center"/>
          </w:tcPr>
          <w:p w14:paraId="4FF67D6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rPr>
              <w:t>设计方案投标人根据提供的建筑平面图</w:t>
            </w:r>
            <w:r>
              <w:rPr>
                <w:rFonts w:hint="eastAsia" w:ascii="宋体" w:hAnsi="宋体" w:eastAsia="宋体" w:cs="宋体"/>
                <w:color w:val="auto"/>
                <w:sz w:val="24"/>
                <w:szCs w:val="24"/>
                <w:highlight w:val="none"/>
                <w:lang w:val="en-US" w:eastAsia="zh-CN"/>
              </w:rPr>
              <w:t>及现场实地勘察情况</w:t>
            </w:r>
            <w:r>
              <w:rPr>
                <w:rFonts w:hint="eastAsia" w:ascii="宋体" w:hAnsi="宋体" w:eastAsia="宋体" w:cs="宋体"/>
                <w:color w:val="auto"/>
                <w:sz w:val="24"/>
                <w:szCs w:val="24"/>
                <w:highlight w:val="none"/>
                <w:lang w:val="zh-TW"/>
              </w:rPr>
              <w:t>，对</w:t>
            </w:r>
            <w:r>
              <w:rPr>
                <w:rFonts w:hint="eastAsia" w:ascii="宋体" w:hAnsi="宋体" w:eastAsia="宋体" w:cs="宋体"/>
                <w:color w:val="auto"/>
                <w:sz w:val="24"/>
                <w:szCs w:val="24"/>
                <w:highlight w:val="none"/>
                <w:lang w:val="en-US" w:eastAsia="zh-CN"/>
              </w:rPr>
              <w:t>现场的广告</w:t>
            </w:r>
            <w:r>
              <w:rPr>
                <w:rFonts w:hint="eastAsia" w:ascii="宋体" w:hAnsi="宋体" w:eastAsia="宋体" w:cs="宋体"/>
                <w:color w:val="auto"/>
                <w:sz w:val="24"/>
                <w:szCs w:val="24"/>
                <w:highlight w:val="none"/>
                <w:lang w:val="zh-TW"/>
              </w:rPr>
              <w:t>进行整体设计，评审小组根据效果与行业属性及地区特色相融、效果图</w:t>
            </w:r>
            <w:r>
              <w:rPr>
                <w:rFonts w:hint="eastAsia" w:ascii="宋体" w:hAnsi="宋体" w:eastAsia="宋体" w:cs="宋体"/>
                <w:color w:val="auto"/>
                <w:sz w:val="24"/>
                <w:szCs w:val="24"/>
                <w:highlight w:val="none"/>
                <w:lang w:val="en-US" w:eastAsia="zh-CN"/>
              </w:rPr>
              <w:t>排版</w:t>
            </w:r>
            <w:r>
              <w:rPr>
                <w:rFonts w:hint="eastAsia" w:ascii="宋体" w:hAnsi="宋体" w:eastAsia="宋体" w:cs="宋体"/>
                <w:color w:val="auto"/>
                <w:sz w:val="24"/>
                <w:szCs w:val="24"/>
                <w:highlight w:val="none"/>
                <w:lang w:val="zh-TW"/>
              </w:rPr>
              <w:t>的完整性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最高得分2分。</w:t>
            </w:r>
          </w:p>
          <w:p w14:paraId="6CFEDD88">
            <w:pPr>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zh-TW"/>
              </w:rPr>
              <w:t>提供的效果图</w:t>
            </w:r>
            <w:r>
              <w:rPr>
                <w:rFonts w:hint="eastAsia" w:ascii="宋体" w:hAnsi="宋体" w:eastAsia="宋体" w:cs="宋体"/>
                <w:color w:val="auto"/>
                <w:sz w:val="24"/>
                <w:szCs w:val="24"/>
                <w:highlight w:val="none"/>
                <w:lang w:val="en-US" w:eastAsia="zh-CN"/>
              </w:rPr>
              <w:t>排版</w:t>
            </w:r>
            <w:r>
              <w:rPr>
                <w:rFonts w:hint="eastAsia" w:ascii="宋体" w:hAnsi="宋体" w:eastAsia="宋体" w:cs="宋体"/>
                <w:color w:val="auto"/>
                <w:sz w:val="24"/>
                <w:szCs w:val="24"/>
                <w:highlight w:val="none"/>
                <w:lang w:val="zh-TW"/>
              </w:rPr>
              <w:t>内容完整，具有可操作性视，</w:t>
            </w:r>
            <w:r>
              <w:rPr>
                <w:rFonts w:hint="eastAsia" w:ascii="宋体" w:hAnsi="宋体" w:eastAsia="宋体" w:cs="宋体"/>
                <w:color w:val="auto"/>
                <w:sz w:val="24"/>
                <w:szCs w:val="24"/>
                <w:highlight w:val="none"/>
                <w:lang w:val="en-US" w:eastAsia="zh-CN"/>
              </w:rPr>
              <w:t>设计效果</w:t>
            </w:r>
            <w:r>
              <w:rPr>
                <w:rFonts w:hint="eastAsia" w:ascii="宋体" w:hAnsi="宋体" w:eastAsia="宋体" w:cs="宋体"/>
                <w:color w:val="auto"/>
                <w:sz w:val="24"/>
                <w:szCs w:val="24"/>
                <w:highlight w:val="none"/>
                <w:lang w:val="zh-TW"/>
              </w:rPr>
              <w:t>与行业属性</w:t>
            </w:r>
            <w:r>
              <w:rPr>
                <w:rFonts w:hint="eastAsia" w:ascii="宋体" w:hAnsi="宋体" w:eastAsia="宋体" w:cs="宋体"/>
                <w:color w:val="auto"/>
                <w:sz w:val="24"/>
                <w:szCs w:val="24"/>
                <w:highlight w:val="none"/>
                <w:lang w:val="en-US" w:eastAsia="zh-CN"/>
              </w:rPr>
              <w:t>相符合，</w:t>
            </w:r>
            <w:r>
              <w:rPr>
                <w:rFonts w:hint="eastAsia" w:ascii="宋体" w:hAnsi="宋体" w:eastAsia="宋体" w:cs="宋体"/>
                <w:i w:val="0"/>
                <w:iCs w:val="0"/>
                <w:caps w:val="0"/>
                <w:color w:val="000000"/>
                <w:spacing w:val="0"/>
                <w:sz w:val="24"/>
                <w:szCs w:val="24"/>
                <w:highlight w:val="none"/>
              </w:rPr>
              <w:t>达到采购人要求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TW"/>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rPr>
              <w:t>分</w:t>
            </w:r>
            <w:r>
              <w:rPr>
                <w:rFonts w:hint="eastAsia" w:ascii="宋体" w:hAnsi="宋体" w:eastAsia="宋体" w:cs="宋体"/>
                <w:color w:val="auto"/>
                <w:sz w:val="24"/>
                <w:szCs w:val="24"/>
                <w:highlight w:val="none"/>
                <w:lang w:val="en-US" w:eastAsia="zh-CN"/>
              </w:rPr>
              <w:t>；</w:t>
            </w:r>
          </w:p>
          <w:p w14:paraId="451CD465">
            <w:pPr>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TW"/>
              </w:rPr>
              <w:t>提供的效果图</w:t>
            </w:r>
            <w:r>
              <w:rPr>
                <w:rFonts w:hint="eastAsia" w:ascii="宋体" w:hAnsi="宋体" w:eastAsia="宋体" w:cs="宋体"/>
                <w:color w:val="auto"/>
                <w:sz w:val="24"/>
                <w:szCs w:val="24"/>
                <w:highlight w:val="none"/>
                <w:lang w:val="en-US" w:eastAsia="zh-CN"/>
              </w:rPr>
              <w:t>排版</w:t>
            </w:r>
            <w:r>
              <w:rPr>
                <w:rFonts w:hint="eastAsia" w:ascii="宋体" w:hAnsi="宋体" w:eastAsia="宋体" w:cs="宋体"/>
                <w:color w:val="auto"/>
                <w:sz w:val="24"/>
                <w:szCs w:val="24"/>
                <w:highlight w:val="none"/>
                <w:lang w:val="zh-TW"/>
              </w:rPr>
              <w:t>内容较完整，但有所欠缺，设计效果与行业属性一般的</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实物图较符合</w:t>
            </w:r>
            <w:r>
              <w:rPr>
                <w:rFonts w:hint="eastAsia" w:ascii="宋体" w:hAnsi="宋体" w:eastAsia="宋体" w:cs="宋体"/>
                <w:i w:val="0"/>
                <w:iCs w:val="0"/>
                <w:caps w:val="0"/>
                <w:color w:val="000000"/>
                <w:spacing w:val="0"/>
                <w:sz w:val="24"/>
                <w:szCs w:val="24"/>
                <w:highlight w:val="none"/>
              </w:rPr>
              <w:t>采购人要求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TW"/>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rPr>
              <w:t>分</w:t>
            </w:r>
            <w:r>
              <w:rPr>
                <w:rFonts w:hint="eastAsia" w:ascii="宋体" w:hAnsi="宋体" w:eastAsia="宋体" w:cs="宋体"/>
                <w:color w:val="auto"/>
                <w:sz w:val="24"/>
                <w:szCs w:val="24"/>
                <w:highlight w:val="none"/>
                <w:lang w:val="en-US" w:eastAsia="zh-CN"/>
              </w:rPr>
              <w:t>；</w:t>
            </w:r>
          </w:p>
          <w:p w14:paraId="5CD69EB8">
            <w:pPr>
              <w:rPr>
                <w:rFonts w:hint="eastAsia" w:ascii="宋体" w:hAnsi="宋体" w:eastAsia="宋体" w:cs="宋体"/>
                <w:kern w:val="0"/>
                <w:sz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zh-TW"/>
              </w:rPr>
              <w:t>提供的效果图、布局图内容不完整，存在瑕疵或不足，与本项目实际有偏差的得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TW"/>
              </w:rPr>
              <w:t>分</w:t>
            </w:r>
            <w:r>
              <w:rPr>
                <w:rFonts w:hint="eastAsia" w:ascii="宋体" w:hAnsi="宋体" w:cs="宋体"/>
                <w:color w:val="auto"/>
                <w:sz w:val="24"/>
                <w:szCs w:val="24"/>
                <w:highlight w:val="none"/>
                <w:lang w:val="en-US" w:eastAsia="zh-CN"/>
              </w:rPr>
              <w:t>。</w:t>
            </w:r>
          </w:p>
        </w:tc>
        <w:tc>
          <w:tcPr>
            <w:tcW w:w="765" w:type="dxa"/>
            <w:noWrap w:val="0"/>
            <w:vAlign w:val="center"/>
          </w:tcPr>
          <w:p w14:paraId="0980D37B">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w:t>
            </w:r>
          </w:p>
        </w:tc>
        <w:tc>
          <w:tcPr>
            <w:tcW w:w="1029" w:type="dxa"/>
            <w:noWrap w:val="0"/>
            <w:vAlign w:val="center"/>
          </w:tcPr>
          <w:p w14:paraId="527A2408">
            <w:pPr>
              <w:widowControl/>
              <w:adjustRightInd/>
              <w:spacing w:line="360" w:lineRule="auto"/>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主观</w:t>
            </w:r>
          </w:p>
        </w:tc>
        <w:tc>
          <w:tcPr>
            <w:tcW w:w="1029" w:type="dxa"/>
            <w:noWrap w:val="0"/>
            <w:vAlign w:val="center"/>
          </w:tcPr>
          <w:p w14:paraId="06550A13">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7DBB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75" w:type="dxa"/>
            <w:noWrap w:val="0"/>
            <w:vAlign w:val="center"/>
          </w:tcPr>
          <w:p w14:paraId="3C117904">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9</w:t>
            </w:r>
          </w:p>
        </w:tc>
        <w:tc>
          <w:tcPr>
            <w:tcW w:w="6439" w:type="dxa"/>
            <w:noWrap w:val="0"/>
            <w:vAlign w:val="center"/>
          </w:tcPr>
          <w:p w14:paraId="65F09E27">
            <w:pPr>
              <w:widowControl/>
              <w:adjustRightInd/>
              <w:spacing w:line="240" w:lineRule="auto"/>
              <w:jc w:val="left"/>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kern w:val="0"/>
                <w:sz w:val="24"/>
                <w:highlight w:val="none"/>
              </w:rPr>
              <w:t>与采购标的相关的外观、结构、工艺及技术专利（发明、实用新型、外观设计得分不同，专利须在保护期内）：每项发明专利得1分，最高得3分；每项实用新型专利得0.5分，最高得1分；每项外观专利得0.25分，最高得0.5分。提供专利证书复印件，本项目合计最高得3分。</w:t>
            </w:r>
          </w:p>
        </w:tc>
        <w:tc>
          <w:tcPr>
            <w:tcW w:w="765" w:type="dxa"/>
            <w:noWrap w:val="0"/>
            <w:vAlign w:val="center"/>
          </w:tcPr>
          <w:p w14:paraId="5C4F6971">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w:t>
            </w:r>
          </w:p>
        </w:tc>
        <w:tc>
          <w:tcPr>
            <w:tcW w:w="1029" w:type="dxa"/>
            <w:noWrap w:val="0"/>
            <w:vAlign w:val="center"/>
          </w:tcPr>
          <w:p w14:paraId="40C79CDA">
            <w:pPr>
              <w:widowControl/>
              <w:adjustRightInd/>
              <w:spacing w:line="360" w:lineRule="auto"/>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客观</w:t>
            </w:r>
          </w:p>
        </w:tc>
        <w:tc>
          <w:tcPr>
            <w:tcW w:w="1029" w:type="dxa"/>
            <w:noWrap w:val="0"/>
            <w:vAlign w:val="center"/>
          </w:tcPr>
          <w:p w14:paraId="4EB13236">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1D42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75" w:type="dxa"/>
            <w:vMerge w:val="restart"/>
            <w:noWrap w:val="0"/>
            <w:vAlign w:val="center"/>
          </w:tcPr>
          <w:p w14:paraId="6421157D">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10</w:t>
            </w:r>
          </w:p>
        </w:tc>
        <w:tc>
          <w:tcPr>
            <w:tcW w:w="6439" w:type="dxa"/>
            <w:noWrap w:val="0"/>
            <w:vAlign w:val="center"/>
          </w:tcPr>
          <w:p w14:paraId="563A4A5D">
            <w:pP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项目实施规划方案</w:t>
            </w:r>
          </w:p>
          <w:p w14:paraId="32B91395">
            <w:pPr>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i w:val="0"/>
                <w:iCs w:val="0"/>
                <w:caps w:val="0"/>
                <w:color w:val="000000"/>
                <w:spacing w:val="0"/>
                <w:sz w:val="24"/>
                <w:szCs w:val="24"/>
                <w:highlight w:val="none"/>
              </w:rPr>
              <w:t>方案内容完整、规范、合理且可行，针对性强的得3分，</w:t>
            </w:r>
          </w:p>
          <w:p w14:paraId="3005E50B">
            <w:pPr>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i w:val="0"/>
                <w:iCs w:val="0"/>
                <w:caps w:val="0"/>
                <w:color w:val="000000"/>
                <w:spacing w:val="0"/>
                <w:sz w:val="24"/>
                <w:szCs w:val="24"/>
                <w:highlight w:val="none"/>
              </w:rPr>
              <w:t>方案内容较完整，合理性、可行性、针对性一般的得2分，</w:t>
            </w:r>
          </w:p>
          <w:p w14:paraId="106A5FEB">
            <w:pPr>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i w:val="0"/>
                <w:iCs w:val="0"/>
                <w:caps w:val="0"/>
                <w:color w:val="000000"/>
                <w:spacing w:val="0"/>
                <w:sz w:val="24"/>
                <w:szCs w:val="24"/>
                <w:highlight w:val="none"/>
              </w:rPr>
              <w:t>方案内容完整度一般，存在小瑕疵或不足的得1分，</w:t>
            </w:r>
          </w:p>
          <w:p w14:paraId="4E2A682A">
            <w:pPr>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i w:val="0"/>
                <w:iCs w:val="0"/>
                <w:caps w:val="0"/>
                <w:color w:val="000000"/>
                <w:spacing w:val="0"/>
                <w:sz w:val="24"/>
                <w:szCs w:val="24"/>
                <w:highlight w:val="none"/>
              </w:rPr>
              <w:t>方案内容完整度欠缺，存在明显瑕疵的得0分，</w:t>
            </w:r>
          </w:p>
          <w:p w14:paraId="7EA9CC2B">
            <w:pPr>
              <w:widowControl/>
              <w:adjustRightInd/>
              <w:spacing w:line="24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aps w:val="0"/>
                <w:color w:val="000000"/>
                <w:spacing w:val="0"/>
                <w:sz w:val="24"/>
                <w:szCs w:val="24"/>
                <w:highlight w:val="none"/>
                <w:lang w:val="en-US" w:eastAsia="zh-CN"/>
              </w:rPr>
              <w:t>⑤</w:t>
            </w:r>
            <w:r>
              <w:rPr>
                <w:rFonts w:hint="eastAsia" w:ascii="宋体" w:hAnsi="宋体" w:eastAsia="宋体" w:cs="宋体"/>
                <w:i w:val="0"/>
                <w:iCs w:val="0"/>
                <w:caps w:val="0"/>
                <w:color w:val="000000"/>
                <w:spacing w:val="0"/>
                <w:sz w:val="24"/>
                <w:szCs w:val="24"/>
                <w:highlight w:val="none"/>
              </w:rPr>
              <w:t>未提供相关内容的得0分。</w:t>
            </w:r>
          </w:p>
        </w:tc>
        <w:tc>
          <w:tcPr>
            <w:tcW w:w="765" w:type="dxa"/>
            <w:noWrap w:val="0"/>
            <w:vAlign w:val="center"/>
          </w:tcPr>
          <w:p w14:paraId="03C19C53">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w:t>
            </w:r>
          </w:p>
        </w:tc>
        <w:tc>
          <w:tcPr>
            <w:tcW w:w="1029" w:type="dxa"/>
            <w:vMerge w:val="restart"/>
            <w:noWrap w:val="0"/>
            <w:vAlign w:val="center"/>
          </w:tcPr>
          <w:p w14:paraId="727EE382">
            <w:pPr>
              <w:widowControl/>
              <w:adjustRightInd/>
              <w:spacing w:line="360" w:lineRule="auto"/>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主观</w:t>
            </w:r>
          </w:p>
        </w:tc>
        <w:tc>
          <w:tcPr>
            <w:tcW w:w="1029" w:type="dxa"/>
            <w:noWrap w:val="0"/>
            <w:vAlign w:val="center"/>
          </w:tcPr>
          <w:p w14:paraId="07790BE8">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6CB0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75" w:type="dxa"/>
            <w:vMerge w:val="continue"/>
            <w:noWrap w:val="0"/>
            <w:vAlign w:val="center"/>
          </w:tcPr>
          <w:p w14:paraId="0EE7B613">
            <w:pPr>
              <w:spacing w:line="400" w:lineRule="exact"/>
              <w:jc w:val="center"/>
              <w:outlineLvl w:val="0"/>
              <w:rPr>
                <w:rFonts w:hint="eastAsia" w:ascii="宋体" w:hAnsi="宋体" w:eastAsia="宋体" w:cs="宋体"/>
                <w:bCs/>
                <w:color w:val="000000"/>
                <w:sz w:val="24"/>
                <w:highlight w:val="none"/>
              </w:rPr>
            </w:pPr>
          </w:p>
        </w:tc>
        <w:tc>
          <w:tcPr>
            <w:tcW w:w="6439" w:type="dxa"/>
            <w:noWrap w:val="0"/>
            <w:vAlign w:val="center"/>
          </w:tcPr>
          <w:p w14:paraId="439D38CE">
            <w:pPr>
              <w:widowControl/>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生产实施方案</w:t>
            </w:r>
          </w:p>
          <w:p w14:paraId="04A2F9AF">
            <w:pPr>
              <w:widowControl/>
              <w:jc w:val="left"/>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i w:val="0"/>
                <w:iCs w:val="0"/>
                <w:caps w:val="0"/>
                <w:color w:val="000000"/>
                <w:spacing w:val="0"/>
                <w:sz w:val="24"/>
                <w:szCs w:val="24"/>
                <w:highlight w:val="none"/>
              </w:rPr>
              <w:t>方案内容完整、规范、合理且可行，针对性强的得</w:t>
            </w:r>
            <w:r>
              <w:rPr>
                <w:rFonts w:hint="eastAsia" w:ascii="宋体" w:hAnsi="宋体" w:eastAsia="宋体" w:cs="宋体"/>
                <w:i w:val="0"/>
                <w:iCs w:val="0"/>
                <w:caps w:val="0"/>
                <w:color w:val="000000"/>
                <w:spacing w:val="0"/>
                <w:sz w:val="24"/>
                <w:szCs w:val="24"/>
                <w:highlight w:val="none"/>
                <w:lang w:val="en-US" w:eastAsia="zh-CN"/>
              </w:rPr>
              <w:t>4</w:t>
            </w:r>
            <w:r>
              <w:rPr>
                <w:rFonts w:hint="eastAsia" w:ascii="宋体" w:hAnsi="宋体" w:eastAsia="宋体" w:cs="宋体"/>
                <w:i w:val="0"/>
                <w:iCs w:val="0"/>
                <w:caps w:val="0"/>
                <w:color w:val="000000"/>
                <w:spacing w:val="0"/>
                <w:sz w:val="24"/>
                <w:szCs w:val="24"/>
                <w:highlight w:val="none"/>
              </w:rPr>
              <w:t>分</w:t>
            </w:r>
            <w:r>
              <w:rPr>
                <w:rFonts w:hint="eastAsia" w:ascii="宋体" w:hAnsi="宋体" w:eastAsia="宋体" w:cs="宋体"/>
                <w:kern w:val="0"/>
                <w:sz w:val="24"/>
                <w:highlight w:val="none"/>
              </w:rPr>
              <w:t>；</w:t>
            </w:r>
          </w:p>
          <w:p w14:paraId="36708D53">
            <w:pPr>
              <w:widowControl/>
              <w:jc w:val="left"/>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i w:val="0"/>
                <w:iCs w:val="0"/>
                <w:caps w:val="0"/>
                <w:color w:val="000000"/>
                <w:spacing w:val="0"/>
                <w:sz w:val="24"/>
                <w:szCs w:val="24"/>
                <w:highlight w:val="none"/>
              </w:rPr>
              <w:t>方案内容完整度</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合理性、针对性一般，存在小瑕疵或不足的得3分</w:t>
            </w:r>
            <w:r>
              <w:rPr>
                <w:rFonts w:hint="eastAsia" w:ascii="宋体" w:hAnsi="宋体" w:eastAsia="宋体" w:cs="宋体"/>
                <w:kern w:val="0"/>
                <w:sz w:val="24"/>
                <w:highlight w:val="none"/>
              </w:rPr>
              <w:t>；</w:t>
            </w:r>
            <w:r>
              <w:rPr>
                <w:rFonts w:hint="eastAsia" w:ascii="宋体" w:hAnsi="宋体" w:eastAsia="宋体" w:cs="宋体"/>
                <w:i w:val="0"/>
                <w:iCs w:val="0"/>
                <w:caps w:val="0"/>
                <w:color w:val="000000"/>
                <w:spacing w:val="0"/>
                <w:sz w:val="24"/>
                <w:szCs w:val="24"/>
                <w:highlight w:val="none"/>
                <w:lang w:val="en-US" w:eastAsia="zh-CN"/>
              </w:rPr>
              <w:t xml:space="preserve">      </w:t>
            </w:r>
          </w:p>
          <w:p w14:paraId="5B4747B7">
            <w:pPr>
              <w:widowControl/>
              <w:adjustRightInd/>
              <w:spacing w:line="24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i w:val="0"/>
                <w:iCs w:val="0"/>
                <w:caps w:val="0"/>
                <w:color w:val="000000"/>
                <w:spacing w:val="0"/>
                <w:sz w:val="24"/>
                <w:szCs w:val="24"/>
                <w:highlight w:val="none"/>
              </w:rPr>
              <w:t>方案内容完整度欠缺，存在明显瑕疵的得2分</w:t>
            </w:r>
            <w:r>
              <w:rPr>
                <w:rFonts w:hint="eastAsia" w:ascii="宋体" w:hAnsi="宋体" w:eastAsia="宋体" w:cs="宋体"/>
                <w:kern w:val="0"/>
                <w:sz w:val="24"/>
                <w:highlight w:val="none"/>
              </w:rPr>
              <w:t>；</w:t>
            </w:r>
            <w:r>
              <w:rPr>
                <w:rFonts w:hint="eastAsia" w:ascii="宋体" w:hAnsi="宋体" w:eastAsia="宋体" w:cs="宋体"/>
                <w:i w:val="0"/>
                <w:iCs w:val="0"/>
                <w:caps w:val="0"/>
                <w:color w:val="000000"/>
                <w:spacing w:val="0"/>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④</w:t>
            </w:r>
            <w:r>
              <w:rPr>
                <w:rFonts w:hint="eastAsia" w:ascii="宋体" w:hAnsi="宋体" w:eastAsia="宋体" w:cs="宋体"/>
                <w:i w:val="0"/>
                <w:iCs w:val="0"/>
                <w:caps w:val="0"/>
                <w:color w:val="000000"/>
                <w:spacing w:val="0"/>
                <w:sz w:val="24"/>
                <w:szCs w:val="24"/>
                <w:highlight w:val="none"/>
              </w:rPr>
              <w:t>方案内容简单，涉及少的得1分</w:t>
            </w:r>
            <w:r>
              <w:rPr>
                <w:rFonts w:hint="eastAsia" w:ascii="宋体" w:hAnsi="宋体" w:eastAsia="宋体" w:cs="宋体"/>
                <w:kern w:val="0"/>
                <w:sz w:val="24"/>
                <w:highlight w:val="none"/>
              </w:rPr>
              <w:t>；</w:t>
            </w:r>
            <w:r>
              <w:rPr>
                <w:rFonts w:hint="eastAsia" w:ascii="宋体" w:hAnsi="宋体" w:eastAsia="宋体" w:cs="宋体"/>
                <w:i w:val="0"/>
                <w:iCs w:val="0"/>
                <w:caps w:val="0"/>
                <w:color w:val="000000"/>
                <w:spacing w:val="0"/>
                <w:sz w:val="24"/>
                <w:szCs w:val="24"/>
                <w:highlight w:val="none"/>
                <w:lang w:val="en-US" w:eastAsia="zh-CN"/>
              </w:rPr>
              <w:t xml:space="preserve">                               ⑤</w:t>
            </w:r>
            <w:r>
              <w:rPr>
                <w:rFonts w:hint="eastAsia" w:ascii="宋体" w:hAnsi="宋体" w:eastAsia="宋体" w:cs="宋体"/>
                <w:i w:val="0"/>
                <w:iCs w:val="0"/>
                <w:caps w:val="0"/>
                <w:color w:val="000000"/>
                <w:spacing w:val="0"/>
                <w:sz w:val="24"/>
                <w:szCs w:val="24"/>
                <w:highlight w:val="none"/>
              </w:rPr>
              <w:t>未提供相关内容的得0分。</w:t>
            </w:r>
          </w:p>
        </w:tc>
        <w:tc>
          <w:tcPr>
            <w:tcW w:w="765" w:type="dxa"/>
            <w:noWrap w:val="0"/>
            <w:vAlign w:val="center"/>
          </w:tcPr>
          <w:p w14:paraId="75E81728">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4</w:t>
            </w:r>
          </w:p>
        </w:tc>
        <w:tc>
          <w:tcPr>
            <w:tcW w:w="1029" w:type="dxa"/>
            <w:vMerge w:val="continue"/>
            <w:noWrap w:val="0"/>
            <w:vAlign w:val="center"/>
          </w:tcPr>
          <w:p w14:paraId="3CFC7407">
            <w:pPr>
              <w:widowControl/>
              <w:adjustRightInd/>
              <w:spacing w:line="360" w:lineRule="auto"/>
              <w:jc w:val="center"/>
              <w:textAlignment w:val="center"/>
              <w:rPr>
                <w:rFonts w:hint="eastAsia" w:ascii="宋体" w:hAnsi="宋体" w:eastAsia="宋体" w:cs="宋体"/>
                <w:color w:val="000000"/>
                <w:kern w:val="0"/>
                <w:sz w:val="24"/>
                <w:highlight w:val="none"/>
              </w:rPr>
            </w:pPr>
          </w:p>
        </w:tc>
        <w:tc>
          <w:tcPr>
            <w:tcW w:w="1029" w:type="dxa"/>
            <w:noWrap w:val="0"/>
            <w:vAlign w:val="center"/>
          </w:tcPr>
          <w:p w14:paraId="5CA00C3F">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56DD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75" w:type="dxa"/>
            <w:vMerge w:val="continue"/>
            <w:noWrap w:val="0"/>
            <w:vAlign w:val="center"/>
          </w:tcPr>
          <w:p w14:paraId="44D1F33A">
            <w:pPr>
              <w:spacing w:line="400" w:lineRule="exact"/>
              <w:jc w:val="center"/>
              <w:outlineLvl w:val="0"/>
              <w:rPr>
                <w:rFonts w:hint="eastAsia" w:ascii="宋体" w:hAnsi="宋体" w:eastAsia="宋体" w:cs="宋体"/>
                <w:bCs/>
                <w:color w:val="000000"/>
                <w:sz w:val="24"/>
                <w:highlight w:val="none"/>
              </w:rPr>
            </w:pPr>
          </w:p>
        </w:tc>
        <w:tc>
          <w:tcPr>
            <w:tcW w:w="6439" w:type="dxa"/>
            <w:noWrap w:val="0"/>
            <w:vAlign w:val="center"/>
          </w:tcPr>
          <w:p w14:paraId="60A58DB3">
            <w:pP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000000"/>
                <w:sz w:val="24"/>
                <w:szCs w:val="24"/>
                <w:highlight w:val="none"/>
              </w:rPr>
              <w:t>安装服务实施方案</w:t>
            </w:r>
          </w:p>
          <w:p w14:paraId="31F8F13F">
            <w:pPr>
              <w:widowControl/>
              <w:jc w:val="left"/>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i w:val="0"/>
                <w:iCs w:val="0"/>
                <w:caps w:val="0"/>
                <w:color w:val="000000"/>
                <w:spacing w:val="0"/>
                <w:sz w:val="24"/>
                <w:szCs w:val="24"/>
                <w:highlight w:val="none"/>
              </w:rPr>
              <w:t>现场安装方案具体细致、可行性强得</w:t>
            </w:r>
            <w:r>
              <w:rPr>
                <w:rFonts w:hint="eastAsia" w:ascii="宋体" w:hAnsi="宋体" w:eastAsia="宋体" w:cs="宋体"/>
                <w:i w:val="0"/>
                <w:iCs w:val="0"/>
                <w:caps w:val="0"/>
                <w:color w:val="000000"/>
                <w:spacing w:val="0"/>
                <w:sz w:val="24"/>
                <w:szCs w:val="24"/>
                <w:highlight w:val="none"/>
                <w:lang w:val="en-US" w:eastAsia="zh-CN"/>
              </w:rPr>
              <w:t>3</w:t>
            </w:r>
            <w:r>
              <w:rPr>
                <w:rFonts w:hint="eastAsia" w:ascii="宋体" w:hAnsi="宋体" w:eastAsia="宋体" w:cs="宋体"/>
                <w:i w:val="0"/>
                <w:iCs w:val="0"/>
                <w:caps w:val="0"/>
                <w:color w:val="000000"/>
                <w:spacing w:val="0"/>
                <w:sz w:val="24"/>
                <w:szCs w:val="24"/>
                <w:highlight w:val="none"/>
              </w:rPr>
              <w:t>分；</w:t>
            </w:r>
            <w:r>
              <w:rPr>
                <w:rFonts w:hint="eastAsia" w:ascii="宋体" w:hAnsi="宋体" w:eastAsia="宋体" w:cs="宋体"/>
                <w:i w:val="0"/>
                <w:iCs w:val="0"/>
                <w:caps w:val="0"/>
                <w:color w:val="000000"/>
                <w:spacing w:val="0"/>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②</w:t>
            </w:r>
            <w:r>
              <w:rPr>
                <w:rFonts w:hint="eastAsia" w:ascii="宋体" w:hAnsi="宋体" w:eastAsia="宋体" w:cs="宋体"/>
                <w:i w:val="0"/>
                <w:iCs w:val="0"/>
                <w:caps w:val="0"/>
                <w:color w:val="000000"/>
                <w:spacing w:val="0"/>
                <w:sz w:val="24"/>
                <w:szCs w:val="24"/>
                <w:highlight w:val="none"/>
              </w:rPr>
              <w:t>现场安装方案不够具体详细或存在细微瑕疵、或可行性略欠缺的得</w:t>
            </w:r>
            <w:r>
              <w:rPr>
                <w:rFonts w:hint="eastAsia" w:ascii="宋体" w:hAnsi="宋体" w:eastAsia="宋体" w:cs="宋体"/>
                <w:i w:val="0"/>
                <w:iCs w:val="0"/>
                <w:caps w:val="0"/>
                <w:color w:val="000000"/>
                <w:spacing w:val="0"/>
                <w:sz w:val="24"/>
                <w:szCs w:val="24"/>
                <w:highlight w:val="none"/>
                <w:lang w:val="en-US" w:eastAsia="zh-CN"/>
              </w:rPr>
              <w:t>2</w:t>
            </w:r>
            <w:r>
              <w:rPr>
                <w:rFonts w:hint="eastAsia" w:ascii="宋体" w:hAnsi="宋体" w:eastAsia="宋体" w:cs="宋体"/>
                <w:i w:val="0"/>
                <w:iCs w:val="0"/>
                <w:caps w:val="0"/>
                <w:color w:val="000000"/>
                <w:spacing w:val="0"/>
                <w:sz w:val="24"/>
                <w:szCs w:val="24"/>
                <w:highlight w:val="none"/>
              </w:rPr>
              <w:t>分；</w:t>
            </w:r>
            <w:r>
              <w:rPr>
                <w:rFonts w:hint="eastAsia" w:ascii="宋体" w:hAnsi="宋体" w:eastAsia="宋体" w:cs="宋体"/>
                <w:i w:val="0"/>
                <w:iCs w:val="0"/>
                <w:caps w:val="0"/>
                <w:color w:val="000000"/>
                <w:spacing w:val="0"/>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③</w:t>
            </w:r>
            <w:r>
              <w:rPr>
                <w:rFonts w:hint="eastAsia" w:ascii="宋体" w:hAnsi="宋体" w:eastAsia="宋体" w:cs="宋体"/>
                <w:i w:val="0"/>
                <w:iCs w:val="0"/>
                <w:caps w:val="0"/>
                <w:color w:val="000000"/>
                <w:spacing w:val="0"/>
                <w:sz w:val="24"/>
                <w:szCs w:val="24"/>
                <w:highlight w:val="none"/>
              </w:rPr>
              <w:t>现场安装方案方案没有针对性、或无可实施性的得</w:t>
            </w:r>
            <w:r>
              <w:rPr>
                <w:rFonts w:hint="eastAsia" w:ascii="宋体" w:hAnsi="宋体" w:eastAsia="宋体" w:cs="宋体"/>
                <w:i w:val="0"/>
                <w:iCs w:val="0"/>
                <w:caps w:val="0"/>
                <w:color w:val="000000"/>
                <w:spacing w:val="0"/>
                <w:sz w:val="24"/>
                <w:szCs w:val="24"/>
                <w:highlight w:val="none"/>
                <w:lang w:val="en-US" w:eastAsia="zh-CN"/>
              </w:rPr>
              <w:t>1</w:t>
            </w:r>
            <w:r>
              <w:rPr>
                <w:rFonts w:hint="eastAsia" w:ascii="宋体" w:hAnsi="宋体" w:eastAsia="宋体" w:cs="宋体"/>
                <w:i w:val="0"/>
                <w:iCs w:val="0"/>
                <w:caps w:val="0"/>
                <w:color w:val="000000"/>
                <w:spacing w:val="0"/>
                <w:sz w:val="24"/>
                <w:szCs w:val="24"/>
                <w:highlight w:val="none"/>
              </w:rPr>
              <w:t>分，</w:t>
            </w:r>
          </w:p>
          <w:p w14:paraId="7FE9A1B0">
            <w:pPr>
              <w:widowControl/>
              <w:adjustRightInd/>
              <w:spacing w:line="24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i w:val="0"/>
                <w:iCs w:val="0"/>
                <w:caps w:val="0"/>
                <w:color w:val="000000"/>
                <w:spacing w:val="0"/>
                <w:sz w:val="24"/>
                <w:szCs w:val="24"/>
                <w:highlight w:val="none"/>
              </w:rPr>
              <w:t>未提供不得分</w:t>
            </w:r>
          </w:p>
        </w:tc>
        <w:tc>
          <w:tcPr>
            <w:tcW w:w="765" w:type="dxa"/>
            <w:noWrap w:val="0"/>
            <w:vAlign w:val="center"/>
          </w:tcPr>
          <w:p w14:paraId="7AC3BF7B">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w:t>
            </w:r>
          </w:p>
        </w:tc>
        <w:tc>
          <w:tcPr>
            <w:tcW w:w="1029" w:type="dxa"/>
            <w:vMerge w:val="continue"/>
            <w:noWrap w:val="0"/>
            <w:vAlign w:val="center"/>
          </w:tcPr>
          <w:p w14:paraId="52C92059">
            <w:pPr>
              <w:widowControl/>
              <w:adjustRightInd/>
              <w:spacing w:line="360" w:lineRule="auto"/>
              <w:jc w:val="center"/>
              <w:textAlignment w:val="center"/>
              <w:rPr>
                <w:rFonts w:hint="eastAsia" w:ascii="宋体" w:hAnsi="宋体" w:eastAsia="宋体" w:cs="宋体"/>
                <w:color w:val="000000"/>
                <w:kern w:val="0"/>
                <w:sz w:val="24"/>
                <w:highlight w:val="none"/>
              </w:rPr>
            </w:pPr>
          </w:p>
        </w:tc>
        <w:tc>
          <w:tcPr>
            <w:tcW w:w="1029" w:type="dxa"/>
            <w:noWrap w:val="0"/>
            <w:vAlign w:val="center"/>
          </w:tcPr>
          <w:p w14:paraId="40893361">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3F42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75" w:type="dxa"/>
            <w:vMerge w:val="continue"/>
            <w:noWrap w:val="0"/>
            <w:vAlign w:val="center"/>
          </w:tcPr>
          <w:p w14:paraId="305575F4">
            <w:pPr>
              <w:spacing w:line="400" w:lineRule="exact"/>
              <w:jc w:val="center"/>
              <w:outlineLvl w:val="0"/>
              <w:rPr>
                <w:rFonts w:hint="eastAsia" w:ascii="宋体" w:hAnsi="宋体" w:eastAsia="宋体" w:cs="宋体"/>
                <w:bCs/>
                <w:color w:val="000000"/>
                <w:sz w:val="24"/>
                <w:highlight w:val="none"/>
              </w:rPr>
            </w:pPr>
          </w:p>
        </w:tc>
        <w:tc>
          <w:tcPr>
            <w:tcW w:w="6439" w:type="dxa"/>
            <w:noWrap w:val="0"/>
            <w:vAlign w:val="center"/>
          </w:tcPr>
          <w:p w14:paraId="5F441F3C">
            <w:pP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技术团队履历及能力说明</w:t>
            </w:r>
          </w:p>
          <w:p w14:paraId="74B3C464">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①专业技术人员队伍技术能力强且经验丰富，得3分；</w:t>
            </w:r>
          </w:p>
          <w:p w14:paraId="1D76160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②专业技术人员队伍技术能力较强或经验一般，得2分；                                        </w:t>
            </w:r>
          </w:p>
          <w:p w14:paraId="4E18CB9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③专业技术人员队伍技术能力较弱或经验不足，得1分；</w:t>
            </w:r>
          </w:p>
          <w:p w14:paraId="09457D41">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④未提供相应内容的不得分。</w:t>
            </w:r>
          </w:p>
          <w:p w14:paraId="250751C8">
            <w:pPr>
              <w:widowControl/>
              <w:adjustRightInd/>
              <w:spacing w:line="24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投标文件中需提供相关人员在本单位连续缴纳近三个月的社保证明，否则不得分。</w:t>
            </w:r>
          </w:p>
        </w:tc>
        <w:tc>
          <w:tcPr>
            <w:tcW w:w="765" w:type="dxa"/>
            <w:noWrap w:val="0"/>
            <w:vAlign w:val="center"/>
          </w:tcPr>
          <w:p w14:paraId="4A26179D">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w:t>
            </w:r>
          </w:p>
        </w:tc>
        <w:tc>
          <w:tcPr>
            <w:tcW w:w="1029" w:type="dxa"/>
            <w:vMerge w:val="continue"/>
            <w:noWrap w:val="0"/>
            <w:vAlign w:val="center"/>
          </w:tcPr>
          <w:p w14:paraId="1906C4C3">
            <w:pPr>
              <w:widowControl/>
              <w:adjustRightInd/>
              <w:spacing w:line="360" w:lineRule="auto"/>
              <w:jc w:val="center"/>
              <w:textAlignment w:val="center"/>
              <w:rPr>
                <w:rFonts w:hint="eastAsia" w:ascii="宋体" w:hAnsi="宋体" w:eastAsia="宋体" w:cs="宋体"/>
                <w:color w:val="000000"/>
                <w:kern w:val="0"/>
                <w:sz w:val="24"/>
                <w:highlight w:val="none"/>
              </w:rPr>
            </w:pPr>
          </w:p>
        </w:tc>
        <w:tc>
          <w:tcPr>
            <w:tcW w:w="1029" w:type="dxa"/>
            <w:noWrap w:val="0"/>
            <w:vAlign w:val="center"/>
          </w:tcPr>
          <w:p w14:paraId="20656820">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7407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75" w:type="dxa"/>
            <w:noWrap w:val="0"/>
            <w:vAlign w:val="center"/>
          </w:tcPr>
          <w:p w14:paraId="02631807">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11</w:t>
            </w:r>
          </w:p>
        </w:tc>
        <w:tc>
          <w:tcPr>
            <w:tcW w:w="6439" w:type="dxa"/>
            <w:noWrap w:val="0"/>
            <w:vAlign w:val="center"/>
          </w:tcPr>
          <w:p w14:paraId="5C22E99C">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投标人或生产制造商需</w:t>
            </w:r>
            <w:r>
              <w:rPr>
                <w:rFonts w:hint="eastAsia" w:ascii="宋体" w:hAnsi="宋体" w:eastAsia="宋体" w:cs="宋体"/>
                <w:color w:val="auto"/>
                <w:kern w:val="0"/>
                <w:sz w:val="24"/>
                <w:highlight w:val="none"/>
              </w:rPr>
              <w:t>提供符合核心技术性能要求的与采购标的同品类（</w:t>
            </w:r>
            <w:r>
              <w:rPr>
                <w:rFonts w:hint="eastAsia" w:ascii="宋体" w:hAnsi="宋体" w:eastAsia="宋体" w:cs="宋体"/>
                <w:color w:val="auto"/>
                <w:kern w:val="0"/>
                <w:sz w:val="24"/>
                <w:highlight w:val="none"/>
                <w:lang w:val="en-US" w:eastAsia="zh-CN"/>
              </w:rPr>
              <w:t>沙发（等候沙发）、</w:t>
            </w:r>
            <w:r>
              <w:rPr>
                <w:rFonts w:hint="eastAsia" w:ascii="宋体" w:hAnsi="宋体" w:eastAsia="宋体" w:cs="宋体"/>
                <w:color w:val="auto"/>
                <w:kern w:val="0"/>
                <w:sz w:val="24"/>
                <w:highlight w:val="none"/>
                <w:shd w:val="clear" w:color="auto" w:fill="auto"/>
              </w:rPr>
              <w:t>办公桌、文件柜</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lang w:val="en-US" w:eastAsia="zh-CN"/>
              </w:rPr>
              <w:t>实木桌、床（中医理疗床）、</w:t>
            </w:r>
            <w:r>
              <w:rPr>
                <w:rFonts w:hint="eastAsia" w:ascii="宋体" w:hAnsi="宋体" w:eastAsia="宋体" w:cs="宋体"/>
                <w:color w:val="auto"/>
                <w:kern w:val="0"/>
                <w:sz w:val="24"/>
                <w:highlight w:val="none"/>
                <w:shd w:val="clear" w:color="auto" w:fill="auto"/>
              </w:rPr>
              <w:t>办公椅</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（自</w:t>
            </w:r>
            <w:r>
              <w:rPr>
                <w:rFonts w:hint="eastAsia" w:ascii="宋体" w:hAnsi="宋体" w:eastAsia="宋体" w:cs="宋体"/>
                <w:color w:val="auto"/>
                <w:kern w:val="0"/>
                <w:sz w:val="24"/>
                <w:highlight w:val="none"/>
                <w:lang w:val="en-US" w:eastAsia="zh-CN"/>
              </w:rPr>
              <w:t>2023年至今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成品检测报告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全部满足得3分，</w:t>
            </w:r>
            <w:r>
              <w:rPr>
                <w:rFonts w:hint="eastAsia" w:ascii="宋体" w:hAnsi="宋体" w:eastAsia="宋体" w:cs="宋体"/>
                <w:color w:val="auto"/>
                <w:kern w:val="0"/>
                <w:sz w:val="24"/>
                <w:highlight w:val="none"/>
                <w:shd w:val="clear" w:color="auto" w:fill="auto"/>
                <w:lang w:val="en-US" w:eastAsia="zh-CN"/>
              </w:rPr>
              <w:t>成品品类子项均满足得0.5分，子项里其中一项或几项不满足不得分，最高得3分，</w:t>
            </w:r>
            <w:r>
              <w:rPr>
                <w:rFonts w:hint="eastAsia" w:ascii="宋体" w:hAnsi="宋体" w:eastAsia="宋体" w:cs="宋体"/>
                <w:color w:val="auto"/>
                <w:kern w:val="0"/>
                <w:sz w:val="24"/>
                <w:highlight w:val="none"/>
                <w:lang w:val="en-US" w:eastAsia="zh-CN"/>
              </w:rPr>
              <w:t>扣完为止。</w:t>
            </w:r>
          </w:p>
          <w:p w14:paraId="75F1DB74">
            <w:pPr>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一、沙发（等候沙发）</w:t>
            </w:r>
          </w:p>
          <w:p w14:paraId="70DDBB7F">
            <w:pPr>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外观性能：面料、缝纫和包覆、木制件、饰面、五金件及其配件安装均合格。</w:t>
            </w:r>
          </w:p>
          <w:p w14:paraId="3F626F84">
            <w:pPr>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2.力学性能(稳定性、符合采购需求的耐久性</w:t>
            </w:r>
            <w:r>
              <w:rPr>
                <w:rFonts w:hint="eastAsia" w:ascii="宋体" w:hAnsi="宋体" w:eastAsia="宋体" w:cs="宋体"/>
                <w:color w:val="auto"/>
                <w:kern w:val="0"/>
                <w:sz w:val="24"/>
                <w:highlight w:val="none"/>
                <w:lang w:val="en-US" w:eastAsia="zh-CN"/>
              </w:rPr>
              <w:t>及松动量</w:t>
            </w:r>
            <w:r>
              <w:rPr>
                <w:rFonts w:hint="eastAsia" w:ascii="宋体" w:hAnsi="宋体" w:eastAsia="宋体" w:cs="宋体"/>
                <w:color w:val="auto"/>
                <w:kern w:val="0"/>
                <w:sz w:val="24"/>
                <w:highlight w:val="none"/>
              </w:rPr>
              <w:t>全项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不得低于三项检测项，且检测结果均为满足要求</w:t>
            </w:r>
            <w:r>
              <w:rPr>
                <w:rFonts w:hint="eastAsia" w:ascii="宋体" w:hAnsi="宋体" w:eastAsia="宋体" w:cs="宋体"/>
                <w:color w:val="auto"/>
                <w:kern w:val="0"/>
                <w:sz w:val="24"/>
                <w:highlight w:val="none"/>
                <w:lang w:eastAsia="zh-CN"/>
              </w:rPr>
              <w:t>。</w:t>
            </w:r>
          </w:p>
          <w:p w14:paraId="495CE3BD">
            <w:pPr>
              <w:pStyle w:val="34"/>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3.产品有害物质：苯、甲苯、二甲苯、总挥发性有机化合物、可接触的实木部件中五氯苯酚、可分解芳香胺染料均未检出。</w:t>
            </w:r>
          </w:p>
          <w:p w14:paraId="5A4E890E">
            <w:pPr>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.甲醛释放量</w:t>
            </w:r>
            <w:r>
              <w:rPr>
                <w:rFonts w:hint="eastAsia" w:ascii="宋体" w:hAnsi="宋体" w:eastAsia="宋体" w:cs="宋体"/>
                <w:color w:val="auto"/>
                <w:kern w:val="0"/>
                <w:sz w:val="24"/>
                <w:szCs w:val="24"/>
                <w:highlight w:val="none"/>
                <w:lang w:val="en-US" w:eastAsia="zh-CN"/>
              </w:rPr>
              <w:t>未检出。</w:t>
            </w:r>
          </w:p>
          <w:p w14:paraId="52712CAB">
            <w:pPr>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.公共场所阻燃家具及组件的燃烧性能均对应的国家标准执行评分：均符合GB20286-2006执行，阻燃1级（家具/组件），热释放速率峰值≤150kW</w:t>
            </w:r>
            <w:r>
              <w:rPr>
                <w:rFonts w:hint="eastAsia" w:ascii="宋体" w:hAnsi="宋体" w:eastAsia="宋体" w:cs="宋体"/>
                <w:color w:val="auto"/>
                <w:kern w:val="0"/>
                <w:sz w:val="24"/>
                <w:highlight w:val="none"/>
                <w:lang w:bidi="ar"/>
              </w:rPr>
              <w:t>，5min内放出的总能量</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bidi="ar"/>
              </w:rPr>
              <w:t>30</w:t>
            </w:r>
            <w:r>
              <w:rPr>
                <w:rFonts w:hint="eastAsia" w:ascii="宋体" w:hAnsi="宋体" w:eastAsia="宋体" w:cs="宋体"/>
                <w:color w:val="auto"/>
                <w:kern w:val="0"/>
                <w:sz w:val="24"/>
                <w:highlight w:val="none"/>
                <w:lang w:val="en-US" w:eastAsia="zh-CN" w:bidi="ar"/>
              </w:rPr>
              <w:t>MJ</w:t>
            </w:r>
            <w:r>
              <w:rPr>
                <w:rFonts w:hint="eastAsia" w:ascii="宋体" w:hAnsi="宋体" w:eastAsia="宋体" w:cs="宋体"/>
                <w:color w:val="auto"/>
                <w:kern w:val="0"/>
                <w:sz w:val="24"/>
                <w:highlight w:val="none"/>
                <w:lang w:eastAsia="zh-CN" w:bidi="ar"/>
              </w:rPr>
              <w:t>。</w:t>
            </w:r>
          </w:p>
          <w:p w14:paraId="236B3815">
            <w:pPr>
              <w:pStyle w:val="34"/>
              <w:numPr>
                <w:ilvl w:val="0"/>
                <w:numId w:val="0"/>
              </w:numPr>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b/>
                <w:bCs/>
                <w:color w:val="auto"/>
                <w:kern w:val="0"/>
                <w:sz w:val="24"/>
                <w:highlight w:val="none"/>
                <w:shd w:val="clear" w:color="auto" w:fill="auto"/>
                <w:lang w:val="en-US" w:eastAsia="zh-CN"/>
              </w:rPr>
              <w:t>二、</w:t>
            </w:r>
            <w:r>
              <w:rPr>
                <w:rFonts w:hint="eastAsia" w:ascii="宋体" w:hAnsi="宋体" w:eastAsia="宋体" w:cs="宋体"/>
                <w:b/>
                <w:bCs/>
                <w:color w:val="auto"/>
                <w:kern w:val="0"/>
                <w:sz w:val="24"/>
                <w:highlight w:val="none"/>
                <w:shd w:val="clear" w:color="auto" w:fill="auto"/>
              </w:rPr>
              <w:t>办公桌</w:t>
            </w:r>
          </w:p>
          <w:p w14:paraId="5E6FD56C">
            <w:pPr>
              <w:pStyle w:val="34"/>
              <w:numPr>
                <w:ilvl w:val="0"/>
                <w:numId w:val="0"/>
              </w:numPr>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1、外观要求人造板件外观、漆膜外观、木工要求、五金件外观要求均检测合格。</w:t>
            </w:r>
          </w:p>
          <w:p w14:paraId="1FC5AB26">
            <w:pPr>
              <w:pStyle w:val="34"/>
              <w:numPr>
                <w:ilvl w:val="0"/>
                <w:numId w:val="0"/>
              </w:numPr>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2、力学性能桌类强度和耐久性全项均检测合格。</w:t>
            </w:r>
          </w:p>
          <w:p w14:paraId="2C0E28B8">
            <w:pPr>
              <w:pStyle w:val="34"/>
              <w:numPr>
                <w:ilvl w:val="0"/>
                <w:numId w:val="0"/>
              </w:numPr>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3、甲醛释放量未检出。</w:t>
            </w:r>
          </w:p>
          <w:p w14:paraId="6DBDE1FB">
            <w:pPr>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shd w:val="clear" w:color="auto" w:fill="auto"/>
                <w:lang w:val="en-US" w:eastAsia="zh-CN"/>
              </w:rPr>
              <w:t>4、</w:t>
            </w:r>
            <w:r>
              <w:rPr>
                <w:rFonts w:hint="eastAsia" w:ascii="宋体" w:hAnsi="宋体" w:eastAsia="宋体" w:cs="宋体"/>
                <w:color w:val="auto"/>
                <w:kern w:val="0"/>
                <w:sz w:val="24"/>
                <w:highlight w:val="none"/>
              </w:rPr>
              <w:t>公共场所阻燃家具及组件的燃烧性能均对应的国家标准执行评分：均符合GB20286-2006执行，阻燃1级（家具/组件），热释放速率峰值≤150kW</w:t>
            </w:r>
            <w:r>
              <w:rPr>
                <w:rFonts w:hint="eastAsia" w:ascii="宋体" w:hAnsi="宋体" w:eastAsia="宋体" w:cs="宋体"/>
                <w:color w:val="auto"/>
                <w:kern w:val="0"/>
                <w:sz w:val="24"/>
                <w:highlight w:val="none"/>
                <w:lang w:bidi="ar"/>
              </w:rPr>
              <w:t>，5min内放出的总能量</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bidi="ar"/>
              </w:rPr>
              <w:t>30</w:t>
            </w:r>
            <w:r>
              <w:rPr>
                <w:rFonts w:hint="eastAsia" w:ascii="宋体" w:hAnsi="宋体" w:eastAsia="宋体" w:cs="宋体"/>
                <w:color w:val="auto"/>
                <w:kern w:val="0"/>
                <w:sz w:val="24"/>
                <w:highlight w:val="none"/>
                <w:lang w:val="en-US" w:eastAsia="zh-CN" w:bidi="ar"/>
              </w:rPr>
              <w:t>MJ</w:t>
            </w:r>
            <w:r>
              <w:rPr>
                <w:rFonts w:hint="eastAsia" w:ascii="宋体" w:hAnsi="宋体" w:eastAsia="宋体" w:cs="宋体"/>
                <w:color w:val="auto"/>
                <w:kern w:val="0"/>
                <w:sz w:val="24"/>
                <w:highlight w:val="none"/>
                <w:lang w:eastAsia="zh-CN" w:bidi="ar"/>
              </w:rPr>
              <w:t>。</w:t>
            </w:r>
          </w:p>
          <w:p w14:paraId="4CF07B17">
            <w:pPr>
              <w:pStyle w:val="34"/>
              <w:numPr>
                <w:ilvl w:val="0"/>
                <w:numId w:val="0"/>
              </w:numPr>
              <w:rPr>
                <w:rFonts w:hint="eastAsia" w:ascii="宋体" w:hAnsi="宋体" w:eastAsia="宋体" w:cs="宋体"/>
                <w:b/>
                <w:bCs/>
                <w:color w:val="auto"/>
                <w:kern w:val="0"/>
                <w:sz w:val="24"/>
                <w:highlight w:val="none"/>
                <w:shd w:val="clear" w:color="auto" w:fill="auto"/>
              </w:rPr>
            </w:pPr>
            <w:r>
              <w:rPr>
                <w:rFonts w:hint="eastAsia" w:ascii="宋体" w:hAnsi="宋体" w:eastAsia="宋体" w:cs="宋体"/>
                <w:b/>
                <w:bCs/>
                <w:color w:val="auto"/>
                <w:kern w:val="0"/>
                <w:sz w:val="24"/>
                <w:highlight w:val="none"/>
                <w:shd w:val="clear" w:color="auto" w:fill="auto"/>
                <w:lang w:val="en-US" w:eastAsia="zh-CN"/>
              </w:rPr>
              <w:t>三、</w:t>
            </w:r>
            <w:r>
              <w:rPr>
                <w:rFonts w:hint="eastAsia" w:ascii="宋体" w:hAnsi="宋体" w:eastAsia="宋体" w:cs="宋体"/>
                <w:b/>
                <w:bCs/>
                <w:color w:val="auto"/>
                <w:kern w:val="0"/>
                <w:sz w:val="24"/>
                <w:highlight w:val="none"/>
                <w:shd w:val="clear" w:color="auto" w:fill="auto"/>
              </w:rPr>
              <w:t>文件柜</w:t>
            </w:r>
          </w:p>
          <w:p w14:paraId="7339D79D">
            <w:pPr>
              <w:pStyle w:val="34"/>
              <w:numPr>
                <w:ilvl w:val="0"/>
                <w:numId w:val="22"/>
              </w:numPr>
              <w:ind w:left="0" w:leftChars="0" w:firstLine="0" w:firstLineChars="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外观要求人造板件外观、漆膜外观、木工要求、五金件外观要求均检测合格。</w:t>
            </w:r>
          </w:p>
          <w:p w14:paraId="4CB70431">
            <w:pPr>
              <w:pStyle w:val="34"/>
              <w:numPr>
                <w:ilvl w:val="0"/>
                <w:numId w:val="0"/>
              </w:numPr>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2、力学性能柜类强度和耐久性全项均检测合格。</w:t>
            </w:r>
          </w:p>
          <w:p w14:paraId="495F7466">
            <w:pPr>
              <w:pStyle w:val="34"/>
              <w:numPr>
                <w:ilvl w:val="0"/>
                <w:numId w:val="0"/>
              </w:numPr>
              <w:ind w:leftChars="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3、甲醛释放量未检出。</w:t>
            </w:r>
          </w:p>
          <w:p w14:paraId="1AA700DC">
            <w:pPr>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公共场所阻燃家具及组件的燃烧性能均对应的国家标准执行评分：均符合GB20286-2006执行，阻燃1级（家具/组件），热释放速率峰值≤150kW</w:t>
            </w:r>
            <w:r>
              <w:rPr>
                <w:rFonts w:hint="eastAsia" w:ascii="宋体" w:hAnsi="宋体" w:eastAsia="宋体" w:cs="宋体"/>
                <w:color w:val="auto"/>
                <w:kern w:val="0"/>
                <w:sz w:val="24"/>
                <w:highlight w:val="none"/>
                <w:lang w:bidi="ar"/>
              </w:rPr>
              <w:t>，5min内放出的总能量</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bidi="ar"/>
              </w:rPr>
              <w:t>30</w:t>
            </w:r>
            <w:r>
              <w:rPr>
                <w:rFonts w:hint="eastAsia" w:ascii="宋体" w:hAnsi="宋体" w:eastAsia="宋体" w:cs="宋体"/>
                <w:color w:val="auto"/>
                <w:kern w:val="0"/>
                <w:sz w:val="24"/>
                <w:highlight w:val="none"/>
                <w:lang w:val="en-US" w:eastAsia="zh-CN" w:bidi="ar"/>
              </w:rPr>
              <w:t>MJ</w:t>
            </w:r>
            <w:r>
              <w:rPr>
                <w:rFonts w:hint="eastAsia" w:ascii="宋体" w:hAnsi="宋体" w:eastAsia="宋体" w:cs="宋体"/>
                <w:color w:val="auto"/>
                <w:kern w:val="0"/>
                <w:sz w:val="24"/>
                <w:highlight w:val="none"/>
                <w:lang w:eastAsia="zh-CN" w:bidi="ar"/>
              </w:rPr>
              <w:t>。</w:t>
            </w:r>
          </w:p>
          <w:p w14:paraId="765E11D3">
            <w:pPr>
              <w:pStyle w:val="34"/>
              <w:numPr>
                <w:ilvl w:val="0"/>
                <w:numId w:val="0"/>
              </w:numPr>
              <w:ind w:leftChars="0"/>
              <w:rPr>
                <w:rFonts w:hint="eastAsia" w:ascii="宋体" w:hAnsi="宋体" w:eastAsia="宋体" w:cs="宋体"/>
                <w:b/>
                <w:bCs/>
                <w:color w:val="auto"/>
                <w:kern w:val="0"/>
                <w:sz w:val="24"/>
                <w:highlight w:val="none"/>
                <w:shd w:val="clear" w:color="auto" w:fill="auto"/>
                <w:lang w:val="en-US" w:eastAsia="zh-CN"/>
              </w:rPr>
            </w:pPr>
            <w:r>
              <w:rPr>
                <w:rFonts w:hint="eastAsia" w:ascii="宋体" w:hAnsi="宋体" w:eastAsia="宋体" w:cs="宋体"/>
                <w:b/>
                <w:bCs/>
                <w:color w:val="auto"/>
                <w:kern w:val="0"/>
                <w:sz w:val="24"/>
                <w:highlight w:val="none"/>
                <w:shd w:val="clear" w:color="auto" w:fill="auto"/>
                <w:lang w:val="en-US" w:eastAsia="zh-CN"/>
              </w:rPr>
              <w:t>四、实木桌</w:t>
            </w:r>
          </w:p>
          <w:p w14:paraId="6AB08486">
            <w:pPr>
              <w:pStyle w:val="34"/>
              <w:numPr>
                <w:ilvl w:val="0"/>
                <w:numId w:val="0"/>
              </w:numPr>
              <w:ind w:leftChars="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1、外观要求人造板件外观、漆膜外观、木工要求、五金件外观要求均检测合格。</w:t>
            </w:r>
          </w:p>
          <w:p w14:paraId="3EB07C37">
            <w:pPr>
              <w:pStyle w:val="34"/>
              <w:numPr>
                <w:ilvl w:val="0"/>
                <w:numId w:val="0"/>
              </w:numPr>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2、力学性能桌类强度和耐久性全项均检测合格。</w:t>
            </w:r>
          </w:p>
          <w:p w14:paraId="3E1EBF07">
            <w:pPr>
              <w:pStyle w:val="34"/>
              <w:numPr>
                <w:ilvl w:val="0"/>
                <w:numId w:val="0"/>
              </w:numPr>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3、甲醛释放量未检出。</w:t>
            </w:r>
          </w:p>
          <w:p w14:paraId="0A8B23C4">
            <w:pPr>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公共场所阻燃家具及组件的燃烧性能均对应的国家标准执行评分：均符合GB20286-2006执行，阻燃1级（家具/组件），热释放速率峰值≤150kW</w:t>
            </w:r>
            <w:r>
              <w:rPr>
                <w:rFonts w:hint="eastAsia" w:ascii="宋体" w:hAnsi="宋体" w:eastAsia="宋体" w:cs="宋体"/>
                <w:color w:val="auto"/>
                <w:kern w:val="0"/>
                <w:sz w:val="24"/>
                <w:highlight w:val="none"/>
                <w:lang w:bidi="ar"/>
              </w:rPr>
              <w:t>，5min内放出的总能量</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bidi="ar"/>
              </w:rPr>
              <w:t>30</w:t>
            </w:r>
            <w:r>
              <w:rPr>
                <w:rFonts w:hint="eastAsia" w:ascii="宋体" w:hAnsi="宋体" w:eastAsia="宋体" w:cs="宋体"/>
                <w:color w:val="auto"/>
                <w:kern w:val="0"/>
                <w:sz w:val="24"/>
                <w:highlight w:val="none"/>
                <w:lang w:val="en-US" w:eastAsia="zh-CN" w:bidi="ar"/>
              </w:rPr>
              <w:t>MJ</w:t>
            </w:r>
            <w:r>
              <w:rPr>
                <w:rFonts w:hint="eastAsia" w:ascii="宋体" w:hAnsi="宋体" w:eastAsia="宋体" w:cs="宋体"/>
                <w:color w:val="auto"/>
                <w:kern w:val="0"/>
                <w:sz w:val="24"/>
                <w:highlight w:val="none"/>
                <w:lang w:eastAsia="zh-CN" w:bidi="ar"/>
              </w:rPr>
              <w:t>。</w:t>
            </w:r>
          </w:p>
          <w:p w14:paraId="139D76E3">
            <w:pPr>
              <w:pStyle w:val="34"/>
              <w:numPr>
                <w:ilvl w:val="0"/>
                <w:numId w:val="0"/>
              </w:numPr>
              <w:rPr>
                <w:rFonts w:hint="eastAsia" w:ascii="宋体" w:hAnsi="宋体" w:eastAsia="宋体" w:cs="宋体"/>
                <w:b/>
                <w:bCs/>
                <w:color w:val="auto"/>
                <w:kern w:val="0"/>
                <w:sz w:val="24"/>
                <w:highlight w:val="none"/>
                <w:lang w:val="en-US" w:eastAsia="zh-CN" w:bidi="ar"/>
              </w:rPr>
            </w:pPr>
            <w:r>
              <w:rPr>
                <w:rFonts w:hint="eastAsia" w:ascii="宋体" w:hAnsi="宋体" w:eastAsia="宋体" w:cs="宋体"/>
                <w:b/>
                <w:bCs/>
                <w:color w:val="auto"/>
                <w:kern w:val="0"/>
                <w:sz w:val="24"/>
                <w:highlight w:val="none"/>
                <w:lang w:val="en-US" w:eastAsia="zh-CN" w:bidi="ar"/>
              </w:rPr>
              <w:t>五、</w:t>
            </w:r>
            <w:r>
              <w:rPr>
                <w:rFonts w:hint="eastAsia" w:ascii="宋体" w:hAnsi="宋体" w:eastAsia="宋体" w:cs="宋体"/>
                <w:b/>
                <w:bCs/>
                <w:color w:val="auto"/>
                <w:kern w:val="0"/>
                <w:sz w:val="24"/>
                <w:highlight w:val="none"/>
                <w:shd w:val="clear" w:color="auto" w:fill="auto"/>
                <w:lang w:val="en-US" w:eastAsia="zh-CN"/>
              </w:rPr>
              <w:t>床（中医理疗床）</w:t>
            </w:r>
          </w:p>
          <w:p w14:paraId="438E68DC">
            <w:pPr>
              <w:pStyle w:val="34"/>
              <w:numPr>
                <w:ilvl w:val="0"/>
                <w:numId w:val="0"/>
              </w:numPr>
              <w:ind w:leftChars="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1、外观要求人造板件外观、漆膜外观、木工要求、五金件外观要求均检测合格。</w:t>
            </w:r>
          </w:p>
          <w:p w14:paraId="0F36E419">
            <w:pPr>
              <w:pStyle w:val="34"/>
              <w:numPr>
                <w:ilvl w:val="0"/>
                <w:numId w:val="0"/>
              </w:numPr>
              <w:ind w:leftChars="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2、力学性能床类强度和耐久性全项均检测合格。</w:t>
            </w:r>
          </w:p>
          <w:p w14:paraId="11C81C3D">
            <w:pPr>
              <w:pStyle w:val="34"/>
              <w:numPr>
                <w:ilvl w:val="0"/>
                <w:numId w:val="0"/>
              </w:numPr>
              <w:ind w:leftChars="0"/>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3、甲醛释放量未检出。</w:t>
            </w:r>
          </w:p>
          <w:p w14:paraId="7D4366BE">
            <w:pPr>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公共场所阻燃家具及组件的燃烧性能均对应的国家标准执行评分：均符合GB20286-2006执行，阻燃1级（家具/组件），热释放速率峰值≤150kW</w:t>
            </w:r>
            <w:r>
              <w:rPr>
                <w:rFonts w:hint="eastAsia" w:ascii="宋体" w:hAnsi="宋体" w:eastAsia="宋体" w:cs="宋体"/>
                <w:color w:val="auto"/>
                <w:kern w:val="0"/>
                <w:sz w:val="24"/>
                <w:highlight w:val="none"/>
                <w:lang w:bidi="ar"/>
              </w:rPr>
              <w:t>，5min内放出的总能量</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bidi="ar"/>
              </w:rPr>
              <w:t>30</w:t>
            </w:r>
            <w:r>
              <w:rPr>
                <w:rFonts w:hint="eastAsia" w:ascii="宋体" w:hAnsi="宋体" w:eastAsia="宋体" w:cs="宋体"/>
                <w:color w:val="auto"/>
                <w:kern w:val="0"/>
                <w:sz w:val="24"/>
                <w:highlight w:val="none"/>
                <w:lang w:val="en-US" w:eastAsia="zh-CN" w:bidi="ar"/>
              </w:rPr>
              <w:t>MJ</w:t>
            </w:r>
            <w:r>
              <w:rPr>
                <w:rFonts w:hint="eastAsia" w:ascii="宋体" w:hAnsi="宋体" w:eastAsia="宋体" w:cs="宋体"/>
                <w:color w:val="auto"/>
                <w:kern w:val="0"/>
                <w:sz w:val="24"/>
                <w:highlight w:val="none"/>
                <w:lang w:eastAsia="zh-CN" w:bidi="ar"/>
              </w:rPr>
              <w:t>。</w:t>
            </w:r>
          </w:p>
          <w:p w14:paraId="770F07C8">
            <w:pPr>
              <w:pStyle w:val="34"/>
              <w:numPr>
                <w:ilvl w:val="0"/>
                <w:numId w:val="0"/>
              </w:numPr>
              <w:ind w:leftChars="0"/>
              <w:rPr>
                <w:rFonts w:hint="eastAsia" w:ascii="宋体" w:hAnsi="宋体" w:eastAsia="宋体" w:cs="宋体"/>
                <w:b/>
                <w:bCs/>
                <w:color w:val="auto"/>
                <w:kern w:val="0"/>
                <w:sz w:val="24"/>
                <w:highlight w:val="none"/>
                <w:lang w:val="en-US" w:eastAsia="zh-CN" w:bidi="ar"/>
              </w:rPr>
            </w:pPr>
            <w:r>
              <w:rPr>
                <w:rFonts w:hint="eastAsia" w:ascii="宋体" w:hAnsi="宋体" w:eastAsia="宋体" w:cs="宋体"/>
                <w:b/>
                <w:bCs/>
                <w:color w:val="auto"/>
                <w:kern w:val="0"/>
                <w:sz w:val="24"/>
                <w:highlight w:val="none"/>
                <w:lang w:val="en-US" w:eastAsia="zh-CN" w:bidi="ar"/>
              </w:rPr>
              <w:t>六、办公椅</w:t>
            </w:r>
          </w:p>
          <w:p w14:paraId="56A8A58A">
            <w:pPr>
              <w:pStyle w:val="34"/>
              <w:numPr>
                <w:ilvl w:val="0"/>
                <w:numId w:val="0"/>
              </w:numPr>
              <w:ind w:leftChars="0"/>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1、外观：塑料件外观应无裂纹，无明显变形、软、硬包外观</w:t>
            </w:r>
          </w:p>
          <w:p w14:paraId="43263D82">
            <w:pPr>
              <w:pStyle w:val="34"/>
              <w:numPr>
                <w:ilvl w:val="0"/>
                <w:numId w:val="0"/>
              </w:numPr>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软包件应外形饱满，圆滑一致，对称部位应对称嵌线圆滑挺直。硬包件应外形平滑，无皱折，一体发泡成型部件应结合牢固、平服，不有脱落、松弛等缺陷。自结皮部件外观应平整，光滑无凹坑，厚度均匀，质感致密，分模缝隙不影响外观，均检测合格。</w:t>
            </w:r>
          </w:p>
          <w:p w14:paraId="0BA635C9">
            <w:pPr>
              <w:pStyle w:val="34"/>
              <w:numPr>
                <w:ilvl w:val="0"/>
                <w:numId w:val="0"/>
              </w:numPr>
              <w:ind w:leftChars="0"/>
              <w:jc w:val="both"/>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2、力学性能：椅背往复耐久性座面载荷,椅背载荷，座面耐久性椅座往复冲击耐久性:57kg沙袋，冲击高度30mm, 10次/min-30次min, 100000次，跌落高度10次200mm，所有项均检测合格。</w:t>
            </w:r>
          </w:p>
          <w:p w14:paraId="76A6FFED">
            <w:pPr>
              <w:pStyle w:val="34"/>
              <w:numPr>
                <w:ilvl w:val="0"/>
                <w:numId w:val="0"/>
              </w:numPr>
              <w:ind w:leftChars="0"/>
              <w:jc w:val="both"/>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3、产品有害物质：甲醛、（纺织品革中五氯苯酚(PCP)未检出。</w:t>
            </w:r>
          </w:p>
          <w:p w14:paraId="16A5787B">
            <w:pPr>
              <w:pStyle w:val="34"/>
              <w:numPr>
                <w:ilvl w:val="0"/>
                <w:numId w:val="0"/>
              </w:numPr>
              <w:ind w:leftChars="0"/>
              <w:jc w:val="both"/>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4、家具涂层可迁移元素：铅、镉、铬、汞、锑、钡、硒、砷均未检出。</w:t>
            </w:r>
          </w:p>
          <w:p w14:paraId="327930DF">
            <w:pPr>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公共场所阻燃家具及组件的燃烧性能均对应的国家标准执行评分：均符合GB20286-2006执行，阻燃1级（家具/组件），热释放速率峰值≤150kW</w:t>
            </w:r>
            <w:r>
              <w:rPr>
                <w:rFonts w:hint="eastAsia" w:ascii="宋体" w:hAnsi="宋体" w:eastAsia="宋体" w:cs="宋体"/>
                <w:color w:val="auto"/>
                <w:kern w:val="0"/>
                <w:sz w:val="24"/>
                <w:highlight w:val="none"/>
                <w:lang w:bidi="ar"/>
              </w:rPr>
              <w:t>，5min内放出的总能量</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bidi="ar"/>
              </w:rPr>
              <w:t>30</w:t>
            </w:r>
            <w:r>
              <w:rPr>
                <w:rFonts w:hint="eastAsia" w:ascii="宋体" w:hAnsi="宋体" w:eastAsia="宋体" w:cs="宋体"/>
                <w:color w:val="auto"/>
                <w:kern w:val="0"/>
                <w:sz w:val="24"/>
                <w:highlight w:val="none"/>
                <w:lang w:val="en-US" w:eastAsia="zh-CN" w:bidi="ar"/>
              </w:rPr>
              <w:t>MJ</w:t>
            </w:r>
            <w:r>
              <w:rPr>
                <w:rFonts w:hint="eastAsia" w:ascii="宋体" w:hAnsi="宋体" w:eastAsia="宋体" w:cs="宋体"/>
                <w:color w:val="auto"/>
                <w:kern w:val="0"/>
                <w:sz w:val="24"/>
                <w:highlight w:val="none"/>
                <w:lang w:eastAsia="zh-CN" w:bidi="ar"/>
              </w:rPr>
              <w:t>。</w:t>
            </w:r>
          </w:p>
          <w:p w14:paraId="6263C85A">
            <w:pPr>
              <w:widowControl/>
              <w:adjustRightInd/>
              <w:spacing w:line="24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b/>
                <w:bCs/>
                <w:color w:val="auto"/>
                <w:kern w:val="0"/>
                <w:sz w:val="24"/>
                <w:highlight w:val="none"/>
                <w:shd w:val="clear" w:color="auto" w:fill="auto"/>
                <w:lang w:val="en-US" w:eastAsia="zh-CN"/>
              </w:rPr>
              <w:t>注：</w:t>
            </w:r>
            <w:r>
              <w:rPr>
                <w:rFonts w:hint="eastAsia" w:ascii="宋体" w:hAnsi="宋体" w:eastAsia="宋体" w:cs="宋体"/>
                <w:color w:val="auto"/>
                <w:kern w:val="0"/>
                <w:sz w:val="24"/>
                <w:highlight w:val="none"/>
                <w:shd w:val="clear" w:color="auto" w:fill="auto"/>
                <w:lang w:val="en-US" w:eastAsia="zh-CN"/>
              </w:rPr>
              <w:t>（国家认可的具备检测资格的检测机构出具的检测报告复印件，检测报告上需体现“CMA”或“CNAS”标志，报告上含有二维码和网址，并提供全国认证认可信息公共服务平台有效页面截图信息并加盖投标人或所投产品制造厂家公章，若提供虚假材料投标的，投标无效。）</w:t>
            </w:r>
          </w:p>
        </w:tc>
        <w:tc>
          <w:tcPr>
            <w:tcW w:w="765" w:type="dxa"/>
            <w:noWrap w:val="0"/>
            <w:vAlign w:val="center"/>
          </w:tcPr>
          <w:p w14:paraId="21D278A7">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w:t>
            </w:r>
          </w:p>
        </w:tc>
        <w:tc>
          <w:tcPr>
            <w:tcW w:w="1029" w:type="dxa"/>
            <w:noWrap w:val="0"/>
            <w:vAlign w:val="center"/>
          </w:tcPr>
          <w:p w14:paraId="3B12129D">
            <w:pPr>
              <w:widowControl/>
              <w:adjustRightInd/>
              <w:spacing w:line="360" w:lineRule="auto"/>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客观</w:t>
            </w:r>
          </w:p>
        </w:tc>
        <w:tc>
          <w:tcPr>
            <w:tcW w:w="1029" w:type="dxa"/>
            <w:noWrap w:val="0"/>
            <w:vAlign w:val="center"/>
          </w:tcPr>
          <w:p w14:paraId="301AC7E5">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1F38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575" w:type="dxa"/>
            <w:noWrap w:val="0"/>
            <w:vAlign w:val="center"/>
          </w:tcPr>
          <w:p w14:paraId="42019884">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12</w:t>
            </w:r>
          </w:p>
        </w:tc>
        <w:tc>
          <w:tcPr>
            <w:tcW w:w="6439" w:type="dxa"/>
            <w:noWrap w:val="0"/>
            <w:vAlign w:val="top"/>
          </w:tcPr>
          <w:p w14:paraId="7890FDC3">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售后服务应对方案及承诺：</w:t>
            </w:r>
          </w:p>
          <w:p w14:paraId="7EF29A04">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提供详细完整的售后服务方案根据供应商提供的方案能否满足采购需求，最高得</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分。</w:t>
            </w:r>
          </w:p>
          <w:p w14:paraId="36191638">
            <w:pPr>
              <w:widowControl/>
              <w:jc w:val="lef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zh-TW"/>
              </w:rPr>
              <w:t>提供的方案完整合理、切合实际，具有可操作性视为满足采购需求，方案内容完整、规范、合理且可行，针对性强的得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rPr>
              <w:t>分，</w:t>
            </w:r>
          </w:p>
          <w:p w14:paraId="7799782A">
            <w:pPr>
              <w:widowControl/>
              <w:jc w:val="lef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TW"/>
              </w:rPr>
              <w:t>方案内容较完整，合理性、可行性、针对性一般的得</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分，</w:t>
            </w:r>
          </w:p>
          <w:p w14:paraId="1EAD30E5">
            <w:pPr>
              <w:widowControl/>
              <w:jc w:val="left"/>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zh-TW"/>
              </w:rPr>
              <w:t>方案内容完整度一般，存在瑕疵或不足，与本项目实际有偏差的得</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分，</w:t>
            </w:r>
          </w:p>
          <w:p w14:paraId="76700599">
            <w:pPr>
              <w:pStyle w:val="20"/>
              <w:numPr>
                <w:ilvl w:val="0"/>
                <w:numId w:val="0"/>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zh-TW"/>
              </w:rPr>
              <w:t>未提供相关内容的得0分</w:t>
            </w:r>
          </w:p>
        </w:tc>
        <w:tc>
          <w:tcPr>
            <w:tcW w:w="765" w:type="dxa"/>
            <w:noWrap w:val="0"/>
            <w:vAlign w:val="center"/>
          </w:tcPr>
          <w:p w14:paraId="3065A649">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w:t>
            </w:r>
          </w:p>
        </w:tc>
        <w:tc>
          <w:tcPr>
            <w:tcW w:w="1029" w:type="dxa"/>
            <w:noWrap w:val="0"/>
            <w:vAlign w:val="center"/>
          </w:tcPr>
          <w:p w14:paraId="49B64B7F">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主观</w:t>
            </w:r>
          </w:p>
        </w:tc>
        <w:tc>
          <w:tcPr>
            <w:tcW w:w="1029" w:type="dxa"/>
            <w:noWrap w:val="0"/>
            <w:vAlign w:val="center"/>
          </w:tcPr>
          <w:p w14:paraId="1DB83517">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152F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75" w:type="dxa"/>
            <w:noWrap w:val="0"/>
            <w:vAlign w:val="center"/>
          </w:tcPr>
          <w:p w14:paraId="0CB31F5D">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13</w:t>
            </w:r>
          </w:p>
        </w:tc>
        <w:tc>
          <w:tcPr>
            <w:tcW w:w="6439" w:type="dxa"/>
            <w:noWrap w:val="0"/>
            <w:vAlign w:val="top"/>
          </w:tcPr>
          <w:p w14:paraId="11ED6432">
            <w:pPr>
              <w:pStyle w:val="20"/>
              <w:numPr>
                <w:ilvl w:val="0"/>
                <w:numId w:val="0"/>
              </w:numPr>
              <w:spacing w:line="240" w:lineRule="auto"/>
              <w:rPr>
                <w:rFonts w:hint="eastAsia" w:ascii="宋体" w:hAnsi="宋体" w:eastAsia="宋体" w:cs="宋体"/>
                <w:color w:val="000000"/>
                <w:sz w:val="24"/>
                <w:szCs w:val="24"/>
                <w:highlight w:val="none"/>
              </w:rPr>
            </w:pPr>
            <w:r>
              <w:rPr>
                <w:rStyle w:val="359"/>
                <w:rFonts w:hint="eastAsia" w:ascii="宋体" w:hAnsi="宋体" w:eastAsia="宋体" w:cs="宋体"/>
                <w:b w:val="0"/>
                <w:bCs/>
                <w:color w:val="auto"/>
                <w:sz w:val="24"/>
                <w:szCs w:val="24"/>
                <w:highlight w:val="none"/>
              </w:rPr>
              <w:t>所有</w:t>
            </w:r>
            <w:r>
              <w:rPr>
                <w:rStyle w:val="359"/>
                <w:rFonts w:hint="eastAsia" w:ascii="宋体" w:hAnsi="宋体" w:eastAsia="宋体" w:cs="宋体"/>
                <w:b w:val="0"/>
                <w:bCs/>
                <w:color w:val="auto"/>
                <w:sz w:val="24"/>
                <w:szCs w:val="24"/>
                <w:highlight w:val="none"/>
                <w:lang w:val="en-US"/>
              </w:rPr>
              <w:t>产品</w:t>
            </w:r>
            <w:r>
              <w:rPr>
                <w:rStyle w:val="359"/>
                <w:rFonts w:hint="eastAsia" w:ascii="宋体" w:hAnsi="宋体" w:eastAsia="宋体" w:cs="宋体"/>
                <w:b w:val="0"/>
                <w:bCs/>
                <w:color w:val="auto"/>
                <w:sz w:val="24"/>
                <w:szCs w:val="24"/>
                <w:highlight w:val="none"/>
              </w:rPr>
              <w:t>响应招标文件最低质保期</w:t>
            </w:r>
            <w:r>
              <w:rPr>
                <w:rStyle w:val="359"/>
                <w:rFonts w:hint="eastAsia" w:ascii="宋体" w:hAnsi="宋体" w:eastAsia="宋体" w:cs="宋体"/>
                <w:b w:val="0"/>
                <w:bCs/>
                <w:color w:val="auto"/>
                <w:sz w:val="24"/>
                <w:szCs w:val="24"/>
                <w:highlight w:val="none"/>
                <w:lang w:val="en-US"/>
              </w:rPr>
              <w:t>3</w:t>
            </w:r>
            <w:r>
              <w:rPr>
                <w:rStyle w:val="359"/>
                <w:rFonts w:hint="eastAsia" w:ascii="宋体" w:hAnsi="宋体" w:eastAsia="宋体" w:cs="宋体"/>
                <w:b w:val="0"/>
                <w:bCs/>
                <w:color w:val="auto"/>
                <w:sz w:val="24"/>
                <w:szCs w:val="24"/>
                <w:highlight w:val="none"/>
              </w:rPr>
              <w:t>年的不得分，质保期限每增加1年得1分，最高得</w:t>
            </w:r>
            <w:r>
              <w:rPr>
                <w:rStyle w:val="359"/>
                <w:rFonts w:hint="eastAsia" w:ascii="宋体" w:hAnsi="宋体" w:eastAsia="宋体" w:cs="宋体"/>
                <w:b w:val="0"/>
                <w:bCs/>
                <w:color w:val="auto"/>
                <w:sz w:val="24"/>
                <w:szCs w:val="24"/>
                <w:highlight w:val="none"/>
                <w:lang w:val="en-US"/>
              </w:rPr>
              <w:t>4</w:t>
            </w:r>
            <w:r>
              <w:rPr>
                <w:rStyle w:val="359"/>
                <w:rFonts w:hint="eastAsia" w:ascii="宋体" w:hAnsi="宋体" w:eastAsia="宋体" w:cs="宋体"/>
                <w:b w:val="0"/>
                <w:bCs/>
                <w:color w:val="auto"/>
                <w:sz w:val="24"/>
                <w:szCs w:val="24"/>
                <w:highlight w:val="none"/>
              </w:rPr>
              <w:t>分。</w:t>
            </w:r>
          </w:p>
        </w:tc>
        <w:tc>
          <w:tcPr>
            <w:tcW w:w="765" w:type="dxa"/>
            <w:noWrap w:val="0"/>
            <w:vAlign w:val="center"/>
          </w:tcPr>
          <w:p w14:paraId="34B962CC">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4</w:t>
            </w:r>
          </w:p>
        </w:tc>
        <w:tc>
          <w:tcPr>
            <w:tcW w:w="1029" w:type="dxa"/>
            <w:noWrap w:val="0"/>
            <w:vAlign w:val="center"/>
          </w:tcPr>
          <w:p w14:paraId="160F4E5F">
            <w:pPr>
              <w:widowControl/>
              <w:adjustRightInd/>
              <w:spacing w:line="360" w:lineRule="auto"/>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客观</w:t>
            </w:r>
          </w:p>
        </w:tc>
        <w:tc>
          <w:tcPr>
            <w:tcW w:w="1029" w:type="dxa"/>
            <w:noWrap w:val="0"/>
            <w:vAlign w:val="center"/>
          </w:tcPr>
          <w:p w14:paraId="4B4B265F">
            <w:pPr>
              <w:widowControl/>
              <w:adjustRightInd/>
              <w:spacing w:line="360" w:lineRule="auto"/>
              <w:jc w:val="center"/>
              <w:textAlignment w:val="center"/>
              <w:rPr>
                <w:rFonts w:hint="eastAsia" w:ascii="宋体" w:hAnsi="宋体" w:eastAsia="宋体" w:cs="宋体"/>
                <w:color w:val="000000"/>
                <w:kern w:val="0"/>
                <w:sz w:val="24"/>
                <w:highlight w:val="none"/>
              </w:rPr>
            </w:pPr>
          </w:p>
        </w:tc>
      </w:tr>
      <w:tr w14:paraId="6969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575" w:type="dxa"/>
            <w:noWrap w:val="0"/>
            <w:vAlign w:val="center"/>
          </w:tcPr>
          <w:p w14:paraId="3BAEEE84">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14</w:t>
            </w:r>
          </w:p>
        </w:tc>
        <w:tc>
          <w:tcPr>
            <w:tcW w:w="6439" w:type="dxa"/>
            <w:noWrap w:val="0"/>
            <w:vAlign w:val="center"/>
          </w:tcPr>
          <w:p w14:paraId="5A0952AD">
            <w:pPr>
              <w:bidi w:val="0"/>
              <w:rPr>
                <w:rFonts w:hint="eastAsia" w:ascii="宋体" w:hAnsi="宋体" w:eastAsia="宋体" w:cs="宋体"/>
                <w:kern w:val="0"/>
                <w:sz w:val="24"/>
                <w:highlight w:val="none"/>
              </w:rPr>
            </w:pPr>
            <w:r>
              <w:rPr>
                <w:rFonts w:hint="eastAsia" w:ascii="宋体" w:hAnsi="宋体" w:eastAsia="宋体" w:cs="宋体"/>
                <w:kern w:val="0"/>
                <w:sz w:val="24"/>
                <w:highlight w:val="none"/>
              </w:rPr>
              <w:t>本项目合理化建议及实质性优惠措施，由评审小组判定评分，最高得</w:t>
            </w: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rPr>
              <w:t>分。</w:t>
            </w:r>
          </w:p>
          <w:p w14:paraId="166633C4">
            <w:pPr>
              <w:bidi w:val="0"/>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①提供的合理化建议及增值服务内容完整、规范、合理且可行，针对性强的得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TW" w:eastAsia="zh-CN"/>
              </w:rPr>
              <w:t>分；</w:t>
            </w:r>
          </w:p>
          <w:p w14:paraId="685F0FAB">
            <w:pPr>
              <w:bidi w:val="0"/>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val="zh-TW" w:eastAsia="zh-CN"/>
              </w:rPr>
              <w:t>合理化建议及增值服务内容完整度一般，存在小瑕疵或不足的得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TW" w:eastAsia="zh-CN"/>
              </w:rPr>
              <w:t>分；</w:t>
            </w:r>
          </w:p>
          <w:p w14:paraId="698E819C">
            <w:pPr>
              <w:pStyle w:val="20"/>
              <w:numPr>
                <w:ilvl w:val="0"/>
                <w:numId w:val="0"/>
              </w:num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lang w:val="zh-TW" w:eastAsia="zh-CN"/>
              </w:rPr>
              <w:t>未提供相关内容的得0分。</w:t>
            </w:r>
          </w:p>
        </w:tc>
        <w:tc>
          <w:tcPr>
            <w:tcW w:w="765" w:type="dxa"/>
            <w:noWrap w:val="0"/>
            <w:vAlign w:val="center"/>
          </w:tcPr>
          <w:p w14:paraId="797CBE2F">
            <w:pPr>
              <w:widowControl/>
              <w:adjustRightInd/>
              <w:spacing w:line="360" w:lineRule="auto"/>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w:t>
            </w:r>
          </w:p>
        </w:tc>
        <w:tc>
          <w:tcPr>
            <w:tcW w:w="1029" w:type="dxa"/>
            <w:noWrap w:val="0"/>
            <w:vAlign w:val="center"/>
          </w:tcPr>
          <w:p w14:paraId="4AD8A118">
            <w:pPr>
              <w:widowControl/>
              <w:adjustRightInd/>
              <w:spacing w:line="360" w:lineRule="auto"/>
              <w:jc w:val="center"/>
              <w:textAlignment w:val="center"/>
              <w:rPr>
                <w:rFonts w:hint="eastAsia" w:ascii="宋体" w:hAnsi="宋体" w:eastAsia="宋体" w:cs="宋体"/>
                <w:color w:val="000000"/>
                <w:sz w:val="24"/>
                <w:highlight w:val="none"/>
              </w:rPr>
            </w:pPr>
          </w:p>
        </w:tc>
        <w:tc>
          <w:tcPr>
            <w:tcW w:w="1029" w:type="dxa"/>
            <w:noWrap w:val="0"/>
            <w:vAlign w:val="center"/>
          </w:tcPr>
          <w:p w14:paraId="76EF837E">
            <w:pPr>
              <w:widowControl/>
              <w:adjustRightInd/>
              <w:spacing w:line="360" w:lineRule="auto"/>
              <w:jc w:val="center"/>
              <w:textAlignment w:val="center"/>
              <w:rPr>
                <w:rFonts w:hint="eastAsia" w:ascii="宋体" w:hAnsi="宋体" w:eastAsia="宋体" w:cs="宋体"/>
                <w:color w:val="000000"/>
                <w:sz w:val="24"/>
                <w:highlight w:val="none"/>
              </w:rPr>
            </w:pPr>
          </w:p>
        </w:tc>
      </w:tr>
      <w:tr w14:paraId="6808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75" w:type="dxa"/>
            <w:noWrap w:val="0"/>
            <w:vAlign w:val="center"/>
          </w:tcPr>
          <w:p w14:paraId="656A737A">
            <w:pPr>
              <w:spacing w:line="400" w:lineRule="exact"/>
              <w:jc w:val="center"/>
              <w:outlineLvl w:val="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15</w:t>
            </w:r>
          </w:p>
        </w:tc>
        <w:tc>
          <w:tcPr>
            <w:tcW w:w="6439" w:type="dxa"/>
            <w:noWrap w:val="0"/>
            <w:vAlign w:val="center"/>
          </w:tcPr>
          <w:p w14:paraId="1DDF364A">
            <w:pPr>
              <w:jc w:val="left"/>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highlight w:val="none"/>
              </w:rPr>
              <w:t>样品评分规则附后</w:t>
            </w:r>
            <w:r>
              <w:rPr>
                <w:rFonts w:hint="eastAsia" w:ascii="宋体" w:hAnsi="宋体" w:eastAsia="宋体" w:cs="宋体"/>
                <w:b/>
                <w:kern w:val="0"/>
                <w:sz w:val="24"/>
                <w:highlight w:val="none"/>
              </w:rPr>
              <w:t>（未提供样品按</w:t>
            </w:r>
            <w:r>
              <w:rPr>
                <w:rFonts w:hint="eastAsia" w:ascii="宋体" w:hAnsi="宋体" w:eastAsia="宋体" w:cs="宋体"/>
                <w:b/>
                <w:kern w:val="0"/>
                <w:sz w:val="24"/>
                <w:highlight w:val="none"/>
                <w:lang w:val="en-US" w:eastAsia="zh-CN"/>
              </w:rPr>
              <w:t>0分</w:t>
            </w:r>
            <w:r>
              <w:rPr>
                <w:rFonts w:hint="eastAsia" w:ascii="宋体" w:hAnsi="宋体" w:eastAsia="宋体" w:cs="宋体"/>
                <w:b/>
                <w:kern w:val="0"/>
                <w:sz w:val="24"/>
                <w:highlight w:val="none"/>
              </w:rPr>
              <w:t>处理）。</w:t>
            </w:r>
          </w:p>
        </w:tc>
        <w:tc>
          <w:tcPr>
            <w:tcW w:w="765" w:type="dxa"/>
            <w:noWrap w:val="0"/>
            <w:vAlign w:val="center"/>
          </w:tcPr>
          <w:p w14:paraId="1BECF1D0">
            <w:pPr>
              <w:spacing w:line="360" w:lineRule="auto"/>
              <w:ind w:firstLine="120" w:firstLineChars="50"/>
              <w:jc w:val="both"/>
              <w:outlineLvl w:val="0"/>
              <w:rPr>
                <w:rFonts w:hint="eastAsia" w:ascii="宋体" w:hAnsi="宋体" w:eastAsia="宋体" w:cs="宋体"/>
                <w:color w:val="000000"/>
                <w:kern w:val="0"/>
                <w:sz w:val="24"/>
                <w:highlight w:val="none"/>
                <w:lang w:val="en-US" w:eastAsia="zh-CN"/>
              </w:rPr>
            </w:pPr>
            <w:r>
              <w:rPr>
                <w:rFonts w:hint="eastAsia" w:ascii="宋体" w:hAnsi="宋体" w:eastAsia="宋体" w:cs="宋体"/>
                <w:kern w:val="0"/>
                <w:sz w:val="24"/>
                <w:highlight w:val="none"/>
                <w:lang w:val="en-US" w:eastAsia="zh-CN"/>
              </w:rPr>
              <w:t>10</w:t>
            </w:r>
          </w:p>
        </w:tc>
        <w:tc>
          <w:tcPr>
            <w:tcW w:w="1029" w:type="dxa"/>
            <w:noWrap w:val="0"/>
            <w:vAlign w:val="center"/>
          </w:tcPr>
          <w:p w14:paraId="49AEF458">
            <w:pPr>
              <w:widowControl/>
              <w:adjustRightInd/>
              <w:spacing w:line="360" w:lineRule="auto"/>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主观</w:t>
            </w:r>
          </w:p>
        </w:tc>
        <w:tc>
          <w:tcPr>
            <w:tcW w:w="1029" w:type="dxa"/>
            <w:noWrap w:val="0"/>
            <w:vAlign w:val="center"/>
          </w:tcPr>
          <w:p w14:paraId="4F1B62C6">
            <w:pPr>
              <w:widowControl/>
              <w:adjustRightInd/>
              <w:spacing w:line="360" w:lineRule="auto"/>
              <w:jc w:val="center"/>
              <w:textAlignment w:val="center"/>
              <w:rPr>
                <w:rFonts w:hint="eastAsia" w:ascii="宋体" w:hAnsi="宋体" w:eastAsia="宋体" w:cs="宋体"/>
                <w:color w:val="000000"/>
                <w:sz w:val="24"/>
                <w:highlight w:val="none"/>
              </w:rPr>
            </w:pPr>
          </w:p>
        </w:tc>
      </w:tr>
      <w:tr w14:paraId="49F0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575" w:type="dxa"/>
            <w:noWrap w:val="0"/>
            <w:vAlign w:val="center"/>
          </w:tcPr>
          <w:p w14:paraId="5F77F675">
            <w:pPr>
              <w:snapToGrid w:val="0"/>
              <w:spacing w:line="360" w:lineRule="auto"/>
              <w:jc w:val="center"/>
              <w:rPr>
                <w:rFonts w:hint="eastAsia" w:ascii="宋体" w:hAnsi="宋体" w:eastAsia="宋体" w:cs="宋体"/>
                <w:b/>
                <w:color w:val="000000"/>
                <w:sz w:val="24"/>
                <w:highlight w:val="none"/>
                <w:lang w:val="en-US" w:eastAsia="zh-CN"/>
              </w:rPr>
            </w:pPr>
            <w:r>
              <w:rPr>
                <w:rFonts w:hint="eastAsia" w:ascii="宋体" w:hAnsi="宋体" w:eastAsia="宋体" w:cs="宋体"/>
                <w:color w:val="000000"/>
                <w:sz w:val="24"/>
                <w:highlight w:val="none"/>
                <w:lang w:val="en-US" w:eastAsia="zh-CN"/>
              </w:rPr>
              <w:t>16</w:t>
            </w:r>
          </w:p>
        </w:tc>
        <w:tc>
          <w:tcPr>
            <w:tcW w:w="6439" w:type="dxa"/>
            <w:noWrap w:val="0"/>
            <w:vAlign w:val="top"/>
          </w:tcPr>
          <w:p w14:paraId="22CF2CC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价格分采用低价优先法计算，即满足招标文件要求且投标价格最低的投标报价为评标基准价，其价格分为满分。其他投标人的价格分统一按下列公式计算：</w:t>
            </w:r>
          </w:p>
          <w:p w14:paraId="709C6B71">
            <w:pPr>
              <w:spacing w:line="360" w:lineRule="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投标报价得分=（评标基准价/投标报价）×(30)分</w:t>
            </w:r>
            <w:r>
              <w:rPr>
                <w:rFonts w:hint="eastAsia" w:ascii="宋体" w:hAnsi="宋体" w:eastAsia="宋体" w:cs="宋体"/>
                <w:color w:val="0000FF"/>
                <w:kern w:val="0"/>
                <w:sz w:val="24"/>
                <w:highlight w:val="none"/>
                <w:lang w:eastAsia="zh-CN"/>
              </w:rPr>
              <w:t>（</w:t>
            </w:r>
            <w:r>
              <w:rPr>
                <w:rFonts w:hint="eastAsia" w:ascii="宋体" w:hAnsi="宋体" w:eastAsia="宋体" w:cs="宋体"/>
                <w:color w:val="auto"/>
                <w:kern w:val="0"/>
                <w:sz w:val="24"/>
                <w:highlight w:val="none"/>
                <w:lang w:eastAsia="zh-CN"/>
              </w:rPr>
              <w:t>结果按四舍五入保留</w:t>
            </w:r>
            <w:r>
              <w:rPr>
                <w:rFonts w:hint="eastAsia" w:ascii="宋体" w:hAnsi="宋体" w:eastAsia="宋体" w:cs="宋体"/>
                <w:color w:val="auto"/>
                <w:kern w:val="0"/>
                <w:sz w:val="24"/>
                <w:highlight w:val="none"/>
                <w:lang w:val="en-US" w:eastAsia="zh-CN"/>
              </w:rPr>
              <w:t>2位小数点</w:t>
            </w:r>
            <w:r>
              <w:rPr>
                <w:rFonts w:hint="eastAsia" w:ascii="宋体" w:hAnsi="宋体" w:eastAsia="宋体" w:cs="宋体"/>
                <w:color w:val="auto"/>
                <w:kern w:val="0"/>
                <w:sz w:val="24"/>
                <w:highlight w:val="none"/>
                <w:lang w:eastAsia="zh-CN"/>
              </w:rPr>
              <w:t>）</w:t>
            </w:r>
          </w:p>
        </w:tc>
        <w:tc>
          <w:tcPr>
            <w:tcW w:w="765" w:type="dxa"/>
            <w:noWrap w:val="0"/>
            <w:vAlign w:val="center"/>
          </w:tcPr>
          <w:p w14:paraId="1191F608">
            <w:pPr>
              <w:spacing w:line="360" w:lineRule="auto"/>
              <w:jc w:val="center"/>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30</w:t>
            </w:r>
          </w:p>
        </w:tc>
        <w:tc>
          <w:tcPr>
            <w:tcW w:w="1029" w:type="dxa"/>
            <w:noWrap w:val="0"/>
            <w:vAlign w:val="center"/>
          </w:tcPr>
          <w:p w14:paraId="5D4D4A01">
            <w:pPr>
              <w:spacing w:line="360" w:lineRule="auto"/>
              <w:jc w:val="center"/>
              <w:outlineLvl w:val="0"/>
              <w:rPr>
                <w:rFonts w:hint="eastAsia" w:ascii="宋体" w:hAnsi="宋体" w:eastAsia="宋体" w:cs="宋体"/>
                <w:color w:val="000000"/>
                <w:sz w:val="24"/>
                <w:highlight w:val="none"/>
              </w:rPr>
            </w:pPr>
          </w:p>
        </w:tc>
        <w:tc>
          <w:tcPr>
            <w:tcW w:w="1029" w:type="dxa"/>
            <w:noWrap w:val="0"/>
            <w:vAlign w:val="center"/>
          </w:tcPr>
          <w:p w14:paraId="6AB7C39F">
            <w:pPr>
              <w:spacing w:line="360" w:lineRule="auto"/>
              <w:jc w:val="center"/>
              <w:outlineLvl w:val="0"/>
              <w:rPr>
                <w:rFonts w:hint="eastAsia" w:ascii="宋体" w:hAnsi="宋体" w:eastAsia="宋体" w:cs="宋体"/>
                <w:color w:val="000000"/>
                <w:sz w:val="24"/>
                <w:highlight w:val="none"/>
              </w:rPr>
            </w:pPr>
          </w:p>
        </w:tc>
      </w:tr>
    </w:tbl>
    <w:p w14:paraId="2E90A116">
      <w:pPr>
        <w:adjustRightInd/>
        <w:spacing w:line="360" w:lineRule="auto"/>
        <w:jc w:val="center"/>
        <w:rPr>
          <w:rFonts w:hint="eastAsia" w:ascii="宋体" w:hAnsi="宋体" w:eastAsia="宋体" w:cs="宋体"/>
          <w:b/>
          <w:kern w:val="0"/>
          <w:sz w:val="24"/>
          <w:highlight w:val="none"/>
        </w:rPr>
      </w:pPr>
    </w:p>
    <w:p w14:paraId="25BADD86">
      <w:pPr>
        <w:adjustRightInd/>
        <w:spacing w:line="360" w:lineRule="auto"/>
        <w:jc w:val="center"/>
        <w:rPr>
          <w:rFonts w:hint="eastAsia" w:ascii="宋体" w:hAnsi="宋体" w:eastAsia="宋体" w:cs="宋体"/>
          <w:b/>
          <w:kern w:val="0"/>
          <w:sz w:val="24"/>
          <w:highlight w:val="none"/>
        </w:rPr>
      </w:pPr>
    </w:p>
    <w:p w14:paraId="4EF47735">
      <w:pPr>
        <w:adjustRightInd/>
        <w:spacing w:line="360" w:lineRule="auto"/>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 xml:space="preserve">家具样品评标内容及标准                                                </w:t>
      </w:r>
    </w:p>
    <w:p w14:paraId="0B3110AC">
      <w:pPr>
        <w:adjustRightInd/>
        <w:spacing w:line="360" w:lineRule="exact"/>
        <w:ind w:firstLine="6987" w:firstLineChars="2900"/>
        <w:rPr>
          <w:rFonts w:hint="eastAsia" w:ascii="宋体" w:hAnsi="宋体" w:eastAsia="宋体" w:cs="宋体"/>
          <w:b/>
          <w:kern w:val="0"/>
          <w:sz w:val="24"/>
          <w:highlight w:val="none"/>
        </w:rPr>
      </w:pPr>
      <w:r>
        <w:rPr>
          <w:rFonts w:hint="eastAsia" w:ascii="宋体" w:hAnsi="宋体" w:eastAsia="宋体" w:cs="宋体"/>
          <w:b/>
          <w:kern w:val="0"/>
          <w:sz w:val="24"/>
          <w:highlight w:val="none"/>
        </w:rPr>
        <w:t>分值：</w:t>
      </w:r>
      <w:r>
        <w:rPr>
          <w:rFonts w:hint="eastAsia" w:ascii="宋体" w:hAnsi="宋体" w:eastAsia="宋体" w:cs="宋体"/>
          <w:b/>
          <w:kern w:val="0"/>
          <w:sz w:val="24"/>
          <w:highlight w:val="none"/>
          <w:lang w:val="en-US" w:eastAsia="zh-CN"/>
        </w:rPr>
        <w:t>10</w:t>
      </w:r>
      <w:r>
        <w:rPr>
          <w:rFonts w:hint="eastAsia" w:ascii="宋体" w:hAnsi="宋体" w:eastAsia="宋体" w:cs="宋体"/>
          <w:b/>
          <w:kern w:val="0"/>
          <w:sz w:val="24"/>
          <w:highlight w:val="none"/>
        </w:rPr>
        <w:t>分</w:t>
      </w:r>
    </w:p>
    <w:tbl>
      <w:tblPr>
        <w:tblStyle w:val="63"/>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142"/>
        <w:gridCol w:w="7272"/>
        <w:gridCol w:w="896"/>
      </w:tblGrid>
      <w:tr w14:paraId="4800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28494900">
            <w:pPr>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B1F35F9">
            <w:pPr>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  目</w:t>
            </w:r>
          </w:p>
        </w:tc>
        <w:tc>
          <w:tcPr>
            <w:tcW w:w="7272" w:type="dxa"/>
            <w:tcBorders>
              <w:top w:val="single" w:color="auto" w:sz="4" w:space="0"/>
              <w:left w:val="single" w:color="auto" w:sz="4" w:space="0"/>
              <w:bottom w:val="single" w:color="auto" w:sz="4" w:space="0"/>
              <w:right w:val="single" w:color="auto" w:sz="4" w:space="0"/>
            </w:tcBorders>
            <w:noWrap w:val="0"/>
            <w:vAlign w:val="center"/>
          </w:tcPr>
          <w:p w14:paraId="75E3D2E8">
            <w:pPr>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评分内容和标准</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5362E42B">
            <w:pPr>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14:paraId="23B3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vMerge w:val="restart"/>
            <w:tcBorders>
              <w:top w:val="single" w:color="auto" w:sz="4" w:space="0"/>
              <w:left w:val="single" w:color="auto" w:sz="4" w:space="0"/>
              <w:right w:val="single" w:color="auto" w:sz="4" w:space="0"/>
            </w:tcBorders>
            <w:noWrap w:val="0"/>
            <w:vAlign w:val="center"/>
          </w:tcPr>
          <w:p w14:paraId="57803BDB">
            <w:pPr>
              <w:jc w:val="cente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42" w:type="dxa"/>
            <w:vMerge w:val="restart"/>
            <w:tcBorders>
              <w:top w:val="single" w:color="auto" w:sz="4" w:space="0"/>
              <w:left w:val="single" w:color="auto" w:sz="4" w:space="0"/>
              <w:right w:val="single" w:color="auto" w:sz="4" w:space="0"/>
            </w:tcBorders>
            <w:noWrap w:val="0"/>
            <w:vAlign w:val="center"/>
          </w:tcPr>
          <w:p w14:paraId="345AF3D0">
            <w:pPr>
              <w:pStyle w:val="20"/>
              <w:numPr>
                <w:ilvl w:val="0"/>
                <w:numId w:val="0"/>
              </w:numPr>
              <w:spacing w:line="240" w:lineRule="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要求提供</w:t>
            </w:r>
            <w:r>
              <w:rPr>
                <w:rFonts w:hint="eastAsia" w:ascii="宋体" w:hAnsi="宋体" w:eastAsia="宋体" w:cs="宋体"/>
                <w:b/>
                <w:bCs/>
                <w:color w:val="000000"/>
                <w:sz w:val="24"/>
                <w:szCs w:val="24"/>
                <w:highlight w:val="none"/>
                <w:lang w:val="en-US" w:eastAsia="zh-CN"/>
              </w:rPr>
              <w:t>家具</w:t>
            </w:r>
            <w:r>
              <w:rPr>
                <w:rFonts w:hint="eastAsia" w:ascii="宋体" w:hAnsi="宋体" w:eastAsia="宋体" w:cs="宋体"/>
                <w:b/>
                <w:bCs/>
                <w:color w:val="000000"/>
                <w:sz w:val="24"/>
                <w:szCs w:val="24"/>
                <w:highlight w:val="none"/>
              </w:rPr>
              <w:t>清单中</w:t>
            </w:r>
            <w:r>
              <w:rPr>
                <w:rFonts w:hint="eastAsia" w:ascii="宋体" w:hAnsi="宋体" w:eastAsia="宋体" w:cs="宋体"/>
                <w:b/>
                <w:bCs/>
                <w:color w:val="000000"/>
                <w:sz w:val="24"/>
                <w:szCs w:val="24"/>
                <w:highlight w:val="none"/>
                <w:lang w:val="en-US" w:eastAsia="zh-CN"/>
              </w:rPr>
              <w:t>序号12办公椅</w:t>
            </w:r>
            <w:r>
              <w:rPr>
                <w:rFonts w:hint="eastAsia" w:ascii="宋体" w:hAnsi="宋体" w:eastAsia="宋体" w:cs="宋体"/>
                <w:b/>
                <w:bCs/>
                <w:color w:val="000000"/>
                <w:sz w:val="24"/>
                <w:szCs w:val="24"/>
                <w:highlight w:val="none"/>
              </w:rPr>
              <w:t>（样品）</w:t>
            </w:r>
          </w:p>
          <w:p w14:paraId="25A884B3">
            <w:pPr>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272" w:type="dxa"/>
            <w:tcBorders>
              <w:top w:val="single" w:color="auto" w:sz="4" w:space="0"/>
              <w:left w:val="single" w:color="auto" w:sz="4" w:space="0"/>
              <w:bottom w:val="single" w:color="auto" w:sz="4" w:space="0"/>
              <w:right w:val="single" w:color="auto" w:sz="4" w:space="0"/>
            </w:tcBorders>
            <w:noWrap w:val="0"/>
            <w:vAlign w:val="center"/>
          </w:tcPr>
          <w:p w14:paraId="0DC4ECC2">
            <w:pPr>
              <w:jc w:val="left"/>
              <w:outlineLvl w:val="0"/>
              <w:rPr>
                <w:rFonts w:hint="eastAsia" w:ascii="宋体" w:hAnsi="宋体" w:eastAsia="宋体" w:cs="宋体"/>
                <w:sz w:val="24"/>
                <w:szCs w:val="24"/>
                <w:highlight w:val="none"/>
              </w:rPr>
            </w:pPr>
          </w:p>
          <w:p w14:paraId="74D544EC">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款式、外观:根据所提供样品的外观式样、美观度、色调搭配合理性及协调性综合评定。</w:t>
            </w:r>
          </w:p>
          <w:p w14:paraId="55CA5EB5">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外观表面平整，</w:t>
            </w:r>
            <w:r>
              <w:rPr>
                <w:rFonts w:hint="eastAsia" w:ascii="宋体" w:hAnsi="宋体" w:eastAsia="宋体" w:cs="宋体"/>
                <w:b w:val="0"/>
                <w:bCs w:val="0"/>
                <w:color w:val="auto"/>
                <w:sz w:val="24"/>
                <w:highlight w:val="none"/>
              </w:rPr>
              <w:t>手感舒适</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kern w:val="0"/>
                <w:sz w:val="24"/>
                <w:szCs w:val="24"/>
                <w:highlight w:val="none"/>
                <w:lang w:val="en-US" w:eastAsia="zh-CN"/>
              </w:rPr>
              <w:t>光滑，</w:t>
            </w:r>
            <w:r>
              <w:rPr>
                <w:rFonts w:hint="eastAsia" w:ascii="宋体" w:hAnsi="宋体" w:eastAsia="宋体" w:cs="宋体"/>
                <w:color w:val="auto"/>
                <w:sz w:val="24"/>
                <w:highlight w:val="none"/>
              </w:rPr>
              <w:t>无明显凹凸、波纹等缺陷</w:t>
            </w:r>
            <w:r>
              <w:rPr>
                <w:rFonts w:hint="eastAsia" w:ascii="宋体" w:hAnsi="宋体" w:eastAsia="宋体" w:cs="宋体"/>
                <w:color w:val="auto"/>
                <w:sz w:val="24"/>
                <w:highlight w:val="none"/>
                <w:lang w:eastAsia="zh-CN"/>
              </w:rPr>
              <w:t>；</w:t>
            </w:r>
            <w:r>
              <w:rPr>
                <w:rFonts w:hint="eastAsia" w:ascii="宋体" w:hAnsi="宋体" w:eastAsia="宋体" w:cs="宋体"/>
                <w:sz w:val="24"/>
                <w:szCs w:val="24"/>
                <w:highlight w:val="none"/>
              </w:rPr>
              <w:t>色调搭配合理性及协调性</w:t>
            </w:r>
            <w:r>
              <w:rPr>
                <w:rFonts w:hint="eastAsia" w:ascii="宋体" w:hAnsi="宋体" w:eastAsia="宋体" w:cs="宋体"/>
                <w:color w:val="auto"/>
                <w:sz w:val="24"/>
                <w:highlight w:val="none"/>
                <w:lang w:val="en-US" w:eastAsia="zh-CN"/>
              </w:rPr>
              <w:t>好</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1分；</w:t>
            </w:r>
          </w:p>
          <w:p w14:paraId="607BF770">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外观存在轻微瑕疵但不影响使用的，</w:t>
            </w:r>
            <w:r>
              <w:rPr>
                <w:rFonts w:hint="eastAsia" w:ascii="宋体" w:hAnsi="宋体" w:eastAsia="宋体" w:cs="宋体"/>
                <w:color w:val="auto"/>
                <w:sz w:val="24"/>
                <w:highlight w:val="none"/>
                <w:lang w:val="en-US" w:eastAsia="zh-CN"/>
              </w:rPr>
              <w:t>色彩搭配不协调，协调性较差</w:t>
            </w:r>
            <w:r>
              <w:rPr>
                <w:rFonts w:hint="eastAsia" w:ascii="宋体" w:hAnsi="宋体" w:eastAsia="宋体" w:cs="宋体"/>
                <w:color w:val="auto"/>
                <w:sz w:val="24"/>
                <w:highlight w:val="none"/>
              </w:rPr>
              <w:t>但不影响正常使用的，扣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w:t>
            </w:r>
          </w:p>
          <w:p w14:paraId="4CB7B87D">
            <w:pPr>
              <w:rPr>
                <w:rFonts w:hint="eastAsia" w:ascii="宋体" w:hAnsi="宋体" w:eastAsia="宋体" w:cs="宋体"/>
                <w:highlight w:val="none"/>
              </w:rPr>
            </w:pPr>
            <w:r>
              <w:rPr>
                <w:rFonts w:hint="eastAsia" w:ascii="宋体" w:hAnsi="宋体" w:eastAsia="宋体" w:cs="宋体"/>
                <w:color w:val="auto"/>
                <w:sz w:val="24"/>
                <w:highlight w:val="none"/>
              </w:rPr>
              <w:t>外观存在严重缺陷或影响美观的，</w:t>
            </w:r>
            <w:r>
              <w:rPr>
                <w:rFonts w:hint="eastAsia" w:ascii="宋体" w:hAnsi="宋体" w:eastAsia="宋体" w:cs="宋体"/>
                <w:color w:val="auto"/>
                <w:sz w:val="24"/>
                <w:highlight w:val="none"/>
                <w:lang w:val="en-US" w:eastAsia="zh-CN"/>
              </w:rPr>
              <w:t>色彩搭配</w:t>
            </w:r>
            <w:r>
              <w:rPr>
                <w:rFonts w:hint="eastAsia" w:ascii="宋体" w:hAnsi="宋体" w:eastAsia="宋体" w:cs="宋体"/>
                <w:color w:val="auto"/>
                <w:sz w:val="24"/>
                <w:highlight w:val="none"/>
              </w:rPr>
              <w:t>差，不得分。</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1AE8316F">
            <w:pPr>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4490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558" w:type="dxa"/>
            <w:vMerge w:val="continue"/>
            <w:tcBorders>
              <w:left w:val="single" w:color="auto" w:sz="4" w:space="0"/>
              <w:right w:val="single" w:color="auto" w:sz="4" w:space="0"/>
            </w:tcBorders>
            <w:noWrap w:val="0"/>
            <w:vAlign w:val="center"/>
          </w:tcPr>
          <w:p w14:paraId="179507D9">
            <w:pPr>
              <w:jc w:val="center"/>
              <w:outlineLvl w:val="0"/>
              <w:rPr>
                <w:rFonts w:hint="eastAsia" w:ascii="宋体" w:hAnsi="宋体" w:eastAsia="宋体" w:cs="宋体"/>
                <w:sz w:val="24"/>
                <w:szCs w:val="24"/>
                <w:highlight w:val="none"/>
              </w:rPr>
            </w:pPr>
          </w:p>
        </w:tc>
        <w:tc>
          <w:tcPr>
            <w:tcW w:w="1142" w:type="dxa"/>
            <w:vMerge w:val="continue"/>
            <w:tcBorders>
              <w:left w:val="single" w:color="auto" w:sz="4" w:space="0"/>
              <w:right w:val="single" w:color="auto" w:sz="4" w:space="0"/>
            </w:tcBorders>
            <w:noWrap w:val="0"/>
            <w:vAlign w:val="center"/>
          </w:tcPr>
          <w:p w14:paraId="0F5A126C">
            <w:pPr>
              <w:jc w:val="left"/>
              <w:outlineLvl w:val="0"/>
              <w:rPr>
                <w:rFonts w:hint="eastAsia" w:ascii="宋体" w:hAnsi="宋体" w:eastAsia="宋体" w:cs="宋体"/>
                <w:sz w:val="24"/>
                <w:szCs w:val="24"/>
                <w:highlight w:val="none"/>
              </w:rPr>
            </w:pPr>
          </w:p>
        </w:tc>
        <w:tc>
          <w:tcPr>
            <w:tcW w:w="7272" w:type="dxa"/>
            <w:tcBorders>
              <w:top w:val="single" w:color="auto" w:sz="4" w:space="0"/>
              <w:left w:val="single" w:color="auto" w:sz="4" w:space="0"/>
              <w:bottom w:val="single" w:color="auto" w:sz="4" w:space="0"/>
              <w:right w:val="single" w:color="auto" w:sz="4" w:space="0"/>
            </w:tcBorders>
            <w:noWrap w:val="0"/>
            <w:vAlign w:val="center"/>
          </w:tcPr>
          <w:p w14:paraId="67C9AE35">
            <w:pPr>
              <w:numPr>
                <w:ilvl w:val="0"/>
                <w:numId w:val="0"/>
              </w:num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规格尺寸:</w:t>
            </w:r>
          </w:p>
          <w:p w14:paraId="6447D3E3">
            <w:pPr>
              <w:numPr>
                <w:ilvl w:val="0"/>
                <w:numId w:val="0"/>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符合招标文件采购清单要求的</w:t>
            </w:r>
            <w:r>
              <w:rPr>
                <w:rFonts w:hint="eastAsia" w:ascii="宋体" w:hAnsi="宋体" w:eastAsia="宋体" w:cs="宋体"/>
                <w:color w:val="auto"/>
                <w:sz w:val="24"/>
                <w:highlight w:val="none"/>
                <w:lang w:val="en-US" w:eastAsia="zh-CN"/>
              </w:rPr>
              <w:t>材质,</w:t>
            </w:r>
            <w:r>
              <w:rPr>
                <w:rFonts w:hint="eastAsia" w:ascii="宋体" w:hAnsi="宋体" w:eastAsia="宋体" w:cs="宋体"/>
                <w:color w:val="auto"/>
                <w:sz w:val="24"/>
                <w:highlight w:val="none"/>
              </w:rPr>
              <w:t>尺寸规格，得1分。</w:t>
            </w:r>
          </w:p>
          <w:p w14:paraId="2F66E95A">
            <w:pPr>
              <w:rPr>
                <w:rFonts w:hint="eastAsia" w:ascii="宋体" w:hAnsi="宋体" w:eastAsia="宋体" w:cs="宋体"/>
                <w:sz w:val="24"/>
                <w:szCs w:val="24"/>
                <w:highlight w:val="none"/>
              </w:rPr>
            </w:pPr>
            <w:r>
              <w:rPr>
                <w:rFonts w:hint="eastAsia" w:ascii="宋体" w:hAnsi="宋体" w:eastAsia="宋体" w:cs="宋体"/>
                <w:color w:val="auto"/>
                <w:sz w:val="24"/>
                <w:highlight w:val="none"/>
              </w:rPr>
              <w:t>不符合招标文件采购清单要求的</w:t>
            </w:r>
            <w:r>
              <w:rPr>
                <w:rFonts w:hint="eastAsia" w:ascii="宋体" w:hAnsi="宋体" w:eastAsia="宋体" w:cs="宋体"/>
                <w:color w:val="auto"/>
                <w:sz w:val="24"/>
                <w:highlight w:val="none"/>
                <w:lang w:val="en-US" w:eastAsia="zh-CN"/>
              </w:rPr>
              <w:t>材质,</w:t>
            </w:r>
            <w:r>
              <w:rPr>
                <w:rFonts w:hint="eastAsia" w:ascii="宋体" w:hAnsi="宋体" w:eastAsia="宋体" w:cs="宋体"/>
                <w:color w:val="auto"/>
                <w:sz w:val="24"/>
                <w:highlight w:val="none"/>
              </w:rPr>
              <w:t>尺寸规格，不得分。</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17315BDE">
            <w:pPr>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5544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58" w:type="dxa"/>
            <w:vMerge w:val="continue"/>
            <w:tcBorders>
              <w:left w:val="single" w:color="auto" w:sz="4" w:space="0"/>
              <w:right w:val="single" w:color="auto" w:sz="4" w:space="0"/>
            </w:tcBorders>
            <w:noWrap w:val="0"/>
            <w:vAlign w:val="center"/>
          </w:tcPr>
          <w:p w14:paraId="385D450B">
            <w:pPr>
              <w:jc w:val="center"/>
              <w:outlineLvl w:val="0"/>
              <w:rPr>
                <w:rFonts w:hint="eastAsia" w:ascii="宋体" w:hAnsi="宋体" w:eastAsia="宋体" w:cs="宋体"/>
                <w:sz w:val="24"/>
                <w:szCs w:val="24"/>
                <w:highlight w:val="none"/>
              </w:rPr>
            </w:pPr>
          </w:p>
        </w:tc>
        <w:tc>
          <w:tcPr>
            <w:tcW w:w="1142" w:type="dxa"/>
            <w:vMerge w:val="continue"/>
            <w:tcBorders>
              <w:left w:val="single" w:color="auto" w:sz="4" w:space="0"/>
              <w:right w:val="single" w:color="auto" w:sz="4" w:space="0"/>
            </w:tcBorders>
            <w:noWrap w:val="0"/>
            <w:vAlign w:val="center"/>
          </w:tcPr>
          <w:p w14:paraId="52EA31E0">
            <w:pPr>
              <w:jc w:val="left"/>
              <w:outlineLvl w:val="0"/>
              <w:rPr>
                <w:rFonts w:hint="eastAsia" w:ascii="宋体" w:hAnsi="宋体" w:eastAsia="宋体" w:cs="宋体"/>
                <w:sz w:val="24"/>
                <w:szCs w:val="24"/>
                <w:highlight w:val="none"/>
              </w:rPr>
            </w:pPr>
          </w:p>
        </w:tc>
        <w:tc>
          <w:tcPr>
            <w:tcW w:w="7272" w:type="dxa"/>
            <w:tcBorders>
              <w:top w:val="single" w:color="auto" w:sz="4" w:space="0"/>
              <w:left w:val="single" w:color="auto" w:sz="4" w:space="0"/>
              <w:bottom w:val="single" w:color="auto" w:sz="4" w:space="0"/>
              <w:right w:val="single" w:color="auto" w:sz="4" w:space="0"/>
            </w:tcBorders>
            <w:noWrap w:val="0"/>
            <w:vAlign w:val="center"/>
          </w:tcPr>
          <w:p w14:paraId="6AA2A278">
            <w:pP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结构、牢固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舒适性</w:t>
            </w:r>
            <w:r>
              <w:rPr>
                <w:rFonts w:hint="eastAsia" w:ascii="宋体" w:hAnsi="宋体" w:eastAsia="宋体" w:cs="宋体"/>
                <w:sz w:val="24"/>
                <w:szCs w:val="24"/>
                <w:highlight w:val="none"/>
              </w:rPr>
              <w:t>等：所提供样品的结构合理性、牢固度及舒适性等综合评定。</w:t>
            </w:r>
          </w:p>
          <w:p w14:paraId="77255DDA">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结构</w:t>
            </w:r>
            <w:r>
              <w:rPr>
                <w:rFonts w:hint="eastAsia" w:ascii="宋体" w:hAnsi="宋体" w:eastAsia="宋体" w:cs="宋体"/>
                <w:color w:val="auto"/>
                <w:sz w:val="24"/>
                <w:highlight w:val="none"/>
              </w:rPr>
              <w:t>，</w:t>
            </w:r>
            <w:r>
              <w:rPr>
                <w:rFonts w:hint="eastAsia" w:ascii="宋体" w:hAnsi="宋体" w:eastAsia="宋体" w:cs="宋体"/>
                <w:sz w:val="24"/>
                <w:szCs w:val="24"/>
                <w:highlight w:val="none"/>
              </w:rPr>
              <w:t>舒适性及牢固度</w:t>
            </w:r>
            <w:r>
              <w:rPr>
                <w:rFonts w:hint="eastAsia" w:ascii="宋体" w:hAnsi="宋体" w:eastAsia="宋体" w:cs="宋体"/>
                <w:color w:val="auto"/>
                <w:sz w:val="24"/>
                <w:highlight w:val="none"/>
              </w:rPr>
              <w:t>稳定性好，</w:t>
            </w:r>
            <w:r>
              <w:rPr>
                <w:rFonts w:hint="eastAsia" w:ascii="宋体" w:hAnsi="宋体" w:eastAsia="宋体" w:cs="宋体"/>
                <w:color w:val="auto"/>
                <w:sz w:val="24"/>
                <w:highlight w:val="none"/>
                <w:lang w:val="en-US" w:eastAsia="zh-CN"/>
              </w:rPr>
              <w:t>优于招标文件</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1分；</w:t>
            </w:r>
          </w:p>
          <w:p w14:paraId="5F815933">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结构</w:t>
            </w:r>
            <w:r>
              <w:rPr>
                <w:rFonts w:hint="eastAsia" w:ascii="宋体" w:hAnsi="宋体" w:eastAsia="宋体" w:cs="宋体"/>
                <w:color w:val="auto"/>
                <w:sz w:val="24"/>
                <w:highlight w:val="none"/>
              </w:rPr>
              <w:t>存在轻微瑕疵但不影响使用的，</w:t>
            </w:r>
            <w:r>
              <w:rPr>
                <w:rFonts w:hint="eastAsia" w:ascii="宋体" w:hAnsi="宋体" w:eastAsia="宋体" w:cs="宋体"/>
                <w:sz w:val="24"/>
                <w:szCs w:val="24"/>
                <w:highlight w:val="none"/>
              </w:rPr>
              <w:t>舒适性</w:t>
            </w:r>
            <w:r>
              <w:rPr>
                <w:rFonts w:hint="eastAsia" w:ascii="宋体" w:hAnsi="宋体" w:eastAsia="宋体" w:cs="宋体"/>
                <w:sz w:val="24"/>
                <w:szCs w:val="24"/>
                <w:highlight w:val="none"/>
                <w:lang w:val="en-US" w:eastAsia="zh-CN"/>
              </w:rPr>
              <w:t>一般，</w:t>
            </w:r>
            <w:r>
              <w:rPr>
                <w:rFonts w:hint="eastAsia" w:ascii="宋体" w:hAnsi="宋体" w:eastAsia="宋体" w:cs="宋体"/>
                <w:color w:val="auto"/>
                <w:sz w:val="24"/>
                <w:highlight w:val="none"/>
              </w:rPr>
              <w:t>存在轻微晃动但不影响正常使用的，扣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w:t>
            </w:r>
          </w:p>
          <w:p w14:paraId="2AB797E2">
            <w:pPr>
              <w:jc w:val="left"/>
              <w:outlineLvl w:val="0"/>
              <w:rPr>
                <w:rFonts w:hint="eastAsia" w:ascii="宋体" w:hAnsi="宋体" w:eastAsia="宋体" w:cs="宋体"/>
                <w:sz w:val="24"/>
                <w:szCs w:val="24"/>
                <w:highlight w:val="none"/>
              </w:rPr>
            </w:pPr>
            <w:r>
              <w:rPr>
                <w:rFonts w:hint="eastAsia" w:ascii="宋体" w:hAnsi="宋体" w:eastAsia="宋体" w:cs="宋体"/>
                <w:color w:val="auto"/>
                <w:sz w:val="24"/>
                <w:highlight w:val="none"/>
                <w:lang w:val="en-US" w:eastAsia="zh-CN"/>
              </w:rPr>
              <w:t>结构</w:t>
            </w:r>
            <w:r>
              <w:rPr>
                <w:rFonts w:hint="eastAsia" w:ascii="宋体" w:hAnsi="宋体" w:eastAsia="宋体" w:cs="宋体"/>
                <w:color w:val="auto"/>
                <w:sz w:val="24"/>
                <w:highlight w:val="none"/>
              </w:rPr>
              <w:t>存在严重缺陷或影响美观的，稳定性差，存在严重晃动或倾斜的，不得分。</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2E7C1740">
            <w:pPr>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004D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558" w:type="dxa"/>
            <w:vMerge w:val="continue"/>
            <w:tcBorders>
              <w:left w:val="single" w:color="auto" w:sz="4" w:space="0"/>
              <w:right w:val="single" w:color="auto" w:sz="4" w:space="0"/>
            </w:tcBorders>
            <w:noWrap w:val="0"/>
            <w:vAlign w:val="center"/>
          </w:tcPr>
          <w:p w14:paraId="1E28C105">
            <w:pPr>
              <w:jc w:val="center"/>
              <w:outlineLvl w:val="0"/>
              <w:rPr>
                <w:rFonts w:hint="eastAsia" w:ascii="宋体" w:hAnsi="宋体" w:eastAsia="宋体" w:cs="宋体"/>
                <w:sz w:val="24"/>
                <w:szCs w:val="24"/>
                <w:highlight w:val="none"/>
              </w:rPr>
            </w:pPr>
          </w:p>
        </w:tc>
        <w:tc>
          <w:tcPr>
            <w:tcW w:w="1142" w:type="dxa"/>
            <w:vMerge w:val="continue"/>
            <w:tcBorders>
              <w:left w:val="single" w:color="auto" w:sz="4" w:space="0"/>
              <w:right w:val="single" w:color="auto" w:sz="4" w:space="0"/>
            </w:tcBorders>
            <w:noWrap w:val="0"/>
            <w:vAlign w:val="center"/>
          </w:tcPr>
          <w:p w14:paraId="3E236444">
            <w:pPr>
              <w:jc w:val="left"/>
              <w:outlineLvl w:val="0"/>
              <w:rPr>
                <w:rFonts w:hint="eastAsia" w:ascii="宋体" w:hAnsi="宋体" w:eastAsia="宋体" w:cs="宋体"/>
                <w:sz w:val="24"/>
                <w:szCs w:val="24"/>
                <w:highlight w:val="none"/>
              </w:rPr>
            </w:pPr>
          </w:p>
        </w:tc>
        <w:tc>
          <w:tcPr>
            <w:tcW w:w="7272" w:type="dxa"/>
            <w:tcBorders>
              <w:top w:val="single" w:color="auto" w:sz="4" w:space="0"/>
              <w:left w:val="single" w:color="auto" w:sz="4" w:space="0"/>
              <w:bottom w:val="single" w:color="auto" w:sz="4" w:space="0"/>
              <w:right w:val="single" w:color="auto" w:sz="4" w:space="0"/>
            </w:tcBorders>
            <w:noWrap w:val="0"/>
            <w:vAlign w:val="center"/>
          </w:tcPr>
          <w:p w14:paraId="51E8AEEA">
            <w:pPr>
              <w:jc w:val="left"/>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④材料要求：</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材料</w:t>
            </w:r>
            <w:r>
              <w:rPr>
                <w:rFonts w:hint="eastAsia" w:ascii="宋体" w:hAnsi="宋体" w:eastAsia="宋体" w:cs="宋体"/>
                <w:sz w:val="24"/>
                <w:szCs w:val="24"/>
                <w:highlight w:val="none"/>
              </w:rPr>
              <w:t>手感度、柔韧性、厚实度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品质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、透气及耐磨性等方面酌情打分（</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604F0479">
            <w:pPr>
              <w:pStyle w:val="34"/>
              <w:numPr>
                <w:ilvl w:val="0"/>
                <w:numId w:val="23"/>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材料手感好、厚实的得1分</w:t>
            </w:r>
          </w:p>
          <w:p w14:paraId="18DCC2F6">
            <w:pPr>
              <w:pStyle w:val="34"/>
              <w:numPr>
                <w:ilvl w:val="0"/>
                <w:numId w:val="23"/>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材料手感、厚实一般得0.5分</w:t>
            </w:r>
          </w:p>
          <w:p w14:paraId="68E4C729">
            <w:pPr>
              <w:pStyle w:val="34"/>
              <w:numPr>
                <w:ilvl w:val="0"/>
                <w:numId w:val="23"/>
              </w:numPr>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材料手感差、单薄的，</w:t>
            </w:r>
            <w:r>
              <w:rPr>
                <w:rFonts w:hint="eastAsia" w:ascii="宋体" w:hAnsi="宋体" w:eastAsia="宋体" w:cs="宋体"/>
                <w:color w:val="auto"/>
                <w:sz w:val="24"/>
                <w:szCs w:val="24"/>
                <w:highlight w:val="none"/>
              </w:rPr>
              <w:t>不得分。</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66AB8CDD">
            <w:pPr>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1F96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9" w:hRule="atLeast"/>
          <w:jc w:val="center"/>
        </w:trPr>
        <w:tc>
          <w:tcPr>
            <w:tcW w:w="558" w:type="dxa"/>
            <w:vMerge w:val="continue"/>
            <w:tcBorders>
              <w:left w:val="single" w:color="auto" w:sz="4" w:space="0"/>
              <w:right w:val="single" w:color="auto" w:sz="4" w:space="0"/>
            </w:tcBorders>
            <w:noWrap w:val="0"/>
            <w:vAlign w:val="center"/>
          </w:tcPr>
          <w:p w14:paraId="4D17DCE0">
            <w:pPr>
              <w:jc w:val="center"/>
              <w:outlineLvl w:val="0"/>
              <w:rPr>
                <w:rFonts w:hint="eastAsia" w:ascii="宋体" w:hAnsi="宋体" w:eastAsia="宋体" w:cs="宋体"/>
                <w:sz w:val="24"/>
                <w:szCs w:val="24"/>
                <w:highlight w:val="none"/>
              </w:rPr>
            </w:pPr>
          </w:p>
        </w:tc>
        <w:tc>
          <w:tcPr>
            <w:tcW w:w="1142" w:type="dxa"/>
            <w:vMerge w:val="continue"/>
            <w:tcBorders>
              <w:left w:val="single" w:color="auto" w:sz="4" w:space="0"/>
              <w:right w:val="single" w:color="auto" w:sz="4" w:space="0"/>
            </w:tcBorders>
            <w:noWrap w:val="0"/>
            <w:vAlign w:val="center"/>
          </w:tcPr>
          <w:p w14:paraId="14628F91">
            <w:pPr>
              <w:jc w:val="left"/>
              <w:outlineLvl w:val="0"/>
              <w:rPr>
                <w:rFonts w:hint="eastAsia" w:ascii="宋体" w:hAnsi="宋体" w:eastAsia="宋体" w:cs="宋体"/>
                <w:sz w:val="24"/>
                <w:szCs w:val="24"/>
                <w:highlight w:val="none"/>
              </w:rPr>
            </w:pPr>
          </w:p>
        </w:tc>
        <w:tc>
          <w:tcPr>
            <w:tcW w:w="7272" w:type="dxa"/>
            <w:tcBorders>
              <w:top w:val="single" w:color="auto" w:sz="4" w:space="0"/>
              <w:left w:val="single" w:color="auto" w:sz="4" w:space="0"/>
              <w:bottom w:val="single" w:color="auto" w:sz="4" w:space="0"/>
              <w:right w:val="single" w:color="auto" w:sz="4" w:space="0"/>
            </w:tcBorders>
            <w:noWrap w:val="0"/>
            <w:vAlign w:val="center"/>
          </w:tcPr>
          <w:p w14:paraId="1A6CD5E0">
            <w:pPr>
              <w:adjustRightInd/>
              <w:spacing w:line="260" w:lineRule="exact"/>
              <w:rPr>
                <w:rFonts w:hint="eastAsia" w:ascii="宋体" w:hAnsi="宋体" w:eastAsia="宋体" w:cs="宋体"/>
                <w:kern w:val="0"/>
                <w:sz w:val="24"/>
                <w:szCs w:val="24"/>
                <w:highlight w:val="none"/>
              </w:rPr>
            </w:pPr>
            <w:r>
              <w:rPr>
                <w:rFonts w:hint="eastAsia" w:ascii="宋体" w:hAnsi="宋体" w:cs="宋体"/>
                <w:sz w:val="24"/>
                <w:szCs w:val="24"/>
                <w:highlight w:val="none"/>
                <w:lang w:val="en-US" w:eastAsia="zh-CN"/>
              </w:rPr>
              <w:t>⑤</w:t>
            </w:r>
            <w:r>
              <w:rPr>
                <w:rFonts w:hint="eastAsia" w:ascii="宋体" w:hAnsi="宋体" w:eastAsia="宋体" w:cs="宋体"/>
                <w:sz w:val="24"/>
                <w:szCs w:val="24"/>
                <w:highlight w:val="none"/>
              </w:rPr>
              <w:t>制作工艺</w:t>
            </w:r>
          </w:p>
          <w:p w14:paraId="67CAE09C">
            <w:pPr>
              <w:numPr>
                <w:ilvl w:val="0"/>
                <w:numId w:val="0"/>
              </w:numPr>
              <w:adjustRightInd/>
              <w:spacing w:line="260" w:lineRule="exact"/>
              <w:ind w:left="425" w:leftChars="0" w:hanging="425" w:firstLineChars="0"/>
              <w:rPr>
                <w:rFonts w:hint="eastAsia" w:ascii="宋体" w:hAnsi="宋体" w:eastAsia="宋体" w:cs="宋体"/>
                <w:kern w:val="0"/>
                <w:sz w:val="24"/>
                <w:szCs w:val="24"/>
                <w:highlight w:val="none"/>
              </w:rPr>
            </w:pPr>
            <w:r>
              <w:rPr>
                <w:rFonts w:hint="default" w:ascii="宋体" w:hAnsi="宋体" w:eastAsia="宋体" w:cs="宋体"/>
                <w:kern w:val="0"/>
                <w:sz w:val="24"/>
                <w:szCs w:val="24"/>
                <w:highlight w:val="none"/>
                <w:lang w:val="en-US" w:eastAsia="zh-CN" w:bidi="ar-SA"/>
              </w:rPr>
              <w:t>(1)</w:t>
            </w:r>
            <w:r>
              <w:rPr>
                <w:rFonts w:hint="eastAsia" w:ascii="宋体" w:hAnsi="宋体" w:eastAsia="宋体" w:cs="宋体"/>
                <w:kern w:val="0"/>
                <w:sz w:val="24"/>
                <w:szCs w:val="24"/>
                <w:highlight w:val="none"/>
                <w:lang w:val="en-US" w:eastAsia="zh-CN"/>
              </w:rPr>
              <w:t>座椅扶手、座椅五爪</w:t>
            </w:r>
            <w:r>
              <w:rPr>
                <w:rFonts w:hint="eastAsia" w:ascii="宋体" w:hAnsi="宋体" w:eastAsia="宋体" w:cs="宋体"/>
                <w:kern w:val="0"/>
                <w:sz w:val="24"/>
                <w:szCs w:val="24"/>
                <w:highlight w:val="none"/>
              </w:rPr>
              <w:t>件：</w:t>
            </w:r>
          </w:p>
          <w:p w14:paraId="7E9AE8E1">
            <w:pPr>
              <w:numPr>
                <w:ilvl w:val="0"/>
                <w:numId w:val="0"/>
              </w:numP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打磨光滑，无明显焊接痕迹和毛刺；色泽均匀，表面</w:t>
            </w:r>
            <w:r>
              <w:rPr>
                <w:rFonts w:hint="eastAsia" w:ascii="宋体" w:hAnsi="宋体" w:eastAsia="宋体" w:cs="宋体"/>
                <w:kern w:val="0"/>
                <w:sz w:val="24"/>
                <w:szCs w:val="24"/>
                <w:highlight w:val="none"/>
              </w:rPr>
              <w:t>细密</w:t>
            </w:r>
            <w:r>
              <w:rPr>
                <w:rFonts w:hint="eastAsia" w:ascii="宋体" w:hAnsi="宋体" w:eastAsia="宋体" w:cs="宋体"/>
                <w:b w:val="0"/>
                <w:bCs w:val="0"/>
                <w:color w:val="auto"/>
                <w:sz w:val="24"/>
                <w:szCs w:val="24"/>
                <w:highlight w:val="none"/>
              </w:rPr>
              <w:t>，无明显皱皮、发粘和漏漆现象；其他部位手感舒适，无严重刺手感；整体较好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3069BD2">
            <w:pPr>
              <w:rPr>
                <w:rFonts w:hint="eastAsia" w:ascii="宋体" w:hAnsi="宋体" w:eastAsia="宋体" w:cs="宋体"/>
                <w:color w:val="auto"/>
                <w:sz w:val="24"/>
                <w:szCs w:val="24"/>
                <w:highlight w:val="none"/>
              </w:rPr>
            </w:pPr>
            <w:r>
              <w:rPr>
                <w:rFonts w:hint="default" w:ascii="宋体" w:hAnsi="宋体" w:eastAsia="宋体" w:cs="宋体"/>
                <w:kern w:val="0"/>
                <w:sz w:val="24"/>
                <w:szCs w:val="24"/>
                <w:highlight w:val="none"/>
                <w:lang w:val="en-US" w:eastAsia="zh-CN" w:bidi="ar-SA"/>
              </w:rPr>
              <w:t>(</w:t>
            </w:r>
            <w:r>
              <w:rPr>
                <w:rFonts w:hint="eastAsia" w:ascii="宋体" w:hAnsi="宋体" w:eastAsia="宋体" w:cs="宋体"/>
                <w:color w:val="auto"/>
                <w:sz w:val="24"/>
                <w:szCs w:val="24"/>
                <w:highlight w:val="none"/>
              </w:rPr>
              <w:t>2</w:t>
            </w:r>
            <w:r>
              <w:rPr>
                <w:rFonts w:hint="default" w:ascii="宋体" w:hAnsi="宋体" w:eastAsia="宋体" w:cs="宋体"/>
                <w:kern w:val="0"/>
                <w:sz w:val="24"/>
                <w:szCs w:val="24"/>
                <w:highlight w:val="none"/>
                <w:lang w:val="en-US" w:eastAsia="zh-CN" w:bidi="ar-SA"/>
              </w:rPr>
              <w:t>)</w:t>
            </w:r>
            <w:r>
              <w:rPr>
                <w:rFonts w:hint="eastAsia" w:ascii="宋体" w:hAnsi="宋体" w:eastAsia="宋体" w:cs="宋体"/>
                <w:color w:val="auto"/>
                <w:sz w:val="24"/>
                <w:szCs w:val="24"/>
                <w:highlight w:val="none"/>
              </w:rPr>
              <w:t>打磨存在轻微瑕疵但不影响使用的，或涂饰存在轻微不均匀、光泽度稍差等问题的，扣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07CC64BB">
            <w:pPr>
              <w:rPr>
                <w:rFonts w:hint="eastAsia" w:ascii="宋体" w:hAnsi="宋体" w:eastAsia="宋体" w:cs="宋体"/>
                <w:highlight w:val="none"/>
                <w:lang w:val="en-US" w:eastAsia="zh-CN"/>
              </w:rPr>
            </w:pPr>
            <w:r>
              <w:rPr>
                <w:rFonts w:hint="default" w:ascii="宋体" w:hAnsi="宋体" w:eastAsia="宋体" w:cs="宋体"/>
                <w:kern w:val="0"/>
                <w:sz w:val="24"/>
                <w:szCs w:val="24"/>
                <w:highlight w:val="none"/>
                <w:lang w:val="en-US" w:eastAsia="zh-CN" w:bidi="ar-SA"/>
              </w:rPr>
              <w:t>(</w:t>
            </w:r>
            <w:r>
              <w:rPr>
                <w:rFonts w:hint="eastAsia" w:ascii="宋体" w:hAnsi="宋体" w:eastAsia="宋体" w:cs="宋体"/>
                <w:color w:val="auto"/>
                <w:sz w:val="24"/>
                <w:szCs w:val="24"/>
                <w:highlight w:val="none"/>
              </w:rPr>
              <w:t>3</w:t>
            </w:r>
            <w:r>
              <w:rPr>
                <w:rFonts w:hint="default" w:ascii="宋体" w:hAnsi="宋体" w:eastAsia="宋体" w:cs="宋体"/>
                <w:kern w:val="0"/>
                <w:sz w:val="24"/>
                <w:szCs w:val="24"/>
                <w:highlight w:val="none"/>
                <w:lang w:val="en-US" w:eastAsia="zh-CN" w:bidi="ar-SA"/>
              </w:rPr>
              <w:t>)</w:t>
            </w:r>
            <w:r>
              <w:rPr>
                <w:rFonts w:hint="eastAsia" w:ascii="宋体" w:hAnsi="宋体" w:eastAsia="宋体" w:cs="宋体"/>
                <w:color w:val="auto"/>
                <w:sz w:val="24"/>
                <w:szCs w:val="24"/>
                <w:highlight w:val="none"/>
              </w:rPr>
              <w:t>打磨存在严重问题，或涂饰存在严重皱皮、发粘、漏漆等现象的，不得分。</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71A3E9D7">
            <w:pPr>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5723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58" w:type="dxa"/>
            <w:vMerge w:val="restart"/>
            <w:tcBorders>
              <w:left w:val="single" w:color="auto" w:sz="4" w:space="0"/>
              <w:right w:val="single" w:color="auto" w:sz="4" w:space="0"/>
            </w:tcBorders>
            <w:noWrap w:val="0"/>
            <w:vAlign w:val="center"/>
          </w:tcPr>
          <w:p w14:paraId="041FFF55">
            <w:pPr>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142" w:type="dxa"/>
            <w:vMerge w:val="restart"/>
            <w:tcBorders>
              <w:left w:val="single" w:color="auto" w:sz="4" w:space="0"/>
              <w:right w:val="single" w:color="auto" w:sz="4" w:space="0"/>
            </w:tcBorders>
            <w:noWrap w:val="0"/>
            <w:vAlign w:val="center"/>
          </w:tcPr>
          <w:p w14:paraId="08755C0E">
            <w:pPr>
              <w:jc w:val="left"/>
              <w:outlineLvl w:val="0"/>
              <w:rPr>
                <w:rFonts w:hint="eastAsia" w:ascii="宋体" w:hAnsi="宋体" w:eastAsia="宋体" w:cs="宋体"/>
                <w:sz w:val="24"/>
                <w:szCs w:val="24"/>
                <w:highlight w:val="none"/>
                <w:lang w:val="en-US" w:eastAsia="zh-CN"/>
              </w:rPr>
            </w:pPr>
            <w:r>
              <w:rPr>
                <w:rFonts w:hint="eastAsia" w:ascii="宋体" w:hAnsi="宋体" w:eastAsia="宋体" w:cs="宋体"/>
                <w:b/>
                <w:bCs/>
                <w:color w:val="000000"/>
                <w:sz w:val="24"/>
                <w:szCs w:val="24"/>
                <w:highlight w:val="none"/>
              </w:rPr>
              <w:t>提供</w:t>
            </w:r>
            <w:r>
              <w:rPr>
                <w:rFonts w:hint="eastAsia" w:ascii="宋体" w:hAnsi="宋体" w:eastAsia="宋体" w:cs="宋体"/>
                <w:b/>
                <w:bCs/>
                <w:color w:val="000000"/>
                <w:sz w:val="24"/>
                <w:szCs w:val="24"/>
                <w:highlight w:val="none"/>
                <w:lang w:val="en-US" w:eastAsia="zh-CN"/>
              </w:rPr>
              <w:t>家具</w:t>
            </w:r>
            <w:r>
              <w:rPr>
                <w:rFonts w:hint="eastAsia" w:ascii="宋体" w:hAnsi="宋体" w:eastAsia="宋体" w:cs="宋体"/>
                <w:b/>
                <w:bCs/>
                <w:color w:val="000000"/>
                <w:sz w:val="24"/>
                <w:szCs w:val="24"/>
                <w:highlight w:val="none"/>
              </w:rPr>
              <w:t>清单中</w:t>
            </w:r>
            <w:r>
              <w:rPr>
                <w:rFonts w:hint="eastAsia" w:ascii="宋体" w:hAnsi="宋体" w:eastAsia="宋体" w:cs="宋体"/>
                <w:b/>
                <w:bCs/>
                <w:color w:val="000000"/>
                <w:sz w:val="24"/>
                <w:szCs w:val="24"/>
                <w:highlight w:val="none"/>
                <w:lang w:val="en-US" w:eastAsia="zh-CN"/>
              </w:rPr>
              <w:t>序号7诊椅</w:t>
            </w:r>
            <w:r>
              <w:rPr>
                <w:rFonts w:hint="eastAsia" w:ascii="宋体" w:hAnsi="宋体" w:eastAsia="宋体" w:cs="宋体"/>
                <w:b/>
                <w:bCs/>
                <w:color w:val="000000"/>
                <w:sz w:val="24"/>
                <w:szCs w:val="24"/>
                <w:highlight w:val="none"/>
              </w:rPr>
              <w:t>（样品）</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272" w:type="dxa"/>
            <w:tcBorders>
              <w:top w:val="single" w:color="auto" w:sz="4" w:space="0"/>
              <w:left w:val="single" w:color="auto" w:sz="4" w:space="0"/>
              <w:bottom w:val="single" w:color="auto" w:sz="4" w:space="0"/>
              <w:right w:val="single" w:color="auto" w:sz="4" w:space="0"/>
            </w:tcBorders>
            <w:noWrap w:val="0"/>
            <w:vAlign w:val="center"/>
          </w:tcPr>
          <w:p w14:paraId="692B680A">
            <w:pPr>
              <w:numPr>
                <w:ilvl w:val="0"/>
                <w:numId w:val="0"/>
              </w:numPr>
              <w:rPr>
                <w:rFonts w:hint="eastAsia" w:ascii="宋体" w:hAnsi="宋体" w:eastAsia="宋体" w:cs="宋体"/>
                <w:color w:val="auto"/>
                <w:sz w:val="24"/>
                <w:highlight w:val="none"/>
              </w:rPr>
            </w:pPr>
            <w:r>
              <w:rPr>
                <w:rFonts w:hint="eastAsia" w:ascii="宋体" w:hAnsi="宋体" w:eastAsia="宋体" w:cs="宋体"/>
                <w:kern w:val="0"/>
                <w:sz w:val="24"/>
                <w:szCs w:val="24"/>
                <w:highlight w:val="none"/>
                <w:lang w:val="en-US" w:eastAsia="zh-CN"/>
              </w:rPr>
              <w:t>①材料要求：</w:t>
            </w:r>
            <w:r>
              <w:rPr>
                <w:rFonts w:hint="eastAsia" w:ascii="宋体" w:hAnsi="宋体" w:eastAsia="宋体" w:cs="宋体"/>
                <w:kern w:val="0"/>
                <w:sz w:val="24"/>
                <w:szCs w:val="24"/>
                <w:highlight w:val="none"/>
              </w:rPr>
              <w:t>所选用</w:t>
            </w:r>
            <w:r>
              <w:rPr>
                <w:rFonts w:hint="eastAsia" w:ascii="宋体" w:hAnsi="宋体" w:eastAsia="宋体" w:cs="宋体"/>
                <w:kern w:val="0"/>
                <w:sz w:val="24"/>
                <w:szCs w:val="24"/>
                <w:highlight w:val="none"/>
                <w:lang w:val="en-US" w:eastAsia="zh-CN"/>
              </w:rPr>
              <w:t>木材</w:t>
            </w:r>
            <w:r>
              <w:rPr>
                <w:rFonts w:hint="eastAsia" w:ascii="宋体" w:hAnsi="宋体" w:eastAsia="宋体" w:cs="宋体"/>
                <w:kern w:val="0"/>
                <w:sz w:val="24"/>
                <w:szCs w:val="24"/>
                <w:highlight w:val="none"/>
              </w:rPr>
              <w:t>主要原材料与采购需求一致。</w:t>
            </w:r>
            <w:r>
              <w:rPr>
                <w:rFonts w:hint="eastAsia" w:ascii="宋体" w:hAnsi="宋体" w:eastAsia="宋体" w:cs="宋体"/>
                <w:color w:val="auto"/>
                <w:sz w:val="24"/>
                <w:highlight w:val="none"/>
              </w:rPr>
              <w:t>完全符合招标文件采购清单要求的</w:t>
            </w:r>
            <w:r>
              <w:rPr>
                <w:rFonts w:hint="eastAsia" w:ascii="宋体" w:hAnsi="宋体" w:eastAsia="宋体" w:cs="宋体"/>
                <w:color w:val="auto"/>
                <w:sz w:val="24"/>
                <w:highlight w:val="none"/>
                <w:lang w:val="en-US" w:eastAsia="zh-CN"/>
              </w:rPr>
              <w:t>材质,</w:t>
            </w:r>
            <w:r>
              <w:rPr>
                <w:rFonts w:hint="eastAsia" w:ascii="宋体" w:hAnsi="宋体" w:eastAsia="宋体" w:cs="宋体"/>
                <w:color w:val="auto"/>
                <w:sz w:val="24"/>
                <w:highlight w:val="none"/>
              </w:rPr>
              <w:t>尺寸规格，得1分。</w:t>
            </w:r>
          </w:p>
          <w:p w14:paraId="286DFC44">
            <w:pPr>
              <w:jc w:val="left"/>
              <w:outlineLvl w:val="0"/>
              <w:rPr>
                <w:rFonts w:hint="eastAsia" w:ascii="宋体" w:hAnsi="宋体" w:eastAsia="宋体" w:cs="宋体"/>
                <w:sz w:val="24"/>
                <w:szCs w:val="24"/>
                <w:highlight w:val="none"/>
              </w:rPr>
            </w:pPr>
            <w:r>
              <w:rPr>
                <w:rFonts w:hint="eastAsia" w:ascii="宋体" w:hAnsi="宋体" w:eastAsia="宋体" w:cs="宋体"/>
                <w:color w:val="auto"/>
                <w:sz w:val="24"/>
                <w:highlight w:val="none"/>
              </w:rPr>
              <w:t>不符合招标文件采购清单要求的</w:t>
            </w:r>
            <w:r>
              <w:rPr>
                <w:rFonts w:hint="eastAsia" w:ascii="宋体" w:hAnsi="宋体" w:eastAsia="宋体" w:cs="宋体"/>
                <w:color w:val="auto"/>
                <w:sz w:val="24"/>
                <w:highlight w:val="none"/>
                <w:lang w:val="en-US" w:eastAsia="zh-CN"/>
              </w:rPr>
              <w:t>材质,</w:t>
            </w:r>
            <w:r>
              <w:rPr>
                <w:rFonts w:hint="eastAsia" w:ascii="宋体" w:hAnsi="宋体" w:eastAsia="宋体" w:cs="宋体"/>
                <w:color w:val="auto"/>
                <w:sz w:val="24"/>
                <w:highlight w:val="none"/>
              </w:rPr>
              <w:t>尺寸规格，不得分。</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78784978">
            <w:pPr>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2747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58" w:type="dxa"/>
            <w:vMerge w:val="continue"/>
            <w:tcBorders>
              <w:left w:val="single" w:color="auto" w:sz="4" w:space="0"/>
              <w:right w:val="single" w:color="auto" w:sz="4" w:space="0"/>
            </w:tcBorders>
            <w:noWrap w:val="0"/>
            <w:vAlign w:val="center"/>
          </w:tcPr>
          <w:p w14:paraId="4B61F311">
            <w:pPr>
              <w:jc w:val="center"/>
              <w:outlineLvl w:val="0"/>
              <w:rPr>
                <w:rFonts w:hint="eastAsia" w:ascii="宋体" w:hAnsi="宋体" w:eastAsia="宋体" w:cs="宋体"/>
                <w:sz w:val="24"/>
                <w:szCs w:val="24"/>
                <w:highlight w:val="none"/>
              </w:rPr>
            </w:pPr>
          </w:p>
        </w:tc>
        <w:tc>
          <w:tcPr>
            <w:tcW w:w="1142" w:type="dxa"/>
            <w:vMerge w:val="continue"/>
            <w:tcBorders>
              <w:left w:val="single" w:color="auto" w:sz="4" w:space="0"/>
              <w:right w:val="single" w:color="auto" w:sz="4" w:space="0"/>
            </w:tcBorders>
            <w:noWrap w:val="0"/>
            <w:vAlign w:val="center"/>
          </w:tcPr>
          <w:p w14:paraId="1222E20C">
            <w:pPr>
              <w:jc w:val="left"/>
              <w:outlineLvl w:val="0"/>
              <w:rPr>
                <w:rFonts w:hint="eastAsia" w:ascii="宋体" w:hAnsi="宋体" w:eastAsia="宋体" w:cs="宋体"/>
                <w:sz w:val="24"/>
                <w:szCs w:val="24"/>
                <w:highlight w:val="none"/>
                <w:lang w:val="en-US" w:eastAsia="zh-CN"/>
              </w:rPr>
            </w:pPr>
          </w:p>
        </w:tc>
        <w:tc>
          <w:tcPr>
            <w:tcW w:w="7272" w:type="dxa"/>
            <w:tcBorders>
              <w:top w:val="single" w:color="auto" w:sz="4" w:space="0"/>
              <w:left w:val="single" w:color="auto" w:sz="4" w:space="0"/>
              <w:bottom w:val="single" w:color="auto" w:sz="4" w:space="0"/>
              <w:right w:val="single" w:color="auto" w:sz="4" w:space="0"/>
            </w:tcBorders>
            <w:noWrap w:val="0"/>
            <w:vAlign w:val="center"/>
          </w:tcPr>
          <w:p w14:paraId="47AA7C70">
            <w:pPr>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kern w:val="0"/>
                <w:sz w:val="24"/>
                <w:szCs w:val="24"/>
                <w:highlight w:val="none"/>
              </w:rPr>
              <w:t>产品主要形状</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rPr>
              <w:t>结构、功能、</w:t>
            </w:r>
            <w:r>
              <w:rPr>
                <w:rFonts w:hint="eastAsia" w:ascii="宋体" w:hAnsi="宋体" w:eastAsia="宋体" w:cs="宋体"/>
                <w:sz w:val="24"/>
                <w:szCs w:val="24"/>
                <w:highlight w:val="none"/>
                <w:lang w:val="en-US" w:eastAsia="zh-CN"/>
              </w:rPr>
              <w:t>牢固</w:t>
            </w:r>
            <w:r>
              <w:rPr>
                <w:rFonts w:hint="eastAsia" w:ascii="宋体" w:hAnsi="宋体" w:eastAsia="宋体" w:cs="宋体"/>
                <w:kern w:val="0"/>
                <w:sz w:val="24"/>
                <w:szCs w:val="24"/>
                <w:highlight w:val="none"/>
              </w:rPr>
              <w:t>及位置公差</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明确要求且明示的产品尺寸偏差控制在±</w:t>
            </w:r>
            <w:r>
              <w:rPr>
                <w:rFonts w:hint="eastAsia" w:ascii="宋体" w:hAnsi="宋体" w:eastAsia="宋体" w:cs="宋体"/>
                <w:kern w:val="0"/>
                <w:sz w:val="24"/>
                <w:szCs w:val="24"/>
                <w:highlight w:val="none"/>
                <w:lang w:val="en-US" w:eastAsia="zh-CN"/>
              </w:rPr>
              <w:t>5mm</w:t>
            </w:r>
            <w:r>
              <w:rPr>
                <w:rFonts w:hint="eastAsia" w:ascii="宋体" w:hAnsi="宋体" w:eastAsia="宋体" w:cs="宋体"/>
                <w:kern w:val="0"/>
                <w:sz w:val="24"/>
                <w:szCs w:val="24"/>
                <w:highlight w:val="none"/>
              </w:rPr>
              <w:t>；</w:t>
            </w:r>
          </w:p>
          <w:p w14:paraId="18A3B6C8">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优于招标文件要求，以及结构好、功能性强</w:t>
            </w:r>
            <w:r>
              <w:rPr>
                <w:rFonts w:hint="eastAsia" w:ascii="宋体" w:hAnsi="宋体" w:eastAsia="宋体" w:cs="宋体"/>
                <w:sz w:val="24"/>
                <w:szCs w:val="24"/>
                <w:highlight w:val="none"/>
              </w:rPr>
              <w:t>及牢固度</w:t>
            </w:r>
            <w:r>
              <w:rPr>
                <w:rFonts w:hint="eastAsia" w:ascii="宋体" w:hAnsi="宋体" w:eastAsia="宋体" w:cs="宋体"/>
                <w:color w:val="auto"/>
                <w:sz w:val="24"/>
                <w:highlight w:val="none"/>
              </w:rPr>
              <w:t>稳定性好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1分；</w:t>
            </w:r>
          </w:p>
          <w:p w14:paraId="056AA118">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符合招标文件要求，以及结构功能性、</w:t>
            </w:r>
            <w:r>
              <w:rPr>
                <w:rFonts w:hint="eastAsia" w:ascii="宋体" w:hAnsi="宋体" w:eastAsia="宋体" w:cs="宋体"/>
                <w:sz w:val="24"/>
                <w:szCs w:val="24"/>
                <w:highlight w:val="none"/>
              </w:rPr>
              <w:t>牢固度</w:t>
            </w:r>
            <w:r>
              <w:rPr>
                <w:rFonts w:hint="eastAsia" w:ascii="宋体" w:hAnsi="宋体" w:eastAsia="宋体" w:cs="宋体"/>
                <w:color w:val="auto"/>
                <w:sz w:val="24"/>
                <w:highlight w:val="none"/>
              </w:rPr>
              <w:t>稳定性，得</w:t>
            </w:r>
            <w:r>
              <w:rPr>
                <w:rFonts w:hint="eastAsia" w:ascii="宋体" w:hAnsi="宋体" w:eastAsia="宋体" w:cs="宋体"/>
                <w:color w:val="auto"/>
                <w:sz w:val="24"/>
                <w:highlight w:val="none"/>
                <w:lang w:val="en-US" w:eastAsia="zh-CN"/>
              </w:rPr>
              <w:t>0.5分；</w:t>
            </w:r>
          </w:p>
          <w:p w14:paraId="0E1E1C8E">
            <w:pPr>
              <w:jc w:val="left"/>
              <w:outlineLvl w:val="0"/>
              <w:rPr>
                <w:rFonts w:hint="eastAsia" w:ascii="宋体" w:hAnsi="宋体" w:eastAsia="宋体" w:cs="宋体"/>
                <w:sz w:val="24"/>
                <w:szCs w:val="24"/>
                <w:highlight w:val="none"/>
                <w:lang w:val="en-US" w:eastAsia="zh-CN"/>
              </w:rPr>
            </w:pPr>
            <w:r>
              <w:rPr>
                <w:rFonts w:hint="eastAsia" w:ascii="宋体" w:hAnsi="宋体" w:eastAsia="宋体" w:cs="宋体"/>
                <w:color w:val="auto"/>
                <w:sz w:val="24"/>
                <w:highlight w:val="none"/>
              </w:rPr>
              <w:t>外观存在严重缺陷或影响美观的，稳定性差，存在严重晃动或倾斜的，不得分。</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61F0AF01">
            <w:pPr>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5480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558" w:type="dxa"/>
            <w:vMerge w:val="continue"/>
            <w:tcBorders>
              <w:left w:val="single" w:color="auto" w:sz="4" w:space="0"/>
              <w:right w:val="single" w:color="auto" w:sz="4" w:space="0"/>
            </w:tcBorders>
            <w:noWrap w:val="0"/>
            <w:vAlign w:val="center"/>
          </w:tcPr>
          <w:p w14:paraId="3107B442">
            <w:pPr>
              <w:jc w:val="center"/>
              <w:outlineLvl w:val="0"/>
              <w:rPr>
                <w:rFonts w:hint="eastAsia" w:ascii="宋体" w:hAnsi="宋体" w:eastAsia="宋体" w:cs="宋体"/>
                <w:sz w:val="24"/>
                <w:szCs w:val="24"/>
                <w:highlight w:val="none"/>
              </w:rPr>
            </w:pPr>
          </w:p>
        </w:tc>
        <w:tc>
          <w:tcPr>
            <w:tcW w:w="1142" w:type="dxa"/>
            <w:vMerge w:val="continue"/>
            <w:tcBorders>
              <w:left w:val="single" w:color="auto" w:sz="4" w:space="0"/>
              <w:right w:val="single" w:color="auto" w:sz="4" w:space="0"/>
            </w:tcBorders>
            <w:noWrap w:val="0"/>
            <w:vAlign w:val="center"/>
          </w:tcPr>
          <w:p w14:paraId="46A2D26C">
            <w:pPr>
              <w:jc w:val="left"/>
              <w:outlineLvl w:val="0"/>
              <w:rPr>
                <w:rFonts w:hint="eastAsia" w:ascii="宋体" w:hAnsi="宋体" w:eastAsia="宋体" w:cs="宋体"/>
                <w:sz w:val="24"/>
                <w:szCs w:val="24"/>
                <w:highlight w:val="none"/>
                <w:lang w:val="en-US" w:eastAsia="zh-CN"/>
              </w:rPr>
            </w:pPr>
          </w:p>
        </w:tc>
        <w:tc>
          <w:tcPr>
            <w:tcW w:w="7272" w:type="dxa"/>
            <w:tcBorders>
              <w:top w:val="single" w:color="auto" w:sz="4" w:space="0"/>
              <w:left w:val="single" w:color="auto" w:sz="4" w:space="0"/>
              <w:bottom w:val="single" w:color="auto" w:sz="4" w:space="0"/>
              <w:right w:val="single" w:color="auto" w:sz="4" w:space="0"/>
            </w:tcBorders>
            <w:noWrap w:val="0"/>
            <w:vAlign w:val="center"/>
          </w:tcPr>
          <w:p w14:paraId="4DD4AF69">
            <w:pPr>
              <w:keepNext w:val="0"/>
              <w:keepLines w:val="0"/>
              <w:pageBreakBefore w:val="0"/>
              <w:widowControl w:val="0"/>
              <w:numPr>
                <w:ilvl w:val="0"/>
                <w:numId w:val="0"/>
              </w:numPr>
              <w:tabs>
                <w:tab w:val="left" w:pos="773"/>
              </w:tabs>
              <w:kinsoku/>
              <w:wordWrap/>
              <w:overflowPunct/>
              <w:topLinePunct w:val="0"/>
              <w:autoSpaceDE/>
              <w:autoSpaceDN/>
              <w:bidi w:val="0"/>
              <w:adjustRightInd/>
              <w:snapToGrid/>
              <w:spacing w:before="2" w:line="240" w:lineRule="auto"/>
              <w:ind w:right="641" w:right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③</w:t>
            </w:r>
            <w:r>
              <w:rPr>
                <w:rFonts w:hint="eastAsia" w:ascii="宋体" w:hAnsi="宋体" w:eastAsia="宋体" w:cs="宋体"/>
                <w:kern w:val="0"/>
                <w:sz w:val="24"/>
                <w:szCs w:val="24"/>
                <w:highlight w:val="none"/>
              </w:rPr>
              <w:t>制作工艺</w:t>
            </w:r>
            <w:r>
              <w:rPr>
                <w:rFonts w:hint="eastAsia" w:ascii="宋体" w:hAnsi="宋体" w:eastAsia="宋体" w:cs="宋体"/>
                <w:kern w:val="0"/>
                <w:sz w:val="24"/>
                <w:szCs w:val="24"/>
                <w:highlight w:val="none"/>
                <w:lang w:val="en-US" w:eastAsia="zh-CN"/>
              </w:rPr>
              <w:t>:</w:t>
            </w:r>
          </w:p>
          <w:p w14:paraId="0A510B98">
            <w:pPr>
              <w:keepNext w:val="0"/>
              <w:keepLines w:val="0"/>
              <w:pageBreakBefore w:val="0"/>
              <w:widowControl w:val="0"/>
              <w:numPr>
                <w:ilvl w:val="0"/>
                <w:numId w:val="0"/>
              </w:numPr>
              <w:tabs>
                <w:tab w:val="left" w:pos="773"/>
              </w:tabs>
              <w:kinsoku/>
              <w:wordWrap/>
              <w:overflowPunct/>
              <w:topLinePunct w:val="0"/>
              <w:autoSpaceDE/>
              <w:autoSpaceDN/>
              <w:bidi w:val="0"/>
              <w:adjustRightInd/>
              <w:snapToGrid/>
              <w:spacing w:before="2" w:line="240" w:lineRule="auto"/>
              <w:ind w:right="641" w:right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1.木材、部件在接触人体或贮物部位不应有毛刺、刃口或棱角的得0.5分，否则不得分</w:t>
            </w:r>
          </w:p>
          <w:p w14:paraId="4F3556D2">
            <w:pPr>
              <w:keepNext w:val="0"/>
              <w:keepLines w:val="0"/>
              <w:pageBreakBefore w:val="0"/>
              <w:widowControl w:val="0"/>
              <w:numPr>
                <w:ilvl w:val="0"/>
                <w:numId w:val="0"/>
              </w:numPr>
              <w:tabs>
                <w:tab w:val="left" w:pos="773"/>
              </w:tabs>
              <w:kinsoku/>
              <w:wordWrap/>
              <w:overflowPunct/>
              <w:topLinePunct w:val="0"/>
              <w:autoSpaceDE/>
              <w:autoSpaceDN/>
              <w:bidi w:val="0"/>
              <w:adjustRightInd/>
              <w:snapToGrid/>
              <w:spacing w:before="2" w:line="240" w:lineRule="auto"/>
              <w:ind w:right="641" w:rightChars="0"/>
              <w:jc w:val="left"/>
              <w:textAlignment w:val="auto"/>
              <w:rPr>
                <w:rFonts w:hint="eastAsia" w:ascii="宋体" w:hAnsi="宋体" w:eastAsia="宋体" w:cs="宋体"/>
                <w:highlight w:val="none"/>
                <w:lang w:val="en-US" w:eastAsia="zh-CN"/>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是否散发异味情况</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0.5分</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无异味的得0.5分，</w:t>
            </w:r>
            <w:r>
              <w:rPr>
                <w:rFonts w:hint="eastAsia" w:ascii="宋体" w:hAnsi="宋体" w:eastAsia="宋体" w:cs="宋体"/>
                <w:b w:val="0"/>
                <w:bCs w:val="0"/>
                <w:kern w:val="0"/>
                <w:sz w:val="24"/>
                <w:szCs w:val="24"/>
                <w:highlight w:val="none"/>
                <w:lang w:val="en-US" w:eastAsia="zh-CN"/>
              </w:rPr>
              <w:t>否则不得分</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11DFB786">
            <w:pPr>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14:paraId="59A7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8" w:hRule="atLeast"/>
          <w:jc w:val="center"/>
        </w:trPr>
        <w:tc>
          <w:tcPr>
            <w:tcW w:w="558" w:type="dxa"/>
            <w:vMerge w:val="continue"/>
            <w:tcBorders>
              <w:left w:val="single" w:color="auto" w:sz="4" w:space="0"/>
              <w:right w:val="single" w:color="auto" w:sz="4" w:space="0"/>
            </w:tcBorders>
            <w:noWrap w:val="0"/>
            <w:vAlign w:val="center"/>
          </w:tcPr>
          <w:p w14:paraId="5727241A">
            <w:pPr>
              <w:jc w:val="center"/>
              <w:outlineLvl w:val="0"/>
              <w:rPr>
                <w:rFonts w:hint="eastAsia" w:ascii="宋体" w:hAnsi="宋体" w:eastAsia="宋体" w:cs="宋体"/>
                <w:sz w:val="24"/>
                <w:szCs w:val="24"/>
                <w:highlight w:val="none"/>
              </w:rPr>
            </w:pPr>
          </w:p>
        </w:tc>
        <w:tc>
          <w:tcPr>
            <w:tcW w:w="1142" w:type="dxa"/>
            <w:vMerge w:val="continue"/>
            <w:tcBorders>
              <w:left w:val="single" w:color="auto" w:sz="4" w:space="0"/>
              <w:right w:val="single" w:color="auto" w:sz="4" w:space="0"/>
            </w:tcBorders>
            <w:noWrap w:val="0"/>
            <w:vAlign w:val="center"/>
          </w:tcPr>
          <w:p w14:paraId="242BDAF8">
            <w:pPr>
              <w:jc w:val="left"/>
              <w:outlineLvl w:val="0"/>
              <w:rPr>
                <w:rFonts w:hint="eastAsia" w:ascii="宋体" w:hAnsi="宋体" w:eastAsia="宋体" w:cs="宋体"/>
                <w:sz w:val="24"/>
                <w:szCs w:val="24"/>
                <w:highlight w:val="none"/>
                <w:lang w:val="en-US" w:eastAsia="zh-CN"/>
              </w:rPr>
            </w:pPr>
          </w:p>
        </w:tc>
        <w:tc>
          <w:tcPr>
            <w:tcW w:w="7272" w:type="dxa"/>
            <w:tcBorders>
              <w:top w:val="single" w:color="auto" w:sz="4" w:space="0"/>
              <w:left w:val="single" w:color="auto" w:sz="4" w:space="0"/>
              <w:bottom w:val="single" w:color="auto" w:sz="4" w:space="0"/>
              <w:right w:val="single" w:color="auto" w:sz="4" w:space="0"/>
            </w:tcBorders>
            <w:noWrap w:val="0"/>
            <w:vAlign w:val="center"/>
          </w:tcPr>
          <w:p w14:paraId="04F92260">
            <w:pPr>
              <w:numPr>
                <w:ilvl w:val="0"/>
                <w:numId w:val="0"/>
              </w:numPr>
              <w:adjustRightInd/>
              <w:spacing w:line="260" w:lineRule="exact"/>
              <w:ind w:leftChars="0"/>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④其他：</w:t>
            </w:r>
          </w:p>
          <w:p w14:paraId="7C7AE621">
            <w:pPr>
              <w:adjustRightInd/>
              <w:spacing w:line="2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每偏离一个参数指标扣0.2分，扣完为止。</w:t>
            </w:r>
          </w:p>
          <w:p w14:paraId="067B61B3">
            <w:pPr>
              <w:adjustRightInd/>
              <w:spacing w:line="2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)应无贯通裂缝；</w:t>
            </w:r>
          </w:p>
          <w:p w14:paraId="114B9DCB">
            <w:pPr>
              <w:adjustRightInd/>
              <w:spacing w:line="2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 xml:space="preserve">)外表应无腐朽材； </w:t>
            </w:r>
          </w:p>
          <w:p w14:paraId="0DA4FD92">
            <w:pPr>
              <w:adjustRightInd/>
              <w:spacing w:line="2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)结合处应无崩茬；</w:t>
            </w:r>
          </w:p>
          <w:p w14:paraId="34C735D4">
            <w:pPr>
              <w:adjustRightInd/>
              <w:spacing w:line="2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)外表应无干花、湿花；</w:t>
            </w:r>
          </w:p>
          <w:p w14:paraId="66585F13">
            <w:pPr>
              <w:adjustRightInd/>
              <w:spacing w:line="2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)外表应无明显划痕、压痕；</w:t>
            </w:r>
          </w:p>
          <w:p w14:paraId="0B4D634D">
            <w:pPr>
              <w:adjustRightInd/>
              <w:spacing w:line="2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)表面应无明显色差；</w:t>
            </w:r>
          </w:p>
          <w:p w14:paraId="64D663B8">
            <w:pPr>
              <w:adjustRightInd/>
              <w:spacing w:line="2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)外表应无鼓泡、龟裂、分层。</w:t>
            </w:r>
          </w:p>
          <w:p w14:paraId="413A7239">
            <w:pPr>
              <w:adjustRightInd/>
              <w:spacing w:line="2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)应无褪色、掉色现象；</w:t>
            </w:r>
          </w:p>
          <w:p w14:paraId="6F9B5C70">
            <w:pPr>
              <w:adjustRightInd/>
              <w:spacing w:line="2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)涂层应平整光滑、清晰、无明显粒子、涨边现象；</w:t>
            </w:r>
          </w:p>
          <w:p w14:paraId="76BE2385">
            <w:pPr>
              <w:pStyle w:val="344"/>
              <w:keepNext w:val="0"/>
              <w:keepLines w:val="0"/>
              <w:pageBreakBefore w:val="0"/>
              <w:widowControl/>
              <w:kinsoku w:val="0"/>
              <w:wordWrap/>
              <w:overflowPunct/>
              <w:topLinePunct w:val="0"/>
              <w:autoSpaceDE w:val="0"/>
              <w:autoSpaceDN w:val="0"/>
              <w:bidi w:val="0"/>
              <w:adjustRightInd w:val="0"/>
              <w:snapToGrid w:val="0"/>
              <w:spacing w:before="5" w:line="227" w:lineRule="auto"/>
              <w:ind w:right="57"/>
              <w:textAlignment w:val="baseline"/>
              <w:rPr>
                <w:rFonts w:hint="eastAsia" w:ascii="宋体" w:hAnsi="宋体" w:eastAsia="宋体" w:cs="宋体"/>
                <w:color w:val="auto"/>
                <w:spacing w:val="5"/>
                <w:sz w:val="22"/>
                <w:szCs w:val="22"/>
                <w:highlight w:val="none"/>
                <w:lang w:eastAsia="zh-CN"/>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w:t>
            </w:r>
            <w:r>
              <w:rPr>
                <w:rFonts w:hint="eastAsia" w:ascii="宋体" w:hAnsi="宋体" w:eastAsia="宋体" w:cs="宋体"/>
                <w:color w:val="auto"/>
                <w:spacing w:val="5"/>
                <w:sz w:val="22"/>
                <w:szCs w:val="22"/>
                <w:highlight w:val="none"/>
              </w:rPr>
              <w:t>板件或部件的外表应光滑，倒棱、圆角、圆线应均匀</w:t>
            </w:r>
            <w:r>
              <w:rPr>
                <w:rFonts w:hint="eastAsia" w:ascii="宋体" w:hAnsi="宋体" w:cs="宋体"/>
                <w:color w:val="auto"/>
                <w:spacing w:val="5"/>
                <w:sz w:val="22"/>
                <w:szCs w:val="22"/>
                <w:highlight w:val="none"/>
                <w:lang w:eastAsia="zh-CN"/>
              </w:rPr>
              <w:t>。</w:t>
            </w:r>
          </w:p>
          <w:p w14:paraId="4ED01615">
            <w:pPr>
              <w:jc w:val="left"/>
              <w:outlineLvl w:val="0"/>
              <w:rPr>
                <w:rFonts w:hint="eastAsia" w:ascii="宋体" w:hAnsi="宋体" w:eastAsia="宋体" w:cs="宋体"/>
                <w:sz w:val="24"/>
                <w:szCs w:val="24"/>
                <w:highlight w:val="none"/>
                <w:lang w:val="en-US" w:eastAsia="zh-CN"/>
              </w:rPr>
            </w:pPr>
          </w:p>
        </w:tc>
        <w:tc>
          <w:tcPr>
            <w:tcW w:w="896" w:type="dxa"/>
            <w:tcBorders>
              <w:top w:val="single" w:color="auto" w:sz="4" w:space="0"/>
              <w:left w:val="single" w:color="auto" w:sz="4" w:space="0"/>
              <w:bottom w:val="single" w:color="auto" w:sz="4" w:space="0"/>
              <w:right w:val="single" w:color="auto" w:sz="4" w:space="0"/>
            </w:tcBorders>
            <w:noWrap w:val="0"/>
            <w:vAlign w:val="center"/>
          </w:tcPr>
          <w:p w14:paraId="01BB2BCA">
            <w:pPr>
              <w:jc w:val="cente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bl>
    <w:p w14:paraId="1822A7EF">
      <w:pPr>
        <w:pStyle w:val="25"/>
        <w:rPr>
          <w:rFonts w:hint="eastAsia" w:ascii="宋体" w:hAnsi="宋体" w:eastAsia="宋体" w:cs="宋体"/>
          <w:highlight w:val="none"/>
        </w:rPr>
      </w:pPr>
    </w:p>
    <w:p w14:paraId="31169A43">
      <w:pPr>
        <w:pStyle w:val="25"/>
        <w:ind w:left="0" w:leftChars="0" w:firstLine="0" w:firstLineChars="0"/>
        <w:rPr>
          <w:rFonts w:hint="eastAsia" w:ascii="宋体" w:hAnsi="宋体" w:eastAsia="宋体" w:cs="宋体"/>
          <w:highlight w:val="none"/>
          <w:lang w:val="en-US" w:eastAsia="zh-CN"/>
        </w:rPr>
      </w:pPr>
      <w:r>
        <w:rPr>
          <w:rFonts w:hint="eastAsia" w:ascii="宋体" w:hAnsi="宋体" w:eastAsia="宋体" w:cs="宋体"/>
          <w:b/>
          <w:kern w:val="0"/>
          <w:sz w:val="24"/>
          <w:highlight w:val="none"/>
        </w:rPr>
        <w:t>样品</w:t>
      </w:r>
      <w:r>
        <w:rPr>
          <w:rFonts w:hint="eastAsia" w:ascii="宋体" w:hAnsi="宋体" w:eastAsia="宋体" w:cs="宋体"/>
          <w:b/>
          <w:kern w:val="0"/>
          <w:sz w:val="24"/>
          <w:highlight w:val="none"/>
          <w:lang w:val="en-US" w:eastAsia="zh-CN"/>
        </w:rPr>
        <w:t>清单</w:t>
      </w:r>
    </w:p>
    <w:p w14:paraId="661BE876">
      <w:pPr>
        <w:pStyle w:val="26"/>
        <w:rPr>
          <w:rFonts w:hint="eastAsia" w:ascii="宋体" w:hAnsi="宋体" w:eastAsia="宋体" w:cs="宋体"/>
          <w:highlight w:val="none"/>
          <w:lang w:val="en-US" w:eastAsia="zh-CN"/>
        </w:rPr>
      </w:pPr>
    </w:p>
    <w:tbl>
      <w:tblPr>
        <w:tblStyle w:val="63"/>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800"/>
        <w:gridCol w:w="1800"/>
        <w:gridCol w:w="3288"/>
        <w:gridCol w:w="1770"/>
      </w:tblGrid>
      <w:tr w14:paraId="7858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0" w:hRule="atLeast"/>
          <w:jc w:val="center"/>
        </w:trPr>
        <w:tc>
          <w:tcPr>
            <w:tcW w:w="1219" w:type="dxa"/>
            <w:tcBorders>
              <w:top w:val="single" w:color="auto" w:sz="4" w:space="0"/>
              <w:left w:val="single" w:color="auto" w:sz="4" w:space="0"/>
              <w:bottom w:val="single" w:color="auto" w:sz="4" w:space="0"/>
              <w:right w:val="single" w:color="auto" w:sz="4" w:space="0"/>
            </w:tcBorders>
            <w:noWrap w:val="0"/>
            <w:vAlign w:val="center"/>
          </w:tcPr>
          <w:p w14:paraId="1B0DD9FF">
            <w:pPr>
              <w:adjustRightInd/>
              <w:jc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序号</w:t>
            </w:r>
          </w:p>
        </w:tc>
        <w:tc>
          <w:tcPr>
            <w:tcW w:w="1800" w:type="dxa"/>
            <w:tcBorders>
              <w:top w:val="single" w:color="auto" w:sz="4" w:space="0"/>
              <w:left w:val="nil"/>
              <w:bottom w:val="single" w:color="auto" w:sz="4" w:space="0"/>
              <w:right w:val="single" w:color="auto" w:sz="4" w:space="0"/>
            </w:tcBorders>
            <w:noWrap w:val="0"/>
            <w:vAlign w:val="center"/>
          </w:tcPr>
          <w:p w14:paraId="5BE9C5F6">
            <w:pPr>
              <w:adjustRightInd/>
              <w:jc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图片</w:t>
            </w:r>
          </w:p>
        </w:tc>
        <w:tc>
          <w:tcPr>
            <w:tcW w:w="1800" w:type="dxa"/>
            <w:tcBorders>
              <w:top w:val="single" w:color="auto" w:sz="4" w:space="0"/>
              <w:left w:val="nil"/>
              <w:bottom w:val="single" w:color="auto" w:sz="4" w:space="0"/>
              <w:right w:val="single" w:color="auto" w:sz="4" w:space="0"/>
            </w:tcBorders>
            <w:noWrap w:val="0"/>
            <w:vAlign w:val="center"/>
          </w:tcPr>
          <w:p w14:paraId="6608455C">
            <w:pPr>
              <w:adjustRightInd/>
              <w:jc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名称</w:t>
            </w:r>
          </w:p>
        </w:tc>
        <w:tc>
          <w:tcPr>
            <w:tcW w:w="3288" w:type="dxa"/>
            <w:tcBorders>
              <w:top w:val="single" w:color="auto" w:sz="4" w:space="0"/>
              <w:left w:val="nil"/>
              <w:bottom w:val="single" w:color="auto" w:sz="4" w:space="0"/>
              <w:right w:val="single" w:color="auto" w:sz="4" w:space="0"/>
            </w:tcBorders>
            <w:noWrap w:val="0"/>
            <w:vAlign w:val="center"/>
          </w:tcPr>
          <w:p w14:paraId="5FCE0415">
            <w:pPr>
              <w:tabs>
                <w:tab w:val="left" w:pos="773"/>
              </w:tabs>
              <w:adjustRightInd/>
              <w:spacing w:before="2" w:line="232" w:lineRule="auto"/>
              <w:ind w:right="639"/>
              <w:jc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规格</w:t>
            </w:r>
            <w:r>
              <w:rPr>
                <w:rFonts w:hint="eastAsia" w:ascii="宋体" w:hAnsi="宋体" w:eastAsia="宋体" w:cs="宋体"/>
                <w:kern w:val="0"/>
                <w:sz w:val="24"/>
                <w:highlight w:val="none"/>
                <w:lang w:val="en-US" w:eastAsia="zh-CN"/>
              </w:rPr>
              <w:t>（±5mm）</w:t>
            </w:r>
          </w:p>
        </w:tc>
        <w:tc>
          <w:tcPr>
            <w:tcW w:w="1770" w:type="dxa"/>
            <w:tcBorders>
              <w:top w:val="single" w:color="auto" w:sz="4" w:space="0"/>
              <w:left w:val="nil"/>
              <w:bottom w:val="single" w:color="auto" w:sz="4" w:space="0"/>
              <w:right w:val="single" w:color="auto" w:sz="4" w:space="0"/>
            </w:tcBorders>
            <w:noWrap w:val="0"/>
            <w:vAlign w:val="center"/>
          </w:tcPr>
          <w:p w14:paraId="70E0B282">
            <w:pPr>
              <w:tabs>
                <w:tab w:val="left" w:pos="773"/>
              </w:tabs>
              <w:adjustRightInd/>
              <w:spacing w:before="2" w:line="232" w:lineRule="auto"/>
              <w:ind w:right="639"/>
              <w:jc w:val="center"/>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数量</w:t>
            </w:r>
          </w:p>
        </w:tc>
      </w:tr>
      <w:tr w14:paraId="205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219" w:type="dxa"/>
            <w:tcBorders>
              <w:top w:val="single" w:color="auto" w:sz="4" w:space="0"/>
              <w:left w:val="single" w:color="auto" w:sz="4" w:space="0"/>
              <w:bottom w:val="single" w:color="auto" w:sz="4" w:space="0"/>
              <w:right w:val="single" w:color="auto" w:sz="4" w:space="0"/>
            </w:tcBorders>
            <w:noWrap w:val="0"/>
            <w:vAlign w:val="center"/>
          </w:tcPr>
          <w:p w14:paraId="15A35550">
            <w:pPr>
              <w:adjustRightInd/>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采购清单序号12</w:t>
            </w:r>
          </w:p>
        </w:tc>
        <w:tc>
          <w:tcPr>
            <w:tcW w:w="1800" w:type="dxa"/>
            <w:tcBorders>
              <w:top w:val="single" w:color="auto" w:sz="4" w:space="0"/>
              <w:left w:val="nil"/>
              <w:bottom w:val="single" w:color="auto" w:sz="4" w:space="0"/>
              <w:right w:val="single" w:color="auto" w:sz="4" w:space="0"/>
            </w:tcBorders>
            <w:noWrap w:val="0"/>
            <w:vAlign w:val="center"/>
          </w:tcPr>
          <w:p w14:paraId="69E99529">
            <w:pPr>
              <w:adjustRightInd/>
              <w:jc w:val="center"/>
              <w:rPr>
                <w:rFonts w:hint="eastAsia" w:ascii="宋体" w:hAnsi="宋体" w:eastAsia="宋体" w:cs="宋体"/>
                <w:kern w:val="0"/>
                <w:sz w:val="24"/>
                <w:highlight w:val="none"/>
                <w:lang w:val="en-US" w:eastAsia="zh-CN"/>
              </w:rPr>
            </w:pPr>
            <w:r>
              <w:rPr>
                <w:rFonts w:hint="eastAsia" w:ascii="宋体" w:hAnsi="宋体" w:eastAsia="宋体" w:cs="宋体"/>
                <w:i w:val="0"/>
                <w:iCs w:val="0"/>
                <w:color w:val="auto"/>
                <w:sz w:val="24"/>
                <w:szCs w:val="24"/>
                <w:highlight w:val="none"/>
                <w:u w:val="none"/>
                <w:lang w:eastAsia="zh-CN"/>
              </w:rPr>
              <w:drawing>
                <wp:inline distT="0" distB="0" distL="114300" distR="114300">
                  <wp:extent cx="520700" cy="713740"/>
                  <wp:effectExtent l="0" t="0" r="12700" b="10160"/>
                  <wp:docPr id="38" name="图片 38" descr="174435514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744355143774"/>
                          <pic:cNvPicPr>
                            <a:picLocks noChangeAspect="1"/>
                          </pic:cNvPicPr>
                        </pic:nvPicPr>
                        <pic:blipFill>
                          <a:blip r:embed="rId20"/>
                          <a:stretch>
                            <a:fillRect/>
                          </a:stretch>
                        </pic:blipFill>
                        <pic:spPr>
                          <a:xfrm>
                            <a:off x="0" y="0"/>
                            <a:ext cx="520700" cy="713740"/>
                          </a:xfrm>
                          <a:prstGeom prst="rect">
                            <a:avLst/>
                          </a:prstGeom>
                        </pic:spPr>
                      </pic:pic>
                    </a:graphicData>
                  </a:graphic>
                </wp:inline>
              </w:drawing>
            </w:r>
          </w:p>
        </w:tc>
        <w:tc>
          <w:tcPr>
            <w:tcW w:w="1800" w:type="dxa"/>
            <w:tcBorders>
              <w:top w:val="single" w:color="auto" w:sz="4" w:space="0"/>
              <w:left w:val="nil"/>
              <w:bottom w:val="single" w:color="auto" w:sz="4" w:space="0"/>
              <w:right w:val="single" w:color="auto" w:sz="4" w:space="0"/>
            </w:tcBorders>
            <w:noWrap w:val="0"/>
            <w:vAlign w:val="center"/>
          </w:tcPr>
          <w:p w14:paraId="12B59862">
            <w:pPr>
              <w:adjustRightInd/>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办公椅</w:t>
            </w:r>
          </w:p>
        </w:tc>
        <w:tc>
          <w:tcPr>
            <w:tcW w:w="3288" w:type="dxa"/>
            <w:tcBorders>
              <w:top w:val="single" w:color="auto" w:sz="4" w:space="0"/>
              <w:left w:val="nil"/>
              <w:bottom w:val="single" w:color="auto" w:sz="4" w:space="0"/>
              <w:right w:val="single" w:color="auto" w:sz="4" w:space="0"/>
            </w:tcBorders>
            <w:noWrap w:val="0"/>
            <w:vAlign w:val="center"/>
          </w:tcPr>
          <w:p w14:paraId="6CC0364A">
            <w:pPr>
              <w:tabs>
                <w:tab w:val="left" w:pos="773"/>
              </w:tabs>
              <w:adjustRightInd/>
              <w:spacing w:before="2" w:line="232" w:lineRule="auto"/>
              <w:ind w:right="639"/>
              <w:jc w:val="center"/>
              <w:rPr>
                <w:rFonts w:hint="eastAsia" w:ascii="宋体" w:hAnsi="宋体" w:eastAsia="宋体" w:cs="宋体"/>
                <w:kern w:val="0"/>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650*590*（1060-1160）</w:t>
            </w:r>
          </w:p>
        </w:tc>
        <w:tc>
          <w:tcPr>
            <w:tcW w:w="1770" w:type="dxa"/>
            <w:tcBorders>
              <w:top w:val="single" w:color="auto" w:sz="4" w:space="0"/>
              <w:left w:val="nil"/>
              <w:bottom w:val="single" w:color="auto" w:sz="4" w:space="0"/>
              <w:right w:val="single" w:color="auto" w:sz="4" w:space="0"/>
            </w:tcBorders>
            <w:noWrap w:val="0"/>
            <w:vAlign w:val="center"/>
          </w:tcPr>
          <w:p w14:paraId="5E0E1789">
            <w:pPr>
              <w:tabs>
                <w:tab w:val="left" w:pos="773"/>
              </w:tabs>
              <w:adjustRightInd/>
              <w:spacing w:before="2" w:line="232" w:lineRule="auto"/>
              <w:ind w:right="639"/>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1把</w:t>
            </w:r>
          </w:p>
        </w:tc>
      </w:tr>
      <w:tr w14:paraId="4310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219" w:type="dxa"/>
            <w:tcBorders>
              <w:top w:val="single" w:color="auto" w:sz="4" w:space="0"/>
              <w:left w:val="single" w:color="auto" w:sz="4" w:space="0"/>
              <w:bottom w:val="single" w:color="auto" w:sz="4" w:space="0"/>
              <w:right w:val="single" w:color="auto" w:sz="4" w:space="0"/>
            </w:tcBorders>
            <w:noWrap w:val="0"/>
            <w:vAlign w:val="center"/>
          </w:tcPr>
          <w:p w14:paraId="60180E2C">
            <w:pPr>
              <w:adjustRightInd/>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采购清单序号7</w:t>
            </w:r>
          </w:p>
        </w:tc>
        <w:tc>
          <w:tcPr>
            <w:tcW w:w="1800" w:type="dxa"/>
            <w:tcBorders>
              <w:top w:val="single" w:color="auto" w:sz="4" w:space="0"/>
              <w:left w:val="nil"/>
              <w:bottom w:val="single" w:color="auto" w:sz="4" w:space="0"/>
              <w:right w:val="single" w:color="auto" w:sz="4" w:space="0"/>
            </w:tcBorders>
            <w:noWrap w:val="0"/>
            <w:vAlign w:val="center"/>
          </w:tcPr>
          <w:p w14:paraId="1A439C71">
            <w:pPr>
              <w:adjustRightInd/>
              <w:jc w:val="center"/>
              <w:rPr>
                <w:rFonts w:hint="eastAsia" w:ascii="宋体" w:hAnsi="宋体" w:eastAsia="宋体" w:cs="宋体"/>
                <w:kern w:val="0"/>
                <w:sz w:val="24"/>
                <w:highlight w:val="none"/>
                <w:lang w:val="en-US" w:eastAsia="zh-CN"/>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270510</wp:posOffset>
                  </wp:positionH>
                  <wp:positionV relativeFrom="paragraph">
                    <wp:posOffset>-13970</wp:posOffset>
                  </wp:positionV>
                  <wp:extent cx="243205" cy="455930"/>
                  <wp:effectExtent l="0" t="0" r="4445" b="1270"/>
                  <wp:wrapNone/>
                  <wp:docPr id="39" name="图片_2"/>
                  <wp:cNvGraphicFramePr/>
                  <a:graphic xmlns:a="http://schemas.openxmlformats.org/drawingml/2006/main">
                    <a:graphicData uri="http://schemas.openxmlformats.org/drawingml/2006/picture">
                      <pic:pic xmlns:pic="http://schemas.openxmlformats.org/drawingml/2006/picture">
                        <pic:nvPicPr>
                          <pic:cNvPr id="39" name="图片_2"/>
                          <pic:cNvPicPr/>
                        </pic:nvPicPr>
                        <pic:blipFill>
                          <a:blip r:embed="rId25"/>
                          <a:stretch>
                            <a:fillRect/>
                          </a:stretch>
                        </pic:blipFill>
                        <pic:spPr>
                          <a:xfrm>
                            <a:off x="0" y="0"/>
                            <a:ext cx="243205" cy="455930"/>
                          </a:xfrm>
                          <a:prstGeom prst="rect">
                            <a:avLst/>
                          </a:prstGeom>
                          <a:noFill/>
                          <a:ln>
                            <a:noFill/>
                          </a:ln>
                        </pic:spPr>
                      </pic:pic>
                    </a:graphicData>
                  </a:graphic>
                </wp:anchor>
              </w:drawing>
            </w:r>
          </w:p>
        </w:tc>
        <w:tc>
          <w:tcPr>
            <w:tcW w:w="1800" w:type="dxa"/>
            <w:tcBorders>
              <w:top w:val="single" w:color="auto" w:sz="4" w:space="0"/>
              <w:left w:val="nil"/>
              <w:bottom w:val="single" w:color="auto" w:sz="4" w:space="0"/>
              <w:right w:val="single" w:color="auto" w:sz="4" w:space="0"/>
            </w:tcBorders>
            <w:noWrap w:val="0"/>
            <w:vAlign w:val="center"/>
          </w:tcPr>
          <w:p w14:paraId="0EB4E6C0">
            <w:pPr>
              <w:adjustRightInd/>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诊椅</w:t>
            </w:r>
          </w:p>
        </w:tc>
        <w:tc>
          <w:tcPr>
            <w:tcW w:w="3288" w:type="dxa"/>
            <w:tcBorders>
              <w:top w:val="single" w:color="auto" w:sz="4" w:space="0"/>
              <w:left w:val="nil"/>
              <w:bottom w:val="single" w:color="auto" w:sz="4" w:space="0"/>
              <w:right w:val="single" w:color="auto" w:sz="4" w:space="0"/>
            </w:tcBorders>
            <w:noWrap w:val="0"/>
            <w:vAlign w:val="center"/>
          </w:tcPr>
          <w:p w14:paraId="09F46FB7">
            <w:pPr>
              <w:tabs>
                <w:tab w:val="left" w:pos="773"/>
              </w:tabs>
              <w:adjustRightInd/>
              <w:spacing w:before="2" w:line="232" w:lineRule="auto"/>
              <w:ind w:right="639"/>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620*470*1140</w:t>
            </w:r>
          </w:p>
        </w:tc>
        <w:tc>
          <w:tcPr>
            <w:tcW w:w="1770" w:type="dxa"/>
            <w:tcBorders>
              <w:top w:val="single" w:color="auto" w:sz="4" w:space="0"/>
              <w:left w:val="nil"/>
              <w:bottom w:val="single" w:color="auto" w:sz="4" w:space="0"/>
              <w:right w:val="single" w:color="auto" w:sz="4" w:space="0"/>
            </w:tcBorders>
            <w:noWrap w:val="0"/>
            <w:vAlign w:val="center"/>
          </w:tcPr>
          <w:p w14:paraId="7F5358CF">
            <w:pPr>
              <w:tabs>
                <w:tab w:val="left" w:pos="773"/>
              </w:tabs>
              <w:adjustRightInd/>
              <w:spacing w:before="2" w:line="232" w:lineRule="auto"/>
              <w:ind w:right="639"/>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1把</w:t>
            </w:r>
          </w:p>
        </w:tc>
      </w:tr>
    </w:tbl>
    <w:p w14:paraId="5AC4C328">
      <w:pPr>
        <w:pageBreakBefore w:val="0"/>
        <w:kinsoku/>
        <w:wordWrap w:val="0"/>
        <w:overflowPunct/>
        <w:topLinePunct w:val="0"/>
        <w:bidi w:val="0"/>
        <w:snapToGrid w:val="0"/>
        <w:spacing w:line="360" w:lineRule="auto"/>
        <w:ind w:firstLine="400"/>
        <w:rPr>
          <w:rFonts w:hint="eastAsia" w:ascii="宋体" w:hAnsi="宋体" w:eastAsia="宋体" w:cs="宋体"/>
          <w:color w:val="auto"/>
          <w:sz w:val="20"/>
          <w:szCs w:val="20"/>
          <w:highlight w:val="none"/>
          <w:shd w:val="clear" w:color="auto" w:fill="FFFFFF"/>
        </w:rPr>
      </w:pPr>
    </w:p>
    <w:p w14:paraId="407F2234">
      <w:pPr>
        <w:pageBreakBefore w:val="0"/>
        <w:kinsoku/>
        <w:wordWrap w:val="0"/>
        <w:overflowPunct/>
        <w:topLinePunct w:val="0"/>
        <w:bidi w:val="0"/>
        <w:snapToGrid w:val="0"/>
        <w:spacing w:line="360" w:lineRule="auto"/>
        <w:ind w:firstLine="400"/>
        <w:rPr>
          <w:rFonts w:hint="eastAsia" w:ascii="宋体" w:hAnsi="宋体" w:eastAsia="宋体" w:cs="宋体"/>
          <w:b/>
          <w:color w:val="auto"/>
          <w:sz w:val="32"/>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CF258A5">
      <w:pPr>
        <w:pageBreakBefore w:val="0"/>
        <w:kinsoku/>
        <w:wordWrap w:val="0"/>
        <w:overflowPunct/>
        <w:topLinePunct w:val="0"/>
        <w:bidi w:val="0"/>
        <w:snapToGrid w:val="0"/>
        <w:spacing w:line="360" w:lineRule="auto"/>
        <w:ind w:firstLine="643"/>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66008A8">
      <w:pPr>
        <w:pageBreakBefore w:val="0"/>
        <w:kinsoku/>
        <w:wordWrap w:val="0"/>
        <w:overflowPunct/>
        <w:topLinePunct w:val="0"/>
        <w:bidi w:val="0"/>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4FFFF0F9">
      <w:pPr>
        <w:pageBreakBefore w:val="0"/>
        <w:kinsoku/>
        <w:wordWrap w:val="0"/>
        <w:overflowPunct/>
        <w:topLinePunct w:val="0"/>
        <w:bidi w:val="0"/>
        <w:adjustRightInd/>
        <w:spacing w:line="360" w:lineRule="auto"/>
        <w:ind w:firstLine="643"/>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4AB6EA1">
      <w:pPr>
        <w:pageBreakBefore w:val="0"/>
        <w:kinsoku/>
        <w:wordWrap w:val="0"/>
        <w:overflowPunct/>
        <w:topLinePunct w:val="0"/>
        <w:bidi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B309952">
      <w:pPr>
        <w:pageBreakBefore w:val="0"/>
        <w:kinsoku/>
        <w:wordWrap w:val="0"/>
        <w:overflowPunct/>
        <w:topLinePunct w:val="0"/>
        <w:bidi w:val="0"/>
        <w:spacing w:line="360" w:lineRule="auto"/>
        <w:ind w:firstLine="723"/>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4928F9E">
      <w:pPr>
        <w:pageBreakBefore w:val="0"/>
        <w:kinsoku/>
        <w:wordWrap w:val="0"/>
        <w:overflowPunct/>
        <w:topLinePunct w:val="0"/>
        <w:bidi w:val="0"/>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A731DD">
      <w:pPr>
        <w:pageBreakBefore w:val="0"/>
        <w:kinsoku/>
        <w:wordWrap w:val="0"/>
        <w:overflowPunct/>
        <w:topLinePunct w:val="0"/>
        <w:bidi w:val="0"/>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AA304DC">
      <w:pPr>
        <w:pageBreakBefore w:val="0"/>
        <w:kinsoku/>
        <w:wordWrap w:val="0"/>
        <w:overflowPunct/>
        <w:topLinePunct w:val="0"/>
        <w:bidi w:val="0"/>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26A3DCC">
      <w:pPr>
        <w:pageBreakBefore w:val="0"/>
        <w:kinsoku/>
        <w:wordWrap w:val="0"/>
        <w:overflowPunct/>
        <w:topLinePunct w:val="0"/>
        <w:bidi w:val="0"/>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CCA1AEE">
      <w:pPr>
        <w:pStyle w:val="136"/>
        <w:pageBreakBefore w:val="0"/>
        <w:kinsoku/>
        <w:wordWrap w:val="0"/>
        <w:overflowPunct/>
        <w:topLinePunct w:val="0"/>
        <w:bidi w:val="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45FBBB07">
      <w:pPr>
        <w:pStyle w:val="136"/>
        <w:pageBreakBefore w:val="0"/>
        <w:kinsoku/>
        <w:wordWrap w:val="0"/>
        <w:overflowPunct/>
        <w:topLinePunct w:val="0"/>
        <w:bidi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351865D">
      <w:pPr>
        <w:pStyle w:val="136"/>
        <w:pageBreakBefore w:val="0"/>
        <w:kinsoku/>
        <w:wordWrap w:val="0"/>
        <w:overflowPunct/>
        <w:topLinePunct w:val="0"/>
        <w:bidi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148BEAD">
      <w:pPr>
        <w:pStyle w:val="136"/>
        <w:pageBreakBefore w:val="0"/>
        <w:kinsoku/>
        <w:wordWrap w:val="0"/>
        <w:overflowPunct/>
        <w:topLinePunct w:val="0"/>
        <w:bidi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C3B453D">
      <w:pPr>
        <w:pStyle w:val="136"/>
        <w:pageBreakBefore w:val="0"/>
        <w:kinsoku/>
        <w:wordWrap w:val="0"/>
        <w:overflowPunct/>
        <w:topLinePunct w:val="0"/>
        <w:bidi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C1DC19E">
      <w:pPr>
        <w:pStyle w:val="136"/>
        <w:pageBreakBefore w:val="0"/>
        <w:kinsoku/>
        <w:wordWrap w:val="0"/>
        <w:overflowPunct/>
        <w:topLinePunct w:val="0"/>
        <w:bidi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C63BB2E">
      <w:pPr>
        <w:pageBreakBefore w:val="0"/>
        <w:kinsoku/>
        <w:wordWrap w:val="0"/>
        <w:overflowPunct/>
        <w:topLinePunct w:val="0"/>
        <w:bidi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FEC231A">
      <w:pPr>
        <w:pageBreakBefore w:val="0"/>
        <w:kinsoku/>
        <w:wordWrap w:val="0"/>
        <w:overflowPunct/>
        <w:topLinePunct w:val="0"/>
        <w:bidi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5DA6D0B0">
      <w:pPr>
        <w:pStyle w:val="136"/>
        <w:pageBreakBefore w:val="0"/>
        <w:kinsoku/>
        <w:wordWrap w:val="0"/>
        <w:overflowPunct/>
        <w:topLinePunct w:val="0"/>
        <w:bidi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rPr>
          <w:rFonts w:hint="eastAsia" w:ascii="宋体" w:hAnsi="宋体" w:eastAsia="宋体" w:cs="宋体"/>
          <w:b/>
          <w:bCs/>
          <w:color w:val="auto"/>
          <w:kern w:val="0"/>
          <w:sz w:val="24"/>
          <w:highlight w:val="none"/>
          <w:lang w:eastAsia="zh-CN"/>
        </w:rPr>
        <w:t>。</w:t>
      </w:r>
    </w:p>
    <w:p w14:paraId="558CFDC8">
      <w:pPr>
        <w:pageBreakBefore w:val="0"/>
        <w:kinsoku/>
        <w:wordWrap w:val="0"/>
        <w:overflowPunct/>
        <w:topLinePunct w:val="0"/>
        <w:bidi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b w:val="0"/>
          <w:bCs/>
          <w:color w:val="auto"/>
          <w:sz w:val="24"/>
          <w:szCs w:val="24"/>
          <w:highlight w:val="none"/>
          <w:lang w:val="en-US" w:eastAsia="zh-CN"/>
        </w:rPr>
        <w:t>若</w:t>
      </w:r>
      <w:r>
        <w:rPr>
          <w:rFonts w:hint="eastAsia" w:ascii="宋体" w:hAnsi="宋体" w:eastAsia="宋体" w:cs="宋体"/>
          <w:color w:val="auto"/>
          <w:kern w:val="0"/>
          <w:sz w:val="24"/>
          <w:highlight w:val="none"/>
        </w:rPr>
        <w:t>量化指标评审得分</w:t>
      </w:r>
      <w:r>
        <w:rPr>
          <w:rFonts w:hint="eastAsia" w:ascii="宋体" w:hAnsi="宋体" w:eastAsia="宋体" w:cs="宋体"/>
          <w:b w:val="0"/>
          <w:bCs/>
          <w:color w:val="auto"/>
          <w:sz w:val="24"/>
          <w:szCs w:val="24"/>
          <w:highlight w:val="none"/>
          <w:lang w:val="en-US" w:eastAsia="zh-CN"/>
        </w:rPr>
        <w:t>也相同的，由评标委员会成员</w:t>
      </w:r>
      <w:r>
        <w:rPr>
          <w:rFonts w:hint="eastAsia" w:ascii="宋体" w:hAnsi="宋体" w:eastAsia="宋体" w:cs="宋体"/>
          <w:color w:val="auto"/>
          <w:kern w:val="0"/>
          <w:sz w:val="24"/>
          <w:highlight w:val="none"/>
        </w:rPr>
        <w:t>采取随机抽取</w:t>
      </w:r>
      <w:r>
        <w:rPr>
          <w:rFonts w:hint="eastAsia" w:ascii="宋体" w:hAnsi="宋体" w:eastAsia="宋体" w:cs="宋体"/>
          <w:color w:val="auto"/>
          <w:kern w:val="0"/>
          <w:sz w:val="24"/>
          <w:highlight w:val="none"/>
          <w:lang w:eastAsia="zh-CN"/>
        </w:rPr>
        <w:t>（抽签）</w:t>
      </w:r>
      <w:r>
        <w:rPr>
          <w:rFonts w:hint="eastAsia" w:ascii="宋体" w:hAnsi="宋体" w:eastAsia="宋体" w:cs="宋体"/>
          <w:color w:val="auto"/>
          <w:kern w:val="0"/>
          <w:sz w:val="24"/>
          <w:highlight w:val="none"/>
        </w:rPr>
        <w:t>方式确定</w:t>
      </w:r>
      <w:r>
        <w:rPr>
          <w:rFonts w:hint="eastAsia" w:ascii="宋体" w:hAnsi="宋体" w:eastAsia="宋体" w:cs="宋体"/>
          <w:color w:val="auto"/>
          <w:kern w:val="0"/>
          <w:sz w:val="24"/>
          <w:highlight w:val="none"/>
          <w:lang w:eastAsia="zh-CN"/>
        </w:rPr>
        <w:t>。</w:t>
      </w:r>
    </w:p>
    <w:p w14:paraId="4DE8BA46">
      <w:pPr>
        <w:pageBreakBefore w:val="0"/>
        <w:kinsoku/>
        <w:wordWrap w:val="0"/>
        <w:overflowPunct/>
        <w:topLinePunct w:val="0"/>
        <w:bidi w:val="0"/>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1F7C72">
      <w:pPr>
        <w:pageBreakBefore w:val="0"/>
        <w:kinsoku/>
        <w:wordWrap w:val="0"/>
        <w:overflowPunct/>
        <w:topLinePunct w:val="0"/>
        <w:bidi w:val="0"/>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021593">
      <w:pPr>
        <w:pageBreakBefore w:val="0"/>
        <w:widowControl/>
        <w:kinsoku/>
        <w:wordWrap w:val="0"/>
        <w:overflowPunct/>
        <w:topLinePunct w:val="0"/>
        <w:bidi w:val="0"/>
        <w:adjustRightInd/>
        <w:spacing w:after="225" w:line="315" w:lineRule="atLeast"/>
        <w:ind w:firstLine="643"/>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95497DC">
      <w:pPr>
        <w:pStyle w:val="136"/>
        <w:pageBreakBefore w:val="0"/>
        <w:kinsoku/>
        <w:wordWrap w:val="0"/>
        <w:overflowPunct/>
        <w:topLinePunct w:val="0"/>
        <w:bidi w:val="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0A60E2">
      <w:pPr>
        <w:pStyle w:val="6"/>
        <w:pageBreakBefore w:val="0"/>
        <w:kinsoku/>
        <w:wordWrap w:val="0"/>
        <w:overflowPunct/>
        <w:topLinePunct w:val="0"/>
        <w:bidi w:val="0"/>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A07E226">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B03AB1C">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9DB4ADB">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21877B9">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8F74DB9">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4214EFC">
      <w:pPr>
        <w:pageBreakBefore w:val="0"/>
        <w:kinsoku/>
        <w:wordWrap w:val="0"/>
        <w:overflowPunct/>
        <w:topLinePunct w:val="0"/>
        <w:bidi w:val="0"/>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7932DE4C">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2988472F">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59360009">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55E41CF">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5B233BA">
      <w:pPr>
        <w:pageBreakBefore w:val="0"/>
        <w:kinsoku/>
        <w:wordWrap w:val="0"/>
        <w:overflowPunct/>
        <w:topLinePunct w:val="0"/>
        <w:bidi w:val="0"/>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3A7A6673">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637AA2FB">
      <w:pPr>
        <w:pStyle w:val="3"/>
        <w:pageBreakBefore w:val="0"/>
        <w:kinsoku/>
        <w:wordWrap w:val="0"/>
        <w:overflowPunct/>
        <w:topLinePunct w:val="0"/>
        <w:bidi w:val="0"/>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B8C9602">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6BEC0B44">
      <w:pPr>
        <w:pStyle w:val="6"/>
        <w:pageBreakBefore w:val="0"/>
        <w:kinsoku/>
        <w:wordWrap w:val="0"/>
        <w:overflowPunct/>
        <w:topLinePunct w:val="0"/>
        <w:bidi w:val="0"/>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6799234">
      <w:pPr>
        <w:pStyle w:val="6"/>
        <w:pageBreakBefore w:val="0"/>
        <w:kinsoku/>
        <w:wordWrap w:val="0"/>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1E14358">
      <w:pPr>
        <w:pStyle w:val="6"/>
        <w:pageBreakBefore w:val="0"/>
        <w:kinsoku/>
        <w:wordWrap w:val="0"/>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96E4366">
      <w:pPr>
        <w:pStyle w:val="6"/>
        <w:pageBreakBefore w:val="0"/>
        <w:kinsoku/>
        <w:wordWrap w:val="0"/>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D82AD11">
      <w:pPr>
        <w:pStyle w:val="6"/>
        <w:pageBreakBefore w:val="0"/>
        <w:kinsoku/>
        <w:wordWrap w:val="0"/>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F9C5C38">
      <w:pPr>
        <w:pStyle w:val="6"/>
        <w:pageBreakBefore w:val="0"/>
        <w:kinsoku/>
        <w:wordWrap w:val="0"/>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1E2960ED">
      <w:pPr>
        <w:pStyle w:val="6"/>
        <w:pageBreakBefore w:val="0"/>
        <w:kinsoku/>
        <w:wordWrap w:val="0"/>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F26D1FF">
      <w:pPr>
        <w:pStyle w:val="6"/>
        <w:pageBreakBefore w:val="0"/>
        <w:kinsoku/>
        <w:wordWrap w:val="0"/>
        <w:overflowPunct/>
        <w:topLinePunct w:val="0"/>
        <w:bidi w:val="0"/>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FA08B77">
      <w:pPr>
        <w:pStyle w:val="6"/>
        <w:pageBreakBefore w:val="0"/>
        <w:kinsoku/>
        <w:wordWrap w:val="0"/>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416D744C">
      <w:pPr>
        <w:pStyle w:val="6"/>
        <w:pageBreakBefore w:val="0"/>
        <w:kinsoku/>
        <w:wordWrap w:val="0"/>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7.2已确定中标供应商但尚未签订政府采购合同的，中标结果无效，从合格的中标候选人中另行确定中标供应商；没有合格的中标候选人的，重新开展采购活动。</w:t>
      </w:r>
    </w:p>
    <w:p w14:paraId="17FD8510">
      <w:pPr>
        <w:pStyle w:val="6"/>
        <w:pageBreakBefore w:val="0"/>
        <w:kinsoku/>
        <w:wordWrap w:val="0"/>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034F6CB">
      <w:pPr>
        <w:pStyle w:val="6"/>
        <w:pageBreakBefore w:val="0"/>
        <w:kinsoku/>
        <w:wordWrap w:val="0"/>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EE4BE6B">
      <w:pPr>
        <w:pStyle w:val="6"/>
        <w:pageBreakBefore w:val="0"/>
        <w:kinsoku/>
        <w:wordWrap w:val="0"/>
        <w:overflowPunct/>
        <w:topLinePunct w:val="0"/>
        <w:bidi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9BD4383">
      <w:pPr>
        <w:pageBreakBefore w:val="0"/>
        <w:kinsoku/>
        <w:wordWrap w:val="0"/>
        <w:overflowPunct/>
        <w:topLinePunct w:val="0"/>
        <w:bidi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BC113E2">
      <w:pPr>
        <w:pageBreakBefore w:val="0"/>
        <w:kinsoku/>
        <w:wordWrap w:val="0"/>
        <w:overflowPunct/>
        <w:topLinePunct w:val="0"/>
        <w:bidi w:val="0"/>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171BD54">
      <w:pPr>
        <w:pStyle w:val="2"/>
        <w:pageBreakBefore w:val="0"/>
        <w:kinsoku/>
        <w:wordWrap w:val="0"/>
        <w:overflowPunct/>
        <w:topLinePunct w:val="0"/>
        <w:bidi w:val="0"/>
        <w:adjustRightInd w:val="0"/>
        <w:snapToGrid w:val="0"/>
        <w:spacing w:before="0" w:after="0" w:line="360" w:lineRule="auto"/>
        <w:jc w:val="center"/>
        <w:rPr>
          <w:rFonts w:hint="eastAsia" w:ascii="宋体" w:hAnsi="宋体" w:eastAsia="宋体" w:cs="宋体"/>
          <w:bCs w:val="0"/>
          <w:color w:val="auto"/>
          <w:sz w:val="32"/>
          <w:highlight w:val="none"/>
        </w:rPr>
      </w:pPr>
      <w:r>
        <w:rPr>
          <w:rStyle w:val="359"/>
          <w:rFonts w:hint="eastAsia" w:ascii="宋体" w:hAnsi="宋体" w:eastAsia="宋体" w:cs="宋体"/>
          <w:b/>
          <w:color w:val="auto"/>
          <w:sz w:val="36"/>
          <w:szCs w:val="36"/>
          <w:highlight w:val="none"/>
        </w:rPr>
        <w:t>合同范本及格式</w:t>
      </w:r>
    </w:p>
    <w:p w14:paraId="41C2C45E">
      <w:pPr>
        <w:pStyle w:val="34"/>
        <w:pageBreakBefore w:val="0"/>
        <w:kinsoku/>
        <w:wordWrap w:val="0"/>
        <w:overflowPunct/>
        <w:topLinePunct w:val="0"/>
        <w:bidi w:val="0"/>
        <w:snapToGrid w:val="0"/>
        <w:spacing w:line="33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（本合同为合同样稿，最终稿由三方协商后确定）</w:t>
      </w:r>
    </w:p>
    <w:p w14:paraId="2E7A461E">
      <w:pPr>
        <w:pStyle w:val="34"/>
        <w:pageBreakBefore w:val="0"/>
        <w:kinsoku/>
        <w:wordWrap w:val="0"/>
        <w:overflowPunct/>
        <w:topLinePunct w:val="0"/>
        <w:bidi w:val="0"/>
        <w:snapToGrid w:val="0"/>
        <w:spacing w:line="440" w:lineRule="exact"/>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 xml:space="preserve">合同编号：    </w:t>
      </w:r>
    </w:p>
    <w:p w14:paraId="04DC12C5">
      <w:pPr>
        <w:pageBreakBefore w:val="0"/>
        <w:kinsoku/>
        <w:wordWrap w:val="0"/>
        <w:overflowPunct/>
        <w:topLinePunct w:val="0"/>
        <w:bidi w:val="0"/>
        <w:spacing w:after="156"/>
        <w:jc w:val="left"/>
        <w:rPr>
          <w:rFonts w:hint="eastAsia" w:ascii="宋体" w:hAnsi="宋体" w:eastAsia="宋体" w:cs="宋体"/>
          <w:color w:val="auto"/>
          <w:sz w:val="24"/>
          <w:highlight w:val="none"/>
        </w:rPr>
      </w:pPr>
    </w:p>
    <w:p w14:paraId="1ED7BD43">
      <w:pPr>
        <w:pStyle w:val="34"/>
        <w:pageBreakBefore w:val="0"/>
        <w:kinsoku/>
        <w:wordWrap w:val="0"/>
        <w:overflowPunct/>
        <w:topLinePunct w:val="0"/>
        <w:bidi w:val="0"/>
        <w:snapToGrid w:val="0"/>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甲方（使用方）：</w:t>
      </w:r>
    </w:p>
    <w:p w14:paraId="50555FB8">
      <w:pPr>
        <w:pStyle w:val="34"/>
        <w:pageBreakBefore w:val="0"/>
        <w:kinsoku/>
        <w:wordWrap w:val="0"/>
        <w:overflowPunct/>
        <w:topLinePunct w:val="0"/>
        <w:bidi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乙方（供应商）:</w:t>
      </w:r>
    </w:p>
    <w:p w14:paraId="6F3D8D5B">
      <w:pPr>
        <w:pStyle w:val="34"/>
        <w:pageBreakBefore w:val="0"/>
        <w:kinsoku/>
        <w:wordWrap w:val="0"/>
        <w:overflowPunct/>
        <w:topLinePunct w:val="0"/>
        <w:bidi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见证方（代理机构）：</w:t>
      </w:r>
    </w:p>
    <w:p w14:paraId="0C63CA73">
      <w:pPr>
        <w:pStyle w:val="34"/>
        <w:pageBreakBefore w:val="0"/>
        <w:kinsoku/>
        <w:wordWrap w:val="0"/>
        <w:overflowPunct/>
        <w:topLinePunct w:val="0"/>
        <w:bidi w:val="0"/>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根据《中华人民共和国政府采购法》、《中华人民共和国民法典》的规定，经</w:t>
      </w:r>
      <w:r>
        <w:rPr>
          <w:rFonts w:hint="eastAsia" w:ascii="宋体" w:hAnsi="宋体" w:eastAsia="宋体" w:cs="宋体"/>
          <w:color w:val="auto"/>
          <w:sz w:val="24"/>
          <w:szCs w:val="24"/>
          <w:highlight w:val="none"/>
          <w:u w:val="single"/>
        </w:rPr>
        <w:t>公开招标</w:t>
      </w:r>
      <w:r>
        <w:rPr>
          <w:rFonts w:hint="eastAsia" w:ascii="宋体" w:hAnsi="宋体" w:eastAsia="宋体" w:cs="宋体"/>
          <w:color w:val="auto"/>
          <w:sz w:val="24"/>
          <w:szCs w:val="24"/>
          <w:highlight w:val="none"/>
        </w:rPr>
        <w:t>（采购方式），确定乙方为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（项目全称）的</w:t>
      </w:r>
      <w:r>
        <w:rPr>
          <w:rFonts w:hint="eastAsia" w:ascii="宋体" w:hAnsi="宋体" w:eastAsia="宋体" w:cs="宋体"/>
          <w:color w:val="auto"/>
          <w:sz w:val="24"/>
          <w:szCs w:val="24"/>
          <w:highlight w:val="none"/>
          <w:lang w:eastAsia="zh-CN"/>
        </w:rPr>
        <w:t>中标单位</w:t>
      </w:r>
      <w:r>
        <w:rPr>
          <w:rFonts w:hint="eastAsia" w:ascii="宋体" w:hAnsi="宋体" w:eastAsia="宋体" w:cs="宋体"/>
          <w:color w:val="auto"/>
          <w:sz w:val="24"/>
          <w:szCs w:val="24"/>
          <w:highlight w:val="none"/>
        </w:rPr>
        <w:t>。为明确双方的权利和义务，经甲乙双方协商达成合同如下：</w:t>
      </w:r>
    </w:p>
    <w:p w14:paraId="2F343E4B">
      <w:pPr>
        <w:pStyle w:val="34"/>
        <w:pageBreakBefore w:val="0"/>
        <w:kinsoku/>
        <w:wordWrap w:val="0"/>
        <w:overflowPunct/>
        <w:topLinePunct w:val="0"/>
        <w:bidi w:val="0"/>
        <w:snapToGrid w:val="0"/>
        <w:spacing w:line="44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第一条：货物内容、数量、价款</w:t>
      </w:r>
    </w:p>
    <w:tbl>
      <w:tblPr>
        <w:tblStyle w:val="63"/>
        <w:tblW w:w="9628" w:type="dxa"/>
        <w:tblInd w:w="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426"/>
        <w:gridCol w:w="1284"/>
        <w:gridCol w:w="776"/>
        <w:gridCol w:w="2694"/>
        <w:gridCol w:w="940"/>
        <w:gridCol w:w="940"/>
        <w:gridCol w:w="1284"/>
        <w:gridCol w:w="1284"/>
      </w:tblGrid>
      <w:tr w14:paraId="296519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426" w:type="dxa"/>
            <w:tcBorders>
              <w:top w:val="single" w:color="auto" w:sz="4" w:space="0"/>
              <w:left w:val="single" w:color="auto" w:sz="4" w:space="0"/>
              <w:bottom w:val="nil"/>
              <w:right w:val="single" w:color="auto" w:sz="4" w:space="0"/>
            </w:tcBorders>
            <w:vAlign w:val="center"/>
          </w:tcPr>
          <w:p w14:paraId="1EAD3138">
            <w:pPr>
              <w:pageBreakBefore w:val="0"/>
              <w:kinsoku/>
              <w:wordWrap w:val="0"/>
              <w:overflowPunct/>
              <w:topLinePunct w:val="0"/>
              <w:bidi w:val="0"/>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84" w:type="dxa"/>
            <w:tcBorders>
              <w:top w:val="single" w:color="auto" w:sz="4" w:space="0"/>
              <w:left w:val="single" w:color="auto" w:sz="4" w:space="0"/>
              <w:bottom w:val="nil"/>
              <w:right w:val="single" w:color="auto" w:sz="4" w:space="0"/>
            </w:tcBorders>
            <w:vAlign w:val="center"/>
          </w:tcPr>
          <w:p w14:paraId="799D2796">
            <w:pPr>
              <w:pageBreakBefore w:val="0"/>
              <w:kinsoku/>
              <w:wordWrap w:val="0"/>
              <w:overflowPunct/>
              <w:topLinePunct w:val="0"/>
              <w:bidi w:val="0"/>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货物名称</w:t>
            </w:r>
          </w:p>
        </w:tc>
        <w:tc>
          <w:tcPr>
            <w:tcW w:w="776" w:type="dxa"/>
            <w:tcBorders>
              <w:top w:val="single" w:color="auto" w:sz="4" w:space="0"/>
              <w:left w:val="single" w:color="auto" w:sz="4" w:space="0"/>
              <w:bottom w:val="nil"/>
              <w:right w:val="single" w:color="auto" w:sz="4" w:space="0"/>
            </w:tcBorders>
            <w:vAlign w:val="center"/>
          </w:tcPr>
          <w:p w14:paraId="32582284">
            <w:pPr>
              <w:pageBreakBefore w:val="0"/>
              <w:kinsoku/>
              <w:wordWrap w:val="0"/>
              <w:overflowPunct/>
              <w:topLinePunct w:val="0"/>
              <w:bidi w:val="0"/>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w:t>
            </w:r>
          </w:p>
        </w:tc>
        <w:tc>
          <w:tcPr>
            <w:tcW w:w="2694" w:type="dxa"/>
            <w:tcBorders>
              <w:top w:val="single" w:color="auto" w:sz="4" w:space="0"/>
              <w:left w:val="single" w:color="auto" w:sz="4" w:space="0"/>
              <w:bottom w:val="nil"/>
              <w:right w:val="single" w:color="auto" w:sz="4" w:space="0"/>
            </w:tcBorders>
            <w:vAlign w:val="center"/>
          </w:tcPr>
          <w:p w14:paraId="6B3E494B">
            <w:pPr>
              <w:pageBreakBefore w:val="0"/>
              <w:kinsoku/>
              <w:wordWrap w:val="0"/>
              <w:overflowPunct/>
              <w:topLinePunct w:val="0"/>
              <w:bidi w:val="0"/>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规格型号（或配置）及主要技术参数</w:t>
            </w:r>
          </w:p>
        </w:tc>
        <w:tc>
          <w:tcPr>
            <w:tcW w:w="940" w:type="dxa"/>
            <w:tcBorders>
              <w:top w:val="single" w:color="auto" w:sz="4" w:space="0"/>
              <w:left w:val="single" w:color="auto" w:sz="4" w:space="0"/>
              <w:bottom w:val="nil"/>
              <w:right w:val="single" w:color="auto" w:sz="4" w:space="0"/>
            </w:tcBorders>
            <w:vAlign w:val="center"/>
          </w:tcPr>
          <w:p w14:paraId="242EDC2E">
            <w:pPr>
              <w:pageBreakBefore w:val="0"/>
              <w:kinsoku/>
              <w:wordWrap w:val="0"/>
              <w:overflowPunct/>
              <w:topLinePunct w:val="0"/>
              <w:bidi w:val="0"/>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940" w:type="dxa"/>
            <w:tcBorders>
              <w:top w:val="single" w:color="auto" w:sz="4" w:space="0"/>
              <w:left w:val="single" w:color="auto" w:sz="4" w:space="0"/>
              <w:bottom w:val="nil"/>
              <w:right w:val="single" w:color="auto" w:sz="4" w:space="0"/>
            </w:tcBorders>
            <w:vAlign w:val="center"/>
          </w:tcPr>
          <w:p w14:paraId="6E6E9DD2">
            <w:pPr>
              <w:pageBreakBefore w:val="0"/>
              <w:kinsoku/>
              <w:wordWrap w:val="0"/>
              <w:overflowPunct/>
              <w:topLinePunct w:val="0"/>
              <w:bidi w:val="0"/>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284" w:type="dxa"/>
            <w:tcBorders>
              <w:top w:val="single" w:color="auto" w:sz="4" w:space="0"/>
              <w:left w:val="single" w:color="auto" w:sz="4" w:space="0"/>
              <w:bottom w:val="nil"/>
              <w:right w:val="single" w:color="auto" w:sz="4" w:space="0"/>
            </w:tcBorders>
            <w:vAlign w:val="center"/>
          </w:tcPr>
          <w:p w14:paraId="21786DD2">
            <w:pPr>
              <w:pageBreakBefore w:val="0"/>
              <w:kinsoku/>
              <w:wordWrap w:val="0"/>
              <w:overflowPunct/>
              <w:topLinePunct w:val="0"/>
              <w:bidi w:val="0"/>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中标单价</w:t>
            </w:r>
          </w:p>
          <w:p w14:paraId="247FED5A">
            <w:pPr>
              <w:pageBreakBefore w:val="0"/>
              <w:kinsoku/>
              <w:wordWrap w:val="0"/>
              <w:overflowPunct/>
              <w:topLinePunct w:val="0"/>
              <w:bidi w:val="0"/>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c>
          <w:tcPr>
            <w:tcW w:w="1284" w:type="dxa"/>
            <w:tcBorders>
              <w:top w:val="single" w:color="auto" w:sz="4" w:space="0"/>
              <w:left w:val="single" w:color="auto" w:sz="4" w:space="0"/>
              <w:bottom w:val="nil"/>
              <w:right w:val="single" w:color="auto" w:sz="4" w:space="0"/>
            </w:tcBorders>
            <w:vAlign w:val="center"/>
          </w:tcPr>
          <w:p w14:paraId="6208FEB5">
            <w:pPr>
              <w:pageBreakBefore w:val="0"/>
              <w:kinsoku/>
              <w:wordWrap w:val="0"/>
              <w:overflowPunct/>
              <w:topLinePunct w:val="0"/>
              <w:bidi w:val="0"/>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中标总价</w:t>
            </w:r>
          </w:p>
          <w:p w14:paraId="13D3ECA8">
            <w:pPr>
              <w:pageBreakBefore w:val="0"/>
              <w:kinsoku/>
              <w:wordWrap w:val="0"/>
              <w:overflowPunct/>
              <w:topLinePunct w:val="0"/>
              <w:bidi w:val="0"/>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（元）</w:t>
            </w:r>
          </w:p>
        </w:tc>
      </w:tr>
      <w:tr w14:paraId="06B9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vAlign w:val="center"/>
          </w:tcPr>
          <w:p w14:paraId="4A77A6F8">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4" w:type="dxa"/>
            <w:vAlign w:val="center"/>
          </w:tcPr>
          <w:p w14:paraId="0AD460DE">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776" w:type="dxa"/>
            <w:vAlign w:val="center"/>
          </w:tcPr>
          <w:p w14:paraId="4D7846FD">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2694" w:type="dxa"/>
            <w:vAlign w:val="center"/>
          </w:tcPr>
          <w:p w14:paraId="423F97F3">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940" w:type="dxa"/>
            <w:vAlign w:val="center"/>
          </w:tcPr>
          <w:p w14:paraId="11A76112">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940" w:type="dxa"/>
            <w:vAlign w:val="center"/>
          </w:tcPr>
          <w:p w14:paraId="490A281E">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1284" w:type="dxa"/>
            <w:vAlign w:val="center"/>
          </w:tcPr>
          <w:p w14:paraId="3E6351C2">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1284" w:type="dxa"/>
            <w:vAlign w:val="center"/>
          </w:tcPr>
          <w:p w14:paraId="0448AA48">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r>
      <w:tr w14:paraId="3FDE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vAlign w:val="center"/>
          </w:tcPr>
          <w:p w14:paraId="38748C3E">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84" w:type="dxa"/>
            <w:vAlign w:val="center"/>
          </w:tcPr>
          <w:p w14:paraId="45C98A7F">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776" w:type="dxa"/>
            <w:vAlign w:val="center"/>
          </w:tcPr>
          <w:p w14:paraId="1D760D62">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2694" w:type="dxa"/>
            <w:vAlign w:val="center"/>
          </w:tcPr>
          <w:p w14:paraId="7544CD8D">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940" w:type="dxa"/>
            <w:vAlign w:val="center"/>
          </w:tcPr>
          <w:p w14:paraId="4C5D1271">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940" w:type="dxa"/>
            <w:vAlign w:val="center"/>
          </w:tcPr>
          <w:p w14:paraId="23887AA8">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1284" w:type="dxa"/>
            <w:vAlign w:val="center"/>
          </w:tcPr>
          <w:p w14:paraId="3CFB354C">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1284" w:type="dxa"/>
            <w:vAlign w:val="center"/>
          </w:tcPr>
          <w:p w14:paraId="3021C1CA">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r>
      <w:tr w14:paraId="4EEA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vAlign w:val="center"/>
          </w:tcPr>
          <w:p w14:paraId="2BEAD516">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84" w:type="dxa"/>
            <w:vAlign w:val="center"/>
          </w:tcPr>
          <w:p w14:paraId="5B14017F">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776" w:type="dxa"/>
            <w:vAlign w:val="center"/>
          </w:tcPr>
          <w:p w14:paraId="39BFA3E6">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2694" w:type="dxa"/>
            <w:vAlign w:val="center"/>
          </w:tcPr>
          <w:p w14:paraId="60821DB8">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940" w:type="dxa"/>
            <w:vAlign w:val="center"/>
          </w:tcPr>
          <w:p w14:paraId="124069EA">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940" w:type="dxa"/>
            <w:vAlign w:val="center"/>
          </w:tcPr>
          <w:p w14:paraId="45182A51">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1284" w:type="dxa"/>
            <w:vAlign w:val="center"/>
          </w:tcPr>
          <w:p w14:paraId="02DB1987">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1284" w:type="dxa"/>
            <w:vAlign w:val="center"/>
          </w:tcPr>
          <w:p w14:paraId="76E731F2">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r>
      <w:tr w14:paraId="6466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26" w:type="dxa"/>
            <w:vAlign w:val="center"/>
          </w:tcPr>
          <w:p w14:paraId="35A8A619">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84" w:type="dxa"/>
            <w:vAlign w:val="center"/>
          </w:tcPr>
          <w:p w14:paraId="0FA7B766">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76" w:type="dxa"/>
            <w:vAlign w:val="center"/>
          </w:tcPr>
          <w:p w14:paraId="138D8CEE">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2694" w:type="dxa"/>
            <w:vAlign w:val="center"/>
          </w:tcPr>
          <w:p w14:paraId="750971D8">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940" w:type="dxa"/>
            <w:vAlign w:val="center"/>
          </w:tcPr>
          <w:p w14:paraId="677403A0">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940" w:type="dxa"/>
            <w:vAlign w:val="center"/>
          </w:tcPr>
          <w:p w14:paraId="08FDEEAB">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1284" w:type="dxa"/>
            <w:vAlign w:val="center"/>
          </w:tcPr>
          <w:p w14:paraId="2DC5784C">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c>
          <w:tcPr>
            <w:tcW w:w="1284" w:type="dxa"/>
            <w:vAlign w:val="center"/>
          </w:tcPr>
          <w:p w14:paraId="0F2BAC68">
            <w:pPr>
              <w:pageBreakBefore w:val="0"/>
              <w:kinsoku/>
              <w:wordWrap w:val="0"/>
              <w:overflowPunct/>
              <w:topLinePunct w:val="0"/>
              <w:bidi w:val="0"/>
              <w:adjustRightInd w:val="0"/>
              <w:snapToGrid w:val="0"/>
              <w:rPr>
                <w:rFonts w:hint="eastAsia" w:ascii="宋体" w:hAnsi="宋体" w:eastAsia="宋体" w:cs="宋体"/>
                <w:color w:val="auto"/>
                <w:sz w:val="24"/>
                <w:szCs w:val="24"/>
                <w:highlight w:val="none"/>
              </w:rPr>
            </w:pPr>
          </w:p>
        </w:tc>
      </w:tr>
      <w:tr w14:paraId="4618F1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628" w:type="dxa"/>
            <w:gridSpan w:val="8"/>
            <w:tcBorders>
              <w:top w:val="single" w:color="auto" w:sz="4" w:space="0"/>
              <w:left w:val="single" w:color="auto" w:sz="4" w:space="0"/>
              <w:bottom w:val="single" w:color="auto" w:sz="4" w:space="0"/>
              <w:right w:val="single" w:color="auto" w:sz="4" w:space="0"/>
            </w:tcBorders>
            <w:vAlign w:val="center"/>
          </w:tcPr>
          <w:p w14:paraId="671FA071">
            <w:pPr>
              <w:pageBreakBefore w:val="0"/>
              <w:kinsoku/>
              <w:wordWrap w:val="0"/>
              <w:overflowPunct/>
              <w:topLinePunct w:val="0"/>
              <w:bidi w:val="0"/>
              <w:adjustRightInd w:val="0"/>
              <w:snapToGrid w:val="0"/>
              <w:ind w:left="27"/>
              <w:rPr>
                <w:rFonts w:hint="eastAsia" w:ascii="宋体" w:hAnsi="宋体" w:eastAsia="宋体" w:cs="宋体"/>
                <w:color w:val="auto"/>
                <w:sz w:val="24"/>
                <w:szCs w:val="24"/>
                <w:highlight w:val="none"/>
                <w:u w:val="single"/>
              </w:rPr>
            </w:pPr>
            <w:r>
              <w:rPr>
                <w:rFonts w:hint="eastAsia" w:ascii="宋体" w:hAnsi="宋体" w:eastAsia="宋体" w:cs="宋体"/>
                <w:b/>
                <w:color w:val="auto"/>
                <w:kern w:val="0"/>
                <w:sz w:val="24"/>
                <w:szCs w:val="24"/>
                <w:highlight w:val="none"/>
              </w:rPr>
              <w:t>合同价：人民币（大写）</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b/>
                <w:color w:val="auto"/>
                <w:kern w:val="0"/>
                <w:sz w:val="24"/>
                <w:szCs w:val="24"/>
                <w:highlight w:val="none"/>
              </w:rPr>
              <w:t>元）</w:t>
            </w:r>
          </w:p>
        </w:tc>
      </w:tr>
    </w:tbl>
    <w:p w14:paraId="3C430895">
      <w:pPr>
        <w:pageBreakBefore w:val="0"/>
        <w:widowControl/>
        <w:kinsoku/>
        <w:wordWrap w:val="0"/>
        <w:overflowPunct/>
        <w:topLinePunct w:val="0"/>
        <w:bidi w:val="0"/>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1、本项目为交钥匙工程。以上总金额包设计开发、产品生产供货、运输装卸、安装调试、产品保护、备品备件、税金、培训、保险、验收、售后服务及辅助工作等完成本项目的所有费用。</w:t>
      </w:r>
    </w:p>
    <w:p w14:paraId="519AC286">
      <w:pPr>
        <w:pageBreakBefore w:val="0"/>
        <w:widowControl/>
        <w:kinsoku/>
        <w:wordWrap w:val="0"/>
        <w:overflowPunct/>
        <w:topLinePunct w:val="0"/>
        <w:bidi w:val="0"/>
        <w:spacing w:line="240" w:lineRule="auto"/>
        <w:ind w:firstLine="480" w:firstLineChars="20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4"/>
          <w:szCs w:val="24"/>
          <w:highlight w:val="none"/>
          <w:lang w:val="en-US" w:eastAsia="zh-CN"/>
        </w:rPr>
        <w:t>2、供货时提供产品合格证、原厂质保证明等相关资料。</w:t>
      </w:r>
    </w:p>
    <w:p w14:paraId="5EEF0D69">
      <w:pPr>
        <w:pageBreakBefore w:val="0"/>
        <w:widowControl/>
        <w:kinsoku/>
        <w:wordWrap w:val="0"/>
        <w:overflowPunct/>
        <w:topLinePunct w:val="0"/>
        <w:bidi w:val="0"/>
        <w:spacing w:line="360" w:lineRule="auto"/>
        <w:jc w:val="left"/>
        <w:rPr>
          <w:rFonts w:hint="eastAsia" w:ascii="宋体" w:hAnsi="宋体" w:eastAsia="宋体" w:cs="宋体"/>
          <w:b/>
          <w:color w:val="auto"/>
          <w:kern w:val="0"/>
          <w:sz w:val="24"/>
          <w:highlight w:val="none"/>
        </w:rPr>
      </w:pPr>
    </w:p>
    <w:p w14:paraId="332951C3">
      <w:pPr>
        <w:pageBreakBefore w:val="0"/>
        <w:widowControl/>
        <w:kinsoku/>
        <w:wordWrap w:val="0"/>
        <w:overflowPunct/>
        <w:topLinePunct w:val="0"/>
        <w:bidi w:val="0"/>
        <w:spacing w:line="360" w:lineRule="auto"/>
        <w:ind w:firstLine="241" w:firstLineChars="1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第二条：质量要求</w:t>
      </w:r>
    </w:p>
    <w:p w14:paraId="73324086">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.必须符合招标文件(包括补充更正，如有)的技术要求和配置；必须是国内相应制造厂商生产并提供的原装合格产品；必须是</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月1日</w:t>
      </w:r>
      <w:r>
        <w:rPr>
          <w:rFonts w:hint="eastAsia" w:ascii="宋体" w:hAnsi="宋体" w:eastAsia="宋体" w:cs="宋体"/>
          <w:bCs/>
          <w:color w:val="auto"/>
          <w:sz w:val="24"/>
          <w:szCs w:val="24"/>
          <w:highlight w:val="none"/>
          <w:lang w:val="en-US" w:eastAsia="zh-CN"/>
        </w:rPr>
        <w:t>以后生产的、符合国家质量技术标准的设备。</w:t>
      </w:r>
    </w:p>
    <w:p w14:paraId="748A8431">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售后服务按国家市场监督管理总局和国家其他有关规定执行，国家没有规定的按厂商规定执行。国家规定标准低于厂商标准的按厂商标准执行。</w:t>
      </w:r>
    </w:p>
    <w:p w14:paraId="504E5D40">
      <w:pPr>
        <w:pageBreakBefore w:val="0"/>
        <w:widowControl/>
        <w:kinsoku/>
        <w:wordWrap w:val="0"/>
        <w:overflowPunct/>
        <w:topLinePunct w:val="0"/>
        <w:bidi w:val="0"/>
        <w:spacing w:line="360" w:lineRule="auto"/>
        <w:ind w:firstLine="241" w:firstLineChars="1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第三条：合同履行时间、地点</w:t>
      </w:r>
    </w:p>
    <w:p w14:paraId="1694142C">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1.安装完成时间：合同签订生效之日起，</w:t>
      </w:r>
      <w:r>
        <w:rPr>
          <w:rFonts w:hint="eastAsia" w:ascii="宋体" w:hAnsi="宋体" w:eastAsia="宋体" w:cs="宋体"/>
          <w:bCs/>
          <w:color w:val="auto"/>
          <w:sz w:val="24"/>
          <w:szCs w:val="24"/>
          <w:highlight w:val="none"/>
          <w:lang w:eastAsia="zh-CN"/>
        </w:rPr>
        <w:t>必须在</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日历天内</w:t>
      </w:r>
      <w:r>
        <w:rPr>
          <w:rFonts w:hint="eastAsia" w:ascii="宋体" w:hAnsi="宋体" w:eastAsia="宋体" w:cs="宋体"/>
          <w:bCs/>
          <w:color w:val="auto"/>
          <w:sz w:val="24"/>
          <w:szCs w:val="24"/>
          <w:highlight w:val="none"/>
        </w:rPr>
        <w:t>按</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要求完成交货、安装调试完成，无质量问题并通过最终验收后交付</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使用。如在规定的时间内由于</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的原因不能送达货物并安装调试完成通过验收的，</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应承担由此给</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造成的损失。</w:t>
      </w:r>
    </w:p>
    <w:p w14:paraId="6170396B">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2.安装地点：由</w:t>
      </w:r>
      <w:r>
        <w:rPr>
          <w:rFonts w:hint="eastAsia" w:ascii="宋体" w:hAnsi="宋体" w:eastAsia="宋体" w:cs="宋体"/>
          <w:bCs/>
          <w:color w:val="auto"/>
          <w:sz w:val="24"/>
          <w:szCs w:val="24"/>
          <w:highlight w:val="none"/>
          <w:lang w:eastAsia="zh-CN"/>
        </w:rPr>
        <w:t>甲方及使用单位</w:t>
      </w:r>
      <w:r>
        <w:rPr>
          <w:rFonts w:hint="eastAsia" w:ascii="宋体" w:hAnsi="宋体" w:eastAsia="宋体" w:cs="宋体"/>
          <w:bCs/>
          <w:color w:val="auto"/>
          <w:sz w:val="24"/>
          <w:szCs w:val="24"/>
          <w:highlight w:val="none"/>
        </w:rPr>
        <w:t>指定。</w:t>
      </w:r>
    </w:p>
    <w:p w14:paraId="28A64E1A">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3.安装标准：符合我国国家有关技术规范要求和技术标准，所有的设备必须保证安装到位。</w:t>
      </w:r>
    </w:p>
    <w:p w14:paraId="42BF62A7">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免费提供中标设备</w:t>
      </w:r>
      <w:r>
        <w:rPr>
          <w:rFonts w:hint="eastAsia" w:ascii="宋体" w:hAnsi="宋体" w:eastAsia="宋体" w:cs="宋体"/>
          <w:bCs/>
          <w:color w:val="auto"/>
          <w:sz w:val="24"/>
          <w:szCs w:val="24"/>
          <w:highlight w:val="none"/>
          <w:lang w:eastAsia="zh-CN"/>
        </w:rPr>
        <w:t>（或系统）</w:t>
      </w:r>
      <w:r>
        <w:rPr>
          <w:rFonts w:hint="eastAsia" w:ascii="宋体" w:hAnsi="宋体" w:eastAsia="宋体" w:cs="宋体"/>
          <w:bCs/>
          <w:color w:val="auto"/>
          <w:sz w:val="24"/>
          <w:szCs w:val="24"/>
          <w:highlight w:val="none"/>
        </w:rPr>
        <w:t>的安装</w:t>
      </w:r>
      <w:r>
        <w:rPr>
          <w:rFonts w:hint="eastAsia" w:ascii="宋体" w:hAnsi="宋体" w:eastAsia="宋体" w:cs="宋体"/>
          <w:bCs/>
          <w:color w:val="auto"/>
          <w:sz w:val="24"/>
          <w:szCs w:val="24"/>
          <w:highlight w:val="none"/>
          <w:lang w:eastAsia="zh-CN"/>
        </w:rPr>
        <w:t>调试</w:t>
      </w:r>
      <w:r>
        <w:rPr>
          <w:rFonts w:hint="eastAsia" w:ascii="宋体" w:hAnsi="宋体" w:eastAsia="宋体" w:cs="宋体"/>
          <w:bCs/>
          <w:color w:val="auto"/>
          <w:sz w:val="24"/>
          <w:szCs w:val="24"/>
          <w:highlight w:val="none"/>
        </w:rPr>
        <w:t>服务。</w:t>
      </w:r>
    </w:p>
    <w:p w14:paraId="68DCD683">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凡合同所列机型停产或市场断货，乙方可在不改变品牌、机型、档次、基本功能等前提下，提供相应配置高于原配置的商品。</w:t>
      </w:r>
    </w:p>
    <w:p w14:paraId="6C62DFBF">
      <w:pPr>
        <w:pageBreakBefore w:val="0"/>
        <w:widowControl/>
        <w:kinsoku/>
        <w:wordWrap w:val="0"/>
        <w:overflowPunct/>
        <w:topLinePunct w:val="0"/>
        <w:bidi w:val="0"/>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第四条：验收</w:t>
      </w:r>
    </w:p>
    <w:p w14:paraId="5A9801E3">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乙方应提供设备（或系统）的有效检验材料，经甲方认可后，与合同的技术指标一起作为验收标准。甲方对设备（或系统）验收合格后，出具验收报告并在《建德市政府采购物品验收反馈表》上签署意见并加盖单位公章。验收中发现设备（或系统）达不到验收标准或合同规定的技术指标，乙方必须更换，并负担由此给甲方造成的损失，直到验收合格为止。</w:t>
      </w:r>
    </w:p>
    <w:p w14:paraId="69D48F3D">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投标人应于投标书中提供设备（或系统）的验收标准和检测办法，并在验收中提供甲方认可的相应检测手段，验收标准应符合中国有关的国家、地方、行业的标准，如若中标，经甲方确认后作为验收的依据。</w:t>
      </w:r>
    </w:p>
    <w:p w14:paraId="244214EB">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验收费用由乙方承担。</w:t>
      </w:r>
    </w:p>
    <w:p w14:paraId="16AAAE3F">
      <w:pPr>
        <w:pageBreakBefore w:val="0"/>
        <w:widowControl/>
        <w:kinsoku/>
        <w:wordWrap w:val="0"/>
        <w:overflowPunct/>
        <w:topLinePunct w:val="0"/>
        <w:bidi w:val="0"/>
        <w:spacing w:line="360" w:lineRule="auto"/>
        <w:ind w:firstLine="241" w:firstLineChars="1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第五条：</w:t>
      </w:r>
      <w:r>
        <w:rPr>
          <w:rFonts w:hint="eastAsia" w:ascii="宋体" w:hAnsi="宋体" w:eastAsia="宋体" w:cs="宋体"/>
          <w:b/>
          <w:color w:val="auto"/>
          <w:kern w:val="0"/>
          <w:sz w:val="24"/>
          <w:highlight w:val="none"/>
          <w:lang w:eastAsia="zh-CN"/>
        </w:rPr>
        <w:t>项目款</w:t>
      </w:r>
      <w:r>
        <w:rPr>
          <w:rFonts w:hint="eastAsia" w:ascii="宋体" w:hAnsi="宋体" w:eastAsia="宋体" w:cs="宋体"/>
          <w:b/>
          <w:color w:val="auto"/>
          <w:kern w:val="0"/>
          <w:sz w:val="24"/>
          <w:highlight w:val="none"/>
        </w:rPr>
        <w:t>支付</w:t>
      </w:r>
    </w:p>
    <w:p w14:paraId="5214378A">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甲方根据合同、投标文件等资料进行验收。</w:t>
      </w:r>
    </w:p>
    <w:p w14:paraId="4134C0AF">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本采购项目的项目款分期支付。</w:t>
      </w:r>
    </w:p>
    <w:p w14:paraId="2F88467B">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采购合同签订生效后供应商运输设备到场后支付至合同价的50%，所有设备安装完成后支付至合同价的80%，本项目通过业主验收合格后支付至合同价的100%</w:t>
      </w:r>
      <w:r>
        <w:rPr>
          <w:rFonts w:hint="eastAsia" w:ascii="宋体" w:hAnsi="宋体" w:eastAsia="宋体" w:cs="宋体"/>
          <w:bCs/>
          <w:color w:val="auto"/>
          <w:sz w:val="24"/>
          <w:szCs w:val="24"/>
          <w:highlight w:val="none"/>
          <w:lang w:val="en-US" w:eastAsia="zh-CN"/>
        </w:rPr>
        <w:t>。</w:t>
      </w:r>
    </w:p>
    <w:p w14:paraId="169ADBC5">
      <w:pPr>
        <w:pageBreakBefore w:val="0"/>
        <w:kinsoku/>
        <w:wordWrap w:val="0"/>
        <w:overflowPunct/>
        <w:topLinePunct w:val="0"/>
        <w:bidi w:val="0"/>
        <w:spacing w:line="360" w:lineRule="auto"/>
        <w:ind w:firstLine="460" w:firstLineChars="192"/>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highlight w:val="none"/>
        </w:rPr>
        <w:t>支付项目款时，</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将结款申请1份、增值税专用发票1份、合同复印件1份、设备（</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系统）清单和经</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验收确认的《验收反馈表》和验收报告提交</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支付结算项目款。</w:t>
      </w:r>
    </w:p>
    <w:p w14:paraId="7F9906A1">
      <w:pPr>
        <w:pageBreakBefore w:val="0"/>
        <w:widowControl/>
        <w:kinsoku/>
        <w:wordWrap w:val="0"/>
        <w:overflowPunct/>
        <w:topLinePunct w:val="0"/>
        <w:bidi w:val="0"/>
        <w:spacing w:line="360" w:lineRule="auto"/>
        <w:ind w:firstLine="241" w:firstLineChars="100"/>
        <w:jc w:val="left"/>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rPr>
        <w:t>第六条：履约保证金</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无</w:t>
      </w:r>
    </w:p>
    <w:p w14:paraId="3DB05673">
      <w:pPr>
        <w:pageBreakBefore w:val="0"/>
        <w:widowControl/>
        <w:kinsoku/>
        <w:wordWrap w:val="0"/>
        <w:overflowPunct/>
        <w:topLinePunct w:val="0"/>
        <w:bidi w:val="0"/>
        <w:spacing w:line="360" w:lineRule="auto"/>
        <w:ind w:firstLine="241" w:firstLineChars="1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第七条：售后服务</w:t>
      </w:r>
    </w:p>
    <w:p w14:paraId="385612CA">
      <w:pPr>
        <w:pageBreakBefore w:val="0"/>
        <w:kinsoku/>
        <w:wordWrap w:val="0"/>
        <w:overflowPunct/>
        <w:topLinePunct w:val="0"/>
        <w:bidi w:val="0"/>
        <w:adjustRightInd w:val="0"/>
        <w:snapToGrid w:val="0"/>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本项目提供</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r>
        <w:rPr>
          <w:rFonts w:hint="eastAsia" w:ascii="宋体" w:hAnsi="宋体" w:eastAsia="宋体" w:cs="宋体"/>
          <w:color w:val="auto"/>
          <w:kern w:val="0"/>
          <w:sz w:val="24"/>
          <w:highlight w:val="none"/>
        </w:rPr>
        <w:t>。</w:t>
      </w:r>
    </w:p>
    <w:p w14:paraId="4220036A">
      <w:pPr>
        <w:pageBreakBefore w:val="0"/>
        <w:kinsoku/>
        <w:wordWrap w:val="0"/>
        <w:overflowPunct/>
        <w:topLinePunct w:val="0"/>
        <w:bidi w:val="0"/>
        <w:adjustRightInd w:val="0"/>
        <w:snapToGrid w:val="0"/>
        <w:spacing w:line="360" w:lineRule="auto"/>
        <w:ind w:firstLine="424" w:firstLineChars="177"/>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在设备（或系统）整个使用期内，供应商应确保正常使用，在接到用户维修要求后在</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小时内响应并提出解决方案，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小时内到达现场对故障进行处理，维修过程中所需材料供应商在接到通知后应及时提供，最长不超过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小时必须送达。若</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小时内无法修复的，应及时提供相应备用设备并负责安装调试，为此，供应商应提供相应承诺书</w:t>
      </w:r>
      <w:r>
        <w:rPr>
          <w:rFonts w:hint="eastAsia" w:ascii="宋体" w:hAnsi="宋体" w:eastAsia="宋体" w:cs="宋体"/>
          <w:color w:val="auto"/>
          <w:kern w:val="0"/>
          <w:sz w:val="24"/>
          <w:highlight w:val="none"/>
          <w:lang w:val="en-US" w:eastAsia="zh-CN"/>
        </w:rPr>
        <w:t>。</w:t>
      </w:r>
    </w:p>
    <w:p w14:paraId="36AD8592">
      <w:pPr>
        <w:pageBreakBefore w:val="0"/>
        <w:kinsoku/>
        <w:wordWrap w:val="0"/>
        <w:overflowPunct/>
        <w:topLinePunct w:val="0"/>
        <w:bidi w:val="0"/>
        <w:adjustRightInd w:val="0"/>
        <w:snapToGrid w:val="0"/>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在质保期内，乙方应负责对其提供的设备进行现场维修、损坏件更换，不收取额外费用，响应时间必须满足甲方工作正常运行的要求</w:t>
      </w:r>
      <w:r>
        <w:rPr>
          <w:rFonts w:hint="eastAsia" w:ascii="宋体" w:hAnsi="宋体" w:eastAsia="宋体" w:cs="宋体"/>
          <w:color w:val="auto"/>
          <w:kern w:val="0"/>
          <w:sz w:val="24"/>
          <w:highlight w:val="none"/>
          <w:lang w:val="en-US" w:eastAsia="zh-CN"/>
        </w:rPr>
        <w:t>。</w:t>
      </w:r>
    </w:p>
    <w:p w14:paraId="07C17150">
      <w:pPr>
        <w:pageBreakBefore w:val="0"/>
        <w:widowControl/>
        <w:kinsoku/>
        <w:wordWrap w:val="0"/>
        <w:overflowPunct/>
        <w:topLinePunct w:val="0"/>
        <w:bidi w:val="0"/>
        <w:spacing w:line="360" w:lineRule="auto"/>
        <w:ind w:firstLine="241" w:firstLineChars="10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第八条：</w:t>
      </w:r>
      <w:r>
        <w:rPr>
          <w:rFonts w:hint="eastAsia" w:ascii="宋体" w:hAnsi="宋体" w:eastAsia="宋体" w:cs="宋体"/>
          <w:color w:val="auto"/>
          <w:kern w:val="0"/>
          <w:sz w:val="24"/>
          <w:highlight w:val="none"/>
        </w:rPr>
        <w:t>乙方承担合同标的供货、安装调试及交付前的一切费用(包括不可预见费用)和市场风险。</w:t>
      </w:r>
    </w:p>
    <w:p w14:paraId="02F3CC20">
      <w:pPr>
        <w:pageBreakBefore w:val="0"/>
        <w:widowControl/>
        <w:kinsoku/>
        <w:wordWrap w:val="0"/>
        <w:overflowPunct/>
        <w:topLinePunct w:val="0"/>
        <w:bidi w:val="0"/>
        <w:spacing w:line="360" w:lineRule="auto"/>
        <w:ind w:firstLine="241" w:firstLineChars="1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第九条：其他约定</w:t>
      </w:r>
    </w:p>
    <w:p w14:paraId="150975BC">
      <w:pPr>
        <w:pageBreakBefore w:val="0"/>
        <w:kinsoku/>
        <w:wordWrap w:val="0"/>
        <w:overflowPunct/>
        <w:topLinePunct w:val="0"/>
        <w:bidi w:val="0"/>
        <w:adjustRightInd w:val="0"/>
        <w:snapToGrid w:val="0"/>
        <w:spacing w:line="360" w:lineRule="auto"/>
        <w:ind w:firstLine="424" w:firstLineChars="177"/>
        <w:rPr>
          <w:rFonts w:hint="eastAsia" w:ascii="宋体" w:hAnsi="宋体" w:eastAsia="宋体" w:cs="宋体"/>
          <w:color w:val="auto"/>
          <w:kern w:val="0"/>
          <w:sz w:val="24"/>
          <w:szCs w:val="22"/>
          <w:highlight w:val="none"/>
          <w:u w:val="single"/>
        </w:rPr>
      </w:pPr>
      <w:r>
        <w:rPr>
          <w:rFonts w:hint="eastAsia" w:ascii="宋体" w:hAnsi="宋体" w:eastAsia="宋体" w:cs="宋体"/>
          <w:color w:val="auto"/>
          <w:kern w:val="0"/>
          <w:sz w:val="24"/>
          <w:szCs w:val="22"/>
          <w:highlight w:val="none"/>
          <w:u w:val="single"/>
        </w:rPr>
        <w:t>1.根据招标文件要求和投标文件响应内容提供设备及服务。</w:t>
      </w:r>
    </w:p>
    <w:p w14:paraId="34E7A4A2">
      <w:pPr>
        <w:pageBreakBefore w:val="0"/>
        <w:kinsoku/>
        <w:wordWrap w:val="0"/>
        <w:overflowPunct/>
        <w:topLinePunct w:val="0"/>
        <w:bidi w:val="0"/>
        <w:adjustRightInd w:val="0"/>
        <w:snapToGrid w:val="0"/>
        <w:spacing w:line="360" w:lineRule="auto"/>
        <w:ind w:firstLine="424" w:firstLineChars="177"/>
        <w:rPr>
          <w:rFonts w:hint="eastAsia" w:ascii="宋体" w:hAnsi="宋体" w:eastAsia="宋体" w:cs="宋体"/>
          <w:color w:val="auto"/>
          <w:kern w:val="0"/>
          <w:sz w:val="24"/>
          <w:szCs w:val="22"/>
          <w:highlight w:val="none"/>
          <w:u w:val="single"/>
        </w:rPr>
      </w:pPr>
      <w:r>
        <w:rPr>
          <w:rFonts w:hint="eastAsia" w:ascii="宋体" w:hAnsi="宋体" w:eastAsia="宋体" w:cs="宋体"/>
          <w:color w:val="auto"/>
          <w:kern w:val="0"/>
          <w:sz w:val="24"/>
          <w:szCs w:val="22"/>
          <w:highlight w:val="none"/>
          <w:u w:val="single"/>
        </w:rPr>
        <w:t xml:space="preserve">2.                                   </w:t>
      </w:r>
      <w:r>
        <w:rPr>
          <w:rFonts w:hint="eastAsia" w:ascii="宋体" w:hAnsi="宋体" w:eastAsia="宋体" w:cs="宋体"/>
          <w:color w:val="auto"/>
          <w:kern w:val="0"/>
          <w:sz w:val="24"/>
          <w:szCs w:val="22"/>
          <w:highlight w:val="none"/>
          <w:u w:val="single"/>
          <w:lang w:val="en-US" w:eastAsia="zh-CN"/>
        </w:rPr>
        <w:t xml:space="preserve">               </w:t>
      </w:r>
    </w:p>
    <w:p w14:paraId="157DFDD4">
      <w:pPr>
        <w:pageBreakBefore w:val="0"/>
        <w:widowControl/>
        <w:kinsoku/>
        <w:wordWrap w:val="0"/>
        <w:overflowPunct/>
        <w:topLinePunct w:val="0"/>
        <w:bidi w:val="0"/>
        <w:spacing w:line="360" w:lineRule="auto"/>
        <w:ind w:firstLine="241" w:firstLineChars="1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第十条：违约责任</w:t>
      </w:r>
    </w:p>
    <w:p w14:paraId="517EA7C3">
      <w:pPr>
        <w:pageBreakBefore w:val="0"/>
        <w:widowControl/>
        <w:kinsoku/>
        <w:wordWrap w:val="0"/>
        <w:overflowPunct/>
        <w:topLinePunct w:val="0"/>
        <w:bidi w:val="0"/>
        <w:spacing w:line="360" w:lineRule="auto"/>
        <w:ind w:firstLine="5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并提请相关部门按照政府采购的有关规定对乙方进行处理。</w:t>
      </w:r>
    </w:p>
    <w:p w14:paraId="4B8DF8DC">
      <w:pPr>
        <w:pageBreakBefore w:val="0"/>
        <w:widowControl/>
        <w:kinsoku/>
        <w:wordWrap w:val="0"/>
        <w:overflowPunct/>
        <w:topLinePunct w:val="0"/>
        <w:bidi w:val="0"/>
        <w:spacing w:line="360" w:lineRule="auto"/>
        <w:ind w:firstLine="480" w:firstLineChars="20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乙方按合同要求将货物送达甲方后，经验收通过后，甲方超出付款期支付货款的，每逾一天，甲方应向乙方支付合同货物金额的千分之三的滞纳金。若遇特殊情况甲方要求推迟供货或验收的，必须事先征得乙方的同意，否则应承担由此给乙方造成的损失。</w:t>
      </w:r>
    </w:p>
    <w:p w14:paraId="2BF439CA">
      <w:pPr>
        <w:pageBreakBefore w:val="0"/>
        <w:widowControl/>
        <w:kinsoku/>
        <w:wordWrap w:val="0"/>
        <w:overflowPunct/>
        <w:topLinePunct w:val="0"/>
        <w:bidi w:val="0"/>
        <w:spacing w:line="360" w:lineRule="auto"/>
        <w:ind w:firstLine="241" w:firstLineChars="1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第十一条：争议的解决</w:t>
      </w:r>
    </w:p>
    <w:p w14:paraId="4909DE1B">
      <w:pPr>
        <w:pageBreakBefore w:val="0"/>
        <w:kinsoku/>
        <w:wordWrap w:val="0"/>
        <w:overflowPunct/>
        <w:topLinePunct w:val="0"/>
        <w:bidi w:val="0"/>
        <w:adjustRightInd w:val="0"/>
        <w:snapToGrid w:val="0"/>
        <w:spacing w:line="360" w:lineRule="auto"/>
        <w:ind w:firstLine="424" w:firstLineChars="177"/>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1.因质量问题发生争议的，由甲方委托有关技术部门进行质量鉴定，该鉴定的结论甲乙双方应当接受，各方均有权直接向对方索赔，并签订书面处理协议书，报见证方备案。</w:t>
      </w:r>
    </w:p>
    <w:p w14:paraId="0E0A0FDB">
      <w:pPr>
        <w:pageBreakBefore w:val="0"/>
        <w:kinsoku/>
        <w:wordWrap w:val="0"/>
        <w:overflowPunct/>
        <w:topLinePunct w:val="0"/>
        <w:bidi w:val="0"/>
        <w:adjustRightInd w:val="0"/>
        <w:snapToGrid w:val="0"/>
        <w:spacing w:line="360" w:lineRule="auto"/>
        <w:ind w:firstLine="424" w:firstLineChars="177"/>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2.双方无法通过协商解决合同争议的，任何一方有权向建德市人民法院提出诉讼。</w:t>
      </w:r>
    </w:p>
    <w:p w14:paraId="491E4AA3">
      <w:pPr>
        <w:pageBreakBefore w:val="0"/>
        <w:widowControl/>
        <w:kinsoku/>
        <w:wordWrap w:val="0"/>
        <w:overflowPunct/>
        <w:topLinePunct w:val="0"/>
        <w:bidi w:val="0"/>
        <w:spacing w:line="360" w:lineRule="auto"/>
        <w:ind w:firstLine="241" w:firstLineChars="1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第十二条：不可抗力</w:t>
      </w:r>
    </w:p>
    <w:p w14:paraId="1258E1D7">
      <w:pPr>
        <w:pageBreakBefore w:val="0"/>
        <w:widowControl/>
        <w:kinsoku/>
        <w:wordWrap w:val="0"/>
        <w:overflowPunct/>
        <w:topLinePunct w:val="0"/>
        <w:bidi w:val="0"/>
        <w:spacing w:line="360" w:lineRule="auto"/>
        <w:ind w:firstLine="480" w:firstLineChars="20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不可抗力是指战争、洪水、台风、地震等或其他双方认定的不能预见其发生及后果，无法避免和克服的事件。甲乙双方任何一方由于不可抗力的原因不能全部或部分履行合同时，应尽快向对方通报理由，在提供相关证明后，可允许延期履行、部分履行或不履行，并可根据实际情况部分或全部免于承担违约责任。</w:t>
      </w:r>
    </w:p>
    <w:p w14:paraId="339BB5A0">
      <w:pPr>
        <w:pageBreakBefore w:val="0"/>
        <w:widowControl/>
        <w:kinsoku/>
        <w:wordWrap w:val="0"/>
        <w:overflowPunct/>
        <w:topLinePunct w:val="0"/>
        <w:bidi w:val="0"/>
        <w:spacing w:line="360" w:lineRule="auto"/>
        <w:ind w:firstLine="241" w:firstLineChars="1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第十三条：合同的生效</w:t>
      </w:r>
    </w:p>
    <w:p w14:paraId="598304AB">
      <w:pPr>
        <w:pageBreakBefore w:val="0"/>
        <w:kinsoku/>
        <w:wordWrap w:val="0"/>
        <w:overflowPunct/>
        <w:topLinePunct w:val="0"/>
        <w:bidi w:val="0"/>
        <w:adjustRightInd w:val="0"/>
        <w:snapToGrid w:val="0"/>
        <w:spacing w:line="360" w:lineRule="auto"/>
        <w:ind w:firstLine="424" w:firstLineChars="177"/>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1.本合同一式</w:t>
      </w:r>
      <w:r>
        <w:rPr>
          <w:rFonts w:hint="eastAsia" w:ascii="宋体" w:hAnsi="宋体" w:eastAsia="宋体" w:cs="宋体"/>
          <w:color w:val="auto"/>
          <w:kern w:val="0"/>
          <w:sz w:val="24"/>
          <w:szCs w:val="22"/>
          <w:highlight w:val="none"/>
          <w:lang w:val="en-US" w:eastAsia="zh-CN"/>
        </w:rPr>
        <w:t>拾</w:t>
      </w:r>
      <w:r>
        <w:rPr>
          <w:rFonts w:hint="eastAsia" w:ascii="宋体" w:hAnsi="宋体" w:eastAsia="宋体" w:cs="宋体"/>
          <w:color w:val="auto"/>
          <w:kern w:val="0"/>
          <w:sz w:val="24"/>
          <w:szCs w:val="22"/>
          <w:highlight w:val="none"/>
        </w:rPr>
        <w:t>份，甲</w:t>
      </w:r>
      <w:r>
        <w:rPr>
          <w:rFonts w:hint="eastAsia" w:ascii="宋体" w:hAnsi="宋体" w:eastAsia="宋体" w:cs="宋体"/>
          <w:color w:val="auto"/>
          <w:kern w:val="0"/>
          <w:sz w:val="24"/>
          <w:szCs w:val="22"/>
          <w:highlight w:val="none"/>
          <w:lang w:eastAsia="zh-CN"/>
        </w:rPr>
        <w:t>方</w:t>
      </w:r>
      <w:r>
        <w:rPr>
          <w:rFonts w:hint="eastAsia" w:ascii="宋体" w:hAnsi="宋体" w:eastAsia="宋体" w:cs="宋体"/>
          <w:color w:val="auto"/>
          <w:kern w:val="0"/>
          <w:sz w:val="24"/>
          <w:szCs w:val="22"/>
          <w:highlight w:val="none"/>
          <w:lang w:val="en-US" w:eastAsia="zh-CN"/>
        </w:rPr>
        <w:t>六</w:t>
      </w:r>
      <w:r>
        <w:rPr>
          <w:rFonts w:hint="eastAsia" w:ascii="宋体" w:hAnsi="宋体" w:eastAsia="宋体" w:cs="宋体"/>
          <w:color w:val="auto"/>
          <w:kern w:val="0"/>
          <w:sz w:val="24"/>
          <w:szCs w:val="22"/>
          <w:highlight w:val="none"/>
          <w:lang w:eastAsia="zh-CN"/>
        </w:rPr>
        <w:t>份，</w:t>
      </w:r>
      <w:r>
        <w:rPr>
          <w:rFonts w:hint="eastAsia" w:ascii="宋体" w:hAnsi="宋体" w:eastAsia="宋体" w:cs="宋体"/>
          <w:color w:val="auto"/>
          <w:kern w:val="0"/>
          <w:sz w:val="24"/>
          <w:szCs w:val="22"/>
          <w:highlight w:val="none"/>
        </w:rPr>
        <w:t>乙方二份，见证单位一份，监管部门一份。</w:t>
      </w:r>
    </w:p>
    <w:p w14:paraId="404A0922">
      <w:pPr>
        <w:pageBreakBefore w:val="0"/>
        <w:kinsoku/>
        <w:wordWrap w:val="0"/>
        <w:overflowPunct/>
        <w:topLinePunct w:val="0"/>
        <w:bidi w:val="0"/>
        <w:adjustRightInd w:val="0"/>
        <w:snapToGrid w:val="0"/>
        <w:spacing w:line="360" w:lineRule="auto"/>
        <w:ind w:firstLine="424" w:firstLineChars="177"/>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2.本合同经甲乙双方法定代表人或委托代理人签字并加盖公章经见证方见证后生效。</w:t>
      </w:r>
    </w:p>
    <w:p w14:paraId="1B5EFDD9">
      <w:pPr>
        <w:pageBreakBefore w:val="0"/>
        <w:kinsoku/>
        <w:wordWrap w:val="0"/>
        <w:overflowPunct/>
        <w:topLinePunct w:val="0"/>
        <w:bidi w:val="0"/>
        <w:adjustRightInd w:val="0"/>
        <w:snapToGrid w:val="0"/>
        <w:spacing w:line="360" w:lineRule="auto"/>
        <w:ind w:firstLine="424" w:firstLineChars="177"/>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3.本合同未尽事宜，经双方商议可续签补充协议。该补充协议与本合同具有相同法律效力，但该补充协议的内容不能实质性修改招标文件的主要条款。</w:t>
      </w:r>
    </w:p>
    <w:p w14:paraId="0775B41F">
      <w:pPr>
        <w:pageBreakBefore w:val="0"/>
        <w:kinsoku/>
        <w:wordWrap w:val="0"/>
        <w:overflowPunct/>
        <w:topLinePunct w:val="0"/>
        <w:bidi w:val="0"/>
        <w:adjustRightInd w:val="0"/>
        <w:snapToGrid w:val="0"/>
        <w:spacing w:line="360" w:lineRule="auto"/>
        <w:ind w:firstLine="424" w:firstLineChars="177"/>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4.本合同未涉及的部分以招标文件（项目编号：</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kern w:val="0"/>
          <w:sz w:val="24"/>
          <w:szCs w:val="22"/>
          <w:highlight w:val="none"/>
        </w:rPr>
        <w:t>）(包括补充更正，如有)为准，上述招标文件与乙方针对本项目投标文件及记录是本合同的附件，与本合同具有同等法律效力，但附件与主合同的规定不一致时，以主合同为准。</w:t>
      </w:r>
    </w:p>
    <w:p w14:paraId="265F3CFF">
      <w:pPr>
        <w:pStyle w:val="34"/>
        <w:pageBreakBefore w:val="0"/>
        <w:kinsoku/>
        <w:wordWrap w:val="0"/>
        <w:overflowPunct/>
        <w:topLinePunct w:val="0"/>
        <w:bidi w:val="0"/>
        <w:snapToGrid w:val="0"/>
        <w:spacing w:line="440" w:lineRule="exact"/>
        <w:rPr>
          <w:rFonts w:hint="eastAsia" w:ascii="宋体" w:hAnsi="宋体" w:eastAsia="宋体" w:cs="宋体"/>
          <w:b/>
          <w:color w:val="auto"/>
          <w:sz w:val="24"/>
          <w:szCs w:val="24"/>
          <w:highlight w:val="none"/>
        </w:rPr>
      </w:pPr>
    </w:p>
    <w:p w14:paraId="70B77A18">
      <w:pPr>
        <w:pStyle w:val="34"/>
        <w:pageBreakBefore w:val="0"/>
        <w:kinsoku/>
        <w:wordWrap w:val="0"/>
        <w:overflowPunct/>
        <w:topLinePunct w:val="0"/>
        <w:bidi w:val="0"/>
        <w:snapToGrid w:val="0"/>
        <w:spacing w:line="440" w:lineRule="exact"/>
        <w:rPr>
          <w:rFonts w:hint="eastAsia" w:ascii="宋体" w:hAnsi="宋体" w:eastAsia="宋体" w:cs="宋体"/>
          <w:b/>
          <w:color w:val="auto"/>
          <w:sz w:val="24"/>
          <w:szCs w:val="24"/>
          <w:highlight w:val="none"/>
        </w:rPr>
      </w:pPr>
    </w:p>
    <w:p w14:paraId="22077F75">
      <w:pPr>
        <w:pStyle w:val="34"/>
        <w:pageBreakBefore w:val="0"/>
        <w:kinsoku/>
        <w:wordWrap w:val="0"/>
        <w:overflowPunct/>
        <w:topLinePunct w:val="0"/>
        <w:bidi w:val="0"/>
        <w:snapToGrid w:val="0"/>
        <w:spacing w:line="440" w:lineRule="exact"/>
        <w:ind w:firstLine="241" w:firstLineChars="100"/>
        <w:rPr>
          <w:rFonts w:hint="eastAsia" w:ascii="宋体" w:hAnsi="宋体" w:eastAsia="宋体" w:cs="宋体"/>
          <w:b/>
          <w:color w:val="auto"/>
          <w:sz w:val="24"/>
          <w:szCs w:val="24"/>
          <w:highlight w:val="none"/>
        </w:rPr>
      </w:pPr>
    </w:p>
    <w:p w14:paraId="31D434B2">
      <w:pPr>
        <w:pStyle w:val="34"/>
        <w:pageBreakBefore w:val="0"/>
        <w:kinsoku/>
        <w:wordWrap w:val="0"/>
        <w:overflowPunct/>
        <w:topLinePunct w:val="0"/>
        <w:bidi w:val="0"/>
        <w:snapToGrid w:val="0"/>
        <w:spacing w:line="440" w:lineRule="exact"/>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甲方（盖章）：                               乙方（盖章）：</w:t>
      </w:r>
    </w:p>
    <w:p w14:paraId="4DD74F21">
      <w:pPr>
        <w:pStyle w:val="34"/>
        <w:pageBreakBefore w:val="0"/>
        <w:kinsoku/>
        <w:wordWrap w:val="0"/>
        <w:overflowPunct/>
        <w:topLinePunct w:val="0"/>
        <w:bidi w:val="0"/>
        <w:snapToGrid w:val="0"/>
        <w:spacing w:line="440" w:lineRule="exact"/>
        <w:ind w:left="239" w:leftChars="114" w:firstLine="60" w:firstLine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                         法定代表人或受委托人</w:t>
      </w:r>
    </w:p>
    <w:p w14:paraId="4CE8BB62">
      <w:pPr>
        <w:pStyle w:val="34"/>
        <w:pageBreakBefore w:val="0"/>
        <w:kinsoku/>
        <w:wordWrap w:val="0"/>
        <w:overflowPunct/>
        <w:topLinePunct w:val="0"/>
        <w:bidi w:val="0"/>
        <w:snapToGrid w:val="0"/>
        <w:spacing w:line="440" w:lineRule="exact"/>
        <w:ind w:left="239" w:leftChars="114" w:firstLine="60" w:firstLine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4CB00A24">
      <w:pPr>
        <w:pStyle w:val="34"/>
        <w:pageBreakBefore w:val="0"/>
        <w:kinsoku/>
        <w:wordWrap w:val="0"/>
        <w:overflowPunct/>
        <w:topLinePunct w:val="0"/>
        <w:bidi w:val="0"/>
        <w:snapToGrid w:val="0"/>
        <w:spacing w:line="440" w:lineRule="exact"/>
        <w:ind w:left="239" w:leftChars="114" w:firstLine="60" w:firstLine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14:paraId="7CE3E0F5">
      <w:pPr>
        <w:pStyle w:val="34"/>
        <w:pageBreakBefore w:val="0"/>
        <w:kinsoku/>
        <w:wordWrap w:val="0"/>
        <w:overflowPunct/>
        <w:topLinePunct w:val="0"/>
        <w:bidi w:val="0"/>
        <w:snapToGrid w:val="0"/>
        <w:spacing w:line="440" w:lineRule="exact"/>
        <w:ind w:left="239" w:leftChars="114" w:firstLine="60" w:firstLine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                                       邮编：</w:t>
      </w:r>
    </w:p>
    <w:p w14:paraId="4FBD0177">
      <w:pPr>
        <w:pStyle w:val="34"/>
        <w:pageBreakBefore w:val="0"/>
        <w:kinsoku/>
        <w:wordWrap w:val="0"/>
        <w:overflowPunct/>
        <w:topLinePunct w:val="0"/>
        <w:bidi w:val="0"/>
        <w:snapToGrid w:val="0"/>
        <w:spacing w:line="440" w:lineRule="exact"/>
        <w:ind w:left="239" w:leftChars="114" w:firstLine="60" w:firstLine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1FA76BFF">
      <w:pPr>
        <w:pStyle w:val="34"/>
        <w:pageBreakBefore w:val="0"/>
        <w:kinsoku/>
        <w:wordWrap w:val="0"/>
        <w:overflowPunct/>
        <w:topLinePunct w:val="0"/>
        <w:bidi w:val="0"/>
        <w:snapToGrid w:val="0"/>
        <w:spacing w:line="440" w:lineRule="exact"/>
        <w:ind w:left="239" w:leftChars="114" w:firstLine="60" w:firstLine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636BE301">
      <w:pPr>
        <w:pStyle w:val="34"/>
        <w:pageBreakBefore w:val="0"/>
        <w:kinsoku/>
        <w:wordWrap w:val="0"/>
        <w:overflowPunct/>
        <w:topLinePunct w:val="0"/>
        <w:bidi w:val="0"/>
        <w:snapToGrid w:val="0"/>
        <w:spacing w:line="440" w:lineRule="exact"/>
        <w:ind w:left="239" w:leftChars="114" w:firstLine="60" w:firstLine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     年   月   日</w:t>
      </w:r>
    </w:p>
    <w:p w14:paraId="372E4D80">
      <w:pPr>
        <w:pStyle w:val="34"/>
        <w:pageBreakBefore w:val="0"/>
        <w:kinsoku/>
        <w:wordWrap w:val="0"/>
        <w:overflowPunct/>
        <w:topLinePunct w:val="0"/>
        <w:bidi w:val="0"/>
        <w:snapToGrid w:val="0"/>
        <w:spacing w:line="440" w:lineRule="exact"/>
        <w:ind w:left="239" w:leftChars="114" w:firstLine="60" w:firstLine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签约地点：</w:t>
      </w:r>
    </w:p>
    <w:p w14:paraId="3996877C">
      <w:pPr>
        <w:pStyle w:val="34"/>
        <w:pageBreakBefore w:val="0"/>
        <w:kinsoku/>
        <w:wordWrap w:val="0"/>
        <w:overflowPunct/>
        <w:topLinePunct w:val="0"/>
        <w:bidi w:val="0"/>
        <w:snapToGrid w:val="0"/>
        <w:spacing w:line="440" w:lineRule="exact"/>
        <w:ind w:left="180" w:hanging="180" w:hangingChars="75"/>
        <w:rPr>
          <w:rFonts w:hint="eastAsia" w:ascii="宋体" w:hAnsi="宋体" w:eastAsia="宋体" w:cs="宋体"/>
          <w:color w:val="auto"/>
          <w:sz w:val="24"/>
          <w:szCs w:val="24"/>
          <w:highlight w:val="none"/>
        </w:rPr>
      </w:pPr>
    </w:p>
    <w:p w14:paraId="479FC93C">
      <w:pPr>
        <w:pStyle w:val="34"/>
        <w:pageBreakBefore w:val="0"/>
        <w:kinsoku/>
        <w:wordWrap w:val="0"/>
        <w:overflowPunct/>
        <w:topLinePunct w:val="0"/>
        <w:bidi w:val="0"/>
        <w:snapToGrid w:val="0"/>
        <w:spacing w:line="440" w:lineRule="exact"/>
        <w:ind w:left="239" w:leftChars="114" w:firstLine="60" w:firstLine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见证单位：（盖章）</w:t>
      </w:r>
    </w:p>
    <w:p w14:paraId="72896361">
      <w:pPr>
        <w:pStyle w:val="34"/>
        <w:pageBreakBefore w:val="0"/>
        <w:kinsoku/>
        <w:wordWrap w:val="0"/>
        <w:overflowPunct/>
        <w:topLinePunct w:val="0"/>
        <w:bidi w:val="0"/>
        <w:snapToGrid w:val="0"/>
        <w:spacing w:line="440" w:lineRule="exact"/>
        <w:ind w:left="239" w:leftChars="114" w:firstLine="60" w:firstLine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39E946EA">
      <w:pPr>
        <w:pStyle w:val="34"/>
        <w:pageBreakBefore w:val="0"/>
        <w:kinsoku/>
        <w:wordWrap w:val="0"/>
        <w:overflowPunct/>
        <w:topLinePunct w:val="0"/>
        <w:bidi w:val="0"/>
        <w:snapToGrid w:val="0"/>
        <w:spacing w:line="440" w:lineRule="exact"/>
        <w:ind w:left="239" w:leftChars="114" w:firstLine="60" w:firstLine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14:paraId="2EF9ACAA">
      <w:pPr>
        <w:pStyle w:val="34"/>
        <w:pageBreakBefore w:val="0"/>
        <w:kinsoku/>
        <w:wordWrap w:val="0"/>
        <w:overflowPunct/>
        <w:topLinePunct w:val="0"/>
        <w:bidi w:val="0"/>
        <w:rPr>
          <w:rFonts w:hint="eastAsia" w:ascii="宋体" w:hAnsi="宋体" w:eastAsia="宋体" w:cs="宋体"/>
          <w:color w:val="auto"/>
          <w:highlight w:val="none"/>
        </w:rPr>
      </w:pPr>
    </w:p>
    <w:p w14:paraId="09AADEF3">
      <w:pPr>
        <w:pageBreakBefore w:val="0"/>
        <w:kinsoku/>
        <w:wordWrap w:val="0"/>
        <w:overflowPunct/>
        <w:topLinePunct w:val="0"/>
        <w:bidi w:val="0"/>
        <w:spacing w:line="480" w:lineRule="auto"/>
        <w:jc w:val="both"/>
        <w:rPr>
          <w:rFonts w:hint="eastAsia" w:ascii="宋体" w:hAnsi="宋体" w:eastAsia="宋体" w:cs="宋体"/>
          <w:b/>
          <w:color w:val="auto"/>
          <w:sz w:val="24"/>
          <w:highlight w:val="none"/>
        </w:rPr>
      </w:pPr>
    </w:p>
    <w:p w14:paraId="10E8DD24">
      <w:pPr>
        <w:pageBreakBefore w:val="0"/>
        <w:kinsoku/>
        <w:wordWrap w:val="0"/>
        <w:overflowPunct/>
        <w:topLinePunct w:val="0"/>
        <w:bidi w:val="0"/>
        <w:spacing w:line="360" w:lineRule="auto"/>
        <w:ind w:left="-420" w:leftChars="-200" w:right="-420" w:rightChars="-200" w:firstLine="480" w:firstLineChars="200"/>
        <w:rPr>
          <w:rFonts w:hint="eastAsia" w:ascii="宋体" w:hAnsi="宋体" w:eastAsia="宋体" w:cs="宋体"/>
          <w:color w:val="auto"/>
          <w:sz w:val="24"/>
          <w:highlight w:val="none"/>
        </w:rPr>
      </w:pPr>
    </w:p>
    <w:p w14:paraId="180CA8B0">
      <w:pPr>
        <w:pageBreakBefore w:val="0"/>
        <w:kinsoku/>
        <w:wordWrap w:val="0"/>
        <w:overflowPunct/>
        <w:topLinePunct w:val="0"/>
        <w:bidi w:val="0"/>
        <w:spacing w:line="360" w:lineRule="auto"/>
        <w:ind w:left="-420" w:leftChars="-200" w:right="-420" w:rightChars="-200"/>
        <w:rPr>
          <w:rFonts w:hint="eastAsia" w:ascii="宋体" w:hAnsi="宋体" w:eastAsia="宋体" w:cs="宋体"/>
          <w:color w:val="auto"/>
          <w:sz w:val="24"/>
          <w:highlight w:val="none"/>
        </w:rPr>
      </w:pPr>
    </w:p>
    <w:p w14:paraId="120C0FB4">
      <w:pPr>
        <w:pageBreakBefore w:val="0"/>
        <w:kinsoku/>
        <w:wordWrap w:val="0"/>
        <w:overflowPunct/>
        <w:topLinePunct w:val="0"/>
        <w:bidi w:val="0"/>
        <w:spacing w:line="360" w:lineRule="auto"/>
        <w:jc w:val="both"/>
        <w:outlineLvl w:val="0"/>
        <w:rPr>
          <w:rFonts w:hint="eastAsia" w:ascii="宋体" w:hAnsi="宋体" w:eastAsia="宋体" w:cs="宋体"/>
          <w:b/>
          <w:color w:val="auto"/>
          <w:sz w:val="36"/>
          <w:szCs w:val="20"/>
          <w:highlight w:val="none"/>
        </w:rPr>
      </w:pPr>
    </w:p>
    <w:p w14:paraId="14E1BA9F">
      <w:pPr>
        <w:pageBreakBefore w:val="0"/>
        <w:kinsoku/>
        <w:wordWrap w:val="0"/>
        <w:overflowPunct/>
        <w:topLinePunct w:val="0"/>
        <w:bidi w:val="0"/>
        <w:spacing w:line="360" w:lineRule="auto"/>
        <w:jc w:val="center"/>
        <w:outlineLvl w:val="0"/>
        <w:rPr>
          <w:rFonts w:hint="eastAsia" w:ascii="宋体" w:hAnsi="宋体" w:eastAsia="宋体" w:cs="宋体"/>
          <w:b/>
          <w:color w:val="auto"/>
          <w:sz w:val="36"/>
          <w:szCs w:val="20"/>
          <w:highlight w:val="none"/>
        </w:rPr>
      </w:pPr>
    </w:p>
    <w:p w14:paraId="10B0BC52">
      <w:pPr>
        <w:pageBreakBefore w:val="0"/>
        <w:kinsoku/>
        <w:wordWrap w:val="0"/>
        <w:overflowPunct/>
        <w:topLinePunct w:val="0"/>
        <w:bidi w:val="0"/>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29"/>
      <w:r>
        <w:rPr>
          <w:rFonts w:hint="eastAsia" w:ascii="宋体" w:hAnsi="宋体" w:eastAsia="宋体" w:cs="宋体"/>
          <w:b/>
          <w:color w:val="auto"/>
          <w:sz w:val="36"/>
          <w:szCs w:val="20"/>
          <w:highlight w:val="none"/>
        </w:rPr>
        <w:t xml:space="preserve"> </w:t>
      </w:r>
      <w:bookmarkEnd w:id="30"/>
      <w:r>
        <w:rPr>
          <w:rFonts w:hint="eastAsia" w:ascii="宋体" w:hAnsi="宋体" w:eastAsia="宋体" w:cs="宋体"/>
          <w:b/>
          <w:color w:val="auto"/>
          <w:sz w:val="36"/>
          <w:szCs w:val="20"/>
          <w:highlight w:val="none"/>
        </w:rPr>
        <w:t>应提交的有关格式范例</w:t>
      </w:r>
    </w:p>
    <w:p w14:paraId="7CE33315">
      <w:pPr>
        <w:pageBreakBefore w:val="0"/>
        <w:kinsoku/>
        <w:wordWrap w:val="0"/>
        <w:overflowPunct/>
        <w:topLinePunct w:val="0"/>
        <w:bidi w:val="0"/>
        <w:spacing w:line="360" w:lineRule="auto"/>
        <w:jc w:val="center"/>
        <w:outlineLvl w:val="0"/>
        <w:rPr>
          <w:rFonts w:hint="eastAsia" w:ascii="宋体" w:hAnsi="宋体" w:eastAsia="宋体" w:cs="宋体"/>
          <w:b/>
          <w:color w:val="auto"/>
          <w:kern w:val="0"/>
          <w:sz w:val="36"/>
          <w:szCs w:val="36"/>
          <w:highlight w:val="none"/>
        </w:rPr>
      </w:pPr>
    </w:p>
    <w:p w14:paraId="4A5400C6">
      <w:pPr>
        <w:pageBreakBefore w:val="0"/>
        <w:kinsoku/>
        <w:wordWrap w:val="0"/>
        <w:overflowPunct/>
        <w:topLinePunct w:val="0"/>
        <w:bidi w:val="0"/>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7CB26BE">
      <w:pPr>
        <w:pageBreakBefore w:val="0"/>
        <w:kinsoku/>
        <w:wordWrap w:val="0"/>
        <w:overflowPunct/>
        <w:topLinePunct w:val="0"/>
        <w:bidi w:val="0"/>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D48C0B5">
      <w:pPr>
        <w:pageBreakBefore w:val="0"/>
        <w:kinsoku/>
        <w:wordWrap w:val="0"/>
        <w:overflowPunct/>
        <w:topLinePunct w:val="0"/>
        <w:bidi w:val="0"/>
        <w:spacing w:line="360" w:lineRule="auto"/>
        <w:jc w:val="center"/>
        <w:outlineLvl w:val="0"/>
        <w:rPr>
          <w:rFonts w:hint="eastAsia" w:ascii="宋体" w:hAnsi="宋体" w:eastAsia="宋体" w:cs="宋体"/>
          <w:b/>
          <w:color w:val="auto"/>
          <w:kern w:val="0"/>
          <w:sz w:val="36"/>
          <w:szCs w:val="36"/>
          <w:highlight w:val="none"/>
        </w:rPr>
      </w:pPr>
    </w:p>
    <w:p w14:paraId="71B41B48">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eastAsia="zh-CN"/>
        </w:rPr>
        <w:t>非</w:t>
      </w:r>
      <w:r>
        <w:rPr>
          <w:rFonts w:hint="eastAsia" w:ascii="宋体" w:hAnsi="宋体" w:eastAsia="宋体" w:cs="宋体"/>
          <w:color w:val="auto"/>
          <w:sz w:val="24"/>
          <w:highlight w:val="none"/>
        </w:rPr>
        <w:t>政府采购活动应当具备的一般条件的承诺函……………（页码）</w:t>
      </w:r>
    </w:p>
    <w:p w14:paraId="6DB1E0D3">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500C79E">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）本项目的特定资格要求………………………………………………（页码）</w:t>
      </w:r>
    </w:p>
    <w:p w14:paraId="7D478712">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p>
    <w:p w14:paraId="3E403D48">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p>
    <w:p w14:paraId="37578FCF">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eastAsia="zh-CN"/>
        </w:rPr>
        <w:t>非</w:t>
      </w:r>
      <w:r>
        <w:rPr>
          <w:rFonts w:hint="eastAsia" w:ascii="宋体" w:hAnsi="宋体" w:eastAsia="宋体" w:cs="宋体"/>
          <w:b/>
          <w:color w:val="auto"/>
          <w:kern w:val="0"/>
          <w:sz w:val="32"/>
          <w:szCs w:val="32"/>
          <w:highlight w:val="none"/>
        </w:rPr>
        <w:t>政府采购活动应当具备的一般条件的</w:t>
      </w:r>
    </w:p>
    <w:p w14:paraId="5379AC48">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承诺函</w:t>
      </w:r>
    </w:p>
    <w:p w14:paraId="1A9898BC">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建德市乾潭镇安仁村股份经济合作社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浙江中正工程项目管理有限公司</w:t>
      </w:r>
      <w:r>
        <w:rPr>
          <w:rFonts w:hint="eastAsia" w:ascii="宋体" w:hAnsi="宋体" w:eastAsia="宋体" w:cs="宋体"/>
          <w:color w:val="auto"/>
          <w:sz w:val="24"/>
          <w:highlight w:val="none"/>
        </w:rPr>
        <w:t>：</w:t>
      </w:r>
    </w:p>
    <w:p w14:paraId="77E5D415">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建德市乾潭镇安仁社区卫生服务站办公用品采购项目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ZJZZCG2025B-013</w:t>
      </w:r>
      <w:r>
        <w:rPr>
          <w:rFonts w:hint="eastAsia" w:ascii="宋体" w:hAnsi="宋体" w:eastAsia="宋体" w:cs="宋体"/>
          <w:color w:val="auto"/>
          <w:sz w:val="24"/>
          <w:highlight w:val="none"/>
        </w:rPr>
        <w:t>】政府采购活动，郑重承诺：</w:t>
      </w:r>
    </w:p>
    <w:p w14:paraId="36DFD98C">
      <w:pPr>
        <w:pageBreakBefore w:val="0"/>
        <w:kinsoku/>
        <w:wordWrap w:val="0"/>
        <w:overflowPunct/>
        <w:topLinePunct w:val="0"/>
        <w:bidi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5AEF261B">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9058121">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60B2DC4">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B23964D">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9B7748B">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46DA33F">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B7AC326">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38580711">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98FF7EC">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5982D090">
      <w:pPr>
        <w:pageBreakBefore w:val="0"/>
        <w:kinsoku/>
        <w:wordWrap w:val="0"/>
        <w:overflowPunct/>
        <w:topLinePunct w:val="0"/>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3B8D3BC">
      <w:pPr>
        <w:pageBreakBefore w:val="0"/>
        <w:kinsoku/>
        <w:wordWrap w:val="0"/>
        <w:overflowPunct/>
        <w:topLinePunct w:val="0"/>
        <w:bidi w:val="0"/>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F39180E">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9774C12">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18D3F64B">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545A9670">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138F8D57">
      <w:pPr>
        <w:pageBreakBefore w:val="0"/>
        <w:kinsoku/>
        <w:wordWrap w:val="0"/>
        <w:overflowPunct/>
        <w:topLinePunct w:val="0"/>
        <w:bidi w:val="0"/>
        <w:rPr>
          <w:rFonts w:hint="eastAsia" w:ascii="宋体" w:hAnsi="宋体" w:eastAsia="宋体" w:cs="宋体"/>
          <w:color w:val="auto"/>
          <w:highlight w:val="none"/>
        </w:rPr>
      </w:pPr>
    </w:p>
    <w:p w14:paraId="3EFDE82B">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5B9981AF">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2F89083E">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7CB56DB1">
      <w:pPr>
        <w:pageBreakBefore w:val="0"/>
        <w:widowControl/>
        <w:kinsoku/>
        <w:wordWrap w:val="0"/>
        <w:overflowPunct/>
        <w:topLinePunct w:val="0"/>
        <w:bidi w:val="0"/>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93D0A6E">
      <w:pPr>
        <w:pageBreakBefore w:val="0"/>
        <w:widowControl/>
        <w:kinsoku/>
        <w:wordWrap w:val="0"/>
        <w:overflowPunct/>
        <w:topLinePunct w:val="0"/>
        <w:bidi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6B6561DF">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0E4775BB">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430E4C89">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p>
    <w:p w14:paraId="471D000C">
      <w:pPr>
        <w:pageBreakBefore w:val="0"/>
        <w:widowControl/>
        <w:kinsoku/>
        <w:wordWrap w:val="0"/>
        <w:overflowPunct/>
        <w:topLinePunct w:val="0"/>
        <w:bidi w:val="0"/>
        <w:spacing w:line="360" w:lineRule="auto"/>
        <w:ind w:left="150"/>
        <w:jc w:val="center"/>
        <w:rPr>
          <w:rFonts w:hint="eastAsia" w:ascii="宋体" w:hAnsi="宋体" w:eastAsia="宋体" w:cs="宋体"/>
          <w:b/>
          <w:color w:val="auto"/>
          <w:kern w:val="0"/>
          <w:sz w:val="32"/>
          <w:szCs w:val="32"/>
          <w:highlight w:val="none"/>
        </w:rPr>
      </w:pPr>
    </w:p>
    <w:p w14:paraId="2AECC6DF">
      <w:pPr>
        <w:pageBreakBefore w:val="0"/>
        <w:widowControl/>
        <w:kinsoku/>
        <w:wordWrap w:val="0"/>
        <w:overflowPunct/>
        <w:topLinePunct w:val="0"/>
        <w:bidi w:val="0"/>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、本项目的特定资格要求</w:t>
      </w:r>
    </w:p>
    <w:p w14:paraId="1A59E6E4">
      <w:pPr>
        <w:pageBreakBefore w:val="0"/>
        <w:widowControl/>
        <w:kinsoku/>
        <w:wordWrap w:val="0"/>
        <w:overflowPunct/>
        <w:topLinePunct w:val="0"/>
        <w:bidi w:val="0"/>
        <w:spacing w:line="360" w:lineRule="auto"/>
        <w:ind w:firstLine="482" w:firstLineChars="200"/>
        <w:jc w:val="left"/>
        <w:rPr>
          <w:rFonts w:hint="eastAsia" w:ascii="宋体" w:hAnsi="宋体" w:eastAsia="宋体" w:cs="宋体"/>
          <w:b/>
          <w:color w:val="auto"/>
          <w:sz w:val="24"/>
          <w:highlight w:val="none"/>
        </w:rPr>
      </w:pPr>
    </w:p>
    <w:p w14:paraId="59DEFFA9">
      <w:pPr>
        <w:pageBreakBefore w:val="0"/>
        <w:widowControl/>
        <w:kinsoku/>
        <w:wordWrap w:val="0"/>
        <w:overflowPunct/>
        <w:topLinePunct w:val="0"/>
        <w:bidi w:val="0"/>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A31A34F">
      <w:pPr>
        <w:pageBreakBefore w:val="0"/>
        <w:kinsoku/>
        <w:wordWrap w:val="0"/>
        <w:overflowPunct/>
        <w:topLinePunct w:val="0"/>
        <w:bidi w:val="0"/>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8C8E07B">
      <w:pPr>
        <w:pageBreakBefore w:val="0"/>
        <w:kinsoku/>
        <w:wordWrap w:val="0"/>
        <w:overflowPunct/>
        <w:topLinePunct w:val="0"/>
        <w:bidi w:val="0"/>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6C69AEB">
      <w:pPr>
        <w:pageBreakBefore w:val="0"/>
        <w:numPr>
          <w:ilvl w:val="0"/>
          <w:numId w:val="24"/>
        </w:numPr>
        <w:kinsoku/>
        <w:wordWrap w:val="0"/>
        <w:overflowPunct/>
        <w:topLinePunct w:val="0"/>
        <w:bidi w:val="0"/>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投标函</w:t>
      </w:r>
      <w:r>
        <w:rPr>
          <w:rFonts w:hint="eastAsia" w:ascii="宋体" w:hAnsi="宋体" w:eastAsia="宋体" w:cs="宋体"/>
          <w:color w:val="auto"/>
          <w:sz w:val="20"/>
          <w:szCs w:val="22"/>
          <w:highlight w:val="none"/>
        </w:rPr>
        <w:t>…………………………………………………………………………………（页码）</w:t>
      </w:r>
    </w:p>
    <w:p w14:paraId="3169CE7A">
      <w:pPr>
        <w:pageBreakBefore w:val="0"/>
        <w:numPr>
          <w:ilvl w:val="0"/>
          <w:numId w:val="0"/>
        </w:numPr>
        <w:kinsoku/>
        <w:wordWrap w:val="0"/>
        <w:overflowPunct/>
        <w:topLinePunct w:val="0"/>
        <w:bidi w:val="0"/>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（2）授权委托书或法定代表人（单位负责人、自然人本人）身份证明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30D08D3C">
      <w:pPr>
        <w:pageBreakBefore w:val="0"/>
        <w:kinsoku/>
        <w:wordWrap w:val="0"/>
        <w:overflowPunct/>
        <w:topLinePunct w:val="0"/>
        <w:bidi w:val="0"/>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14:paraId="4C976059">
      <w:pPr>
        <w:pageBreakBefore w:val="0"/>
        <w:kinsoku/>
        <w:wordWrap w:val="0"/>
        <w:overflowPunct/>
        <w:topLinePunct w:val="0"/>
        <w:bidi w:val="0"/>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14:paraId="6F6897B0">
      <w:pPr>
        <w:pageBreakBefore w:val="0"/>
        <w:kinsoku/>
        <w:wordWrap w:val="0"/>
        <w:overflowPunct/>
        <w:topLinePunct w:val="0"/>
        <w:bidi w:val="0"/>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14:paraId="7CA47DD8">
      <w:pPr>
        <w:pageBreakBefore w:val="0"/>
        <w:kinsoku/>
        <w:wordWrap w:val="0"/>
        <w:overflowPunct/>
        <w:topLinePunct w:val="0"/>
        <w:bidi w:val="0"/>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14:paraId="72257E3C">
      <w:pPr>
        <w:pageBreakBefore w:val="0"/>
        <w:kinsoku/>
        <w:wordWrap w:val="0"/>
        <w:overflowPunct/>
        <w:topLinePunct w:val="0"/>
        <w:bidi w:val="0"/>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14:paraId="732AE133">
      <w:pPr>
        <w:pageBreakBefore w:val="0"/>
        <w:kinsoku/>
        <w:wordWrap w:val="0"/>
        <w:overflowPunct/>
        <w:topLinePunct w:val="0"/>
        <w:bidi w:val="0"/>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650FE347">
      <w:pPr>
        <w:pageBreakBefore w:val="0"/>
        <w:kinsoku/>
        <w:wordWrap w:val="0"/>
        <w:overflowPunct/>
        <w:topLinePunct w:val="0"/>
        <w:bidi w:val="0"/>
        <w:snapToGrid w:val="0"/>
        <w:spacing w:line="360" w:lineRule="auto"/>
        <w:jc w:val="center"/>
        <w:rPr>
          <w:rFonts w:hint="eastAsia" w:ascii="宋体" w:hAnsi="宋体" w:eastAsia="宋体" w:cs="宋体"/>
          <w:b/>
          <w:color w:val="auto"/>
          <w:kern w:val="0"/>
          <w:sz w:val="32"/>
          <w:szCs w:val="32"/>
          <w:highlight w:val="none"/>
          <w:lang w:val="zh-CN"/>
        </w:rPr>
      </w:pPr>
    </w:p>
    <w:p w14:paraId="794D1894">
      <w:pPr>
        <w:pageBreakBefore w:val="0"/>
        <w:kinsoku/>
        <w:wordWrap w:val="0"/>
        <w:overflowPunct/>
        <w:topLinePunct w:val="0"/>
        <w:bidi w:val="0"/>
        <w:snapToGrid w:val="0"/>
        <w:spacing w:line="360" w:lineRule="auto"/>
        <w:jc w:val="center"/>
        <w:rPr>
          <w:rFonts w:hint="eastAsia" w:ascii="宋体" w:hAnsi="宋体" w:eastAsia="宋体" w:cs="宋体"/>
          <w:b/>
          <w:color w:val="auto"/>
          <w:kern w:val="0"/>
          <w:sz w:val="32"/>
          <w:szCs w:val="32"/>
          <w:highlight w:val="none"/>
          <w:lang w:val="zh-CN"/>
        </w:rPr>
      </w:pPr>
    </w:p>
    <w:p w14:paraId="17087141">
      <w:pPr>
        <w:pageBreakBefore w:val="0"/>
        <w:kinsoku/>
        <w:wordWrap w:val="0"/>
        <w:overflowPunct/>
        <w:topLinePunct w:val="0"/>
        <w:bidi w:val="0"/>
        <w:snapToGrid w:val="0"/>
        <w:spacing w:line="360" w:lineRule="auto"/>
        <w:jc w:val="center"/>
        <w:rPr>
          <w:rFonts w:hint="eastAsia" w:ascii="宋体" w:hAnsi="宋体" w:eastAsia="宋体" w:cs="宋体"/>
          <w:b/>
          <w:color w:val="auto"/>
          <w:kern w:val="0"/>
          <w:sz w:val="32"/>
          <w:szCs w:val="32"/>
          <w:highlight w:val="none"/>
          <w:lang w:val="zh-CN"/>
        </w:rPr>
      </w:pPr>
    </w:p>
    <w:p w14:paraId="08EEFB8F">
      <w:pPr>
        <w:pageBreakBefore w:val="0"/>
        <w:kinsoku/>
        <w:wordWrap w:val="0"/>
        <w:overflowPunct/>
        <w:topLinePunct w:val="0"/>
        <w:bidi w:val="0"/>
        <w:snapToGrid w:val="0"/>
        <w:spacing w:line="360" w:lineRule="auto"/>
        <w:jc w:val="center"/>
        <w:rPr>
          <w:rFonts w:hint="eastAsia" w:ascii="宋体" w:hAnsi="宋体" w:eastAsia="宋体" w:cs="宋体"/>
          <w:b/>
          <w:color w:val="auto"/>
          <w:kern w:val="0"/>
          <w:sz w:val="32"/>
          <w:szCs w:val="32"/>
          <w:highlight w:val="none"/>
          <w:lang w:val="zh-CN"/>
        </w:rPr>
      </w:pPr>
    </w:p>
    <w:p w14:paraId="52AE04C3">
      <w:pPr>
        <w:pageBreakBefore w:val="0"/>
        <w:kinsoku/>
        <w:wordWrap w:val="0"/>
        <w:overflowPunct/>
        <w:topLinePunct w:val="0"/>
        <w:bidi w:val="0"/>
        <w:snapToGrid w:val="0"/>
        <w:spacing w:line="360" w:lineRule="auto"/>
        <w:jc w:val="center"/>
        <w:rPr>
          <w:rFonts w:hint="eastAsia" w:ascii="宋体" w:hAnsi="宋体" w:eastAsia="宋体" w:cs="宋体"/>
          <w:b/>
          <w:color w:val="auto"/>
          <w:kern w:val="0"/>
          <w:sz w:val="32"/>
          <w:szCs w:val="32"/>
          <w:highlight w:val="none"/>
          <w:lang w:val="zh-CN"/>
        </w:rPr>
      </w:pPr>
    </w:p>
    <w:p w14:paraId="0906D006">
      <w:pPr>
        <w:pageBreakBefore w:val="0"/>
        <w:kinsoku/>
        <w:wordWrap w:val="0"/>
        <w:overflowPunct/>
        <w:topLinePunct w:val="0"/>
        <w:bidi w:val="0"/>
        <w:snapToGrid w:val="0"/>
        <w:spacing w:line="360" w:lineRule="auto"/>
        <w:jc w:val="center"/>
        <w:outlineLvl w:val="0"/>
        <w:rPr>
          <w:rFonts w:hint="eastAsia" w:ascii="宋体" w:hAnsi="宋体" w:eastAsia="宋体" w:cs="宋体"/>
          <w:b/>
          <w:color w:val="auto"/>
          <w:kern w:val="0"/>
          <w:sz w:val="32"/>
          <w:szCs w:val="32"/>
          <w:highlight w:val="none"/>
        </w:rPr>
      </w:pPr>
    </w:p>
    <w:p w14:paraId="62234D39">
      <w:pPr>
        <w:pageBreakBefore w:val="0"/>
        <w:kinsoku/>
        <w:wordWrap w:val="0"/>
        <w:overflowPunct/>
        <w:topLinePunct w:val="0"/>
        <w:bidi w:val="0"/>
        <w:snapToGrid w:val="0"/>
        <w:spacing w:line="360" w:lineRule="auto"/>
        <w:jc w:val="center"/>
        <w:outlineLvl w:val="0"/>
        <w:rPr>
          <w:rFonts w:hint="eastAsia" w:ascii="宋体" w:hAnsi="宋体" w:eastAsia="宋体" w:cs="宋体"/>
          <w:b/>
          <w:color w:val="auto"/>
          <w:kern w:val="0"/>
          <w:sz w:val="32"/>
          <w:szCs w:val="32"/>
          <w:highlight w:val="none"/>
        </w:rPr>
      </w:pPr>
    </w:p>
    <w:p w14:paraId="13F5607A">
      <w:pPr>
        <w:pageBreakBefore w:val="0"/>
        <w:kinsoku/>
        <w:wordWrap w:val="0"/>
        <w:overflowPunct/>
        <w:topLinePunct w:val="0"/>
        <w:bidi w:val="0"/>
        <w:rPr>
          <w:rFonts w:hint="eastAsia" w:ascii="宋体" w:hAnsi="宋体" w:eastAsia="宋体" w:cs="宋体"/>
          <w:color w:val="auto"/>
          <w:highlight w:val="none"/>
        </w:rPr>
      </w:pPr>
    </w:p>
    <w:p w14:paraId="3C87A043">
      <w:pPr>
        <w:pageBreakBefore w:val="0"/>
        <w:kinsoku/>
        <w:wordWrap w:val="0"/>
        <w:overflowPunct/>
        <w:topLinePunct w:val="0"/>
        <w:bidi w:val="0"/>
        <w:snapToGrid w:val="0"/>
        <w:spacing w:line="360" w:lineRule="auto"/>
        <w:jc w:val="center"/>
        <w:outlineLvl w:val="0"/>
        <w:rPr>
          <w:rFonts w:hint="eastAsia" w:ascii="宋体" w:hAnsi="宋体" w:eastAsia="宋体" w:cs="宋体"/>
          <w:b/>
          <w:color w:val="auto"/>
          <w:kern w:val="0"/>
          <w:sz w:val="32"/>
          <w:szCs w:val="32"/>
          <w:highlight w:val="none"/>
        </w:rPr>
      </w:pPr>
    </w:p>
    <w:p w14:paraId="3E8FEAE9">
      <w:pPr>
        <w:pageBreakBefore w:val="0"/>
        <w:kinsoku/>
        <w:wordWrap w:val="0"/>
        <w:overflowPunct/>
        <w:topLinePunct w:val="0"/>
        <w:bidi w:val="0"/>
        <w:snapToGrid w:val="0"/>
        <w:spacing w:line="360" w:lineRule="auto"/>
        <w:jc w:val="center"/>
        <w:outlineLvl w:val="0"/>
        <w:rPr>
          <w:rFonts w:hint="eastAsia" w:ascii="宋体" w:hAnsi="宋体" w:eastAsia="宋体" w:cs="宋体"/>
          <w:b/>
          <w:color w:val="auto"/>
          <w:kern w:val="0"/>
          <w:sz w:val="32"/>
          <w:szCs w:val="32"/>
          <w:highlight w:val="none"/>
        </w:rPr>
      </w:pPr>
    </w:p>
    <w:p w14:paraId="5843D522">
      <w:pPr>
        <w:pStyle w:val="3"/>
        <w:pageBreakBefore w:val="0"/>
        <w:kinsoku/>
        <w:wordWrap w:val="0"/>
        <w:overflowPunct/>
        <w:topLinePunct w:val="0"/>
        <w:bidi w:val="0"/>
        <w:rPr>
          <w:rFonts w:hint="eastAsia" w:ascii="宋体" w:hAnsi="宋体" w:eastAsia="宋体" w:cs="宋体"/>
          <w:color w:val="auto"/>
          <w:highlight w:val="none"/>
          <w:lang w:val="en-US"/>
        </w:rPr>
      </w:pPr>
    </w:p>
    <w:p w14:paraId="2DB556B7">
      <w:pPr>
        <w:pageBreakBefore w:val="0"/>
        <w:kinsoku/>
        <w:wordWrap w:val="0"/>
        <w:overflowPunct/>
        <w:topLinePunct w:val="0"/>
        <w:bidi w:val="0"/>
        <w:rPr>
          <w:rFonts w:hint="eastAsia" w:ascii="宋体" w:hAnsi="宋体" w:eastAsia="宋体" w:cs="宋体"/>
          <w:color w:val="auto"/>
          <w:highlight w:val="none"/>
        </w:rPr>
      </w:pPr>
    </w:p>
    <w:p w14:paraId="1B4FB0B3">
      <w:pPr>
        <w:pageBreakBefore w:val="0"/>
        <w:kinsoku/>
        <w:wordWrap w:val="0"/>
        <w:overflowPunct/>
        <w:topLinePunct w:val="0"/>
        <w:bidi w:val="0"/>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126F1027">
      <w:pPr>
        <w:pageBreakBefore w:val="0"/>
        <w:kinsoku/>
        <w:wordWrap w:val="0"/>
        <w:overflowPunct/>
        <w:topLinePunct w:val="0"/>
        <w:bidi w:val="0"/>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65F516D">
      <w:pPr>
        <w:pageBreakBefore w:val="0"/>
        <w:kinsoku/>
        <w:wordWrap w:val="0"/>
        <w:overflowPunct/>
        <w:topLinePunct w:val="0"/>
        <w:bidi w:val="0"/>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62F6A916">
      <w:pPr>
        <w:pageBreakBefore w:val="0"/>
        <w:widowControl/>
        <w:kinsoku/>
        <w:wordWrap w:val="0"/>
        <w:overflowPunct/>
        <w:topLinePunct w:val="0"/>
        <w:bidi w:val="0"/>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0A6CC27">
      <w:pPr>
        <w:pageBreakBefore w:val="0"/>
        <w:kinsoku/>
        <w:wordWrap w:val="0"/>
        <w:overflowPunct/>
        <w:topLinePunct w:val="0"/>
        <w:bidi w:val="0"/>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FEFE191">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建德市乾潭镇安仁村股份经济合作社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浙江中正工程项目管理有限公司</w:t>
      </w:r>
      <w:r>
        <w:rPr>
          <w:rFonts w:hint="eastAsia" w:ascii="宋体" w:hAnsi="宋体" w:eastAsia="宋体" w:cs="宋体"/>
          <w:color w:val="auto"/>
          <w:sz w:val="24"/>
          <w:highlight w:val="none"/>
        </w:rPr>
        <w:t>：</w:t>
      </w:r>
    </w:p>
    <w:p w14:paraId="5DF970F7">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建德市乾潭镇安仁社区卫生服务站办公用品采购项目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ZJZZCG2025B-013</w:t>
      </w:r>
      <w:r>
        <w:rPr>
          <w:rFonts w:hint="eastAsia" w:ascii="宋体" w:hAnsi="宋体" w:eastAsia="宋体" w:cs="宋体"/>
          <w:color w:val="auto"/>
          <w:sz w:val="24"/>
          <w:highlight w:val="none"/>
        </w:rPr>
        <w:t>】招标的有关活动，并对此项目进行投标。为此：</w:t>
      </w:r>
    </w:p>
    <w:p w14:paraId="69753B8B">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01F6612">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1204051">
      <w:pPr>
        <w:keepNext w:val="0"/>
        <w:keepLines w:val="0"/>
        <w:pageBreakBefore w:val="0"/>
        <w:widowControl w:val="0"/>
        <w:kinsoku/>
        <w:wordWrap w:val="0"/>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AC30BA0">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CABBBA2">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397" w:name="OLE_LINK21"/>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bookmarkEnd w:id="397"/>
      <w:r>
        <w:rPr>
          <w:rFonts w:hint="eastAsia" w:ascii="宋体" w:hAnsi="宋体" w:eastAsia="宋体" w:cs="宋体"/>
          <w:snapToGrid w:val="0"/>
          <w:color w:val="auto"/>
          <w:kern w:val="28"/>
          <w:sz w:val="24"/>
          <w:szCs w:val="20"/>
          <w:highlight w:val="none"/>
        </w:rPr>
        <w:t>；</w:t>
      </w:r>
    </w:p>
    <w:p w14:paraId="6DF3AF7C">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ECF0DB5">
      <w:pPr>
        <w:keepNext w:val="0"/>
        <w:keepLines w:val="0"/>
        <w:pageBreakBefore w:val="0"/>
        <w:widowControl w:val="0"/>
        <w:kinsoku/>
        <w:wordWrap w:val="0"/>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8A30659">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0D4B0FF">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E443FCF">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7968BCB">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59ADD9AA">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59C7122F">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00EB2A6E">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C56B948">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C76F1AA">
      <w:pPr>
        <w:keepNext w:val="0"/>
        <w:keepLines w:val="0"/>
        <w:pageBreakBefore w:val="0"/>
        <w:widowControl w:val="0"/>
        <w:kinsoku/>
        <w:wordWrap w:val="0"/>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6C1AD7D">
      <w:pPr>
        <w:keepNext w:val="0"/>
        <w:keepLines w:val="0"/>
        <w:pageBreakBefore w:val="0"/>
        <w:widowControl w:val="0"/>
        <w:kinsoku/>
        <w:wordWrap w:val="0"/>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5D43052">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0F57FDD6">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38EE834D">
      <w:pPr>
        <w:keepNext w:val="0"/>
        <w:keepLines w:val="0"/>
        <w:pageBreakBefore w:val="0"/>
        <w:widowControl w:val="0"/>
        <w:kinsoku/>
        <w:wordWrap w:val="0"/>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BA6489F">
      <w:pPr>
        <w:keepNext w:val="0"/>
        <w:keepLines w:val="0"/>
        <w:pageBreakBefore w:val="0"/>
        <w:widowControl w:val="0"/>
        <w:kinsoku/>
        <w:wordWrap w:val="0"/>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45102BC">
      <w:pPr>
        <w:keepNext w:val="0"/>
        <w:keepLines w:val="0"/>
        <w:pageBreakBefore w:val="0"/>
        <w:widowControl w:val="0"/>
        <w:kinsoku/>
        <w:wordWrap w:val="0"/>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44BB3A3B">
      <w:pPr>
        <w:keepNext w:val="0"/>
        <w:keepLines w:val="0"/>
        <w:pageBreakBefore w:val="0"/>
        <w:widowControl w:val="0"/>
        <w:kinsoku/>
        <w:wordWrap w:val="0"/>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04076D3">
      <w:pPr>
        <w:keepNext w:val="0"/>
        <w:keepLines w:val="0"/>
        <w:pageBreakBefore w:val="0"/>
        <w:widowControl w:val="0"/>
        <w:kinsoku/>
        <w:wordWrap w:val="0"/>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18764DF">
      <w:pPr>
        <w:pageBreakBefore w:val="0"/>
        <w:kinsoku/>
        <w:wordWrap w:val="0"/>
        <w:overflowPunct/>
        <w:topLinePunct w:val="0"/>
        <w:bidi w:val="0"/>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1D5073CA">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9194B44">
      <w:pPr>
        <w:pageBreakBefore w:val="0"/>
        <w:kinsoku/>
        <w:wordWrap w:val="0"/>
        <w:overflowPunct/>
        <w:topLinePunct w:val="0"/>
        <w:bidi w:val="0"/>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117635C">
      <w:pPr>
        <w:pageBreakBefore w:val="0"/>
        <w:kinsoku/>
        <w:wordWrap w:val="0"/>
        <w:overflowPunct/>
        <w:topLinePunct w:val="0"/>
        <w:bidi w:val="0"/>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FD6B2A7">
      <w:pPr>
        <w:pageBreakBefore w:val="0"/>
        <w:kinsoku/>
        <w:wordWrap w:val="0"/>
        <w:overflowPunct/>
        <w:topLinePunct w:val="0"/>
        <w:bidi w:val="0"/>
        <w:snapToGrid w:val="0"/>
        <w:spacing w:line="360" w:lineRule="auto"/>
        <w:jc w:val="center"/>
        <w:rPr>
          <w:rFonts w:hint="eastAsia" w:ascii="宋体" w:hAnsi="宋体" w:eastAsia="宋体" w:cs="宋体"/>
          <w:b/>
          <w:color w:val="auto"/>
          <w:kern w:val="0"/>
          <w:sz w:val="32"/>
          <w:szCs w:val="32"/>
          <w:highlight w:val="none"/>
        </w:rPr>
      </w:pPr>
    </w:p>
    <w:p w14:paraId="0E48C2E5">
      <w:pPr>
        <w:pageBreakBefore w:val="0"/>
        <w:kinsoku/>
        <w:wordWrap w:val="0"/>
        <w:overflowPunct/>
        <w:topLinePunct w:val="0"/>
        <w:bidi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9B5F015">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AEF83BB">
      <w:pPr>
        <w:pageBreakBefore w:val="0"/>
        <w:kinsoku/>
        <w:wordWrap w:val="0"/>
        <w:overflowPunct/>
        <w:topLinePunct w:val="0"/>
        <w:bidi w:val="0"/>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22CDAE69">
      <w:pPr>
        <w:pageBreakBefore w:val="0"/>
        <w:kinsoku/>
        <w:wordWrap w:val="0"/>
        <w:overflowPunct/>
        <w:topLinePunct w:val="0"/>
        <w:bidi w:val="0"/>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建德市乾潭镇安仁村股份经济合作社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浙江中正工程项目管理有限公司</w:t>
      </w:r>
      <w:r>
        <w:rPr>
          <w:rFonts w:hint="eastAsia" w:ascii="宋体" w:hAnsi="宋体" w:eastAsia="宋体" w:cs="宋体"/>
          <w:color w:val="auto"/>
          <w:kern w:val="0"/>
          <w:sz w:val="24"/>
          <w:highlight w:val="none"/>
          <w:lang w:val="zh-CN"/>
        </w:rPr>
        <w:t>：</w:t>
      </w:r>
    </w:p>
    <w:p w14:paraId="1AB2BE76">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建德市乾潭镇安仁社区卫生服务站办公用品采购项目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ZJZZCG2025B-013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采购投标的一切事项，其法律后果由我方承担。</w:t>
      </w:r>
    </w:p>
    <w:p w14:paraId="7E692018">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1EF9CE4">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07728F9">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E39A78A">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6F917F4">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p>
    <w:p w14:paraId="318AEE0F">
      <w:pPr>
        <w:pStyle w:val="84"/>
        <w:pageBreakBefore w:val="0"/>
        <w:kinsoku/>
        <w:wordWrap w:val="0"/>
        <w:overflowPunct/>
        <w:topLinePunct w:val="0"/>
        <w:bidi w:val="0"/>
        <w:rPr>
          <w:rFonts w:hint="eastAsia" w:ascii="宋体" w:hAnsi="宋体" w:eastAsia="宋体" w:cs="宋体"/>
          <w:color w:val="auto"/>
          <w:sz w:val="24"/>
          <w:highlight w:val="none"/>
        </w:rPr>
      </w:pPr>
    </w:p>
    <w:p w14:paraId="56E22ED8">
      <w:pPr>
        <w:pageBreakBefore w:val="0"/>
        <w:kinsoku/>
        <w:wordWrap w:val="0"/>
        <w:overflowPunct/>
        <w:topLinePunct w:val="0"/>
        <w:bidi w:val="0"/>
        <w:rPr>
          <w:rFonts w:hint="eastAsia" w:ascii="宋体" w:hAnsi="宋体" w:eastAsia="宋体" w:cs="宋体"/>
          <w:color w:val="auto"/>
          <w:sz w:val="24"/>
          <w:highlight w:val="none"/>
        </w:rPr>
      </w:pPr>
    </w:p>
    <w:p w14:paraId="7FE285E8">
      <w:pPr>
        <w:pStyle w:val="84"/>
        <w:pageBreakBefore w:val="0"/>
        <w:kinsoku/>
        <w:wordWrap w:val="0"/>
        <w:overflowPunct/>
        <w:topLinePunct w:val="0"/>
        <w:bidi w:val="0"/>
        <w:rPr>
          <w:rFonts w:hint="eastAsia" w:ascii="宋体" w:hAnsi="宋体" w:eastAsia="宋体" w:cs="宋体"/>
          <w:color w:val="auto"/>
          <w:sz w:val="24"/>
          <w:highlight w:val="none"/>
        </w:rPr>
      </w:pPr>
    </w:p>
    <w:p w14:paraId="58714AA6">
      <w:pPr>
        <w:pageBreakBefore w:val="0"/>
        <w:kinsoku/>
        <w:wordWrap w:val="0"/>
        <w:overflowPunct/>
        <w:topLinePunct w:val="0"/>
        <w:bidi w:val="0"/>
        <w:rPr>
          <w:rFonts w:hint="eastAsia" w:ascii="宋体" w:hAnsi="宋体" w:eastAsia="宋体" w:cs="宋体"/>
          <w:color w:val="auto"/>
          <w:sz w:val="24"/>
          <w:highlight w:val="none"/>
        </w:rPr>
      </w:pPr>
    </w:p>
    <w:p w14:paraId="7F2B2427">
      <w:pPr>
        <w:pStyle w:val="84"/>
        <w:pageBreakBefore w:val="0"/>
        <w:kinsoku/>
        <w:wordWrap w:val="0"/>
        <w:overflowPunct/>
        <w:topLinePunct w:val="0"/>
        <w:bidi w:val="0"/>
        <w:rPr>
          <w:rFonts w:hint="eastAsia" w:ascii="宋体" w:hAnsi="宋体" w:eastAsia="宋体" w:cs="宋体"/>
          <w:color w:val="auto"/>
          <w:sz w:val="24"/>
          <w:highlight w:val="none"/>
        </w:rPr>
      </w:pPr>
    </w:p>
    <w:p w14:paraId="662DCB33">
      <w:pPr>
        <w:pageBreakBefore w:val="0"/>
        <w:kinsoku/>
        <w:wordWrap w:val="0"/>
        <w:overflowPunct/>
        <w:topLinePunct w:val="0"/>
        <w:bidi w:val="0"/>
        <w:rPr>
          <w:rFonts w:hint="eastAsia" w:ascii="宋体" w:hAnsi="宋体" w:eastAsia="宋体" w:cs="宋体"/>
          <w:color w:val="auto"/>
          <w:sz w:val="24"/>
          <w:highlight w:val="none"/>
        </w:rPr>
      </w:pPr>
    </w:p>
    <w:p w14:paraId="72A371C3">
      <w:pPr>
        <w:pStyle w:val="84"/>
        <w:pageBreakBefore w:val="0"/>
        <w:kinsoku/>
        <w:wordWrap w:val="0"/>
        <w:overflowPunct/>
        <w:topLinePunct w:val="0"/>
        <w:bidi w:val="0"/>
        <w:rPr>
          <w:rFonts w:hint="eastAsia" w:ascii="宋体" w:hAnsi="宋体" w:eastAsia="宋体" w:cs="宋体"/>
          <w:color w:val="auto"/>
          <w:sz w:val="24"/>
          <w:highlight w:val="none"/>
        </w:rPr>
      </w:pPr>
    </w:p>
    <w:p w14:paraId="1833EC0E">
      <w:pPr>
        <w:pageBreakBefore w:val="0"/>
        <w:kinsoku/>
        <w:wordWrap w:val="0"/>
        <w:overflowPunct/>
        <w:topLinePunct w:val="0"/>
        <w:bidi w:val="0"/>
        <w:rPr>
          <w:rFonts w:hint="eastAsia" w:ascii="宋体" w:hAnsi="宋体" w:eastAsia="宋体" w:cs="宋体"/>
          <w:color w:val="auto"/>
          <w:sz w:val="24"/>
          <w:highlight w:val="none"/>
        </w:rPr>
      </w:pPr>
    </w:p>
    <w:p w14:paraId="6841605C">
      <w:pPr>
        <w:pStyle w:val="84"/>
        <w:pageBreakBefore w:val="0"/>
        <w:kinsoku/>
        <w:wordWrap w:val="0"/>
        <w:overflowPunct/>
        <w:topLinePunct w:val="0"/>
        <w:bidi w:val="0"/>
        <w:rPr>
          <w:rFonts w:hint="eastAsia" w:ascii="宋体" w:hAnsi="宋体" w:eastAsia="宋体" w:cs="宋体"/>
          <w:color w:val="auto"/>
          <w:sz w:val="24"/>
          <w:highlight w:val="none"/>
        </w:rPr>
      </w:pPr>
    </w:p>
    <w:p w14:paraId="1C8BA81D">
      <w:pPr>
        <w:pageBreakBefore w:val="0"/>
        <w:kinsoku/>
        <w:wordWrap w:val="0"/>
        <w:overflowPunct/>
        <w:topLinePunct w:val="0"/>
        <w:bidi w:val="0"/>
        <w:rPr>
          <w:rFonts w:hint="eastAsia" w:ascii="宋体" w:hAnsi="宋体" w:eastAsia="宋体" w:cs="宋体"/>
          <w:color w:val="auto"/>
          <w:sz w:val="24"/>
          <w:highlight w:val="none"/>
        </w:rPr>
      </w:pPr>
    </w:p>
    <w:p w14:paraId="16E7D838">
      <w:pPr>
        <w:pStyle w:val="84"/>
        <w:pageBreakBefore w:val="0"/>
        <w:kinsoku/>
        <w:wordWrap w:val="0"/>
        <w:overflowPunct/>
        <w:topLinePunct w:val="0"/>
        <w:bidi w:val="0"/>
        <w:rPr>
          <w:rFonts w:hint="eastAsia" w:ascii="宋体" w:hAnsi="宋体" w:eastAsia="宋体" w:cs="宋体"/>
          <w:color w:val="auto"/>
          <w:sz w:val="24"/>
          <w:highlight w:val="none"/>
        </w:rPr>
      </w:pPr>
    </w:p>
    <w:p w14:paraId="11FCBDD3">
      <w:pPr>
        <w:pageBreakBefore w:val="0"/>
        <w:kinsoku/>
        <w:wordWrap w:val="0"/>
        <w:overflowPunct/>
        <w:topLinePunct w:val="0"/>
        <w:bidi w:val="0"/>
        <w:rPr>
          <w:rFonts w:hint="eastAsia" w:ascii="宋体" w:hAnsi="宋体" w:eastAsia="宋体" w:cs="宋体"/>
          <w:color w:val="auto"/>
          <w:sz w:val="24"/>
          <w:highlight w:val="none"/>
        </w:rPr>
      </w:pPr>
    </w:p>
    <w:p w14:paraId="46FB4B33">
      <w:pPr>
        <w:pStyle w:val="84"/>
        <w:pageBreakBefore w:val="0"/>
        <w:kinsoku/>
        <w:wordWrap w:val="0"/>
        <w:overflowPunct/>
        <w:topLinePunct w:val="0"/>
        <w:bidi w:val="0"/>
        <w:rPr>
          <w:rFonts w:hint="eastAsia" w:ascii="宋体" w:hAnsi="宋体" w:eastAsia="宋体" w:cs="宋体"/>
          <w:color w:val="auto"/>
          <w:sz w:val="24"/>
          <w:highlight w:val="none"/>
        </w:rPr>
      </w:pPr>
    </w:p>
    <w:p w14:paraId="178F4C58">
      <w:pPr>
        <w:pageBreakBefore w:val="0"/>
        <w:kinsoku/>
        <w:wordWrap w:val="0"/>
        <w:overflowPunct/>
        <w:topLinePunct w:val="0"/>
        <w:bidi w:val="0"/>
        <w:rPr>
          <w:rFonts w:hint="eastAsia" w:ascii="宋体" w:hAnsi="宋体" w:eastAsia="宋体" w:cs="宋体"/>
          <w:color w:val="auto"/>
          <w:sz w:val="24"/>
          <w:highlight w:val="none"/>
        </w:rPr>
      </w:pPr>
    </w:p>
    <w:p w14:paraId="4CF1A8A2">
      <w:pPr>
        <w:pStyle w:val="84"/>
        <w:pageBreakBefore w:val="0"/>
        <w:kinsoku/>
        <w:wordWrap w:val="0"/>
        <w:overflowPunct/>
        <w:topLinePunct w:val="0"/>
        <w:bidi w:val="0"/>
        <w:rPr>
          <w:rFonts w:hint="eastAsia" w:ascii="宋体" w:hAnsi="宋体" w:eastAsia="宋体" w:cs="宋体"/>
          <w:color w:val="auto"/>
          <w:sz w:val="24"/>
          <w:highlight w:val="none"/>
        </w:rPr>
      </w:pPr>
    </w:p>
    <w:p w14:paraId="5B5971D0">
      <w:pPr>
        <w:pageBreakBefore w:val="0"/>
        <w:kinsoku/>
        <w:wordWrap w:val="0"/>
        <w:overflowPunct/>
        <w:topLinePunct w:val="0"/>
        <w:bidi w:val="0"/>
        <w:rPr>
          <w:rFonts w:hint="eastAsia" w:ascii="宋体" w:hAnsi="宋体" w:eastAsia="宋体" w:cs="宋体"/>
          <w:color w:val="auto"/>
          <w:sz w:val="24"/>
          <w:highlight w:val="none"/>
        </w:rPr>
      </w:pPr>
    </w:p>
    <w:p w14:paraId="4A33B5F0">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p>
    <w:p w14:paraId="7AB109F7">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p>
    <w:p w14:paraId="162E430A">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p>
    <w:p w14:paraId="2E2CAD6A">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p>
    <w:p w14:paraId="54DEA222">
      <w:pPr>
        <w:pageBreakBefore w:val="0"/>
        <w:kinsoku/>
        <w:wordWrap w:val="0"/>
        <w:overflowPunct/>
        <w:topLinePunct w:val="0"/>
        <w:bidi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6ABD2874">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建德市乾潭镇安仁村股份经济合作社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浙江中正工程项目管理有限公司</w:t>
      </w:r>
      <w:r>
        <w:rPr>
          <w:rFonts w:hint="eastAsia" w:ascii="宋体" w:hAnsi="宋体" w:eastAsia="宋体" w:cs="宋体"/>
          <w:color w:val="auto"/>
          <w:kern w:val="0"/>
          <w:sz w:val="24"/>
          <w:highlight w:val="none"/>
          <w:lang w:val="zh-CN"/>
        </w:rPr>
        <w:t>：</w:t>
      </w:r>
    </w:p>
    <w:p w14:paraId="35336FD3">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建德市乾潭镇安仁社区卫生服务站办公用品采购项目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ZJZZCG2025B-013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kern w:val="0"/>
          <w:sz w:val="24"/>
          <w:highlight w:val="none"/>
          <w:lang w:val="zh-CN"/>
        </w:rPr>
        <w:t>投标的一切事项，其法律后果由我方承担。</w:t>
      </w:r>
    </w:p>
    <w:p w14:paraId="4EA5A5B7">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80D90BE">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17FD45F0">
      <w:pPr>
        <w:pageBreakBefore w:val="0"/>
        <w:kinsoku/>
        <w:wordWrap w:val="0"/>
        <w:overflowPunct/>
        <w:topLinePunct w:val="0"/>
        <w:bidi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5AE1C64">
      <w:pPr>
        <w:pageBreakBefore w:val="0"/>
        <w:kinsoku/>
        <w:wordWrap w:val="0"/>
        <w:overflowPunct/>
        <w:topLinePunct w:val="0"/>
        <w:bidi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46FAFC5">
      <w:pPr>
        <w:pageBreakBefore w:val="0"/>
        <w:kinsoku/>
        <w:wordWrap w:val="0"/>
        <w:overflowPunct/>
        <w:topLinePunct w:val="0"/>
        <w:bidi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3E0AE89">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5E06470">
      <w:pPr>
        <w:pageBreakBefore w:val="0"/>
        <w:kinsoku/>
        <w:wordWrap w:val="0"/>
        <w:overflowPunct/>
        <w:topLinePunct w:val="0"/>
        <w:autoSpaceDE w:val="0"/>
        <w:autoSpaceDN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65FE136">
      <w:pPr>
        <w:pStyle w:val="154"/>
        <w:pageBreakBefore w:val="0"/>
        <w:kinsoku/>
        <w:wordWrap w:val="0"/>
        <w:overflowPunct/>
        <w:topLinePunct w:val="0"/>
        <w:bidi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9D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6B4313">
            <w:pPr>
              <w:pStyle w:val="154"/>
              <w:pageBreakBefore w:val="0"/>
              <w:kinsoku/>
              <w:wordWrap w:val="0"/>
              <w:overflowPunct/>
              <w:topLinePunct w:val="0"/>
              <w:bidi w:val="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6941FD4">
            <w:pPr>
              <w:pStyle w:val="154"/>
              <w:pageBreakBefore w:val="0"/>
              <w:kinsoku/>
              <w:wordWrap w:val="0"/>
              <w:overflowPunct/>
              <w:topLinePunct w:val="0"/>
              <w:bidi w:val="0"/>
              <w:adjustRightInd w:val="0"/>
              <w:spacing w:line="360" w:lineRule="auto"/>
              <w:rPr>
                <w:rFonts w:hint="eastAsia" w:ascii="宋体" w:hAnsi="宋体" w:eastAsia="宋体" w:cs="宋体"/>
                <w:bCs/>
                <w:color w:val="auto"/>
                <w:sz w:val="24"/>
                <w:highlight w:val="none"/>
              </w:rPr>
            </w:pPr>
          </w:p>
        </w:tc>
      </w:tr>
    </w:tbl>
    <w:p w14:paraId="790A5093">
      <w:pPr>
        <w:pageBreakBefore w:val="0"/>
        <w:kinsoku/>
        <w:wordWrap w:val="0"/>
        <w:overflowPunct/>
        <w:topLinePunct w:val="0"/>
        <w:bidi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676FEDB">
      <w:pPr>
        <w:pageBreakBefore w:val="0"/>
        <w:kinsoku/>
        <w:wordWrap w:val="0"/>
        <w:overflowPunct/>
        <w:topLinePunct w:val="0"/>
        <w:bidi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AF179C6">
      <w:pPr>
        <w:pageBreakBefore w:val="0"/>
        <w:kinsoku/>
        <w:wordWrap w:val="0"/>
        <w:overflowPunct/>
        <w:topLinePunct w:val="0"/>
        <w:bidi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B8FB848">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31E141B7">
      <w:pPr>
        <w:pageBreakBefore w:val="0"/>
        <w:kinsoku/>
        <w:wordWrap w:val="0"/>
        <w:overflowPunct/>
        <w:topLinePunct w:val="0"/>
        <w:bidi w:val="0"/>
        <w:snapToGrid w:val="0"/>
        <w:spacing w:line="360" w:lineRule="auto"/>
        <w:jc w:val="center"/>
        <w:rPr>
          <w:rFonts w:hint="eastAsia" w:ascii="宋体" w:hAnsi="宋体" w:eastAsia="宋体" w:cs="宋体"/>
          <w:b/>
          <w:color w:val="auto"/>
          <w:kern w:val="0"/>
          <w:sz w:val="32"/>
          <w:szCs w:val="32"/>
          <w:highlight w:val="none"/>
        </w:rPr>
      </w:pPr>
    </w:p>
    <w:p w14:paraId="1DF79131">
      <w:pPr>
        <w:pageBreakBefore w:val="0"/>
        <w:kinsoku/>
        <w:wordWrap w:val="0"/>
        <w:overflowPunct/>
        <w:topLinePunct w:val="0"/>
        <w:bidi w:val="0"/>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9AA7435">
      <w:pPr>
        <w:pageBreakBefore w:val="0"/>
        <w:widowControl/>
        <w:kinsoku/>
        <w:wordWrap w:val="0"/>
        <w:overflowPunct/>
        <w:topLinePunct w:val="0"/>
        <w:bidi w:val="0"/>
        <w:spacing w:line="360" w:lineRule="auto"/>
        <w:ind w:firstLine="120" w:firstLineChars="50"/>
        <w:jc w:val="left"/>
        <w:rPr>
          <w:rFonts w:hint="eastAsia" w:ascii="宋体" w:hAnsi="宋体" w:eastAsia="宋体" w:cs="宋体"/>
          <w:color w:val="auto"/>
          <w:sz w:val="24"/>
          <w:highlight w:val="none"/>
        </w:rPr>
      </w:pPr>
      <w:bookmarkStart w:id="398"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398"/>
    <w:p w14:paraId="6DCEE751">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rPr>
      </w:pPr>
    </w:p>
    <w:p w14:paraId="16C461D9">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36635F2E">
      <w:pPr>
        <w:pStyle w:val="3"/>
        <w:pageBreakBefore w:val="0"/>
        <w:kinsoku/>
        <w:wordWrap w:val="0"/>
        <w:overflowPunct/>
        <w:topLinePunct w:val="0"/>
        <w:bidi w:val="0"/>
        <w:rPr>
          <w:rFonts w:hint="eastAsia" w:ascii="宋体" w:hAnsi="宋体" w:eastAsia="宋体" w:cs="宋体"/>
          <w:color w:val="auto"/>
          <w:highlight w:val="none"/>
          <w:lang w:val="en-US"/>
        </w:rPr>
      </w:pPr>
    </w:p>
    <w:p w14:paraId="72A6BCB8">
      <w:pPr>
        <w:pageBreakBefore w:val="0"/>
        <w:kinsoku/>
        <w:wordWrap w:val="0"/>
        <w:overflowPunct/>
        <w:topLinePunct w:val="0"/>
        <w:bidi w:val="0"/>
        <w:rPr>
          <w:rFonts w:hint="eastAsia" w:ascii="宋体" w:hAnsi="宋体" w:eastAsia="宋体" w:cs="宋体"/>
          <w:color w:val="auto"/>
          <w:highlight w:val="none"/>
        </w:rPr>
      </w:pPr>
    </w:p>
    <w:p w14:paraId="5F692361">
      <w:pPr>
        <w:pStyle w:val="3"/>
        <w:pageBreakBefore w:val="0"/>
        <w:kinsoku/>
        <w:wordWrap w:val="0"/>
        <w:overflowPunct/>
        <w:topLinePunct w:val="0"/>
        <w:bidi w:val="0"/>
        <w:rPr>
          <w:rFonts w:hint="eastAsia" w:ascii="宋体" w:hAnsi="宋体" w:eastAsia="宋体" w:cs="宋体"/>
          <w:color w:val="auto"/>
          <w:highlight w:val="none"/>
          <w:lang w:val="en-US"/>
        </w:rPr>
      </w:pPr>
    </w:p>
    <w:p w14:paraId="3CEE7E4F">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71D235D3">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7377D73D">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FD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A6A2C37">
            <w:pPr>
              <w:pageBreakBefore w:val="0"/>
              <w:kinsoku/>
              <w:wordWrap w:val="0"/>
              <w:overflowPunct/>
              <w:topLinePunct w:val="0"/>
              <w:bidi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370593F0">
            <w:pPr>
              <w:pageBreakBefore w:val="0"/>
              <w:kinsoku/>
              <w:wordWrap w:val="0"/>
              <w:overflowPunct/>
              <w:topLinePunct w:val="0"/>
              <w:bidi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6779C0B">
            <w:pPr>
              <w:pageBreakBefore w:val="0"/>
              <w:kinsoku/>
              <w:wordWrap w:val="0"/>
              <w:overflowPunct/>
              <w:topLinePunct w:val="0"/>
              <w:bidi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472BC02B">
            <w:pPr>
              <w:pageBreakBefore w:val="0"/>
              <w:kinsoku/>
              <w:wordWrap w:val="0"/>
              <w:overflowPunct/>
              <w:topLinePunct w:val="0"/>
              <w:bidi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78C17D5C">
            <w:pPr>
              <w:pageBreakBefore w:val="0"/>
              <w:kinsoku/>
              <w:wordWrap w:val="0"/>
              <w:overflowPunct/>
              <w:topLinePunct w:val="0"/>
              <w:bidi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6181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C950E1">
            <w:pPr>
              <w:pageBreakBefore w:val="0"/>
              <w:kinsoku/>
              <w:wordWrap w:val="0"/>
              <w:overflowPunct/>
              <w:topLinePunct w:val="0"/>
              <w:bidi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1C87280C">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C68DB2A">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965FBF0">
            <w:pPr>
              <w:pageBreakBefore w:val="0"/>
              <w:kinsoku/>
              <w:wordWrap w:val="0"/>
              <w:overflowPunct/>
              <w:topLinePunct w:val="0"/>
              <w:bidi w:val="0"/>
              <w:rPr>
                <w:rFonts w:hint="eastAsia" w:ascii="宋体" w:hAnsi="宋体" w:eastAsia="宋体" w:cs="宋体"/>
                <w:color w:val="auto"/>
                <w:sz w:val="24"/>
                <w:highlight w:val="none"/>
              </w:rPr>
            </w:pPr>
          </w:p>
          <w:p w14:paraId="5AD50E02">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02BC0C75">
            <w:pPr>
              <w:pageBreakBefore w:val="0"/>
              <w:kinsoku/>
              <w:wordWrap w:val="0"/>
              <w:overflowPunct/>
              <w:topLinePunct w:val="0"/>
              <w:bidi w:val="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04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3C46F52">
            <w:pPr>
              <w:pageBreakBefore w:val="0"/>
              <w:kinsoku/>
              <w:wordWrap w:val="0"/>
              <w:overflowPunct/>
              <w:topLinePunct w:val="0"/>
              <w:bidi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3D02BBC0">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5477294">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777CA09A">
            <w:pPr>
              <w:pageBreakBefore w:val="0"/>
              <w:kinsoku/>
              <w:wordWrap w:val="0"/>
              <w:overflowPunct/>
              <w:topLinePunct w:val="0"/>
              <w:bidi w:val="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9E0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100CF5C">
            <w:pPr>
              <w:pageBreakBefore w:val="0"/>
              <w:kinsoku/>
              <w:wordWrap w:val="0"/>
              <w:overflowPunct/>
              <w:topLinePunct w:val="0"/>
              <w:bidi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152E6491">
            <w:pPr>
              <w:pageBreakBefore w:val="0"/>
              <w:kinsoku/>
              <w:wordWrap w:val="0"/>
              <w:overflowPunct/>
              <w:topLinePunct w:val="0"/>
              <w:bidi w:val="0"/>
              <w:spacing w:line="360" w:lineRule="auto"/>
              <w:rPr>
                <w:rFonts w:hint="eastAsia" w:ascii="宋体" w:hAnsi="宋体" w:eastAsia="宋体" w:cs="宋体"/>
                <w:color w:val="auto"/>
                <w:sz w:val="24"/>
                <w:highlight w:val="none"/>
              </w:rPr>
            </w:pPr>
          </w:p>
          <w:p w14:paraId="1B972149">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36814164">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eastAsia="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1A210EAB">
            <w:pPr>
              <w:pageBreakBefore w:val="0"/>
              <w:kinsoku/>
              <w:wordWrap w:val="0"/>
              <w:overflowPunct/>
              <w:topLinePunct w:val="0"/>
              <w:bidi w:val="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622DD94">
      <w:pPr>
        <w:pageBreakBefore w:val="0"/>
        <w:kinsoku/>
        <w:wordWrap w:val="0"/>
        <w:overflowPunct/>
        <w:topLinePunct w:val="0"/>
        <w:bidi w:val="0"/>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3D7D6B0">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3CAF006E">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544D1C2">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435AFD5B">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6CBF2170">
      <w:pPr>
        <w:pStyle w:val="81"/>
        <w:pageBreakBefore w:val="0"/>
        <w:kinsoku/>
        <w:wordWrap w:val="0"/>
        <w:overflowPunct/>
        <w:topLinePunct w:val="0"/>
        <w:bidi w:val="0"/>
        <w:rPr>
          <w:rFonts w:hint="eastAsia" w:ascii="宋体" w:hAnsi="宋体" w:eastAsia="宋体" w:cs="宋体"/>
          <w:b/>
          <w:color w:val="auto"/>
          <w:kern w:val="0"/>
          <w:sz w:val="32"/>
          <w:szCs w:val="32"/>
          <w:highlight w:val="none"/>
        </w:rPr>
      </w:pPr>
    </w:p>
    <w:p w14:paraId="5E3011F6">
      <w:pPr>
        <w:pStyle w:val="81"/>
        <w:pageBreakBefore w:val="0"/>
        <w:kinsoku/>
        <w:wordWrap w:val="0"/>
        <w:overflowPunct/>
        <w:topLinePunct w:val="0"/>
        <w:bidi w:val="0"/>
        <w:rPr>
          <w:rFonts w:hint="eastAsia" w:ascii="宋体" w:hAnsi="宋体" w:eastAsia="宋体" w:cs="宋体"/>
          <w:b/>
          <w:color w:val="auto"/>
          <w:kern w:val="0"/>
          <w:sz w:val="32"/>
          <w:szCs w:val="32"/>
          <w:highlight w:val="none"/>
        </w:rPr>
      </w:pPr>
    </w:p>
    <w:p w14:paraId="0DDBF73C">
      <w:pPr>
        <w:pStyle w:val="81"/>
        <w:pageBreakBefore w:val="0"/>
        <w:kinsoku/>
        <w:wordWrap w:val="0"/>
        <w:overflowPunct/>
        <w:topLinePunct w:val="0"/>
        <w:bidi w:val="0"/>
        <w:rPr>
          <w:rFonts w:hint="eastAsia" w:ascii="宋体" w:hAnsi="宋体" w:eastAsia="宋体" w:cs="宋体"/>
          <w:b/>
          <w:color w:val="auto"/>
          <w:kern w:val="0"/>
          <w:sz w:val="32"/>
          <w:szCs w:val="32"/>
          <w:highlight w:val="none"/>
        </w:rPr>
      </w:pPr>
    </w:p>
    <w:p w14:paraId="724B3583">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1000E276">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011ABDB8">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48A7DB7E">
      <w:pPr>
        <w:pageBreakBefore w:val="0"/>
        <w:kinsoku/>
        <w:wordWrap w:val="0"/>
        <w:overflowPunct/>
        <w:topLinePunct w:val="0"/>
        <w:bidi w:val="0"/>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91A083B">
      <w:pPr>
        <w:pageBreakBefore w:val="0"/>
        <w:kinsoku/>
        <w:wordWrap w:val="0"/>
        <w:overflowPunct/>
        <w:topLinePunct w:val="0"/>
        <w:bidi w:val="0"/>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56EC8712">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463A7B70">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3DC58D1A">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274E5896">
      <w:pPr>
        <w:pageBreakBefore w:val="0"/>
        <w:kinsoku/>
        <w:wordWrap w:val="0"/>
        <w:overflowPunct/>
        <w:topLinePunct w:val="0"/>
        <w:bidi w:val="0"/>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04"/>
        <w:gridCol w:w="1757"/>
        <w:gridCol w:w="3172"/>
        <w:gridCol w:w="728"/>
        <w:gridCol w:w="730"/>
      </w:tblGrid>
      <w:tr w14:paraId="2E0F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B044A09">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04" w:type="dxa"/>
            <w:tcBorders>
              <w:top w:val="single" w:color="auto" w:sz="4" w:space="0"/>
              <w:left w:val="single" w:color="auto" w:sz="4" w:space="0"/>
              <w:bottom w:val="single" w:color="auto" w:sz="4" w:space="0"/>
              <w:right w:val="single" w:color="auto" w:sz="4" w:space="0"/>
            </w:tcBorders>
            <w:vAlign w:val="center"/>
          </w:tcPr>
          <w:p w14:paraId="7223667D">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757" w:type="dxa"/>
            <w:tcBorders>
              <w:top w:val="single" w:color="auto" w:sz="4" w:space="0"/>
              <w:left w:val="single" w:color="auto" w:sz="4" w:space="0"/>
              <w:bottom w:val="single" w:color="auto" w:sz="4" w:space="0"/>
              <w:right w:val="single" w:color="auto" w:sz="4" w:space="0"/>
            </w:tcBorders>
          </w:tcPr>
          <w:p w14:paraId="21013D76">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p>
          <w:p w14:paraId="4B9D9B35">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p w14:paraId="53DF3A42">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（如果有）</w:t>
            </w:r>
          </w:p>
        </w:tc>
        <w:tc>
          <w:tcPr>
            <w:tcW w:w="3172" w:type="dxa"/>
            <w:tcBorders>
              <w:top w:val="single" w:color="auto" w:sz="4" w:space="0"/>
              <w:left w:val="single" w:color="auto" w:sz="4" w:space="0"/>
              <w:bottom w:val="single" w:color="auto" w:sz="4" w:space="0"/>
              <w:right w:val="single" w:color="auto" w:sz="4" w:space="0"/>
            </w:tcBorders>
            <w:vAlign w:val="center"/>
          </w:tcPr>
          <w:p w14:paraId="3DDAA6EE">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728" w:type="dxa"/>
            <w:tcBorders>
              <w:top w:val="single" w:color="auto" w:sz="4" w:space="0"/>
              <w:left w:val="single" w:color="auto" w:sz="4" w:space="0"/>
              <w:bottom w:val="single" w:color="auto" w:sz="4" w:space="0"/>
              <w:right w:val="single" w:color="auto" w:sz="4" w:space="0"/>
            </w:tcBorders>
            <w:vAlign w:val="center"/>
          </w:tcPr>
          <w:p w14:paraId="053D8B6E">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730" w:type="dxa"/>
            <w:tcBorders>
              <w:top w:val="single" w:color="auto" w:sz="4" w:space="0"/>
              <w:left w:val="single" w:color="auto" w:sz="4" w:space="0"/>
              <w:bottom w:val="single" w:color="auto" w:sz="4" w:space="0"/>
              <w:right w:val="single" w:color="auto" w:sz="4" w:space="0"/>
            </w:tcBorders>
            <w:vAlign w:val="center"/>
          </w:tcPr>
          <w:p w14:paraId="41C0B718">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1944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7E18494">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04" w:type="dxa"/>
            <w:tcBorders>
              <w:top w:val="single" w:color="auto" w:sz="4" w:space="0"/>
              <w:left w:val="single" w:color="auto" w:sz="4" w:space="0"/>
              <w:bottom w:val="single" w:color="auto" w:sz="4" w:space="0"/>
              <w:right w:val="single" w:color="auto" w:sz="4" w:space="0"/>
            </w:tcBorders>
            <w:vAlign w:val="center"/>
          </w:tcPr>
          <w:p w14:paraId="270BA6F1">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14:paraId="070D93F8">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3172" w:type="dxa"/>
            <w:tcBorders>
              <w:top w:val="single" w:color="auto" w:sz="4" w:space="0"/>
              <w:left w:val="single" w:color="auto" w:sz="4" w:space="0"/>
              <w:bottom w:val="single" w:color="auto" w:sz="4" w:space="0"/>
              <w:right w:val="single" w:color="auto" w:sz="4" w:space="0"/>
            </w:tcBorders>
            <w:vAlign w:val="center"/>
          </w:tcPr>
          <w:p w14:paraId="67BC25C8">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vAlign w:val="center"/>
          </w:tcPr>
          <w:p w14:paraId="2B41AD44">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7EBD1CE2">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r>
      <w:tr w14:paraId="02FF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FA52B7F">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04" w:type="dxa"/>
            <w:tcBorders>
              <w:top w:val="single" w:color="auto" w:sz="4" w:space="0"/>
              <w:left w:val="single" w:color="auto" w:sz="4" w:space="0"/>
              <w:bottom w:val="single" w:color="auto" w:sz="4" w:space="0"/>
              <w:right w:val="single" w:color="auto" w:sz="4" w:space="0"/>
            </w:tcBorders>
            <w:vAlign w:val="center"/>
          </w:tcPr>
          <w:p w14:paraId="3D7AD557">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14:paraId="69231A98">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3172" w:type="dxa"/>
            <w:tcBorders>
              <w:top w:val="single" w:color="auto" w:sz="4" w:space="0"/>
              <w:left w:val="single" w:color="auto" w:sz="4" w:space="0"/>
              <w:bottom w:val="single" w:color="auto" w:sz="4" w:space="0"/>
              <w:right w:val="single" w:color="auto" w:sz="4" w:space="0"/>
            </w:tcBorders>
            <w:vAlign w:val="center"/>
          </w:tcPr>
          <w:p w14:paraId="7FA26356">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vAlign w:val="center"/>
          </w:tcPr>
          <w:p w14:paraId="600457D4">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00F4EA36">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r>
      <w:tr w14:paraId="4FA6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027F4FD">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04" w:type="dxa"/>
            <w:tcBorders>
              <w:top w:val="single" w:color="auto" w:sz="4" w:space="0"/>
              <w:left w:val="single" w:color="auto" w:sz="4" w:space="0"/>
              <w:bottom w:val="single" w:color="auto" w:sz="4" w:space="0"/>
              <w:right w:val="single" w:color="auto" w:sz="4" w:space="0"/>
            </w:tcBorders>
            <w:vAlign w:val="center"/>
          </w:tcPr>
          <w:p w14:paraId="6A7619E3">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14:paraId="45590DC2">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3172" w:type="dxa"/>
            <w:tcBorders>
              <w:top w:val="single" w:color="auto" w:sz="4" w:space="0"/>
              <w:left w:val="single" w:color="auto" w:sz="4" w:space="0"/>
              <w:bottom w:val="single" w:color="auto" w:sz="4" w:space="0"/>
              <w:right w:val="single" w:color="auto" w:sz="4" w:space="0"/>
            </w:tcBorders>
            <w:vAlign w:val="center"/>
          </w:tcPr>
          <w:p w14:paraId="729E8D89">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vAlign w:val="center"/>
          </w:tcPr>
          <w:p w14:paraId="5EFC5125">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730" w:type="dxa"/>
            <w:tcBorders>
              <w:top w:val="single" w:color="auto" w:sz="4" w:space="0"/>
              <w:left w:val="single" w:color="auto" w:sz="4" w:space="0"/>
              <w:bottom w:val="single" w:color="auto" w:sz="4" w:space="0"/>
              <w:right w:val="single" w:color="auto" w:sz="4" w:space="0"/>
            </w:tcBorders>
            <w:vAlign w:val="center"/>
          </w:tcPr>
          <w:p w14:paraId="3F008DA6">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r>
    </w:tbl>
    <w:p w14:paraId="0E0B01C4">
      <w:pPr>
        <w:pageBreakBefore w:val="0"/>
        <w:kinsoku/>
        <w:wordWrap w:val="0"/>
        <w:overflowPunct/>
        <w:topLinePunct w:val="0"/>
        <w:bidi w:val="0"/>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47ACBE9">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7F8192D9">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6FED19C8">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304"/>
        <w:gridCol w:w="3083"/>
        <w:gridCol w:w="1244"/>
      </w:tblGrid>
      <w:tr w14:paraId="5EC8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1E540845">
            <w:pPr>
              <w:pageBreakBefore w:val="0"/>
              <w:kinsoku/>
              <w:wordWrap w:val="0"/>
              <w:overflowPunct/>
              <w:topLinePunct w:val="0"/>
              <w:bidi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304" w:type="dxa"/>
          </w:tcPr>
          <w:p w14:paraId="485E4F7C">
            <w:pPr>
              <w:pageBreakBefore w:val="0"/>
              <w:kinsoku/>
              <w:wordWrap w:val="0"/>
              <w:overflowPunct/>
              <w:topLinePunct w:val="0"/>
              <w:bidi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83" w:type="dxa"/>
          </w:tcPr>
          <w:p w14:paraId="2F6C9A18">
            <w:pPr>
              <w:pageBreakBefore w:val="0"/>
              <w:kinsoku/>
              <w:wordWrap w:val="0"/>
              <w:overflowPunct/>
              <w:topLinePunct w:val="0"/>
              <w:bidi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44" w:type="dxa"/>
          </w:tcPr>
          <w:p w14:paraId="31C39519">
            <w:pPr>
              <w:pageBreakBefore w:val="0"/>
              <w:kinsoku/>
              <w:wordWrap w:val="0"/>
              <w:overflowPunct/>
              <w:topLinePunct w:val="0"/>
              <w:bidi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958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5D066F01">
            <w:pPr>
              <w:pageBreakBefore w:val="0"/>
              <w:kinsoku/>
              <w:wordWrap w:val="0"/>
              <w:overflowPunct/>
              <w:topLinePunct w:val="0"/>
              <w:bidi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304" w:type="dxa"/>
          </w:tcPr>
          <w:p w14:paraId="29D9F6F9">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tc>
        <w:tc>
          <w:tcPr>
            <w:tcW w:w="3083" w:type="dxa"/>
          </w:tcPr>
          <w:p w14:paraId="324F8C1F">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tc>
        <w:tc>
          <w:tcPr>
            <w:tcW w:w="1244" w:type="dxa"/>
          </w:tcPr>
          <w:p w14:paraId="024DC94D">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tc>
      </w:tr>
      <w:tr w14:paraId="2500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92BAA07">
            <w:pPr>
              <w:pageBreakBefore w:val="0"/>
              <w:kinsoku/>
              <w:wordWrap w:val="0"/>
              <w:overflowPunct/>
              <w:topLinePunct w:val="0"/>
              <w:bidi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304" w:type="dxa"/>
          </w:tcPr>
          <w:p w14:paraId="6BEEC62A">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tc>
        <w:tc>
          <w:tcPr>
            <w:tcW w:w="3083" w:type="dxa"/>
          </w:tcPr>
          <w:p w14:paraId="2939D0AD">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tc>
        <w:tc>
          <w:tcPr>
            <w:tcW w:w="1244" w:type="dxa"/>
          </w:tcPr>
          <w:p w14:paraId="691AA2BA">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tc>
      </w:tr>
      <w:tr w14:paraId="094F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2586D392">
            <w:pPr>
              <w:pageBreakBefore w:val="0"/>
              <w:kinsoku/>
              <w:wordWrap w:val="0"/>
              <w:overflowPunct/>
              <w:topLinePunct w:val="0"/>
              <w:bidi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304" w:type="dxa"/>
          </w:tcPr>
          <w:p w14:paraId="431DB3B6">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tc>
        <w:tc>
          <w:tcPr>
            <w:tcW w:w="3083" w:type="dxa"/>
          </w:tcPr>
          <w:p w14:paraId="67ABA363">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tc>
        <w:tc>
          <w:tcPr>
            <w:tcW w:w="1244" w:type="dxa"/>
          </w:tcPr>
          <w:p w14:paraId="4BECE40C">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tc>
      </w:tr>
    </w:tbl>
    <w:p w14:paraId="11604C13">
      <w:pPr>
        <w:pageBreakBefore w:val="0"/>
        <w:kinsoku/>
        <w:wordWrap w:val="0"/>
        <w:overflowPunct/>
        <w:topLinePunct w:val="0"/>
        <w:bidi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1B6C3EF3">
      <w:pPr>
        <w:pageBreakBefore w:val="0"/>
        <w:kinsoku/>
        <w:wordWrap w:val="0"/>
        <w:overflowPunct/>
        <w:topLinePunct w:val="0"/>
        <w:bidi w:val="0"/>
        <w:jc w:val="center"/>
        <w:rPr>
          <w:rFonts w:hint="eastAsia" w:ascii="宋体" w:hAnsi="宋体" w:eastAsia="宋体" w:cs="宋体"/>
          <w:b/>
          <w:color w:val="auto"/>
          <w:kern w:val="0"/>
          <w:sz w:val="32"/>
          <w:szCs w:val="32"/>
          <w:highlight w:val="none"/>
        </w:rPr>
      </w:pPr>
    </w:p>
    <w:p w14:paraId="5E39BAA8">
      <w:pPr>
        <w:pageBreakBefore w:val="0"/>
        <w:kinsoku/>
        <w:wordWrap w:val="0"/>
        <w:overflowPunct/>
        <w:topLinePunct w:val="0"/>
        <w:bidi w:val="0"/>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53F12C5">
      <w:pPr>
        <w:pageBreakBefore w:val="0"/>
        <w:kinsoku/>
        <w:wordWrap w:val="0"/>
        <w:overflowPunct/>
        <w:topLinePunct w:val="0"/>
        <w:bidi w:val="0"/>
        <w:ind w:firstLine="1911" w:firstLineChars="595"/>
        <w:rPr>
          <w:rFonts w:hint="eastAsia" w:ascii="宋体" w:hAnsi="宋体" w:eastAsia="宋体" w:cs="宋体"/>
          <w:b/>
          <w:bCs/>
          <w:color w:val="auto"/>
          <w:sz w:val="32"/>
          <w:szCs w:val="32"/>
          <w:highlight w:val="none"/>
        </w:rPr>
      </w:pPr>
    </w:p>
    <w:p w14:paraId="2C3A8E36">
      <w:pPr>
        <w:pageBreakBefore w:val="0"/>
        <w:kinsoku/>
        <w:wordWrap w:val="0"/>
        <w:overflowPunct/>
        <w:topLinePunct w:val="0"/>
        <w:bidi w:val="0"/>
        <w:ind w:firstLine="1911" w:firstLineChars="595"/>
        <w:rPr>
          <w:rFonts w:hint="eastAsia" w:ascii="宋体" w:hAnsi="宋体" w:eastAsia="宋体" w:cs="宋体"/>
          <w:b/>
          <w:bCs/>
          <w:color w:val="auto"/>
          <w:sz w:val="32"/>
          <w:szCs w:val="32"/>
          <w:highlight w:val="none"/>
        </w:rPr>
      </w:pPr>
    </w:p>
    <w:p w14:paraId="741BF354">
      <w:pPr>
        <w:pageBreakBefore w:val="0"/>
        <w:kinsoku/>
        <w:wordWrap w:val="0"/>
        <w:overflowPunct/>
        <w:topLinePunct w:val="0"/>
        <w:bidi w:val="0"/>
        <w:ind w:firstLine="1911" w:firstLineChars="595"/>
        <w:rPr>
          <w:rFonts w:hint="eastAsia" w:ascii="宋体" w:hAnsi="宋体" w:eastAsia="宋体" w:cs="宋体"/>
          <w:b/>
          <w:bCs/>
          <w:color w:val="auto"/>
          <w:sz w:val="32"/>
          <w:szCs w:val="32"/>
          <w:highlight w:val="none"/>
        </w:rPr>
      </w:pPr>
    </w:p>
    <w:p w14:paraId="402B4B1A">
      <w:pPr>
        <w:pageBreakBefore w:val="0"/>
        <w:kinsoku/>
        <w:wordWrap w:val="0"/>
        <w:overflowPunct/>
        <w:topLinePunct w:val="0"/>
        <w:bidi w:val="0"/>
        <w:ind w:firstLine="1911" w:firstLineChars="595"/>
        <w:rPr>
          <w:rFonts w:hint="eastAsia" w:ascii="宋体" w:hAnsi="宋体" w:eastAsia="宋体" w:cs="宋体"/>
          <w:b/>
          <w:bCs/>
          <w:color w:val="auto"/>
          <w:sz w:val="32"/>
          <w:szCs w:val="32"/>
          <w:highlight w:val="none"/>
        </w:rPr>
      </w:pPr>
    </w:p>
    <w:p w14:paraId="162D5F48">
      <w:pPr>
        <w:pageBreakBefore w:val="0"/>
        <w:kinsoku/>
        <w:wordWrap w:val="0"/>
        <w:overflowPunct/>
        <w:topLinePunct w:val="0"/>
        <w:bidi w:val="0"/>
        <w:ind w:firstLine="1911" w:firstLineChars="595"/>
        <w:rPr>
          <w:rFonts w:hint="eastAsia" w:ascii="宋体" w:hAnsi="宋体" w:eastAsia="宋体" w:cs="宋体"/>
          <w:b/>
          <w:bCs/>
          <w:color w:val="auto"/>
          <w:sz w:val="32"/>
          <w:szCs w:val="32"/>
          <w:highlight w:val="none"/>
        </w:rPr>
      </w:pPr>
    </w:p>
    <w:p w14:paraId="2792C716">
      <w:pPr>
        <w:pageBreakBefore w:val="0"/>
        <w:widowControl/>
        <w:kinsoku/>
        <w:wordWrap w:val="0"/>
        <w:overflowPunct/>
        <w:topLinePunct w:val="0"/>
        <w:bidi w:val="0"/>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05E3BE8">
      <w:pPr>
        <w:pageBreakBefore w:val="0"/>
        <w:kinsoku/>
        <w:wordWrap w:val="0"/>
        <w:overflowPunct/>
        <w:topLinePunct w:val="0"/>
        <w:bidi w:val="0"/>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采购供应商廉洁自律承诺书</w:t>
      </w:r>
    </w:p>
    <w:p w14:paraId="3B2E81CB">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p>
    <w:p w14:paraId="657EE430">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建德市乾潭镇安仁村股份经济合作社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浙江中正工程项目管理有限公司</w:t>
      </w:r>
      <w:r>
        <w:rPr>
          <w:rFonts w:hint="eastAsia" w:ascii="宋体" w:hAnsi="宋体" w:eastAsia="宋体" w:cs="宋体"/>
          <w:color w:val="auto"/>
          <w:kern w:val="0"/>
          <w:sz w:val="24"/>
          <w:highlight w:val="none"/>
          <w:lang w:val="zh-CN"/>
        </w:rPr>
        <w:t>：</w:t>
      </w:r>
    </w:p>
    <w:p w14:paraId="1ACE3250">
      <w:pPr>
        <w:pageBreakBefore w:val="0"/>
        <w:kinsoku/>
        <w:wordWrap w:val="0"/>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DEE074E">
      <w:pPr>
        <w:pageBreakBefore w:val="0"/>
        <w:kinsoku/>
        <w:wordWrap w:val="0"/>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26A03C8">
      <w:pPr>
        <w:pageBreakBefore w:val="0"/>
        <w:kinsoku/>
        <w:wordWrap w:val="0"/>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DBF8447">
      <w:pPr>
        <w:pageBreakBefore w:val="0"/>
        <w:kinsoku/>
        <w:wordWrap w:val="0"/>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D9E44A7">
      <w:pPr>
        <w:pageBreakBefore w:val="0"/>
        <w:kinsoku/>
        <w:wordWrap w:val="0"/>
        <w:overflowPunct/>
        <w:topLinePunct w:val="0"/>
        <w:autoSpaceDE w:val="0"/>
        <w:autoSpaceDN w:val="0"/>
        <w:bidi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70B7510">
      <w:pPr>
        <w:pageBreakBefore w:val="0"/>
        <w:kinsoku/>
        <w:wordWrap w:val="0"/>
        <w:overflowPunct/>
        <w:topLinePunct w:val="0"/>
        <w:autoSpaceDE w:val="0"/>
        <w:autoSpaceDN w:val="0"/>
        <w:bidi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4C0CC90">
      <w:pPr>
        <w:pageBreakBefore w:val="0"/>
        <w:kinsoku/>
        <w:wordWrap w:val="0"/>
        <w:overflowPunct/>
        <w:topLinePunct w:val="0"/>
        <w:autoSpaceDE w:val="0"/>
        <w:autoSpaceDN w:val="0"/>
        <w:bidi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A81445F">
      <w:pPr>
        <w:pageBreakBefore w:val="0"/>
        <w:kinsoku/>
        <w:wordWrap w:val="0"/>
        <w:overflowPunct/>
        <w:topLinePunct w:val="0"/>
        <w:autoSpaceDE w:val="0"/>
        <w:autoSpaceDN w:val="0"/>
        <w:bidi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7864DA9">
      <w:pPr>
        <w:pageBreakBefore w:val="0"/>
        <w:kinsoku/>
        <w:wordWrap w:val="0"/>
        <w:overflowPunct/>
        <w:topLinePunct w:val="0"/>
        <w:autoSpaceDE w:val="0"/>
        <w:autoSpaceDN w:val="0"/>
        <w:bidi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2633ECEE">
      <w:pPr>
        <w:pageBreakBefore w:val="0"/>
        <w:kinsoku/>
        <w:wordWrap w:val="0"/>
        <w:overflowPunct/>
        <w:topLinePunct w:val="0"/>
        <w:autoSpaceDE w:val="0"/>
        <w:autoSpaceDN w:val="0"/>
        <w:bidi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F0672A7">
      <w:pPr>
        <w:pageBreakBefore w:val="0"/>
        <w:kinsoku/>
        <w:wordWrap w:val="0"/>
        <w:overflowPunct/>
        <w:topLinePunct w:val="0"/>
        <w:autoSpaceDE w:val="0"/>
        <w:autoSpaceDN w:val="0"/>
        <w:bidi w:val="0"/>
        <w:spacing w:line="360" w:lineRule="auto"/>
        <w:ind w:left="2"/>
        <w:jc w:val="left"/>
        <w:rPr>
          <w:rFonts w:hint="eastAsia" w:ascii="宋体" w:hAnsi="宋体" w:eastAsia="宋体" w:cs="宋体"/>
          <w:color w:val="auto"/>
          <w:kern w:val="0"/>
          <w:sz w:val="24"/>
          <w:highlight w:val="none"/>
          <w:lang w:val="zh-CN"/>
        </w:rPr>
      </w:pPr>
    </w:p>
    <w:p w14:paraId="5B071155">
      <w:pPr>
        <w:pageBreakBefore w:val="0"/>
        <w:kinsoku/>
        <w:wordWrap w:val="0"/>
        <w:overflowPunct/>
        <w:topLinePunct w:val="0"/>
        <w:autoSpaceDE w:val="0"/>
        <w:autoSpaceDN w:val="0"/>
        <w:bidi w:val="0"/>
        <w:spacing w:line="360" w:lineRule="auto"/>
        <w:ind w:left="2"/>
        <w:jc w:val="left"/>
        <w:rPr>
          <w:rFonts w:hint="eastAsia" w:ascii="宋体" w:hAnsi="宋体" w:eastAsia="宋体" w:cs="宋体"/>
          <w:color w:val="auto"/>
          <w:kern w:val="0"/>
          <w:sz w:val="24"/>
          <w:highlight w:val="none"/>
          <w:lang w:val="zh-CN"/>
        </w:rPr>
      </w:pPr>
    </w:p>
    <w:p w14:paraId="15A963C5">
      <w:pPr>
        <w:pageBreakBefore w:val="0"/>
        <w:kinsoku/>
        <w:wordWrap w:val="0"/>
        <w:overflowPunct/>
        <w:topLinePunct w:val="0"/>
        <w:autoSpaceDE w:val="0"/>
        <w:autoSpaceDN w:val="0"/>
        <w:bidi w:val="0"/>
        <w:spacing w:line="360" w:lineRule="auto"/>
        <w:ind w:left="2"/>
        <w:jc w:val="left"/>
        <w:rPr>
          <w:rFonts w:hint="eastAsia" w:ascii="宋体" w:hAnsi="宋体" w:eastAsia="宋体" w:cs="宋体"/>
          <w:color w:val="auto"/>
          <w:kern w:val="0"/>
          <w:sz w:val="24"/>
          <w:highlight w:val="none"/>
          <w:lang w:val="zh-CN"/>
        </w:rPr>
      </w:pPr>
    </w:p>
    <w:p w14:paraId="118E8BB7">
      <w:pPr>
        <w:pageBreakBefore w:val="0"/>
        <w:kinsoku/>
        <w:wordWrap w:val="0"/>
        <w:overflowPunct/>
        <w:topLinePunct w:val="0"/>
        <w:autoSpaceDE w:val="0"/>
        <w:autoSpaceDN w:val="0"/>
        <w:bidi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95BD5F9">
      <w:pPr>
        <w:pageBreakBefore w:val="0"/>
        <w:kinsoku/>
        <w:wordWrap w:val="0"/>
        <w:overflowPunct/>
        <w:topLinePunct w:val="0"/>
        <w:bidi w:val="0"/>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98335C3">
      <w:pPr>
        <w:pageBreakBefore w:val="0"/>
        <w:kinsoku/>
        <w:wordWrap w:val="0"/>
        <w:overflowPunct/>
        <w:topLinePunct w:val="0"/>
        <w:bidi w:val="0"/>
        <w:spacing w:line="360" w:lineRule="auto"/>
        <w:jc w:val="center"/>
        <w:rPr>
          <w:rFonts w:hint="eastAsia" w:ascii="宋体" w:hAnsi="宋体" w:eastAsia="宋体" w:cs="宋体"/>
          <w:b/>
          <w:bCs/>
          <w:color w:val="auto"/>
          <w:sz w:val="24"/>
          <w:highlight w:val="none"/>
        </w:rPr>
      </w:pPr>
    </w:p>
    <w:p w14:paraId="5E334025">
      <w:pPr>
        <w:pageBreakBefore w:val="0"/>
        <w:kinsoku/>
        <w:wordWrap w:val="0"/>
        <w:overflowPunct/>
        <w:topLinePunct w:val="0"/>
        <w:bidi w:val="0"/>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DBEFABE">
      <w:pPr>
        <w:pageBreakBefore w:val="0"/>
        <w:kinsoku/>
        <w:wordWrap w:val="0"/>
        <w:overflowPunct/>
        <w:topLinePunct w:val="0"/>
        <w:bidi w:val="0"/>
        <w:spacing w:line="360" w:lineRule="auto"/>
        <w:jc w:val="center"/>
        <w:rPr>
          <w:rFonts w:hint="eastAsia" w:ascii="宋体" w:hAnsi="宋体" w:eastAsia="宋体" w:cs="宋体"/>
          <w:b/>
          <w:bCs/>
          <w:color w:val="auto"/>
          <w:sz w:val="24"/>
          <w:highlight w:val="none"/>
        </w:rPr>
        <w:sectPr>
          <w:pgSz w:w="11905" w:h="16838"/>
          <w:pgMar w:top="1247" w:right="1417" w:bottom="1247" w:left="1417" w:header="851" w:footer="850" w:gutter="0"/>
          <w:cols w:space="0" w:num="1"/>
          <w:rtlGutter w:val="0"/>
          <w:docGrid w:linePitch="312" w:charSpace="0"/>
        </w:sectPr>
      </w:pPr>
    </w:p>
    <w:p w14:paraId="2A98E9E2">
      <w:pPr>
        <w:pageBreakBefore w:val="0"/>
        <w:kinsoku/>
        <w:wordWrap w:val="0"/>
        <w:overflowPunct/>
        <w:topLinePunct w:val="0"/>
        <w:bidi w:val="0"/>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8B627B5">
      <w:pPr>
        <w:pageBreakBefore w:val="0"/>
        <w:kinsoku/>
        <w:wordWrap w:val="0"/>
        <w:overflowPunct/>
        <w:topLinePunct w:val="0"/>
        <w:bidi w:val="0"/>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1C85ACE">
      <w:pPr>
        <w:pageBreakBefore w:val="0"/>
        <w:kinsoku/>
        <w:wordWrap w:val="0"/>
        <w:overflowPunct/>
        <w:topLinePunct w:val="0"/>
        <w:bidi w:val="0"/>
        <w:spacing w:line="360" w:lineRule="auto"/>
        <w:jc w:val="center"/>
        <w:outlineLvl w:val="0"/>
        <w:rPr>
          <w:rFonts w:hint="eastAsia" w:ascii="宋体" w:hAnsi="宋体" w:eastAsia="宋体" w:cs="宋体"/>
          <w:b/>
          <w:color w:val="auto"/>
          <w:kern w:val="0"/>
          <w:sz w:val="36"/>
          <w:szCs w:val="36"/>
          <w:highlight w:val="none"/>
        </w:rPr>
      </w:pPr>
    </w:p>
    <w:p w14:paraId="7EA84C65">
      <w:pPr>
        <w:pageBreakBefore w:val="0"/>
        <w:numPr>
          <w:ilvl w:val="0"/>
          <w:numId w:val="25"/>
        </w:numPr>
        <w:kinsoku/>
        <w:wordWrap w:val="0"/>
        <w:overflowPunct/>
        <w:topLinePunct w:val="0"/>
        <w:bidi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开标一览表（报价表）………………………………………………………（页码）</w:t>
      </w:r>
    </w:p>
    <w:p w14:paraId="648B1682">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p>
    <w:p w14:paraId="37B0E525">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09C39C2D">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0D262163">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5AFD2AF2">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1B8E0ED7">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102F726B">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1F5DFDF1">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59CEDCE4">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7E924604">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6D297FA3">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6CAC6F61">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423DC8BB">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3A4C2739">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0D918A37">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0A5A1C9E">
      <w:pPr>
        <w:pageBreakBefore w:val="0"/>
        <w:kinsoku/>
        <w:wordWrap w:val="0"/>
        <w:overflowPunct/>
        <w:topLinePunct w:val="0"/>
        <w:bidi w:val="0"/>
        <w:snapToGrid w:val="0"/>
        <w:spacing w:line="360" w:lineRule="auto"/>
        <w:ind w:right="480"/>
        <w:jc w:val="center"/>
        <w:rPr>
          <w:rFonts w:hint="eastAsia" w:ascii="宋体" w:hAnsi="宋体" w:eastAsia="宋体" w:cs="宋体"/>
          <w:b/>
          <w:color w:val="auto"/>
          <w:kern w:val="0"/>
          <w:sz w:val="32"/>
          <w:szCs w:val="32"/>
          <w:highlight w:val="none"/>
        </w:rPr>
      </w:pPr>
    </w:p>
    <w:p w14:paraId="612127C1">
      <w:pPr>
        <w:pStyle w:val="695"/>
        <w:keepNext w:val="0"/>
        <w:pageBreakBefore w:val="0"/>
        <w:tabs>
          <w:tab w:val="clear" w:pos="720"/>
        </w:tabs>
        <w:kinsoku/>
        <w:wordWrap w:val="0"/>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5" w:h="16838"/>
          <w:pgMar w:top="1474" w:right="1814" w:bottom="1474" w:left="1814" w:header="851" w:footer="850" w:gutter="0"/>
          <w:cols w:space="0" w:num="1"/>
          <w:rtlGutter w:val="0"/>
          <w:docGrid w:linePitch="312" w:charSpace="0"/>
        </w:sectPr>
      </w:pPr>
    </w:p>
    <w:p w14:paraId="38EEAAC5">
      <w:pPr>
        <w:pStyle w:val="695"/>
        <w:keepNext w:val="0"/>
        <w:pageBreakBefore w:val="0"/>
        <w:tabs>
          <w:tab w:val="clear" w:pos="720"/>
        </w:tabs>
        <w:kinsoku/>
        <w:wordWrap w:val="0"/>
        <w:overflowPunct/>
        <w:topLinePunct w:val="0"/>
        <w:bidi w:val="0"/>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6CF883E">
      <w:pPr>
        <w:pageBreakBefore w:val="0"/>
        <w:kinsoku/>
        <w:wordWrap w:val="0"/>
        <w:overflowPunct/>
        <w:topLinePunct w:val="0"/>
        <w:bidi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建德市乾潭镇安仁村股份经济合作社</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浙江中正工程项目管理有限公司</w:t>
      </w:r>
      <w:r>
        <w:rPr>
          <w:rFonts w:hint="eastAsia" w:ascii="宋体" w:hAnsi="宋体" w:eastAsia="宋体" w:cs="宋体"/>
          <w:color w:val="auto"/>
          <w:kern w:val="0"/>
          <w:sz w:val="24"/>
          <w:highlight w:val="none"/>
          <w:lang w:val="zh-CN"/>
        </w:rPr>
        <w:t>：</w:t>
      </w:r>
    </w:p>
    <w:p w14:paraId="74BE0692">
      <w:pPr>
        <w:pageBreakBefore w:val="0"/>
        <w:kinsoku/>
        <w:wordWrap w:val="0"/>
        <w:overflowPunct/>
        <w:topLinePunct w:val="0"/>
        <w:bidi w:val="0"/>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建德市乾潭镇安仁社区卫生服务站办公用品采购项目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ZJZZCG2025B-013</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53D1541">
      <w:pPr>
        <w:pageBreakBefore w:val="0"/>
        <w:kinsoku/>
        <w:wordWrap w:val="0"/>
        <w:overflowPunct/>
        <w:topLinePunct w:val="0"/>
        <w:bidi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96"/>
        <w:gridCol w:w="1900"/>
        <w:gridCol w:w="1177"/>
        <w:gridCol w:w="696"/>
        <w:gridCol w:w="696"/>
        <w:gridCol w:w="696"/>
        <w:gridCol w:w="1900"/>
      </w:tblGrid>
      <w:tr w14:paraId="27A3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6" w:type="dxa"/>
            <w:vAlign w:val="center"/>
          </w:tcPr>
          <w:p w14:paraId="58EA91E7">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96" w:type="dxa"/>
            <w:vAlign w:val="center"/>
          </w:tcPr>
          <w:p w14:paraId="5F4A14F5">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900" w:type="dxa"/>
          </w:tcPr>
          <w:p w14:paraId="02E5B41C">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p>
          <w:p w14:paraId="2F4721AC">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177" w:type="dxa"/>
            <w:vAlign w:val="center"/>
          </w:tcPr>
          <w:p w14:paraId="281A560D">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696" w:type="dxa"/>
            <w:vAlign w:val="center"/>
          </w:tcPr>
          <w:p w14:paraId="7E073105">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696" w:type="dxa"/>
            <w:vAlign w:val="center"/>
          </w:tcPr>
          <w:p w14:paraId="03179776">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696" w:type="dxa"/>
            <w:vAlign w:val="center"/>
          </w:tcPr>
          <w:p w14:paraId="2F721226">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1900" w:type="dxa"/>
            <w:vAlign w:val="center"/>
          </w:tcPr>
          <w:p w14:paraId="05895C54">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p>
          <w:p w14:paraId="47426C52">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657E2AA1">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p>
        </w:tc>
      </w:tr>
      <w:tr w14:paraId="1D33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54814C7A">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96" w:type="dxa"/>
            <w:vAlign w:val="center"/>
          </w:tcPr>
          <w:p w14:paraId="00B749E4">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900" w:type="dxa"/>
            <w:vAlign w:val="center"/>
          </w:tcPr>
          <w:p w14:paraId="2AE352ED">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1177" w:type="dxa"/>
            <w:vAlign w:val="center"/>
          </w:tcPr>
          <w:p w14:paraId="08A31EAC">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696" w:type="dxa"/>
            <w:vAlign w:val="center"/>
          </w:tcPr>
          <w:p w14:paraId="7ED7723E">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696" w:type="dxa"/>
            <w:vAlign w:val="center"/>
          </w:tcPr>
          <w:p w14:paraId="1561C7D4">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696" w:type="dxa"/>
            <w:vAlign w:val="center"/>
          </w:tcPr>
          <w:p w14:paraId="320384EE">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1900" w:type="dxa"/>
            <w:vAlign w:val="center"/>
          </w:tcPr>
          <w:p w14:paraId="75314CE1">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r>
      <w:tr w14:paraId="67DE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551D3FD3">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96" w:type="dxa"/>
            <w:vAlign w:val="center"/>
          </w:tcPr>
          <w:p w14:paraId="10D6FFBF">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900" w:type="dxa"/>
            <w:vAlign w:val="center"/>
          </w:tcPr>
          <w:p w14:paraId="032A611D">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1177" w:type="dxa"/>
            <w:vAlign w:val="center"/>
          </w:tcPr>
          <w:p w14:paraId="39648C67">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696" w:type="dxa"/>
            <w:vAlign w:val="center"/>
          </w:tcPr>
          <w:p w14:paraId="77B50D6C">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696" w:type="dxa"/>
            <w:vAlign w:val="center"/>
          </w:tcPr>
          <w:p w14:paraId="378715BE">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696" w:type="dxa"/>
            <w:vAlign w:val="center"/>
          </w:tcPr>
          <w:p w14:paraId="55F11A6E">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1900" w:type="dxa"/>
            <w:vAlign w:val="center"/>
          </w:tcPr>
          <w:p w14:paraId="0A580B71">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r>
      <w:tr w14:paraId="4F12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7178A578">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696" w:type="dxa"/>
            <w:vAlign w:val="center"/>
          </w:tcPr>
          <w:p w14:paraId="34057EBA">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1900" w:type="dxa"/>
            <w:vAlign w:val="center"/>
          </w:tcPr>
          <w:p w14:paraId="0B1E9B75">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1177" w:type="dxa"/>
            <w:vAlign w:val="center"/>
          </w:tcPr>
          <w:p w14:paraId="2FABFE50">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696" w:type="dxa"/>
            <w:vAlign w:val="center"/>
          </w:tcPr>
          <w:p w14:paraId="30AC6670">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696" w:type="dxa"/>
            <w:vAlign w:val="center"/>
          </w:tcPr>
          <w:p w14:paraId="399371D1">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696" w:type="dxa"/>
            <w:vAlign w:val="center"/>
          </w:tcPr>
          <w:p w14:paraId="63924B70">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1900" w:type="dxa"/>
            <w:vAlign w:val="center"/>
          </w:tcPr>
          <w:p w14:paraId="636C01D8">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r>
      <w:tr w14:paraId="2CDE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0DA216FB">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696" w:type="dxa"/>
            <w:vAlign w:val="center"/>
          </w:tcPr>
          <w:p w14:paraId="54AE11F0">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1900" w:type="dxa"/>
            <w:vAlign w:val="center"/>
          </w:tcPr>
          <w:p w14:paraId="2237A40E">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1177" w:type="dxa"/>
            <w:vAlign w:val="center"/>
          </w:tcPr>
          <w:p w14:paraId="134D5AF2">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696" w:type="dxa"/>
            <w:vAlign w:val="center"/>
          </w:tcPr>
          <w:p w14:paraId="64A8318C">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696" w:type="dxa"/>
            <w:vAlign w:val="center"/>
          </w:tcPr>
          <w:p w14:paraId="7521680A">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696" w:type="dxa"/>
            <w:vAlign w:val="center"/>
          </w:tcPr>
          <w:p w14:paraId="6F930E6F">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1900" w:type="dxa"/>
            <w:vAlign w:val="center"/>
          </w:tcPr>
          <w:p w14:paraId="2BC3E7FD">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r>
      <w:tr w14:paraId="1B62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14:paraId="4F3D3487">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696" w:type="dxa"/>
            <w:vAlign w:val="center"/>
          </w:tcPr>
          <w:p w14:paraId="44AD894E">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1900" w:type="dxa"/>
            <w:vAlign w:val="center"/>
          </w:tcPr>
          <w:p w14:paraId="7285CBCB">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1177" w:type="dxa"/>
            <w:vAlign w:val="center"/>
          </w:tcPr>
          <w:p w14:paraId="214BB61B">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696" w:type="dxa"/>
            <w:vAlign w:val="center"/>
          </w:tcPr>
          <w:p w14:paraId="71721D12">
            <w:pPr>
              <w:pageBreakBefore w:val="0"/>
              <w:kinsoku/>
              <w:wordWrap w:val="0"/>
              <w:overflowPunct/>
              <w:topLinePunct w:val="0"/>
              <w:bidi w:val="0"/>
              <w:snapToGrid w:val="0"/>
              <w:spacing w:line="360" w:lineRule="auto"/>
              <w:jc w:val="center"/>
              <w:rPr>
                <w:rFonts w:hint="eastAsia" w:ascii="宋体" w:hAnsi="宋体" w:eastAsia="宋体" w:cs="宋体"/>
                <w:color w:val="auto"/>
                <w:sz w:val="24"/>
                <w:highlight w:val="none"/>
              </w:rPr>
            </w:pPr>
          </w:p>
        </w:tc>
        <w:tc>
          <w:tcPr>
            <w:tcW w:w="696" w:type="dxa"/>
            <w:vAlign w:val="center"/>
          </w:tcPr>
          <w:p w14:paraId="218D0450">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696" w:type="dxa"/>
            <w:vAlign w:val="center"/>
          </w:tcPr>
          <w:p w14:paraId="0B204E2D">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c>
          <w:tcPr>
            <w:tcW w:w="1900" w:type="dxa"/>
            <w:vAlign w:val="center"/>
          </w:tcPr>
          <w:p w14:paraId="75AB485B">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r>
      <w:tr w14:paraId="7A59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469" w:type="dxa"/>
            <w:gridSpan w:val="4"/>
            <w:vAlign w:val="center"/>
          </w:tcPr>
          <w:p w14:paraId="395B937F">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3988" w:type="dxa"/>
            <w:gridSpan w:val="4"/>
            <w:vAlign w:val="center"/>
          </w:tcPr>
          <w:p w14:paraId="1F33F012">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r>
      <w:tr w14:paraId="1057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469" w:type="dxa"/>
            <w:gridSpan w:val="4"/>
            <w:vAlign w:val="center"/>
          </w:tcPr>
          <w:p w14:paraId="0BE58F18">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3988" w:type="dxa"/>
            <w:gridSpan w:val="4"/>
            <w:vAlign w:val="center"/>
          </w:tcPr>
          <w:p w14:paraId="5CD899A3">
            <w:pPr>
              <w:pageBreakBefore w:val="0"/>
              <w:kinsoku/>
              <w:wordWrap w:val="0"/>
              <w:overflowPunct/>
              <w:topLinePunct w:val="0"/>
              <w:bidi w:val="0"/>
              <w:spacing w:line="360" w:lineRule="auto"/>
              <w:jc w:val="center"/>
              <w:rPr>
                <w:rFonts w:hint="eastAsia" w:ascii="宋体" w:hAnsi="宋体" w:eastAsia="宋体" w:cs="宋体"/>
                <w:color w:val="auto"/>
                <w:sz w:val="24"/>
                <w:highlight w:val="none"/>
              </w:rPr>
            </w:pPr>
          </w:p>
        </w:tc>
      </w:tr>
    </w:tbl>
    <w:p w14:paraId="7D25EB30">
      <w:pPr>
        <w:pageBreakBefore w:val="0"/>
        <w:kinsoku/>
        <w:wordWrap w:val="0"/>
        <w:overflowPunct/>
        <w:topLinePunct w:val="0"/>
        <w:bidi w:val="0"/>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0923FCE">
      <w:pPr>
        <w:pageBreakBefore w:val="0"/>
        <w:kinsoku/>
        <w:wordWrap w:val="0"/>
        <w:overflowPunct/>
        <w:topLinePunct w:val="0"/>
        <w:bidi w:val="0"/>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B5FBD41">
      <w:pPr>
        <w:pageBreakBefore w:val="0"/>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59F9175">
      <w:pPr>
        <w:pageBreakBefore w:val="0"/>
        <w:kinsoku/>
        <w:wordWrap w:val="0"/>
        <w:overflowPunct/>
        <w:topLinePunct w:val="0"/>
        <w:bidi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6D77AA3">
      <w:pPr>
        <w:pageBreakBefore w:val="0"/>
        <w:kinsoku/>
        <w:wordWrap w:val="0"/>
        <w:overflowPunct/>
        <w:topLinePunct w:val="0"/>
        <w:bidi w:val="0"/>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2F6BE421">
      <w:pPr>
        <w:pageBreakBefore w:val="0"/>
        <w:kinsoku/>
        <w:wordWrap w:val="0"/>
        <w:overflowPunct/>
        <w:topLinePunct w:val="0"/>
        <w:bidi w:val="0"/>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392493F7">
      <w:pPr>
        <w:pageBreakBefore w:val="0"/>
        <w:kinsoku/>
        <w:wordWrap w:val="0"/>
        <w:overflowPunct/>
        <w:topLinePunct w:val="0"/>
        <w:bidi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79D94E4">
      <w:pPr>
        <w:pageBreakBefore w:val="0"/>
        <w:kinsoku/>
        <w:wordWrap w:val="0"/>
        <w:overflowPunct/>
        <w:topLinePunct w:val="0"/>
        <w:bidi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5E689C3D">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B1DE9D4">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50D204D">
      <w:pPr>
        <w:pageBreakBefore w:val="0"/>
        <w:kinsoku/>
        <w:wordWrap w:val="0"/>
        <w:overflowPunct/>
        <w:topLinePunct w:val="0"/>
        <w:bidi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D29F8EE">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9AE3F6B">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4AF88D4">
      <w:pPr>
        <w:pageBreakBefore w:val="0"/>
        <w:kinsoku/>
        <w:wordWrap w:val="0"/>
        <w:overflowPunct/>
        <w:topLinePunct w:val="0"/>
        <w:bidi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E8A8CA1">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0C8BCC5">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1A641FEC">
      <w:pPr>
        <w:pageBreakBefore w:val="0"/>
        <w:kinsoku/>
        <w:wordWrap w:val="0"/>
        <w:overflowPunct/>
        <w:topLinePunct w:val="0"/>
        <w:bidi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1FB66DD">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6077082">
      <w:pPr>
        <w:pageBreakBefore w:val="0"/>
        <w:kinsoku/>
        <w:wordWrap w:val="0"/>
        <w:overflowPunct/>
        <w:topLinePunct w:val="0"/>
        <w:bidi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A20E1ED">
      <w:pPr>
        <w:pageBreakBefore w:val="0"/>
        <w:kinsoku/>
        <w:wordWrap w:val="0"/>
        <w:overflowPunct/>
        <w:topLinePunct w:val="0"/>
        <w:bidi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49A91FA">
      <w:pPr>
        <w:pageBreakBefore w:val="0"/>
        <w:kinsoku/>
        <w:wordWrap w:val="0"/>
        <w:overflowPunct/>
        <w:topLinePunct w:val="0"/>
        <w:bidi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98D4448">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1E3F7C4">
      <w:pPr>
        <w:pageBreakBefore w:val="0"/>
        <w:kinsoku/>
        <w:wordWrap w:val="0"/>
        <w:overflowPunct/>
        <w:topLinePunct w:val="0"/>
        <w:bidi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9548B97">
      <w:pPr>
        <w:pageBreakBefore w:val="0"/>
        <w:kinsoku/>
        <w:wordWrap w:val="0"/>
        <w:overflowPunct/>
        <w:topLinePunct w:val="0"/>
        <w:bidi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745229E">
      <w:pPr>
        <w:pageBreakBefore w:val="0"/>
        <w:kinsoku/>
        <w:wordWrap w:val="0"/>
        <w:overflowPunct/>
        <w:topLinePunct w:val="0"/>
        <w:bidi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DBD6C74">
      <w:pPr>
        <w:pageBreakBefore w:val="0"/>
        <w:kinsoku/>
        <w:wordWrap w:val="0"/>
        <w:overflowPunct/>
        <w:topLinePunct w:val="0"/>
        <w:bidi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03AA267">
      <w:pPr>
        <w:pageBreakBefore w:val="0"/>
        <w:kinsoku/>
        <w:wordWrap w:val="0"/>
        <w:overflowPunct/>
        <w:topLinePunct w:val="0"/>
        <w:bidi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35C34EC">
      <w:pPr>
        <w:pageBreakBefore w:val="0"/>
        <w:kinsoku/>
        <w:wordWrap w:val="0"/>
        <w:overflowPunct/>
        <w:topLinePunct w:val="0"/>
        <w:bidi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24CB38DF">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693A3756">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AEF9248">
      <w:pPr>
        <w:pageBreakBefore w:val="0"/>
        <w:kinsoku/>
        <w:wordWrap w:val="0"/>
        <w:overflowPunct/>
        <w:topLinePunct w:val="0"/>
        <w:bidi w:val="0"/>
        <w:spacing w:line="360" w:lineRule="auto"/>
        <w:rPr>
          <w:rFonts w:hint="eastAsia" w:ascii="宋体" w:hAnsi="宋体" w:eastAsia="宋体" w:cs="宋体"/>
          <w:b/>
          <w:color w:val="auto"/>
          <w:sz w:val="24"/>
          <w:highlight w:val="none"/>
        </w:rPr>
      </w:pPr>
    </w:p>
    <w:p w14:paraId="7DDE83CF">
      <w:pPr>
        <w:pageBreakBefore w:val="0"/>
        <w:kinsoku/>
        <w:wordWrap w:val="0"/>
        <w:overflowPunct/>
        <w:topLinePunct w:val="0"/>
        <w:bidi w:val="0"/>
        <w:spacing w:line="360" w:lineRule="auto"/>
        <w:rPr>
          <w:rFonts w:hint="eastAsia" w:ascii="宋体" w:hAnsi="宋体" w:eastAsia="宋体" w:cs="宋体"/>
          <w:b/>
          <w:color w:val="auto"/>
          <w:sz w:val="24"/>
          <w:highlight w:val="none"/>
        </w:rPr>
      </w:pPr>
    </w:p>
    <w:p w14:paraId="6753D3F5">
      <w:pPr>
        <w:pageBreakBefore w:val="0"/>
        <w:kinsoku/>
        <w:wordWrap w:val="0"/>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6941ED7">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F965DCF">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07C6ABC">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8DD1E43">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E714597">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1AADB2C">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09BF97">
      <w:pPr>
        <w:pageBreakBefore w:val="0"/>
        <w:widowControl/>
        <w:kinsoku/>
        <w:wordWrap w:val="0"/>
        <w:overflowPunct/>
        <w:topLinePunct w:val="0"/>
        <w:bidi w:val="0"/>
        <w:spacing w:line="360" w:lineRule="auto"/>
        <w:ind w:firstLine="600" w:firstLineChars="200"/>
        <w:jc w:val="left"/>
        <w:rPr>
          <w:rFonts w:hint="eastAsia" w:ascii="宋体" w:hAnsi="宋体" w:eastAsia="宋体" w:cs="宋体"/>
          <w:color w:val="auto"/>
          <w:sz w:val="30"/>
          <w:szCs w:val="30"/>
          <w:highlight w:val="none"/>
        </w:rPr>
      </w:pPr>
    </w:p>
    <w:p w14:paraId="5E1BB5A4">
      <w:pPr>
        <w:pageBreakBefore w:val="0"/>
        <w:kinsoku/>
        <w:wordWrap w:val="0"/>
        <w:overflowPunct/>
        <w:topLinePunct w:val="0"/>
        <w:bidi w:val="0"/>
        <w:spacing w:line="360" w:lineRule="auto"/>
        <w:jc w:val="center"/>
        <w:rPr>
          <w:rFonts w:hint="eastAsia" w:ascii="宋体" w:hAnsi="宋体" w:eastAsia="宋体" w:cs="宋体"/>
          <w:b/>
          <w:color w:val="auto"/>
          <w:spacing w:val="6"/>
          <w:sz w:val="32"/>
          <w:szCs w:val="32"/>
          <w:highlight w:val="none"/>
        </w:rPr>
      </w:pPr>
    </w:p>
    <w:p w14:paraId="18FF9F1F">
      <w:pPr>
        <w:pageBreakBefore w:val="0"/>
        <w:kinsoku/>
        <w:wordWrap w:val="0"/>
        <w:overflowPunct/>
        <w:topLinePunct w:val="0"/>
        <w:bidi w:val="0"/>
        <w:spacing w:line="360" w:lineRule="auto"/>
        <w:jc w:val="center"/>
        <w:rPr>
          <w:rFonts w:hint="eastAsia" w:ascii="宋体" w:hAnsi="宋体" w:eastAsia="宋体" w:cs="宋体"/>
          <w:b/>
          <w:color w:val="auto"/>
          <w:spacing w:val="6"/>
          <w:sz w:val="32"/>
          <w:szCs w:val="32"/>
          <w:highlight w:val="none"/>
        </w:rPr>
      </w:pPr>
    </w:p>
    <w:p w14:paraId="00B3854F">
      <w:pPr>
        <w:pageBreakBefore w:val="0"/>
        <w:kinsoku/>
        <w:wordWrap w:val="0"/>
        <w:overflowPunct/>
        <w:topLinePunct w:val="0"/>
        <w:bidi w:val="0"/>
        <w:spacing w:line="360" w:lineRule="auto"/>
        <w:jc w:val="center"/>
        <w:rPr>
          <w:rFonts w:hint="eastAsia" w:ascii="宋体" w:hAnsi="宋体" w:eastAsia="宋体" w:cs="宋体"/>
          <w:b/>
          <w:color w:val="auto"/>
          <w:spacing w:val="6"/>
          <w:sz w:val="32"/>
          <w:szCs w:val="32"/>
          <w:highlight w:val="none"/>
        </w:rPr>
      </w:pPr>
    </w:p>
    <w:p w14:paraId="65ABFC44">
      <w:pPr>
        <w:pageBreakBefore w:val="0"/>
        <w:kinsoku/>
        <w:wordWrap w:val="0"/>
        <w:overflowPunct/>
        <w:topLinePunct w:val="0"/>
        <w:bidi w:val="0"/>
        <w:spacing w:line="360" w:lineRule="auto"/>
        <w:jc w:val="center"/>
        <w:rPr>
          <w:rFonts w:hint="eastAsia" w:ascii="宋体" w:hAnsi="宋体" w:eastAsia="宋体" w:cs="宋体"/>
          <w:b/>
          <w:color w:val="auto"/>
          <w:spacing w:val="6"/>
          <w:sz w:val="32"/>
          <w:szCs w:val="32"/>
          <w:highlight w:val="none"/>
        </w:rPr>
      </w:pPr>
    </w:p>
    <w:p w14:paraId="684CD6BC">
      <w:pPr>
        <w:pageBreakBefore w:val="0"/>
        <w:kinsoku/>
        <w:wordWrap w:val="0"/>
        <w:overflowPunct/>
        <w:topLinePunct w:val="0"/>
        <w:bidi w:val="0"/>
        <w:spacing w:line="360" w:lineRule="auto"/>
        <w:jc w:val="center"/>
        <w:rPr>
          <w:rFonts w:hint="eastAsia" w:ascii="宋体" w:hAnsi="宋体" w:eastAsia="宋体" w:cs="宋体"/>
          <w:b/>
          <w:color w:val="auto"/>
          <w:spacing w:val="6"/>
          <w:sz w:val="32"/>
          <w:szCs w:val="32"/>
          <w:highlight w:val="none"/>
        </w:rPr>
      </w:pPr>
    </w:p>
    <w:p w14:paraId="262E1765">
      <w:pPr>
        <w:pageBreakBefore w:val="0"/>
        <w:kinsoku/>
        <w:wordWrap w:val="0"/>
        <w:overflowPunct/>
        <w:topLinePunct w:val="0"/>
        <w:bidi w:val="0"/>
        <w:spacing w:line="360" w:lineRule="auto"/>
        <w:jc w:val="center"/>
        <w:rPr>
          <w:rFonts w:hint="eastAsia" w:ascii="宋体" w:hAnsi="宋体" w:eastAsia="宋体" w:cs="宋体"/>
          <w:b/>
          <w:color w:val="auto"/>
          <w:spacing w:val="6"/>
          <w:sz w:val="32"/>
          <w:szCs w:val="32"/>
          <w:highlight w:val="none"/>
        </w:rPr>
      </w:pPr>
    </w:p>
    <w:p w14:paraId="54D7052C">
      <w:pPr>
        <w:pageBreakBefore w:val="0"/>
        <w:kinsoku/>
        <w:wordWrap w:val="0"/>
        <w:overflowPunct/>
        <w:topLinePunct w:val="0"/>
        <w:bidi w:val="0"/>
        <w:spacing w:line="360" w:lineRule="auto"/>
        <w:jc w:val="center"/>
        <w:rPr>
          <w:rFonts w:hint="eastAsia" w:ascii="宋体" w:hAnsi="宋体" w:eastAsia="宋体" w:cs="宋体"/>
          <w:b/>
          <w:color w:val="auto"/>
          <w:spacing w:val="6"/>
          <w:sz w:val="32"/>
          <w:szCs w:val="32"/>
          <w:highlight w:val="none"/>
        </w:rPr>
      </w:pPr>
    </w:p>
    <w:p w14:paraId="1394E4A0">
      <w:pPr>
        <w:pStyle w:val="84"/>
        <w:pageBreakBefore w:val="0"/>
        <w:kinsoku/>
        <w:wordWrap w:val="0"/>
        <w:overflowPunct/>
        <w:topLinePunct w:val="0"/>
        <w:bidi w:val="0"/>
        <w:rPr>
          <w:rFonts w:hint="eastAsia" w:ascii="宋体" w:hAnsi="宋体" w:eastAsia="宋体" w:cs="宋体"/>
          <w:b/>
          <w:color w:val="auto"/>
          <w:spacing w:val="6"/>
          <w:sz w:val="32"/>
          <w:szCs w:val="32"/>
          <w:highlight w:val="none"/>
        </w:rPr>
      </w:pPr>
    </w:p>
    <w:p w14:paraId="7492B7B0">
      <w:pPr>
        <w:pageBreakBefore w:val="0"/>
        <w:kinsoku/>
        <w:wordWrap w:val="0"/>
        <w:overflowPunct/>
        <w:topLinePunct w:val="0"/>
        <w:bidi w:val="0"/>
        <w:rPr>
          <w:rFonts w:hint="eastAsia" w:ascii="宋体" w:hAnsi="宋体" w:eastAsia="宋体" w:cs="宋体"/>
          <w:color w:val="auto"/>
          <w:highlight w:val="none"/>
        </w:rPr>
      </w:pPr>
    </w:p>
    <w:p w14:paraId="3364DDF0">
      <w:pPr>
        <w:pageBreakBefore w:val="0"/>
        <w:kinsoku/>
        <w:wordWrap w:val="0"/>
        <w:overflowPunct/>
        <w:topLinePunct w:val="0"/>
        <w:bidi w:val="0"/>
        <w:spacing w:line="360" w:lineRule="auto"/>
        <w:jc w:val="center"/>
        <w:rPr>
          <w:rFonts w:hint="eastAsia" w:ascii="宋体" w:hAnsi="宋体" w:eastAsia="宋体" w:cs="宋体"/>
          <w:b/>
          <w:color w:val="auto"/>
          <w:spacing w:val="6"/>
          <w:sz w:val="32"/>
          <w:szCs w:val="32"/>
          <w:highlight w:val="none"/>
        </w:rPr>
      </w:pPr>
    </w:p>
    <w:p w14:paraId="32175687">
      <w:pPr>
        <w:pageBreakBefore w:val="0"/>
        <w:kinsoku/>
        <w:wordWrap w:val="0"/>
        <w:overflowPunct/>
        <w:topLinePunct w:val="0"/>
        <w:bidi w:val="0"/>
        <w:spacing w:line="360" w:lineRule="auto"/>
        <w:jc w:val="left"/>
        <w:rPr>
          <w:rFonts w:hint="eastAsia" w:ascii="宋体" w:hAnsi="宋体" w:eastAsia="宋体" w:cs="宋体"/>
          <w:b/>
          <w:color w:val="auto"/>
          <w:spacing w:val="6"/>
          <w:sz w:val="32"/>
          <w:szCs w:val="32"/>
          <w:highlight w:val="none"/>
        </w:rPr>
      </w:pPr>
    </w:p>
    <w:p w14:paraId="324270BB">
      <w:pPr>
        <w:pageBreakBefore w:val="0"/>
        <w:kinsoku/>
        <w:wordWrap w:val="0"/>
        <w:overflowPunct/>
        <w:topLinePunct w:val="0"/>
        <w:bidi w:val="0"/>
        <w:spacing w:line="360" w:lineRule="auto"/>
        <w:jc w:val="left"/>
        <w:rPr>
          <w:rFonts w:hint="eastAsia" w:ascii="宋体" w:hAnsi="宋体" w:eastAsia="宋体" w:cs="宋体"/>
          <w:b/>
          <w:color w:val="auto"/>
          <w:spacing w:val="6"/>
          <w:sz w:val="32"/>
          <w:szCs w:val="32"/>
          <w:highlight w:val="none"/>
        </w:rPr>
      </w:pPr>
    </w:p>
    <w:p w14:paraId="42471353">
      <w:pPr>
        <w:pageBreakBefore w:val="0"/>
        <w:kinsoku/>
        <w:wordWrap w:val="0"/>
        <w:overflowPunct/>
        <w:topLinePunct w:val="0"/>
        <w:bidi w:val="0"/>
        <w:spacing w:line="360" w:lineRule="auto"/>
        <w:jc w:val="left"/>
        <w:rPr>
          <w:rFonts w:hint="eastAsia" w:ascii="宋体" w:hAnsi="宋体" w:eastAsia="宋体" w:cs="宋体"/>
          <w:b/>
          <w:color w:val="auto"/>
          <w:spacing w:val="6"/>
          <w:sz w:val="32"/>
          <w:szCs w:val="32"/>
          <w:highlight w:val="none"/>
        </w:rPr>
      </w:pPr>
    </w:p>
    <w:p w14:paraId="3F6B52C3">
      <w:pPr>
        <w:pageBreakBefore w:val="0"/>
        <w:kinsoku/>
        <w:wordWrap w:val="0"/>
        <w:overflowPunct/>
        <w:topLinePunct w:val="0"/>
        <w:bidi w:val="0"/>
        <w:spacing w:line="360" w:lineRule="auto"/>
        <w:jc w:val="left"/>
        <w:rPr>
          <w:rFonts w:hint="eastAsia" w:ascii="宋体" w:hAnsi="宋体" w:eastAsia="宋体" w:cs="宋体"/>
          <w:b/>
          <w:color w:val="auto"/>
          <w:spacing w:val="6"/>
          <w:sz w:val="32"/>
          <w:szCs w:val="32"/>
          <w:highlight w:val="none"/>
        </w:rPr>
      </w:pPr>
    </w:p>
    <w:p w14:paraId="2721EB82">
      <w:pPr>
        <w:pageBreakBefore w:val="0"/>
        <w:kinsoku/>
        <w:wordWrap w:val="0"/>
        <w:overflowPunct/>
        <w:topLinePunct w:val="0"/>
        <w:bidi w:val="0"/>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ED9F9E4">
      <w:pPr>
        <w:pageBreakBefore w:val="0"/>
        <w:kinsoku/>
        <w:wordWrap w:val="0"/>
        <w:overflowPunct/>
        <w:topLinePunct w:val="0"/>
        <w:bidi w:val="0"/>
        <w:spacing w:line="360" w:lineRule="auto"/>
        <w:jc w:val="center"/>
        <w:rPr>
          <w:rFonts w:hint="eastAsia" w:ascii="宋体" w:hAnsi="宋体" w:eastAsia="宋体" w:cs="宋体"/>
          <w:b/>
          <w:color w:val="auto"/>
          <w:sz w:val="24"/>
          <w:highlight w:val="none"/>
        </w:rPr>
      </w:pPr>
    </w:p>
    <w:p w14:paraId="4E3F4058">
      <w:pPr>
        <w:pageBreakBefore w:val="0"/>
        <w:kinsoku/>
        <w:wordWrap w:val="0"/>
        <w:overflowPunct/>
        <w:topLinePunct w:val="0"/>
        <w:bidi w:val="0"/>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6898AE3">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B9ED714">
      <w:pPr>
        <w:pageBreakBefore w:val="0"/>
        <w:kinsoku/>
        <w:wordWrap w:val="0"/>
        <w:overflowPunct/>
        <w:topLinePunct w:val="0"/>
        <w:bidi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C00DB84">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8154D6">
      <w:pPr>
        <w:pageBreakBefore w:val="0"/>
        <w:tabs>
          <w:tab w:val="left" w:pos="6510"/>
        </w:tabs>
        <w:kinsoku/>
        <w:wordWrap w:val="0"/>
        <w:overflowPunct/>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D58C6CD">
      <w:pPr>
        <w:pageBreakBefore w:val="0"/>
        <w:tabs>
          <w:tab w:val="left" w:pos="6510"/>
        </w:tabs>
        <w:kinsoku/>
        <w:wordWrap w:val="0"/>
        <w:overflowPunct/>
        <w:topLinePunct w:val="0"/>
        <w:bidi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4B2FEEC">
      <w:pPr>
        <w:pageBreakBefore w:val="0"/>
        <w:kinsoku/>
        <w:wordWrap w:val="0"/>
        <w:overflowPunct/>
        <w:topLinePunct w:val="0"/>
        <w:bidi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8CB2796">
      <w:pPr>
        <w:pageBreakBefore w:val="0"/>
        <w:kinsoku/>
        <w:wordWrap w:val="0"/>
        <w:overflowPunct/>
        <w:topLinePunct w:val="0"/>
        <w:bidi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91391DA">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BD03621">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2D6ECB">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141866">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109FB3C0">
      <w:pPr>
        <w:pageBreakBefore w:val="0"/>
        <w:kinsoku/>
        <w:wordWrap w:val="0"/>
        <w:overflowPunct/>
        <w:topLinePunct w:val="0"/>
        <w:bidi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9C0969F">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BADD11">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1DBB2B5">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91B4F12">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D08F595">
      <w:pPr>
        <w:pageBreakBefore w:val="0"/>
        <w:kinsoku/>
        <w:wordWrap w:val="0"/>
        <w:overflowPunct/>
        <w:topLinePunct w:val="0"/>
        <w:bidi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5FB5B77">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54BFB2D">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1D7D45">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1ED3563">
      <w:pPr>
        <w:pageBreakBefore w:val="0"/>
        <w:kinsoku/>
        <w:wordWrap w:val="0"/>
        <w:overflowPunct/>
        <w:topLinePunct w:val="0"/>
        <w:bidi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D979AE3">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0FED96B">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A71E38C">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03DD4A6">
      <w:pPr>
        <w:pageBreakBefore w:val="0"/>
        <w:kinsoku/>
        <w:wordWrap w:val="0"/>
        <w:overflowPunct/>
        <w:topLinePunct w:val="0"/>
        <w:bidi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CA57758">
      <w:pPr>
        <w:pageBreakBefore w:val="0"/>
        <w:kinsoku/>
        <w:wordWrap w:val="0"/>
        <w:overflowPunct/>
        <w:topLinePunct w:val="0"/>
        <w:bidi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3D1F0523">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8EE1586">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85ADBC2">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64734E1">
      <w:pPr>
        <w:pageBreakBefore w:val="0"/>
        <w:kinsoku/>
        <w:wordWrap w:val="0"/>
        <w:overflowPunct/>
        <w:topLinePunct w:val="0"/>
        <w:bidi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9ACC8E5">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BAD666C">
      <w:pPr>
        <w:pageBreakBefore w:val="0"/>
        <w:kinsoku/>
        <w:wordWrap w:val="0"/>
        <w:overflowPunct/>
        <w:topLinePunct w:val="0"/>
        <w:bidi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7BB5E0D">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B90CD58">
      <w:pPr>
        <w:pageBreakBefore w:val="0"/>
        <w:kinsoku/>
        <w:wordWrap w:val="0"/>
        <w:overflowPunct/>
        <w:topLinePunct w:val="0"/>
        <w:bidi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FF6444F">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51B054C">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40F0451">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119CAFA0">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14:paraId="08F3E67A">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2687E77">
      <w:pPr>
        <w:pageBreakBefore w:val="0"/>
        <w:kinsoku/>
        <w:wordWrap w:val="0"/>
        <w:overflowPunct/>
        <w:topLinePunct w:val="0"/>
        <w:bidi w:val="0"/>
        <w:spacing w:line="360" w:lineRule="auto"/>
        <w:rPr>
          <w:rFonts w:hint="eastAsia" w:ascii="宋体" w:hAnsi="宋体" w:eastAsia="宋体" w:cs="宋体"/>
          <w:b/>
          <w:color w:val="auto"/>
          <w:sz w:val="24"/>
          <w:highlight w:val="none"/>
        </w:rPr>
      </w:pPr>
    </w:p>
    <w:p w14:paraId="4A1FEAB8">
      <w:pPr>
        <w:pageBreakBefore w:val="0"/>
        <w:kinsoku/>
        <w:wordWrap w:val="0"/>
        <w:overflowPunct/>
        <w:topLinePunct w:val="0"/>
        <w:bidi w:val="0"/>
        <w:spacing w:line="360" w:lineRule="auto"/>
        <w:rPr>
          <w:rFonts w:hint="eastAsia" w:ascii="宋体" w:hAnsi="宋体" w:eastAsia="宋体" w:cs="宋体"/>
          <w:b/>
          <w:color w:val="auto"/>
          <w:sz w:val="24"/>
          <w:highlight w:val="none"/>
        </w:rPr>
      </w:pPr>
    </w:p>
    <w:p w14:paraId="2E09BA7F">
      <w:pPr>
        <w:pageBreakBefore w:val="0"/>
        <w:kinsoku/>
        <w:wordWrap w:val="0"/>
        <w:overflowPunct/>
        <w:topLinePunct w:val="0"/>
        <w:bidi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BE0B128">
      <w:pPr>
        <w:pageBreakBefore w:val="0"/>
        <w:widowControl/>
        <w:kinsoku/>
        <w:wordWrap w:val="0"/>
        <w:overflowPunct/>
        <w:topLinePunct w:val="0"/>
        <w:bidi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64A4B39">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28CA09CB">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95DEED4">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879CB96">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E19B909">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18F10679">
      <w:pPr>
        <w:pageBreakBefore w:val="0"/>
        <w:widowControl/>
        <w:kinsoku/>
        <w:wordWrap w:val="0"/>
        <w:overflowPunct/>
        <w:topLinePunct w:val="0"/>
        <w:bidi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C1EA88D">
      <w:pPr>
        <w:pageBreakBefore w:val="0"/>
        <w:kinsoku/>
        <w:wordWrap w:val="0"/>
        <w:overflowPunct/>
        <w:topLinePunct w:val="0"/>
        <w:bidi w:val="0"/>
        <w:spacing w:line="360" w:lineRule="auto"/>
        <w:rPr>
          <w:rFonts w:hint="eastAsia" w:ascii="宋体" w:hAnsi="宋体" w:eastAsia="宋体" w:cs="宋体"/>
          <w:b/>
          <w:color w:val="auto"/>
          <w:sz w:val="24"/>
          <w:highlight w:val="none"/>
        </w:rPr>
      </w:pPr>
    </w:p>
    <w:p w14:paraId="0B77BE7C">
      <w:pPr>
        <w:pageBreakBefore w:val="0"/>
        <w:kinsoku/>
        <w:wordWrap w:val="0"/>
        <w:overflowPunct/>
        <w:topLinePunct w:val="0"/>
        <w:autoSpaceDE w:val="0"/>
        <w:autoSpaceDN w:val="0"/>
        <w:bidi w:val="0"/>
        <w:jc w:val="center"/>
        <w:rPr>
          <w:rFonts w:hint="eastAsia" w:ascii="宋体" w:hAnsi="宋体" w:eastAsia="宋体" w:cs="宋体"/>
          <w:b/>
          <w:color w:val="auto"/>
          <w:spacing w:val="6"/>
          <w:sz w:val="32"/>
          <w:szCs w:val="32"/>
          <w:highlight w:val="none"/>
        </w:rPr>
      </w:pPr>
    </w:p>
    <w:p w14:paraId="629B62F3">
      <w:pPr>
        <w:pageBreakBefore w:val="0"/>
        <w:kinsoku/>
        <w:wordWrap w:val="0"/>
        <w:overflowPunct/>
        <w:topLinePunct w:val="0"/>
        <w:autoSpaceDE w:val="0"/>
        <w:autoSpaceDN w:val="0"/>
        <w:bidi w:val="0"/>
        <w:jc w:val="center"/>
        <w:rPr>
          <w:rFonts w:hint="eastAsia" w:ascii="宋体" w:hAnsi="宋体" w:eastAsia="宋体" w:cs="宋体"/>
          <w:b/>
          <w:color w:val="auto"/>
          <w:spacing w:val="6"/>
          <w:sz w:val="32"/>
          <w:szCs w:val="32"/>
          <w:highlight w:val="none"/>
        </w:rPr>
      </w:pPr>
    </w:p>
    <w:p w14:paraId="6C606255">
      <w:pPr>
        <w:pageBreakBefore w:val="0"/>
        <w:kinsoku/>
        <w:wordWrap w:val="0"/>
        <w:overflowPunct/>
        <w:topLinePunct w:val="0"/>
        <w:autoSpaceDE w:val="0"/>
        <w:autoSpaceDN w:val="0"/>
        <w:bidi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2164A50">
      <w:pPr>
        <w:pageBreakBefore w:val="0"/>
        <w:kinsoku/>
        <w:wordWrap w:val="0"/>
        <w:overflowPunct/>
        <w:topLinePunct w:val="0"/>
        <w:bidi w:val="0"/>
        <w:spacing w:line="360" w:lineRule="auto"/>
        <w:rPr>
          <w:rFonts w:hint="eastAsia" w:ascii="宋体" w:hAnsi="宋体" w:eastAsia="宋体" w:cs="宋体"/>
          <w:color w:val="auto"/>
          <w:sz w:val="24"/>
          <w:highlight w:val="none"/>
          <w:u w:val="single"/>
        </w:rPr>
      </w:pPr>
    </w:p>
    <w:p w14:paraId="2F5A0877">
      <w:pPr>
        <w:pageBreakBefore w:val="0"/>
        <w:kinsoku/>
        <w:wordWrap w:val="0"/>
        <w:overflowPunct/>
        <w:topLinePunct w:val="0"/>
        <w:bidi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建德市乾潭镇安仁村股份经济合作社</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浙江中正工程项目管理有限公司</w:t>
      </w:r>
      <w:r>
        <w:rPr>
          <w:rFonts w:hint="eastAsia" w:ascii="宋体" w:hAnsi="宋体" w:eastAsia="宋体" w:cs="宋体"/>
          <w:color w:val="auto"/>
          <w:sz w:val="24"/>
          <w:highlight w:val="none"/>
          <w:u w:val="single"/>
        </w:rPr>
        <w:t>：</w:t>
      </w:r>
    </w:p>
    <w:p w14:paraId="393DD755">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建德市乾潭镇安仁社区卫生服务站办公用品采购项目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ZJZZCG2025B-013</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53AF63D">
      <w:pPr>
        <w:pageBreakBefore w:val="0"/>
        <w:kinsoku/>
        <w:wordWrap w:val="0"/>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74703ED">
      <w:pPr>
        <w:pageBreakBefore w:val="0"/>
        <w:kinsoku/>
        <w:wordWrap w:val="0"/>
        <w:overflowPunct/>
        <w:topLinePunct w:val="0"/>
        <w:bidi w:val="0"/>
        <w:spacing w:line="360" w:lineRule="auto"/>
        <w:ind w:firstLine="494"/>
        <w:rPr>
          <w:rFonts w:hint="eastAsia" w:ascii="宋体" w:hAnsi="宋体" w:eastAsia="宋体" w:cs="宋体"/>
          <w:color w:val="auto"/>
          <w:sz w:val="24"/>
          <w:highlight w:val="none"/>
        </w:rPr>
      </w:pPr>
    </w:p>
    <w:p w14:paraId="3CB3CAAD">
      <w:pPr>
        <w:pageBreakBefore w:val="0"/>
        <w:kinsoku/>
        <w:wordWrap w:val="0"/>
        <w:overflowPunct/>
        <w:topLinePunct w:val="0"/>
        <w:bidi w:val="0"/>
        <w:spacing w:line="360" w:lineRule="auto"/>
        <w:ind w:firstLine="494"/>
        <w:rPr>
          <w:rFonts w:hint="eastAsia" w:ascii="宋体" w:hAnsi="宋体" w:eastAsia="宋体" w:cs="宋体"/>
          <w:color w:val="auto"/>
          <w:sz w:val="24"/>
          <w:highlight w:val="none"/>
        </w:rPr>
      </w:pPr>
    </w:p>
    <w:p w14:paraId="6497AD76">
      <w:pPr>
        <w:pageBreakBefore w:val="0"/>
        <w:kinsoku/>
        <w:wordWrap w:val="0"/>
        <w:overflowPunct/>
        <w:topLinePunct w:val="0"/>
        <w:bidi w:val="0"/>
        <w:spacing w:line="360" w:lineRule="auto"/>
        <w:ind w:firstLine="494"/>
        <w:rPr>
          <w:rFonts w:hint="eastAsia" w:ascii="宋体" w:hAnsi="宋体" w:eastAsia="宋体" w:cs="宋体"/>
          <w:color w:val="auto"/>
          <w:sz w:val="24"/>
          <w:highlight w:val="none"/>
        </w:rPr>
      </w:pPr>
    </w:p>
    <w:p w14:paraId="4D2DA101">
      <w:pPr>
        <w:pageBreakBefore w:val="0"/>
        <w:kinsoku/>
        <w:wordWrap w:val="0"/>
        <w:overflowPunct/>
        <w:topLinePunct w:val="0"/>
        <w:bidi w:val="0"/>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08A136A3">
      <w:pPr>
        <w:pageBreakBefore w:val="0"/>
        <w:kinsoku/>
        <w:wordWrap w:val="0"/>
        <w:overflowPunct/>
        <w:topLinePunct w:val="0"/>
        <w:bidi w:val="0"/>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5DBC329">
      <w:pPr>
        <w:pageBreakBefore w:val="0"/>
        <w:kinsoku/>
        <w:wordWrap w:val="0"/>
        <w:overflowPunct/>
        <w:topLinePunct w:val="0"/>
        <w:bidi w:val="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39652CC1">
      <w:pPr>
        <w:pageBreakBefore w:val="0"/>
        <w:kinsoku/>
        <w:wordWrap w:val="0"/>
        <w:overflowPunct/>
        <w:topLinePunct w:val="0"/>
        <w:bidi w:val="0"/>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3B5035E">
      <w:pPr>
        <w:pageBreakBefore w:val="0"/>
        <w:kinsoku/>
        <w:wordWrap w:val="0"/>
        <w:overflowPunct/>
        <w:topLinePunct w:val="0"/>
        <w:autoSpaceDE w:val="0"/>
        <w:autoSpaceDN w:val="0"/>
        <w:bidi w:val="0"/>
        <w:jc w:val="center"/>
        <w:rPr>
          <w:rFonts w:hint="eastAsia" w:ascii="宋体" w:hAnsi="宋体" w:eastAsia="宋体" w:cs="宋体"/>
          <w:b/>
          <w:color w:val="auto"/>
          <w:spacing w:val="6"/>
          <w:sz w:val="32"/>
          <w:szCs w:val="32"/>
          <w:highlight w:val="none"/>
        </w:rPr>
      </w:pPr>
    </w:p>
    <w:p w14:paraId="7E6A354C">
      <w:pPr>
        <w:pageBreakBefore w:val="0"/>
        <w:kinsoku/>
        <w:wordWrap w:val="0"/>
        <w:overflowPunct/>
        <w:topLinePunct w:val="0"/>
        <w:autoSpaceDE w:val="0"/>
        <w:autoSpaceDN w:val="0"/>
        <w:bidi w:val="0"/>
        <w:jc w:val="center"/>
        <w:rPr>
          <w:rFonts w:hint="eastAsia" w:ascii="宋体" w:hAnsi="宋体" w:eastAsia="宋体" w:cs="宋体"/>
          <w:b/>
          <w:color w:val="auto"/>
          <w:spacing w:val="6"/>
          <w:sz w:val="32"/>
          <w:szCs w:val="32"/>
          <w:highlight w:val="none"/>
        </w:rPr>
      </w:pPr>
    </w:p>
    <w:p w14:paraId="6F554D10">
      <w:pPr>
        <w:pageBreakBefore w:val="0"/>
        <w:kinsoku/>
        <w:wordWrap w:val="0"/>
        <w:overflowPunct/>
        <w:topLinePunct w:val="0"/>
        <w:autoSpaceDE w:val="0"/>
        <w:autoSpaceDN w:val="0"/>
        <w:bidi w:val="0"/>
        <w:jc w:val="center"/>
        <w:rPr>
          <w:rFonts w:hint="eastAsia" w:ascii="宋体" w:hAnsi="宋体" w:eastAsia="宋体" w:cs="宋体"/>
          <w:b/>
          <w:color w:val="auto"/>
          <w:spacing w:val="6"/>
          <w:sz w:val="32"/>
          <w:szCs w:val="32"/>
          <w:highlight w:val="none"/>
        </w:rPr>
      </w:pPr>
    </w:p>
    <w:p w14:paraId="57E55F3C">
      <w:pPr>
        <w:pageBreakBefore w:val="0"/>
        <w:kinsoku/>
        <w:wordWrap w:val="0"/>
        <w:overflowPunct/>
        <w:topLinePunct w:val="0"/>
        <w:autoSpaceDE w:val="0"/>
        <w:autoSpaceDN w:val="0"/>
        <w:bidi w:val="0"/>
        <w:jc w:val="center"/>
        <w:rPr>
          <w:rFonts w:hint="eastAsia" w:ascii="宋体" w:hAnsi="宋体" w:eastAsia="宋体" w:cs="宋体"/>
          <w:b/>
          <w:color w:val="auto"/>
          <w:spacing w:val="6"/>
          <w:sz w:val="32"/>
          <w:szCs w:val="32"/>
          <w:highlight w:val="none"/>
        </w:rPr>
      </w:pPr>
    </w:p>
    <w:p w14:paraId="32EB2F40">
      <w:pPr>
        <w:pageBreakBefore w:val="0"/>
        <w:kinsoku/>
        <w:wordWrap w:val="0"/>
        <w:overflowPunct/>
        <w:topLinePunct w:val="0"/>
        <w:bidi w:val="0"/>
        <w:snapToGrid w:val="0"/>
        <w:spacing w:line="360" w:lineRule="auto"/>
        <w:jc w:val="both"/>
        <w:outlineLvl w:val="0"/>
        <w:rPr>
          <w:rFonts w:hint="eastAsia" w:ascii="宋体" w:hAnsi="宋体" w:eastAsia="宋体" w:cs="宋体"/>
          <w:b/>
          <w:color w:val="auto"/>
          <w:kern w:val="0"/>
          <w:sz w:val="32"/>
          <w:szCs w:val="32"/>
          <w:highlight w:val="none"/>
        </w:rPr>
      </w:pPr>
    </w:p>
    <w:p w14:paraId="3C53EF96">
      <w:pPr>
        <w:pageBreakBefore w:val="0"/>
        <w:kinsoku/>
        <w:wordWrap w:val="0"/>
        <w:overflowPunct/>
        <w:topLinePunct w:val="0"/>
        <w:bidi w:val="0"/>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7CCAEEFD">
      <w:pPr>
        <w:pageBreakBefore w:val="0"/>
        <w:widowControl/>
        <w:kinsoku/>
        <w:wordWrap w:val="0"/>
        <w:overflowPunct/>
        <w:topLinePunct w:val="0"/>
        <w:bidi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100A749">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建德市乾潭镇安仁社区卫生服务站办公用品采购项目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ZJZZCG2025B-013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013BCE7D">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142F3AD">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04D4513">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3100322">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bookmarkStart w:id="39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5AAB02B">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8067D84">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399"/>
    <w:p w14:paraId="1355FA89">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8803395">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五、有关本次联合投标的其他事宜：</w:t>
      </w:r>
    </w:p>
    <w:p w14:paraId="3EE30442">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1、联合体各方不再单独参加或者与其他供应商另外组成联合体参加同一合同项下的采购活动。</w:t>
      </w:r>
    </w:p>
    <w:p w14:paraId="297B28A3">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35F1091">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06A86D9">
      <w:pPr>
        <w:pageBreakBefore w:val="0"/>
        <w:kinsoku/>
        <w:wordWrap w:val="0"/>
        <w:overflowPunct/>
        <w:topLinePunct w:val="0"/>
        <w:bidi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4F5C71F">
      <w:pPr>
        <w:pageBreakBefore w:val="0"/>
        <w:kinsoku/>
        <w:wordWrap w:val="0"/>
        <w:overflowPunct/>
        <w:topLinePunct w:val="0"/>
        <w:bidi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0B6F1F7">
      <w:pPr>
        <w:pageBreakBefore w:val="0"/>
        <w:kinsoku/>
        <w:wordWrap w:val="0"/>
        <w:overflowPunct/>
        <w:topLinePunct w:val="0"/>
        <w:bidi w:val="0"/>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EF3EE9C">
      <w:pPr>
        <w:pageBreakBefore w:val="0"/>
        <w:kinsoku/>
        <w:wordWrap w:val="0"/>
        <w:overflowPunct/>
        <w:topLinePunct w:val="0"/>
        <w:bidi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E376C0">
      <w:pPr>
        <w:pageBreakBefore w:val="0"/>
        <w:kinsoku/>
        <w:wordWrap w:val="0"/>
        <w:overflowPunct/>
        <w:topLinePunct w:val="0"/>
        <w:bidi w:val="0"/>
        <w:spacing w:line="360" w:lineRule="auto"/>
        <w:ind w:right="42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注：按本格式和要求提供。</w:t>
      </w:r>
    </w:p>
    <w:p w14:paraId="70562C73">
      <w:pPr>
        <w:pageBreakBefore w:val="0"/>
        <w:kinsoku/>
        <w:wordWrap w:val="0"/>
        <w:overflowPunct/>
        <w:topLinePunct w:val="0"/>
        <w:bidi w:val="0"/>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12A74A8A">
      <w:pPr>
        <w:pageBreakBefore w:val="0"/>
        <w:widowControl/>
        <w:kinsoku/>
        <w:wordWrap w:val="0"/>
        <w:overflowPunct/>
        <w:topLinePunct w:val="0"/>
        <w:bidi w:val="0"/>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E1C0399">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建德市乾潭镇安仁社区卫生服务站办公用品采购项目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ZJZZCG2025B-013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C218AE2">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57F28C0">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CEEB137">
      <w:pPr>
        <w:pStyle w:val="3"/>
        <w:pageBreakBefore w:val="0"/>
        <w:kinsoku/>
        <w:wordWrap w:val="0"/>
        <w:overflowPunct/>
        <w:topLinePunct w:val="0"/>
        <w:bidi w:val="0"/>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6744CDE">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72108864">
      <w:pPr>
        <w:pageBreakBefore w:val="0"/>
        <w:kinsoku/>
        <w:wordWrap w:val="0"/>
        <w:overflowPunct/>
        <w:topLinePunct w:val="0"/>
        <w:bidi w:val="0"/>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2D4156F">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02AD9686">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C8CF9C3">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333C7F02">
      <w:pPr>
        <w:pageBreakBefore w:val="0"/>
        <w:kinsoku/>
        <w:wordWrap w:val="0"/>
        <w:overflowPunct/>
        <w:topLinePunct w:val="0"/>
        <w:bidi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CB796FC">
      <w:pPr>
        <w:pageBreakBefore w:val="0"/>
        <w:kinsoku/>
        <w:wordWrap w:val="0"/>
        <w:overflowPunct/>
        <w:topLinePunct w:val="0"/>
        <w:bidi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2BA12931">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3F43FA6">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4BEA8B1A">
      <w:pPr>
        <w:pageBreakBefore w:val="0"/>
        <w:kinsoku/>
        <w:wordWrap w:val="0"/>
        <w:overflowPunct/>
        <w:topLinePunct w:val="0"/>
        <w:bidi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2AE05A">
      <w:pPr>
        <w:pageBreakBefore w:val="0"/>
        <w:kinsoku/>
        <w:wordWrap w:val="0"/>
        <w:overflowPunct/>
        <w:topLinePunct w:val="0"/>
        <w:bidi w:val="0"/>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55C4084D">
      <w:pPr>
        <w:pageBreakBefore w:val="0"/>
        <w:kinsoku/>
        <w:wordWrap w:val="0"/>
        <w:overflowPunct/>
        <w:topLinePunct w:val="0"/>
        <w:bidi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0E6080DB">
      <w:pPr>
        <w:pageBreakBefore w:val="0"/>
        <w:kinsoku/>
        <w:wordWrap w:val="0"/>
        <w:overflowPunct/>
        <w:topLinePunct w:val="0"/>
        <w:bidi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23DFB2B">
      <w:pPr>
        <w:pageBreakBefore w:val="0"/>
        <w:kinsoku/>
        <w:wordWrap w:val="0"/>
        <w:overflowPunct/>
        <w:topLinePunct w:val="0"/>
        <w:bidi w:val="0"/>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D652175">
      <w:pPr>
        <w:pageBreakBefore w:val="0"/>
        <w:kinsoku/>
        <w:wordWrap w:val="0"/>
        <w:overflowPunct/>
        <w:topLinePunct w:val="0"/>
        <w:bidi w:val="0"/>
        <w:spacing w:line="360" w:lineRule="auto"/>
        <w:ind w:right="420"/>
        <w:rPr>
          <w:rFonts w:hint="eastAsia" w:ascii="宋体" w:hAnsi="宋体" w:eastAsia="宋体" w:cs="宋体"/>
          <w:b/>
          <w:color w:val="auto"/>
          <w:spacing w:val="6"/>
          <w:sz w:val="32"/>
          <w:szCs w:val="32"/>
          <w:highlight w:val="none"/>
        </w:rPr>
      </w:pPr>
      <w:r>
        <w:rPr>
          <w:rFonts w:hint="eastAsia" w:ascii="宋体" w:hAnsi="宋体" w:eastAsia="宋体" w:cs="宋体"/>
          <w:color w:val="auto"/>
          <w:sz w:val="24"/>
          <w:highlight w:val="none"/>
        </w:rPr>
        <w:t>注：按本格式和要求提供。</w:t>
      </w:r>
    </w:p>
    <w:sectPr>
      <w:headerReference r:id="rId14" w:type="first"/>
      <w:footerReference r:id="rId17" w:type="first"/>
      <w:headerReference r:id="rId13" w:type="default"/>
      <w:footerReference r:id="rId15" w:type="default"/>
      <w:footerReference r:id="rId16"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2F44A">
    <w:pPr>
      <w:pStyle w:val="41"/>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FB2494A">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3FB2494A">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48DB4">
    <w:pPr>
      <w:pStyle w:val="41"/>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13B2364">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14:paraId="313B2364">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B6D6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E91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2B288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609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D061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50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C48D8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EA10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D936">
    <w:pPr>
      <w:pStyle w:val="41"/>
      <w:framePr w:wrap="around" w:vAnchor="text" w:hAnchor="margin" w:xAlign="right" w:y="1"/>
      <w:rPr>
        <w:rStyle w:val="74"/>
      </w:rPr>
    </w:pPr>
    <w:r>
      <w:fldChar w:fldCharType="begin"/>
    </w:r>
    <w:r>
      <w:rPr>
        <w:rStyle w:val="74"/>
      </w:rPr>
      <w:instrText xml:space="preserve">PAGE  </w:instrText>
    </w:r>
    <w:r>
      <w:fldChar w:fldCharType="end"/>
    </w:r>
  </w:p>
  <w:p w14:paraId="7B7DF683">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333E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0" w:name="_Toc164085800"/>
    <w:bookmarkStart w:id="401" w:name="_Toc36110187"/>
    <w:bookmarkStart w:id="402" w:name="_Toc131845147"/>
    <w:bookmarkStart w:id="403" w:name="_Toc91899912"/>
    <w:r>
      <w:rPr>
        <w:rFonts w:hint="eastAsia" w:ascii="仿宋_GB2312" w:eastAsia="仿宋_GB2312"/>
        <w:kern w:val="0"/>
        <w:szCs w:val="21"/>
      </w:rPr>
      <w:t xml:space="preserve"> 页</w:t>
    </w:r>
    <w:bookmarkEnd w:id="400"/>
    <w:bookmarkEnd w:id="401"/>
    <w:bookmarkEnd w:id="402"/>
    <w:bookmarkEnd w:id="4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DCA8E">
    <w:pPr>
      <w:pStyle w:val="43"/>
      <w:rPr>
        <w:rFonts w:ascii="仿宋_GB2312" w:eastAsia="仿宋_GB2312"/>
        <w:b/>
        <w:i/>
        <w:u w:val="single"/>
      </w:rPr>
    </w:pPr>
    <w:r>
      <w:t></w:t>
    </w:r>
    <w:r>
      <w:rPr>
        <w:rFonts w:hint="eastAsia"/>
      </w:rPr>
      <w:t xml:space="preserve">                                                </w:t>
    </w:r>
    <w:r>
      <w:t xml:space="preserve"> 杭州市政府采购公开招标文件</w:t>
    </w:r>
  </w:p>
  <w:p w14:paraId="236444B1">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69024">
    <w:pPr>
      <w:pStyle w:val="43"/>
      <w:jc w:val="right"/>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854D">
    <w:pPr>
      <w:pStyle w:val="43"/>
      <w:jc w:val="right"/>
      <w:rPr>
        <w:rFonts w:ascii="仿宋_GB2312" w:eastAsia="仿宋_GB2312"/>
        <w:b/>
        <w:i/>
        <w:u w:val="single"/>
      </w:rPr>
    </w:pPr>
    <w:r>
      <w:rPr>
        <w:rFonts w:hint="eastAsia"/>
      </w:rPr>
      <w:t xml:space="preserve">                                  </w:t>
    </w:r>
    <w:r>
      <w:t>杭州市政府采购公开招标文件</w:t>
    </w:r>
  </w:p>
  <w:p w14:paraId="73B6FC9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38A6">
    <w:pPr>
      <w:pStyle w:val="43"/>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5514">
    <w:pPr>
      <w:pStyle w:val="43"/>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338B9">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DD29C"/>
    <w:multiLevelType w:val="singleLevel"/>
    <w:tmpl w:val="8FBDD29C"/>
    <w:lvl w:ilvl="0" w:tentative="0">
      <w:start w:val="1"/>
      <w:numFmt w:val="decimal"/>
      <w:suff w:val="nothing"/>
      <w:lvlText w:val="%1、"/>
      <w:lvlJc w:val="left"/>
    </w:lvl>
  </w:abstractNum>
  <w:abstractNum w:abstractNumId="1">
    <w:nsid w:val="91EFFD0E"/>
    <w:multiLevelType w:val="singleLevel"/>
    <w:tmpl w:val="91EFFD0E"/>
    <w:lvl w:ilvl="0" w:tentative="0">
      <w:start w:val="1"/>
      <w:numFmt w:val="decimal"/>
      <w:suff w:val="nothing"/>
      <w:lvlText w:val="%1、"/>
      <w:lvlJc w:val="left"/>
    </w:lvl>
  </w:abstractNum>
  <w:abstractNum w:abstractNumId="2">
    <w:nsid w:val="A2D5E282"/>
    <w:multiLevelType w:val="singleLevel"/>
    <w:tmpl w:val="A2D5E282"/>
    <w:lvl w:ilvl="0" w:tentative="0">
      <w:start w:val="1"/>
      <w:numFmt w:val="decimal"/>
      <w:suff w:val="nothing"/>
      <w:lvlText w:val="（%1）"/>
      <w:lvlJc w:val="left"/>
    </w:lvl>
  </w:abstractNum>
  <w:abstractNum w:abstractNumId="3">
    <w:nsid w:val="AB4B8064"/>
    <w:multiLevelType w:val="singleLevel"/>
    <w:tmpl w:val="AB4B8064"/>
    <w:lvl w:ilvl="0" w:tentative="0">
      <w:start w:val="1"/>
      <w:numFmt w:val="decimal"/>
      <w:suff w:val="nothing"/>
      <w:lvlText w:val="%1、"/>
      <w:lvlJc w:val="left"/>
    </w:lvl>
  </w:abstractNum>
  <w:abstractNum w:abstractNumId="4">
    <w:nsid w:val="ABFBAD56"/>
    <w:multiLevelType w:val="singleLevel"/>
    <w:tmpl w:val="ABFBAD56"/>
    <w:lvl w:ilvl="0" w:tentative="0">
      <w:start w:val="1"/>
      <w:numFmt w:val="decimal"/>
      <w:suff w:val="nothing"/>
      <w:lvlText w:val="%1、"/>
      <w:lvlJc w:val="left"/>
    </w:lvl>
  </w:abstractNum>
  <w:abstractNum w:abstractNumId="5">
    <w:nsid w:val="BF032F50"/>
    <w:multiLevelType w:val="singleLevel"/>
    <w:tmpl w:val="BF032F50"/>
    <w:lvl w:ilvl="0" w:tentative="0">
      <w:start w:val="1"/>
      <w:numFmt w:val="decimal"/>
      <w:suff w:val="nothing"/>
      <w:lvlText w:val="%1、"/>
      <w:lvlJc w:val="left"/>
    </w:lvl>
  </w:abstractNum>
  <w:abstractNum w:abstractNumId="6">
    <w:nsid w:val="C3860018"/>
    <w:multiLevelType w:val="singleLevel"/>
    <w:tmpl w:val="C3860018"/>
    <w:lvl w:ilvl="0" w:tentative="0">
      <w:start w:val="1"/>
      <w:numFmt w:val="decimal"/>
      <w:suff w:val="nothing"/>
      <w:lvlText w:val="%1、"/>
      <w:lvlJc w:val="left"/>
    </w:lvl>
  </w:abstractNum>
  <w:abstractNum w:abstractNumId="7">
    <w:nsid w:val="CBEC6898"/>
    <w:multiLevelType w:val="singleLevel"/>
    <w:tmpl w:val="CBEC6898"/>
    <w:lvl w:ilvl="0" w:tentative="0">
      <w:start w:val="1"/>
      <w:numFmt w:val="decimal"/>
      <w:suff w:val="nothing"/>
      <w:lvlText w:val="（%1）"/>
      <w:lvlJc w:val="left"/>
    </w:lvl>
  </w:abstractNum>
  <w:abstractNum w:abstractNumId="8">
    <w:nsid w:val="D5AF0937"/>
    <w:multiLevelType w:val="singleLevel"/>
    <w:tmpl w:val="D5AF0937"/>
    <w:lvl w:ilvl="0" w:tentative="0">
      <w:start w:val="1"/>
      <w:numFmt w:val="decimal"/>
      <w:suff w:val="nothing"/>
      <w:lvlText w:val="%1、"/>
      <w:lvlJc w:val="left"/>
    </w:lvl>
  </w:abstractNum>
  <w:abstractNum w:abstractNumId="9">
    <w:nsid w:val="D88CE5CB"/>
    <w:multiLevelType w:val="singleLevel"/>
    <w:tmpl w:val="D88CE5CB"/>
    <w:lvl w:ilvl="0" w:tentative="0">
      <w:start w:val="1"/>
      <w:numFmt w:val="decimal"/>
      <w:suff w:val="nothing"/>
      <w:lvlText w:val="%1、"/>
      <w:lvlJc w:val="left"/>
    </w:lvl>
  </w:abstractNum>
  <w:abstractNum w:abstractNumId="10">
    <w:nsid w:val="EC37DCC8"/>
    <w:multiLevelType w:val="singleLevel"/>
    <w:tmpl w:val="EC37DCC8"/>
    <w:lvl w:ilvl="0" w:tentative="0">
      <w:start w:val="1"/>
      <w:numFmt w:val="decimal"/>
      <w:suff w:val="nothing"/>
      <w:lvlText w:val="%1、"/>
      <w:lvlJc w:val="left"/>
    </w:lvl>
  </w:abstractNum>
  <w:abstractNum w:abstractNumId="11">
    <w:nsid w:val="F6B04927"/>
    <w:multiLevelType w:val="singleLevel"/>
    <w:tmpl w:val="F6B04927"/>
    <w:lvl w:ilvl="0" w:tentative="0">
      <w:start w:val="1"/>
      <w:numFmt w:val="decimal"/>
      <w:suff w:val="nothing"/>
      <w:lvlText w:val="%1、"/>
      <w:lvlJc w:val="left"/>
    </w:lvl>
  </w:abstractNum>
  <w:abstractNum w:abstractNumId="12">
    <w:nsid w:val="F79E9346"/>
    <w:multiLevelType w:val="singleLevel"/>
    <w:tmpl w:val="F79E9346"/>
    <w:lvl w:ilvl="0" w:tentative="0">
      <w:start w:val="1"/>
      <w:numFmt w:val="decimal"/>
      <w:suff w:val="nothing"/>
      <w:lvlText w:val="%1、"/>
      <w:lvlJc w:val="left"/>
    </w:lvl>
  </w:abstractNum>
  <w:abstractNum w:abstractNumId="13">
    <w:nsid w:val="00CB4E2A"/>
    <w:multiLevelType w:val="singleLevel"/>
    <w:tmpl w:val="00CB4E2A"/>
    <w:lvl w:ilvl="0" w:tentative="0">
      <w:start w:val="1"/>
      <w:numFmt w:val="decimal"/>
      <w:suff w:val="nothing"/>
      <w:lvlText w:val="%1、"/>
      <w:lvlJc w:val="left"/>
    </w:lvl>
  </w:abstractNum>
  <w:abstractNum w:abstractNumId="14">
    <w:nsid w:val="0165D073"/>
    <w:multiLevelType w:val="singleLevel"/>
    <w:tmpl w:val="0165D073"/>
    <w:lvl w:ilvl="0" w:tentative="0">
      <w:start w:val="1"/>
      <w:numFmt w:val="decimal"/>
      <w:suff w:val="nothing"/>
      <w:lvlText w:val="%1、"/>
      <w:lvlJc w:val="left"/>
    </w:lvl>
  </w:abstractNum>
  <w:abstractNum w:abstractNumId="15">
    <w:nsid w:val="065E4A8A"/>
    <w:multiLevelType w:val="singleLevel"/>
    <w:tmpl w:val="065E4A8A"/>
    <w:lvl w:ilvl="0" w:tentative="0">
      <w:start w:val="1"/>
      <w:numFmt w:val="decimal"/>
      <w:suff w:val="nothing"/>
      <w:lvlText w:val="%1、"/>
      <w:lvlJc w:val="left"/>
    </w:lvl>
  </w:abstractNum>
  <w:abstractNum w:abstractNumId="16">
    <w:nsid w:val="11F8264C"/>
    <w:multiLevelType w:val="singleLevel"/>
    <w:tmpl w:val="11F8264C"/>
    <w:lvl w:ilvl="0" w:tentative="0">
      <w:start w:val="1"/>
      <w:numFmt w:val="decimal"/>
      <w:suff w:val="nothing"/>
      <w:lvlText w:val="%1、"/>
      <w:lvlJc w:val="left"/>
    </w:lvl>
  </w:abstractNum>
  <w:abstractNum w:abstractNumId="17">
    <w:nsid w:val="1451C664"/>
    <w:multiLevelType w:val="singleLevel"/>
    <w:tmpl w:val="1451C664"/>
    <w:lvl w:ilvl="0" w:tentative="0">
      <w:start w:val="1"/>
      <w:numFmt w:val="decimal"/>
      <w:suff w:val="nothing"/>
      <w:lvlText w:val="%1、"/>
      <w:lvlJc w:val="left"/>
    </w:lvl>
  </w:abstractNum>
  <w:abstractNum w:abstractNumId="18">
    <w:nsid w:val="2481506C"/>
    <w:multiLevelType w:val="singleLevel"/>
    <w:tmpl w:val="2481506C"/>
    <w:lvl w:ilvl="0" w:tentative="0">
      <w:start w:val="1"/>
      <w:numFmt w:val="decimal"/>
      <w:lvlText w:val="%1."/>
      <w:lvlJc w:val="left"/>
      <w:pPr>
        <w:tabs>
          <w:tab w:val="left" w:pos="312"/>
        </w:tabs>
      </w:pPr>
    </w:lvl>
  </w:abstractNum>
  <w:abstractNum w:abstractNumId="19">
    <w:nsid w:val="274688F7"/>
    <w:multiLevelType w:val="singleLevel"/>
    <w:tmpl w:val="274688F7"/>
    <w:lvl w:ilvl="0" w:tentative="0">
      <w:start w:val="1"/>
      <w:numFmt w:val="decimal"/>
      <w:suff w:val="nothing"/>
      <w:lvlText w:val="（%1）"/>
      <w:lvlJc w:val="left"/>
    </w:lvl>
  </w:abstractNum>
  <w:abstractNum w:abstractNumId="20">
    <w:nsid w:val="39C4E0CE"/>
    <w:multiLevelType w:val="singleLevel"/>
    <w:tmpl w:val="39C4E0CE"/>
    <w:lvl w:ilvl="0" w:tentative="0">
      <w:start w:val="1"/>
      <w:numFmt w:val="decimal"/>
      <w:suff w:val="nothing"/>
      <w:lvlText w:val="%1、"/>
      <w:lvlJc w:val="left"/>
    </w:lvl>
  </w:abstractNum>
  <w:abstractNum w:abstractNumId="21">
    <w:nsid w:val="47B15717"/>
    <w:multiLevelType w:val="singleLevel"/>
    <w:tmpl w:val="47B15717"/>
    <w:lvl w:ilvl="0" w:tentative="0">
      <w:start w:val="1"/>
      <w:numFmt w:val="decimal"/>
      <w:suff w:val="nothing"/>
      <w:lvlText w:val="%1、"/>
      <w:lvlJc w:val="left"/>
    </w:lvl>
  </w:abstractNum>
  <w:abstractNum w:abstractNumId="22">
    <w:nsid w:val="627A3CF8"/>
    <w:multiLevelType w:val="singleLevel"/>
    <w:tmpl w:val="627A3CF8"/>
    <w:lvl w:ilvl="0" w:tentative="0">
      <w:start w:val="1"/>
      <w:numFmt w:val="decimal"/>
      <w:suff w:val="nothing"/>
      <w:lvlText w:val="%1、"/>
      <w:lvlJc w:val="left"/>
    </w:lvl>
  </w:abstractNum>
  <w:abstractNum w:abstractNumId="23">
    <w:nsid w:val="6E4EFA22"/>
    <w:multiLevelType w:val="singleLevel"/>
    <w:tmpl w:val="6E4EFA22"/>
    <w:lvl w:ilvl="0" w:tentative="0">
      <w:start w:val="1"/>
      <w:numFmt w:val="decimal"/>
      <w:suff w:val="nothing"/>
      <w:lvlText w:val="%1、"/>
      <w:lvlJc w:val="left"/>
    </w:lvl>
  </w:abstractNum>
  <w:abstractNum w:abstractNumId="24">
    <w:nsid w:val="7B873F5A"/>
    <w:multiLevelType w:val="singleLevel"/>
    <w:tmpl w:val="7B873F5A"/>
    <w:lvl w:ilvl="0" w:tentative="0">
      <w:start w:val="1"/>
      <w:numFmt w:val="decimal"/>
      <w:suff w:val="nothing"/>
      <w:lvlText w:val="%1、"/>
      <w:lvlJc w:val="left"/>
    </w:lvl>
  </w:abstractNum>
  <w:num w:numId="1">
    <w:abstractNumId w:val="6"/>
  </w:num>
  <w:num w:numId="2">
    <w:abstractNumId w:val="14"/>
  </w:num>
  <w:num w:numId="3">
    <w:abstractNumId w:val="22"/>
  </w:num>
  <w:num w:numId="4">
    <w:abstractNumId w:val="5"/>
  </w:num>
  <w:num w:numId="5">
    <w:abstractNumId w:val="23"/>
  </w:num>
  <w:num w:numId="6">
    <w:abstractNumId w:val="15"/>
  </w:num>
  <w:num w:numId="7">
    <w:abstractNumId w:val="1"/>
  </w:num>
  <w:num w:numId="8">
    <w:abstractNumId w:val="20"/>
  </w:num>
  <w:num w:numId="9">
    <w:abstractNumId w:val="17"/>
  </w:num>
  <w:num w:numId="10">
    <w:abstractNumId w:val="24"/>
  </w:num>
  <w:num w:numId="11">
    <w:abstractNumId w:val="3"/>
  </w:num>
  <w:num w:numId="12">
    <w:abstractNumId w:val="16"/>
  </w:num>
  <w:num w:numId="13">
    <w:abstractNumId w:val="10"/>
  </w:num>
  <w:num w:numId="14">
    <w:abstractNumId w:val="8"/>
  </w:num>
  <w:num w:numId="15">
    <w:abstractNumId w:val="4"/>
  </w:num>
  <w:num w:numId="16">
    <w:abstractNumId w:val="0"/>
  </w:num>
  <w:num w:numId="17">
    <w:abstractNumId w:val="13"/>
  </w:num>
  <w:num w:numId="18">
    <w:abstractNumId w:val="12"/>
  </w:num>
  <w:num w:numId="19">
    <w:abstractNumId w:val="9"/>
  </w:num>
  <w:num w:numId="20">
    <w:abstractNumId w:val="11"/>
  </w:num>
  <w:num w:numId="21">
    <w:abstractNumId w:val="18"/>
  </w:num>
  <w:num w:numId="22">
    <w:abstractNumId w:val="21"/>
  </w:num>
  <w:num w:numId="23">
    <w:abstractNumId w:val="7"/>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zEyYWZhMDcyYjJlNTQxOTJjNzk1MTM3ODliYz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9C5"/>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53E74"/>
    <w:rsid w:val="026B2E25"/>
    <w:rsid w:val="026C4FD1"/>
    <w:rsid w:val="02824D4D"/>
    <w:rsid w:val="028F0098"/>
    <w:rsid w:val="02985DC6"/>
    <w:rsid w:val="029C4435"/>
    <w:rsid w:val="02A03B0A"/>
    <w:rsid w:val="02B604C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6517CD"/>
    <w:rsid w:val="047010F6"/>
    <w:rsid w:val="048E56D2"/>
    <w:rsid w:val="048F763B"/>
    <w:rsid w:val="049F330E"/>
    <w:rsid w:val="04AA775C"/>
    <w:rsid w:val="04AF1889"/>
    <w:rsid w:val="04E06764"/>
    <w:rsid w:val="04E33C83"/>
    <w:rsid w:val="04E70360"/>
    <w:rsid w:val="04EC2DD7"/>
    <w:rsid w:val="04F66F48"/>
    <w:rsid w:val="050D65F7"/>
    <w:rsid w:val="0510168A"/>
    <w:rsid w:val="05251E14"/>
    <w:rsid w:val="0530758E"/>
    <w:rsid w:val="054E09BE"/>
    <w:rsid w:val="05585425"/>
    <w:rsid w:val="05607F4A"/>
    <w:rsid w:val="05A16594"/>
    <w:rsid w:val="05A7762D"/>
    <w:rsid w:val="05B71827"/>
    <w:rsid w:val="05C60BF6"/>
    <w:rsid w:val="05D473D2"/>
    <w:rsid w:val="05DE61E6"/>
    <w:rsid w:val="060519C4"/>
    <w:rsid w:val="060E5941"/>
    <w:rsid w:val="060F48B5"/>
    <w:rsid w:val="06110FAF"/>
    <w:rsid w:val="06357182"/>
    <w:rsid w:val="06400C4E"/>
    <w:rsid w:val="064249C6"/>
    <w:rsid w:val="06493CA7"/>
    <w:rsid w:val="065A6178"/>
    <w:rsid w:val="066F1CF3"/>
    <w:rsid w:val="067E2606"/>
    <w:rsid w:val="067E6234"/>
    <w:rsid w:val="06930BB8"/>
    <w:rsid w:val="069D1231"/>
    <w:rsid w:val="06B50CF4"/>
    <w:rsid w:val="06B84C89"/>
    <w:rsid w:val="06BB2083"/>
    <w:rsid w:val="06CA3990"/>
    <w:rsid w:val="06CB2732"/>
    <w:rsid w:val="06DF3FC3"/>
    <w:rsid w:val="071023CF"/>
    <w:rsid w:val="07155AFD"/>
    <w:rsid w:val="07245D42"/>
    <w:rsid w:val="07264C62"/>
    <w:rsid w:val="074B23B8"/>
    <w:rsid w:val="076621A7"/>
    <w:rsid w:val="0779354C"/>
    <w:rsid w:val="077F5A06"/>
    <w:rsid w:val="0783652C"/>
    <w:rsid w:val="07952E86"/>
    <w:rsid w:val="07B6268B"/>
    <w:rsid w:val="07F04F0A"/>
    <w:rsid w:val="08061376"/>
    <w:rsid w:val="08332819"/>
    <w:rsid w:val="0834033F"/>
    <w:rsid w:val="08452D77"/>
    <w:rsid w:val="086401F8"/>
    <w:rsid w:val="0870456A"/>
    <w:rsid w:val="08751CAA"/>
    <w:rsid w:val="087C3D79"/>
    <w:rsid w:val="087E4C40"/>
    <w:rsid w:val="088F370D"/>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72C16"/>
    <w:rsid w:val="098353B5"/>
    <w:rsid w:val="0997284E"/>
    <w:rsid w:val="09A46ABD"/>
    <w:rsid w:val="09A92330"/>
    <w:rsid w:val="09B06B87"/>
    <w:rsid w:val="09C13146"/>
    <w:rsid w:val="09DA2234"/>
    <w:rsid w:val="09E04166"/>
    <w:rsid w:val="09F77876"/>
    <w:rsid w:val="0A1C0718"/>
    <w:rsid w:val="0A2A02F6"/>
    <w:rsid w:val="0A3D724D"/>
    <w:rsid w:val="0A3E7710"/>
    <w:rsid w:val="0A5B7E63"/>
    <w:rsid w:val="0A5C592B"/>
    <w:rsid w:val="0A794B51"/>
    <w:rsid w:val="0A7C5E93"/>
    <w:rsid w:val="0AA374A5"/>
    <w:rsid w:val="0AA87EEE"/>
    <w:rsid w:val="0AAB7649"/>
    <w:rsid w:val="0ABC5606"/>
    <w:rsid w:val="0AC46297"/>
    <w:rsid w:val="0AC566BE"/>
    <w:rsid w:val="0AD1117E"/>
    <w:rsid w:val="0B03428F"/>
    <w:rsid w:val="0B051958"/>
    <w:rsid w:val="0B30404E"/>
    <w:rsid w:val="0B4C6C14"/>
    <w:rsid w:val="0B4E0E79"/>
    <w:rsid w:val="0B547599"/>
    <w:rsid w:val="0B5E376C"/>
    <w:rsid w:val="0B631A88"/>
    <w:rsid w:val="0B683D45"/>
    <w:rsid w:val="0B7F3F11"/>
    <w:rsid w:val="0B884417"/>
    <w:rsid w:val="0B9176F8"/>
    <w:rsid w:val="0B920249"/>
    <w:rsid w:val="0BCF2858"/>
    <w:rsid w:val="0BD41053"/>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37D2A"/>
    <w:rsid w:val="0C9E19D5"/>
    <w:rsid w:val="0CB20747"/>
    <w:rsid w:val="0CC007F7"/>
    <w:rsid w:val="0CC617AC"/>
    <w:rsid w:val="0CD161B4"/>
    <w:rsid w:val="0CE618DF"/>
    <w:rsid w:val="0CFE707A"/>
    <w:rsid w:val="0D063BDA"/>
    <w:rsid w:val="0D08375F"/>
    <w:rsid w:val="0D184CFB"/>
    <w:rsid w:val="0D4A7419"/>
    <w:rsid w:val="0D556D8D"/>
    <w:rsid w:val="0D5C24F8"/>
    <w:rsid w:val="0D6C7EC0"/>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5D79"/>
    <w:rsid w:val="0E9D0089"/>
    <w:rsid w:val="0EB0415B"/>
    <w:rsid w:val="0EB77646"/>
    <w:rsid w:val="0EB803EE"/>
    <w:rsid w:val="0EC10F7D"/>
    <w:rsid w:val="0EC266A4"/>
    <w:rsid w:val="0EE16A55"/>
    <w:rsid w:val="0EEA79A9"/>
    <w:rsid w:val="0EF716A8"/>
    <w:rsid w:val="0EF94D4B"/>
    <w:rsid w:val="0F00500D"/>
    <w:rsid w:val="0F14747F"/>
    <w:rsid w:val="0F2E3EDD"/>
    <w:rsid w:val="0F34485F"/>
    <w:rsid w:val="0F4958DC"/>
    <w:rsid w:val="0F515DF7"/>
    <w:rsid w:val="0F517A28"/>
    <w:rsid w:val="0F5573DD"/>
    <w:rsid w:val="0F596BA8"/>
    <w:rsid w:val="0F6248D2"/>
    <w:rsid w:val="0F693536"/>
    <w:rsid w:val="0F7B0511"/>
    <w:rsid w:val="0F7B76D9"/>
    <w:rsid w:val="0F816ACD"/>
    <w:rsid w:val="0F9832DB"/>
    <w:rsid w:val="0FBF1380"/>
    <w:rsid w:val="0FBF3FD2"/>
    <w:rsid w:val="0FBF7FF3"/>
    <w:rsid w:val="0FC71A98"/>
    <w:rsid w:val="0FE425F6"/>
    <w:rsid w:val="0FEA3728"/>
    <w:rsid w:val="10436BDA"/>
    <w:rsid w:val="10646583"/>
    <w:rsid w:val="107A6525"/>
    <w:rsid w:val="107D4B15"/>
    <w:rsid w:val="10831E63"/>
    <w:rsid w:val="108A3C80"/>
    <w:rsid w:val="109E4479"/>
    <w:rsid w:val="10BD6F35"/>
    <w:rsid w:val="10C06328"/>
    <w:rsid w:val="10C26171"/>
    <w:rsid w:val="10D52B69"/>
    <w:rsid w:val="10F33360"/>
    <w:rsid w:val="10FC16EA"/>
    <w:rsid w:val="110F1D40"/>
    <w:rsid w:val="11266F33"/>
    <w:rsid w:val="11531A90"/>
    <w:rsid w:val="117A285D"/>
    <w:rsid w:val="118963A1"/>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F81A6B"/>
    <w:rsid w:val="13072A44"/>
    <w:rsid w:val="13421B62"/>
    <w:rsid w:val="135B443E"/>
    <w:rsid w:val="135E44C2"/>
    <w:rsid w:val="135F4BE2"/>
    <w:rsid w:val="13915917"/>
    <w:rsid w:val="139231D1"/>
    <w:rsid w:val="13972AF8"/>
    <w:rsid w:val="139B1A0A"/>
    <w:rsid w:val="139D25C7"/>
    <w:rsid w:val="13BF3CE4"/>
    <w:rsid w:val="13C411CB"/>
    <w:rsid w:val="13EE6E5B"/>
    <w:rsid w:val="141008D8"/>
    <w:rsid w:val="14125FE6"/>
    <w:rsid w:val="14150A44"/>
    <w:rsid w:val="146D271E"/>
    <w:rsid w:val="14886F07"/>
    <w:rsid w:val="148D4BF9"/>
    <w:rsid w:val="14982588"/>
    <w:rsid w:val="149A5AD9"/>
    <w:rsid w:val="149E54BE"/>
    <w:rsid w:val="14A01236"/>
    <w:rsid w:val="14A7619D"/>
    <w:rsid w:val="14D577BC"/>
    <w:rsid w:val="15033A47"/>
    <w:rsid w:val="150536C3"/>
    <w:rsid w:val="150C1963"/>
    <w:rsid w:val="151447A0"/>
    <w:rsid w:val="15145780"/>
    <w:rsid w:val="152359C3"/>
    <w:rsid w:val="154A6454"/>
    <w:rsid w:val="15590EE8"/>
    <w:rsid w:val="156355DF"/>
    <w:rsid w:val="156649BE"/>
    <w:rsid w:val="15762120"/>
    <w:rsid w:val="15836462"/>
    <w:rsid w:val="15A37C46"/>
    <w:rsid w:val="15A530EA"/>
    <w:rsid w:val="15E3263E"/>
    <w:rsid w:val="15EC4728"/>
    <w:rsid w:val="16416AC5"/>
    <w:rsid w:val="1644684C"/>
    <w:rsid w:val="16535D4D"/>
    <w:rsid w:val="16646293"/>
    <w:rsid w:val="166565F0"/>
    <w:rsid w:val="16796A28"/>
    <w:rsid w:val="167F185F"/>
    <w:rsid w:val="16A8729C"/>
    <w:rsid w:val="16B33777"/>
    <w:rsid w:val="16BC70A7"/>
    <w:rsid w:val="16C6339E"/>
    <w:rsid w:val="172F2D79"/>
    <w:rsid w:val="173B3498"/>
    <w:rsid w:val="17557BEF"/>
    <w:rsid w:val="177B0C05"/>
    <w:rsid w:val="17914E66"/>
    <w:rsid w:val="17987CD2"/>
    <w:rsid w:val="17AA569F"/>
    <w:rsid w:val="17D349C1"/>
    <w:rsid w:val="17D34DF7"/>
    <w:rsid w:val="17D80170"/>
    <w:rsid w:val="181E0BA3"/>
    <w:rsid w:val="18244F26"/>
    <w:rsid w:val="1829217E"/>
    <w:rsid w:val="1830729E"/>
    <w:rsid w:val="1870062C"/>
    <w:rsid w:val="187B2A53"/>
    <w:rsid w:val="18817102"/>
    <w:rsid w:val="18830A15"/>
    <w:rsid w:val="18852B28"/>
    <w:rsid w:val="188B5321"/>
    <w:rsid w:val="18A74A4F"/>
    <w:rsid w:val="18DC0363"/>
    <w:rsid w:val="18E1003E"/>
    <w:rsid w:val="190C7C33"/>
    <w:rsid w:val="19932372"/>
    <w:rsid w:val="19946D55"/>
    <w:rsid w:val="19A20DD5"/>
    <w:rsid w:val="19A215AC"/>
    <w:rsid w:val="19A228E7"/>
    <w:rsid w:val="19A52E4A"/>
    <w:rsid w:val="19AE03F1"/>
    <w:rsid w:val="19B05E2A"/>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890B80"/>
    <w:rsid w:val="1A981315"/>
    <w:rsid w:val="1A984BAD"/>
    <w:rsid w:val="1AA36EB0"/>
    <w:rsid w:val="1AB47FAD"/>
    <w:rsid w:val="1AB8220E"/>
    <w:rsid w:val="1ACC48EB"/>
    <w:rsid w:val="1ACF5914"/>
    <w:rsid w:val="1AE314C2"/>
    <w:rsid w:val="1AE4166C"/>
    <w:rsid w:val="1AF06CFB"/>
    <w:rsid w:val="1AF11B8D"/>
    <w:rsid w:val="1AF916A0"/>
    <w:rsid w:val="1AFD0A64"/>
    <w:rsid w:val="1AFD1CF3"/>
    <w:rsid w:val="1B0442B2"/>
    <w:rsid w:val="1B11359C"/>
    <w:rsid w:val="1B2A271F"/>
    <w:rsid w:val="1B2D1349"/>
    <w:rsid w:val="1B530544"/>
    <w:rsid w:val="1B713184"/>
    <w:rsid w:val="1B9206DD"/>
    <w:rsid w:val="1BA209CF"/>
    <w:rsid w:val="1BB4777D"/>
    <w:rsid w:val="1BC2714F"/>
    <w:rsid w:val="1BD13E7A"/>
    <w:rsid w:val="1BD75AB8"/>
    <w:rsid w:val="1BD81872"/>
    <w:rsid w:val="1BE96EEF"/>
    <w:rsid w:val="1C0459C2"/>
    <w:rsid w:val="1C1B3B4A"/>
    <w:rsid w:val="1C204A0A"/>
    <w:rsid w:val="1C88086E"/>
    <w:rsid w:val="1C9F1DD3"/>
    <w:rsid w:val="1CCD2057"/>
    <w:rsid w:val="1CE51334"/>
    <w:rsid w:val="1CEC2B3E"/>
    <w:rsid w:val="1CF279B4"/>
    <w:rsid w:val="1CFF214E"/>
    <w:rsid w:val="1D0139E2"/>
    <w:rsid w:val="1D266CE1"/>
    <w:rsid w:val="1D383886"/>
    <w:rsid w:val="1D3958E6"/>
    <w:rsid w:val="1D3963AF"/>
    <w:rsid w:val="1D3F35B6"/>
    <w:rsid w:val="1D4F1A4B"/>
    <w:rsid w:val="1D6A673C"/>
    <w:rsid w:val="1D9247AE"/>
    <w:rsid w:val="1DA82F09"/>
    <w:rsid w:val="1DB567EC"/>
    <w:rsid w:val="1DBF2E6B"/>
    <w:rsid w:val="1DC15D79"/>
    <w:rsid w:val="1DD77306"/>
    <w:rsid w:val="1DF51A98"/>
    <w:rsid w:val="1DF63C75"/>
    <w:rsid w:val="1E051CD9"/>
    <w:rsid w:val="1E15149D"/>
    <w:rsid w:val="1E1E141D"/>
    <w:rsid w:val="1E382E0D"/>
    <w:rsid w:val="1E3D060F"/>
    <w:rsid w:val="1E3F7D2E"/>
    <w:rsid w:val="1E4134E4"/>
    <w:rsid w:val="1E5062B3"/>
    <w:rsid w:val="1E523514"/>
    <w:rsid w:val="1E714A66"/>
    <w:rsid w:val="1E802593"/>
    <w:rsid w:val="1E8B6156"/>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DA4158"/>
    <w:rsid w:val="1FE61346"/>
    <w:rsid w:val="1FE868A9"/>
    <w:rsid w:val="1FEB5DD4"/>
    <w:rsid w:val="20034907"/>
    <w:rsid w:val="201227DB"/>
    <w:rsid w:val="20173E4B"/>
    <w:rsid w:val="202417A3"/>
    <w:rsid w:val="202A4011"/>
    <w:rsid w:val="204E48BC"/>
    <w:rsid w:val="20547378"/>
    <w:rsid w:val="2059673D"/>
    <w:rsid w:val="20765541"/>
    <w:rsid w:val="20773208"/>
    <w:rsid w:val="208921B3"/>
    <w:rsid w:val="208C0B17"/>
    <w:rsid w:val="20973DEB"/>
    <w:rsid w:val="20B26522"/>
    <w:rsid w:val="20B44310"/>
    <w:rsid w:val="20B6593D"/>
    <w:rsid w:val="20C41A43"/>
    <w:rsid w:val="20E51125"/>
    <w:rsid w:val="210668C5"/>
    <w:rsid w:val="211116EB"/>
    <w:rsid w:val="212C3D17"/>
    <w:rsid w:val="213B5E42"/>
    <w:rsid w:val="216133FC"/>
    <w:rsid w:val="21D56769"/>
    <w:rsid w:val="21E52EF3"/>
    <w:rsid w:val="21F80DD9"/>
    <w:rsid w:val="21F973F1"/>
    <w:rsid w:val="21FB5D7B"/>
    <w:rsid w:val="22015E94"/>
    <w:rsid w:val="220B1C3D"/>
    <w:rsid w:val="221D1D20"/>
    <w:rsid w:val="22334A87"/>
    <w:rsid w:val="2234120F"/>
    <w:rsid w:val="22484CBB"/>
    <w:rsid w:val="226B2757"/>
    <w:rsid w:val="22987080"/>
    <w:rsid w:val="229879F0"/>
    <w:rsid w:val="22AB375D"/>
    <w:rsid w:val="22AC4529"/>
    <w:rsid w:val="22BE6801"/>
    <w:rsid w:val="22CC769A"/>
    <w:rsid w:val="22E449E3"/>
    <w:rsid w:val="22F15F51"/>
    <w:rsid w:val="231F7242"/>
    <w:rsid w:val="23305E7B"/>
    <w:rsid w:val="233500BF"/>
    <w:rsid w:val="23377FF7"/>
    <w:rsid w:val="233A0AA7"/>
    <w:rsid w:val="235963F1"/>
    <w:rsid w:val="236B425F"/>
    <w:rsid w:val="23810484"/>
    <w:rsid w:val="23836192"/>
    <w:rsid w:val="23901F29"/>
    <w:rsid w:val="23906919"/>
    <w:rsid w:val="239C0061"/>
    <w:rsid w:val="23A45F21"/>
    <w:rsid w:val="23B908A4"/>
    <w:rsid w:val="23C94F25"/>
    <w:rsid w:val="23D41AC5"/>
    <w:rsid w:val="23E95BEF"/>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92557"/>
    <w:rsid w:val="24EC7B7F"/>
    <w:rsid w:val="25317C88"/>
    <w:rsid w:val="258521D7"/>
    <w:rsid w:val="258B00E2"/>
    <w:rsid w:val="25910F48"/>
    <w:rsid w:val="25A917A6"/>
    <w:rsid w:val="25BE27CC"/>
    <w:rsid w:val="25EA6F69"/>
    <w:rsid w:val="25F74A5C"/>
    <w:rsid w:val="25FA3833"/>
    <w:rsid w:val="26045EA2"/>
    <w:rsid w:val="26152DFC"/>
    <w:rsid w:val="2628662C"/>
    <w:rsid w:val="262D45DE"/>
    <w:rsid w:val="26443D59"/>
    <w:rsid w:val="264F2AD0"/>
    <w:rsid w:val="2653592E"/>
    <w:rsid w:val="26871DC8"/>
    <w:rsid w:val="269D1654"/>
    <w:rsid w:val="26A53EF9"/>
    <w:rsid w:val="26A60202"/>
    <w:rsid w:val="26A94201"/>
    <w:rsid w:val="26AC274F"/>
    <w:rsid w:val="26C14114"/>
    <w:rsid w:val="26D331E5"/>
    <w:rsid w:val="26DD00C8"/>
    <w:rsid w:val="27044A29"/>
    <w:rsid w:val="271D34C8"/>
    <w:rsid w:val="275859A0"/>
    <w:rsid w:val="275B723E"/>
    <w:rsid w:val="276142BF"/>
    <w:rsid w:val="276A4BA9"/>
    <w:rsid w:val="27783712"/>
    <w:rsid w:val="277F5944"/>
    <w:rsid w:val="27820FA4"/>
    <w:rsid w:val="278D41FD"/>
    <w:rsid w:val="27907362"/>
    <w:rsid w:val="27AA40BC"/>
    <w:rsid w:val="27CB43C4"/>
    <w:rsid w:val="27D019DA"/>
    <w:rsid w:val="27FA27FC"/>
    <w:rsid w:val="282C255A"/>
    <w:rsid w:val="283104DE"/>
    <w:rsid w:val="28333E1D"/>
    <w:rsid w:val="283350DF"/>
    <w:rsid w:val="2838132E"/>
    <w:rsid w:val="283C0E1E"/>
    <w:rsid w:val="28446343"/>
    <w:rsid w:val="28454BD6"/>
    <w:rsid w:val="28455253"/>
    <w:rsid w:val="28456613"/>
    <w:rsid w:val="28551971"/>
    <w:rsid w:val="285B1C53"/>
    <w:rsid w:val="287A5637"/>
    <w:rsid w:val="2892542C"/>
    <w:rsid w:val="289F7086"/>
    <w:rsid w:val="28B27332"/>
    <w:rsid w:val="28C32028"/>
    <w:rsid w:val="28C70CDE"/>
    <w:rsid w:val="28CC490F"/>
    <w:rsid w:val="28DE40AA"/>
    <w:rsid w:val="28F11C08"/>
    <w:rsid w:val="291B6C85"/>
    <w:rsid w:val="29316E30"/>
    <w:rsid w:val="29345E77"/>
    <w:rsid w:val="294C65AD"/>
    <w:rsid w:val="295B69D2"/>
    <w:rsid w:val="296543A4"/>
    <w:rsid w:val="29783D35"/>
    <w:rsid w:val="297A5D79"/>
    <w:rsid w:val="29806583"/>
    <w:rsid w:val="298B3C4C"/>
    <w:rsid w:val="298C7B83"/>
    <w:rsid w:val="299A22A0"/>
    <w:rsid w:val="299D58EC"/>
    <w:rsid w:val="29C66159"/>
    <w:rsid w:val="29C9048F"/>
    <w:rsid w:val="29DB4666"/>
    <w:rsid w:val="29E43918"/>
    <w:rsid w:val="29F26D24"/>
    <w:rsid w:val="2A15033F"/>
    <w:rsid w:val="2A1662C1"/>
    <w:rsid w:val="2A1C7367"/>
    <w:rsid w:val="2A2815FA"/>
    <w:rsid w:val="2A332A5B"/>
    <w:rsid w:val="2A426494"/>
    <w:rsid w:val="2A554419"/>
    <w:rsid w:val="2A5A558B"/>
    <w:rsid w:val="2A626559"/>
    <w:rsid w:val="2A6D6092"/>
    <w:rsid w:val="2A7D76B4"/>
    <w:rsid w:val="2AA075F4"/>
    <w:rsid w:val="2AA1765E"/>
    <w:rsid w:val="2ADB626D"/>
    <w:rsid w:val="2AEA324F"/>
    <w:rsid w:val="2AEF78BB"/>
    <w:rsid w:val="2B0674C1"/>
    <w:rsid w:val="2B1971F4"/>
    <w:rsid w:val="2B437463"/>
    <w:rsid w:val="2B512E32"/>
    <w:rsid w:val="2B703976"/>
    <w:rsid w:val="2B7807EE"/>
    <w:rsid w:val="2BA50BF7"/>
    <w:rsid w:val="2BBF00EC"/>
    <w:rsid w:val="2BC37CFD"/>
    <w:rsid w:val="2BC74EA2"/>
    <w:rsid w:val="2BD5237F"/>
    <w:rsid w:val="2BD63337"/>
    <w:rsid w:val="2BDD3B36"/>
    <w:rsid w:val="2BE536CE"/>
    <w:rsid w:val="2BE601AD"/>
    <w:rsid w:val="2BE758D9"/>
    <w:rsid w:val="2BF346BB"/>
    <w:rsid w:val="2C02201D"/>
    <w:rsid w:val="2C09049E"/>
    <w:rsid w:val="2C0A653C"/>
    <w:rsid w:val="2C1054FB"/>
    <w:rsid w:val="2C174AF9"/>
    <w:rsid w:val="2C191F85"/>
    <w:rsid w:val="2C1D2D14"/>
    <w:rsid w:val="2C48130D"/>
    <w:rsid w:val="2C5524AE"/>
    <w:rsid w:val="2CBC739B"/>
    <w:rsid w:val="2CD258AD"/>
    <w:rsid w:val="2CE82D6F"/>
    <w:rsid w:val="2D1A3236"/>
    <w:rsid w:val="2D2F71A3"/>
    <w:rsid w:val="2D343236"/>
    <w:rsid w:val="2D375814"/>
    <w:rsid w:val="2D52151C"/>
    <w:rsid w:val="2D575011"/>
    <w:rsid w:val="2D7B1018"/>
    <w:rsid w:val="2D7C0EAC"/>
    <w:rsid w:val="2D872B3B"/>
    <w:rsid w:val="2DA27975"/>
    <w:rsid w:val="2DAF5F38"/>
    <w:rsid w:val="2DD15014"/>
    <w:rsid w:val="2DD24266"/>
    <w:rsid w:val="2DD7176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AC422C"/>
    <w:rsid w:val="2EB536D8"/>
    <w:rsid w:val="2EBB0FEE"/>
    <w:rsid w:val="2EC60F6B"/>
    <w:rsid w:val="2EC63002"/>
    <w:rsid w:val="2ECB2EFB"/>
    <w:rsid w:val="2ED1039E"/>
    <w:rsid w:val="2F0A6B38"/>
    <w:rsid w:val="2F326AD7"/>
    <w:rsid w:val="2F937F7F"/>
    <w:rsid w:val="2F946CCB"/>
    <w:rsid w:val="2FA3158A"/>
    <w:rsid w:val="2FA433C5"/>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F1478"/>
    <w:rsid w:val="30EC586F"/>
    <w:rsid w:val="30F57DBC"/>
    <w:rsid w:val="30FD4BD0"/>
    <w:rsid w:val="311327DC"/>
    <w:rsid w:val="317624B4"/>
    <w:rsid w:val="319C6071"/>
    <w:rsid w:val="31AC537E"/>
    <w:rsid w:val="31AD7299"/>
    <w:rsid w:val="31D125D7"/>
    <w:rsid w:val="31D95F77"/>
    <w:rsid w:val="31E3679B"/>
    <w:rsid w:val="31E732FD"/>
    <w:rsid w:val="31EB6578"/>
    <w:rsid w:val="32266F65"/>
    <w:rsid w:val="32290665"/>
    <w:rsid w:val="32495441"/>
    <w:rsid w:val="32517576"/>
    <w:rsid w:val="32534AFB"/>
    <w:rsid w:val="3276294B"/>
    <w:rsid w:val="327F6A81"/>
    <w:rsid w:val="32827CEF"/>
    <w:rsid w:val="328718AD"/>
    <w:rsid w:val="32BE5C2C"/>
    <w:rsid w:val="32D57EA5"/>
    <w:rsid w:val="32FB6478"/>
    <w:rsid w:val="32FD564D"/>
    <w:rsid w:val="332378F3"/>
    <w:rsid w:val="33263B3F"/>
    <w:rsid w:val="332801C0"/>
    <w:rsid w:val="333948D8"/>
    <w:rsid w:val="334B74C4"/>
    <w:rsid w:val="33513762"/>
    <w:rsid w:val="336963EB"/>
    <w:rsid w:val="336C0182"/>
    <w:rsid w:val="337F3437"/>
    <w:rsid w:val="3381276E"/>
    <w:rsid w:val="33816EEB"/>
    <w:rsid w:val="338813BB"/>
    <w:rsid w:val="33BC2E13"/>
    <w:rsid w:val="33C543BD"/>
    <w:rsid w:val="33C93758"/>
    <w:rsid w:val="33D31EF5"/>
    <w:rsid w:val="33EB55CD"/>
    <w:rsid w:val="33EC4C02"/>
    <w:rsid w:val="340D2360"/>
    <w:rsid w:val="3410665D"/>
    <w:rsid w:val="34211214"/>
    <w:rsid w:val="34224A6B"/>
    <w:rsid w:val="342C61EA"/>
    <w:rsid w:val="342E63AB"/>
    <w:rsid w:val="3442156A"/>
    <w:rsid w:val="34693CBD"/>
    <w:rsid w:val="347D25A2"/>
    <w:rsid w:val="348B7FB5"/>
    <w:rsid w:val="34950E68"/>
    <w:rsid w:val="34984B38"/>
    <w:rsid w:val="34986E94"/>
    <w:rsid w:val="34A94D49"/>
    <w:rsid w:val="34AF62C9"/>
    <w:rsid w:val="34B00BC9"/>
    <w:rsid w:val="34CB4388"/>
    <w:rsid w:val="34FA6E12"/>
    <w:rsid w:val="354D7158"/>
    <w:rsid w:val="356B2D42"/>
    <w:rsid w:val="357070B5"/>
    <w:rsid w:val="35777939"/>
    <w:rsid w:val="358D5588"/>
    <w:rsid w:val="358D6543"/>
    <w:rsid w:val="35973796"/>
    <w:rsid w:val="35C1713F"/>
    <w:rsid w:val="35D46361"/>
    <w:rsid w:val="3637277E"/>
    <w:rsid w:val="363A3B40"/>
    <w:rsid w:val="365302AE"/>
    <w:rsid w:val="36607A0A"/>
    <w:rsid w:val="366E227C"/>
    <w:rsid w:val="366F2E0D"/>
    <w:rsid w:val="367B6A5C"/>
    <w:rsid w:val="36A74ADA"/>
    <w:rsid w:val="36AD60D5"/>
    <w:rsid w:val="36B224F9"/>
    <w:rsid w:val="36BE19DF"/>
    <w:rsid w:val="36DB7A54"/>
    <w:rsid w:val="36EC0CC9"/>
    <w:rsid w:val="36ED12B4"/>
    <w:rsid w:val="372B49E6"/>
    <w:rsid w:val="372E6486"/>
    <w:rsid w:val="37357164"/>
    <w:rsid w:val="373F410B"/>
    <w:rsid w:val="37567180"/>
    <w:rsid w:val="37577E04"/>
    <w:rsid w:val="379A346B"/>
    <w:rsid w:val="37CF580A"/>
    <w:rsid w:val="37EE7094"/>
    <w:rsid w:val="37EF1A09"/>
    <w:rsid w:val="380D2735"/>
    <w:rsid w:val="380F20AB"/>
    <w:rsid w:val="38251997"/>
    <w:rsid w:val="38296C89"/>
    <w:rsid w:val="383002EB"/>
    <w:rsid w:val="385373AF"/>
    <w:rsid w:val="38586797"/>
    <w:rsid w:val="385D15DF"/>
    <w:rsid w:val="387E2D8D"/>
    <w:rsid w:val="38A01F72"/>
    <w:rsid w:val="38AC78FA"/>
    <w:rsid w:val="38BC0149"/>
    <w:rsid w:val="38C04328"/>
    <w:rsid w:val="38CC7CCD"/>
    <w:rsid w:val="38D87D1C"/>
    <w:rsid w:val="38E17D08"/>
    <w:rsid w:val="38FD0499"/>
    <w:rsid w:val="38FE7A29"/>
    <w:rsid w:val="394B77AC"/>
    <w:rsid w:val="39555F8E"/>
    <w:rsid w:val="39636459"/>
    <w:rsid w:val="396B7F6C"/>
    <w:rsid w:val="39706B79"/>
    <w:rsid w:val="3980268B"/>
    <w:rsid w:val="39B263C8"/>
    <w:rsid w:val="39B417A9"/>
    <w:rsid w:val="39C62C3D"/>
    <w:rsid w:val="39F279C8"/>
    <w:rsid w:val="39F60B9B"/>
    <w:rsid w:val="39FC5695"/>
    <w:rsid w:val="3A006D8E"/>
    <w:rsid w:val="3A14252C"/>
    <w:rsid w:val="3A1E0667"/>
    <w:rsid w:val="3A3651E5"/>
    <w:rsid w:val="3A4B6C9E"/>
    <w:rsid w:val="3A572F02"/>
    <w:rsid w:val="3A6B3438"/>
    <w:rsid w:val="3A744481"/>
    <w:rsid w:val="3A8C5CE4"/>
    <w:rsid w:val="3A8C7BEF"/>
    <w:rsid w:val="3A906246"/>
    <w:rsid w:val="3AA27206"/>
    <w:rsid w:val="3B1C22BD"/>
    <w:rsid w:val="3B2349B7"/>
    <w:rsid w:val="3B266A1C"/>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97225D"/>
    <w:rsid w:val="3C9C5ED7"/>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21F1A"/>
    <w:rsid w:val="3E42664B"/>
    <w:rsid w:val="3E5A7334"/>
    <w:rsid w:val="3E665081"/>
    <w:rsid w:val="3E744BC7"/>
    <w:rsid w:val="3E7720F3"/>
    <w:rsid w:val="3E7B5D6B"/>
    <w:rsid w:val="3E800582"/>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D6041"/>
    <w:rsid w:val="3EEE6411"/>
    <w:rsid w:val="3F060E16"/>
    <w:rsid w:val="3F1D1096"/>
    <w:rsid w:val="3F2F0234"/>
    <w:rsid w:val="3F3B19D7"/>
    <w:rsid w:val="3F6363FE"/>
    <w:rsid w:val="3F72393E"/>
    <w:rsid w:val="3F756B8F"/>
    <w:rsid w:val="3F95482B"/>
    <w:rsid w:val="3FE74635"/>
    <w:rsid w:val="3FF81180"/>
    <w:rsid w:val="3FF86C89"/>
    <w:rsid w:val="400D010B"/>
    <w:rsid w:val="400E0F9A"/>
    <w:rsid w:val="4019356B"/>
    <w:rsid w:val="40234380"/>
    <w:rsid w:val="402C0B3B"/>
    <w:rsid w:val="40353AA6"/>
    <w:rsid w:val="403E6DF1"/>
    <w:rsid w:val="40582B17"/>
    <w:rsid w:val="40592157"/>
    <w:rsid w:val="406E1CAE"/>
    <w:rsid w:val="409C7B23"/>
    <w:rsid w:val="40A0133A"/>
    <w:rsid w:val="40A84E4B"/>
    <w:rsid w:val="40AC0BA9"/>
    <w:rsid w:val="40C31A53"/>
    <w:rsid w:val="40D916DC"/>
    <w:rsid w:val="40DF1C9F"/>
    <w:rsid w:val="40ED0AAF"/>
    <w:rsid w:val="40FF545D"/>
    <w:rsid w:val="410067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21E3EFC"/>
    <w:rsid w:val="42383E55"/>
    <w:rsid w:val="42474939"/>
    <w:rsid w:val="424C3C57"/>
    <w:rsid w:val="42613FF3"/>
    <w:rsid w:val="42660D96"/>
    <w:rsid w:val="42733236"/>
    <w:rsid w:val="428667D2"/>
    <w:rsid w:val="42CB766D"/>
    <w:rsid w:val="42CD1CE0"/>
    <w:rsid w:val="42D208FA"/>
    <w:rsid w:val="42DE0A28"/>
    <w:rsid w:val="42E1381E"/>
    <w:rsid w:val="42E13849"/>
    <w:rsid w:val="42ED6459"/>
    <w:rsid w:val="42FE58DD"/>
    <w:rsid w:val="430828BF"/>
    <w:rsid w:val="430F7403"/>
    <w:rsid w:val="43174B3D"/>
    <w:rsid w:val="43401821"/>
    <w:rsid w:val="434B790E"/>
    <w:rsid w:val="4360274F"/>
    <w:rsid w:val="43657023"/>
    <w:rsid w:val="436A53CA"/>
    <w:rsid w:val="4383177A"/>
    <w:rsid w:val="43977AB6"/>
    <w:rsid w:val="43A3342B"/>
    <w:rsid w:val="43BB30E7"/>
    <w:rsid w:val="43BE56FA"/>
    <w:rsid w:val="43C77C27"/>
    <w:rsid w:val="43D639BD"/>
    <w:rsid w:val="43DE09EE"/>
    <w:rsid w:val="43E65C0C"/>
    <w:rsid w:val="43E758B2"/>
    <w:rsid w:val="44002FAD"/>
    <w:rsid w:val="44474412"/>
    <w:rsid w:val="448B5125"/>
    <w:rsid w:val="449101DD"/>
    <w:rsid w:val="44986F84"/>
    <w:rsid w:val="44A61C97"/>
    <w:rsid w:val="44AF4BBA"/>
    <w:rsid w:val="44D836DF"/>
    <w:rsid w:val="44DC3DAF"/>
    <w:rsid w:val="44DE1391"/>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A2D4E"/>
    <w:rsid w:val="460E7DA5"/>
    <w:rsid w:val="461801CE"/>
    <w:rsid w:val="46345F7C"/>
    <w:rsid w:val="46422483"/>
    <w:rsid w:val="46454953"/>
    <w:rsid w:val="4659254A"/>
    <w:rsid w:val="465B0637"/>
    <w:rsid w:val="465E3F0D"/>
    <w:rsid w:val="466A16E6"/>
    <w:rsid w:val="466E6ED7"/>
    <w:rsid w:val="46780E1B"/>
    <w:rsid w:val="46826C09"/>
    <w:rsid w:val="46893F2B"/>
    <w:rsid w:val="46AC4F69"/>
    <w:rsid w:val="46AF182F"/>
    <w:rsid w:val="46BC33FE"/>
    <w:rsid w:val="46C4686E"/>
    <w:rsid w:val="46CD560B"/>
    <w:rsid w:val="46DE0C49"/>
    <w:rsid w:val="46EA7DE1"/>
    <w:rsid w:val="46FC37FA"/>
    <w:rsid w:val="47060B1D"/>
    <w:rsid w:val="471C3BAA"/>
    <w:rsid w:val="47280A93"/>
    <w:rsid w:val="4743523B"/>
    <w:rsid w:val="47645ACA"/>
    <w:rsid w:val="47717B3F"/>
    <w:rsid w:val="477B778F"/>
    <w:rsid w:val="477C493B"/>
    <w:rsid w:val="47814868"/>
    <w:rsid w:val="478203EC"/>
    <w:rsid w:val="47B025FA"/>
    <w:rsid w:val="47D1458C"/>
    <w:rsid w:val="48081B50"/>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7331"/>
    <w:rsid w:val="48E37AAB"/>
    <w:rsid w:val="48FD4B4C"/>
    <w:rsid w:val="490A68E0"/>
    <w:rsid w:val="491055FE"/>
    <w:rsid w:val="495F5B3E"/>
    <w:rsid w:val="496D45F2"/>
    <w:rsid w:val="496F77D7"/>
    <w:rsid w:val="497654FD"/>
    <w:rsid w:val="498019BD"/>
    <w:rsid w:val="49B64211"/>
    <w:rsid w:val="49C03205"/>
    <w:rsid w:val="49EC0ADD"/>
    <w:rsid w:val="49F6167F"/>
    <w:rsid w:val="4A064FA0"/>
    <w:rsid w:val="4A16615C"/>
    <w:rsid w:val="4A370CCC"/>
    <w:rsid w:val="4A4424D7"/>
    <w:rsid w:val="4A5F4890"/>
    <w:rsid w:val="4A6718D3"/>
    <w:rsid w:val="4AB82D0F"/>
    <w:rsid w:val="4AEB7664"/>
    <w:rsid w:val="4AEC1C9E"/>
    <w:rsid w:val="4AFD7C19"/>
    <w:rsid w:val="4B0567D1"/>
    <w:rsid w:val="4B09298A"/>
    <w:rsid w:val="4B182BCD"/>
    <w:rsid w:val="4B1D01E3"/>
    <w:rsid w:val="4B236AAE"/>
    <w:rsid w:val="4B707271"/>
    <w:rsid w:val="4B771FE9"/>
    <w:rsid w:val="4B9739F7"/>
    <w:rsid w:val="4BA16D51"/>
    <w:rsid w:val="4BBA6964"/>
    <w:rsid w:val="4BE558F8"/>
    <w:rsid w:val="4BE62CCB"/>
    <w:rsid w:val="4BEE2503"/>
    <w:rsid w:val="4C245A30"/>
    <w:rsid w:val="4C295851"/>
    <w:rsid w:val="4C4F0870"/>
    <w:rsid w:val="4C6360CA"/>
    <w:rsid w:val="4C6A2D93"/>
    <w:rsid w:val="4C7B6C84"/>
    <w:rsid w:val="4C7D7706"/>
    <w:rsid w:val="4C87271B"/>
    <w:rsid w:val="4C8E4C41"/>
    <w:rsid w:val="4C8F39C7"/>
    <w:rsid w:val="4C940979"/>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872151"/>
    <w:rsid w:val="4D87534F"/>
    <w:rsid w:val="4D8C33FE"/>
    <w:rsid w:val="4D905305"/>
    <w:rsid w:val="4D964A72"/>
    <w:rsid w:val="4D992B4B"/>
    <w:rsid w:val="4D9C1254"/>
    <w:rsid w:val="4DA047FA"/>
    <w:rsid w:val="4DB10DD3"/>
    <w:rsid w:val="4DC34CC0"/>
    <w:rsid w:val="4DEE6E26"/>
    <w:rsid w:val="4DF461E9"/>
    <w:rsid w:val="4E0F65F6"/>
    <w:rsid w:val="4E13385C"/>
    <w:rsid w:val="4E1E0531"/>
    <w:rsid w:val="4E3B42D2"/>
    <w:rsid w:val="4E793892"/>
    <w:rsid w:val="4E800872"/>
    <w:rsid w:val="4E857868"/>
    <w:rsid w:val="4EB42276"/>
    <w:rsid w:val="4EB62E28"/>
    <w:rsid w:val="4EBE3A8B"/>
    <w:rsid w:val="4EC569ED"/>
    <w:rsid w:val="4ED50EA1"/>
    <w:rsid w:val="4EEC050C"/>
    <w:rsid w:val="4F104EC3"/>
    <w:rsid w:val="4F2416E3"/>
    <w:rsid w:val="4F277882"/>
    <w:rsid w:val="4F423034"/>
    <w:rsid w:val="4F47354A"/>
    <w:rsid w:val="4F7F68C7"/>
    <w:rsid w:val="4F911C54"/>
    <w:rsid w:val="4FC83B4F"/>
    <w:rsid w:val="4FDC5FC3"/>
    <w:rsid w:val="4FE625E0"/>
    <w:rsid w:val="4FF736F9"/>
    <w:rsid w:val="501716A5"/>
    <w:rsid w:val="501C0736"/>
    <w:rsid w:val="501C796A"/>
    <w:rsid w:val="5021480F"/>
    <w:rsid w:val="502D2C76"/>
    <w:rsid w:val="50361381"/>
    <w:rsid w:val="503D071F"/>
    <w:rsid w:val="503F0BFC"/>
    <w:rsid w:val="50493828"/>
    <w:rsid w:val="505F0FDC"/>
    <w:rsid w:val="50856A77"/>
    <w:rsid w:val="50962ECB"/>
    <w:rsid w:val="509C4C8B"/>
    <w:rsid w:val="509D1A2B"/>
    <w:rsid w:val="509F443B"/>
    <w:rsid w:val="50A42E38"/>
    <w:rsid w:val="50A4577F"/>
    <w:rsid w:val="50B405F9"/>
    <w:rsid w:val="50B415EA"/>
    <w:rsid w:val="50B73D1F"/>
    <w:rsid w:val="50BD5BC9"/>
    <w:rsid w:val="50BE7671"/>
    <w:rsid w:val="50C11EEE"/>
    <w:rsid w:val="50C6560A"/>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26C40"/>
    <w:rsid w:val="51945803"/>
    <w:rsid w:val="51980BB2"/>
    <w:rsid w:val="519D3C50"/>
    <w:rsid w:val="51A0432A"/>
    <w:rsid w:val="51A86090"/>
    <w:rsid w:val="51B7396D"/>
    <w:rsid w:val="52263E21"/>
    <w:rsid w:val="522A1187"/>
    <w:rsid w:val="522E4CC3"/>
    <w:rsid w:val="5234518C"/>
    <w:rsid w:val="523C53F3"/>
    <w:rsid w:val="5244713B"/>
    <w:rsid w:val="525768A4"/>
    <w:rsid w:val="525C7843"/>
    <w:rsid w:val="52615633"/>
    <w:rsid w:val="52675D5E"/>
    <w:rsid w:val="526F4DE4"/>
    <w:rsid w:val="527728CF"/>
    <w:rsid w:val="52911BE2"/>
    <w:rsid w:val="52977FD4"/>
    <w:rsid w:val="529D0E34"/>
    <w:rsid w:val="52A25790"/>
    <w:rsid w:val="52A96B6F"/>
    <w:rsid w:val="52B45975"/>
    <w:rsid w:val="52CA1B96"/>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375430"/>
    <w:rsid w:val="54487265"/>
    <w:rsid w:val="544D6070"/>
    <w:rsid w:val="54605E1E"/>
    <w:rsid w:val="546B498A"/>
    <w:rsid w:val="5480281E"/>
    <w:rsid w:val="54AB56D0"/>
    <w:rsid w:val="54B3506A"/>
    <w:rsid w:val="54C833B7"/>
    <w:rsid w:val="54CA0D16"/>
    <w:rsid w:val="54CC5154"/>
    <w:rsid w:val="54DD4057"/>
    <w:rsid w:val="54E7490F"/>
    <w:rsid w:val="550764A4"/>
    <w:rsid w:val="550B2BF6"/>
    <w:rsid w:val="551A685B"/>
    <w:rsid w:val="551C775D"/>
    <w:rsid w:val="55214EB5"/>
    <w:rsid w:val="553377F5"/>
    <w:rsid w:val="55364EFD"/>
    <w:rsid w:val="555337B0"/>
    <w:rsid w:val="555D4828"/>
    <w:rsid w:val="557A0749"/>
    <w:rsid w:val="557A4C8B"/>
    <w:rsid w:val="55886BA1"/>
    <w:rsid w:val="558931E1"/>
    <w:rsid w:val="55923347"/>
    <w:rsid w:val="55925180"/>
    <w:rsid w:val="55983B1B"/>
    <w:rsid w:val="55A8376B"/>
    <w:rsid w:val="55DC29B6"/>
    <w:rsid w:val="55DD4241"/>
    <w:rsid w:val="55E276DA"/>
    <w:rsid w:val="55F73DD4"/>
    <w:rsid w:val="560F4F39"/>
    <w:rsid w:val="5632768A"/>
    <w:rsid w:val="56487BCA"/>
    <w:rsid w:val="564F3968"/>
    <w:rsid w:val="565C5AA9"/>
    <w:rsid w:val="56616827"/>
    <w:rsid w:val="566B6D1E"/>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B7B30"/>
    <w:rsid w:val="57AF5251"/>
    <w:rsid w:val="57B26373"/>
    <w:rsid w:val="57B60A02"/>
    <w:rsid w:val="57B63F04"/>
    <w:rsid w:val="57CD20C2"/>
    <w:rsid w:val="57D675AB"/>
    <w:rsid w:val="57D73717"/>
    <w:rsid w:val="57D95FDD"/>
    <w:rsid w:val="57FF48DC"/>
    <w:rsid w:val="580F7106"/>
    <w:rsid w:val="58226260"/>
    <w:rsid w:val="583077A8"/>
    <w:rsid w:val="5837110E"/>
    <w:rsid w:val="58514199"/>
    <w:rsid w:val="587324F6"/>
    <w:rsid w:val="587358E6"/>
    <w:rsid w:val="58847591"/>
    <w:rsid w:val="588751FD"/>
    <w:rsid w:val="58913288"/>
    <w:rsid w:val="58917D2F"/>
    <w:rsid w:val="5894085C"/>
    <w:rsid w:val="589B34B2"/>
    <w:rsid w:val="58AE4F0C"/>
    <w:rsid w:val="58B85899"/>
    <w:rsid w:val="58C26FB9"/>
    <w:rsid w:val="58D97E3F"/>
    <w:rsid w:val="58DFB7BE"/>
    <w:rsid w:val="58E2735A"/>
    <w:rsid w:val="58E351BA"/>
    <w:rsid w:val="58E363A9"/>
    <w:rsid w:val="590F5769"/>
    <w:rsid w:val="59166304"/>
    <w:rsid w:val="591F52DC"/>
    <w:rsid w:val="595E1678"/>
    <w:rsid w:val="596D5BD4"/>
    <w:rsid w:val="59750523"/>
    <w:rsid w:val="59756D76"/>
    <w:rsid w:val="597610C2"/>
    <w:rsid w:val="597E3DD8"/>
    <w:rsid w:val="59975605"/>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C11CB6"/>
    <w:rsid w:val="5AD23FCE"/>
    <w:rsid w:val="5AD63A24"/>
    <w:rsid w:val="5AF310B4"/>
    <w:rsid w:val="5B2116D9"/>
    <w:rsid w:val="5B2E1A1D"/>
    <w:rsid w:val="5B386973"/>
    <w:rsid w:val="5B3F4CBF"/>
    <w:rsid w:val="5B4B3510"/>
    <w:rsid w:val="5B4C27FD"/>
    <w:rsid w:val="5B843A1C"/>
    <w:rsid w:val="5B873E3F"/>
    <w:rsid w:val="5B90055D"/>
    <w:rsid w:val="5C0004B4"/>
    <w:rsid w:val="5C02690E"/>
    <w:rsid w:val="5C1271C4"/>
    <w:rsid w:val="5C196DA7"/>
    <w:rsid w:val="5C2A048C"/>
    <w:rsid w:val="5C7F0CFE"/>
    <w:rsid w:val="5C80234E"/>
    <w:rsid w:val="5C8A680C"/>
    <w:rsid w:val="5C8D1BE7"/>
    <w:rsid w:val="5C9F03FC"/>
    <w:rsid w:val="5CB07DD9"/>
    <w:rsid w:val="5CF26D5D"/>
    <w:rsid w:val="5CFB2822"/>
    <w:rsid w:val="5D0C4701"/>
    <w:rsid w:val="5D0F0395"/>
    <w:rsid w:val="5D1340B8"/>
    <w:rsid w:val="5D221076"/>
    <w:rsid w:val="5D296EBB"/>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08D9"/>
    <w:rsid w:val="5E1834A1"/>
    <w:rsid w:val="5E227B93"/>
    <w:rsid w:val="5E261785"/>
    <w:rsid w:val="5E337FF2"/>
    <w:rsid w:val="5E415A77"/>
    <w:rsid w:val="5E4A7017"/>
    <w:rsid w:val="5E552BBA"/>
    <w:rsid w:val="5E611C10"/>
    <w:rsid w:val="5E7A0F3F"/>
    <w:rsid w:val="5EB57407"/>
    <w:rsid w:val="5EFC7377"/>
    <w:rsid w:val="5F003B12"/>
    <w:rsid w:val="5F06174D"/>
    <w:rsid w:val="5F192F04"/>
    <w:rsid w:val="5F247292"/>
    <w:rsid w:val="5F286F77"/>
    <w:rsid w:val="5F37766E"/>
    <w:rsid w:val="5F3A3602"/>
    <w:rsid w:val="5F3D3EB1"/>
    <w:rsid w:val="5F45733B"/>
    <w:rsid w:val="5F6277C6"/>
    <w:rsid w:val="5F6B55D2"/>
    <w:rsid w:val="5F6D0B1D"/>
    <w:rsid w:val="5F773417"/>
    <w:rsid w:val="5F8A3F77"/>
    <w:rsid w:val="5F8D0B82"/>
    <w:rsid w:val="5FA42567"/>
    <w:rsid w:val="5FC02406"/>
    <w:rsid w:val="5FCC5339"/>
    <w:rsid w:val="5FE34A5B"/>
    <w:rsid w:val="5FFA7CE2"/>
    <w:rsid w:val="5FFE1E36"/>
    <w:rsid w:val="600A4D82"/>
    <w:rsid w:val="600C654D"/>
    <w:rsid w:val="60114DD6"/>
    <w:rsid w:val="60206DA2"/>
    <w:rsid w:val="60232584"/>
    <w:rsid w:val="602C60B6"/>
    <w:rsid w:val="60401F8B"/>
    <w:rsid w:val="604A1623"/>
    <w:rsid w:val="605D7816"/>
    <w:rsid w:val="605E50CE"/>
    <w:rsid w:val="605E77BD"/>
    <w:rsid w:val="6065645C"/>
    <w:rsid w:val="607330CE"/>
    <w:rsid w:val="607B5C80"/>
    <w:rsid w:val="60825176"/>
    <w:rsid w:val="609F2AC4"/>
    <w:rsid w:val="60A32AE1"/>
    <w:rsid w:val="60A54FD3"/>
    <w:rsid w:val="60C05441"/>
    <w:rsid w:val="60D80176"/>
    <w:rsid w:val="60E76E71"/>
    <w:rsid w:val="60F31CBA"/>
    <w:rsid w:val="60FA2EE8"/>
    <w:rsid w:val="61054A27"/>
    <w:rsid w:val="610A52BC"/>
    <w:rsid w:val="611D2366"/>
    <w:rsid w:val="6121125D"/>
    <w:rsid w:val="61330309"/>
    <w:rsid w:val="6138071B"/>
    <w:rsid w:val="61421856"/>
    <w:rsid w:val="615207C8"/>
    <w:rsid w:val="615227C4"/>
    <w:rsid w:val="61654E3F"/>
    <w:rsid w:val="617410CB"/>
    <w:rsid w:val="6182292A"/>
    <w:rsid w:val="618C17C7"/>
    <w:rsid w:val="61942060"/>
    <w:rsid w:val="619F7F92"/>
    <w:rsid w:val="61B37CD9"/>
    <w:rsid w:val="61B72CE8"/>
    <w:rsid w:val="61F94C26"/>
    <w:rsid w:val="62000E56"/>
    <w:rsid w:val="620E40BA"/>
    <w:rsid w:val="6213563A"/>
    <w:rsid w:val="622240E6"/>
    <w:rsid w:val="62282C9B"/>
    <w:rsid w:val="623A0EAA"/>
    <w:rsid w:val="6249085B"/>
    <w:rsid w:val="624F3E49"/>
    <w:rsid w:val="62632286"/>
    <w:rsid w:val="62885958"/>
    <w:rsid w:val="629F6831"/>
    <w:rsid w:val="62AE3B94"/>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47ED3"/>
    <w:rsid w:val="63755A13"/>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91666"/>
    <w:rsid w:val="64495FE5"/>
    <w:rsid w:val="647D5D78"/>
    <w:rsid w:val="648B6EEF"/>
    <w:rsid w:val="648E281E"/>
    <w:rsid w:val="64C158BF"/>
    <w:rsid w:val="64CE2EAA"/>
    <w:rsid w:val="64E35BA2"/>
    <w:rsid w:val="64EF325A"/>
    <w:rsid w:val="64F90675"/>
    <w:rsid w:val="65202952"/>
    <w:rsid w:val="6534606B"/>
    <w:rsid w:val="653C3090"/>
    <w:rsid w:val="65417171"/>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C814F3"/>
    <w:rsid w:val="66D11CD5"/>
    <w:rsid w:val="66D24120"/>
    <w:rsid w:val="66EF1F08"/>
    <w:rsid w:val="671140AF"/>
    <w:rsid w:val="672F3F24"/>
    <w:rsid w:val="67311C4A"/>
    <w:rsid w:val="673E055F"/>
    <w:rsid w:val="673E6C62"/>
    <w:rsid w:val="67551CE3"/>
    <w:rsid w:val="676236F6"/>
    <w:rsid w:val="67721CDD"/>
    <w:rsid w:val="67780F59"/>
    <w:rsid w:val="67A22552"/>
    <w:rsid w:val="67B22DCC"/>
    <w:rsid w:val="67BE7144"/>
    <w:rsid w:val="67BE71AA"/>
    <w:rsid w:val="67D85D3D"/>
    <w:rsid w:val="67D90273"/>
    <w:rsid w:val="67DE5875"/>
    <w:rsid w:val="67E5244D"/>
    <w:rsid w:val="67E55852"/>
    <w:rsid w:val="67EB1AB4"/>
    <w:rsid w:val="67FA1285"/>
    <w:rsid w:val="680E73DA"/>
    <w:rsid w:val="684150B9"/>
    <w:rsid w:val="68551F4F"/>
    <w:rsid w:val="68574602"/>
    <w:rsid w:val="68690E91"/>
    <w:rsid w:val="687C10C9"/>
    <w:rsid w:val="68840C16"/>
    <w:rsid w:val="68876EFB"/>
    <w:rsid w:val="68884654"/>
    <w:rsid w:val="689B6EBF"/>
    <w:rsid w:val="689F444F"/>
    <w:rsid w:val="68A33FC6"/>
    <w:rsid w:val="68B16022"/>
    <w:rsid w:val="68B82B11"/>
    <w:rsid w:val="68B96DBB"/>
    <w:rsid w:val="68CA2805"/>
    <w:rsid w:val="68E937A3"/>
    <w:rsid w:val="691E0EE4"/>
    <w:rsid w:val="6937148E"/>
    <w:rsid w:val="693764BC"/>
    <w:rsid w:val="693E15D3"/>
    <w:rsid w:val="69401815"/>
    <w:rsid w:val="69484F69"/>
    <w:rsid w:val="695B28FA"/>
    <w:rsid w:val="69627681"/>
    <w:rsid w:val="69674FF3"/>
    <w:rsid w:val="69720C67"/>
    <w:rsid w:val="6977531D"/>
    <w:rsid w:val="69790883"/>
    <w:rsid w:val="698D4023"/>
    <w:rsid w:val="699B59ED"/>
    <w:rsid w:val="69BB6DF8"/>
    <w:rsid w:val="69C40F37"/>
    <w:rsid w:val="69CC2BFF"/>
    <w:rsid w:val="69E30726"/>
    <w:rsid w:val="69EF33C0"/>
    <w:rsid w:val="69FD55B8"/>
    <w:rsid w:val="6A0B1C62"/>
    <w:rsid w:val="6A0C16F7"/>
    <w:rsid w:val="6A130CD7"/>
    <w:rsid w:val="6A2406C8"/>
    <w:rsid w:val="6A442509"/>
    <w:rsid w:val="6A634570"/>
    <w:rsid w:val="6A7554EE"/>
    <w:rsid w:val="6A7D43A3"/>
    <w:rsid w:val="6A7F03B4"/>
    <w:rsid w:val="6AA933EA"/>
    <w:rsid w:val="6AC271BE"/>
    <w:rsid w:val="6ACE3875"/>
    <w:rsid w:val="6AD77F57"/>
    <w:rsid w:val="6ADB605C"/>
    <w:rsid w:val="6ADE0BD1"/>
    <w:rsid w:val="6AE96859"/>
    <w:rsid w:val="6AED777A"/>
    <w:rsid w:val="6B147746"/>
    <w:rsid w:val="6B1B3BF9"/>
    <w:rsid w:val="6B2021C6"/>
    <w:rsid w:val="6B24787C"/>
    <w:rsid w:val="6B3D3BD5"/>
    <w:rsid w:val="6B3D3FDE"/>
    <w:rsid w:val="6B573233"/>
    <w:rsid w:val="6B5B46E4"/>
    <w:rsid w:val="6B5B6274"/>
    <w:rsid w:val="6B635123"/>
    <w:rsid w:val="6B935D53"/>
    <w:rsid w:val="6BA0301F"/>
    <w:rsid w:val="6BA73DCD"/>
    <w:rsid w:val="6BBE4C73"/>
    <w:rsid w:val="6BCD06D0"/>
    <w:rsid w:val="6BFD579B"/>
    <w:rsid w:val="6C08629F"/>
    <w:rsid w:val="6C196F71"/>
    <w:rsid w:val="6C1B3E73"/>
    <w:rsid w:val="6C226FCB"/>
    <w:rsid w:val="6C2A5301"/>
    <w:rsid w:val="6C31226F"/>
    <w:rsid w:val="6C452A9D"/>
    <w:rsid w:val="6C552F0B"/>
    <w:rsid w:val="6C74077D"/>
    <w:rsid w:val="6C8C67B7"/>
    <w:rsid w:val="6C9C3206"/>
    <w:rsid w:val="6C9D744C"/>
    <w:rsid w:val="6CA34196"/>
    <w:rsid w:val="6CBD10F1"/>
    <w:rsid w:val="6CD231EE"/>
    <w:rsid w:val="6CFC34E0"/>
    <w:rsid w:val="6D161F81"/>
    <w:rsid w:val="6D167928"/>
    <w:rsid w:val="6D1A6A3D"/>
    <w:rsid w:val="6D252683"/>
    <w:rsid w:val="6D26299B"/>
    <w:rsid w:val="6D3344AA"/>
    <w:rsid w:val="6D3E42BD"/>
    <w:rsid w:val="6D4702BA"/>
    <w:rsid w:val="6D4772EC"/>
    <w:rsid w:val="6D6E228B"/>
    <w:rsid w:val="6D9078AF"/>
    <w:rsid w:val="6D91263F"/>
    <w:rsid w:val="6DA64BBC"/>
    <w:rsid w:val="6DAA3FEF"/>
    <w:rsid w:val="6DC0172B"/>
    <w:rsid w:val="6DCB690C"/>
    <w:rsid w:val="6DCE2DC4"/>
    <w:rsid w:val="6DCE3AA5"/>
    <w:rsid w:val="6DD41A5B"/>
    <w:rsid w:val="6DF43C2E"/>
    <w:rsid w:val="6DF51CA3"/>
    <w:rsid w:val="6E020BA6"/>
    <w:rsid w:val="6E174662"/>
    <w:rsid w:val="6E335A77"/>
    <w:rsid w:val="6E537AEC"/>
    <w:rsid w:val="6E8335BD"/>
    <w:rsid w:val="6E8E12EF"/>
    <w:rsid w:val="6E8E4DD0"/>
    <w:rsid w:val="6E972936"/>
    <w:rsid w:val="6EAA39A2"/>
    <w:rsid w:val="6ED446C5"/>
    <w:rsid w:val="6F045092"/>
    <w:rsid w:val="6F13639E"/>
    <w:rsid w:val="6F2531F7"/>
    <w:rsid w:val="6F2A7D94"/>
    <w:rsid w:val="6F3D07AE"/>
    <w:rsid w:val="6F416B95"/>
    <w:rsid w:val="6F6563A0"/>
    <w:rsid w:val="6F81463D"/>
    <w:rsid w:val="6F8331F1"/>
    <w:rsid w:val="6F8A5317"/>
    <w:rsid w:val="6F926644"/>
    <w:rsid w:val="6F9C52CB"/>
    <w:rsid w:val="6FAE1A09"/>
    <w:rsid w:val="6FBE238B"/>
    <w:rsid w:val="6FC5234C"/>
    <w:rsid w:val="6FD75BF8"/>
    <w:rsid w:val="6FDD4B42"/>
    <w:rsid w:val="70294DB1"/>
    <w:rsid w:val="7054787E"/>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94881"/>
    <w:rsid w:val="71946BA2"/>
    <w:rsid w:val="71D43752"/>
    <w:rsid w:val="71F1796A"/>
    <w:rsid w:val="72154626"/>
    <w:rsid w:val="72180A57"/>
    <w:rsid w:val="721A78F0"/>
    <w:rsid w:val="72262B5D"/>
    <w:rsid w:val="72283FF7"/>
    <w:rsid w:val="722E7212"/>
    <w:rsid w:val="723A0474"/>
    <w:rsid w:val="72522CC7"/>
    <w:rsid w:val="7257024F"/>
    <w:rsid w:val="725923E4"/>
    <w:rsid w:val="72734A09"/>
    <w:rsid w:val="72864BF7"/>
    <w:rsid w:val="729023FC"/>
    <w:rsid w:val="729F75AC"/>
    <w:rsid w:val="72A367A4"/>
    <w:rsid w:val="72E83108"/>
    <w:rsid w:val="72F23E71"/>
    <w:rsid w:val="73221F8B"/>
    <w:rsid w:val="732950C8"/>
    <w:rsid w:val="73463ECB"/>
    <w:rsid w:val="737547B1"/>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344AB"/>
    <w:rsid w:val="753D4E5A"/>
    <w:rsid w:val="7551380D"/>
    <w:rsid w:val="75600BE5"/>
    <w:rsid w:val="7564475C"/>
    <w:rsid w:val="7583797F"/>
    <w:rsid w:val="758608CE"/>
    <w:rsid w:val="75AE5430"/>
    <w:rsid w:val="75D20F1D"/>
    <w:rsid w:val="75DA2C18"/>
    <w:rsid w:val="75E02BD6"/>
    <w:rsid w:val="75E0564B"/>
    <w:rsid w:val="75F54412"/>
    <w:rsid w:val="76080F69"/>
    <w:rsid w:val="76086611"/>
    <w:rsid w:val="761D08E0"/>
    <w:rsid w:val="761D65A2"/>
    <w:rsid w:val="762322A2"/>
    <w:rsid w:val="765D347C"/>
    <w:rsid w:val="76683AF9"/>
    <w:rsid w:val="76826699"/>
    <w:rsid w:val="768833D7"/>
    <w:rsid w:val="7695568D"/>
    <w:rsid w:val="76C87133"/>
    <w:rsid w:val="76CD08D5"/>
    <w:rsid w:val="76DB4B92"/>
    <w:rsid w:val="77052AA4"/>
    <w:rsid w:val="77136511"/>
    <w:rsid w:val="772B1C5E"/>
    <w:rsid w:val="77340A39"/>
    <w:rsid w:val="77351FD0"/>
    <w:rsid w:val="77472422"/>
    <w:rsid w:val="777F31F2"/>
    <w:rsid w:val="7785391A"/>
    <w:rsid w:val="77945088"/>
    <w:rsid w:val="77A80CB1"/>
    <w:rsid w:val="77D1700D"/>
    <w:rsid w:val="77EC04CC"/>
    <w:rsid w:val="78056103"/>
    <w:rsid w:val="782347DB"/>
    <w:rsid w:val="7823599A"/>
    <w:rsid w:val="782729C5"/>
    <w:rsid w:val="78376D36"/>
    <w:rsid w:val="785901FD"/>
    <w:rsid w:val="78727511"/>
    <w:rsid w:val="78731750"/>
    <w:rsid w:val="78775729"/>
    <w:rsid w:val="78A06008"/>
    <w:rsid w:val="78A314FC"/>
    <w:rsid w:val="78A42DB0"/>
    <w:rsid w:val="78A656AB"/>
    <w:rsid w:val="78B2245C"/>
    <w:rsid w:val="78C134BB"/>
    <w:rsid w:val="78CF22B3"/>
    <w:rsid w:val="78E172CC"/>
    <w:rsid w:val="78EA1D1F"/>
    <w:rsid w:val="79033B9C"/>
    <w:rsid w:val="7904172F"/>
    <w:rsid w:val="790F7E27"/>
    <w:rsid w:val="79166A79"/>
    <w:rsid w:val="791D3FCD"/>
    <w:rsid w:val="792A231A"/>
    <w:rsid w:val="79316829"/>
    <w:rsid w:val="793B7903"/>
    <w:rsid w:val="79534C4C"/>
    <w:rsid w:val="797E66A9"/>
    <w:rsid w:val="79814830"/>
    <w:rsid w:val="798518A4"/>
    <w:rsid w:val="79957FC1"/>
    <w:rsid w:val="799E3870"/>
    <w:rsid w:val="79A97383"/>
    <w:rsid w:val="79B5042F"/>
    <w:rsid w:val="79B565E2"/>
    <w:rsid w:val="79C83F80"/>
    <w:rsid w:val="79C86838"/>
    <w:rsid w:val="79E27E8B"/>
    <w:rsid w:val="79E44E4D"/>
    <w:rsid w:val="79F10EE3"/>
    <w:rsid w:val="79F850CE"/>
    <w:rsid w:val="79FD443C"/>
    <w:rsid w:val="7A1D1975"/>
    <w:rsid w:val="7A3C008C"/>
    <w:rsid w:val="7A3E5150"/>
    <w:rsid w:val="7A4670D6"/>
    <w:rsid w:val="7A534B63"/>
    <w:rsid w:val="7A5E7D4D"/>
    <w:rsid w:val="7A615382"/>
    <w:rsid w:val="7A67303B"/>
    <w:rsid w:val="7A907FCF"/>
    <w:rsid w:val="7AAB1D04"/>
    <w:rsid w:val="7ABA4368"/>
    <w:rsid w:val="7AD038B6"/>
    <w:rsid w:val="7AD05746"/>
    <w:rsid w:val="7B1032F0"/>
    <w:rsid w:val="7B257FFD"/>
    <w:rsid w:val="7B343476"/>
    <w:rsid w:val="7B472BA3"/>
    <w:rsid w:val="7B4927AB"/>
    <w:rsid w:val="7B5A1B28"/>
    <w:rsid w:val="7B5A2978"/>
    <w:rsid w:val="7B5A7E4C"/>
    <w:rsid w:val="7B667AF9"/>
    <w:rsid w:val="7B7468F8"/>
    <w:rsid w:val="7B803CF3"/>
    <w:rsid w:val="7B845E33"/>
    <w:rsid w:val="7B922569"/>
    <w:rsid w:val="7BEE0103"/>
    <w:rsid w:val="7BF2233F"/>
    <w:rsid w:val="7C0A0FE4"/>
    <w:rsid w:val="7C1F0B6F"/>
    <w:rsid w:val="7C254906"/>
    <w:rsid w:val="7C2634EC"/>
    <w:rsid w:val="7C4613A4"/>
    <w:rsid w:val="7C590818"/>
    <w:rsid w:val="7C7C10F6"/>
    <w:rsid w:val="7C7C6DB0"/>
    <w:rsid w:val="7C835849"/>
    <w:rsid w:val="7C853BEA"/>
    <w:rsid w:val="7C881368"/>
    <w:rsid w:val="7C9107CA"/>
    <w:rsid w:val="7CA518D8"/>
    <w:rsid w:val="7CB24981"/>
    <w:rsid w:val="7CC34C7A"/>
    <w:rsid w:val="7CC3658D"/>
    <w:rsid w:val="7CE27788"/>
    <w:rsid w:val="7D0C32F1"/>
    <w:rsid w:val="7D0F408D"/>
    <w:rsid w:val="7D112351"/>
    <w:rsid w:val="7D1E30DE"/>
    <w:rsid w:val="7D2A3A55"/>
    <w:rsid w:val="7D4476CE"/>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8D0C00"/>
    <w:rsid w:val="7E957AB5"/>
    <w:rsid w:val="7E9A4E1F"/>
    <w:rsid w:val="7EA7723A"/>
    <w:rsid w:val="7EAB10E4"/>
    <w:rsid w:val="7EAF501B"/>
    <w:rsid w:val="7EE36A72"/>
    <w:rsid w:val="7EE50A3C"/>
    <w:rsid w:val="7EEF4B39"/>
    <w:rsid w:val="7EF56FBB"/>
    <w:rsid w:val="7EFE1AFE"/>
    <w:rsid w:val="7F0768EB"/>
    <w:rsid w:val="7F143BEC"/>
    <w:rsid w:val="7F18149D"/>
    <w:rsid w:val="7F2F0755"/>
    <w:rsid w:val="7F431716"/>
    <w:rsid w:val="7F4B5A22"/>
    <w:rsid w:val="7F5C371A"/>
    <w:rsid w:val="7F715AF2"/>
    <w:rsid w:val="7F886E69"/>
    <w:rsid w:val="7F97027D"/>
    <w:rsid w:val="7FAF435C"/>
    <w:rsid w:val="7FF43E95"/>
    <w:rsid w:val="BB7FA927"/>
    <w:rsid w:val="CDDFC4BE"/>
    <w:rsid w:val="DEFF8383"/>
    <w:rsid w:val="EE77AFA3"/>
    <w:rsid w:val="F5FFD31F"/>
    <w:rsid w:val="FDDD20E1"/>
    <w:rsid w:val="FFBBAC7B"/>
    <w:rsid w:val="FFCF1770"/>
    <w:rsid w:val="FFFA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link w:val="71"/>
    <w:unhideWhenUsed/>
    <w:qFormat/>
    <w:uiPriority w:val="1"/>
    <w:rPr>
      <w:rFonts w:ascii="仿宋_GB2312" w:eastAsia="仿宋_GB2312"/>
      <w:b/>
      <w:sz w:val="32"/>
      <w:szCs w:val="32"/>
    </w:rPr>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198"/>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9"/>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5"/>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envelope return"/>
    <w:basedOn w:val="1"/>
    <w:qFormat/>
    <w:uiPriority w:val="0"/>
    <w:pPr>
      <w:widowControl w:val="0"/>
      <w:snapToGrid w:val="0"/>
      <w:jc w:val="both"/>
    </w:pPr>
    <w:rPr>
      <w:rFonts w:hint="eastAsia" w:ascii="Arial" w:hAnsi="Arial" w:eastAsia="宋体" w:cs="Arial"/>
      <w:kern w:val="2"/>
      <w:sz w:val="21"/>
      <w:lang w:val="en-US" w:eastAsia="zh-CN" w:bidi="ar-SA"/>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1"/>
    <w:qFormat/>
    <w:uiPriority w:val="0"/>
    <w:rPr>
      <w:b/>
      <w:bCs/>
    </w:rPr>
  </w:style>
  <w:style w:type="paragraph" w:styleId="62">
    <w:name w:val="Body Text First Indent 2"/>
    <w:basedOn w:val="6"/>
    <w:next w:val="1"/>
    <w:link w:val="12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1">
    <w:name w:val="_Style 10"/>
    <w:basedOn w:val="1"/>
    <w:next w:val="1"/>
    <w:link w:val="70"/>
    <w:qFormat/>
    <w:uiPriority w:val="0"/>
    <w:rPr>
      <w:rFonts w:ascii="仿宋_GB2312" w:eastAsia="仿宋_GB2312"/>
      <w:b/>
      <w:sz w:val="32"/>
      <w:szCs w:val="32"/>
    </w:r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0"/>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0"/>
    <w:qFormat/>
    <w:uiPriority w:val="0"/>
    <w:rPr>
      <w:rFonts w:ascii="Arial" w:hAnsi="Arial" w:eastAsia="黑体" w:cs="Arial"/>
      <w:snapToGrid w:val="0"/>
      <w:kern w:val="0"/>
      <w:szCs w:val="21"/>
    </w:rPr>
  </w:style>
  <w:style w:type="character" w:styleId="78">
    <w:name w:val="Hyperlink"/>
    <w:basedOn w:val="70"/>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
    <w:basedOn w:val="1"/>
    <w:qFormat/>
    <w:uiPriority w:val="99"/>
    <w:pPr>
      <w:ind w:firstLine="480" w:firstLineChars="200"/>
    </w:pPr>
    <w:rPr>
      <w:rFonts w:ascii="Calibri" w:hAnsi="Calibri" w:eastAsia="仿宋_GB2312"/>
      <w:kern w:val="0"/>
      <w:sz w:val="24"/>
      <w:szCs w:val="32"/>
    </w:rPr>
  </w:style>
  <w:style w:type="paragraph" w:customStyle="1" w:styleId="82">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首行缩进"/>
    <w:basedOn w:val="1"/>
    <w:next w:val="1"/>
    <w:qFormat/>
    <w:uiPriority w:val="0"/>
    <w:pPr>
      <w:spacing w:line="360" w:lineRule="auto"/>
      <w:ind w:firstLine="480" w:firstLineChars="200"/>
    </w:pPr>
    <w:rPr>
      <w:rFonts w:ascii="宋体"/>
      <w:sz w:val="24"/>
      <w:szCs w:val="20"/>
    </w:rPr>
  </w:style>
  <w:style w:type="paragraph" w:customStyle="1" w:styleId="85">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8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2"/>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basedOn w:val="70"/>
    <w:qFormat/>
    <w:uiPriority w:val="0"/>
    <w:rPr>
      <w:rFonts w:hint="eastAsia" w:ascii="仿宋_GB2312" w:eastAsia="仿宋_GB2312" w:cs="仿宋_GB2312"/>
      <w:color w:val="000000"/>
      <w:sz w:val="22"/>
      <w:szCs w:val="22"/>
      <w:u w:val="none"/>
    </w:rPr>
  </w:style>
  <w:style w:type="character" w:customStyle="1" w:styleId="152">
    <w:name w:val="标题 6 Char"/>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0"/>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2"/>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6"/>
    <w:qFormat/>
    <w:uiPriority w:val="0"/>
    <w:rPr>
      <w:rFonts w:ascii="宋体" w:hAnsi="宋体"/>
      <w:kern w:val="2"/>
      <w:sz w:val="24"/>
      <w:szCs w:val="24"/>
    </w:rPr>
  </w:style>
  <w:style w:type="character" w:customStyle="1" w:styleId="270">
    <w:name w:val="font01"/>
    <w:basedOn w:val="70"/>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0"/>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8"/>
    <w:qFormat/>
    <w:uiPriority w:val="0"/>
    <w:rPr>
      <w:rFonts w:ascii="黑体" w:hAnsi="Courier New" w:eastAsia="黑体"/>
    </w:rPr>
  </w:style>
  <w:style w:type="character" w:customStyle="1" w:styleId="306">
    <w:name w:val="正文文本 2 Char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basedOn w:val="70"/>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0"/>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70"/>
    <w:qFormat/>
    <w:uiPriority w:val="0"/>
    <w:rPr>
      <w:rFonts w:hint="eastAsia" w:ascii="宋体" w:hAnsi="宋体" w:eastAsia="宋体"/>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basedOn w:val="70"/>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No Spacing"/>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8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8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83"/>
    <w:qFormat/>
    <w:uiPriority w:val="0"/>
    <w:pPr>
      <w:tabs>
        <w:tab w:val="left" w:pos="1260"/>
        <w:tab w:val="left" w:pos="1680"/>
        <w:tab w:val="left" w:pos="2100"/>
      </w:tabs>
      <w:ind w:left="0"/>
      <w:outlineLvl w:val="3"/>
    </w:pPr>
  </w:style>
  <w:style w:type="paragraph" w:customStyle="1" w:styleId="660">
    <w:name w:val="一级条标题"/>
    <w:basedOn w:val="661"/>
    <w:next w:val="83"/>
    <w:qFormat/>
    <w:uiPriority w:val="0"/>
    <w:pPr>
      <w:tabs>
        <w:tab w:val="left" w:pos="1260"/>
        <w:tab w:val="left" w:pos="1680"/>
      </w:tabs>
      <w:spacing w:before="0" w:beforeLines="0" w:after="0" w:afterLines="0"/>
      <w:ind w:left="1680"/>
      <w:outlineLvl w:val="2"/>
    </w:pPr>
  </w:style>
  <w:style w:type="paragraph" w:customStyle="1" w:styleId="661">
    <w:name w:val="章标题"/>
    <w:next w:val="8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8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8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8"/>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2"/>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7">
    <w:name w:val="NormalCharacter"/>
    <w:link w:val="968"/>
    <w:qFormat/>
    <w:uiPriority w:val="0"/>
    <w:rPr>
      <w:rFonts w:ascii="Calibri"/>
      <w:szCs w:val="22"/>
    </w:rPr>
  </w:style>
  <w:style w:type="paragraph" w:customStyle="1" w:styleId="968">
    <w:name w:val="UserStyle_127"/>
    <w:basedOn w:val="1"/>
    <w:link w:val="967"/>
    <w:qFormat/>
    <w:uiPriority w:val="0"/>
    <w:pPr>
      <w:spacing w:after="160" w:line="240" w:lineRule="exact"/>
      <w:jc w:val="left"/>
    </w:pPr>
    <w:rPr>
      <w:rFonts w:ascii="Calibri"/>
      <w:szCs w:val="22"/>
    </w:rPr>
  </w:style>
  <w:style w:type="paragraph" w:customStyle="1" w:styleId="969">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970">
    <w:name w:val="Basistekst Batenburg"/>
    <w:basedOn w:val="971"/>
    <w:qFormat/>
    <w:uiPriority w:val="0"/>
  </w:style>
  <w:style w:type="paragraph" w:customStyle="1" w:styleId="971">
    <w:name w:val="Zsysbasis Batenburg"/>
    <w:next w:val="970"/>
    <w:qFormat/>
    <w:uiPriority w:val="0"/>
    <w:pPr>
      <w:spacing w:line="300" w:lineRule="atLeast"/>
    </w:pPr>
    <w:rPr>
      <w:rFonts w:ascii="Calibri" w:hAnsi="Calibri" w:eastAsia="宋体" w:cs="Times New Roman"/>
      <w:sz w:val="22"/>
      <w:szCs w:val="18"/>
      <w:lang w:val="en-US" w:eastAsia="zh-CN" w:bidi="ar-SA"/>
    </w:rPr>
  </w:style>
  <w:style w:type="paragraph" w:customStyle="1" w:styleId="972">
    <w:name w:val="BodyText1I2"/>
    <w:basedOn w:val="1"/>
    <w:qFormat/>
    <w:uiPriority w:val="0"/>
    <w:pPr>
      <w:adjustRightInd/>
      <w:spacing w:line="360" w:lineRule="auto"/>
      <w:ind w:firstLine="420"/>
      <w:jc w:val="left"/>
    </w:pPr>
    <w:rPr>
      <w:rFonts w:ascii="宋体" w:hAnsi="宋体" w:cs="宋体"/>
      <w:szCs w:val="21"/>
    </w:rPr>
  </w:style>
  <w:style w:type="paragraph" w:customStyle="1" w:styleId="973">
    <w:name w:val="msonospacing"/>
    <w:basedOn w:val="1"/>
    <w:qFormat/>
    <w:uiPriority w:val="0"/>
    <w:rPr>
      <w:szCs w:val="22"/>
    </w:rPr>
  </w:style>
  <w:style w:type="character" w:customStyle="1" w:styleId="974">
    <w:name w:val="font121"/>
    <w:basedOn w:val="70"/>
    <w:qFormat/>
    <w:uiPriority w:val="0"/>
    <w:rPr>
      <w:rFonts w:hint="eastAsia" w:ascii="宋体" w:hAnsi="宋体" w:eastAsia="宋体" w:cs="宋体"/>
      <w:color w:val="000000"/>
      <w:sz w:val="21"/>
      <w:szCs w:val="21"/>
      <w:u w:val="none"/>
    </w:rPr>
  </w:style>
  <w:style w:type="character" w:customStyle="1" w:styleId="975">
    <w:name w:val="font131"/>
    <w:basedOn w:val="70"/>
    <w:qFormat/>
    <w:uiPriority w:val="0"/>
    <w:rPr>
      <w:rFonts w:hint="eastAsia" w:ascii="宋体" w:hAnsi="宋体" w:eastAsia="宋体" w:cs="宋体"/>
      <w:color w:val="000000"/>
      <w:sz w:val="20"/>
      <w:szCs w:val="20"/>
      <w:u w:val="single"/>
    </w:rPr>
  </w:style>
  <w:style w:type="character" w:customStyle="1" w:styleId="976">
    <w:name w:val="font141"/>
    <w:basedOn w:val="70"/>
    <w:qFormat/>
    <w:uiPriority w:val="0"/>
    <w:rPr>
      <w:rFonts w:hint="eastAsia" w:ascii="宋体" w:hAnsi="宋体" w:eastAsia="宋体" w:cs="宋体"/>
      <w:i/>
      <w:iCs/>
      <w:color w:val="000000"/>
      <w:sz w:val="20"/>
      <w:szCs w:val="20"/>
      <w:u w:val="none"/>
    </w:rPr>
  </w:style>
  <w:style w:type="character" w:customStyle="1" w:styleId="977">
    <w:name w:val="font151"/>
    <w:basedOn w:val="70"/>
    <w:qFormat/>
    <w:uiPriority w:val="0"/>
    <w:rPr>
      <w:rFonts w:hint="eastAsia" w:ascii="宋体" w:hAnsi="宋体" w:eastAsia="宋体" w:cs="宋体"/>
      <w:color w:val="000000"/>
      <w:sz w:val="20"/>
      <w:szCs w:val="20"/>
      <w:u w:val="none"/>
      <w:vertAlign w:val="superscript"/>
    </w:rPr>
  </w:style>
  <w:style w:type="character" w:customStyle="1" w:styleId="978">
    <w:name w:val="font161"/>
    <w:basedOn w:val="70"/>
    <w:qFormat/>
    <w:uiPriority w:val="0"/>
    <w:rPr>
      <w:rFonts w:hint="eastAsia" w:ascii="宋体" w:hAnsi="宋体" w:eastAsia="宋体" w:cs="宋体"/>
      <w:color w:val="000000"/>
      <w:sz w:val="18"/>
      <w:szCs w:val="18"/>
      <w:u w:val="none"/>
    </w:rPr>
  </w:style>
  <w:style w:type="character" w:customStyle="1" w:styleId="979">
    <w:name w:val="font112"/>
    <w:basedOn w:val="70"/>
    <w:qFormat/>
    <w:uiPriority w:val="0"/>
    <w:rPr>
      <w:rFonts w:hint="eastAsia" w:ascii="宋体" w:hAnsi="宋体" w:eastAsia="宋体" w:cs="宋体"/>
      <w:color w:val="000000"/>
      <w:sz w:val="21"/>
      <w:szCs w:val="21"/>
      <w:u w:val="none"/>
    </w:rPr>
  </w:style>
  <w:style w:type="paragraph" w:customStyle="1" w:styleId="980">
    <w:name w:val="List2"/>
    <w:basedOn w:val="1"/>
    <w:qFormat/>
    <w:uiPriority w:val="0"/>
    <w:pPr>
      <w:ind w:left="100" w:leftChars="200" w:hanging="200" w:hangingChars="200"/>
      <w:contextualSpacing/>
      <w:jc w:val="both"/>
      <w:textAlignment w:val="baseline"/>
    </w:pPr>
    <w:rPr>
      <w:kern w:val="2"/>
      <w:sz w:val="21"/>
      <w:szCs w:val="20"/>
      <w:lang w:val="en-US" w:eastAsia="zh-CN" w:bidi="ar-SA"/>
    </w:rPr>
  </w:style>
  <w:style w:type="character" w:customStyle="1" w:styleId="981">
    <w:name w:val="font101"/>
    <w:basedOn w:val="70"/>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footer" Target="footer2.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jpe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er" Target="foot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18687</Words>
  <Characters>22784</Characters>
  <Lines>279</Lines>
  <Paragraphs>78</Paragraphs>
  <TotalTime>99</TotalTime>
  <ScaleCrop>false</ScaleCrop>
  <LinksUpToDate>false</LinksUpToDate>
  <CharactersWithSpaces>23544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Yiluo一络</cp:lastModifiedBy>
  <cp:lastPrinted>2025-06-19T02:01:45Z</cp:lastPrinted>
  <dcterms:modified xsi:type="dcterms:W3CDTF">2025-06-19T02:11:19Z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57DCE2A491754A378FCC0B2240A06980_13</vt:lpwstr>
  </property>
  <property fmtid="{D5CDD505-2E9C-101B-9397-08002B2CF9AE}" pid="5" name="KSOTemplateDocerSaveRecord">
    <vt:lpwstr>eyJoZGlkIjoiODNjODc2ZTAzM2MxMWNlYjlmN2Y4YzNlMTI1YmEzOWUiLCJ1c2VySWQiOiIzMzUyNTM0MjkifQ==</vt:lpwstr>
  </property>
</Properties>
</file>