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杭州高级中学钱塘学校</w:t>
      </w:r>
    </w:p>
    <w:p>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48"/>
          <w:szCs w:val="48"/>
          <w:highlight w:val="none"/>
          <w:lang w:eastAsia="zh-CN"/>
        </w:rPr>
        <w:t>连廊校史文化建设三期</w:t>
      </w:r>
    </w:p>
    <w:p>
      <w:pPr>
        <w:tabs>
          <w:tab w:val="left" w:pos="432"/>
        </w:tabs>
        <w:outlineLvl w:val="9"/>
        <w:rPr>
          <w:rFonts w:ascii="宋体" w:hAnsi="宋体" w:cs="宋体"/>
          <w:color w:val="auto"/>
          <w:sz w:val="24"/>
          <w:szCs w:val="24"/>
          <w:highlight w:val="none"/>
        </w:rPr>
      </w:pPr>
    </w:p>
    <w:p>
      <w:pPr>
        <w:adjustRightInd/>
        <w:spacing w:line="360" w:lineRule="auto"/>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w:t>
      </w:r>
      <w:r>
        <w:rPr>
          <w:rFonts w:hint="eastAsia" w:ascii="宋体" w:hAnsi="宋体" w:cs="宋体"/>
          <w:color w:val="auto"/>
          <w:sz w:val="44"/>
          <w:szCs w:val="44"/>
          <w:highlight w:val="none"/>
          <w:lang w:val="en-US" w:eastAsia="zh-CN"/>
        </w:rPr>
        <w:t>非政府采购项目-</w:t>
      </w:r>
      <w:r>
        <w:rPr>
          <w:rFonts w:hint="eastAsia" w:ascii="宋体" w:hAnsi="宋体" w:cs="宋体"/>
          <w:color w:val="auto"/>
          <w:sz w:val="44"/>
          <w:szCs w:val="44"/>
          <w:highlight w:val="none"/>
        </w:rPr>
        <w:t>电子交易）</w:t>
      </w:r>
    </w:p>
    <w:p>
      <w:pPr>
        <w:snapToGrid w:val="0"/>
        <w:spacing w:line="360" w:lineRule="auto"/>
        <w:jc w:val="center"/>
        <w:rPr>
          <w:rFonts w:ascii="宋体" w:hAnsi="宋体" w:cs="宋体"/>
          <w:color w:val="auto"/>
          <w:sz w:val="30"/>
          <w:szCs w:val="30"/>
          <w:highlight w:val="none"/>
        </w:rPr>
      </w:pPr>
    </w:p>
    <w:p>
      <w:pPr>
        <w:snapToGrid w:val="0"/>
        <w:spacing w:line="360" w:lineRule="auto"/>
        <w:jc w:val="center"/>
        <w:rPr>
          <w:rFonts w:hint="default" w:ascii="宋体" w:hAnsi="宋体" w:cs="宋体"/>
          <w:color w:val="auto"/>
          <w:sz w:val="32"/>
          <w:szCs w:val="32"/>
          <w:highlight w:val="none"/>
          <w:lang w:val="en-US" w:eastAsia="zh-CN"/>
        </w:rPr>
      </w:pPr>
      <w:bookmarkStart w:id="399" w:name="_GoBack"/>
      <w:bookmarkEnd w:id="399"/>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HGQT-2025-S04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24"/>
        <w:rPr>
          <w:rFonts w:cs="宋体"/>
          <w:color w:val="auto"/>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杭州高级中学钱塘学校</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浙江五石中正工程咨询有限公司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tcPr>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项目概况</w:t>
            </w:r>
          </w:p>
          <w:p>
            <w:pPr>
              <w:pStyle w:val="24"/>
              <w:keepNext w:val="0"/>
              <w:keepLines w:val="0"/>
              <w:pageBreakBefore w:val="0"/>
              <w:kinsoku/>
              <w:wordWrap/>
              <w:overflowPunct/>
              <w:topLinePunct w:val="0"/>
              <w:autoSpaceDE/>
              <w:autoSpaceDN/>
              <w:bidi w:val="0"/>
              <w:adjustRightInd w:val="0"/>
              <w:spacing w:line="360" w:lineRule="auto"/>
              <w:textAlignment w:val="auto"/>
              <w:rPr>
                <w:rFonts w:cs="宋体"/>
                <w:color w:val="auto"/>
                <w:highlight w:val="none"/>
              </w:rPr>
            </w:pPr>
            <w:r>
              <w:rPr>
                <w:rFonts w:hint="eastAsia" w:cs="宋体"/>
                <w:color w:val="auto"/>
                <w:highlight w:val="none"/>
                <w:lang w:eastAsia="zh-CN"/>
              </w:rPr>
              <w:t>连廊校史文化建设三期</w:t>
            </w:r>
            <w:r>
              <w:rPr>
                <w:rFonts w:hint="eastAsia" w:cs="宋体"/>
                <w:color w:val="auto"/>
                <w:highlight w:val="none"/>
                <w:lang w:val="en-US" w:eastAsia="zh-CN"/>
              </w:rPr>
              <w:t>采购</w:t>
            </w:r>
            <w:r>
              <w:rPr>
                <w:rFonts w:hint="eastAsia" w:cs="宋体"/>
                <w:color w:val="auto"/>
                <w:highlight w:val="none"/>
              </w:rPr>
              <w:t>项目的潜在供应商应在</w:t>
            </w:r>
            <w:r>
              <w:rPr>
                <w:rFonts w:hint="eastAsia" w:ascii="Times New Roman" w:hAnsi="Times New Roman" w:cs="Times New Roman"/>
                <w:color w:val="auto"/>
                <w:highlight w:val="none"/>
                <w:lang w:val="en-US" w:eastAsia="zh-CN"/>
              </w:rPr>
              <w:t>杭州市教育局非依法小额采购平台</w:t>
            </w:r>
            <w:r>
              <w:rPr>
                <w:rFonts w:hint="eastAsia" w:ascii="宋体" w:hAnsi="宋体" w:eastAsia="宋体" w:cs="宋体"/>
                <w:color w:val="auto"/>
                <w:highlight w:val="none"/>
                <w:lang w:val="en-US" w:eastAsia="zh-CN"/>
              </w:rPr>
              <w:t>（https://hzjyg.lecaiyun.com）获取采购文件，并</w:t>
            </w:r>
            <w:r>
              <w:rPr>
                <w:rFonts w:hint="eastAsia" w:ascii="Times New Roman" w:hAnsi="Times New Roman" w:cs="Times New Roman"/>
                <w:color w:val="auto"/>
                <w:highlight w:val="none"/>
                <w:lang w:val="en-US" w:eastAsia="zh-CN"/>
              </w:rPr>
              <w:t>于</w:t>
            </w:r>
            <w:r>
              <w:rPr>
                <w:rFonts w:hint="eastAsia" w:cs="宋体"/>
                <w:color w:val="auto"/>
                <w:sz w:val="24"/>
                <w:highlight w:val="none"/>
                <w:lang w:eastAsia="zh-CN"/>
              </w:rPr>
              <w:t>2025年</w:t>
            </w:r>
            <w:r>
              <w:rPr>
                <w:rFonts w:hint="eastAsia" w:cs="宋体"/>
                <w:color w:val="auto"/>
                <w:sz w:val="24"/>
                <w:highlight w:val="none"/>
                <w:lang w:val="en-US" w:eastAsia="zh-CN"/>
              </w:rPr>
              <w:t>7</w:t>
            </w:r>
            <w:r>
              <w:rPr>
                <w:rFonts w:hint="eastAsia" w:cs="宋体"/>
                <w:color w:val="auto"/>
                <w:sz w:val="24"/>
                <w:highlight w:val="none"/>
                <w:lang w:eastAsia="zh-CN"/>
              </w:rPr>
              <w:t>月</w:t>
            </w:r>
            <w:r>
              <w:rPr>
                <w:rFonts w:hint="default" w:cs="宋体"/>
                <w:color w:val="auto"/>
                <w:sz w:val="24"/>
                <w:highlight w:val="none"/>
                <w:lang w:eastAsia="zh-CN"/>
              </w:rPr>
              <w:t>15</w:t>
            </w:r>
            <w:r>
              <w:rPr>
                <w:rFonts w:hint="eastAsia" w:cs="宋体"/>
                <w:color w:val="auto"/>
                <w:sz w:val="24"/>
                <w:highlight w:val="none"/>
                <w:lang w:eastAsia="zh-CN"/>
              </w:rPr>
              <w:t>日</w:t>
            </w:r>
            <w:r>
              <w:rPr>
                <w:rFonts w:hint="eastAsia" w:cs="宋体"/>
                <w:color w:val="auto"/>
                <w:sz w:val="24"/>
                <w:highlight w:val="none"/>
                <w:lang w:val="en-US" w:eastAsia="zh-CN"/>
              </w:rPr>
              <w:t>09:30</w:t>
            </w:r>
            <w:r>
              <w:rPr>
                <w:rFonts w:hint="eastAsia" w:cs="宋体"/>
                <w:color w:val="auto"/>
                <w:highlight w:val="none"/>
              </w:rPr>
              <w:t>（北京时间）前提交（上传）响应文件。 </w:t>
            </w:r>
          </w:p>
        </w:tc>
      </w:tr>
    </w:tbl>
    <w:p>
      <w:pPr>
        <w:widowControl/>
        <w:snapToGrid w:val="0"/>
        <w:spacing w:line="360" w:lineRule="auto"/>
        <w:jc w:val="left"/>
        <w:rPr>
          <w:rFonts w:ascii="宋体" w:hAnsi="宋体" w:cs="宋体"/>
          <w:color w:val="auto"/>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2"/>
          <w:sz w:val="24"/>
          <w:szCs w:val="24"/>
          <w:highlight w:val="none"/>
          <w:lang w:val="en-US" w:eastAsia="zh-CN" w:bidi="ar-SA"/>
        </w:rPr>
        <w:t>HGQT-2025-S04</w:t>
      </w:r>
    </w:p>
    <w:p>
      <w:pPr>
        <w:pStyle w:val="24"/>
        <w:spacing w:line="360" w:lineRule="auto"/>
        <w:rPr>
          <w:rFonts w:hint="eastAsia" w:cs="宋体"/>
          <w:color w:val="auto"/>
          <w:sz w:val="24"/>
          <w:highlight w:val="none"/>
          <w:lang w:val="en-US" w:eastAsia="zh-CN"/>
        </w:rPr>
      </w:pPr>
      <w:r>
        <w:rPr>
          <w:rFonts w:hint="eastAsia" w:ascii="宋体" w:hAnsi="宋体" w:cs="宋体"/>
          <w:color w:val="auto"/>
          <w:sz w:val="24"/>
          <w:highlight w:val="none"/>
        </w:rPr>
        <w:t>项目名称：</w:t>
      </w:r>
      <w:r>
        <w:rPr>
          <w:rFonts w:hint="eastAsia" w:cs="宋体"/>
          <w:color w:val="auto"/>
          <w:sz w:val="24"/>
          <w:highlight w:val="none"/>
          <w:lang w:eastAsia="zh-CN"/>
        </w:rPr>
        <w:t>连廊校史文化建设三期</w:t>
      </w:r>
      <w:r>
        <w:rPr>
          <w:rFonts w:hint="eastAsia" w:cs="宋体"/>
          <w:color w:val="auto"/>
          <w:sz w:val="24"/>
          <w:highlight w:val="none"/>
          <w:lang w:val="en-US" w:eastAsia="zh-CN"/>
        </w:rPr>
        <w:t xml:space="preserve">  </w:t>
      </w:r>
    </w:p>
    <w:p>
      <w:pPr>
        <w:pStyle w:val="24"/>
        <w:spacing w:line="360" w:lineRule="auto"/>
        <w:rPr>
          <w:rFonts w:cs="宋体"/>
          <w:color w:val="auto"/>
          <w:highlight w:val="none"/>
        </w:rPr>
      </w:pPr>
      <w:r>
        <w:rPr>
          <w:rFonts w:hint="eastAsia" w:cs="宋体"/>
          <w:color w:val="auto"/>
          <w:highlight w:val="none"/>
        </w:rPr>
        <w:t>采购方式：竞争性磋商</w:t>
      </w:r>
    </w:p>
    <w:p>
      <w:pPr>
        <w:widowControl/>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920000.00</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920000.00</w:t>
      </w:r>
    </w:p>
    <w:p>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 xml:space="preserve">采购需求： </w:t>
      </w:r>
    </w:p>
    <w:p>
      <w:pPr>
        <w:pStyle w:val="24"/>
        <w:spacing w:line="360" w:lineRule="auto"/>
        <w:rPr>
          <w:rFonts w:cs="宋体"/>
          <w:color w:val="auto"/>
          <w:highlight w:val="none"/>
        </w:rPr>
      </w:pPr>
    </w:p>
    <w:p>
      <w:pPr>
        <w:pStyle w:val="24"/>
        <w:spacing w:line="360" w:lineRule="auto"/>
        <w:rPr>
          <w:rFonts w:cs="宋体"/>
          <w:color w:val="auto"/>
          <w:highlight w:val="none"/>
        </w:rPr>
      </w:pPr>
      <w:r>
        <w:rPr>
          <w:rFonts w:hint="eastAsia" w:cs="宋体"/>
          <w:color w:val="auto"/>
          <w:highlight w:val="none"/>
        </w:rPr>
        <w:t>数量：1</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p>
    <w:p>
      <w:pPr>
        <w:pStyle w:val="24"/>
        <w:spacing w:line="360" w:lineRule="auto"/>
        <w:rPr>
          <w:rFonts w:cs="宋体"/>
          <w:color w:val="auto"/>
          <w:highlight w:val="none"/>
        </w:rPr>
      </w:pPr>
      <w:r>
        <w:rPr>
          <w:rFonts w:hint="eastAsia" w:cs="宋体"/>
          <w:color w:val="auto"/>
          <w:highlight w:val="none"/>
        </w:rPr>
        <w:t>单位：项</w:t>
      </w:r>
    </w:p>
    <w:p>
      <w:pPr>
        <w:spacing w:line="360" w:lineRule="auto"/>
        <w:ind w:firstLine="42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rPr>
        <w:t>本项目为杭州高级中学钱塘学校教学楼连廊校史文化建设项目三期，为学校教学楼连廊校史建设一期与二期的延续，通过继续深化校史文化，将杭高百廿来的历史底蕴更好的展现给社会和广大师生，更好的鼓励和发展学生知校知史，爱国爱家爱校的情怀，提高学校校园文化建设。具体详见工程量清单、图纸等材料</w:t>
      </w:r>
      <w:r>
        <w:rPr>
          <w:rFonts w:hint="eastAsia" w:ascii="宋体" w:hAnsi="宋体" w:cs="宋体"/>
          <w:color w:val="auto"/>
          <w:sz w:val="24"/>
          <w:highlight w:val="none"/>
          <w:lang w:eastAsia="zh-CN"/>
        </w:rPr>
        <w:t>及</w:t>
      </w:r>
      <w:r>
        <w:rPr>
          <w:rFonts w:hint="eastAsia" w:ascii="宋体" w:hAnsi="宋体" w:cs="宋体"/>
          <w:color w:val="auto"/>
          <w:sz w:val="24"/>
          <w:highlight w:val="none"/>
        </w:rPr>
        <w:t>磋商文件。</w:t>
      </w:r>
    </w:p>
    <w:p>
      <w:pPr>
        <w:widowControl/>
        <w:spacing w:line="360" w:lineRule="auto"/>
        <w:ind w:firstLine="0" w:firstLineChars="0"/>
        <w:jc w:val="left"/>
        <w:rPr>
          <w:rFonts w:hint="eastAsia" w:ascii="宋体" w:hAnsi="宋体" w:cs="宋体"/>
          <w:color w:val="auto"/>
          <w:sz w:val="24"/>
          <w:highlight w:val="none"/>
        </w:rPr>
      </w:pP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rPr>
        <w:t>合同签订接采购人开工通知后</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日历天内完成工程施工。</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落实</w:t>
      </w:r>
      <w:r>
        <w:rPr>
          <w:rFonts w:hint="eastAsia" w:ascii="宋体" w:hAnsi="宋体" w:cs="宋体"/>
          <w:color w:val="auto"/>
          <w:kern w:val="28"/>
          <w:sz w:val="24"/>
          <w:highlight w:val="none"/>
          <w:lang w:eastAsia="zh-CN"/>
        </w:rPr>
        <w:t>采购</w:t>
      </w:r>
      <w:r>
        <w:rPr>
          <w:rFonts w:hint="eastAsia" w:ascii="宋体" w:hAnsi="宋体" w:cs="宋体"/>
          <w:color w:val="auto"/>
          <w:kern w:val="28"/>
          <w:sz w:val="24"/>
          <w:highlight w:val="none"/>
        </w:rPr>
        <w:t>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专门面向中小企业</w:t>
      </w:r>
    </w:p>
    <w:p>
      <w:pPr>
        <w:spacing w:line="360" w:lineRule="auto"/>
        <w:ind w:firstLine="849" w:firstLineChars="354"/>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工程全部由符合政策要求的</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企业承建，提供中小企业声明函；</w:t>
      </w:r>
    </w:p>
    <w:p>
      <w:pPr>
        <w:spacing w:line="360" w:lineRule="auto"/>
        <w:ind w:firstLine="850" w:firstLineChars="354"/>
        <w:rPr>
          <w:rFonts w:hint="eastAsia"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工程全部由符合政策要求的小微企业承建，提供中小企业声明函；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cs="宋体"/>
          <w:color w:val="auto"/>
          <w:sz w:val="24"/>
          <w:szCs w:val="24"/>
          <w:highlight w:val="none"/>
        </w:rPr>
        <w:t>（1）具备</w:t>
      </w:r>
      <w:r>
        <w:rPr>
          <w:rFonts w:hint="eastAsia" w:ascii="宋体" w:hAnsi="宋体" w:cs="宋体"/>
          <w:color w:val="auto"/>
          <w:sz w:val="24"/>
          <w:szCs w:val="24"/>
          <w:highlight w:val="none"/>
          <w:lang w:eastAsia="zh-CN"/>
        </w:rPr>
        <w:t>建筑装修装饰工程专业承包二级及以上资质</w:t>
      </w:r>
      <w:r>
        <w:rPr>
          <w:rFonts w:hint="eastAsia" w:ascii="宋体" w:hAnsi="宋体" w:cs="宋体"/>
          <w:color w:val="auto"/>
          <w:sz w:val="24"/>
          <w:szCs w:val="24"/>
          <w:highlight w:val="none"/>
        </w:rPr>
        <w:t>；</w:t>
      </w:r>
    </w:p>
    <w:p>
      <w:pPr>
        <w:widowControl/>
        <w:spacing w:line="360" w:lineRule="auto"/>
        <w:ind w:left="0" w:leftChars="0" w:firstLine="638" w:firstLineChars="266"/>
        <w:jc w:val="left"/>
        <w:rPr>
          <w:rFonts w:ascii="宋体" w:hAnsi="宋体" w:cs="宋体"/>
          <w:color w:val="auto"/>
          <w:sz w:val="24"/>
          <w:szCs w:val="24"/>
          <w:highlight w:val="none"/>
        </w:rPr>
      </w:pPr>
      <w:r>
        <w:rPr>
          <w:rFonts w:hint="eastAsia" w:ascii="宋体" w:hAnsi="宋体" w:cs="宋体"/>
          <w:color w:val="auto"/>
          <w:sz w:val="24"/>
          <w:szCs w:val="24"/>
          <w:highlight w:val="none"/>
        </w:rPr>
        <w:t>（2）有效期内的《安全生产许可证》。</w:t>
      </w:r>
    </w:p>
    <w:p>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活动。为</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项目的前期准备或者监理工作提供设计、咨询服务的任何法人及其任何附属机构（单位），不得参与项目施工标竞标。</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2025年</w:t>
      </w:r>
      <w:r>
        <w:rPr>
          <w:rFonts w:hint="default" w:ascii="宋体" w:hAnsi="宋体" w:cs="宋体"/>
          <w:bCs/>
          <w:color w:val="auto"/>
          <w:sz w:val="24"/>
          <w:highlight w:val="none"/>
          <w:lang w:eastAsia="zh-CN"/>
        </w:rPr>
        <w:t>7</w:t>
      </w:r>
      <w:r>
        <w:rPr>
          <w:rFonts w:hint="eastAsia" w:ascii="宋体" w:hAnsi="宋体" w:cs="宋体"/>
          <w:bCs/>
          <w:color w:val="auto"/>
          <w:sz w:val="24"/>
          <w:highlight w:val="none"/>
          <w:lang w:val="en-US" w:eastAsia="zh-CN"/>
        </w:rPr>
        <w:t>月</w:t>
      </w:r>
      <w:r>
        <w:rPr>
          <w:rFonts w:hint="default" w:ascii="宋体" w:hAnsi="宋体" w:cs="宋体"/>
          <w:bCs/>
          <w:color w:val="auto"/>
          <w:sz w:val="24"/>
          <w:highlight w:val="none"/>
          <w:lang w:eastAsia="zh-CN"/>
        </w:rPr>
        <w:t>6</w:t>
      </w:r>
      <w:r>
        <w:rPr>
          <w:rFonts w:hint="eastAsia" w:ascii="宋体" w:hAnsi="宋体" w:cs="宋体"/>
          <w:bCs/>
          <w:color w:val="auto"/>
          <w:sz w:val="24"/>
          <w:highlight w:val="none"/>
          <w:lang w:val="en-US" w:eastAsia="zh-CN"/>
        </w:rPr>
        <w:t>日</w:t>
      </w:r>
      <w:r>
        <w:rPr>
          <w:rFonts w:hint="eastAsia" w:ascii="宋体" w:hAnsi="宋体" w:cs="宋体"/>
          <w:bCs/>
          <w:color w:val="auto"/>
          <w:sz w:val="24"/>
          <w:highlight w:val="none"/>
        </w:rPr>
        <w:t>至</w:t>
      </w:r>
      <w:r>
        <w:rPr>
          <w:rFonts w:hint="eastAsia" w:ascii="宋体" w:hAnsi="宋体" w:cs="宋体"/>
          <w:bCs/>
          <w:color w:val="auto"/>
          <w:sz w:val="24"/>
          <w:highlight w:val="none"/>
          <w:lang w:eastAsia="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月</w:t>
      </w:r>
      <w:r>
        <w:rPr>
          <w:rFonts w:hint="default" w:ascii="宋体" w:hAnsi="宋体" w:cs="宋体"/>
          <w:bCs/>
          <w:color w:val="auto"/>
          <w:sz w:val="24"/>
          <w:highlight w:val="none"/>
          <w:lang w:eastAsia="zh-CN"/>
        </w:rPr>
        <w:t>11</w:t>
      </w:r>
      <w:r>
        <w:rPr>
          <w:rFonts w:hint="eastAsia" w:ascii="宋体" w:hAnsi="宋体" w:cs="宋体"/>
          <w:bCs/>
          <w:color w:val="auto"/>
          <w:sz w:val="24"/>
          <w:highlight w:val="none"/>
          <w:lang w:eastAsia="zh-CN"/>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eastAsia="zh-CN"/>
        </w:rPr>
        <w:t>杭州市教育局非依法招标（小额）项目平台</w:t>
      </w:r>
      <w:r>
        <w:rPr>
          <w:rFonts w:hint="eastAsia" w:ascii="宋体" w:hAnsi="宋体" w:cs="宋体"/>
          <w:bCs/>
          <w:color w:val="auto"/>
          <w:sz w:val="24"/>
          <w:highlight w:val="none"/>
        </w:rPr>
        <w:t xml:space="preserve">线上获取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方式：</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登录</w:t>
      </w:r>
      <w:r>
        <w:rPr>
          <w:rFonts w:hint="eastAsia" w:ascii="宋体" w:hAnsi="宋体" w:cs="宋体"/>
          <w:bCs/>
          <w:color w:val="auto"/>
          <w:sz w:val="24"/>
          <w:highlight w:val="none"/>
          <w:lang w:eastAsia="zh-CN"/>
        </w:rPr>
        <w:t>杭州市教育局非依法招标（小额）项目平台https://hzjyg.lecaiyun.com</w:t>
      </w:r>
      <w:r>
        <w:rPr>
          <w:rFonts w:hint="eastAsia" w:ascii="宋体" w:hAnsi="宋体" w:cs="宋体"/>
          <w:bCs/>
          <w:color w:val="auto"/>
          <w:sz w:val="24"/>
          <w:highlight w:val="none"/>
        </w:rPr>
        <w:t xml:space="preserve">在线申请获取采购文件（进入“项目采购”应用，在获取采购文件菜单中选择项目，申请获取采购文件） </w:t>
      </w:r>
    </w:p>
    <w:p>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收款单位：</w:t>
      </w:r>
      <w:r>
        <w:rPr>
          <w:rFonts w:hint="eastAsia" w:ascii="宋体" w:hAnsi="宋体" w:cs="仿宋_GB2312"/>
          <w:color w:val="auto"/>
          <w:sz w:val="24"/>
          <w:highlight w:val="none"/>
          <w:lang w:eastAsia="zh-CN"/>
        </w:rPr>
        <w:t>浙江五石中正工程咨询有限公司</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开户银行：</w:t>
      </w:r>
      <w:r>
        <w:rPr>
          <w:rFonts w:hint="eastAsia" w:ascii="宋体" w:hAnsi="宋体" w:cs="仿宋_GB2312"/>
          <w:color w:val="auto"/>
          <w:sz w:val="24"/>
          <w:highlight w:val="none"/>
          <w:lang w:eastAsia="zh-CN"/>
        </w:rPr>
        <w:t xml:space="preserve">中国工商银行杭州潮王路支行 </w:t>
      </w:r>
    </w:p>
    <w:p>
      <w:pPr>
        <w:spacing w:line="360" w:lineRule="auto"/>
        <w:ind w:firstLine="480" w:firstLineChars="200"/>
        <w:rPr>
          <w:rFonts w:ascii="宋体" w:hAnsi="宋体" w:cs="宋体"/>
          <w:bCs/>
          <w:color w:val="auto"/>
          <w:sz w:val="24"/>
          <w:highlight w:val="none"/>
        </w:rPr>
      </w:pPr>
      <w:r>
        <w:rPr>
          <w:rFonts w:hint="eastAsia" w:ascii="宋体" w:hAnsi="宋体" w:eastAsia="宋体" w:cs="仿宋_GB2312"/>
          <w:color w:val="auto"/>
          <w:sz w:val="24"/>
          <w:highlight w:val="none"/>
        </w:rPr>
        <w:t>帐    号：</w:t>
      </w:r>
      <w:r>
        <w:rPr>
          <w:rFonts w:hint="eastAsia" w:ascii="宋体" w:hAnsi="宋体" w:cs="宋体"/>
          <w:color w:val="auto"/>
          <w:sz w:val="24"/>
          <w:highlight w:val="none"/>
          <w:lang w:eastAsia="zh-CN"/>
        </w:rPr>
        <w:t>1202003209900014176</w:t>
      </w:r>
      <w:r>
        <w:rPr>
          <w:rFonts w:hint="eastAsia" w:ascii="宋体" w:hAnsi="宋体" w:cs="宋体"/>
          <w:bCs/>
          <w:color w:val="auto"/>
          <w:sz w:val="24"/>
          <w:highlight w:val="none"/>
        </w:rPr>
        <w:t xml:space="preserve"> </w:t>
      </w:r>
      <w:r>
        <w:rPr>
          <w:rFonts w:hint="eastAsia" w:ascii="宋体" w:hAnsi="宋体" w:cs="宋体"/>
          <w:bCs/>
          <w:color w:val="auto"/>
          <w:sz w:val="24"/>
          <w:highlight w:val="none"/>
        </w:rPr>
        <w:tab/>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default" w:ascii="宋体" w:hAnsi="宋体" w:cs="宋体"/>
          <w:color w:val="auto"/>
          <w:sz w:val="24"/>
          <w:highlight w:val="none"/>
          <w:lang w:eastAsia="zh-CN"/>
        </w:rPr>
        <w:t>15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”在线递交。</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default" w:ascii="宋体" w:hAnsi="宋体" w:cs="宋体"/>
          <w:color w:val="auto"/>
          <w:sz w:val="24"/>
          <w:highlight w:val="none"/>
          <w:lang w:eastAsia="zh-CN"/>
        </w:rPr>
        <w:t>15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（北京时间）</w:t>
      </w:r>
    </w:p>
    <w:p>
      <w:pPr>
        <w:pStyle w:val="24"/>
        <w:spacing w:line="360" w:lineRule="auto"/>
        <w:rPr>
          <w:rFonts w:hint="eastAsia" w:ascii="宋体" w:hAnsi="宋体" w:cs="宋体"/>
          <w:b/>
          <w:bCs/>
          <w:color w:val="auto"/>
          <w:sz w:val="24"/>
          <w:highlight w:val="none"/>
        </w:rPr>
      </w:pPr>
      <w:r>
        <w:rPr>
          <w:rFonts w:hint="eastAsia" w:cs="宋体"/>
          <w:color w:val="auto"/>
          <w:highlight w:val="none"/>
        </w:rPr>
        <w:t>地点：</w:t>
      </w:r>
      <w:r>
        <w:rPr>
          <w:rFonts w:hint="eastAsia" w:ascii="宋体" w:hAnsi="宋体" w:cs="宋体"/>
          <w:bCs/>
          <w:color w:val="auto"/>
          <w:sz w:val="24"/>
          <w:highlight w:val="none"/>
          <w:lang w:eastAsia="zh-CN"/>
        </w:rPr>
        <w:t>杭州市教育局非依法招标（小额）项目平台</w:t>
      </w:r>
      <w:r>
        <w:rPr>
          <w:rFonts w:hint="eastAsia" w:cs="宋体"/>
          <w:color w:val="auto"/>
          <w:highlight w:val="none"/>
        </w:rPr>
        <w:t>；</w:t>
      </w:r>
    </w:p>
    <w:p>
      <w:pPr>
        <w:widowControl/>
        <w:spacing w:line="360" w:lineRule="auto"/>
        <w:jc w:val="left"/>
        <w:rPr>
          <w:rFonts w:ascii="宋体" w:hAnsi="宋体" w:cs="宋体"/>
          <w:b/>
          <w:bCs/>
          <w:strike w:val="0"/>
          <w:color w:val="auto"/>
          <w:sz w:val="24"/>
          <w:highlight w:val="none"/>
        </w:rPr>
      </w:pPr>
      <w:r>
        <w:rPr>
          <w:rFonts w:hint="eastAsia" w:ascii="宋体" w:hAnsi="宋体" w:cs="宋体"/>
          <w:b/>
          <w:bCs/>
          <w:strike w:val="0"/>
          <w:color w:val="auto"/>
          <w:sz w:val="24"/>
          <w:highlight w:val="none"/>
        </w:rPr>
        <w:t>六、公告期限</w:t>
      </w:r>
    </w:p>
    <w:p>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自本公告发布之日起3个工作日。</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2.其他事项：</w:t>
      </w:r>
      <w:r>
        <w:rPr>
          <w:rFonts w:hint="eastAsia" w:ascii="宋体" w:hAnsi="宋体" w:cs="宋体"/>
          <w:color w:val="auto"/>
          <w:sz w:val="24"/>
          <w:highlight w:val="none"/>
        </w:rPr>
        <w:br w:type="textWrapping"/>
      </w:r>
      <w:r>
        <w:rPr>
          <w:rFonts w:hint="eastAsia" w:ascii="宋体" w:hAnsi="宋体" w:cs="宋体"/>
          <w:color w:val="auto"/>
          <w:sz w:val="24"/>
          <w:highlight w:val="none"/>
        </w:rPr>
        <w:t>  （1）需要落实的政府采购政策：包括节约资源、保护环境、支持创新、促进中小企业发展等。详见招标文件的第二部分总则。</w:t>
      </w:r>
      <w:r>
        <w:rPr>
          <w:rFonts w:hint="eastAsia" w:ascii="宋体" w:hAnsi="宋体" w:cs="宋体"/>
          <w:color w:val="auto"/>
          <w:sz w:val="24"/>
          <w:highlight w:val="none"/>
        </w:rPr>
        <w:br w:type="textWrapping"/>
      </w:r>
      <w:r>
        <w:rPr>
          <w:rFonts w:hint="eastAsia" w:ascii="宋体" w:hAnsi="宋体" w:cs="宋体"/>
          <w:color w:val="auto"/>
          <w:sz w:val="24"/>
          <w:highlight w:val="none"/>
        </w:rPr>
        <w:t>  （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平台“服务中心-帮助文档-项目采购-操作流程-电子招投标-采购项目电子交易管理操作指南-供应商”。</w:t>
      </w:r>
      <w:r>
        <w:rPr>
          <w:rFonts w:hint="eastAsia" w:ascii="宋体" w:hAnsi="宋体" w:cs="宋体"/>
          <w:color w:val="auto"/>
          <w:sz w:val="24"/>
          <w:highlight w:val="none"/>
        </w:rPr>
        <w:br w:type="textWrapping"/>
      </w:r>
      <w:r>
        <w:rPr>
          <w:rFonts w:hint="eastAsia" w:ascii="宋体" w:hAnsi="宋体" w:cs="宋体"/>
          <w:color w:val="auto"/>
          <w:sz w:val="24"/>
          <w:highlight w:val="none"/>
        </w:rPr>
        <w:t>  （3）招标文件公告期限与招标公告的公告期限一致。</w:t>
      </w:r>
    </w:p>
    <w:p>
      <w:pPr>
        <w:widowControl/>
        <w:spacing w:line="360" w:lineRule="auto"/>
        <w:jc w:val="left"/>
        <w:rPr>
          <w:rFonts w:hint="eastAsia" w:ascii="宋体" w:hAnsi="宋体" w:cs="宋体"/>
          <w:b/>
          <w:bCs/>
          <w:color w:val="auto"/>
          <w:sz w:val="24"/>
          <w:highlight w:val="none"/>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、凡对本次招标提出询问、质疑、投诉，请按以下方式联系</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杭州市</w:t>
      </w:r>
      <w:r>
        <w:rPr>
          <w:rFonts w:hint="eastAsia" w:hAnsi="宋体" w:eastAsia="宋体"/>
          <w:bCs/>
          <w:color w:val="auto"/>
          <w:sz w:val="24"/>
          <w:highlight w:val="none"/>
          <w:lang w:eastAsia="zh-CN"/>
        </w:rPr>
        <w:t>钱塘区河庄街道浩瀚路1号</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施老师</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15356147025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 xml:space="preserve">老师 </w:t>
      </w:r>
    </w:p>
    <w:p>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质</w:t>
      </w:r>
      <w:r>
        <w:rPr>
          <w:rFonts w:hint="eastAsia" w:ascii="宋体" w:hAnsi="宋体" w:cs="宋体"/>
          <w:color w:val="auto"/>
          <w:sz w:val="24"/>
          <w:highlight w:val="none"/>
        </w:rPr>
        <w:t>疑联系方式：</w:t>
      </w:r>
      <w:r>
        <w:rPr>
          <w:rFonts w:hint="eastAsia" w:ascii="宋体" w:hAnsi="宋体" w:cs="宋体"/>
          <w:color w:val="auto"/>
          <w:sz w:val="24"/>
          <w:highlight w:val="none"/>
          <w:lang w:eastAsia="zh-CN"/>
        </w:rPr>
        <w:t>0571-85177553</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浙江五石中正工程咨询有限公司</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杭州市拱墅区白石巷318号北楼512室</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传真：</w:t>
      </w:r>
      <w:r>
        <w:rPr>
          <w:rFonts w:hint="eastAsia" w:ascii="宋体" w:hAnsi="宋体" w:cs="宋体"/>
          <w:color w:val="auto"/>
          <w:sz w:val="24"/>
          <w:highlight w:val="none"/>
          <w:lang w:eastAsia="zh-CN"/>
        </w:rPr>
        <w:t>0571-85061967</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黄超力、高琳</w:t>
      </w:r>
    </w:p>
    <w:p>
      <w:pPr>
        <w:keepNext w:val="0"/>
        <w:keepLines w:val="0"/>
        <w:pageBreakBefore w:val="0"/>
        <w:widowControl/>
        <w:kinsoku/>
        <w:wordWrap/>
        <w:overflowPunct/>
        <w:topLinePunct w:val="0"/>
        <w:autoSpaceDE/>
        <w:autoSpaceDN/>
        <w:bidi w:val="0"/>
        <w:adjustRightInd w:val="0"/>
        <w:snapToGrid w:val="0"/>
        <w:spacing w:before="0" w:after="0" w:line="360" w:lineRule="auto"/>
        <w:ind w:firstLine="566" w:firstLineChars="23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联系电话：0571-85334203、</w:t>
      </w:r>
      <w:r>
        <w:rPr>
          <w:rFonts w:hint="eastAsia" w:ascii="宋体" w:hAnsi="宋体" w:eastAsia="宋体" w:cs="宋体"/>
          <w:color w:val="auto"/>
          <w:sz w:val="24"/>
          <w:highlight w:val="none"/>
          <w:lang w:val="en-US" w:eastAsia="zh-CN"/>
        </w:rPr>
        <w:t>13396548073</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 xml:space="preserve">3.同级采购监督管理部门            </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杭州市钱塘区奕策路1号</w:t>
      </w:r>
      <w:r>
        <w:rPr>
          <w:rFonts w:hint="eastAsia" w:ascii="宋体" w:hAnsi="宋体" w:cs="宋体"/>
          <w:color w:val="auto"/>
          <w:sz w:val="24"/>
          <w:highlight w:val="none"/>
        </w:rPr>
        <w:t xml:space="preserve"> </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传真：/</w:t>
      </w:r>
    </w:p>
    <w:p>
      <w:pPr>
        <w:snapToGrid w:val="0"/>
        <w:spacing w:line="360" w:lineRule="auto"/>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张老师</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iCs w:val="0"/>
          <w:caps w:val="0"/>
          <w:snapToGrid/>
          <w:color w:val="auto"/>
          <w:spacing w:val="0"/>
          <w:kern w:val="2"/>
          <w:sz w:val="24"/>
          <w:szCs w:val="24"/>
          <w:highlight w:val="none"/>
          <w:shd w:val="clear" w:color="auto" w:fill="auto"/>
          <w:lang w:val="en-US" w:eastAsia="zh-CN" w:bidi="ar"/>
        </w:rPr>
        <w:t>0571-85179868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 获取热线服务帮助。</w:t>
      </w:r>
    </w:p>
    <w:p>
      <w:pPr>
        <w:snapToGrid w:val="0"/>
        <w:spacing w:line="360" w:lineRule="auto"/>
        <w:ind w:firstLine="480" w:firstLineChars="200"/>
        <w:rPr>
          <w:rFonts w:hint="default" w:ascii="宋体" w:hAnsi="宋体" w:eastAsia="宋体" w:cs="宋体"/>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val="en-US" w:eastAsia="zh-CN"/>
        </w:rPr>
        <w:t xml:space="preserve">  </w:t>
      </w:r>
    </w:p>
    <w:p>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p>
          <w:p>
            <w:pPr>
              <w:pStyle w:val="971"/>
              <w:numPr>
                <w:ilvl w:val="0"/>
                <w:numId w:val="1"/>
              </w:numPr>
              <w:snapToGrid w:val="0"/>
              <w:spacing w:line="360" w:lineRule="auto"/>
              <w:ind w:firstLine="0" w:firstLineChars="0"/>
              <w:jc w:val="left"/>
              <w:rPr>
                <w:rFonts w:ascii="宋体" w:hAnsi="宋体" w:cs="宋体"/>
                <w:color w:val="auto"/>
                <w:sz w:val="24"/>
                <w:highlight w:val="none"/>
                <w:shd w:val="clear"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rPr>
              <w:t>本项目为杭州高级中学钱塘学校教学楼连廊校史文化建设项目三期，为学校教学楼连廊校史建设一期与二期的延续，通过继续深化校史文化，将杭高百廿来的历史底蕴更好的展现给社会和广大师生，更好的鼓励和发展学生知校知史，爱国爱家爱校的情怀，提高学校校园文化建设。具体详见工程量清单、图纸等材料</w:t>
            </w:r>
            <w:r>
              <w:rPr>
                <w:rFonts w:hint="eastAsia" w:ascii="宋体" w:hAnsi="宋体" w:cs="宋体"/>
                <w:color w:val="auto"/>
                <w:sz w:val="24"/>
                <w:highlight w:val="none"/>
                <w:lang w:eastAsia="zh-CN"/>
              </w:rPr>
              <w:t>及</w:t>
            </w:r>
            <w:r>
              <w:rPr>
                <w:rFonts w:hint="eastAsia" w:ascii="宋体" w:hAnsi="宋体" w:cs="宋体"/>
                <w:color w:val="auto"/>
                <w:sz w:val="24"/>
                <w:highlight w:val="none"/>
              </w:rPr>
              <w:t>磋商文件。</w:t>
            </w:r>
          </w:p>
          <w:p>
            <w:pPr>
              <w:pStyle w:val="971"/>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u w:val="single"/>
                <w:lang w:eastAsia="zh-CN"/>
              </w:rPr>
              <w:t>920000</w:t>
            </w:r>
            <w:r>
              <w:rPr>
                <w:rFonts w:hint="eastAsia" w:ascii="宋体" w:hAnsi="宋体" w:cs="宋体"/>
                <w:color w:val="auto"/>
                <w:sz w:val="24"/>
                <w:highlight w:val="none"/>
              </w:rPr>
              <w:t>元；</w:t>
            </w:r>
          </w:p>
          <w:p>
            <w:pPr>
              <w:pStyle w:val="971"/>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920000</w:t>
            </w:r>
            <w:r>
              <w:rPr>
                <w:rFonts w:hint="eastAsia" w:ascii="宋体" w:hAnsi="宋体" w:cs="宋体"/>
                <w:color w:val="auto"/>
                <w:sz w:val="24"/>
                <w:highlight w:val="none"/>
                <w:u w:val="single"/>
                <w:lang w:val="en-US" w:eastAsia="zh-CN"/>
              </w:rPr>
              <w:t xml:space="preserve"> </w:t>
            </w:r>
            <w:r>
              <w:rPr>
                <w:rFonts w:ascii="宋体" w:hAnsi="宋体" w:eastAsia="宋体" w:cs="宋体"/>
                <w:color w:val="auto"/>
                <w:sz w:val="24"/>
                <w:szCs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920000</w:t>
            </w:r>
            <w:r>
              <w:rPr>
                <w:rFonts w:hint="eastAsia" w:ascii="宋体" w:hAnsi="宋体" w:cs="宋体"/>
                <w:color w:val="auto"/>
                <w:sz w:val="24"/>
                <w:highlight w:val="none"/>
              </w:rPr>
              <w:t>元，超过最高限价的磋商报价将作为无效响应。</w:t>
            </w:r>
          </w:p>
          <w:p>
            <w:pPr>
              <w:pStyle w:val="971"/>
              <w:numPr>
                <w:ilvl w:val="0"/>
                <w:numId w:val="1"/>
              </w:numPr>
              <w:snapToGrid w:val="0"/>
              <w:spacing w:line="360" w:lineRule="auto"/>
              <w:ind w:firstLine="0" w:firstLineChars="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工期：</w:t>
            </w:r>
            <w:r>
              <w:rPr>
                <w:rFonts w:hint="eastAsia" w:ascii="宋体" w:hAnsi="宋体" w:cs="宋体"/>
                <w:b w:val="0"/>
                <w:bCs w:val="0"/>
                <w:color w:val="auto"/>
                <w:sz w:val="24"/>
                <w:highlight w:val="none"/>
                <w:lang w:eastAsia="zh-CN"/>
              </w:rPr>
              <w:t>合同签订接采购人开工通知后</w:t>
            </w:r>
            <w:r>
              <w:rPr>
                <w:rFonts w:hint="eastAsia" w:ascii="宋体" w:hAnsi="宋体" w:cs="宋体"/>
                <w:b w:val="0"/>
                <w:bCs w:val="0"/>
                <w:color w:val="auto"/>
                <w:sz w:val="24"/>
                <w:highlight w:val="none"/>
                <w:lang w:val="en-US" w:eastAsia="zh-CN"/>
              </w:rPr>
              <w:t>45</w:t>
            </w:r>
            <w:r>
              <w:rPr>
                <w:rFonts w:hint="eastAsia" w:ascii="宋体" w:hAnsi="宋体" w:cs="宋体"/>
                <w:b w:val="0"/>
                <w:bCs w:val="0"/>
                <w:color w:val="auto"/>
                <w:sz w:val="24"/>
                <w:highlight w:val="none"/>
                <w:lang w:eastAsia="zh-CN"/>
              </w:rPr>
              <w:t>日历天内完成工程施工。</w:t>
            </w:r>
          </w:p>
          <w:p>
            <w:pPr>
              <w:pStyle w:val="971"/>
              <w:numPr>
                <w:ilvl w:val="0"/>
                <w:numId w:val="1"/>
              </w:numPr>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b w:val="0"/>
                <w:bCs w:val="0"/>
                <w:color w:val="auto"/>
                <w:sz w:val="24"/>
                <w:highlight w:val="none"/>
              </w:rPr>
              <w:t>质量标准：按国家施工验收规范验收合格。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pPr>
              <w:shd w:val="clear"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教学楼连廊校史文化建设项目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pPr>
              <w:snapToGrid w:val="0"/>
              <w:spacing w:line="360" w:lineRule="auto"/>
              <w:rPr>
                <w:rFonts w:ascii="宋体" w:hAnsi="宋体" w:cs="宋体"/>
                <w:color w:val="auto"/>
                <w:highlight w:val="none"/>
              </w:rPr>
            </w:pPr>
            <w:r>
              <w:rPr>
                <w:rFonts w:hint="eastAsia" w:ascii="宋体" w:hAnsi="宋体" w:cs="宋体"/>
                <w:snapToGrid w:val="0"/>
                <w:color w:val="auto"/>
                <w:kern w:val="0"/>
                <w:sz w:val="24"/>
                <w:highlight w:val="none"/>
              </w:rPr>
              <w:t>中小企业划分标准：</w:t>
            </w:r>
            <w:r>
              <w:rPr>
                <w:rFonts w:hint="eastAsia" w:ascii="宋体" w:hAnsi="宋体" w:cs="宋体"/>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pPr>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请潜在供应商自行前往踏勘现场，</w:t>
            </w:r>
            <w:r>
              <w:rPr>
                <w:rFonts w:hint="eastAsia" w:ascii="宋体" w:hAnsi="宋体" w:cs="宋体"/>
                <w:color w:val="auto"/>
                <w:sz w:val="24"/>
                <w:highlight w:val="none"/>
              </w:rPr>
              <w:t>以充分了解工地位置、情况、道路、储存空间、装卸限制及任何其他足以影响承包价的情况，任何因忽视或误解工地情况而导致的索赔或工期延长申请将不被批准。</w:t>
            </w:r>
          </w:p>
          <w:p>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踏勘联系人：</w:t>
            </w:r>
            <w:r>
              <w:rPr>
                <w:rFonts w:hint="eastAsia" w:ascii="宋体" w:hAnsi="宋体" w:cs="宋体"/>
                <w:bCs/>
                <w:color w:val="auto"/>
                <w:sz w:val="24"/>
                <w:highlight w:val="none"/>
                <w:u w:val="single"/>
                <w:lang w:val="en-US" w:eastAsia="zh-CN"/>
              </w:rPr>
              <w:t xml:space="preserve">施老师 </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联系方式：</w:t>
            </w:r>
            <w:r>
              <w:rPr>
                <w:rFonts w:hint="eastAsia" w:ascii="宋体" w:hAnsi="宋体" w:cs="宋体"/>
                <w:bCs/>
                <w:color w:val="auto"/>
                <w:sz w:val="24"/>
                <w:highlight w:val="none"/>
                <w:u w:val="single"/>
                <w:lang w:val="en-US" w:eastAsia="zh-CN"/>
              </w:rPr>
              <w:t xml:space="preserve"> 15356147025</w:t>
            </w:r>
            <w:r>
              <w:rPr>
                <w:rFonts w:hint="eastAsia" w:ascii="宋体" w:hAnsi="宋体" w:cs="宋体"/>
                <w:bCs/>
                <w:color w:val="auto"/>
                <w:sz w:val="24"/>
                <w:highlight w:val="none"/>
                <w:u w:val="single"/>
                <w:lang w:eastAsia="zh-CN"/>
              </w:rPr>
              <w:t>；</w:t>
            </w:r>
          </w:p>
          <w:p>
            <w:pPr>
              <w:spacing w:line="360" w:lineRule="auto"/>
              <w:rPr>
                <w:rFonts w:ascii="宋体" w:hAnsi="宋体" w:cs="宋体"/>
                <w:color w:val="auto"/>
                <w:sz w:val="24"/>
                <w:highlight w:val="none"/>
              </w:rPr>
            </w:pPr>
            <w:r>
              <w:rPr>
                <w:rFonts w:hint="eastAsia" w:ascii="宋体" w:hAnsi="宋体" w:cs="宋体"/>
                <w:bCs/>
                <w:color w:val="auto"/>
                <w:sz w:val="24"/>
                <w:highlight w:val="none"/>
              </w:rPr>
              <w:t>踏勘地址：</w:t>
            </w:r>
            <w:r>
              <w:rPr>
                <w:rFonts w:hint="eastAsia" w:ascii="宋体" w:hAnsi="宋体" w:cs="宋体"/>
                <w:bCs/>
                <w:color w:val="auto"/>
                <w:sz w:val="24"/>
                <w:highlight w:val="none"/>
                <w:u w:val="single"/>
                <w:lang w:val="en-US" w:eastAsia="zh-CN"/>
              </w:rPr>
              <w:t xml:space="preserve"> 杭州市钱塘区河庄街道浩瀚路1号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pPr>
              <w:shd w:val="clear" w:fill="FFFFFF" w:themeFill="background1"/>
              <w:spacing w:line="360" w:lineRule="auto"/>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p>
          <w:p>
            <w:pPr>
              <w:shd w:val="clear" w:fill="FFFFFF" w:themeFill="background1"/>
              <w:spacing w:line="360" w:lineRule="auto"/>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ind w:right="143" w:rightChars="68" w:firstLine="81" w:firstLineChars="34"/>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方式一：录屏演示：</w:t>
            </w:r>
            <w:r>
              <w:rPr>
                <w:rFonts w:ascii="宋体" w:hAnsi="宋体"/>
                <w:bCs/>
                <w:color w:val="auto"/>
                <w:sz w:val="24"/>
                <w:szCs w:val="24"/>
                <w:highlight w:val="none"/>
              </w:rPr>
              <w:t>若</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不到现场，提供演示录屏（视频格式为非常规格式提供</w:t>
            </w:r>
            <w:r>
              <w:rPr>
                <w:rFonts w:hint="eastAsia" w:ascii="宋体" w:hAnsi="宋体"/>
                <w:bCs/>
                <w:color w:val="auto"/>
                <w:sz w:val="24"/>
                <w:szCs w:val="24"/>
                <w:highlight w:val="none"/>
              </w:rPr>
              <w:t>视频</w:t>
            </w:r>
            <w:r>
              <w:rPr>
                <w:rFonts w:ascii="宋体" w:hAnsi="宋体"/>
                <w:bCs/>
                <w:color w:val="auto"/>
                <w:sz w:val="24"/>
                <w:szCs w:val="24"/>
                <w:highlight w:val="none"/>
              </w:rPr>
              <w:t>安装软件，以免无法播放），可与备份文件一起邮寄</w:t>
            </w:r>
            <w:r>
              <w:rPr>
                <w:rFonts w:hint="eastAsia" w:ascii="宋体" w:hAnsi="宋体"/>
                <w:bCs/>
                <w:color w:val="auto"/>
                <w:sz w:val="24"/>
                <w:szCs w:val="24"/>
                <w:highlight w:val="none"/>
              </w:rPr>
              <w:t>，需明确备注</w:t>
            </w:r>
            <w:r>
              <w:rPr>
                <w:rFonts w:ascii="宋体" w:hAnsi="宋体"/>
                <w:bCs/>
                <w:color w:val="auto"/>
                <w:sz w:val="24"/>
                <w:szCs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pPr>
              <w:spacing w:line="360" w:lineRule="auto"/>
              <w:ind w:firstLine="480" w:firstLineChars="200"/>
              <w:rPr>
                <w:rFonts w:ascii="宋体" w:hAnsi="宋体" w:cs="宋体"/>
                <w:color w:val="auto"/>
                <w:sz w:val="24"/>
                <w:highlight w:val="none"/>
              </w:rPr>
            </w:pPr>
            <w:r>
              <w:rPr>
                <w:rFonts w:hint="eastAsia" w:ascii="宋体" w:hAnsi="宋体"/>
                <w:snapToGrid w:val="0"/>
                <w:color w:val="auto"/>
                <w:kern w:val="28"/>
                <w:sz w:val="24"/>
                <w:highlight w:val="none"/>
              </w:rPr>
              <w:t>投标人中标后也可在“</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”平台申请政采贷：操作路径：登录</w:t>
            </w:r>
            <w:r>
              <w:rPr>
                <w:rFonts w:hint="eastAsia" w:ascii="宋体" w:hAnsi="宋体"/>
                <w:snapToGrid w:val="0"/>
                <w:color w:val="auto"/>
                <w:kern w:val="28"/>
                <w:sz w:val="24"/>
                <w:highlight w:val="none"/>
                <w:lang w:eastAsia="zh-CN"/>
              </w:rPr>
              <w:t>杭州市教育局非依法招标（小额）项目平台</w:t>
            </w:r>
            <w:r>
              <w:rPr>
                <w:rFonts w:hint="eastAsia" w:ascii="宋体" w:hAnsi="宋体"/>
                <w:snapToGrid w:val="0"/>
                <w:color w:val="auto"/>
                <w:kern w:val="28"/>
                <w:sz w:val="24"/>
                <w:highlight w:val="none"/>
              </w:rPr>
              <w:t xml:space="preserve">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lang w:eastAsia="zh-CN"/>
              </w:rPr>
              <w:t>杭州市拱墅区白石巷318号北楼512室</w:t>
            </w:r>
            <w:r>
              <w:rPr>
                <w:rFonts w:hint="eastAsia" w:hAnsi="宋体" w:cs="宋体"/>
                <w:color w:val="auto"/>
                <w:kern w:val="28"/>
                <w:sz w:val="24"/>
                <w:szCs w:val="24"/>
                <w:highlight w:val="none"/>
              </w:rPr>
              <w:t>；</w:t>
            </w:r>
          </w:p>
          <w:p>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黄超力</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13396548073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w:t>
            </w:r>
            <w:r>
              <w:rPr>
                <w:rFonts w:hint="eastAsia" w:ascii="宋体" w:hAnsi="宋体" w:cs="宋体"/>
                <w:color w:val="auto"/>
                <w:sz w:val="24"/>
                <w:highlight w:val="none"/>
                <w:lang w:eastAsia="zh-CN"/>
              </w:rPr>
              <w:t>杭州市拱墅区白石巷318号北楼512室</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黄超力</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13396548073</w:t>
            </w:r>
            <w:r>
              <w:rPr>
                <w:rFonts w:hint="eastAsia" w:ascii="宋体" w:hAnsi="宋体" w:cs="宋体"/>
                <w:color w:val="auto"/>
                <w:sz w:val="24"/>
                <w:highlight w:val="none"/>
              </w:rPr>
              <w:t>收）</w:t>
            </w:r>
          </w:p>
          <w:p>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采购代理服务费</w:t>
            </w:r>
          </w:p>
        </w:tc>
        <w:tc>
          <w:tcPr>
            <w:tcW w:w="7130" w:type="dxa"/>
            <w:vAlign w:val="center"/>
          </w:tcPr>
          <w:p>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本项目招标服务费收费标准</w:t>
            </w:r>
            <w:r>
              <w:rPr>
                <w:rFonts w:hint="eastAsia" w:ascii="宋体" w:hAnsi="宋体" w:cs="宋体"/>
                <w:b w:val="0"/>
                <w:bCs/>
                <w:color w:val="auto"/>
                <w:sz w:val="24"/>
                <w:highlight w:val="none"/>
                <w:lang w:eastAsia="zh-CN"/>
              </w:rPr>
              <w:t>：</w:t>
            </w:r>
          </w:p>
          <w:p>
            <w:pPr>
              <w:widowControl/>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招标代理费：按浙价服(2003)77号文规定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不足陆仟按陆仟元计取，</w:t>
            </w:r>
            <w:r>
              <w:rPr>
                <w:rFonts w:hint="eastAsia" w:ascii="宋体" w:hAnsi="宋体" w:cs="宋体"/>
                <w:b/>
                <w:bCs w:val="0"/>
                <w:color w:val="auto"/>
                <w:sz w:val="24"/>
                <w:highlight w:val="none"/>
              </w:rPr>
              <w:t>中标人在领取中标通知书后7个工作日内一次性缴纳。</w:t>
            </w:r>
          </w:p>
          <w:p>
            <w:pPr>
              <w:widowControl/>
              <w:shd w:val="clear" w:fill="FFFFFF" w:themeFill="background1"/>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工程造价咨询费：</w:t>
            </w: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无；</w:t>
            </w: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浙建价协〔2021〕13号文</w:t>
            </w:r>
            <w:r>
              <w:rPr>
                <w:rFonts w:hint="eastAsia" w:ascii="宋体" w:hAnsi="宋体" w:cs="宋体"/>
                <w:b/>
                <w:bCs w:val="0"/>
                <w:color w:val="auto"/>
                <w:sz w:val="24"/>
                <w:highlight w:val="none"/>
              </w:rPr>
              <w:t>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不足</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仟元按</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仟元计取</w:t>
            </w:r>
            <w:r>
              <w:rPr>
                <w:rFonts w:hint="eastAsia" w:ascii="宋体" w:hAnsi="宋体" w:cs="宋体"/>
                <w:b/>
                <w:bCs w:val="0"/>
                <w:color w:val="auto"/>
                <w:sz w:val="24"/>
                <w:highlight w:val="none"/>
                <w:lang w:eastAsia="zh-CN"/>
              </w:rPr>
              <w:t>，由采购人在项目招标完成后一次性支付</w:t>
            </w:r>
            <w:r>
              <w:rPr>
                <w:rFonts w:hint="eastAsia" w:ascii="宋体" w:hAnsi="宋体" w:cs="宋体"/>
                <w:b/>
                <w:bCs w:val="0"/>
                <w:color w:val="auto"/>
                <w:kern w:val="0"/>
                <w:sz w:val="24"/>
                <w:highlight w:val="none"/>
              </w:rPr>
              <w:t>。</w:t>
            </w:r>
          </w:p>
          <w:p>
            <w:pPr>
              <w:widowControl/>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收款信息</w:t>
            </w:r>
            <w:r>
              <w:rPr>
                <w:rFonts w:hint="eastAsia" w:ascii="宋体" w:hAnsi="宋体" w:cs="宋体"/>
                <w:b w:val="0"/>
                <w:bCs/>
                <w:color w:val="auto"/>
                <w:sz w:val="24"/>
                <w:highlight w:val="none"/>
              </w:rPr>
              <w:t>：</w:t>
            </w:r>
          </w:p>
          <w:p>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收款单位：</w:t>
            </w:r>
            <w:r>
              <w:rPr>
                <w:rFonts w:hint="eastAsia" w:ascii="宋体" w:hAnsi="宋体" w:cs="宋体"/>
                <w:b w:val="0"/>
                <w:bCs/>
                <w:color w:val="auto"/>
                <w:sz w:val="24"/>
                <w:highlight w:val="none"/>
                <w:lang w:eastAsia="zh-CN"/>
              </w:rPr>
              <w:t>浙江五石中正工程咨询有限公司</w:t>
            </w:r>
          </w:p>
          <w:p>
            <w:pPr>
              <w:snapToGrid w:val="0"/>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开户银行：</w:t>
            </w:r>
            <w:r>
              <w:rPr>
                <w:rFonts w:hint="eastAsia" w:ascii="宋体" w:hAnsi="宋体" w:cs="宋体"/>
                <w:b w:val="0"/>
                <w:bCs/>
                <w:color w:val="auto"/>
                <w:sz w:val="24"/>
                <w:highlight w:val="none"/>
                <w:lang w:eastAsia="zh-CN"/>
              </w:rPr>
              <w:t xml:space="preserve">中国工商银行杭州潮王路支行 </w:t>
            </w:r>
          </w:p>
          <w:p>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帐    号：</w:t>
            </w:r>
            <w:r>
              <w:rPr>
                <w:rFonts w:hint="eastAsia" w:ascii="宋体" w:hAnsi="宋体" w:cs="宋体"/>
                <w:b w:val="0"/>
                <w:bCs/>
                <w:color w:val="auto"/>
                <w:sz w:val="24"/>
                <w:highlight w:val="none"/>
                <w:lang w:eastAsia="zh-CN"/>
              </w:rPr>
              <w:t>1202003209900014176</w:t>
            </w:r>
          </w:p>
          <w:p>
            <w:pPr>
              <w:spacing w:line="360" w:lineRule="auto"/>
              <w:rPr>
                <w:rFonts w:ascii="宋体" w:hAnsi="宋体" w:cs="宋体"/>
                <w:b w:val="0"/>
                <w:bCs/>
                <w:snapToGrid w:val="0"/>
                <w:color w:val="auto"/>
                <w:kern w:val="28"/>
                <w:sz w:val="24"/>
                <w:highlight w:val="none"/>
              </w:rPr>
            </w:pPr>
            <w:r>
              <w:rPr>
                <w:rFonts w:hint="eastAsia" w:ascii="宋体" w:hAnsi="宋体" w:cs="宋体"/>
                <w:b w:val="0"/>
                <w:bCs/>
                <w:color w:val="auto"/>
                <w:sz w:val="24"/>
                <w:highlight w:val="none"/>
              </w:rPr>
              <w:t>注：打款时备注项目编号，项目名称等信息。</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rPr>
        <w:t>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工程项目，以及预留份额</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w:t>
      </w:r>
      <w:r>
        <w:rPr>
          <w:rFonts w:hint="eastAsia" w:ascii="宋体" w:hAnsi="宋体" w:cs="宋体"/>
          <w:color w:val="auto"/>
          <w:sz w:val="24"/>
          <w:highlight w:val="none"/>
          <w:lang w:eastAsia="zh-CN"/>
        </w:rPr>
        <w:t>采购</w:t>
      </w:r>
      <w:r>
        <w:rPr>
          <w:rFonts w:hint="eastAsia" w:ascii="宋体" w:hAnsi="宋体" w:cs="宋体"/>
          <w:color w:val="auto"/>
          <w:sz w:val="24"/>
          <w:highlight w:val="none"/>
        </w:rPr>
        <w:t>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活动时业绩分值为满分。</w:t>
      </w:r>
    </w:p>
    <w:p>
      <w:pPr>
        <w:pStyle w:val="3"/>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鼓励供应商在线提起询问，路径为：</w:t>
      </w:r>
      <w:r>
        <w:rPr>
          <w:rFonts w:hint="eastAsia"/>
          <w:color w:val="auto"/>
          <w:highlight w:val="none"/>
          <w:lang w:eastAsia="zh-CN"/>
        </w:rPr>
        <w:t>乐采云</w:t>
      </w:r>
      <w:r>
        <w:rPr>
          <w:rFonts w:hint="eastAsia"/>
          <w:color w:val="auto"/>
          <w:highlight w:val="none"/>
        </w:rPr>
        <w:t>-项目采购-询问质疑投诉-询问列表；鼓励供应商在线提起质疑，路径为：</w:t>
      </w:r>
      <w:r>
        <w:rPr>
          <w:rFonts w:hint="eastAsia"/>
          <w:color w:val="auto"/>
          <w:highlight w:val="none"/>
          <w:lang w:eastAsia="zh-CN"/>
        </w:rPr>
        <w:t>乐采云</w:t>
      </w:r>
      <w:r>
        <w:rPr>
          <w:rFonts w:hint="eastAsia"/>
          <w:color w:val="auto"/>
          <w:highlight w:val="none"/>
        </w:rPr>
        <w:t>-项目采购-询问质疑投诉-质疑列表。质疑供应商对在线质疑答复不满意的，可</w:t>
      </w:r>
      <w:r>
        <w:rPr>
          <w:rFonts w:hint="eastAsia"/>
          <w:color w:val="auto"/>
          <w:highlight w:val="none"/>
          <w:lang w:val="en-US" w:eastAsia="zh-CN"/>
        </w:rPr>
        <w:t>向</w:t>
      </w:r>
      <w:r>
        <w:rPr>
          <w:rFonts w:hint="eastAsia" w:ascii="宋体" w:hAnsi="宋体" w:cs="宋体"/>
          <w:color w:val="auto"/>
          <w:sz w:val="24"/>
          <w:highlight w:val="none"/>
        </w:rPr>
        <w:t>同级采购监督管理部门</w:t>
      </w:r>
      <w:r>
        <w:rPr>
          <w:rFonts w:hint="eastAsia"/>
          <w:color w:val="auto"/>
          <w:highlight w:val="none"/>
        </w:rPr>
        <w:t>提起投诉。</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adjustRightInd w:val="0"/>
        <w:snapToGrid w:val="0"/>
        <w:spacing w:before="0" w:beforeAutospacing="0" w:after="0" w:afterAutospacing="0" w:line="360" w:lineRule="auto"/>
        <w:ind w:firstLine="480" w:firstLineChars="200"/>
        <w:contextualSpacing/>
        <w:rPr>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w:t>
      </w:r>
      <w:r>
        <w:rPr>
          <w:rFonts w:hint="eastAsia"/>
          <w:color w:val="auto"/>
          <w:highlight w:val="none"/>
          <w:lang w:eastAsia="zh-CN"/>
        </w:rPr>
        <w:t>采购</w:t>
      </w:r>
      <w:r>
        <w:rPr>
          <w:rFonts w:hint="eastAsia"/>
          <w:color w:val="auto"/>
          <w:highlight w:val="none"/>
        </w:rPr>
        <w:t>当事人，但答复的内容不得涉及商业秘密。</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w:t>
      </w:r>
      <w:r>
        <w:rPr>
          <w:rFonts w:hint="eastAsia"/>
          <w:color w:val="auto"/>
          <w:highlight w:val="none"/>
          <w:lang w:eastAsia="zh-CN"/>
        </w:rPr>
        <w:t>采购</w:t>
      </w:r>
      <w:r>
        <w:rPr>
          <w:rFonts w:hint="eastAsia"/>
          <w:color w:val="auto"/>
          <w:highlight w:val="none"/>
        </w:rPr>
        <w:t>监督管理部门提出投诉。</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w:t>
      </w:r>
      <w:r>
        <w:rPr>
          <w:rFonts w:hint="eastAsia"/>
          <w:color w:val="auto"/>
          <w:highlight w:val="none"/>
          <w:lang w:eastAsia="zh-CN"/>
        </w:rPr>
        <w:t>采购</w:t>
      </w:r>
      <w:r>
        <w:rPr>
          <w:rFonts w:hint="eastAsia"/>
          <w:color w:val="auto"/>
          <w:highlight w:val="none"/>
        </w:rPr>
        <w:t>活动的，其投诉应当由组成联合体的所有供应商共同提出。</w:t>
      </w:r>
    </w:p>
    <w:p>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snapToGrid w:val="0"/>
        <w:spacing w:before="157" w:before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133"/>
        <w:snapToGrid w:val="0"/>
        <w:spacing w:before="0"/>
        <w:ind w:firstLine="480"/>
        <w:rPr>
          <w:rFonts w:hint="eastAsia" w:ascii="宋体" w:hAnsi="宋体" w:cs="宋体"/>
          <w:b/>
          <w:color w:val="auto"/>
          <w:sz w:val="32"/>
          <w:szCs w:val="20"/>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w:t>
      </w:r>
    </w:p>
    <w:p>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中小企业声明函（如果有）。</w:t>
      </w:r>
    </w:p>
    <w:p>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1"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spacing w:line="360" w:lineRule="auto"/>
        <w:ind w:firstLine="721" w:firstLineChars="300"/>
        <w:rPr>
          <w:rFonts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2"/>
        <w:snapToGrid w:val="0"/>
        <w:spacing w:line="360" w:lineRule="auto"/>
        <w:ind w:firstLine="478"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3"/>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4"/>
        <w:spacing w:line="360" w:lineRule="auto"/>
        <w:ind w:left="479" w:hanging="478" w:hangingChars="199"/>
        <w:rPr>
          <w:rFonts w:cs="宋体"/>
          <w:b/>
          <w:color w:val="auto"/>
          <w:highlight w:val="none"/>
        </w:rPr>
      </w:pPr>
      <w:r>
        <w:rPr>
          <w:rFonts w:hint="eastAsia" w:cs="宋体"/>
          <w:b/>
          <w:color w:val="auto"/>
          <w:highlight w:val="none"/>
        </w:rPr>
        <w:t>22. 确定成交供应商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效率，一般在收到评审报告当天确定中标或者成交供应商。中标、成交通知书和中标、成交结果公告应当在规定时间内同时发出。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4"/>
        <w:snapToGrid w:val="0"/>
        <w:spacing w:line="360" w:lineRule="auto"/>
        <w:ind w:left="479" w:hanging="478"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napToGrid w:val="0"/>
        <w:spacing w:line="360" w:lineRule="auto"/>
        <w:ind w:left="479" w:hanging="478"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成交通知书发出之日起10个工作日内，与成交供应商按照采购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25.3如签订合同并生效后，供应商无故拒绝或延期，除按照合同条款处理外，列入不良行为记录一次，并给予通报。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pPr>
        <w:pStyle w:val="13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活动。</w:t>
      </w:r>
    </w:p>
    <w:p>
      <w:pPr>
        <w:pStyle w:val="24"/>
        <w:snapToGrid w:val="0"/>
        <w:spacing w:line="360" w:lineRule="auto"/>
        <w:ind w:left="479" w:hanging="418" w:hangingChars="199"/>
        <w:rPr>
          <w:rFonts w:cs="宋体"/>
          <w:b/>
          <w:color w:val="auto"/>
          <w:sz w:val="21"/>
          <w:szCs w:val="21"/>
          <w:highlight w:val="none"/>
        </w:rPr>
      </w:pPr>
      <w:r>
        <w:rPr>
          <w:rFonts w:hint="eastAsia" w:cs="宋体"/>
          <w:b/>
          <w:color w:val="auto"/>
          <w:sz w:val="21"/>
          <w:szCs w:val="21"/>
          <w:highlight w:val="none"/>
        </w:rPr>
        <w:t>26. 履约保证金</w:t>
      </w:r>
    </w:p>
    <w:p>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1"/>
          <w:szCs w:val="21"/>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w:t>
      </w:r>
      <w:r>
        <w:rPr>
          <w:rFonts w:hint="eastAsia" w:ascii="宋体" w:hAnsi="宋体" w:cs="宋体"/>
          <w:color w:val="auto"/>
          <w:sz w:val="24"/>
          <w:highlight w:val="none"/>
        </w:rPr>
        <w:t>供应商提供保函的，采购单位不得拒收。项目验收结束后应及时退还，延迟退还的，应当按照合同约定和法律规定承担相应的赔偿责任。</w:t>
      </w:r>
    </w:p>
    <w:p>
      <w:pPr>
        <w:tabs>
          <w:tab w:val="left" w:pos="0"/>
        </w:tabs>
        <w:snapToGrid w:val="0"/>
        <w:spacing w:line="360" w:lineRule="auto"/>
        <w:ind w:firstLine="482"/>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cs="宋体"/>
          <w:b w:val="0"/>
          <w:bCs w:val="0"/>
          <w:snapToGrid w:val="0"/>
          <w:color w:val="auto"/>
          <w:kern w:val="28"/>
          <w:sz w:val="24"/>
          <w:highlight w:val="none"/>
          <w:lang w:eastAsia="zh-CN"/>
        </w:rPr>
        <w:t>乐采云平台</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w:t>
      </w:r>
      <w:r>
        <w:rPr>
          <w:rFonts w:hint="eastAsia" w:ascii="宋体" w:hAnsi="宋体"/>
          <w:color w:val="auto"/>
          <w:sz w:val="24"/>
          <w:highlight w:val="none"/>
          <w:lang w:eastAsia="zh-CN"/>
        </w:rPr>
        <w:t>采购</w:t>
      </w:r>
      <w:r>
        <w:rPr>
          <w:rFonts w:hint="eastAsia" w:ascii="宋体" w:hAnsi="宋体"/>
          <w:color w:val="auto"/>
          <w:sz w:val="24"/>
          <w:highlight w:val="none"/>
        </w:rPr>
        <w:t>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lang w:eastAsia="zh-CN"/>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lang w:eastAsia="zh-CN"/>
        </w:rPr>
        <w:t>采购</w:t>
      </w:r>
      <w:r>
        <w:rPr>
          <w:rFonts w:hint="eastAsia" w:ascii="宋体" w:hAnsi="宋体"/>
          <w:color w:val="auto"/>
          <w:sz w:val="24"/>
          <w:highlight w:val="none"/>
        </w:rPr>
        <w:t>工程以及与工程建设有关的货物、服务，采用招标方式采购的，预付款从其相关规定。供应商可登录</w:t>
      </w:r>
      <w:r>
        <w:rPr>
          <w:rFonts w:hint="eastAsia" w:ascii="宋体" w:hAnsi="宋体"/>
          <w:color w:val="auto"/>
          <w:sz w:val="24"/>
          <w:highlight w:val="none"/>
          <w:lang w:eastAsia="zh-CN"/>
        </w:rPr>
        <w:t>乐采云</w:t>
      </w:r>
      <w:r>
        <w:rPr>
          <w:rFonts w:hint="eastAsia" w:ascii="宋体" w:hAnsi="宋体"/>
          <w:color w:val="auto"/>
          <w:sz w:val="24"/>
          <w:highlight w:val="none"/>
        </w:rPr>
        <w:t>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pPr>
        <w:rPr>
          <w:color w:val="auto"/>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pPr>
        <w:pStyle w:val="24"/>
        <w:spacing w:line="360" w:lineRule="auto"/>
        <w:ind w:firstLine="0" w:firstLineChars="0"/>
        <w:rPr>
          <w:rFonts w:cs="宋体"/>
          <w:b/>
          <w:color w:val="auto"/>
          <w:highlight w:val="none"/>
        </w:rPr>
      </w:pPr>
      <w:bookmarkStart w:id="17" w:name="第四部分"/>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pStyle w:val="3"/>
        <w:rPr>
          <w:strike/>
          <w:color w:val="auto"/>
          <w:highlight w:val="none"/>
          <w:lang w:val="en-US"/>
        </w:rPr>
        <w:sectPr>
          <w:pgSz w:w="11906" w:h="16838"/>
          <w:pgMar w:top="1440" w:right="1080" w:bottom="1440" w:left="1080" w:header="851" w:footer="992" w:gutter="0"/>
          <w:cols w:space="720" w:num="1"/>
          <w:titlePg/>
          <w:docGrid w:linePitch="312" w:charSpace="0"/>
        </w:sectPr>
      </w:pPr>
    </w:p>
    <w:p>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一、工程概况</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本项目为杭州高级中学钱塘学校教学楼连廊校史文化建设项目三期，为学校教学楼连廊校史建设一期与二期的延续，通过继续深化校史文化，将杭高百廿来的历史底蕴更好的展现给社会和广大师生，更好的鼓励和发展学生知校知史，爱国爱家爱校的情怀，提高学校校园文化建设。具体详见工程量清单、图纸等材料。</w:t>
      </w:r>
    </w:p>
    <w:p>
      <w:pPr>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 xml:space="preserve">二、工程内容 </w:t>
      </w:r>
    </w:p>
    <w:p>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1.工程名称</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杭州高级中学钱塘学校教学楼连廊校史文化建设项目三期。</w:t>
      </w:r>
    </w:p>
    <w:p>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2.现场条件</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目前施工现场通水、通电工作均已完成，具备项目施工条件。</w:t>
      </w:r>
    </w:p>
    <w:p>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3.工程承包范围：</w:t>
      </w:r>
    </w:p>
    <w:p>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主要改造内容包含但不仅限于：</w:t>
      </w:r>
    </w:p>
    <w:p>
      <w:pPr>
        <w:pStyle w:val="24"/>
        <w:numPr>
          <w:ilvl w:val="0"/>
          <w:numId w:val="2"/>
        </w:numPr>
        <w:rPr>
          <w:rFonts w:hint="eastAsia"/>
          <w:color w:val="auto"/>
          <w:highlight w:val="none"/>
        </w:rPr>
      </w:pPr>
      <w:r>
        <w:rPr>
          <w:rFonts w:hint="eastAsia"/>
          <w:color w:val="auto"/>
          <w:highlight w:val="none"/>
        </w:rPr>
        <w:t>明远堂内部装饰、强电改造；</w:t>
      </w:r>
    </w:p>
    <w:p>
      <w:pPr>
        <w:pStyle w:val="24"/>
        <w:numPr>
          <w:ilvl w:val="0"/>
          <w:numId w:val="2"/>
        </w:numPr>
        <w:rPr>
          <w:rFonts w:hint="eastAsia"/>
          <w:color w:val="auto"/>
          <w:highlight w:val="none"/>
        </w:rPr>
      </w:pPr>
      <w:r>
        <w:rPr>
          <w:rFonts w:hint="eastAsia"/>
          <w:color w:val="auto"/>
          <w:highlight w:val="none"/>
        </w:rPr>
        <w:t>明远堂屋顶防水处理改造；</w:t>
      </w:r>
    </w:p>
    <w:p>
      <w:pPr>
        <w:pStyle w:val="24"/>
        <w:numPr>
          <w:ilvl w:val="0"/>
          <w:numId w:val="2"/>
        </w:numPr>
        <w:rPr>
          <w:rFonts w:hint="eastAsia"/>
          <w:color w:val="auto"/>
          <w:highlight w:val="none"/>
        </w:rPr>
      </w:pPr>
      <w:r>
        <w:rPr>
          <w:rFonts w:hint="eastAsia"/>
          <w:color w:val="auto"/>
          <w:highlight w:val="none"/>
        </w:rPr>
        <w:t>桃李园改造装饰、强电改造；</w:t>
      </w:r>
    </w:p>
    <w:p>
      <w:pPr>
        <w:pStyle w:val="24"/>
        <w:numPr>
          <w:ilvl w:val="0"/>
          <w:numId w:val="2"/>
        </w:numPr>
        <w:rPr>
          <w:rFonts w:hint="eastAsia" w:ascii="宋体" w:hAnsi="宋体" w:cs="宋体"/>
          <w:color w:val="auto"/>
          <w:sz w:val="24"/>
          <w:highlight w:val="none"/>
        </w:rPr>
      </w:pPr>
      <w:r>
        <w:rPr>
          <w:rFonts w:hint="eastAsia"/>
          <w:color w:val="auto"/>
          <w:highlight w:val="none"/>
        </w:rPr>
        <w:t>其他装饰改造相关内容；</w:t>
      </w:r>
    </w:p>
    <w:p>
      <w:pPr>
        <w:pStyle w:val="24"/>
        <w:numPr>
          <w:ilvl w:val="0"/>
          <w:numId w:val="0"/>
        </w:num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4.工程质量标准</w:t>
      </w:r>
    </w:p>
    <w:p>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pPr>
        <w:spacing w:line="360" w:lineRule="auto"/>
        <w:ind w:firstLine="420"/>
        <w:jc w:val="left"/>
        <w:rPr>
          <w:rFonts w:hint="eastAsia" w:ascii="宋体" w:hAnsi="宋体" w:cs="宋体"/>
          <w:color w:val="auto"/>
          <w:sz w:val="24"/>
          <w:highlight w:val="none"/>
        </w:rPr>
      </w:pPr>
      <w:r>
        <w:rPr>
          <w:rFonts w:hint="eastAsia" w:ascii="宋体" w:hAnsi="宋体"/>
          <w:color w:val="auto"/>
          <w:sz w:val="24"/>
          <w:highlight w:val="none"/>
        </w:rPr>
        <w:t>宿舍空气检测符合《民用建筑工程室内环境污染控制标准》GB50325-2020标准。</w:t>
      </w:r>
    </w:p>
    <w:p>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5.工程施工要求</w:t>
      </w:r>
    </w:p>
    <w:p>
      <w:pPr>
        <w:pStyle w:val="19"/>
        <w:numPr>
          <w:ilvl w:val="0"/>
          <w:numId w:val="3"/>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工程技术规范要求：</w:t>
      </w:r>
    </w:p>
    <w:p>
      <w:pPr>
        <w:pStyle w:val="19"/>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pPr>
        <w:pStyle w:val="19"/>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19"/>
        <w:numPr>
          <w:ilvl w:val="0"/>
          <w:numId w:val="3"/>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安全文明施工要求</w:t>
      </w:r>
    </w:p>
    <w:p>
      <w:pPr>
        <w:pStyle w:val="19"/>
        <w:numPr>
          <w:ilvl w:val="0"/>
          <w:numId w:val="4"/>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pPr>
        <w:pStyle w:val="19"/>
        <w:numPr>
          <w:ilvl w:val="0"/>
          <w:numId w:val="4"/>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pPr>
        <w:pStyle w:val="19"/>
        <w:numPr>
          <w:ilvl w:val="0"/>
          <w:numId w:val="4"/>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pPr>
        <w:pStyle w:val="19"/>
        <w:numPr>
          <w:ilvl w:val="0"/>
          <w:numId w:val="4"/>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pPr>
        <w:pStyle w:val="19"/>
        <w:numPr>
          <w:ilvl w:val="0"/>
          <w:numId w:val="3"/>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其它施工过程中需注意事项</w:t>
      </w:r>
    </w:p>
    <w:p>
      <w:pPr>
        <w:pStyle w:val="19"/>
        <w:numPr>
          <w:ilvl w:val="0"/>
          <w:numId w:val="5"/>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pPr>
        <w:pStyle w:val="19"/>
        <w:numPr>
          <w:ilvl w:val="0"/>
          <w:numId w:val="5"/>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废弃材料不得丢弃或随意堆放在校园内，清理产生的拆除费、搬运费、交通运输费等各项费用均由供应商自行考虑并计入响应总价且一次性包干</w:t>
      </w:r>
    </w:p>
    <w:p>
      <w:pPr>
        <w:pStyle w:val="19"/>
        <w:numPr>
          <w:ilvl w:val="0"/>
          <w:numId w:val="5"/>
        </w:num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pPr>
        <w:pStyle w:val="970"/>
        <w:spacing w:line="360" w:lineRule="auto"/>
        <w:ind w:left="21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6.工程管理要求</w:t>
      </w:r>
    </w:p>
    <w:p>
      <w:pPr>
        <w:pStyle w:val="19"/>
        <w:numPr>
          <w:ilvl w:val="0"/>
          <w:numId w:val="6"/>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工程管理原则：</w:t>
      </w:r>
    </w:p>
    <w:p>
      <w:pPr>
        <w:pStyle w:val="970"/>
        <w:tabs>
          <w:tab w:val="left" w:pos="420"/>
        </w:tabs>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pPr>
        <w:pStyle w:val="970"/>
        <w:tabs>
          <w:tab w:val="left" w:pos="420"/>
        </w:tabs>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pPr>
        <w:pStyle w:val="970"/>
        <w:tabs>
          <w:tab w:val="left" w:pos="420"/>
        </w:tabs>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③成交供应商须严格按照已确认的施工技术方案组织实施，并无条件接受采购人的项目管理部门的管理。</w:t>
      </w:r>
    </w:p>
    <w:p>
      <w:pPr>
        <w:pStyle w:val="970"/>
        <w:tabs>
          <w:tab w:val="left" w:pos="420"/>
        </w:tabs>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pStyle w:val="19"/>
        <w:numPr>
          <w:ilvl w:val="0"/>
          <w:numId w:val="6"/>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项目管理班子人员要求：</w:t>
      </w:r>
    </w:p>
    <w:p>
      <w:pPr>
        <w:pStyle w:val="970"/>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①项目经理：本项目拟派项目经理具有类似施工经验以及相关专业技术职称，在施工过程中，应确保到位率达到80%（含）以上；</w:t>
      </w:r>
    </w:p>
    <w:p>
      <w:pPr>
        <w:pStyle w:val="970"/>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②拟派技术负责人应具有类似工程施工经验以及相关专业技术职称；</w:t>
      </w:r>
    </w:p>
    <w:p>
      <w:pPr>
        <w:pStyle w:val="970"/>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pPr>
        <w:pStyle w:val="19"/>
        <w:numPr>
          <w:ilvl w:val="0"/>
          <w:numId w:val="6"/>
        </w:num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工程管理其他要求</w:t>
      </w:r>
    </w:p>
    <w:p>
      <w:pPr>
        <w:pStyle w:val="970"/>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pPr>
        <w:pStyle w:val="970"/>
        <w:spacing w:line="360" w:lineRule="auto"/>
        <w:ind w:firstLineChars="175"/>
        <w:jc w:val="left"/>
        <w:rPr>
          <w:rFonts w:hint="eastAsia" w:ascii="宋体" w:hAnsi="宋体" w:cs="宋体"/>
          <w:color w:val="auto"/>
          <w:sz w:val="24"/>
          <w:highlight w:val="none"/>
        </w:rPr>
      </w:pPr>
      <w:r>
        <w:rPr>
          <w:rFonts w:hint="eastAsia" w:ascii="宋体" w:hAnsi="宋体" w:cs="宋体"/>
          <w:color w:val="auto"/>
          <w:sz w:val="24"/>
          <w:highlight w:val="none"/>
        </w:rPr>
        <w:t>②施工现场严禁吸烟。</w:t>
      </w:r>
    </w:p>
    <w:p>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 xml:space="preserve">7.工程主要材料（设备）要求  </w:t>
      </w:r>
    </w:p>
    <w:p>
      <w:pPr>
        <w:pStyle w:val="970"/>
        <w:numPr>
          <w:ilvl w:val="0"/>
          <w:numId w:val="7"/>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pPr>
        <w:pStyle w:val="970"/>
        <w:numPr>
          <w:ilvl w:val="0"/>
          <w:numId w:val="7"/>
        </w:numPr>
        <w:snapToGrid w:val="0"/>
        <w:spacing w:line="360" w:lineRule="auto"/>
        <w:ind w:left="0" w:firstLine="420" w:firstLineChars="0"/>
        <w:jc w:val="left"/>
        <w:rPr>
          <w:rFonts w:hint="eastAsia"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70"/>
        <w:numPr>
          <w:ilvl w:val="0"/>
          <w:numId w:val="7"/>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70"/>
        <w:numPr>
          <w:ilvl w:val="0"/>
          <w:numId w:val="7"/>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pPr>
        <w:pStyle w:val="970"/>
        <w:numPr>
          <w:ilvl w:val="0"/>
          <w:numId w:val="7"/>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pPr>
        <w:snapToGrid w:val="0"/>
        <w:spacing w:line="360" w:lineRule="auto"/>
        <w:ind w:firstLine="480"/>
        <w:rPr>
          <w:rFonts w:ascii="宋体" w:hAnsi="宋体" w:cs="宋体"/>
          <w:b/>
          <w:bCs/>
          <w:color w:val="auto"/>
          <w:kern w:val="0"/>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本项目采用总价包干</w:t>
      </w:r>
      <w:r>
        <w:rPr>
          <w:rFonts w:hint="eastAsia" w:ascii="宋体" w:hAnsi="宋体" w:cs="宋体"/>
          <w:b/>
          <w:bCs/>
          <w:color w:val="auto"/>
          <w:sz w:val="24"/>
          <w:highlight w:val="none"/>
          <w:lang w:eastAsia="zh-CN"/>
        </w:rPr>
        <w:t>，为本项目</w:t>
      </w:r>
      <w:r>
        <w:rPr>
          <w:rFonts w:hint="eastAsia" w:ascii="宋体" w:hAnsi="宋体" w:cs="宋体"/>
          <w:b/>
          <w:bCs/>
          <w:color w:val="auto"/>
          <w:kern w:val="0"/>
          <w:sz w:val="24"/>
          <w:highlight w:val="none"/>
        </w:rPr>
        <w:t>产生的各项潜在费用支出均由供应商自行考虑并计入响应总价且一次性包干。</w:t>
      </w:r>
    </w:p>
    <w:p>
      <w:pPr>
        <w:widowControl/>
        <w:numPr>
          <w:ilvl w:val="0"/>
          <w:numId w:val="0"/>
        </w:numPr>
        <w:shd w:val="clear" w:color="auto" w:fill="FFFFFF"/>
        <w:snapToGrid w:val="0"/>
        <w:spacing w:line="360" w:lineRule="auto"/>
        <w:ind w:firstLine="631" w:firstLineChars="175"/>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18" w:name="_Toc184313303"/>
      <w:bookmarkEnd w:id="18"/>
      <w:bookmarkStart w:id="19" w:name="_Toc184310287"/>
      <w:bookmarkEnd w:id="19"/>
      <w:bookmarkStart w:id="20" w:name="_Toc184310319"/>
      <w:bookmarkEnd w:id="20"/>
      <w:bookmarkStart w:id="21" w:name="_Toc184314428"/>
      <w:bookmarkEnd w:id="21"/>
      <w:bookmarkStart w:id="22" w:name="_Toc184314443"/>
      <w:bookmarkEnd w:id="22"/>
      <w:bookmarkStart w:id="23" w:name="_Toc184312118"/>
      <w:bookmarkEnd w:id="23"/>
      <w:bookmarkStart w:id="24" w:name="_Toc184308041"/>
      <w:bookmarkEnd w:id="24"/>
      <w:bookmarkStart w:id="25" w:name="_Toc184308100"/>
      <w:bookmarkEnd w:id="25"/>
      <w:bookmarkStart w:id="26" w:name="_Toc184314431"/>
      <w:bookmarkEnd w:id="26"/>
      <w:bookmarkStart w:id="27" w:name="_Toc184313241"/>
      <w:bookmarkEnd w:id="27"/>
      <w:bookmarkStart w:id="28" w:name="_Toc184308106"/>
      <w:bookmarkEnd w:id="28"/>
      <w:bookmarkStart w:id="29" w:name="_Toc184310309"/>
      <w:bookmarkEnd w:id="29"/>
      <w:bookmarkStart w:id="30" w:name="_Toc184308085"/>
      <w:bookmarkEnd w:id="30"/>
      <w:bookmarkStart w:id="31" w:name="_Toc184308095"/>
      <w:bookmarkEnd w:id="31"/>
      <w:bookmarkStart w:id="32" w:name="_Toc184310340"/>
      <w:bookmarkEnd w:id="32"/>
      <w:bookmarkStart w:id="33" w:name="_Toc184314459"/>
      <w:bookmarkEnd w:id="33"/>
      <w:bookmarkStart w:id="34" w:name="_Toc184314438"/>
      <w:bookmarkEnd w:id="34"/>
      <w:bookmarkStart w:id="35" w:name="_Toc184308060"/>
      <w:bookmarkEnd w:id="35"/>
      <w:bookmarkStart w:id="36" w:name="_Toc184310288"/>
      <w:bookmarkEnd w:id="36"/>
      <w:bookmarkStart w:id="37" w:name="_Toc184314423"/>
      <w:bookmarkEnd w:id="37"/>
      <w:bookmarkStart w:id="38" w:name="_Toc184312106"/>
      <w:bookmarkEnd w:id="38"/>
      <w:bookmarkStart w:id="39" w:name="_Toc184314467"/>
      <w:bookmarkEnd w:id="39"/>
      <w:bookmarkStart w:id="40" w:name="_Toc184308047"/>
      <w:bookmarkEnd w:id="40"/>
      <w:bookmarkStart w:id="41" w:name="_Toc184308068"/>
      <w:bookmarkEnd w:id="41"/>
      <w:bookmarkStart w:id="42" w:name="_Toc184308082"/>
      <w:bookmarkEnd w:id="42"/>
      <w:bookmarkStart w:id="43" w:name="_Toc184312097"/>
      <w:bookmarkEnd w:id="43"/>
      <w:bookmarkStart w:id="44" w:name="_Toc184312099"/>
      <w:bookmarkEnd w:id="44"/>
      <w:bookmarkStart w:id="45" w:name="_Toc184312080"/>
      <w:bookmarkEnd w:id="45"/>
      <w:bookmarkStart w:id="46" w:name="_Toc184308078"/>
      <w:bookmarkEnd w:id="46"/>
      <w:bookmarkStart w:id="47" w:name="_Toc184312107"/>
      <w:bookmarkEnd w:id="47"/>
      <w:bookmarkStart w:id="48" w:name="_Toc184312082"/>
      <w:bookmarkEnd w:id="48"/>
      <w:bookmarkStart w:id="49" w:name="_Toc184308074"/>
      <w:bookmarkEnd w:id="49"/>
      <w:bookmarkStart w:id="50" w:name="_Toc184313270"/>
      <w:bookmarkEnd w:id="50"/>
      <w:bookmarkStart w:id="51" w:name="_Toc184308051"/>
      <w:bookmarkEnd w:id="51"/>
      <w:bookmarkStart w:id="52" w:name="_Toc184313288"/>
      <w:bookmarkEnd w:id="52"/>
      <w:bookmarkStart w:id="53" w:name="_Toc184310339"/>
      <w:bookmarkEnd w:id="53"/>
      <w:bookmarkStart w:id="54" w:name="_Toc184314463"/>
      <w:bookmarkEnd w:id="54"/>
      <w:bookmarkStart w:id="55" w:name="_Toc184313256"/>
      <w:bookmarkEnd w:id="55"/>
      <w:bookmarkStart w:id="56" w:name="_Toc184313296"/>
      <w:bookmarkEnd w:id="56"/>
      <w:bookmarkStart w:id="57" w:name="_Toc184313306"/>
      <w:bookmarkEnd w:id="57"/>
      <w:bookmarkStart w:id="58" w:name="_Toc184313238"/>
      <w:bookmarkEnd w:id="58"/>
      <w:bookmarkStart w:id="59" w:name="_Toc184314435"/>
      <w:bookmarkEnd w:id="59"/>
      <w:bookmarkStart w:id="60" w:name="_Toc184314440"/>
      <w:bookmarkEnd w:id="60"/>
      <w:bookmarkStart w:id="61" w:name="_Toc184313240"/>
      <w:bookmarkEnd w:id="61"/>
      <w:bookmarkStart w:id="62" w:name="_Toc184313261"/>
      <w:bookmarkEnd w:id="62"/>
      <w:bookmarkStart w:id="63" w:name="_Toc184310341"/>
      <w:bookmarkEnd w:id="63"/>
      <w:bookmarkStart w:id="64" w:name="_Toc184308046"/>
      <w:bookmarkEnd w:id="64"/>
      <w:bookmarkStart w:id="65" w:name="_Toc184310324"/>
      <w:bookmarkEnd w:id="65"/>
      <w:bookmarkStart w:id="66" w:name="_Toc184313289"/>
      <w:bookmarkEnd w:id="66"/>
      <w:bookmarkStart w:id="67" w:name="_Toc184313282"/>
      <w:bookmarkEnd w:id="67"/>
      <w:bookmarkStart w:id="68" w:name="_Toc184308091"/>
      <w:bookmarkEnd w:id="68"/>
      <w:bookmarkStart w:id="69" w:name="_Toc184314460"/>
      <w:bookmarkEnd w:id="69"/>
      <w:bookmarkStart w:id="70" w:name="_Toc184310282"/>
      <w:bookmarkEnd w:id="70"/>
      <w:bookmarkStart w:id="71" w:name="_Toc184314446"/>
      <w:bookmarkEnd w:id="71"/>
      <w:bookmarkStart w:id="72" w:name="_Toc184310283"/>
      <w:bookmarkEnd w:id="72"/>
      <w:bookmarkStart w:id="73" w:name="_Toc184310279"/>
      <w:bookmarkEnd w:id="73"/>
      <w:bookmarkStart w:id="74" w:name="_Toc184313308"/>
      <w:bookmarkEnd w:id="74"/>
      <w:bookmarkStart w:id="75" w:name="_Toc184314414"/>
      <w:bookmarkEnd w:id="75"/>
      <w:bookmarkStart w:id="76" w:name="_Toc184314464"/>
      <w:bookmarkEnd w:id="76"/>
      <w:bookmarkStart w:id="77" w:name="_Toc184314441"/>
      <w:bookmarkEnd w:id="77"/>
      <w:bookmarkStart w:id="78" w:name="_Toc184308071"/>
      <w:bookmarkEnd w:id="78"/>
      <w:bookmarkStart w:id="79" w:name="_Toc184308099"/>
      <w:bookmarkEnd w:id="79"/>
      <w:bookmarkStart w:id="80" w:name="_Toc184313271"/>
      <w:bookmarkEnd w:id="80"/>
      <w:bookmarkStart w:id="81" w:name="_Toc184313310"/>
      <w:bookmarkEnd w:id="81"/>
      <w:bookmarkStart w:id="82" w:name="_Toc184310277"/>
      <w:bookmarkEnd w:id="82"/>
      <w:bookmarkStart w:id="83" w:name="_Toc184313287"/>
      <w:bookmarkEnd w:id="83"/>
      <w:bookmarkStart w:id="84" w:name="_Toc184312109"/>
      <w:bookmarkEnd w:id="84"/>
      <w:bookmarkStart w:id="85" w:name="_Toc184314453"/>
      <w:bookmarkEnd w:id="85"/>
      <w:bookmarkStart w:id="86" w:name="_Toc184312136"/>
      <w:bookmarkEnd w:id="86"/>
      <w:bookmarkStart w:id="87" w:name="_Toc184310334"/>
      <w:bookmarkEnd w:id="87"/>
      <w:bookmarkStart w:id="88" w:name="_Toc184308038"/>
      <w:bookmarkEnd w:id="88"/>
      <w:bookmarkStart w:id="89" w:name="_Toc184308043"/>
      <w:bookmarkEnd w:id="89"/>
      <w:bookmarkStart w:id="90" w:name="_Toc184314475"/>
      <w:bookmarkEnd w:id="90"/>
      <w:bookmarkStart w:id="91" w:name="_Toc184312087"/>
      <w:bookmarkEnd w:id="91"/>
      <w:bookmarkStart w:id="92" w:name="_Toc184314442"/>
      <w:bookmarkEnd w:id="92"/>
      <w:bookmarkStart w:id="93" w:name="_Toc184313290"/>
      <w:bookmarkEnd w:id="93"/>
      <w:bookmarkStart w:id="94" w:name="_Toc184314478"/>
      <w:bookmarkEnd w:id="94"/>
      <w:bookmarkStart w:id="95" w:name="_Toc184310336"/>
      <w:bookmarkEnd w:id="95"/>
      <w:bookmarkStart w:id="96" w:name="_Toc184312130"/>
      <w:bookmarkEnd w:id="96"/>
      <w:bookmarkStart w:id="97" w:name="_Toc184313273"/>
      <w:bookmarkEnd w:id="97"/>
      <w:bookmarkStart w:id="98" w:name="_Toc184314449"/>
      <w:bookmarkEnd w:id="98"/>
      <w:bookmarkStart w:id="99" w:name="_Toc184312111"/>
      <w:bookmarkEnd w:id="99"/>
      <w:bookmarkStart w:id="100" w:name="_Toc184313266"/>
      <w:bookmarkEnd w:id="100"/>
      <w:bookmarkStart w:id="101" w:name="_Toc184313253"/>
      <w:bookmarkEnd w:id="101"/>
      <w:bookmarkStart w:id="102" w:name="_Toc184308108"/>
      <w:bookmarkEnd w:id="102"/>
      <w:bookmarkStart w:id="103" w:name="_Toc184313276"/>
      <w:bookmarkEnd w:id="103"/>
      <w:bookmarkStart w:id="104" w:name="_Toc184314465"/>
      <w:bookmarkEnd w:id="104"/>
      <w:bookmarkStart w:id="105" w:name="_Toc184308045"/>
      <w:bookmarkEnd w:id="105"/>
      <w:bookmarkStart w:id="106" w:name="_Toc184310300"/>
      <w:bookmarkEnd w:id="106"/>
      <w:bookmarkStart w:id="107" w:name="_Toc184313263"/>
      <w:bookmarkEnd w:id="107"/>
      <w:bookmarkStart w:id="108" w:name="_Toc184313277"/>
      <w:bookmarkEnd w:id="108"/>
      <w:bookmarkStart w:id="109" w:name="_Toc184310337"/>
      <w:bookmarkEnd w:id="109"/>
      <w:bookmarkStart w:id="110" w:name="_Toc184313283"/>
      <w:bookmarkEnd w:id="110"/>
      <w:bookmarkStart w:id="111" w:name="_Toc184314456"/>
      <w:bookmarkEnd w:id="111"/>
      <w:bookmarkStart w:id="112" w:name="_Toc184308061"/>
      <w:bookmarkEnd w:id="112"/>
      <w:bookmarkStart w:id="113" w:name="_Toc184312116"/>
      <w:bookmarkEnd w:id="113"/>
      <w:bookmarkStart w:id="114" w:name="_Toc184310301"/>
      <w:bookmarkEnd w:id="114"/>
      <w:bookmarkStart w:id="115" w:name="_Toc184313250"/>
      <w:bookmarkEnd w:id="115"/>
      <w:bookmarkStart w:id="116" w:name="_Toc184313291"/>
      <w:bookmarkEnd w:id="116"/>
      <w:bookmarkStart w:id="117" w:name="_Toc184314451"/>
      <w:bookmarkEnd w:id="117"/>
      <w:bookmarkStart w:id="118" w:name="_Toc184313275"/>
      <w:bookmarkEnd w:id="118"/>
      <w:bookmarkStart w:id="119" w:name="_Toc184314462"/>
      <w:bookmarkEnd w:id="119"/>
      <w:bookmarkStart w:id="120" w:name="_Toc184313265"/>
      <w:bookmarkEnd w:id="120"/>
      <w:bookmarkStart w:id="121" w:name="_Toc184308096"/>
      <w:bookmarkEnd w:id="121"/>
      <w:bookmarkStart w:id="122" w:name="_Toc184314411"/>
      <w:bookmarkEnd w:id="122"/>
      <w:bookmarkStart w:id="123" w:name="_Toc184313254"/>
      <w:bookmarkEnd w:id="123"/>
      <w:bookmarkStart w:id="124" w:name="_Toc184314472"/>
      <w:bookmarkEnd w:id="124"/>
      <w:bookmarkStart w:id="125" w:name="_Toc184313244"/>
      <w:bookmarkEnd w:id="125"/>
      <w:bookmarkStart w:id="126" w:name="_Toc184310314"/>
      <w:bookmarkEnd w:id="126"/>
      <w:bookmarkStart w:id="127" w:name="_Toc184310293"/>
      <w:bookmarkEnd w:id="127"/>
      <w:bookmarkStart w:id="128" w:name="_Toc184312102"/>
      <w:bookmarkEnd w:id="128"/>
      <w:bookmarkStart w:id="129" w:name="_Toc184310320"/>
      <w:bookmarkEnd w:id="129"/>
      <w:bookmarkStart w:id="130" w:name="_Toc184313262"/>
      <w:bookmarkEnd w:id="130"/>
      <w:bookmarkStart w:id="131" w:name="_Toc184312069"/>
      <w:bookmarkEnd w:id="131"/>
      <w:bookmarkStart w:id="132" w:name="_Toc184312115"/>
      <w:bookmarkEnd w:id="132"/>
      <w:bookmarkStart w:id="133" w:name="_Toc184313307"/>
      <w:bookmarkEnd w:id="133"/>
      <w:bookmarkStart w:id="134" w:name="_Toc184312089"/>
      <w:bookmarkEnd w:id="134"/>
      <w:bookmarkStart w:id="135" w:name="_Toc184313293"/>
      <w:bookmarkEnd w:id="135"/>
      <w:bookmarkStart w:id="136" w:name="_Toc184310284"/>
      <w:bookmarkEnd w:id="136"/>
      <w:bookmarkStart w:id="137" w:name="_Toc184313280"/>
      <w:bookmarkEnd w:id="137"/>
      <w:bookmarkStart w:id="138" w:name="_Toc184314433"/>
      <w:bookmarkEnd w:id="138"/>
      <w:bookmarkStart w:id="139" w:name="_Toc184314448"/>
      <w:bookmarkEnd w:id="139"/>
      <w:bookmarkStart w:id="140" w:name="_Toc184312123"/>
      <w:bookmarkEnd w:id="140"/>
      <w:bookmarkStart w:id="141" w:name="_Toc184312076"/>
      <w:bookmarkEnd w:id="141"/>
      <w:bookmarkStart w:id="142" w:name="_Toc184310321"/>
      <w:bookmarkEnd w:id="142"/>
      <w:bookmarkStart w:id="143" w:name="_Toc184314461"/>
      <w:bookmarkEnd w:id="143"/>
      <w:bookmarkStart w:id="144" w:name="_Toc184312133"/>
      <w:bookmarkEnd w:id="144"/>
      <w:bookmarkStart w:id="145" w:name="_Toc184313239"/>
      <w:bookmarkEnd w:id="145"/>
      <w:bookmarkStart w:id="146" w:name="_Toc184310305"/>
      <w:bookmarkEnd w:id="146"/>
      <w:bookmarkStart w:id="147" w:name="_Toc184310291"/>
      <w:bookmarkEnd w:id="147"/>
      <w:bookmarkStart w:id="148" w:name="_Toc184310290"/>
      <w:bookmarkEnd w:id="148"/>
      <w:bookmarkStart w:id="149" w:name="_Toc184308081"/>
      <w:bookmarkEnd w:id="149"/>
      <w:bookmarkStart w:id="150" w:name="_Toc184313309"/>
      <w:bookmarkEnd w:id="150"/>
      <w:bookmarkStart w:id="151" w:name="_Toc184314426"/>
      <w:bookmarkEnd w:id="151"/>
      <w:bookmarkStart w:id="152" w:name="_Toc184310328"/>
      <w:bookmarkEnd w:id="152"/>
      <w:bookmarkStart w:id="153" w:name="_Toc184313259"/>
      <w:bookmarkEnd w:id="153"/>
      <w:bookmarkStart w:id="154" w:name="_Toc184310315"/>
      <w:bookmarkEnd w:id="154"/>
      <w:bookmarkStart w:id="155" w:name="_Toc184308090"/>
      <w:bookmarkEnd w:id="155"/>
      <w:bookmarkStart w:id="156" w:name="_Toc184312092"/>
      <w:bookmarkEnd w:id="156"/>
      <w:bookmarkStart w:id="157" w:name="_Toc184308103"/>
      <w:bookmarkEnd w:id="157"/>
      <w:bookmarkStart w:id="158" w:name="_Toc184313298"/>
      <w:bookmarkEnd w:id="158"/>
      <w:bookmarkStart w:id="159" w:name="_Toc184312131"/>
      <w:bookmarkEnd w:id="159"/>
      <w:bookmarkStart w:id="160" w:name="_Toc184313278"/>
      <w:bookmarkEnd w:id="160"/>
      <w:bookmarkStart w:id="161" w:name="_Toc184314455"/>
      <w:bookmarkEnd w:id="161"/>
      <w:bookmarkStart w:id="162" w:name="_Toc184312137"/>
      <w:bookmarkEnd w:id="162"/>
      <w:bookmarkStart w:id="163" w:name="_Toc184312129"/>
      <w:bookmarkEnd w:id="163"/>
      <w:bookmarkStart w:id="164" w:name="_Toc184308107"/>
      <w:bookmarkEnd w:id="164"/>
      <w:bookmarkStart w:id="165" w:name="_Toc184312093"/>
      <w:bookmarkEnd w:id="165"/>
      <w:bookmarkStart w:id="166" w:name="_Toc184313285"/>
      <w:bookmarkEnd w:id="166"/>
      <w:bookmarkStart w:id="167" w:name="_Toc184314454"/>
      <w:bookmarkEnd w:id="167"/>
      <w:bookmarkStart w:id="168" w:name="_Toc184308077"/>
      <w:bookmarkEnd w:id="168"/>
      <w:bookmarkStart w:id="169" w:name="_Toc184308048"/>
      <w:bookmarkEnd w:id="169"/>
      <w:bookmarkStart w:id="170" w:name="_Toc184312067"/>
      <w:bookmarkEnd w:id="170"/>
      <w:bookmarkStart w:id="171" w:name="_Toc184308064"/>
      <w:bookmarkEnd w:id="171"/>
      <w:bookmarkStart w:id="172" w:name="_Toc184313300"/>
      <w:bookmarkEnd w:id="172"/>
      <w:bookmarkStart w:id="173" w:name="_Toc184308083"/>
      <w:bookmarkEnd w:id="173"/>
      <w:bookmarkStart w:id="174" w:name="_Toc184312126"/>
      <w:bookmarkEnd w:id="174"/>
      <w:bookmarkStart w:id="175" w:name="_Toc184310317"/>
      <w:bookmarkEnd w:id="175"/>
      <w:bookmarkStart w:id="176" w:name="_Toc184310276"/>
      <w:bookmarkEnd w:id="176"/>
      <w:bookmarkStart w:id="177" w:name="_Toc184308054"/>
      <w:bookmarkEnd w:id="177"/>
      <w:bookmarkStart w:id="178" w:name="_Toc184308044"/>
      <w:bookmarkEnd w:id="178"/>
      <w:bookmarkStart w:id="179" w:name="_Toc184308062"/>
      <w:bookmarkEnd w:id="179"/>
      <w:bookmarkStart w:id="180" w:name="_Toc184308056"/>
      <w:bookmarkEnd w:id="180"/>
      <w:bookmarkStart w:id="181" w:name="_Toc184314412"/>
      <w:bookmarkEnd w:id="181"/>
      <w:bookmarkStart w:id="182" w:name="_Toc184308059"/>
      <w:bookmarkEnd w:id="182"/>
      <w:bookmarkStart w:id="183" w:name="_Toc184310278"/>
      <w:bookmarkEnd w:id="183"/>
      <w:bookmarkStart w:id="184" w:name="_Toc184310306"/>
      <w:bookmarkEnd w:id="184"/>
      <w:bookmarkStart w:id="185" w:name="_Toc184308069"/>
      <w:bookmarkEnd w:id="185"/>
      <w:bookmarkStart w:id="186" w:name="_Toc184314480"/>
      <w:bookmarkEnd w:id="186"/>
      <w:bookmarkStart w:id="187" w:name="_Toc184312135"/>
      <w:bookmarkEnd w:id="187"/>
      <w:bookmarkStart w:id="188" w:name="_Toc184310322"/>
      <w:bookmarkEnd w:id="188"/>
      <w:bookmarkStart w:id="189" w:name="_Toc184312091"/>
      <w:bookmarkEnd w:id="189"/>
      <w:bookmarkStart w:id="190" w:name="_Toc184312125"/>
      <w:bookmarkEnd w:id="190"/>
      <w:bookmarkStart w:id="191" w:name="_Toc184308040"/>
      <w:bookmarkEnd w:id="191"/>
      <w:bookmarkStart w:id="192" w:name="_Toc184314447"/>
      <w:bookmarkEnd w:id="192"/>
      <w:bookmarkStart w:id="193" w:name="_Toc184308094"/>
      <w:bookmarkEnd w:id="193"/>
      <w:bookmarkStart w:id="194" w:name="_Toc184314430"/>
      <w:bookmarkEnd w:id="194"/>
      <w:bookmarkStart w:id="195" w:name="_Toc184313255"/>
      <w:bookmarkEnd w:id="195"/>
      <w:bookmarkStart w:id="196" w:name="_Toc184313264"/>
      <w:bookmarkEnd w:id="196"/>
      <w:bookmarkStart w:id="197" w:name="_Toc184310343"/>
      <w:bookmarkEnd w:id="197"/>
      <w:bookmarkStart w:id="198" w:name="_Toc184314474"/>
      <w:bookmarkEnd w:id="198"/>
      <w:bookmarkStart w:id="199" w:name="_Toc184312072"/>
      <w:bookmarkEnd w:id="199"/>
      <w:bookmarkStart w:id="200" w:name="_Toc184314468"/>
      <w:bookmarkEnd w:id="200"/>
      <w:bookmarkStart w:id="201" w:name="_Toc184313297"/>
      <w:bookmarkEnd w:id="201"/>
      <w:bookmarkStart w:id="202" w:name="_Toc184312105"/>
      <w:bookmarkEnd w:id="202"/>
      <w:bookmarkStart w:id="203" w:name="_Toc184308037"/>
      <w:bookmarkEnd w:id="203"/>
      <w:bookmarkStart w:id="204" w:name="_Toc184314458"/>
      <w:bookmarkEnd w:id="204"/>
      <w:bookmarkStart w:id="205" w:name="_Toc184310342"/>
      <w:bookmarkEnd w:id="205"/>
      <w:bookmarkStart w:id="206" w:name="_Toc184310338"/>
      <w:bookmarkEnd w:id="206"/>
      <w:bookmarkStart w:id="207" w:name="_Toc184313304"/>
      <w:bookmarkEnd w:id="207"/>
      <w:bookmarkStart w:id="208" w:name="_Toc184314471"/>
      <w:bookmarkEnd w:id="208"/>
      <w:bookmarkStart w:id="209" w:name="_Toc184313269"/>
      <w:bookmarkEnd w:id="209"/>
      <w:bookmarkStart w:id="210" w:name="_Toc184308036"/>
      <w:bookmarkEnd w:id="210"/>
      <w:bookmarkStart w:id="211" w:name="_Toc184310330"/>
      <w:bookmarkEnd w:id="211"/>
      <w:bookmarkStart w:id="212" w:name="_Toc184310310"/>
      <w:bookmarkEnd w:id="212"/>
      <w:bookmarkStart w:id="213" w:name="_Toc184308072"/>
      <w:bookmarkEnd w:id="213"/>
      <w:bookmarkStart w:id="214" w:name="_Toc184313292"/>
      <w:bookmarkEnd w:id="214"/>
      <w:bookmarkStart w:id="215" w:name="_Toc184310327"/>
      <w:bookmarkEnd w:id="215"/>
      <w:bookmarkStart w:id="216" w:name="_Toc184312074"/>
      <w:bookmarkEnd w:id="216"/>
      <w:bookmarkStart w:id="217" w:name="_Toc184310316"/>
      <w:bookmarkEnd w:id="217"/>
      <w:bookmarkStart w:id="218" w:name="_Toc184313246"/>
      <w:bookmarkEnd w:id="218"/>
      <w:bookmarkStart w:id="219" w:name="_Toc184310280"/>
      <w:bookmarkEnd w:id="219"/>
      <w:bookmarkStart w:id="220" w:name="_Toc184308075"/>
      <w:bookmarkEnd w:id="220"/>
      <w:bookmarkStart w:id="221" w:name="_Toc184308105"/>
      <w:bookmarkEnd w:id="221"/>
      <w:bookmarkStart w:id="222" w:name="_Toc184310312"/>
      <w:bookmarkEnd w:id="222"/>
      <w:bookmarkStart w:id="223" w:name="_Toc184312086"/>
      <w:bookmarkEnd w:id="223"/>
      <w:bookmarkStart w:id="224" w:name="_Toc184310331"/>
      <w:bookmarkEnd w:id="224"/>
      <w:bookmarkStart w:id="225" w:name="_Toc184308084"/>
      <w:bookmarkEnd w:id="225"/>
      <w:bookmarkStart w:id="226" w:name="_Toc184310307"/>
      <w:bookmarkEnd w:id="226"/>
      <w:bookmarkStart w:id="227" w:name="_Toc184312075"/>
      <w:bookmarkEnd w:id="227"/>
      <w:bookmarkStart w:id="228" w:name="_Toc184308057"/>
      <w:bookmarkEnd w:id="228"/>
      <w:bookmarkStart w:id="229" w:name="_Toc184310308"/>
      <w:bookmarkEnd w:id="229"/>
      <w:bookmarkStart w:id="230" w:name="_Toc184314424"/>
      <w:bookmarkEnd w:id="230"/>
      <w:bookmarkStart w:id="231" w:name="_Toc184312122"/>
      <w:bookmarkEnd w:id="231"/>
      <w:bookmarkStart w:id="232" w:name="_Toc184310294"/>
      <w:bookmarkEnd w:id="232"/>
      <w:bookmarkStart w:id="233" w:name="_Toc184310304"/>
      <w:bookmarkEnd w:id="233"/>
      <w:bookmarkStart w:id="234" w:name="_Toc184314416"/>
      <w:bookmarkEnd w:id="234"/>
      <w:bookmarkStart w:id="235" w:name="_Toc184312090"/>
      <w:bookmarkEnd w:id="235"/>
      <w:bookmarkStart w:id="236" w:name="_Toc184314425"/>
      <w:bookmarkEnd w:id="236"/>
      <w:bookmarkStart w:id="237" w:name="_Toc184313294"/>
      <w:bookmarkEnd w:id="237"/>
      <w:bookmarkStart w:id="238" w:name="_Toc184308076"/>
      <w:bookmarkEnd w:id="238"/>
      <w:bookmarkStart w:id="239" w:name="_Toc184313242"/>
      <w:bookmarkEnd w:id="239"/>
      <w:bookmarkStart w:id="240" w:name="_Toc184314466"/>
      <w:bookmarkEnd w:id="240"/>
      <w:bookmarkStart w:id="241" w:name="_Toc184310326"/>
      <w:bookmarkEnd w:id="241"/>
      <w:bookmarkStart w:id="242" w:name="_Toc184310281"/>
      <w:bookmarkEnd w:id="242"/>
      <w:bookmarkStart w:id="243" w:name="_Toc184314417"/>
      <w:bookmarkEnd w:id="243"/>
      <w:bookmarkStart w:id="244" w:name="_Toc184310302"/>
      <w:bookmarkEnd w:id="244"/>
      <w:bookmarkStart w:id="245" w:name="_Toc184312121"/>
      <w:bookmarkEnd w:id="245"/>
      <w:bookmarkStart w:id="246" w:name="_Toc184312070"/>
      <w:bookmarkEnd w:id="246"/>
      <w:bookmarkStart w:id="247" w:name="_Toc184310272"/>
      <w:bookmarkEnd w:id="247"/>
      <w:bookmarkStart w:id="248" w:name="_Toc184313305"/>
      <w:bookmarkEnd w:id="248"/>
      <w:bookmarkStart w:id="249" w:name="_Toc184308053"/>
      <w:bookmarkEnd w:id="249"/>
      <w:bookmarkStart w:id="250" w:name="_Toc184312110"/>
      <w:bookmarkEnd w:id="250"/>
      <w:bookmarkStart w:id="251" w:name="_Toc184308049"/>
      <w:bookmarkEnd w:id="251"/>
      <w:bookmarkStart w:id="252" w:name="_Toc184312073"/>
      <w:bookmarkEnd w:id="252"/>
      <w:bookmarkStart w:id="253" w:name="_Toc184312071"/>
      <w:bookmarkEnd w:id="253"/>
      <w:bookmarkStart w:id="254" w:name="_Toc184314418"/>
      <w:bookmarkEnd w:id="254"/>
      <w:bookmarkStart w:id="255" w:name="_Toc184310318"/>
      <w:bookmarkEnd w:id="255"/>
      <w:bookmarkStart w:id="256" w:name="_Toc184312138"/>
      <w:bookmarkEnd w:id="256"/>
      <w:bookmarkStart w:id="257" w:name="_Toc184314457"/>
      <w:bookmarkEnd w:id="257"/>
      <w:bookmarkStart w:id="258" w:name="_Toc184312104"/>
      <w:bookmarkEnd w:id="258"/>
      <w:bookmarkStart w:id="259" w:name="_Toc184308073"/>
      <w:bookmarkEnd w:id="259"/>
      <w:bookmarkStart w:id="260" w:name="_Toc184313302"/>
      <w:bookmarkEnd w:id="260"/>
      <w:bookmarkStart w:id="261" w:name="_Toc184312095"/>
      <w:bookmarkEnd w:id="261"/>
      <w:bookmarkStart w:id="262" w:name="_Toc184312081"/>
      <w:bookmarkEnd w:id="262"/>
      <w:bookmarkStart w:id="263" w:name="_Toc184312083"/>
      <w:bookmarkEnd w:id="263"/>
      <w:bookmarkStart w:id="264" w:name="_Toc184308089"/>
      <w:bookmarkEnd w:id="264"/>
      <w:bookmarkStart w:id="265" w:name="_Toc184313295"/>
      <w:bookmarkEnd w:id="265"/>
      <w:bookmarkStart w:id="266" w:name="_Toc184312079"/>
      <w:bookmarkEnd w:id="266"/>
      <w:bookmarkStart w:id="267" w:name="_Toc184312128"/>
      <w:bookmarkEnd w:id="267"/>
      <w:bookmarkStart w:id="268" w:name="_Toc184312127"/>
      <w:bookmarkEnd w:id="268"/>
      <w:bookmarkStart w:id="269" w:name="_Toc184308050"/>
      <w:bookmarkEnd w:id="269"/>
      <w:bookmarkStart w:id="270" w:name="_Toc184314469"/>
      <w:bookmarkEnd w:id="270"/>
      <w:bookmarkStart w:id="271" w:name="_Toc184314420"/>
      <w:bookmarkEnd w:id="271"/>
      <w:bookmarkStart w:id="272" w:name="_Toc184314450"/>
      <w:bookmarkEnd w:id="272"/>
      <w:bookmarkStart w:id="273" w:name="_Toc184308087"/>
      <w:bookmarkEnd w:id="273"/>
      <w:bookmarkStart w:id="274" w:name="_Toc184308067"/>
      <w:bookmarkEnd w:id="274"/>
      <w:bookmarkStart w:id="275" w:name="_Toc184312124"/>
      <w:bookmarkEnd w:id="275"/>
      <w:bookmarkStart w:id="276" w:name="_Toc184310311"/>
      <w:bookmarkEnd w:id="276"/>
      <w:bookmarkStart w:id="277" w:name="_Toc184313284"/>
      <w:bookmarkEnd w:id="277"/>
      <w:bookmarkStart w:id="278" w:name="_Toc184312100"/>
      <w:bookmarkEnd w:id="278"/>
      <w:bookmarkStart w:id="279" w:name="_Toc184310296"/>
      <w:bookmarkEnd w:id="279"/>
      <w:bookmarkStart w:id="280" w:name="_Toc184312112"/>
      <w:bookmarkEnd w:id="280"/>
      <w:bookmarkStart w:id="281" w:name="_Toc184313247"/>
      <w:bookmarkEnd w:id="281"/>
      <w:bookmarkStart w:id="282" w:name="_Toc184313248"/>
      <w:bookmarkEnd w:id="282"/>
      <w:bookmarkStart w:id="283" w:name="_Toc184312068"/>
      <w:bookmarkEnd w:id="283"/>
      <w:bookmarkStart w:id="284" w:name="_Toc184313272"/>
      <w:bookmarkEnd w:id="284"/>
      <w:bookmarkStart w:id="285" w:name="_Toc184314422"/>
      <w:bookmarkEnd w:id="285"/>
      <w:bookmarkStart w:id="286" w:name="_Toc184310275"/>
      <w:bookmarkEnd w:id="286"/>
      <w:bookmarkStart w:id="287" w:name="_Toc184310303"/>
      <w:bookmarkEnd w:id="287"/>
      <w:bookmarkStart w:id="288" w:name="_Toc184310274"/>
      <w:bookmarkEnd w:id="288"/>
      <w:bookmarkStart w:id="289" w:name="_Toc184312117"/>
      <w:bookmarkEnd w:id="289"/>
      <w:bookmarkStart w:id="290" w:name="_Toc184308052"/>
      <w:bookmarkEnd w:id="290"/>
      <w:bookmarkStart w:id="291" w:name="_Toc184310299"/>
      <w:bookmarkEnd w:id="291"/>
      <w:bookmarkStart w:id="292" w:name="_Toc184312113"/>
      <w:bookmarkEnd w:id="292"/>
      <w:bookmarkStart w:id="293" w:name="_Toc184308092"/>
      <w:bookmarkEnd w:id="293"/>
      <w:bookmarkStart w:id="294" w:name="_Toc184310323"/>
      <w:bookmarkEnd w:id="294"/>
      <w:bookmarkStart w:id="295" w:name="_Toc184312098"/>
      <w:bookmarkEnd w:id="295"/>
      <w:bookmarkStart w:id="296" w:name="_Toc184310333"/>
      <w:bookmarkEnd w:id="296"/>
      <w:bookmarkStart w:id="297" w:name="_Toc184314477"/>
      <w:bookmarkEnd w:id="297"/>
      <w:bookmarkStart w:id="298" w:name="_Toc184308066"/>
      <w:bookmarkEnd w:id="298"/>
      <w:bookmarkStart w:id="299" w:name="_Toc184310297"/>
      <w:bookmarkEnd w:id="299"/>
      <w:bookmarkStart w:id="300" w:name="_Toc184308070"/>
      <w:bookmarkEnd w:id="300"/>
      <w:bookmarkStart w:id="301" w:name="_Toc184312120"/>
      <w:bookmarkEnd w:id="301"/>
      <w:bookmarkStart w:id="302" w:name="_Toc184310289"/>
      <w:bookmarkEnd w:id="302"/>
      <w:bookmarkStart w:id="303" w:name="_Toc184308098"/>
      <w:bookmarkEnd w:id="303"/>
      <w:bookmarkStart w:id="304" w:name="_Toc184310295"/>
      <w:bookmarkEnd w:id="304"/>
      <w:bookmarkStart w:id="305" w:name="_Toc184314427"/>
      <w:bookmarkEnd w:id="305"/>
      <w:bookmarkStart w:id="306" w:name="_Toc184314437"/>
      <w:bookmarkEnd w:id="306"/>
      <w:bookmarkStart w:id="307" w:name="_Toc184308065"/>
      <w:bookmarkEnd w:id="307"/>
      <w:bookmarkStart w:id="308" w:name="_Toc184310273"/>
      <w:bookmarkEnd w:id="308"/>
      <w:bookmarkStart w:id="309" w:name="_Toc184310332"/>
      <w:bookmarkEnd w:id="309"/>
      <w:bookmarkStart w:id="310" w:name="_Toc184314436"/>
      <w:bookmarkEnd w:id="310"/>
      <w:bookmarkStart w:id="311" w:name="_Toc184310329"/>
      <w:bookmarkEnd w:id="311"/>
      <w:bookmarkStart w:id="312" w:name="_Toc184312139"/>
      <w:bookmarkEnd w:id="312"/>
      <w:bookmarkStart w:id="313" w:name="_Toc184314429"/>
      <w:bookmarkEnd w:id="313"/>
      <w:bookmarkStart w:id="314" w:name="_Toc184313258"/>
      <w:bookmarkEnd w:id="314"/>
      <w:bookmarkStart w:id="315" w:name="_Toc184314452"/>
      <w:bookmarkEnd w:id="315"/>
      <w:bookmarkStart w:id="316" w:name="_Toc184314473"/>
      <w:bookmarkEnd w:id="316"/>
      <w:bookmarkStart w:id="317" w:name="_Toc184310325"/>
      <w:bookmarkEnd w:id="317"/>
      <w:bookmarkStart w:id="318" w:name="_Toc184313299"/>
      <w:bookmarkEnd w:id="318"/>
      <w:bookmarkStart w:id="319" w:name="_Toc184312088"/>
      <w:bookmarkEnd w:id="319"/>
      <w:bookmarkStart w:id="320" w:name="_Toc184308097"/>
      <w:bookmarkEnd w:id="320"/>
      <w:bookmarkStart w:id="321" w:name="_Toc184310313"/>
      <w:bookmarkEnd w:id="321"/>
      <w:bookmarkStart w:id="322" w:name="_Toc184308039"/>
      <w:bookmarkEnd w:id="322"/>
      <w:bookmarkStart w:id="323" w:name="_Toc184308058"/>
      <w:bookmarkEnd w:id="323"/>
      <w:bookmarkStart w:id="324" w:name="_Toc184310298"/>
      <w:bookmarkEnd w:id="324"/>
      <w:bookmarkStart w:id="325" w:name="_Toc184313279"/>
      <w:bookmarkEnd w:id="325"/>
      <w:bookmarkStart w:id="326" w:name="_Toc184312103"/>
      <w:bookmarkEnd w:id="326"/>
      <w:bookmarkStart w:id="327" w:name="_Toc184308042"/>
      <w:bookmarkEnd w:id="327"/>
      <w:bookmarkStart w:id="328" w:name="_Toc184313268"/>
      <w:bookmarkEnd w:id="328"/>
      <w:bookmarkStart w:id="329" w:name="_Toc184310335"/>
      <w:bookmarkEnd w:id="329"/>
      <w:bookmarkStart w:id="330" w:name="_Toc184310285"/>
      <w:bookmarkEnd w:id="330"/>
      <w:bookmarkStart w:id="331" w:name="_Toc184313257"/>
      <w:bookmarkEnd w:id="331"/>
      <w:bookmarkStart w:id="332" w:name="_Toc184312108"/>
      <w:bookmarkEnd w:id="332"/>
      <w:bookmarkStart w:id="333" w:name="_Toc184312101"/>
      <w:bookmarkEnd w:id="333"/>
      <w:bookmarkStart w:id="334" w:name="_Toc184312077"/>
      <w:bookmarkEnd w:id="334"/>
      <w:bookmarkStart w:id="335" w:name="_Toc184312085"/>
      <w:bookmarkEnd w:id="335"/>
      <w:bookmarkStart w:id="336" w:name="_Toc184310292"/>
      <w:bookmarkEnd w:id="336"/>
      <w:bookmarkStart w:id="337" w:name="_Toc184308102"/>
      <w:bookmarkEnd w:id="337"/>
      <w:bookmarkStart w:id="338" w:name="_Toc184312114"/>
      <w:bookmarkEnd w:id="338"/>
      <w:bookmarkStart w:id="339" w:name="_Toc184310344"/>
      <w:bookmarkEnd w:id="339"/>
      <w:bookmarkStart w:id="340" w:name="_Toc184314481"/>
      <w:bookmarkEnd w:id="340"/>
      <w:bookmarkStart w:id="341" w:name="_Toc184312078"/>
      <w:bookmarkEnd w:id="341"/>
      <w:bookmarkStart w:id="342" w:name="_Toc184313267"/>
      <w:bookmarkEnd w:id="342"/>
      <w:bookmarkStart w:id="343" w:name="_Toc184314482"/>
      <w:bookmarkEnd w:id="343"/>
      <w:bookmarkStart w:id="344" w:name="_Toc184308063"/>
      <w:bookmarkEnd w:id="344"/>
      <w:bookmarkStart w:id="345" w:name="_Toc184313281"/>
      <w:bookmarkEnd w:id="345"/>
      <w:bookmarkStart w:id="346" w:name="_Toc184313249"/>
      <w:bookmarkEnd w:id="346"/>
      <w:bookmarkStart w:id="347" w:name="_Toc184314413"/>
      <w:bookmarkEnd w:id="347"/>
      <w:bookmarkStart w:id="348" w:name="_Toc184312134"/>
      <w:bookmarkEnd w:id="348"/>
      <w:bookmarkStart w:id="349" w:name="_Toc184314445"/>
      <w:bookmarkEnd w:id="349"/>
      <w:bookmarkStart w:id="350" w:name="_Toc184314476"/>
      <w:bookmarkEnd w:id="350"/>
      <w:bookmarkStart w:id="351" w:name="_Toc184314470"/>
      <w:bookmarkEnd w:id="351"/>
      <w:bookmarkStart w:id="352" w:name="_Toc184313301"/>
      <w:bookmarkEnd w:id="352"/>
      <w:bookmarkStart w:id="353" w:name="_Toc184308101"/>
      <w:bookmarkEnd w:id="353"/>
      <w:bookmarkStart w:id="354" w:name="_Toc184313243"/>
      <w:bookmarkEnd w:id="354"/>
      <w:bookmarkStart w:id="355" w:name="_Toc184308104"/>
      <w:bookmarkEnd w:id="355"/>
      <w:bookmarkStart w:id="356" w:name="_Toc184314439"/>
      <w:bookmarkEnd w:id="356"/>
      <w:bookmarkStart w:id="357" w:name="_Toc184314415"/>
      <w:bookmarkEnd w:id="357"/>
      <w:bookmarkStart w:id="358" w:name="_Toc184313274"/>
      <w:bookmarkEnd w:id="358"/>
      <w:bookmarkStart w:id="359" w:name="_Toc184312084"/>
      <w:bookmarkEnd w:id="359"/>
      <w:bookmarkStart w:id="360" w:name="_Toc184312096"/>
      <w:bookmarkEnd w:id="360"/>
      <w:bookmarkStart w:id="361" w:name="_Toc184314432"/>
      <w:bookmarkEnd w:id="361"/>
      <w:bookmarkStart w:id="362" w:name="_Toc184308080"/>
      <w:bookmarkEnd w:id="362"/>
      <w:bookmarkStart w:id="363" w:name="_Toc184308088"/>
      <w:bookmarkEnd w:id="363"/>
      <w:bookmarkStart w:id="364" w:name="_Toc184314479"/>
      <w:bookmarkEnd w:id="364"/>
      <w:bookmarkStart w:id="365" w:name="_Toc184313252"/>
      <w:bookmarkEnd w:id="365"/>
      <w:bookmarkStart w:id="366" w:name="_Toc184314444"/>
      <w:bookmarkEnd w:id="366"/>
      <w:bookmarkStart w:id="367" w:name="_Toc184314434"/>
      <w:bookmarkEnd w:id="367"/>
      <w:bookmarkStart w:id="368" w:name="_Toc184308086"/>
      <w:bookmarkEnd w:id="368"/>
      <w:bookmarkStart w:id="369" w:name="_Toc184312119"/>
      <w:bookmarkEnd w:id="369"/>
      <w:bookmarkStart w:id="370" w:name="_Toc184312132"/>
      <w:bookmarkEnd w:id="370"/>
      <w:bookmarkStart w:id="371" w:name="_Toc184314419"/>
      <w:bookmarkEnd w:id="371"/>
      <w:bookmarkStart w:id="372" w:name="_Toc184313286"/>
      <w:bookmarkEnd w:id="372"/>
      <w:bookmarkStart w:id="373" w:name="_Toc184313260"/>
      <w:bookmarkEnd w:id="373"/>
      <w:bookmarkStart w:id="374" w:name="_Toc184310286"/>
      <w:bookmarkEnd w:id="374"/>
      <w:bookmarkStart w:id="375" w:name="_Toc184308093"/>
      <w:bookmarkEnd w:id="375"/>
      <w:bookmarkStart w:id="376" w:name="_Toc184314410"/>
      <w:bookmarkEnd w:id="376"/>
      <w:bookmarkStart w:id="377" w:name="_Toc184312094"/>
      <w:bookmarkEnd w:id="377"/>
      <w:bookmarkStart w:id="378" w:name="_Toc184313251"/>
      <w:bookmarkEnd w:id="378"/>
      <w:bookmarkStart w:id="379" w:name="_Toc184308079"/>
      <w:bookmarkEnd w:id="379"/>
      <w:bookmarkStart w:id="380" w:name="_Toc184308055"/>
      <w:bookmarkEnd w:id="380"/>
      <w:bookmarkStart w:id="381" w:name="_Toc184313245"/>
      <w:bookmarkEnd w:id="381"/>
      <w:bookmarkStart w:id="382" w:name="_Toc184314421"/>
      <w:bookmarkEnd w:id="382"/>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32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912" w:type="dxa"/>
            <w:vAlign w:val="center"/>
          </w:tcPr>
          <w:p>
            <w:pPr>
              <w:snapToGrid w:val="0"/>
              <w:jc w:val="center"/>
              <w:outlineLvl w:val="0"/>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8325" w:type="dxa"/>
            <w:vAlign w:val="center"/>
          </w:tcPr>
          <w:p>
            <w:pPr>
              <w:snapToGrid w:val="0"/>
              <w:jc w:val="center"/>
              <w:outlineLvl w:val="0"/>
              <w:rPr>
                <w:rFonts w:ascii="宋体" w:hAnsi="宋体" w:cs="宋体"/>
                <w:b/>
                <w:bCs w:val="0"/>
                <w:color w:val="auto"/>
                <w:sz w:val="24"/>
                <w:highlight w:val="none"/>
              </w:rPr>
            </w:pPr>
            <w:r>
              <w:rPr>
                <w:rFonts w:hint="eastAsia" w:ascii="宋体" w:hAnsi="宋体" w:cs="宋体"/>
                <w:b/>
                <w:bCs w:val="0"/>
                <w:color w:val="auto"/>
                <w:sz w:val="24"/>
                <w:highlight w:val="none"/>
              </w:rPr>
              <w:t>评审标准</w:t>
            </w:r>
          </w:p>
        </w:tc>
        <w:tc>
          <w:tcPr>
            <w:tcW w:w="875" w:type="dxa"/>
            <w:vAlign w:val="center"/>
          </w:tcPr>
          <w:p>
            <w:pPr>
              <w:snapToGrid w:val="0"/>
              <w:jc w:val="center"/>
              <w:outlineLvl w:val="0"/>
              <w:rPr>
                <w:rFonts w:ascii="宋体" w:hAnsi="宋体" w:cs="宋体"/>
                <w:b/>
                <w:bCs w:val="0"/>
                <w:color w:val="auto"/>
                <w:sz w:val="24"/>
                <w:highlight w:val="none"/>
              </w:rPr>
            </w:pPr>
            <w:r>
              <w:rPr>
                <w:rFonts w:hint="eastAsia" w:ascii="宋体" w:hAnsi="宋体" w:cs="宋体"/>
                <w:b/>
                <w:bCs w:val="0"/>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c>
          <w:tcPr>
            <w:tcW w:w="8325" w:type="dxa"/>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有效最后报价的最低价作为评审基准价，其最低报价为满分；按［最后报价得分=（评审基准价/最后报价）*30］的计算公式计算。</w:t>
            </w:r>
          </w:p>
          <w:p>
            <w:pPr>
              <w:widowControl/>
              <w:shd w:val="clear" w:color="auto" w:fill="FFFFFF"/>
              <w:adjustRightInd/>
              <w:snapToGrid w:val="0"/>
              <w:ind w:firstLine="420"/>
              <w:jc w:val="left"/>
              <w:rPr>
                <w:rFonts w:ascii="宋体" w:hAnsi="宋体" w:cs="宋体"/>
                <w:bCs/>
                <w:color w:val="auto"/>
                <w:sz w:val="24"/>
                <w:highlight w:val="none"/>
              </w:rPr>
            </w:pPr>
            <w:r>
              <w:rPr>
                <w:rFonts w:hint="eastAsia" w:ascii="宋体" w:hAnsi="宋体" w:cs="宋体"/>
                <w:bCs/>
                <w:color w:val="auto"/>
                <w:sz w:val="24"/>
                <w:highlight w:val="none"/>
              </w:rPr>
              <w:t>评审过程中，不得去掉报价中的最高报价和最低报价。</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商务分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1.1</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投标人具有质量管理体系、环境管理体系、职业健康安全管理体系，每证得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分，提供有效证书复印件加盖公章。</w:t>
            </w:r>
          </w:p>
        </w:tc>
        <w:tc>
          <w:tcPr>
            <w:tcW w:w="875"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strike w:val="0"/>
                <w:color w:val="auto"/>
                <w:sz w:val="24"/>
                <w:highlight w:val="none"/>
              </w:rPr>
            </w:pPr>
            <w:r>
              <w:rPr>
                <w:rFonts w:hint="eastAsia" w:ascii="宋体" w:hAnsi="宋体" w:cs="宋体"/>
                <w:bCs/>
                <w:strike w:val="0"/>
                <w:color w:val="auto"/>
                <w:sz w:val="24"/>
                <w:highlight w:val="none"/>
              </w:rPr>
              <w:t>1</w:t>
            </w:r>
            <w:r>
              <w:rPr>
                <w:rFonts w:ascii="宋体" w:hAnsi="宋体" w:cs="宋体"/>
                <w:bCs/>
                <w:strike w:val="0"/>
                <w:color w:val="auto"/>
                <w:sz w:val="24"/>
                <w:highlight w:val="none"/>
              </w:rPr>
              <w:t>.2</w:t>
            </w:r>
          </w:p>
        </w:tc>
        <w:tc>
          <w:tcPr>
            <w:tcW w:w="8325" w:type="dxa"/>
            <w:vAlign w:val="center"/>
          </w:tcPr>
          <w:p>
            <w:pPr>
              <w:snapToGrid w:val="0"/>
              <w:outlineLvl w:val="0"/>
              <w:rPr>
                <w:rFonts w:ascii="宋体" w:hAnsi="宋体" w:cs="宋体"/>
                <w:bCs/>
                <w:strike w:val="0"/>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strike w:val="0"/>
                <w:color w:val="auto"/>
                <w:sz w:val="24"/>
                <w:highlight w:val="none"/>
              </w:rPr>
              <w:t>对所投产品</w:t>
            </w:r>
            <w:r>
              <w:rPr>
                <w:rFonts w:hint="eastAsia" w:ascii="宋体" w:hAnsi="宋体" w:cs="宋体"/>
                <w:bCs/>
                <w:strike w:val="0"/>
                <w:color w:val="auto"/>
                <w:sz w:val="24"/>
                <w:highlight w:val="none"/>
                <w:lang w:eastAsia="zh-CN"/>
              </w:rPr>
              <w:t>（</w:t>
            </w:r>
            <w:r>
              <w:rPr>
                <w:rFonts w:hint="eastAsia" w:ascii="宋体" w:hAnsi="宋体" w:cs="宋体"/>
                <w:bCs/>
                <w:strike w:val="0"/>
                <w:color w:val="auto"/>
                <w:sz w:val="24"/>
                <w:highlight w:val="none"/>
                <w:lang w:val="en-US" w:eastAsia="zh-CN"/>
              </w:rPr>
              <w:t>主材</w:t>
            </w:r>
            <w:r>
              <w:rPr>
                <w:rFonts w:hint="eastAsia" w:ascii="宋体" w:hAnsi="宋体" w:cs="宋体"/>
                <w:bCs/>
                <w:strike w:val="0"/>
                <w:color w:val="auto"/>
                <w:sz w:val="24"/>
                <w:highlight w:val="none"/>
                <w:lang w:eastAsia="zh-CN"/>
              </w:rPr>
              <w:t>）</w:t>
            </w:r>
            <w:r>
              <w:rPr>
                <w:rFonts w:hint="eastAsia" w:ascii="宋体" w:hAnsi="宋体" w:cs="宋体"/>
                <w:bCs/>
                <w:strike w:val="0"/>
                <w:color w:val="auto"/>
                <w:sz w:val="24"/>
                <w:highlight w:val="none"/>
              </w:rPr>
              <w:t>是否取得有效的政府采购节能、环境标志情况进行评价。本项目所投产品取得节能、环境标志认证证书的，每个得</w:t>
            </w:r>
            <w:r>
              <w:rPr>
                <w:rFonts w:hint="eastAsia" w:ascii="宋体" w:hAnsi="宋体" w:cs="宋体"/>
                <w:bCs/>
                <w:strike w:val="0"/>
                <w:color w:val="auto"/>
                <w:sz w:val="24"/>
                <w:highlight w:val="none"/>
                <w:lang w:val="en-US" w:eastAsia="zh-CN"/>
              </w:rPr>
              <w:t>1</w:t>
            </w:r>
            <w:r>
              <w:rPr>
                <w:rFonts w:hint="eastAsia" w:ascii="宋体" w:hAnsi="宋体" w:cs="宋体"/>
                <w:bCs/>
                <w:strike w:val="0"/>
                <w:color w:val="auto"/>
                <w:sz w:val="24"/>
                <w:highlight w:val="none"/>
              </w:rPr>
              <w:t>分，最高得</w:t>
            </w:r>
            <w:r>
              <w:rPr>
                <w:rFonts w:hint="eastAsia" w:ascii="宋体" w:hAnsi="宋体" w:cs="宋体"/>
                <w:bCs/>
                <w:strike w:val="0"/>
                <w:color w:val="auto"/>
                <w:sz w:val="24"/>
                <w:highlight w:val="none"/>
                <w:lang w:val="en-US" w:eastAsia="zh-CN"/>
              </w:rPr>
              <w:t>2</w:t>
            </w:r>
            <w:r>
              <w:rPr>
                <w:rFonts w:hint="eastAsia" w:ascii="宋体" w:hAnsi="宋体" w:cs="宋体"/>
                <w:bCs/>
                <w:strike w:val="0"/>
                <w:color w:val="auto"/>
                <w:sz w:val="24"/>
                <w:highlight w:val="none"/>
              </w:rPr>
              <w:t>分。</w:t>
            </w:r>
          </w:p>
          <w:p>
            <w:pPr>
              <w:snapToGrid w:val="0"/>
              <w:outlineLvl w:val="0"/>
              <w:rPr>
                <w:rFonts w:ascii="宋体" w:hAnsi="宋体" w:cs="宋体"/>
                <w:bCs/>
                <w:strike w:val="0"/>
                <w:color w:val="auto"/>
                <w:sz w:val="24"/>
                <w:highlight w:val="none"/>
              </w:rPr>
            </w:pPr>
            <w:r>
              <w:rPr>
                <w:rFonts w:hint="eastAsia" w:ascii="宋体" w:hAnsi="宋体" w:cs="宋体"/>
                <w:bCs/>
                <w:strike w:val="0"/>
                <w:color w:val="auto"/>
                <w:sz w:val="24"/>
                <w:highlight w:val="none"/>
              </w:rPr>
              <w:t>证明材料：认证证书扫描件加盖公章（认证机构须在政府采购节能、环境标志认证机构名录中）</w:t>
            </w:r>
          </w:p>
        </w:tc>
        <w:tc>
          <w:tcPr>
            <w:tcW w:w="875" w:type="dxa"/>
            <w:vAlign w:val="center"/>
          </w:tcPr>
          <w:p>
            <w:pPr>
              <w:snapToGrid w:val="0"/>
              <w:jc w:val="center"/>
              <w:outlineLvl w:val="0"/>
              <w:rPr>
                <w:rFonts w:hint="eastAsia" w:ascii="宋体" w:hAnsi="宋体" w:eastAsia="宋体" w:cs="宋体"/>
                <w:bCs/>
                <w:strike w:val="0"/>
                <w:color w:val="auto"/>
                <w:sz w:val="24"/>
                <w:highlight w:val="none"/>
                <w:lang w:val="en-US" w:eastAsia="zh-CN"/>
              </w:rPr>
            </w:pPr>
            <w:r>
              <w:rPr>
                <w:rFonts w:hint="eastAsia" w:ascii="宋体" w:hAnsi="宋体" w:cs="宋体"/>
                <w:bCs/>
                <w:strike w:val="0"/>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.3</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截止投标近三年来（以签订合同时间为准），具有类似项目业绩，每个得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分，提供合同、验收报告等相关材料，资料不全不得分。</w:t>
            </w:r>
          </w:p>
        </w:tc>
        <w:tc>
          <w:tcPr>
            <w:tcW w:w="875"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c>
          <w:tcPr>
            <w:tcW w:w="8325" w:type="dxa"/>
            <w:vAlign w:val="center"/>
          </w:tcPr>
          <w:p>
            <w:pPr>
              <w:snapToGrid w:val="0"/>
              <w:jc w:val="left"/>
              <w:outlineLvl w:val="0"/>
              <w:rPr>
                <w:rFonts w:ascii="宋体" w:hAnsi="宋体" w:cs="宋体"/>
                <w:bCs/>
                <w:color w:val="auto"/>
                <w:highlight w:val="none"/>
              </w:rPr>
            </w:pPr>
            <w:r>
              <w:rPr>
                <w:rFonts w:hint="eastAsia" w:ascii="宋体" w:hAnsi="宋体" w:cs="宋体"/>
                <w:bCs/>
                <w:color w:val="auto"/>
                <w:sz w:val="24"/>
                <w:highlight w:val="none"/>
              </w:rPr>
              <w:t>需求分析</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2.1</w:t>
            </w:r>
          </w:p>
        </w:tc>
        <w:tc>
          <w:tcPr>
            <w:tcW w:w="8325" w:type="dxa"/>
            <w:vAlign w:val="center"/>
          </w:tcPr>
          <w:p>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rPr>
              <w:t>针对本次改造内容，是否充分了解施工场地、实施内容等（提供相关说明或佐证材料），充分了解得5分，基本了解得3分，不太了解得1分，未了解不得分。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2.2</w:t>
            </w:r>
          </w:p>
        </w:tc>
        <w:tc>
          <w:tcPr>
            <w:tcW w:w="8325" w:type="dxa"/>
            <w:vAlign w:val="center"/>
          </w:tcPr>
          <w:p>
            <w:pPr>
              <w:snapToGrid w:val="0"/>
              <w:jc w:val="left"/>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工程施工的重、难点分析及施工保证措施是否具有针对性</w:t>
            </w:r>
            <w:r>
              <w:rPr>
                <w:rFonts w:hint="eastAsia" w:ascii="宋体" w:hAnsi="宋体" w:cs="宋体"/>
                <w:bCs/>
                <w:color w:val="auto"/>
                <w:sz w:val="24"/>
                <w:highlight w:val="none"/>
                <w:lang w:eastAsia="zh-CN"/>
              </w:rPr>
              <w:t>：</w:t>
            </w:r>
          </w:p>
          <w:p>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重难点分析内容完善针对性强得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分，内容略有欠缺有针对性得1.5分，不合理或未提供不得分；</w:t>
            </w:r>
          </w:p>
          <w:p>
            <w:pPr>
              <w:snapToGrid w:val="0"/>
              <w:jc w:val="left"/>
              <w:outlineLvl w:val="0"/>
              <w:rPr>
                <w:color w:val="auto"/>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针对重难点问题，提出合理可行的解决措施，每条得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tc>
        <w:tc>
          <w:tcPr>
            <w:tcW w:w="875"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2.3</w:t>
            </w:r>
          </w:p>
        </w:tc>
        <w:tc>
          <w:tcPr>
            <w:tcW w:w="8325" w:type="dxa"/>
            <w:vAlign w:val="center"/>
          </w:tcPr>
          <w:p>
            <w:pPr>
              <w:snapToGrid w:val="0"/>
              <w:jc w:val="left"/>
              <w:outlineLvl w:val="0"/>
              <w:rPr>
                <w:rFonts w:hint="eastAsia" w:ascii="宋体" w:hAnsi="宋体" w:cs="宋体"/>
                <w:bCs/>
                <w:color w:val="auto"/>
                <w:sz w:val="24"/>
                <w:highlight w:val="none"/>
              </w:rPr>
            </w:pPr>
            <w:r>
              <w:rPr>
                <w:rFonts w:hint="eastAsia" w:cs="宋体"/>
                <w:bCs/>
                <w:color w:val="auto"/>
                <w:sz w:val="24"/>
                <w:highlight w:val="none"/>
              </w:rPr>
              <w:t>针对施工图，现场等，提供合理化建议，每条实质性意义的、有利于项目实施的建议得</w:t>
            </w:r>
            <w:r>
              <w:rPr>
                <w:rFonts w:hint="eastAsia" w:cs="宋体"/>
                <w:bCs/>
                <w:color w:val="auto"/>
                <w:sz w:val="24"/>
                <w:highlight w:val="none"/>
                <w:lang w:val="en-US" w:eastAsia="zh-CN"/>
              </w:rPr>
              <w:t>1</w:t>
            </w:r>
            <w:r>
              <w:rPr>
                <w:rFonts w:hint="eastAsia" w:cs="宋体"/>
                <w:bCs/>
                <w:color w:val="auto"/>
                <w:sz w:val="24"/>
                <w:highlight w:val="none"/>
              </w:rPr>
              <w:t>分，最高得</w:t>
            </w:r>
            <w:r>
              <w:rPr>
                <w:rFonts w:hint="eastAsia" w:cs="宋体"/>
                <w:bCs/>
                <w:color w:val="auto"/>
                <w:sz w:val="24"/>
                <w:highlight w:val="none"/>
                <w:lang w:val="en-US" w:eastAsia="zh-CN"/>
              </w:rPr>
              <w:t>4</w:t>
            </w:r>
            <w:r>
              <w:rPr>
                <w:rFonts w:hint="eastAsia" w:cs="宋体"/>
                <w:bCs/>
                <w:color w:val="auto"/>
                <w:sz w:val="24"/>
                <w:highlight w:val="none"/>
              </w:rPr>
              <w:t>分。</w:t>
            </w:r>
          </w:p>
        </w:tc>
        <w:tc>
          <w:tcPr>
            <w:tcW w:w="875" w:type="dxa"/>
            <w:vAlign w:val="center"/>
          </w:tcPr>
          <w:p>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施工组织设计</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3.1</w:t>
            </w:r>
          </w:p>
        </w:tc>
        <w:tc>
          <w:tcPr>
            <w:tcW w:w="8325" w:type="dxa"/>
            <w:vAlign w:val="center"/>
          </w:tcPr>
          <w:p>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结合项目情况，</w:t>
            </w:r>
            <w:r>
              <w:rPr>
                <w:rFonts w:hint="eastAsia" w:ascii="宋体" w:hAnsi="宋体" w:cs="宋体"/>
                <w:bCs/>
                <w:color w:val="auto"/>
                <w:sz w:val="24"/>
                <w:highlight w:val="none"/>
              </w:rPr>
              <w:t>施工组织设计内容是否全面合理，是否能够结合本项目特点进行整体施工组织计划，内容全面针对性强得4分，内容基本全面有针对性得3分，内容</w:t>
            </w:r>
            <w:r>
              <w:rPr>
                <w:rFonts w:hint="eastAsia" w:ascii="宋体" w:hAnsi="宋体" w:cs="宋体"/>
                <w:bCs/>
                <w:color w:val="auto"/>
                <w:sz w:val="24"/>
                <w:highlight w:val="none"/>
                <w:lang w:val="en-US" w:eastAsia="zh-CN"/>
              </w:rPr>
              <w:t>简单</w:t>
            </w:r>
            <w:r>
              <w:rPr>
                <w:rFonts w:hint="eastAsia" w:ascii="宋体" w:hAnsi="宋体" w:cs="宋体"/>
                <w:bCs/>
                <w:color w:val="auto"/>
                <w:sz w:val="24"/>
                <w:highlight w:val="none"/>
              </w:rPr>
              <w:t>略有针对性得2分，内容缺陷</w:t>
            </w:r>
            <w:r>
              <w:rPr>
                <w:rFonts w:hint="eastAsia" w:ascii="宋体" w:hAnsi="宋体" w:cs="宋体"/>
                <w:bCs/>
                <w:color w:val="auto"/>
                <w:sz w:val="24"/>
                <w:highlight w:val="none"/>
                <w:lang w:val="en-US" w:eastAsia="zh-CN"/>
              </w:rPr>
              <w:t>较大</w:t>
            </w:r>
            <w:r>
              <w:rPr>
                <w:rFonts w:hint="eastAsia" w:ascii="宋体" w:hAnsi="宋体" w:cs="宋体"/>
                <w:bCs/>
                <w:color w:val="auto"/>
                <w:sz w:val="24"/>
                <w:highlight w:val="none"/>
              </w:rPr>
              <w:t>需完善后实施得1分，不可行不得分。</w:t>
            </w:r>
          </w:p>
        </w:tc>
        <w:tc>
          <w:tcPr>
            <w:tcW w:w="875" w:type="dxa"/>
            <w:vAlign w:val="center"/>
          </w:tcPr>
          <w:p>
            <w:pPr>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3.2</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结合项目情况，阐述</w:t>
            </w:r>
            <w:r>
              <w:rPr>
                <w:rFonts w:hint="eastAsia" w:ascii="宋体" w:hAnsi="宋体" w:cs="宋体"/>
                <w:bCs/>
                <w:color w:val="auto"/>
                <w:sz w:val="24"/>
                <w:highlight w:val="none"/>
              </w:rPr>
              <w:t>主要施工方法、施工工艺，内容完善可实施性强得4分，内容基本完善可实施得3分，内容略有缺陷基本可行得2分，内容缺陷</w:t>
            </w:r>
            <w:r>
              <w:rPr>
                <w:rFonts w:hint="eastAsia" w:ascii="宋体" w:hAnsi="宋体" w:cs="宋体"/>
                <w:bCs/>
                <w:color w:val="auto"/>
                <w:sz w:val="24"/>
                <w:highlight w:val="none"/>
                <w:lang w:val="en-US" w:eastAsia="zh-CN"/>
              </w:rPr>
              <w:t>较大</w:t>
            </w:r>
            <w:r>
              <w:rPr>
                <w:rFonts w:hint="eastAsia" w:ascii="宋体" w:hAnsi="宋体" w:cs="宋体"/>
                <w:bCs/>
                <w:color w:val="auto"/>
                <w:sz w:val="24"/>
                <w:highlight w:val="none"/>
              </w:rPr>
              <w:t>需完善后实施得1分，内容不可行不得分。</w:t>
            </w:r>
          </w:p>
        </w:tc>
        <w:tc>
          <w:tcPr>
            <w:tcW w:w="875" w:type="dxa"/>
            <w:vAlign w:val="center"/>
          </w:tcPr>
          <w:p>
            <w:pPr>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3.3</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结合项目情况，阐述工艺品品质、施工配套</w:t>
            </w:r>
            <w:r>
              <w:rPr>
                <w:rFonts w:hint="eastAsia" w:ascii="宋体" w:hAnsi="宋体" w:cs="宋体"/>
                <w:bCs/>
                <w:color w:val="auto"/>
                <w:sz w:val="24"/>
                <w:highlight w:val="none"/>
              </w:rPr>
              <w:t>质量目标及质量控制措施，内容完善可实施性强得4分，内容基本完善可实施得3分，内容略有缺陷基本可行得2分，内容缺陷</w:t>
            </w:r>
            <w:r>
              <w:rPr>
                <w:rFonts w:hint="eastAsia" w:ascii="宋体" w:hAnsi="宋体" w:cs="宋体"/>
                <w:bCs/>
                <w:color w:val="auto"/>
                <w:sz w:val="24"/>
                <w:highlight w:val="none"/>
                <w:lang w:val="en-US" w:eastAsia="zh-CN"/>
              </w:rPr>
              <w:t>较大</w:t>
            </w:r>
            <w:r>
              <w:rPr>
                <w:rFonts w:hint="eastAsia" w:ascii="宋体" w:hAnsi="宋体" w:cs="宋体"/>
                <w:bCs/>
                <w:color w:val="auto"/>
                <w:sz w:val="24"/>
                <w:highlight w:val="none"/>
              </w:rPr>
              <w:t>需完善后实施得1分，内容不可行不得分。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3.4</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结合项目情况，阐述</w:t>
            </w:r>
            <w:r>
              <w:rPr>
                <w:rFonts w:hint="eastAsia" w:ascii="宋体" w:hAnsi="宋体" w:cs="宋体"/>
                <w:bCs/>
                <w:color w:val="auto"/>
                <w:sz w:val="24"/>
                <w:highlight w:val="none"/>
              </w:rPr>
              <w:t>成品保护措施，针对车辆进出路边、施工场地周边等采取的成品保护措施，内容完善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可实施性强得</w:t>
            </w:r>
            <w:r>
              <w:rPr>
                <w:rFonts w:ascii="宋体" w:hAnsi="宋体" w:cs="宋体"/>
                <w:bCs/>
                <w:color w:val="auto"/>
                <w:sz w:val="24"/>
                <w:highlight w:val="none"/>
              </w:rPr>
              <w:t>3</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内容基本完善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可以实施得</w:t>
            </w:r>
            <w:r>
              <w:rPr>
                <w:rFonts w:ascii="宋体" w:hAnsi="宋体" w:cs="宋体"/>
                <w:bCs/>
                <w:color w:val="auto"/>
                <w:sz w:val="24"/>
                <w:highlight w:val="none"/>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内容缺陷较大需完善后实施得</w:t>
            </w:r>
            <w:r>
              <w:rPr>
                <w:rFonts w:ascii="宋体" w:hAnsi="宋体" w:cs="宋体"/>
                <w:bCs/>
                <w:color w:val="auto"/>
                <w:sz w:val="24"/>
                <w:highlight w:val="none"/>
              </w:rPr>
              <w:t>1</w:t>
            </w:r>
            <w:r>
              <w:rPr>
                <w:rFonts w:hint="eastAsia" w:ascii="宋体" w:hAnsi="宋体" w:cs="宋体"/>
                <w:bCs/>
                <w:color w:val="auto"/>
                <w:sz w:val="24"/>
                <w:highlight w:val="none"/>
              </w:rPr>
              <w:t>分，缺陷明显或不可行不得分。</w:t>
            </w:r>
          </w:p>
        </w:tc>
        <w:tc>
          <w:tcPr>
            <w:tcW w:w="875"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3.5</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w:t>
            </w:r>
            <w:r>
              <w:rPr>
                <w:rFonts w:hint="eastAsia" w:ascii="宋体" w:hAnsi="宋体" w:cs="宋体"/>
                <w:bCs/>
                <w:color w:val="auto"/>
                <w:sz w:val="24"/>
                <w:highlight w:val="none"/>
              </w:rPr>
              <w:t>本项目实际</w:t>
            </w:r>
            <w:r>
              <w:rPr>
                <w:rFonts w:hint="eastAsia" w:ascii="宋体" w:hAnsi="宋体" w:cs="宋体"/>
                <w:bCs/>
                <w:color w:val="auto"/>
                <w:sz w:val="24"/>
                <w:highlight w:val="none"/>
                <w:lang w:val="en-US" w:eastAsia="zh-CN"/>
              </w:rPr>
              <w:t>情况，</w:t>
            </w:r>
            <w:r>
              <w:rPr>
                <w:rFonts w:hint="eastAsia" w:ascii="宋体" w:hAnsi="宋体" w:cs="宋体"/>
                <w:bCs/>
                <w:color w:val="auto"/>
                <w:sz w:val="24"/>
                <w:highlight w:val="none"/>
              </w:rPr>
              <w:t>阐述</w:t>
            </w:r>
            <w:r>
              <w:rPr>
                <w:rFonts w:hint="eastAsia" w:ascii="宋体" w:hAnsi="宋体" w:cs="宋体"/>
                <w:bCs/>
                <w:color w:val="auto"/>
                <w:sz w:val="24"/>
                <w:highlight w:val="none"/>
                <w:lang w:val="en-US" w:eastAsia="zh-CN"/>
              </w:rPr>
              <w:t>安全</w:t>
            </w:r>
            <w:r>
              <w:rPr>
                <w:rFonts w:hint="eastAsia" w:ascii="宋体" w:hAnsi="宋体" w:cs="宋体"/>
                <w:bCs/>
                <w:color w:val="auto"/>
                <w:sz w:val="24"/>
                <w:highlight w:val="none"/>
              </w:rPr>
              <w:t>文明施工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绿色施工，</w:t>
            </w:r>
            <w:r>
              <w:rPr>
                <w:rFonts w:hint="eastAsia" w:ascii="宋体" w:hAnsi="宋体" w:cs="宋体"/>
                <w:bCs/>
                <w:color w:val="auto"/>
                <w:sz w:val="24"/>
                <w:highlight w:val="none"/>
              </w:rPr>
              <w:t>市政、市容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环保</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消防等的保证措施：以上</w:t>
            </w:r>
            <w:r>
              <w:rPr>
                <w:rFonts w:hint="eastAsia" w:ascii="宋体" w:hAnsi="宋体" w:cs="宋体"/>
                <w:bCs/>
                <w:color w:val="auto"/>
                <w:sz w:val="24"/>
                <w:highlight w:val="none"/>
                <w:lang w:val="en-US" w:eastAsia="zh-CN"/>
              </w:rPr>
              <w:t>全部方案或</w:t>
            </w:r>
            <w:r>
              <w:rPr>
                <w:rFonts w:hint="eastAsia" w:ascii="宋体" w:hAnsi="宋体" w:cs="宋体"/>
                <w:bCs/>
                <w:color w:val="auto"/>
                <w:sz w:val="24"/>
                <w:highlight w:val="none"/>
              </w:rPr>
              <w:t>措施</w:t>
            </w:r>
            <w:r>
              <w:rPr>
                <w:rFonts w:hint="eastAsia" w:ascii="宋体" w:hAnsi="宋体" w:cs="宋体"/>
                <w:bCs/>
                <w:color w:val="auto"/>
                <w:sz w:val="24"/>
                <w:highlight w:val="none"/>
                <w:lang w:val="en-US" w:eastAsia="zh-CN"/>
              </w:rPr>
              <w:t>内容</w:t>
            </w:r>
            <w:r>
              <w:rPr>
                <w:rFonts w:hint="eastAsia" w:ascii="宋体" w:hAnsi="宋体" w:cs="宋体"/>
                <w:bCs/>
                <w:color w:val="auto"/>
                <w:sz w:val="24"/>
                <w:highlight w:val="none"/>
              </w:rPr>
              <w:t>的科学性、合理性、与项目实际情况符合得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r>
              <w:rPr>
                <w:rFonts w:hint="eastAsia" w:ascii="宋体" w:hAnsi="宋体" w:cs="宋体"/>
                <w:bCs/>
                <w:color w:val="auto"/>
                <w:sz w:val="24"/>
                <w:highlight w:val="none"/>
                <w:lang w:val="en-US" w:eastAsia="zh-CN"/>
              </w:rPr>
              <w:t>内容基本完善可实施性强得3分，略有欠缺基本可行得2分，有缺陷需完善后实施得1分，缺项或内容不可行不得分。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3.6</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结合项目情况，</w:t>
            </w:r>
            <w:r>
              <w:rPr>
                <w:rFonts w:hint="eastAsia" w:ascii="宋体" w:hAnsi="宋体" w:cs="宋体"/>
                <w:bCs/>
                <w:color w:val="auto"/>
                <w:sz w:val="24"/>
                <w:highlight w:val="none"/>
              </w:rPr>
              <w:t>拟投入主要施工机械设备情况，明确器械名称、数量等信息，设备设施充足且进场安排合理得</w:t>
            </w:r>
            <w:r>
              <w:rPr>
                <w:rFonts w:ascii="宋体" w:hAnsi="宋体" w:cs="宋体"/>
                <w:bCs/>
                <w:color w:val="auto"/>
                <w:sz w:val="24"/>
                <w:highlight w:val="none"/>
              </w:rPr>
              <w:t>3分，数量可满足需求</w:t>
            </w:r>
            <w:r>
              <w:rPr>
                <w:rFonts w:hint="eastAsia" w:ascii="宋体" w:hAnsi="宋体" w:cs="宋体"/>
                <w:bCs/>
                <w:color w:val="auto"/>
                <w:sz w:val="24"/>
                <w:highlight w:val="none"/>
              </w:rPr>
              <w:t>且进场安排基本合理得</w:t>
            </w:r>
            <w:r>
              <w:rPr>
                <w:rFonts w:ascii="宋体" w:hAnsi="宋体" w:cs="宋体"/>
                <w:bCs/>
                <w:color w:val="auto"/>
                <w:sz w:val="24"/>
                <w:highlight w:val="none"/>
              </w:rPr>
              <w:t>2分，种类不齐全</w:t>
            </w:r>
            <w:r>
              <w:rPr>
                <w:rFonts w:hint="eastAsia" w:ascii="宋体" w:hAnsi="宋体" w:cs="宋体"/>
                <w:bCs/>
                <w:color w:val="auto"/>
                <w:sz w:val="24"/>
                <w:highlight w:val="none"/>
                <w:lang w:eastAsia="zh-CN"/>
              </w:rPr>
              <w:t>、</w:t>
            </w:r>
            <w:r>
              <w:rPr>
                <w:rFonts w:ascii="宋体" w:hAnsi="宋体" w:cs="宋体"/>
                <w:bCs/>
                <w:color w:val="auto"/>
                <w:sz w:val="24"/>
                <w:highlight w:val="none"/>
              </w:rPr>
              <w:t>数量不充足得1分，设备设施未明确或不合理不得分。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3.7</w:t>
            </w:r>
          </w:p>
        </w:tc>
        <w:tc>
          <w:tcPr>
            <w:tcW w:w="8325" w:type="dxa"/>
            <w:vAlign w:val="center"/>
          </w:tcPr>
          <w:p>
            <w:pPr>
              <w:snapToGrid w:val="0"/>
              <w:outlineLvl w:val="0"/>
              <w:rPr>
                <w:rFonts w:hint="default" w:eastAsia="仿宋_GB2312"/>
                <w:color w:val="auto"/>
                <w:highlight w:val="none"/>
                <w:lang w:val="en-US" w:eastAsia="zh-CN"/>
              </w:rPr>
            </w:pPr>
            <w:r>
              <w:rPr>
                <w:rFonts w:hint="eastAsia" w:ascii="宋体" w:hAnsi="宋体" w:cs="宋体"/>
                <w:bCs/>
                <w:color w:val="auto"/>
                <w:sz w:val="24"/>
                <w:highlight w:val="none"/>
                <w:lang w:val="en-US" w:eastAsia="zh-CN"/>
              </w:rPr>
              <w:t>结合项目情况，阐述</w:t>
            </w:r>
            <w:r>
              <w:rPr>
                <w:rFonts w:hint="eastAsia" w:ascii="宋体" w:hAnsi="宋体" w:cs="宋体"/>
                <w:bCs/>
                <w:color w:val="auto"/>
                <w:sz w:val="24"/>
                <w:highlight w:val="none"/>
              </w:rPr>
              <w:t>主材选型说明，需明确品牌型号或相关信息，选材环保、性能稳定、品质好得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分，选材环保、性能较稳定、品质一般得1分，不环保或品质差不得分</w:t>
            </w:r>
            <w:r>
              <w:rPr>
                <w:rFonts w:hint="eastAsia" w:ascii="宋体" w:hAnsi="宋体" w:cs="宋体"/>
                <w:bCs/>
                <w:color w:val="auto"/>
                <w:sz w:val="24"/>
                <w:highlight w:val="none"/>
                <w:lang w:eastAsia="zh-CN"/>
              </w:rPr>
              <w:t>；</w:t>
            </w:r>
          </w:p>
        </w:tc>
        <w:tc>
          <w:tcPr>
            <w:tcW w:w="875" w:type="dxa"/>
            <w:vAlign w:val="center"/>
          </w:tcPr>
          <w:p>
            <w:pPr>
              <w:jc w:val="center"/>
              <w:rPr>
                <w:color w:val="auto"/>
                <w:highlight w:val="none"/>
              </w:rPr>
            </w:pPr>
            <w:r>
              <w:rPr>
                <w:rFonts w:hint="eastAsia" w:ascii="宋体" w:hAnsi="宋体" w:cs="宋体"/>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3.8</w:t>
            </w:r>
          </w:p>
        </w:tc>
        <w:tc>
          <w:tcPr>
            <w:tcW w:w="8325" w:type="dxa"/>
            <w:vAlign w:val="center"/>
          </w:tcPr>
          <w:p>
            <w:pPr>
              <w:snapToGrid w:val="0"/>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结合项目情况，</w:t>
            </w:r>
            <w:r>
              <w:rPr>
                <w:rFonts w:hint="eastAsia" w:ascii="宋体" w:hAnsi="宋体" w:cs="宋体"/>
                <w:bCs/>
                <w:color w:val="auto"/>
                <w:sz w:val="24"/>
                <w:highlight w:val="none"/>
              </w:rPr>
              <w:t>突发应急保障能力，根据可能出现的突发事件，提出合理可行的应对措施，合理可行得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分，略有欠缺基本可行得1分，不可行或未提供不得分。</w:t>
            </w:r>
          </w:p>
        </w:tc>
        <w:tc>
          <w:tcPr>
            <w:tcW w:w="875" w:type="dxa"/>
            <w:vAlign w:val="center"/>
          </w:tcPr>
          <w:p>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8325" w:type="dxa"/>
            <w:vAlign w:val="center"/>
          </w:tcPr>
          <w:p>
            <w:pPr>
              <w:spacing w:line="276" w:lineRule="auto"/>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项目进度安排（进度计划表、进度保障措施等）</w:t>
            </w:r>
            <w:r>
              <w:rPr>
                <w:rFonts w:hint="eastAsia" w:ascii="宋体" w:hAnsi="宋体" w:cs="宋体"/>
                <w:bCs/>
                <w:color w:val="auto"/>
                <w:sz w:val="24"/>
                <w:highlight w:val="none"/>
                <w:lang w:eastAsia="zh-CN"/>
              </w:rPr>
              <w:t>：</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具有合理可行的进度计划表得1分，不合理不得分；</w:t>
            </w:r>
          </w:p>
          <w:p>
            <w:pPr>
              <w:spacing w:line="276" w:lineRule="auto"/>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项目进度保障，工期提前措施，保障项目质量的前提，尽可能的提前工期，提供措施描述，合理可行得2分，略有欠缺基本可行得1分，不可行或未提供不得分</w:t>
            </w:r>
            <w:r>
              <w:rPr>
                <w:rFonts w:hint="eastAsia" w:ascii="宋体" w:hAnsi="宋体" w:cs="宋体"/>
                <w:bCs/>
                <w:color w:val="auto"/>
                <w:sz w:val="24"/>
                <w:highlight w:val="none"/>
                <w:lang w:eastAsia="zh-CN"/>
              </w:rPr>
              <w:t>。</w:t>
            </w:r>
          </w:p>
        </w:tc>
        <w:tc>
          <w:tcPr>
            <w:tcW w:w="875" w:type="dxa"/>
            <w:vAlign w:val="center"/>
          </w:tcPr>
          <w:p>
            <w:pPr>
              <w:spacing w:line="276" w:lineRule="auto"/>
              <w:ind w:firstLine="33" w:firstLineChars="14"/>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项目团队</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5.1</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w:t>
            </w:r>
            <w:r>
              <w:rPr>
                <w:rFonts w:hint="eastAsia" w:ascii="宋体" w:hAnsi="宋体" w:cs="宋体"/>
                <w:bCs/>
                <w:color w:val="auto"/>
                <w:sz w:val="24"/>
                <w:highlight w:val="none"/>
                <w:lang w:val="en-US" w:eastAsia="zh-CN"/>
              </w:rPr>
              <w:t>经理</w:t>
            </w:r>
            <w:r>
              <w:rPr>
                <w:rFonts w:hint="eastAsia" w:ascii="宋体" w:hAnsi="宋体" w:cs="宋体"/>
                <w:bCs/>
                <w:color w:val="auto"/>
                <w:sz w:val="24"/>
                <w:highlight w:val="none"/>
                <w:u w:val="none"/>
              </w:rPr>
              <w:t>：</w:t>
            </w:r>
          </w:p>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具有</w:t>
            </w:r>
            <w:r>
              <w:rPr>
                <w:rFonts w:hint="eastAsia" w:ascii="宋体" w:hAnsi="宋体" w:cs="宋体"/>
                <w:bCs/>
                <w:color w:val="auto"/>
                <w:sz w:val="24"/>
                <w:highlight w:val="none"/>
                <w:lang w:val="en-US" w:eastAsia="zh-CN"/>
              </w:rPr>
              <w:t>高级及以上职称得2分，</w:t>
            </w:r>
            <w:r>
              <w:rPr>
                <w:rFonts w:hint="eastAsia" w:ascii="宋体" w:hAnsi="宋体" w:cs="宋体"/>
                <w:bCs/>
                <w:color w:val="auto"/>
                <w:sz w:val="24"/>
                <w:highlight w:val="none"/>
              </w:rPr>
              <w:t>中级职称得1分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其余不得分</w:t>
            </w:r>
            <w:r>
              <w:rPr>
                <w:rFonts w:hint="eastAsia" w:ascii="宋体" w:hAnsi="宋体" w:cs="宋体"/>
                <w:bCs/>
                <w:color w:val="auto"/>
                <w:sz w:val="24"/>
                <w:highlight w:val="none"/>
              </w:rPr>
              <w:t>；</w:t>
            </w:r>
          </w:p>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）项目经理</w:t>
            </w:r>
            <w:r>
              <w:rPr>
                <w:rFonts w:hint="eastAsia" w:ascii="宋体" w:hAnsi="宋体" w:cs="宋体"/>
                <w:bCs/>
                <w:color w:val="auto"/>
                <w:sz w:val="24"/>
                <w:highlight w:val="none"/>
              </w:rPr>
              <w:t>到位率承诺</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及</w:t>
            </w:r>
            <w:r>
              <w:rPr>
                <w:rFonts w:hint="eastAsia" w:ascii="宋体" w:hAnsi="宋体" w:cs="宋体"/>
                <w:bCs/>
                <w:color w:val="auto"/>
                <w:sz w:val="24"/>
                <w:highlight w:val="none"/>
              </w:rPr>
              <w:t>以上得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分，到位率承诺低于</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0%不得分；</w:t>
            </w:r>
          </w:p>
          <w:p>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具有类似项目管理实施经验得1分。</w:t>
            </w:r>
          </w:p>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提供履历、相关佐证、近三个月内的社保等材料。</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1"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5.2</w:t>
            </w:r>
          </w:p>
        </w:tc>
        <w:tc>
          <w:tcPr>
            <w:tcW w:w="8325" w:type="dxa"/>
            <w:vAlign w:val="center"/>
          </w:tcPr>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技术负责人：</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具有</w:t>
            </w:r>
            <w:r>
              <w:rPr>
                <w:rFonts w:hint="eastAsia" w:ascii="宋体" w:hAnsi="宋体" w:cs="宋体"/>
                <w:bCs/>
                <w:color w:val="auto"/>
                <w:sz w:val="24"/>
                <w:highlight w:val="none"/>
                <w:lang w:val="en-US" w:eastAsia="zh-CN"/>
              </w:rPr>
              <w:t>高级及以上职称得2分，</w:t>
            </w:r>
            <w:r>
              <w:rPr>
                <w:rFonts w:hint="eastAsia" w:ascii="宋体" w:hAnsi="宋体" w:cs="宋体"/>
                <w:bCs/>
                <w:color w:val="auto"/>
                <w:sz w:val="24"/>
                <w:highlight w:val="none"/>
              </w:rPr>
              <w:t>中级职称得1分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其余不得分</w:t>
            </w:r>
            <w:r>
              <w:rPr>
                <w:rFonts w:hint="eastAsia" w:ascii="宋体" w:hAnsi="宋体" w:cs="宋体"/>
                <w:bCs/>
                <w:color w:val="auto"/>
                <w:sz w:val="24"/>
                <w:highlight w:val="none"/>
              </w:rPr>
              <w:t>；</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具有类似项目管理实施经验得1分。</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提供履历、相关佐证、近三个月内的社保等材料。</w:t>
            </w:r>
          </w:p>
        </w:tc>
        <w:tc>
          <w:tcPr>
            <w:tcW w:w="875" w:type="dxa"/>
            <w:vAlign w:val="center"/>
          </w:tcPr>
          <w:p>
            <w:pPr>
              <w:spacing w:line="276" w:lineRule="auto"/>
              <w:ind w:firstLine="33" w:firstLineChars="14"/>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5.3</w:t>
            </w:r>
          </w:p>
        </w:tc>
        <w:tc>
          <w:tcPr>
            <w:tcW w:w="8325" w:type="dxa"/>
            <w:vAlign w:val="center"/>
          </w:tcPr>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项目团队（至少包含主要管理人员）：专业分工合理，配备专职安全员，人数满足施工进度需求，经验丰富得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分，专业分工基本合理，配备专职安全员，人数基本满足施工进度需求，经验一般得1分，分工不合理或无安全员不得分。</w:t>
            </w:r>
          </w:p>
        </w:tc>
        <w:tc>
          <w:tcPr>
            <w:tcW w:w="875" w:type="dxa"/>
            <w:vAlign w:val="center"/>
          </w:tcPr>
          <w:p>
            <w:pPr>
              <w:spacing w:line="276" w:lineRule="auto"/>
              <w:ind w:firstLine="33" w:firstLineChars="14"/>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5.4</w:t>
            </w:r>
          </w:p>
        </w:tc>
        <w:tc>
          <w:tcPr>
            <w:tcW w:w="8325"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劳动力计划安排，根据进度，劳动力投入合理可行得2分，基本合理得1分，不合理不得分。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6</w:t>
            </w:r>
          </w:p>
        </w:tc>
        <w:tc>
          <w:tcPr>
            <w:tcW w:w="8325" w:type="dxa"/>
            <w:vAlign w:val="center"/>
          </w:tcPr>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售后服务承诺：</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工程竣工后的保修服务承诺和保证措施，内容全面可行得2分，略有欠缺基本可行得1分，不可行不得分；</w:t>
            </w:r>
          </w:p>
          <w:p>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质保响应及时，内容全面可行得2分，略有欠缺基本可行得1分，不可行不得分。</w:t>
            </w:r>
          </w:p>
        </w:tc>
        <w:tc>
          <w:tcPr>
            <w:tcW w:w="875" w:type="dxa"/>
            <w:vAlign w:val="center"/>
          </w:tcPr>
          <w:p>
            <w:pPr>
              <w:spacing w:line="276" w:lineRule="auto"/>
              <w:ind w:firstLine="33" w:firstLineChars="14"/>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2" w:type="dxa"/>
            <w:vAlign w:val="center"/>
          </w:tcPr>
          <w:p>
            <w:pPr>
              <w:snapToGrid w:val="0"/>
              <w:jc w:val="center"/>
              <w:rPr>
                <w:rFonts w:ascii="宋体" w:hAnsi="宋体" w:cs="宋体"/>
                <w:bCs/>
                <w:color w:val="auto"/>
                <w:highlight w:val="none"/>
              </w:rPr>
            </w:pPr>
            <w:r>
              <w:rPr>
                <w:rFonts w:hint="eastAsia" w:ascii="宋体" w:hAnsi="宋体" w:cs="宋体"/>
                <w:bCs/>
                <w:color w:val="auto"/>
                <w:sz w:val="24"/>
                <w:highlight w:val="none"/>
              </w:rPr>
              <w:t>7</w:t>
            </w:r>
          </w:p>
        </w:tc>
        <w:tc>
          <w:tcPr>
            <w:tcW w:w="8325" w:type="dxa"/>
            <w:vAlign w:val="center"/>
          </w:tcPr>
          <w:p>
            <w:pPr>
              <w:snapToGrid w:val="0"/>
              <w:rPr>
                <w:rFonts w:ascii="宋体" w:hAnsi="宋体" w:cs="宋体"/>
                <w:bCs/>
                <w:color w:val="auto"/>
                <w:highlight w:val="none"/>
              </w:rPr>
            </w:pPr>
            <w:r>
              <w:rPr>
                <w:rFonts w:hint="eastAsia" w:ascii="宋体" w:hAnsi="宋体" w:cs="宋体"/>
                <w:bCs/>
                <w:color w:val="auto"/>
                <w:sz w:val="24"/>
                <w:highlight w:val="none"/>
              </w:rPr>
              <w:t>优惠措施：针对项目的优惠措施，确有利于项目实施的，每条得1分，最高得2分。</w:t>
            </w:r>
          </w:p>
        </w:tc>
        <w:tc>
          <w:tcPr>
            <w:tcW w:w="875"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r>
    </w:tbl>
    <w:p>
      <w:pPr>
        <w:snapToGrid w:val="0"/>
        <w:spacing w:line="360" w:lineRule="auto"/>
        <w:rPr>
          <w:rFonts w:ascii="宋体" w:hAnsi="宋体" w:cs="宋体"/>
          <w:color w:val="auto"/>
          <w:sz w:val="20"/>
          <w:szCs w:val="20"/>
          <w:highlight w:val="none"/>
          <w:shd w:val="clear" w:color="auto" w:fill="FFFFFF"/>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一、评审方法</w:t>
      </w:r>
    </w:p>
    <w:p>
      <w:pPr>
        <w:keepNext w:val="0"/>
        <w:keepLines w:val="0"/>
        <w:pageBreakBefore w:val="0"/>
        <w:widowControl w:val="0"/>
        <w:kinsoku/>
        <w:wordWrap/>
        <w:overflowPunct/>
        <w:topLinePunct w:val="0"/>
        <w:autoSpaceDE/>
        <w:autoSpaceDN/>
        <w:bidi w:val="0"/>
        <w:adjustRightInd/>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二、评审标准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评审标准：</w:t>
      </w:r>
      <w:r>
        <w:rPr>
          <w:rFonts w:hint="eastAsia" w:ascii="宋体" w:hAnsi="宋体" w:cs="宋体"/>
          <w:color w:val="auto"/>
          <w:kern w:val="0"/>
          <w:sz w:val="24"/>
          <w:szCs w:val="24"/>
          <w:highlight w:val="none"/>
        </w:rPr>
        <w:t>见评审办法前附表。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三、评审程序</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3.2 磋商。</w:t>
      </w:r>
      <w:r>
        <w:rPr>
          <w:rFonts w:hint="eastAsia" w:ascii="宋体" w:hAnsi="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供应商逐一进行磋商。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 xml:space="preserve">3.2.1 </w:t>
      </w:r>
      <w:r>
        <w:rPr>
          <w:rFonts w:hint="eastAsia" w:ascii="宋体" w:hAnsi="宋体" w:cs="宋体"/>
          <w:color w:val="auto"/>
          <w:sz w:val="24"/>
          <w:szCs w:val="24"/>
          <w:highlight w:val="none"/>
        </w:rPr>
        <w:t>供应商逐家回答磋商小组的提问；</w:t>
      </w:r>
      <w:r>
        <w:rPr>
          <w:rFonts w:hint="eastAsia" w:ascii="宋体" w:hAnsi="宋体" w:cs="宋体"/>
          <w:b/>
          <w:color w:val="auto"/>
          <w:sz w:val="24"/>
          <w:szCs w:val="24"/>
          <w:highlight w:val="none"/>
        </w:rPr>
        <w:t>逐家磋商一次为一个轮次，磋商轮次根据实际情况进行。</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3.2.2 </w:t>
      </w:r>
      <w:r>
        <w:rPr>
          <w:rFonts w:hint="eastAsia" w:ascii="宋体" w:hAnsi="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 xml:space="preserve">供应商。 </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3.3最后报价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 综合评分。</w:t>
      </w:r>
      <w:r>
        <w:rPr>
          <w:rFonts w:hint="eastAsia" w:ascii="宋体" w:hAnsi="宋体" w:cs="宋体"/>
          <w:bCs/>
          <w:color w:val="auto"/>
          <w:kern w:val="0"/>
          <w:sz w:val="24"/>
          <w:szCs w:val="24"/>
          <w:highlight w:val="none"/>
        </w:rPr>
        <w:t>经磋商确定最终采购需求和提交最后报价的供应商后，</w:t>
      </w:r>
      <w:r>
        <w:rPr>
          <w:rFonts w:hint="eastAsia" w:ascii="宋体" w:hAnsi="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3.5汇总商务技术得分。</w:t>
      </w:r>
      <w:r>
        <w:rPr>
          <w:rFonts w:hint="eastAsia" w:ascii="宋体" w:hAnsi="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3.6报价评审。</w:t>
      </w:r>
    </w:p>
    <w:p>
      <w:pPr>
        <w:pStyle w:val="133"/>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3.6.1响应文件报价出现前后不一致的，按照下列规定修正：</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3.6.1.1响应文件中已标价工程量清单内容与响应文件中相应内容不一致的，以已标价工程量清单为准；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3.6.1.2大写金额和小写金额不一致的，以大写金额为准；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3.6.1.3单价金额小数点或者百分比有明显错位的，以已标价工程量清单的总价为准，并修改单价；</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3.6.1.4总价金额与按单价汇总金额不一致的，以单价金额计算结果为准。</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3.6.1.5同时出现两种以上不一致的，按照3.6.1规定的顺序修正。修正后的报价经供应商确认后产生约束力。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3.6.2响应文件出现不是唯一的、有选择性最后报价的，响应文件无效。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3.6.3最后报价超过采购文件中规定的预算金额或者最高限价的，响应文件无效。</w:t>
      </w:r>
    </w:p>
    <w:p>
      <w:pPr>
        <w:pStyle w:val="133"/>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3.6.4对于未预留份额专门面向中小企业的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工程项目，以及预留份额</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3.7排序与推荐。</w:t>
      </w:r>
      <w:r>
        <w:rPr>
          <w:rFonts w:hint="eastAsia" w:ascii="宋体" w:hAnsi="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pPr>
        <w:keepNext w:val="0"/>
        <w:keepLines w:val="0"/>
        <w:pageBreakBefore w:val="0"/>
        <w:widowControl w:val="0"/>
        <w:kinsoku/>
        <w:wordWrap/>
        <w:overflowPunct/>
        <w:topLinePunct w:val="0"/>
        <w:autoSpaceDE/>
        <w:autoSpaceDN/>
        <w:bidi w:val="0"/>
        <w:spacing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3.8编写评审报告。</w:t>
      </w:r>
      <w:r>
        <w:rPr>
          <w:rFonts w:hint="eastAsia" w:ascii="宋体" w:hAnsi="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四、评审中的其他事项</w:t>
      </w:r>
    </w:p>
    <w:p>
      <w:pPr>
        <w:pStyle w:val="133"/>
        <w:keepNext w:val="0"/>
        <w:keepLines w:val="0"/>
        <w:pageBreakBefore w:val="0"/>
        <w:widowControl w:val="0"/>
        <w:kinsoku/>
        <w:wordWrap/>
        <w:overflowPunct/>
        <w:topLinePunct w:val="0"/>
        <w:autoSpaceDE/>
        <w:autoSpaceDN/>
        <w:bidi w:val="0"/>
        <w:spacing w:before="0" w:line="360" w:lineRule="auto"/>
        <w:ind w:firstLine="471"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4.1供应商澄清、说明或者补正。</w:t>
      </w:r>
      <w:r>
        <w:rPr>
          <w:rFonts w:hint="eastAsia" w:ascii="宋体" w:hAnsi="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4.2响应文件无效。</w:t>
      </w:r>
      <w:r>
        <w:rPr>
          <w:rFonts w:hint="eastAsia" w:cs="宋体"/>
          <w:color w:val="auto"/>
          <w:sz w:val="24"/>
          <w:szCs w:val="24"/>
          <w:highlight w:val="none"/>
        </w:rPr>
        <w:t>有下列情形之一的，响应文件无效：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4.2.1供应商不具备采购文件中规定的资格要求的（供应商未提供有效的资格文件的，视为供应商不具备采购文件中规定的资格要求）；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4.2.2响应文件未按照采购文件要求签署、盖章的；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4.2.4响应文件含有采购人不能接受的附加条件的；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4.2.5响应文件中承诺的响应文件有效期少于采购文件中载明的响应文件有效期的；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4.2.6响应文件出现不是唯一的、有选择性最后报价的；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4.2.7最后报价超过采购文件中规定的预算金额或者最高限价的；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4.2.9供应商对根据修正原则修正后的报价不确认的；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4.2.10供应商提供虚假材料响应的；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4.2.11供应商有恶意串通、妨碍其他供应商的竞争行为、损害采购人或者其他供应商的合法权益情形的；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4.2.12供应商仅提交备份响应文件，未在电子交易平台传输递交响应文件的，响应文件无效；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4.2.13 响应文件不满足采购文件的其它实质性要求的；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4.2.14法律、法规、规章（适用本市的）及省级以上规范性文件（适用本市的）规定的其他无效情形。</w:t>
      </w:r>
    </w:p>
    <w:p>
      <w:pPr>
        <w:pStyle w:val="24"/>
        <w:keepNext w:val="0"/>
        <w:keepLines w:val="0"/>
        <w:pageBreakBefore w:val="0"/>
        <w:widowControl w:val="0"/>
        <w:kinsoku/>
        <w:wordWrap/>
        <w:overflowPunct/>
        <w:topLinePunct w:val="0"/>
        <w:autoSpaceDE/>
        <w:autoSpaceDN/>
        <w:bidi w:val="0"/>
        <w:snapToGrid w:val="0"/>
        <w:spacing w:line="360" w:lineRule="auto"/>
        <w:ind w:firstLine="471" w:firstLineChars="196"/>
        <w:textAlignment w:val="auto"/>
        <w:rPr>
          <w:rFonts w:cs="宋体"/>
          <w:color w:val="auto"/>
          <w:sz w:val="24"/>
          <w:szCs w:val="24"/>
          <w:highlight w:val="none"/>
        </w:rPr>
      </w:pPr>
      <w:r>
        <w:rPr>
          <w:rFonts w:hint="eastAsia" w:cs="宋体"/>
          <w:b/>
          <w:color w:val="auto"/>
          <w:sz w:val="24"/>
          <w:szCs w:val="24"/>
          <w:highlight w:val="none"/>
        </w:rPr>
        <w:t>5.终止竞争性磋商采购活动。</w:t>
      </w:r>
      <w:r>
        <w:rPr>
          <w:rFonts w:hint="eastAsia" w:cs="宋体"/>
          <w:color w:val="auto"/>
          <w:sz w:val="24"/>
          <w:szCs w:val="24"/>
          <w:highlight w:val="none"/>
        </w:rPr>
        <w:t>出现下列情形之一的，采购人或者采购代理机构应当终止竞争性磋商采购活动，发布项目终止公告并说明原因，重新开展采购活动：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5.1因情况变化，不再符合规定的竞争性磋商采购方式适用情形的；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5.3除本办法第二十一条第三款规定的情形外，在采购过程中符合要求的供应商或者报价未超过采购预算的供应商不足3家的。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4"/>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6.重新开展采购。</w:t>
      </w:r>
      <w:r>
        <w:rPr>
          <w:rFonts w:hint="eastAsia" w:cs="宋体"/>
          <w:color w:val="auto"/>
          <w:sz w:val="24"/>
          <w:szCs w:val="24"/>
          <w:highlight w:val="none"/>
        </w:rPr>
        <w:t>有</w:t>
      </w:r>
      <w:r>
        <w:rPr>
          <w:rFonts w:hint="eastAsia" w:cs="宋体"/>
          <w:color w:val="auto"/>
          <w:sz w:val="24"/>
          <w:szCs w:val="24"/>
          <w:highlight w:val="none"/>
          <w:lang w:val="en-US" w:eastAsia="zh-CN"/>
        </w:rPr>
        <w:t>以下</w:t>
      </w:r>
      <w:r>
        <w:rPr>
          <w:rFonts w:hint="eastAsia" w:cs="宋体"/>
          <w:color w:val="auto"/>
          <w:sz w:val="24"/>
          <w:szCs w:val="24"/>
          <w:highlight w:val="none"/>
        </w:rPr>
        <w:t>违法行为之一，影响或者可能影响成交结果的，依照下列规定处理：</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6.1未确定成交供应商的，终止本次</w:t>
      </w:r>
      <w:r>
        <w:rPr>
          <w:rFonts w:hint="eastAsia" w:cs="宋体"/>
          <w:color w:val="auto"/>
          <w:sz w:val="24"/>
          <w:szCs w:val="24"/>
          <w:highlight w:val="none"/>
          <w:lang w:eastAsia="zh-CN"/>
        </w:rPr>
        <w:t>采购</w:t>
      </w:r>
      <w:r>
        <w:rPr>
          <w:rFonts w:hint="eastAsia" w:cs="宋体"/>
          <w:color w:val="auto"/>
          <w:sz w:val="24"/>
          <w:szCs w:val="24"/>
          <w:highlight w:val="none"/>
        </w:rPr>
        <w:t>活动，重新开展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6.2已确定成交供应商但尚未签订</w:t>
      </w:r>
      <w:r>
        <w:rPr>
          <w:rFonts w:hint="eastAsia" w:cs="宋体"/>
          <w:color w:val="auto"/>
          <w:sz w:val="24"/>
          <w:szCs w:val="24"/>
          <w:highlight w:val="none"/>
          <w:lang w:eastAsia="zh-CN"/>
        </w:rPr>
        <w:t>采购</w:t>
      </w:r>
      <w:r>
        <w:rPr>
          <w:rFonts w:hint="eastAsia" w:cs="宋体"/>
          <w:color w:val="auto"/>
          <w:sz w:val="24"/>
          <w:szCs w:val="24"/>
          <w:highlight w:val="none"/>
        </w:rPr>
        <w:t>合同的，成交结果无效，从合格的成交候选供应商中另行确定成交供应商；没有合格的成交候选供应商的，重新开展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6.3</w:t>
      </w:r>
      <w:r>
        <w:rPr>
          <w:rFonts w:hint="eastAsia" w:cs="宋体"/>
          <w:color w:val="auto"/>
          <w:sz w:val="24"/>
          <w:szCs w:val="24"/>
          <w:highlight w:val="none"/>
          <w:lang w:eastAsia="zh-CN"/>
        </w:rPr>
        <w:t>采购</w:t>
      </w:r>
      <w:r>
        <w:rPr>
          <w:rFonts w:hint="eastAsia" w:cs="宋体"/>
          <w:color w:val="auto"/>
          <w:sz w:val="24"/>
          <w:szCs w:val="24"/>
          <w:highlight w:val="none"/>
        </w:rPr>
        <w:t>合同已签订但尚未履行的，撤销合同，从合格的成交候选供应商中另行确定成交供应商；没有合格的成交候选供应商的，重新开展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6.4</w:t>
      </w:r>
      <w:r>
        <w:rPr>
          <w:rFonts w:hint="eastAsia" w:cs="宋体"/>
          <w:color w:val="auto"/>
          <w:sz w:val="24"/>
          <w:szCs w:val="24"/>
          <w:highlight w:val="none"/>
          <w:lang w:eastAsia="zh-CN"/>
        </w:rPr>
        <w:t>采购</w:t>
      </w:r>
      <w:r>
        <w:rPr>
          <w:rFonts w:hint="eastAsia" w:cs="宋体"/>
          <w:color w:val="auto"/>
          <w:sz w:val="24"/>
          <w:szCs w:val="24"/>
          <w:highlight w:val="none"/>
        </w:rPr>
        <w:t>合同已经履行，给采购人、供应商造成损失的，由责任人承担赔偿责任。</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6.5</w:t>
      </w:r>
      <w:r>
        <w:rPr>
          <w:rFonts w:hint="eastAsia" w:cs="宋体"/>
          <w:color w:val="auto"/>
          <w:sz w:val="24"/>
          <w:szCs w:val="24"/>
          <w:highlight w:val="none"/>
          <w:lang w:eastAsia="zh-CN"/>
        </w:rPr>
        <w:t>采购</w:t>
      </w:r>
      <w:r>
        <w:rPr>
          <w:rFonts w:hint="eastAsia" w:cs="宋体"/>
          <w:color w:val="auto"/>
          <w:sz w:val="24"/>
          <w:szCs w:val="24"/>
          <w:highlight w:val="none"/>
        </w:rPr>
        <w:t>当事人有其他违反政府采购法或者政府采购法实施条例等法律法规规定的行为，经改正后仍然影响或者可能影响成交结果或者依法被认定为成交无效的，依照6.1-6.4规定处理。</w:t>
      </w:r>
    </w:p>
    <w:p>
      <w:pPr>
        <w:pStyle w:val="24"/>
        <w:snapToGrid w:val="0"/>
        <w:spacing w:line="360" w:lineRule="auto"/>
        <w:ind w:firstLine="0" w:firstLineChars="0"/>
        <w:rPr>
          <w:rFonts w:cs="宋体"/>
          <w:color w:val="auto"/>
          <w:highlight w:val="none"/>
        </w:rPr>
        <w:sectPr>
          <w:pgSz w:w="11907" w:h="16840"/>
          <w:pgMar w:top="1440" w:right="1417" w:bottom="1440" w:left="1417" w:header="851" w:footer="850" w:gutter="0"/>
          <w:cols w:space="0" w:num="1"/>
        </w:sectPr>
      </w:pPr>
    </w:p>
    <w:bookmarkEnd w:id="17"/>
    <w:p>
      <w:pPr>
        <w:spacing w:line="360" w:lineRule="auto"/>
        <w:jc w:val="center"/>
        <w:outlineLvl w:val="0"/>
        <w:rPr>
          <w:rFonts w:ascii="宋体" w:hAnsi="宋体" w:cs="宋体"/>
          <w:b/>
          <w:color w:val="auto"/>
          <w:sz w:val="36"/>
          <w:szCs w:val="36"/>
          <w:highlight w:val="none"/>
        </w:rPr>
      </w:pPr>
      <w:bookmarkStart w:id="383" w:name="第五部分"/>
      <w:bookmarkStart w:id="384" w:name="_Toc86217003"/>
      <w:r>
        <w:rPr>
          <w:rFonts w:hint="eastAsia" w:ascii="宋体" w:hAnsi="宋体" w:cs="宋体"/>
          <w:b/>
          <w:color w:val="auto"/>
          <w:sz w:val="36"/>
          <w:szCs w:val="36"/>
          <w:highlight w:val="none"/>
        </w:rPr>
        <w:t>第五部分 拟签订的合同文本</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u w:val="single"/>
          <w:lang w:eastAsia="zh-CN"/>
        </w:rPr>
        <w:t>杭州高级中学钱塘学校</w:t>
      </w:r>
    </w:p>
    <w:p>
      <w:pPr>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u w:val="single"/>
          <w:lang w:val="en-US" w:eastAsia="zh-CN"/>
        </w:rPr>
        <w:t xml:space="preserve">                         </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依据《中华人民共和国民法典》及有关的法律、法规规定，</w:t>
      </w:r>
      <w:r>
        <w:rPr>
          <w:rFonts w:hint="eastAsia" w:ascii="宋体" w:hAnsi="宋体" w:cs="宋体"/>
          <w:color w:val="auto"/>
          <w:sz w:val="24"/>
          <w:szCs w:val="24"/>
          <w:highlight w:val="none"/>
          <w:u w:val="single"/>
          <w:lang w:eastAsia="zh-CN"/>
        </w:rPr>
        <w:t>连廊校史文化建设三期</w:t>
      </w:r>
      <w:r>
        <w:rPr>
          <w:rFonts w:hint="eastAsia" w:ascii="宋体" w:hAnsi="宋体" w:cs="宋体"/>
          <w:color w:val="auto"/>
          <w:sz w:val="24"/>
          <w:szCs w:val="24"/>
          <w:highlight w:val="none"/>
        </w:rPr>
        <w:t>经竞争性磋商（项目编号：</w:t>
      </w:r>
      <w:r>
        <w:rPr>
          <w:rFonts w:hint="eastAsia" w:ascii="宋体" w:hAnsi="宋体" w:cs="宋体"/>
          <w:color w:val="auto"/>
          <w:sz w:val="24"/>
          <w:szCs w:val="24"/>
          <w:highlight w:val="none"/>
          <w:lang w:eastAsia="zh-CN"/>
        </w:rPr>
        <w:t>HGQT-2025-S04</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为施工单位。经双方协商，达成以下条款。具体如下：</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、工程概况</w:t>
      </w:r>
    </w:p>
    <w:p>
      <w:pPr>
        <w:spacing w:line="360" w:lineRule="auto"/>
        <w:ind w:left="488" w:leftChars="228" w:right="-306" w:hanging="9" w:hangingChars="4"/>
        <w:rPr>
          <w:rFonts w:ascii="宋体" w:hAnsi="宋体"/>
          <w:color w:val="auto"/>
          <w:sz w:val="24"/>
          <w:highlight w:val="none"/>
          <w:u w:val="single"/>
        </w:rPr>
      </w:pPr>
      <w:r>
        <w:rPr>
          <w:rFonts w:hint="eastAsia" w:ascii="宋体" w:hAnsi="宋体"/>
          <w:color w:val="auto"/>
          <w:sz w:val="24"/>
          <w:highlight w:val="none"/>
        </w:rPr>
        <w:t>工程名称：</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highlight w:val="none"/>
          <w:u w:val="single"/>
        </w:rPr>
        <w:t xml:space="preserve">          </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none"/>
        </w:rPr>
        <w:t>详见：</w:t>
      </w:r>
      <w:r>
        <w:rPr>
          <w:rFonts w:hint="eastAsia" w:ascii="宋体" w:hAnsi="宋体"/>
          <w:color w:val="auto"/>
          <w:sz w:val="24"/>
          <w:highlight w:val="none"/>
          <w:u w:val="single"/>
        </w:rPr>
        <w:t>招标文件。</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、合同价</w:t>
      </w:r>
    </w:p>
    <w:p>
      <w:pPr>
        <w:spacing w:line="360" w:lineRule="auto"/>
        <w:ind w:right="-304" w:firstLine="470" w:firstLineChars="196"/>
        <w:rPr>
          <w:rFonts w:ascii="宋体" w:hAnsi="宋体"/>
          <w:color w:val="auto"/>
          <w:sz w:val="24"/>
          <w:highlight w:val="none"/>
        </w:rPr>
      </w:pPr>
      <w:r>
        <w:rPr>
          <w:rFonts w:hint="eastAsia" w:ascii="宋体" w:hAnsi="宋体"/>
          <w:color w:val="auto"/>
          <w:sz w:val="24"/>
          <w:highlight w:val="none"/>
        </w:rPr>
        <w:t>本工程合同价为人民币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default" w:ascii="Arial" w:hAnsi="Arial" w:cs="Arial"/>
          <w:b/>
          <w:color w:val="auto"/>
          <w:sz w:val="24"/>
          <w:highlight w:val="none"/>
        </w:rPr>
        <w:t>¥</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w:t>
      </w:r>
    </w:p>
    <w:p>
      <w:pPr>
        <w:spacing w:line="360" w:lineRule="auto"/>
        <w:ind w:right="-304"/>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3、项目经理</w:t>
      </w:r>
    </w:p>
    <w:p>
      <w:pPr>
        <w:spacing w:line="360" w:lineRule="auto"/>
        <w:ind w:right="-306" w:firstLine="470" w:firstLineChars="196"/>
        <w:rPr>
          <w:rFonts w:ascii="宋体" w:hAnsi="宋体"/>
          <w:color w:val="auto"/>
          <w:sz w:val="24"/>
          <w:highlight w:val="none"/>
          <w:u w:val="single"/>
        </w:rPr>
      </w:pPr>
      <w:r>
        <w:rPr>
          <w:rFonts w:hint="eastAsia" w:ascii="宋体" w:hAnsi="宋体"/>
          <w:color w:val="auto"/>
          <w:sz w:val="24"/>
          <w:highlight w:val="none"/>
        </w:rPr>
        <w:t>承包方的项目经理：</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rPr>
        <w:t>执业证书</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工程未经业主允许，不得分包和转包。本合同在实施中，如承包人的施工队伍素质、力量、机械配备不符合投标书的承诺，造成现场管理混乱，工程质量和进度明显达不到预定计划时，发包人有权要求其整改并充实施工力量，承包人必须接受，否则作违约处理，直至终止合同。</w:t>
      </w:r>
    </w:p>
    <w:p>
      <w:pPr>
        <w:spacing w:line="360" w:lineRule="auto"/>
        <w:ind w:right="-304" w:firstLine="471" w:firstLineChars="196"/>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、承包方式</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本合同价款</w:t>
      </w:r>
      <w:r>
        <w:rPr>
          <w:rFonts w:hint="eastAsia" w:ascii="宋体" w:hAnsi="宋体"/>
          <w:color w:val="auto"/>
          <w:sz w:val="24"/>
          <w:highlight w:val="none"/>
          <w:lang w:val="en-US" w:eastAsia="zh-CN"/>
        </w:rPr>
        <w:t>施工范围内</w:t>
      </w:r>
      <w:r>
        <w:rPr>
          <w:rFonts w:hint="eastAsia" w:ascii="宋体" w:hAnsi="宋体"/>
          <w:color w:val="auto"/>
          <w:sz w:val="24"/>
          <w:highlight w:val="none"/>
        </w:rPr>
        <w:t>采用总价包干法</w:t>
      </w:r>
      <w:r>
        <w:rPr>
          <w:rFonts w:ascii="宋体" w:hAnsi="宋体"/>
          <w:color w:val="auto"/>
          <w:sz w:val="24"/>
          <w:highlight w:val="none"/>
        </w:rPr>
        <w:t>。</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合同价款中包括的风险范围：除不可抗力外，其他因素均包括在风险因素之内。</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施工中发包人需对原工程设计进行变更，应提前14天以书面形式向承包人发出变更通知。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变更需发包人和设计单位认可后方可组织施工，承包人可以根据本工程特点和现场实际情况提出合理化的变更申请，报监理（如有）、审计单位（如有）审核，并报发包人确认。发包人有权对工程提出不受约束的变更，承包人应无条件接受变更。</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承包人在工程变更确定后14天内，提出变更工程价款的报告，经监理、发包人或发包人委托的造价机构审核同意后调整合同价款。变更合同价款按下列方法进行：</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（1）合同中已有适用于变更工程的价格，按合同已有的价格变更合同价款；</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（2）合同中只有类似于变更工程的价格，可以参照类似价格变更合同价款；</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（3）合同中没有适用或类似于变更工程的价格，由承包人提出适当的变更价格，经监理、发包人委托的造价机构审核，并经发包人确认后变更合同价款。</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、施工场地交接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5.1发包人提供工程施工所必须的水源、电源。施工区域范围内的通水、通电由承包人自行解决。</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5.2全部工程验收合格，自双方签署工程交工验收证书之日起，7天内承包人的人员、机具、材料必须全部退场，清理好施工现场。若拖延清场，按拖延工期处罚。</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、工程质量及其管理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6.3所有隐蔽工程，承包人均应填写隐蔽工程验收单，并提前</w:t>
      </w:r>
      <w:r>
        <w:rPr>
          <w:rFonts w:ascii="宋体" w:hAnsi="宋体"/>
          <w:color w:val="auto"/>
          <w:sz w:val="24"/>
          <w:highlight w:val="none"/>
        </w:rPr>
        <w:t>24</w:t>
      </w:r>
      <w:r>
        <w:rPr>
          <w:rFonts w:hint="eastAsia" w:ascii="宋体" w:hAnsi="宋体"/>
          <w:color w:val="auto"/>
          <w:sz w:val="24"/>
          <w:highlight w:val="none"/>
        </w:rPr>
        <w:t>小时通知现场监理工程师，经现场监理工程师检验合格签证后，方可进行下一道工序施工。</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、工期及开工要求</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7.1本工程合同工期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日历天，开工日期以发包人发出的开工令为准。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7.2合同工期如遇下列情况，经双方协商，可作相应顺延：</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（1）重大设计变更而确实影响到施工进度。</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（2）发包人未按合同规定支付工程款并确实影响到施工进度。</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（3）不可抗力因素。</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上述工期必须在发生后的三天内办理签证，逾期不予认可。</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、设计</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本项目设计由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承担进行深化设计。</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、材料供应</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（1）本工程发包范围内除甲供材料外的所有材料均由承包人采购。</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材料设备采购应根据招标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、工程验收与保修</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10.1承包方必须按照施工验收规范的要求，及时做好有关的工程施工记录，并在现场监理工程师的参与下，做好工程技术资料的整理。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10.2工程交工验收，应以技术交底资料及设计变更联系单、国家和省颁发的施工验收规范和质量检验评定标准为依据。经验收，如有不合格工程，承包人应无条件返工整改，直至验收合格。由此追加的费用和延误的工期由承包人负责。验收产生的相关专家等费用由承包人承担。</w:t>
      </w:r>
    </w:p>
    <w:p>
      <w:pPr>
        <w:spacing w:line="360" w:lineRule="auto"/>
        <w:ind w:right="-306" w:firstLine="480"/>
        <w:rPr>
          <w:rFonts w:ascii="宋体" w:hAnsi="宋体"/>
          <w:color w:val="auto"/>
          <w:sz w:val="24"/>
          <w:highlight w:val="none"/>
        </w:rPr>
      </w:pPr>
      <w:r>
        <w:rPr>
          <w:rFonts w:hint="eastAsia" w:ascii="宋体" w:hAnsi="宋体"/>
          <w:color w:val="auto"/>
          <w:sz w:val="24"/>
          <w:highlight w:val="none"/>
        </w:rPr>
        <w:t>10.3竣工日期以通过验收日期为准，工程竣工后，承包人应向发包人提交四套完整的工程竣工资料。</w:t>
      </w:r>
    </w:p>
    <w:p>
      <w:pPr>
        <w:spacing w:line="360" w:lineRule="auto"/>
        <w:ind w:right="-304" w:firstLine="480"/>
        <w:rPr>
          <w:rFonts w:ascii="宋体" w:hAnsi="宋体"/>
          <w:b/>
          <w:color w:val="auto"/>
          <w:sz w:val="24"/>
          <w:highlight w:val="none"/>
        </w:rPr>
      </w:pPr>
      <w:r>
        <w:rPr>
          <w:rFonts w:ascii="宋体" w:hAnsi="宋体"/>
          <w:b/>
          <w:color w:val="auto"/>
          <w:sz w:val="24"/>
          <w:highlight w:val="none"/>
        </w:rPr>
        <w:t>11</w:t>
      </w:r>
      <w:r>
        <w:rPr>
          <w:rFonts w:hint="eastAsia" w:ascii="宋体" w:hAnsi="宋体"/>
          <w:b/>
          <w:color w:val="auto"/>
          <w:sz w:val="24"/>
          <w:highlight w:val="none"/>
        </w:rPr>
        <w:t>双方责任</w:t>
      </w:r>
    </w:p>
    <w:p>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11.1 </w:t>
      </w:r>
      <w:r>
        <w:rPr>
          <w:rFonts w:hint="eastAsia" w:ascii="宋体" w:hAnsi="宋体"/>
          <w:color w:val="auto"/>
          <w:sz w:val="24"/>
          <w:highlight w:val="none"/>
        </w:rPr>
        <w:t>发包人</w:t>
      </w:r>
    </w:p>
    <w:p>
      <w:pPr>
        <w:numPr>
          <w:ilvl w:val="0"/>
          <w:numId w:val="8"/>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合同签订后向承包人提供施工图及有关技术资料</w:t>
      </w:r>
      <w:r>
        <w:rPr>
          <w:rFonts w:ascii="宋体" w:hAnsi="宋体"/>
          <w:color w:val="auto"/>
          <w:sz w:val="24"/>
          <w:highlight w:val="none"/>
        </w:rPr>
        <w:t>5</w:t>
      </w:r>
      <w:r>
        <w:rPr>
          <w:rFonts w:hint="eastAsia" w:ascii="宋体" w:hAnsi="宋体"/>
          <w:color w:val="auto"/>
          <w:sz w:val="24"/>
          <w:highlight w:val="none"/>
        </w:rPr>
        <w:t>套。</w:t>
      </w:r>
    </w:p>
    <w:p>
      <w:pPr>
        <w:numPr>
          <w:ilvl w:val="0"/>
          <w:numId w:val="8"/>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提供施工所需水源、电源。</w:t>
      </w:r>
    </w:p>
    <w:p>
      <w:pPr>
        <w:numPr>
          <w:ilvl w:val="0"/>
          <w:numId w:val="8"/>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组织设计单位进行施工图交底、会审，做好由发包方、承包方、监理三方签署的交底、会审纪要，并在六天内送达有关单位。</w:t>
      </w:r>
    </w:p>
    <w:p>
      <w:pPr>
        <w:numPr>
          <w:ilvl w:val="0"/>
          <w:numId w:val="8"/>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审核工程进度报表，按合同规定及时向承包方支付工程进度款。</w:t>
      </w:r>
    </w:p>
    <w:p>
      <w:pPr>
        <w:numPr>
          <w:ilvl w:val="0"/>
          <w:numId w:val="8"/>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派驻现场监理工程师代表，发包人代表，对工程进度、工程质量、工程合同的执行情况进行监督和检查，负责设计变更签证，工程中间验收，工程进度款签证和其它必要的签证。</w:t>
      </w:r>
    </w:p>
    <w:p>
      <w:pPr>
        <w:numPr>
          <w:ilvl w:val="0"/>
          <w:numId w:val="8"/>
        </w:numPr>
        <w:spacing w:line="360" w:lineRule="auto"/>
        <w:ind w:right="-306"/>
        <w:rPr>
          <w:rFonts w:ascii="宋体" w:hAnsi="宋体"/>
          <w:color w:val="auto"/>
          <w:sz w:val="24"/>
          <w:highlight w:val="none"/>
        </w:rPr>
      </w:pPr>
      <w:r>
        <w:rPr>
          <w:rFonts w:hint="eastAsia" w:ascii="宋体" w:hAnsi="宋体"/>
          <w:color w:val="auto"/>
          <w:sz w:val="24"/>
          <w:highlight w:val="none"/>
        </w:rPr>
        <w:t>组织对工程的交工验收，负责工程结算。</w:t>
      </w:r>
    </w:p>
    <w:p>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11.2 </w:t>
      </w:r>
      <w:r>
        <w:rPr>
          <w:rFonts w:hint="eastAsia" w:ascii="宋体" w:hAnsi="宋体"/>
          <w:color w:val="auto"/>
          <w:sz w:val="24"/>
          <w:highlight w:val="none"/>
        </w:rPr>
        <w:t>承包人</w:t>
      </w:r>
    </w:p>
    <w:p>
      <w:pPr>
        <w:spacing w:line="360" w:lineRule="auto"/>
        <w:ind w:right="-306" w:firstLine="470" w:firstLineChars="196"/>
        <w:rPr>
          <w:rFonts w:hint="eastAsia" w:ascii="宋体" w:hAnsi="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履约保证金：</w:t>
      </w:r>
    </w:p>
    <w:p>
      <w:pPr>
        <w:spacing w:line="360" w:lineRule="auto"/>
        <w:ind w:right="-306"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本项目不设履约保证金</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本合同签订后7个工作日内，承包人必须向发包人交纳</w:t>
      </w:r>
      <w:r>
        <w:rPr>
          <w:rFonts w:hint="eastAsia" w:ascii="宋体" w:hAnsi="宋体"/>
          <w:b/>
          <w:color w:val="auto"/>
          <w:sz w:val="24"/>
          <w:highlight w:val="none"/>
          <w:u w:val="single"/>
        </w:rPr>
        <w:t>合同款</w:t>
      </w:r>
      <w:r>
        <w:rPr>
          <w:rFonts w:hint="eastAsia" w:ascii="宋体" w:hAnsi="宋体"/>
          <w:b/>
          <w:color w:val="auto"/>
          <w:sz w:val="24"/>
          <w:highlight w:val="none"/>
          <w:u w:val="single"/>
          <w:lang w:val="en-US" w:eastAsia="zh-CN"/>
        </w:rPr>
        <w:t xml:space="preserve">  /  </w:t>
      </w:r>
      <w:r>
        <w:rPr>
          <w:rFonts w:hint="eastAsia" w:ascii="宋体" w:hAnsi="宋体"/>
          <w:b/>
          <w:color w:val="auto"/>
          <w:sz w:val="24"/>
          <w:highlight w:val="none"/>
          <w:u w:val="single"/>
        </w:rPr>
        <w:t>%</w:t>
      </w:r>
      <w:r>
        <w:rPr>
          <w:rFonts w:hint="eastAsia" w:ascii="宋体" w:hAnsi="宋体"/>
          <w:color w:val="auto"/>
          <w:sz w:val="24"/>
          <w:highlight w:val="none"/>
        </w:rPr>
        <w:t>履约保证金。缴纳方式：转账支票或电汇或银行汇票或金融机构、担保机构出具的保函等非现金形式；</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）承包人按合同工期要求进行施工。</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）编制施工组织设计和施工方案、施工进度计划、材料等进场计划，用水、用电计划，开工、交工报告书、施工检验资料等，及时送业主、发包人及有关单位。</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）严格按照施工图和相关规范施工，确保工程质量，按合同规定的时间如期完工和交付。</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）提供竣工验收技术资料，提供完整的竣工资料，提出工程结算资料，参加竣工验收，负责做到工完场清，验收后一周内施工队伍全部撤清。</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）在工程质保期间，对属于承包方责任的工程质量问题，应负责无偿修理。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）本工程不得转包、分包，否则作违约处理。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承包人应精心组织施工，做到文明施工，文明管理，保持现场清洁，强化安全意识，抓好安全生产和杜绝一切事故的发生，施工中发生安全及人身事故责任均由承包人负责处理，全部费用由承包人承担。承包人应购买相关保险并承担费用。</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（9）承包人施工完成后，必须及时修复由于施工损坏的基础设施，并承担相关费用。</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、工程价款的支付与结算</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（1）项目合同签订后</w:t>
      </w:r>
      <w:r>
        <w:rPr>
          <w:rFonts w:hint="eastAsia" w:ascii="宋体" w:hAnsi="宋体"/>
          <w:color w:val="auto"/>
          <w:sz w:val="24"/>
          <w:highlight w:val="none"/>
          <w:lang w:val="en-US" w:eastAsia="zh-CN"/>
        </w:rPr>
        <w:t>具备实施条件7</w:t>
      </w:r>
      <w:r>
        <w:rPr>
          <w:rFonts w:hint="eastAsia" w:ascii="宋体" w:hAnsi="宋体"/>
          <w:color w:val="auto"/>
          <w:sz w:val="24"/>
          <w:highlight w:val="none"/>
        </w:rPr>
        <w:t>个</w:t>
      </w:r>
      <w:r>
        <w:rPr>
          <w:rFonts w:hint="eastAsia" w:ascii="宋体" w:hAnsi="宋体"/>
          <w:color w:val="auto"/>
          <w:sz w:val="24"/>
          <w:highlight w:val="none"/>
          <w:lang w:val="en-US" w:eastAsia="zh-CN"/>
        </w:rPr>
        <w:t>工作日</w:t>
      </w:r>
      <w:r>
        <w:rPr>
          <w:rFonts w:hint="eastAsia" w:ascii="宋体" w:hAnsi="宋体"/>
          <w:color w:val="auto"/>
          <w:sz w:val="24"/>
          <w:highlight w:val="none"/>
        </w:rPr>
        <w:t>内，支付</w:t>
      </w:r>
      <w:r>
        <w:rPr>
          <w:rFonts w:hint="eastAsia" w:ascii="宋体" w:hAnsi="宋体"/>
          <w:color w:val="auto"/>
          <w:sz w:val="24"/>
          <w:highlight w:val="none"/>
          <w:lang w:val="en-US" w:eastAsia="zh-CN"/>
        </w:rPr>
        <w:t>5</w:t>
      </w:r>
      <w:r>
        <w:rPr>
          <w:rFonts w:hint="eastAsia" w:ascii="宋体" w:hAnsi="宋体"/>
          <w:color w:val="auto"/>
          <w:sz w:val="24"/>
          <w:highlight w:val="none"/>
        </w:rPr>
        <w:t>0%首付款，即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（2）项目完成交付验收合格</w:t>
      </w:r>
      <w:r>
        <w:rPr>
          <w:rFonts w:hint="eastAsia" w:ascii="宋体" w:hAnsi="宋体"/>
          <w:color w:val="auto"/>
          <w:sz w:val="24"/>
          <w:szCs w:val="24"/>
          <w:highlight w:val="none"/>
        </w:rPr>
        <w:t>经审计</w:t>
      </w:r>
      <w:r>
        <w:rPr>
          <w:rFonts w:hint="eastAsia" w:ascii="宋体" w:hAnsi="宋体"/>
          <w:color w:val="auto"/>
          <w:sz w:val="24"/>
          <w:highlight w:val="none"/>
        </w:rPr>
        <w:t>后，支付剩余合同款项，即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13</w:t>
      </w:r>
      <w:r>
        <w:rPr>
          <w:rFonts w:hint="eastAsia" w:ascii="宋体" w:hAnsi="宋体"/>
          <w:b/>
          <w:color w:val="auto"/>
          <w:sz w:val="24"/>
          <w:highlight w:val="none"/>
        </w:rPr>
        <w:t>、违约责任</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（1）因承包人原因，工程不能按合同工期获得验收通过，每逾期一天，承包人须向发包人支付按1000元/天的违约金。</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（2）工程质量验收不合格，承担返修费用及工期。</w:t>
      </w:r>
    </w:p>
    <w:p>
      <w:pPr>
        <w:spacing w:line="360" w:lineRule="auto"/>
        <w:ind w:right="-304" w:firstLine="480" w:firstLineChars="20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工程</w:t>
      </w:r>
      <w:r>
        <w:rPr>
          <w:rFonts w:hint="eastAsia" w:ascii="宋体" w:hAnsi="宋体"/>
          <w:b/>
          <w:color w:val="auto"/>
          <w:sz w:val="24"/>
          <w:highlight w:val="none"/>
        </w:rPr>
        <w:t>保修期</w:t>
      </w:r>
    </w:p>
    <w:p>
      <w:pPr>
        <w:pStyle w:val="1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质保期限规定如下：24个月。</w:t>
      </w:r>
    </w:p>
    <w:p>
      <w:pPr>
        <w:spacing w:line="360" w:lineRule="auto"/>
        <w:ind w:right="-304" w:firstLine="480" w:firstLineChars="200"/>
        <w:rPr>
          <w:rFonts w:ascii="宋体" w:hAnsi="宋体"/>
          <w:b/>
          <w:color w:val="auto"/>
          <w:sz w:val="24"/>
          <w:highlight w:val="none"/>
        </w:rPr>
      </w:pPr>
      <w:r>
        <w:rPr>
          <w:rFonts w:hint="eastAsia" w:ascii="宋体" w:hAnsi="宋体"/>
          <w:color w:val="auto"/>
          <w:sz w:val="24"/>
          <w:highlight w:val="none"/>
        </w:rPr>
        <w:t>不可抗力因素或人为因素造成的损坏不在保修之列。质保期从验收合格之日算起。</w:t>
      </w:r>
    </w:p>
    <w:p>
      <w:pPr>
        <w:spacing w:line="360" w:lineRule="auto"/>
        <w:ind w:right="-304" w:firstLine="480"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5、附则</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15.1本合同包括以下附件：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招标文件（包括招标补充文件）；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投标书（包括投标补充文件）；</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合同履行中，双方就有关问题协商一致，达成的纪要或协议；</w:t>
      </w:r>
    </w:p>
    <w:p>
      <w:pPr>
        <w:spacing w:line="360" w:lineRule="auto"/>
        <w:ind w:right="-306" w:firstLine="590" w:firstLineChars="24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会议纪要、设计变更联系单、签证单及其它有关技术资料；</w:t>
      </w:r>
    </w:p>
    <w:p>
      <w:pPr>
        <w:spacing w:line="360" w:lineRule="auto"/>
        <w:ind w:right="-306" w:firstLine="590" w:firstLineChars="24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工程结算资料；</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所有附件与合同正本具有同等的法律效力，但合同签订之前产生的附件与合同正本有矛盾之处应以合同正本为准。</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15.2本合同自双方盖章、法定代表人签字后生效，至工程完工、按合同保修期满，全部条款履行完毕后失效。</w:t>
      </w:r>
    </w:p>
    <w:p>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15.3本合同双方如发生争执，双方友好协商，协商无效，可向杭州仲裁委员会提出仲裁。争议解决过程中，甲乙双方应保证工程的正常进行。</w:t>
      </w:r>
    </w:p>
    <w:p>
      <w:pPr>
        <w:spacing w:line="360" w:lineRule="auto"/>
        <w:ind w:right="-306" w:firstLine="470" w:firstLineChars="196"/>
        <w:rPr>
          <w:rFonts w:hint="eastAsia" w:ascii="宋体" w:hAnsi="宋体"/>
          <w:color w:val="auto"/>
          <w:sz w:val="24"/>
          <w:highlight w:val="none"/>
        </w:rPr>
      </w:pPr>
      <w:r>
        <w:rPr>
          <w:rFonts w:hint="eastAsia" w:ascii="宋体" w:hAnsi="宋体"/>
          <w:color w:val="auto"/>
          <w:sz w:val="24"/>
          <w:highlight w:val="none"/>
        </w:rPr>
        <w:t>15.4本合同正本</w:t>
      </w:r>
      <w:r>
        <w:rPr>
          <w:rFonts w:hint="eastAsia" w:ascii="宋体" w:hAnsi="宋体"/>
          <w:color w:val="auto"/>
          <w:sz w:val="24"/>
          <w:highlight w:val="none"/>
          <w:u w:val="single"/>
        </w:rPr>
        <w:t xml:space="preserve"> 壹 </w:t>
      </w:r>
      <w:r>
        <w:rPr>
          <w:rFonts w:hint="eastAsia" w:ascii="宋体" w:hAnsi="宋体"/>
          <w:color w:val="auto"/>
          <w:sz w:val="24"/>
          <w:highlight w:val="none"/>
        </w:rPr>
        <w:t>式</w:t>
      </w:r>
      <w:r>
        <w:rPr>
          <w:rFonts w:hint="eastAsia" w:ascii="宋体" w:hAnsi="宋体"/>
          <w:color w:val="auto"/>
          <w:sz w:val="24"/>
          <w:highlight w:val="none"/>
          <w:u w:val="single"/>
        </w:rPr>
        <w:t xml:space="preserve"> 陆 </w:t>
      </w:r>
      <w:r>
        <w:rPr>
          <w:rFonts w:hint="eastAsia" w:ascii="宋体" w:hAnsi="宋体"/>
          <w:color w:val="auto"/>
          <w:sz w:val="24"/>
          <w:highlight w:val="none"/>
        </w:rPr>
        <w:t>份，</w:t>
      </w:r>
      <w:r>
        <w:rPr>
          <w:rFonts w:hint="eastAsia" w:ascii="宋体" w:hAnsi="宋体"/>
          <w:color w:val="auto"/>
          <w:sz w:val="24"/>
          <w:highlight w:val="none"/>
          <w:lang w:eastAsia="zh-CN"/>
        </w:rPr>
        <w:t>发包人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r>
        <w:rPr>
          <w:rFonts w:hint="eastAsia" w:ascii="宋体" w:hAnsi="宋体"/>
          <w:color w:val="auto"/>
          <w:sz w:val="24"/>
          <w:highlight w:val="none"/>
          <w:lang w:eastAsia="zh-CN"/>
        </w:rPr>
        <w:t>承包人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p>
    <w:p>
      <w:pPr>
        <w:pageBreakBefore w:val="0"/>
        <w:widowControl w:val="0"/>
        <w:kinsoku/>
        <w:wordWrap/>
        <w:overflowPunct/>
        <w:topLinePunct w:val="0"/>
        <w:bidi w:val="0"/>
        <w:snapToGrid w:val="0"/>
        <w:spacing w:line="360" w:lineRule="auto"/>
        <w:ind w:firstLine="482"/>
        <w:textAlignment w:val="auto"/>
        <w:rPr>
          <w:rFonts w:hint="eastAsia" w:ascii="宋体" w:hAnsi="宋体" w:cs="宋体"/>
          <w:b/>
          <w:color w:val="auto"/>
          <w:sz w:val="22"/>
          <w:szCs w:val="28"/>
          <w:highlight w:val="none"/>
        </w:rPr>
      </w:pPr>
    </w:p>
    <w:p>
      <w:pPr>
        <w:pageBreakBefore w:val="0"/>
        <w:widowControl w:val="0"/>
        <w:kinsoku/>
        <w:wordWrap/>
        <w:overflowPunct/>
        <w:topLinePunct w:val="0"/>
        <w:bidi w:val="0"/>
        <w:snapToGrid w:val="0"/>
        <w:spacing w:line="360" w:lineRule="auto"/>
        <w:ind w:firstLine="482"/>
        <w:textAlignment w:val="auto"/>
        <w:rPr>
          <w:rFonts w:ascii="宋体" w:hAnsi="宋体" w:cs="宋体"/>
          <w:color w:val="auto"/>
          <w:sz w:val="22"/>
          <w:szCs w:val="28"/>
          <w:highlight w:val="none"/>
        </w:rPr>
      </w:pPr>
      <w:r>
        <w:rPr>
          <w:rFonts w:hint="eastAsia" w:ascii="宋体" w:hAnsi="宋体" w:cs="宋体"/>
          <w:b/>
          <w:color w:val="auto"/>
          <w:sz w:val="22"/>
          <w:szCs w:val="28"/>
          <w:highlight w:val="none"/>
        </w:rPr>
        <w:t>附件：</w:t>
      </w:r>
    </w:p>
    <w:p>
      <w:pPr>
        <w:pageBreakBefore w:val="0"/>
        <w:widowControl w:val="0"/>
        <w:kinsoku/>
        <w:wordWrap/>
        <w:overflowPunct/>
        <w:topLinePunct w:val="0"/>
        <w:bidi w:val="0"/>
        <w:adjustRightInd/>
        <w:snapToGrid w:val="0"/>
        <w:spacing w:line="360" w:lineRule="auto"/>
        <w:ind w:firstLine="424" w:firstLineChars="177"/>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附件1：建筑工程质量保修书</w:t>
      </w:r>
    </w:p>
    <w:p>
      <w:pPr>
        <w:adjustRightInd/>
        <w:ind w:firstLine="371" w:firstLineChars="177"/>
        <w:jc w:val="left"/>
        <w:rPr>
          <w:rFonts w:ascii="宋体" w:hAnsi="宋体" w:cs="宋体"/>
          <w:snapToGrid w:val="0"/>
          <w:color w:val="auto"/>
          <w:kern w:val="0"/>
          <w:szCs w:val="21"/>
          <w:highlight w:val="none"/>
        </w:rPr>
      </w:pPr>
    </w:p>
    <w:p>
      <w:pPr>
        <w:adjustRightInd w:val="0"/>
        <w:snapToGrid w:val="0"/>
        <w:spacing w:line="360" w:lineRule="auto"/>
        <w:rPr>
          <w:rFonts w:hint="eastAsia" w:ascii="宋体" w:hAnsi="宋体" w:cs="宋体"/>
          <w:color w:val="auto"/>
          <w:sz w:val="24"/>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pPr>
        <w:spacing w:before="162" w:line="440" w:lineRule="exact"/>
        <w:ind w:firstLine="48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u w:val="single"/>
        </w:rPr>
        <w:br w:type="page"/>
      </w:r>
      <w:bookmarkStart w:id="385" w:name="_Toc249091536"/>
      <w:bookmarkStart w:id="386" w:name="_Toc534620509"/>
      <w:r>
        <w:rPr>
          <w:rFonts w:hint="eastAsia" w:ascii="宋体" w:hAnsi="宋体" w:cs="宋体"/>
          <w:b/>
          <w:bCs/>
          <w:color w:val="auto"/>
          <w:sz w:val="24"/>
          <w:highlight w:val="none"/>
        </w:rPr>
        <w:t>附件1</w:t>
      </w:r>
      <w:r>
        <w:rPr>
          <w:rFonts w:hint="eastAsia" w:ascii="宋体" w:hAnsi="宋体" w:cs="宋体"/>
          <w:b/>
          <w:bCs/>
          <w:color w:val="auto"/>
          <w:sz w:val="24"/>
          <w:highlight w:val="none"/>
          <w:lang w:eastAsia="zh-CN"/>
        </w:rPr>
        <w:t>：</w:t>
      </w:r>
    </w:p>
    <w:bookmarkEnd w:id="385"/>
    <w:bookmarkEnd w:id="386"/>
    <w:p>
      <w:pPr>
        <w:adjustRightInd/>
        <w:spacing w:before="120" w:beforeLines="50" w:after="120" w:afterLines="50" w:line="288"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杭州高级中学钱塘学校</w:t>
      </w:r>
      <w:r>
        <w:rPr>
          <w:rFonts w:hint="eastAsia" w:ascii="宋体" w:hAnsi="宋体" w:cs="宋体"/>
          <w:snapToGrid w:val="0"/>
          <w:color w:val="auto"/>
          <w:kern w:val="0"/>
          <w:szCs w:val="21"/>
          <w:highlight w:val="none"/>
          <w:u w:val="single"/>
        </w:rPr>
        <w:t xml:space="preserve"> </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387" w:name="SOA_zyht_zlbxcbr"/>
      <w:r>
        <w:rPr>
          <w:rFonts w:hint="eastAsia" w:ascii="宋体" w:hAnsi="宋体" w:cs="宋体"/>
          <w:snapToGrid w:val="0"/>
          <w:color w:val="auto"/>
          <w:kern w:val="0"/>
          <w:szCs w:val="21"/>
          <w:highlight w:val="none"/>
          <w:u w:val="single"/>
        </w:rPr>
        <w:t xml:space="preserve"> </w:t>
      </w:r>
      <w:bookmarkEnd w:id="387"/>
      <w:r>
        <w:rPr>
          <w:rFonts w:hint="eastAsia" w:ascii="宋体" w:hAnsi="宋体" w:cs="宋体"/>
          <w:snapToGrid w:val="0"/>
          <w:color w:val="auto"/>
          <w:kern w:val="0"/>
          <w:szCs w:val="21"/>
          <w:highlight w:val="none"/>
          <w:u w:val="single"/>
        </w:rPr>
        <w:t xml:space="preserve">                     </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bookmarkStart w:id="388" w:name="SOA_zyht_gcqc"/>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bookmarkEnd w:id="38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杭州高级中学钱塘学校校舍外立面安全隐患改造</w:t>
      </w:r>
      <w:r>
        <w:rPr>
          <w:rFonts w:hint="eastAsia" w:ascii="宋体" w:hAnsi="宋体" w:cs="宋体"/>
          <w:snapToGrid w:val="0"/>
          <w:color w:val="auto"/>
          <w:kern w:val="0"/>
          <w:szCs w:val="21"/>
          <w:highlight w:val="none"/>
        </w:rPr>
        <w:t>）签订工程质量保修书。</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389"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389"/>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390" w:name="SOA_zyht_azbxnx"/>
      <w:r>
        <w:rPr>
          <w:rFonts w:hint="eastAsia" w:ascii="宋体" w:hAnsi="宋体" w:cs="宋体"/>
          <w:snapToGrid w:val="0"/>
          <w:color w:val="auto"/>
          <w:kern w:val="0"/>
          <w:szCs w:val="21"/>
          <w:highlight w:val="none"/>
          <w:u w:val="single"/>
        </w:rPr>
        <w:t xml:space="preserve"> </w:t>
      </w:r>
      <w:bookmarkEnd w:id="390"/>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391" w:name="SOA_zyht_gcqxq"/>
      <w:r>
        <w:rPr>
          <w:rFonts w:hint="eastAsia" w:ascii="宋体" w:hAnsi="宋体" w:cs="宋体"/>
          <w:snapToGrid w:val="0"/>
          <w:color w:val="auto"/>
          <w:kern w:val="0"/>
          <w:szCs w:val="21"/>
          <w:highlight w:val="none"/>
          <w:u w:val="single"/>
        </w:rPr>
        <w:t xml:space="preserve"> 24 </w:t>
      </w:r>
      <w:bookmarkEnd w:id="391"/>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6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pPr>
        <w:adjustRightInd/>
        <w:spacing w:line="360" w:lineRule="auto"/>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p>
    <w:p>
      <w:pPr>
        <w:adjustRightInd/>
        <w:spacing w:line="360" w:lineRule="auto"/>
        <w:ind w:firstLine="6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pPr>
        <w:adjustRightInd/>
        <w:spacing w:line="36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hint="eastAsia" w:ascii="宋体" w:hAnsi="宋体" w:cs="宋体"/>
          <w:snapToGrid w:val="0"/>
          <w:color w:val="auto"/>
          <w:kern w:val="0"/>
          <w:szCs w:val="21"/>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pPr>
              <w:pStyle w:val="83"/>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3"/>
      <w:r>
        <w:rPr>
          <w:rFonts w:hint="eastAsia" w:ascii="宋体" w:hAnsi="宋体" w:cs="宋体"/>
          <w:b/>
          <w:color w:val="auto"/>
          <w:sz w:val="36"/>
          <w:szCs w:val="20"/>
          <w:highlight w:val="none"/>
        </w:rPr>
        <w:t xml:space="preserve"> </w:t>
      </w:r>
      <w:bookmarkEnd w:id="38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活动应当具备的一般条件的承诺函……………（页码）</w:t>
      </w: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政策需满足的资格要求………………………………（页码）</w:t>
      </w: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left"/>
        <w:rPr>
          <w:rFonts w:ascii="宋体" w:hAnsi="宋体" w:cs="宋体"/>
          <w:b/>
          <w:color w:val="auto"/>
          <w:kern w:val="0"/>
          <w:sz w:val="32"/>
          <w:szCs w:val="32"/>
          <w:highlight w:val="none"/>
        </w:rPr>
      </w:pPr>
    </w:p>
    <w:p>
      <w:pPr>
        <w:snapToGrid w:val="0"/>
        <w:spacing w:line="360" w:lineRule="auto"/>
        <w:ind w:right="480"/>
        <w:jc w:val="left"/>
        <w:rPr>
          <w:rFonts w:ascii="宋体" w:hAnsi="宋体" w:cs="宋体"/>
          <w:b/>
          <w:color w:val="auto"/>
          <w:kern w:val="0"/>
          <w:sz w:val="32"/>
          <w:szCs w:val="32"/>
          <w:highlight w:val="none"/>
        </w:rPr>
      </w:pPr>
    </w:p>
    <w:p>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营业执照</w:t>
      </w:r>
    </w:p>
    <w:p>
      <w:pPr>
        <w:widowControl/>
        <w:spacing w:line="360" w:lineRule="auto"/>
        <w:ind w:firstLine="641"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政策需满足的资格要求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政策需满足的资格要求选择提供相应的材料）</w:t>
      </w:r>
    </w:p>
    <w:p>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本项目专门面向小微企业</w:t>
      </w:r>
      <w:r>
        <w:rPr>
          <w:rFonts w:hint="eastAsia" w:ascii="宋体" w:hAnsi="宋体" w:cs="宋体"/>
          <w:b/>
          <w:color w:val="auto"/>
          <w:sz w:val="28"/>
          <w:szCs w:val="28"/>
          <w:highlight w:val="none"/>
          <w:lang w:eastAsia="zh-CN"/>
        </w:rPr>
        <w:t>）</w:t>
      </w:r>
    </w:p>
    <w:p>
      <w:pPr>
        <w:snapToGrid w:val="0"/>
        <w:spacing w:before="50" w:after="50" w:line="360" w:lineRule="auto"/>
        <w:ind w:firstLine="471" w:firstLineChars="196"/>
        <w:jc w:val="left"/>
        <w:rPr>
          <w:rFonts w:hint="eastAsia" w:ascii="宋体" w:hAnsi="宋体" w:cs="宋体"/>
          <w:b/>
          <w:color w:val="auto"/>
          <w:sz w:val="24"/>
          <w:highlight w:val="none"/>
        </w:rPr>
      </w:pPr>
    </w:p>
    <w:p>
      <w:pPr>
        <w:snapToGrid w:val="0"/>
        <w:spacing w:before="50" w:after="50"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 xml:space="preserve">企业，工程全部由符合政策要求的中小企业（或小微企业）承建的，提供相应的中小企业声明函（附件7）。 </w:t>
      </w:r>
    </w:p>
    <w:p>
      <w:pPr>
        <w:widowControl/>
        <w:spacing w:line="360" w:lineRule="auto"/>
        <w:ind w:firstLine="480"/>
        <w:jc w:val="left"/>
        <w:rPr>
          <w:rFonts w:ascii="宋体" w:hAnsi="宋体" w:cs="宋体"/>
          <w:color w:val="auto"/>
          <w:sz w:val="24"/>
          <w:highlight w:val="none"/>
        </w:rPr>
      </w:pPr>
    </w:p>
    <w:p>
      <w:pPr>
        <w:widowControl/>
        <w:spacing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pStyle w:val="61"/>
        <w:ind w:firstLine="420"/>
        <w:rPr>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3"/>
        <w:rPr>
          <w:rFonts w:ascii="宋体" w:hAnsi="宋体" w:eastAsia="宋体" w:cs="宋体"/>
          <w:b w:val="0"/>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响应函………………………………………………………………………………（页码）</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授权委托书或法定代表人（单位负责人、自然人本人）身份证明……………（页码）</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分包意向协议………………………………………………………………………（页码）</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符合性审查资料……………………………………………………………………（页码）</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评审标准相应的商务技术资料……………………………………………………（页码</w:t>
      </w:r>
      <w:r>
        <w:rPr>
          <w:rFonts w:hint="eastAsia" w:ascii="宋体" w:hAnsi="宋体" w:cs="宋体"/>
          <w:color w:val="auto"/>
          <w:sz w:val="24"/>
          <w:szCs w:val="24"/>
          <w:highlight w:val="none"/>
          <w:lang w:eastAsia="zh-CN"/>
        </w:rPr>
        <w:t>）</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商务技术偏离表……………………………………………………………………（页码）</w:t>
      </w:r>
    </w:p>
    <w:p>
      <w:pPr>
        <w:numPr>
          <w:ilvl w:val="0"/>
          <w:numId w:val="10"/>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】采购的有关活动，并对此项目提交响应文件及报价。为此：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2.3.1报价单；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hAnsi="仿宋_GB2312" w:cs="仿宋_GB2312"/>
          <w:bCs/>
          <w:snapToGrid w:val="0"/>
          <w:color w:val="auto"/>
          <w:sz w:val="24"/>
          <w:highlight w:val="none"/>
          <w:lang w:eastAsia="zh-CN"/>
        </w:rPr>
        <w:t>（</w:t>
      </w:r>
      <w:r>
        <w:rPr>
          <w:rFonts w:hint="eastAsia" w:hAnsi="仿宋_GB2312" w:cs="仿宋_GB2312"/>
          <w:bCs/>
          <w:snapToGrid w:val="0"/>
          <w:color w:val="auto"/>
          <w:sz w:val="24"/>
          <w:highlight w:val="none"/>
          <w:lang w:val="en-US" w:eastAsia="zh-CN"/>
        </w:rPr>
        <w:t>如果有</w:t>
      </w:r>
      <w:r>
        <w:rPr>
          <w:rFonts w:hint="eastAsia" w:hAnsi="仿宋_GB2312" w:cs="仿宋_GB2312"/>
          <w:bCs/>
          <w:snapToGrid w:val="0"/>
          <w:color w:val="auto"/>
          <w:sz w:val="24"/>
          <w:highlight w:val="none"/>
          <w:lang w:eastAsia="zh-CN"/>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2.3.3已标价工程量清单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ind w:left="5027" w:leftChars="2394" w:firstLine="0" w:firstLineChars="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both"/>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color w:val="auto"/>
          <w:sz w:val="24"/>
          <w:highlight w:val="none"/>
        </w:rPr>
      </w:pPr>
    </w:p>
    <w:p>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39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392"/>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left"/>
        <w:rPr>
          <w:rFonts w:hint="eastAsia" w:ascii="宋体" w:hAnsi="宋体" w:cs="仿宋_GB2312"/>
          <w:b/>
          <w:color w:val="auto"/>
          <w:sz w:val="24"/>
          <w:highlight w:val="none"/>
          <w:lang w:val="en-US" w:eastAsia="zh-CN"/>
        </w:rPr>
      </w:pPr>
    </w:p>
    <w:p>
      <w:pPr>
        <w:jc w:val="left"/>
        <w:rPr>
          <w:rFonts w:hint="eastAsia" w:ascii="宋体" w:hAnsi="宋体" w:cs="仿宋_GB2312"/>
          <w:b/>
          <w:color w:val="auto"/>
          <w:sz w:val="24"/>
          <w:highlight w:val="none"/>
          <w:lang w:val="en-US" w:eastAsia="zh-CN"/>
        </w:rPr>
      </w:pPr>
    </w:p>
    <w:p>
      <w:pPr>
        <w:jc w:val="left"/>
        <w:rPr>
          <w:rFonts w:ascii="宋体" w:hAnsi="宋体" w:cs="宋体"/>
          <w:b/>
          <w:color w:val="auto"/>
          <w:kern w:val="0"/>
          <w:sz w:val="32"/>
          <w:szCs w:val="32"/>
          <w:highlight w:val="none"/>
        </w:rPr>
      </w:pPr>
      <w:r>
        <w:rPr>
          <w:rFonts w:hint="eastAsia" w:ascii="宋体" w:hAnsi="宋体" w:cs="仿宋_GB2312"/>
          <w:b/>
          <w:color w:val="auto"/>
          <w:sz w:val="24"/>
          <w:highlight w:val="none"/>
          <w:lang w:val="en-US" w:eastAsia="zh-CN"/>
        </w:rPr>
        <w:t>参考格式，可酌情调整；</w:t>
      </w:r>
    </w:p>
    <w:p>
      <w:pPr>
        <w:keepNext/>
        <w:autoSpaceDE w:val="0"/>
        <w:autoSpaceDN w:val="0"/>
        <w:adjustRightInd w:val="0"/>
        <w:spacing w:line="360" w:lineRule="auto"/>
        <w:jc w:val="center"/>
        <w:rPr>
          <w:rFonts w:hint="eastAsia" w:ascii="宋体" w:hAnsi="宋体" w:cs="仿宋_GB2312"/>
          <w:b/>
          <w:color w:val="auto"/>
          <w:sz w:val="24"/>
          <w:highlight w:val="none"/>
        </w:rPr>
      </w:pPr>
      <w:r>
        <w:rPr>
          <w:rFonts w:hint="eastAsia" w:ascii="宋体" w:hAnsi="宋体" w:cs="仿宋_GB2312"/>
          <w:b/>
          <w:color w:val="auto"/>
          <w:sz w:val="24"/>
          <w:highlight w:val="none"/>
        </w:rPr>
        <w:t>附表A</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本项目的项目经理情况表</w:t>
      </w:r>
    </w:p>
    <w:p>
      <w:pPr>
        <w:pStyle w:val="83"/>
        <w:rPr>
          <w:rFonts w:hint="eastAsia" w:ascii="宋体" w:hAnsi="宋体" w:cs="仿宋_GB2312"/>
          <w:b/>
          <w:color w:val="auto"/>
          <w:sz w:val="24"/>
          <w:highlight w:val="none"/>
        </w:rPr>
      </w:pP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性别</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身份证号码</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学历</w:t>
            </w:r>
            <w:r>
              <w:rPr>
                <w:rFonts w:hint="eastAsia" w:ascii="宋体" w:hAnsi="宋体" w:cs="仿宋_GB2312"/>
                <w:color w:val="auto"/>
                <w:sz w:val="24"/>
                <w:highlight w:val="none"/>
                <w:lang w:val="en-US" w:eastAsia="zh-CN"/>
              </w:rPr>
              <w:t>/学位</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联系电话</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邮箱地址</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执业证书编号</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b/>
                <w:bCs/>
                <w:color w:val="auto"/>
                <w:sz w:val="24"/>
                <w:highlight w:val="none"/>
                <w:lang w:val="en-US" w:eastAsia="zh-CN"/>
              </w:rPr>
              <w:t>有无在建项目</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有，</w:t>
            </w:r>
            <w:r>
              <w:rPr>
                <w:rFonts w:hint="eastAsia" w:ascii="宋体" w:hAnsi="宋体" w:cs="仿宋_GB2312"/>
                <w:color w:val="auto"/>
                <w:sz w:val="24"/>
                <w:highlight w:val="none"/>
                <w:u w:val="single"/>
                <w:lang w:val="en-US" w:eastAsia="zh-CN"/>
              </w:rPr>
              <w:t xml:space="preserve">      </w:t>
            </w:r>
          </w:p>
        </w:tc>
      </w:tr>
      <w:tr>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工作履历</w:t>
            </w: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近年来管理实施业绩</w:t>
            </w: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noWrap w:val="0"/>
            <w:vAlign w:val="center"/>
          </w:tcPr>
          <w:p>
            <w:pPr>
              <w:pStyle w:val="959"/>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r>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_GB2312"/>
                <w:color w:val="auto"/>
                <w:sz w:val="24"/>
                <w:highlight w:val="none"/>
              </w:rPr>
            </w:pPr>
          </w:p>
        </w:tc>
      </w:tr>
    </w:tbl>
    <w:p>
      <w:pPr>
        <w:pStyle w:val="83"/>
        <w:rPr>
          <w:rFonts w:hint="eastAsia" w:ascii="宋体" w:hAnsi="宋体" w:cs="仿宋_GB2312"/>
          <w:b/>
          <w:color w:val="auto"/>
          <w:sz w:val="24"/>
          <w:highlight w:val="none"/>
        </w:rPr>
      </w:pPr>
    </w:p>
    <w:p>
      <w:pPr>
        <w:autoSpaceDE w:val="0"/>
        <w:autoSpaceDN w:val="0"/>
        <w:adjustRightIn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w:t>
      </w:r>
    </w:p>
    <w:p>
      <w:pPr>
        <w:autoSpaceDE w:val="0"/>
        <w:autoSpaceDN w:val="0"/>
        <w:adjustRightInd w:val="0"/>
        <w:spacing w:line="360" w:lineRule="auto"/>
        <w:rPr>
          <w:rFonts w:hint="eastAsia" w:ascii="宋体" w:hAnsi="宋体" w:cs="仿宋_GB2312"/>
          <w:b/>
          <w:color w:val="auto"/>
          <w:sz w:val="24"/>
          <w:highlight w:val="none"/>
        </w:rPr>
      </w:pPr>
    </w:p>
    <w:p>
      <w:pPr>
        <w:keepNext/>
        <w:autoSpaceDE w:val="0"/>
        <w:autoSpaceDN w:val="0"/>
        <w:adjustRightIn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hint="eastAsia" w:ascii="宋体" w:hAnsi="宋体" w:cs="仿宋_GB2312"/>
          <w:b/>
          <w:color w:val="auto"/>
          <w:sz w:val="24"/>
          <w:highlight w:val="none"/>
          <w:lang w:eastAsia="zh-CN"/>
        </w:rPr>
        <w:t>：</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trPr>
          <w:trHeight w:val="669" w:hRule="atLeast"/>
          <w:jc w:val="center"/>
        </w:trPr>
        <w:tc>
          <w:tcPr>
            <w:tcW w:w="60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序号</w:t>
            </w:r>
          </w:p>
        </w:tc>
        <w:tc>
          <w:tcPr>
            <w:tcW w:w="1066"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姓名</w:t>
            </w:r>
          </w:p>
        </w:tc>
        <w:tc>
          <w:tcPr>
            <w:tcW w:w="83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年龄</w:t>
            </w:r>
          </w:p>
        </w:tc>
        <w:tc>
          <w:tcPr>
            <w:tcW w:w="1169" w:type="dxa"/>
            <w:noWrap w:val="0"/>
            <w:vAlign w:val="center"/>
          </w:tcPr>
          <w:p>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296"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所从事专业</w:t>
            </w:r>
          </w:p>
        </w:tc>
        <w:tc>
          <w:tcPr>
            <w:tcW w:w="2399"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拟担任何种专业岗位</w:t>
            </w:r>
          </w:p>
        </w:tc>
        <w:tc>
          <w:tcPr>
            <w:tcW w:w="1314" w:type="dxa"/>
            <w:noWrap w:val="0"/>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执业证书</w:t>
            </w:r>
          </w:p>
        </w:tc>
        <w:tc>
          <w:tcPr>
            <w:tcW w:w="1314" w:type="dxa"/>
            <w:noWrap w:val="0"/>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备注</w:t>
            </w: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c>
          <w:tcPr>
            <w:tcW w:w="1314" w:type="dxa"/>
            <w:noWrap w:val="0"/>
            <w:vAlign w:val="center"/>
          </w:tcPr>
          <w:p>
            <w:pPr>
              <w:spacing w:line="360" w:lineRule="auto"/>
              <w:jc w:val="center"/>
              <w:rPr>
                <w:rFonts w:hint="eastAsia" w:ascii="宋体" w:hAnsi="宋体"/>
                <w:color w:val="auto"/>
                <w:sz w:val="24"/>
                <w:szCs w:val="24"/>
                <w:highlight w:val="none"/>
              </w:rPr>
            </w:pPr>
          </w:p>
        </w:tc>
      </w:tr>
      <w:tr>
        <w:trPr>
          <w:trHeight w:val="630"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r>
      <w:tr>
        <w:trPr>
          <w:trHeight w:val="689" w:hRule="atLeast"/>
          <w:jc w:val="center"/>
        </w:trPr>
        <w:tc>
          <w:tcPr>
            <w:tcW w:w="604" w:type="dxa"/>
            <w:noWrap w:val="0"/>
            <w:vAlign w:val="center"/>
          </w:tcPr>
          <w:p>
            <w:pPr>
              <w:spacing w:line="360" w:lineRule="auto"/>
              <w:jc w:val="center"/>
              <w:rPr>
                <w:rFonts w:ascii="宋体" w:hAnsi="宋体"/>
                <w:color w:val="auto"/>
                <w:sz w:val="24"/>
                <w:szCs w:val="24"/>
                <w:highlight w:val="none"/>
              </w:rPr>
            </w:pPr>
          </w:p>
        </w:tc>
        <w:tc>
          <w:tcPr>
            <w:tcW w:w="1066" w:type="dxa"/>
            <w:noWrap w:val="0"/>
            <w:vAlign w:val="center"/>
          </w:tcPr>
          <w:p>
            <w:pPr>
              <w:spacing w:line="360" w:lineRule="auto"/>
              <w:jc w:val="center"/>
              <w:rPr>
                <w:rFonts w:ascii="宋体" w:hAnsi="宋体"/>
                <w:color w:val="auto"/>
                <w:sz w:val="24"/>
                <w:szCs w:val="24"/>
                <w:highlight w:val="none"/>
              </w:rPr>
            </w:pPr>
          </w:p>
        </w:tc>
        <w:tc>
          <w:tcPr>
            <w:tcW w:w="834" w:type="dxa"/>
            <w:noWrap w:val="0"/>
            <w:vAlign w:val="center"/>
          </w:tcPr>
          <w:p>
            <w:pPr>
              <w:spacing w:line="360" w:lineRule="auto"/>
              <w:jc w:val="center"/>
              <w:rPr>
                <w:rFonts w:ascii="宋体" w:hAnsi="宋体"/>
                <w:color w:val="auto"/>
                <w:sz w:val="24"/>
                <w:szCs w:val="24"/>
                <w:highlight w:val="none"/>
              </w:rPr>
            </w:pPr>
          </w:p>
        </w:tc>
        <w:tc>
          <w:tcPr>
            <w:tcW w:w="1169" w:type="dxa"/>
            <w:noWrap w:val="0"/>
            <w:vAlign w:val="center"/>
          </w:tcPr>
          <w:p>
            <w:pPr>
              <w:spacing w:line="360" w:lineRule="auto"/>
              <w:jc w:val="center"/>
              <w:rPr>
                <w:rFonts w:ascii="宋体" w:hAnsi="宋体"/>
                <w:color w:val="auto"/>
                <w:sz w:val="24"/>
                <w:szCs w:val="24"/>
                <w:highlight w:val="none"/>
              </w:rPr>
            </w:pPr>
          </w:p>
        </w:tc>
        <w:tc>
          <w:tcPr>
            <w:tcW w:w="1296" w:type="dxa"/>
            <w:noWrap w:val="0"/>
            <w:vAlign w:val="center"/>
          </w:tcPr>
          <w:p>
            <w:pPr>
              <w:spacing w:line="360" w:lineRule="auto"/>
              <w:jc w:val="center"/>
              <w:rPr>
                <w:rFonts w:ascii="宋体" w:hAnsi="宋体"/>
                <w:color w:val="auto"/>
                <w:sz w:val="24"/>
                <w:szCs w:val="24"/>
                <w:highlight w:val="none"/>
              </w:rPr>
            </w:pPr>
          </w:p>
        </w:tc>
        <w:tc>
          <w:tcPr>
            <w:tcW w:w="2399"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c>
          <w:tcPr>
            <w:tcW w:w="1314" w:type="dxa"/>
            <w:noWrap w:val="0"/>
            <w:vAlign w:val="center"/>
          </w:tcPr>
          <w:p>
            <w:pPr>
              <w:spacing w:line="360" w:lineRule="auto"/>
              <w:jc w:val="center"/>
              <w:rPr>
                <w:rFonts w:ascii="宋体" w:hAnsi="宋体"/>
                <w:color w:val="auto"/>
                <w:sz w:val="24"/>
                <w:szCs w:val="24"/>
                <w:highlight w:val="none"/>
              </w:rPr>
            </w:pPr>
          </w:p>
        </w:tc>
      </w:tr>
    </w:tbl>
    <w:p>
      <w:pPr>
        <w:autoSpaceDE w:val="0"/>
        <w:autoSpaceDN w:val="0"/>
        <w:adjustRightInd w:val="0"/>
        <w:spacing w:line="360" w:lineRule="auto"/>
        <w:rPr>
          <w:rFonts w:hint="eastAsia" w:ascii="宋体" w:hAnsi="宋体" w:cs="仿宋_GB2312"/>
          <w:b/>
          <w:bCs/>
          <w:color w:val="auto"/>
          <w:sz w:val="30"/>
          <w:szCs w:val="30"/>
          <w:highlight w:val="none"/>
        </w:rPr>
      </w:pPr>
      <w:r>
        <w:rPr>
          <w:rFonts w:hint="eastAsia" w:ascii="宋体" w:hAnsi="宋体" w:cs="仿宋_GB2312"/>
          <w:b/>
          <w:color w:val="auto"/>
          <w:sz w:val="24"/>
          <w:highlight w:val="none"/>
        </w:rPr>
        <w:t>本项目小组人员</w:t>
      </w:r>
      <w:r>
        <w:rPr>
          <w:rFonts w:hint="eastAsia" w:ascii="宋体" w:hAnsi="宋体" w:cs="仿宋_GB2312"/>
          <w:b/>
          <w:color w:val="auto"/>
          <w:sz w:val="24"/>
          <w:highlight w:val="none"/>
          <w:lang w:val="en-US" w:eastAsia="zh-CN"/>
        </w:rPr>
        <w:t>证书，</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纳社保记录情况表</w:t>
      </w:r>
      <w:r>
        <w:rPr>
          <w:rFonts w:hint="eastAsia" w:ascii="宋体" w:hAnsi="宋体" w:cs="仿宋_GB2312"/>
          <w:color w:val="auto"/>
          <w:sz w:val="24"/>
          <w:highlight w:val="none"/>
        </w:rPr>
        <w:t>（以社保缴纳凭证作为附件）</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left"/>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06"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1"/>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报价单…………………………………………………………………………（页码）</w:t>
      </w:r>
    </w:p>
    <w:p>
      <w:pPr>
        <w:numPr>
          <w:ilvl w:val="0"/>
          <w:numId w:val="11"/>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numPr>
          <w:ilvl w:val="0"/>
          <w:numId w:val="11"/>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已标价工程量清单……………………………………………………………（页码）</w:t>
      </w:r>
    </w:p>
    <w:p>
      <w:pPr>
        <w:numPr>
          <w:ilvl w:val="0"/>
          <w:numId w:val="11"/>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numPr>
          <w:ilvl w:val="0"/>
          <w:numId w:val="0"/>
        </w:numPr>
        <w:snapToGrid w:val="0"/>
        <w:spacing w:line="360" w:lineRule="auto"/>
        <w:ind w:left="420" w:leftChars="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连廊校史文化建设三期</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1393"/>
        <w:gridCol w:w="1726"/>
      </w:tblGrid>
      <w:tr>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393" w:type="dxa"/>
            <w:vAlign w:val="center"/>
          </w:tcPr>
          <w:p>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质量标准</w:t>
            </w:r>
          </w:p>
        </w:tc>
        <w:tc>
          <w:tcPr>
            <w:tcW w:w="17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1393" w:type="dxa"/>
            <w:vAlign w:val="center"/>
          </w:tcPr>
          <w:p>
            <w:pPr>
              <w:spacing w:line="360" w:lineRule="auto"/>
              <w:jc w:val="center"/>
              <w:rPr>
                <w:rFonts w:ascii="宋体" w:hAnsi="宋体" w:cs="宋体"/>
                <w:color w:val="auto"/>
                <w:sz w:val="24"/>
                <w:highlight w:val="none"/>
              </w:rPr>
            </w:pPr>
          </w:p>
        </w:tc>
        <w:tc>
          <w:tcPr>
            <w:tcW w:w="1726" w:type="dxa"/>
            <w:vAlign w:val="center"/>
          </w:tcPr>
          <w:p>
            <w:pPr>
              <w:spacing w:line="360" w:lineRule="auto"/>
              <w:jc w:val="center"/>
              <w:rPr>
                <w:rFonts w:ascii="宋体" w:hAnsi="宋体" w:cs="宋体"/>
                <w:color w:val="auto"/>
                <w:sz w:val="24"/>
                <w:highlight w:val="none"/>
              </w:rPr>
            </w:pPr>
          </w:p>
        </w:tc>
      </w:tr>
      <w:tr>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4"/>
            <w:vAlign w:val="center"/>
          </w:tcPr>
          <w:p>
            <w:pPr>
              <w:spacing w:line="360" w:lineRule="auto"/>
              <w:jc w:val="center"/>
              <w:rPr>
                <w:rFonts w:ascii="宋体" w:hAnsi="宋体" w:cs="宋体"/>
                <w:color w:val="auto"/>
                <w:sz w:val="24"/>
                <w:highlight w:val="none"/>
              </w:rPr>
            </w:pPr>
          </w:p>
        </w:tc>
      </w:tr>
      <w:tr>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color w:val="auto"/>
          <w:kern w:val="0"/>
          <w:sz w:val="24"/>
          <w:highlight w:val="none"/>
          <w:lang w:val="zh-CN"/>
        </w:rPr>
        <w:t>总价</w:t>
      </w:r>
      <w:r>
        <w:rPr>
          <w:rFonts w:hint="eastAsia" w:ascii="宋体" w:hAnsi="宋体" w:cs="宋体"/>
          <w:b/>
          <w:bCs/>
          <w:color w:val="auto"/>
          <w:kern w:val="0"/>
          <w:sz w:val="24"/>
          <w:highlight w:val="none"/>
          <w:lang w:val="zh-CN" w:eastAsia="zh-CN"/>
        </w:rPr>
        <w:t>不为零</w:t>
      </w:r>
      <w:r>
        <w:rPr>
          <w:rFonts w:hint="eastAsia" w:ascii="宋体" w:hAnsi="宋体" w:cs="宋体"/>
          <w:b/>
          <w:bCs/>
          <w:color w:val="auto"/>
          <w:kern w:val="0"/>
          <w:sz w:val="24"/>
          <w:highlight w:val="none"/>
          <w:lang w:val="zh-CN"/>
        </w:rPr>
        <w:t>，报价明细表中</w:t>
      </w:r>
      <w:r>
        <w:rPr>
          <w:rFonts w:hint="eastAsia" w:ascii="宋体" w:hAnsi="宋体" w:cs="宋体"/>
          <w:b/>
          <w:bCs/>
          <w:color w:val="auto"/>
          <w:kern w:val="0"/>
          <w:sz w:val="24"/>
          <w:highlight w:val="none"/>
          <w:lang w:val="zh-CN" w:eastAsia="zh-CN"/>
        </w:rPr>
        <w:t>部分</w:t>
      </w:r>
      <w:r>
        <w:rPr>
          <w:rFonts w:hint="eastAsia" w:ascii="宋体" w:hAnsi="宋体" w:cs="宋体"/>
          <w:b/>
          <w:bCs/>
          <w:color w:val="auto"/>
          <w:kern w:val="0"/>
          <w:sz w:val="24"/>
          <w:highlight w:val="none"/>
          <w:lang w:val="zh-CN"/>
        </w:rPr>
        <w:t>产品、服务单价为零的，视作已包含在总价中</w:t>
      </w:r>
      <w:r>
        <w:rPr>
          <w:rFonts w:hint="eastAsia" w:ascii="宋体" w:hAnsi="宋体" w:cs="宋体"/>
          <w:b/>
          <w:bCs/>
          <w:color w:val="auto"/>
          <w:kern w:val="0"/>
          <w:sz w:val="24"/>
          <w:highlight w:val="none"/>
          <w:lang w:val="zh-CN"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5"/>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snapToGrid w:val="0"/>
        <w:spacing w:before="120" w:after="120"/>
        <w:rPr>
          <w:color w:val="auto"/>
          <w:highlight w:val="none"/>
        </w:rPr>
      </w:pPr>
    </w:p>
    <w:p>
      <w:pPr>
        <w:tabs>
          <w:tab w:val="left" w:pos="1313"/>
        </w:tabs>
        <w:snapToGrid w:val="0"/>
        <w:spacing w:before="120" w:after="120" w:line="360" w:lineRule="auto"/>
        <w:jc w:val="center"/>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pPr>
        <w:pStyle w:val="695"/>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ascii="宋体" w:hAnsi="宋体" w:cs="宋体"/>
          <w:color w:val="auto"/>
          <w:sz w:val="24"/>
          <w:highlight w:val="none"/>
        </w:rPr>
      </w:pPr>
      <w:r>
        <w:rPr>
          <w:rFonts w:hint="eastAsia" w:ascii="宋体" w:hAnsi="宋体" w:cs="宋体"/>
          <w:color w:val="auto"/>
          <w:sz w:val="24"/>
          <w:highlight w:val="none"/>
        </w:rPr>
        <w:t>注：按采购文件工程量清单编制</w:t>
      </w:r>
    </w:p>
    <w:p>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pPr>
        <w:pStyle w:val="61"/>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ascii="宋体" w:hAnsi="宋体"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pPr>
        <w:spacing w:line="360" w:lineRule="auto"/>
        <w:ind w:right="420" w:firstLine="3604" w:firstLineChars="1000"/>
        <w:rPr>
          <w:rFonts w:ascii="宋体" w:hAnsi="宋体" w:cs="宋体"/>
          <w:b/>
          <w:color w:val="auto"/>
          <w:kern w:val="0"/>
          <w:sz w:val="36"/>
          <w:szCs w:val="36"/>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393" w:name="_Hlk101259491"/>
      <w:r>
        <w:rPr>
          <w:rFonts w:hint="eastAsia" w:ascii="宋体" w:hAnsi="宋体" w:eastAsia="宋体" w:cs="宋体"/>
          <w:color w:val="auto"/>
          <w:sz w:val="32"/>
          <w:szCs w:val="32"/>
          <w:highlight w:val="none"/>
        </w:rPr>
        <w:t>（如果有）</w:t>
      </w:r>
      <w:bookmarkEnd w:id="393"/>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0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83" w:firstLineChars="700"/>
        <w:rPr>
          <w:rFonts w:ascii="宋体" w:hAnsi="宋体" w:cs="宋体"/>
          <w:color w:val="auto"/>
          <w:highlight w:val="none"/>
        </w:rPr>
      </w:pPr>
      <w:bookmarkStart w:id="394" w:name="_Toc465665161"/>
      <w:r>
        <w:rPr>
          <w:rFonts w:hint="eastAsia" w:ascii="宋体" w:hAnsi="宋体" w:cs="宋体"/>
          <w:color w:val="auto"/>
          <w:highlight w:val="none"/>
        </w:rPr>
        <w:t>附件</w:t>
      </w:r>
      <w:bookmarkEnd w:id="394"/>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5" w:name="OLE_LINK14"/>
      <w:bookmarkStart w:id="396" w:name="OLE_LINK13"/>
      <w:r>
        <w:rPr>
          <w:rFonts w:hint="eastAsia" w:ascii="宋体" w:hAnsi="宋体" w:cs="宋体"/>
          <w:b/>
          <w:color w:val="auto"/>
          <w:spacing w:val="6"/>
          <w:sz w:val="32"/>
          <w:szCs w:val="32"/>
          <w:highlight w:val="none"/>
        </w:rPr>
        <w:t>残疾人福利性单位声明函</w:t>
      </w:r>
    </w:p>
    <w:bookmarkEnd w:id="395"/>
    <w:bookmarkEnd w:id="39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杭州高级中学钱塘学校</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浙江五石中正工程咨询有限公司：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c/4wdgAAAAK&#10;AQAADwAAAAAAAAABACAAAAA4AAAAZHJzL2Rvd25yZXYueG1sUEsBAhQAFAAAAAgAh07iQAvVIXjN&#10;AQAAxgMAAA4AAAAAAAAAAQAgAAAAPQEAAGRycy9lMm9Eb2MueG1sUEsFBgAAAAAGAAYAWQEAAHwF&#10;A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dOwWNgAAAAK&#10;AQAADwAAAAAAAAABACAAAAA4AAAAZHJzL2Rvd25yZXYueG1sUEsBAhQAFAAAAAgAh07iQA/BzafN&#10;AQAAxgMAAA4AAAAAAAAAAQAgAAAAPQEAAGRycy9lMm9Eb2MueG1sUEsFBgAAAAAGAAYAWQEAAHwF&#10;A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w:t xml:space="preserve">供应商法定名称章（印模）        </w:t>
      </w:r>
      <w:r>
        <w:rPr>
          <w:rFonts w:hint="eastAsia" w:ascii="宋体" w:hAnsi="宋体" w:cs="宋体"/>
          <w:color w:val="auto"/>
          <w:sz w:val="24"/>
          <w:highlight w:val="none"/>
        </w:rPr>
        <w:t xml:space="preserve">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312" w:lineRule="auto"/>
        <w:ind w:firstLine="480"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 xml:space="preserve">日期：  年  月   日                                          </w:t>
      </w:r>
    </w:p>
    <w:p>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连廊校史文化建设三期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8"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杭州高级中学钱塘学校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连廊校史文化建设三期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pStyle w:val="24"/>
        <w:rPr>
          <w:rFonts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隶书">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华文楷体">
    <w:altName w:val="汉仪楷体简"/>
    <w:panose1 w:val="02010600040101010101"/>
    <w:charset w:val="86"/>
    <w:family w:val="auto"/>
    <w:pitch w:val="default"/>
    <w:sig w:usb0="00000000" w:usb1="00000000" w:usb2="00000000" w:usb3="00000000" w:csb0="0004009F" w:csb1="DFD7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00" w:usb3="00000000" w:csb0="00000000" w:csb1="0000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swiss"/>
    <w:pitch w:val="default"/>
    <w:sig w:usb0="00000000" w:usb1="00000000" w:usb2="00000010" w:usb3="00000000" w:csb0="00040000" w:csb1="00000000"/>
  </w:font>
  <w:font w:name="Arial (W1)">
    <w:altName w:val="Helvetica Neue"/>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29" w:usb3="00000000" w:csb0="200001DF" w:csb1="20000000"/>
  </w:font>
  <w:font w:name="Latha">
    <w:altName w:val="苹方-简"/>
    <w:panose1 w:val="020B0604020202020204"/>
    <w:charset w:val="00"/>
    <w:family w:val="swiss"/>
    <w:pitch w:val="default"/>
    <w:sig w:usb0="00000000" w:usb1="00000000" w:usb2="00000000" w:usb3="00000000" w:csb0="00000001"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Lucida Sans Unicode">
    <w:altName w:val="苹方-简"/>
    <w:panose1 w:val="020B0602030504020204"/>
    <w:charset w:val="00"/>
    <w:family w:val="auto"/>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altName w:val="苹方-简"/>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4GQgt1AAAAAUBAAAPAAAAAAAAAAEAIAAAADgAAABkcnMv&#10;ZG93bnJldi54bWxQSwECFAAUAAAACACHTuJAui710LgBAABvAwAADgAAAAAAAAABACAAAAA5AQAA&#10;ZHJzL2Uyb0RvYy54bWxQSwUGAAAAAAYABgBZAQAAYwU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GwpZZy9AQAAewMAAA4AAAAAAAAAAQAgAAAANQEA&#10;AGRycy9lMm9Eb2MueG1sUEsFBgAAAAAGAAYAWQEAAGQ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Rgys11QAAAAUBAAAPAAAAAAAAAAEAIAAAADgAAABkcnMv&#10;ZG93bnJldi54bWxQSwECFAAUAAAACACHTuJAmCwBqLcBAABwAwAADgAAAAAAAAABACAAAAA6AQAA&#10;ZHJzL2Uyb0RvYy54bWxQSwUGAAAAAAYABgBZAQAAYwU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T2Qx3TAAAABAEAAA8AAAAAAAAAAQAgAAAAOAAAAGRycy9k&#10;b3ducmV2LnhtbFBLAQIUABQAAAAIAIdO4kBVup2YuAEAAG4DAAAOAAAAAAAAAAEAIAAAADgBAABk&#10;cnMvZTJvRG9jLnhtbFBLBQYAAAAABgAGAFkBAABiBQ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GDKzXVAAAABQEAAA8AAAAAAAAAAQAgAAAAOAAAAGRy&#10;cy9kb3ducmV2LnhtbFBLAQIUABQAAAAIAIdO4kBj+zXnuQEAAG8DAAAOAAAAAAAAAAEAIAAAADoB&#10;AABkcnMvZTJvRG9jLnhtbFBLBQYAAAAABgAGAFkBAABlBQAAAAA=&#10;">
              <v:fill on="f" focussize="0,0"/>
              <v:stroke on="f"/>
              <v:imagedata o:title=""/>
              <o:lock v:ext="edit" aspectratio="f"/>
              <v:textbox inset="0mm,0mm,0mm,0mm" style="mso-fit-shape-to-text:t;">
                <w:txbxContent>
                  <w:p>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kSkG1uwEAAHsDAAAOAAAAAAAAAAEAIAAAADUBAABk&#10;cnMvZTJvRG9jLnhtbFBLBQYAAAAABgAGAFkBAABi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OG7GzrwBAAB7AwAADgAAAAAAAAABACAAAAA1AQAA&#10;ZHJzL2Uyb0RvYy54bWxQSwUGAAAAAAYABgBZAQAAY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3AJPQrwBAAB7AwAADgAAAAAAAAABACAAAAA1AQAA&#10;ZHJzL2Uyb0RvYy54bWxQSwUGAAAAAAYABgBZAQAAY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seUhK1wAAAAcBAAAPAAAAAAAAAAEA&#10;IAAAADgAAABkcnMvZG93bnJldi54bWxQSwECFAAUAAAACACHTuJAkdSBXMEBAAB7AwAADgAAAAAA&#10;AAABACAAAAA8AQAAZHJzL2Uyb0RvYy54bWxQSwUGAAAAAAYABgBZAQAAbwUAAAAA&#10;">
              <v:fill on="f" focussize="0,0"/>
              <v:stroke on="f"/>
              <v:imagedata o:title=""/>
              <o:lock v:ext="edit" aspectratio="f"/>
              <v:textbox inset="0mm,0mm,0mm,0mm">
                <w:txbxContent>
                  <w:p>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MA3i57wBAAB7AwAADgAAAAAAAAABACAAAAA1AQAA&#10;ZHJzL2Uyb0RvYy54bWxQSwUGAAAAAAYABgBZAQAAY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5">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8">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9">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10">
    <w:nsid w:val="26D500AC"/>
    <w:multiLevelType w:val="singleLevel"/>
    <w:tmpl w:val="26D500AC"/>
    <w:lvl w:ilvl="0" w:tentative="0">
      <w:start w:val="1"/>
      <w:numFmt w:val="decimal"/>
      <w:suff w:val="nothing"/>
      <w:lvlText w:val="（%1）"/>
      <w:lvlJc w:val="left"/>
    </w:lvl>
  </w:abstractNum>
  <w:num w:numId="1">
    <w:abstractNumId w:val="2"/>
  </w:num>
  <w:num w:numId="2">
    <w:abstractNumId w:val="10"/>
  </w:num>
  <w:num w:numId="3">
    <w:abstractNumId w:val="7"/>
  </w:num>
  <w:num w:numId="4">
    <w:abstractNumId w:val="5"/>
  </w:num>
  <w:num w:numId="5">
    <w:abstractNumId w:val="1"/>
  </w:num>
  <w:num w:numId="6">
    <w:abstractNumId w:val="4"/>
  </w:num>
  <w:num w:numId="7">
    <w:abstractNumId w:val="3"/>
  </w:num>
  <w:num w:numId="8">
    <w:abstractNumId w:val="6"/>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838B2"/>
    <w:rsid w:val="004B2B21"/>
    <w:rsid w:val="005361CA"/>
    <w:rsid w:val="005674B3"/>
    <w:rsid w:val="00647380"/>
    <w:rsid w:val="00691113"/>
    <w:rsid w:val="007C0E0B"/>
    <w:rsid w:val="00902C2A"/>
    <w:rsid w:val="00F56326"/>
    <w:rsid w:val="012670EA"/>
    <w:rsid w:val="02EF2307"/>
    <w:rsid w:val="03DE3CAC"/>
    <w:rsid w:val="03E816AD"/>
    <w:rsid w:val="05D463B4"/>
    <w:rsid w:val="06035D9B"/>
    <w:rsid w:val="06043D3F"/>
    <w:rsid w:val="079C56C2"/>
    <w:rsid w:val="09B26C75"/>
    <w:rsid w:val="0A276B6E"/>
    <w:rsid w:val="0A40135B"/>
    <w:rsid w:val="0A551517"/>
    <w:rsid w:val="0D527755"/>
    <w:rsid w:val="0DA970D9"/>
    <w:rsid w:val="0EA248A7"/>
    <w:rsid w:val="0F2E7521"/>
    <w:rsid w:val="0F764327"/>
    <w:rsid w:val="10AA179B"/>
    <w:rsid w:val="11162836"/>
    <w:rsid w:val="11893B3C"/>
    <w:rsid w:val="132918D9"/>
    <w:rsid w:val="13347445"/>
    <w:rsid w:val="13526141"/>
    <w:rsid w:val="137237EA"/>
    <w:rsid w:val="140E1E1C"/>
    <w:rsid w:val="14284D66"/>
    <w:rsid w:val="15267EF7"/>
    <w:rsid w:val="166A1338"/>
    <w:rsid w:val="17A53C94"/>
    <w:rsid w:val="17E03104"/>
    <w:rsid w:val="18FC27B3"/>
    <w:rsid w:val="1A510037"/>
    <w:rsid w:val="1AAF27C6"/>
    <w:rsid w:val="1AB75623"/>
    <w:rsid w:val="1AD437B7"/>
    <w:rsid w:val="1B09565B"/>
    <w:rsid w:val="1B214388"/>
    <w:rsid w:val="1BDB2B53"/>
    <w:rsid w:val="1D6A3EF2"/>
    <w:rsid w:val="1DBE78CF"/>
    <w:rsid w:val="1E3A3AFB"/>
    <w:rsid w:val="1E7C2157"/>
    <w:rsid w:val="1E9A15CA"/>
    <w:rsid w:val="1ED579B0"/>
    <w:rsid w:val="1F4D1FBA"/>
    <w:rsid w:val="1F8706E3"/>
    <w:rsid w:val="1FF91E11"/>
    <w:rsid w:val="20430BA7"/>
    <w:rsid w:val="20AC6059"/>
    <w:rsid w:val="20D504B9"/>
    <w:rsid w:val="20F848F5"/>
    <w:rsid w:val="22577B9F"/>
    <w:rsid w:val="22890884"/>
    <w:rsid w:val="23D5257E"/>
    <w:rsid w:val="24256B7B"/>
    <w:rsid w:val="2491398A"/>
    <w:rsid w:val="25611689"/>
    <w:rsid w:val="25EB64DA"/>
    <w:rsid w:val="2652435A"/>
    <w:rsid w:val="26A22DE9"/>
    <w:rsid w:val="26DC3B3F"/>
    <w:rsid w:val="27675BE3"/>
    <w:rsid w:val="2791483A"/>
    <w:rsid w:val="279F232A"/>
    <w:rsid w:val="28B64659"/>
    <w:rsid w:val="28FE168D"/>
    <w:rsid w:val="2B5B47EE"/>
    <w:rsid w:val="2B6D334E"/>
    <w:rsid w:val="2BD51A79"/>
    <w:rsid w:val="2C174955"/>
    <w:rsid w:val="2C471B3F"/>
    <w:rsid w:val="2CDF390C"/>
    <w:rsid w:val="2D3D2C71"/>
    <w:rsid w:val="2D47149A"/>
    <w:rsid w:val="2DC93154"/>
    <w:rsid w:val="2E187C37"/>
    <w:rsid w:val="2E8E1FD9"/>
    <w:rsid w:val="2EA63088"/>
    <w:rsid w:val="2F4962BE"/>
    <w:rsid w:val="2F77F631"/>
    <w:rsid w:val="2F8D29E4"/>
    <w:rsid w:val="3041301F"/>
    <w:rsid w:val="30B33C47"/>
    <w:rsid w:val="31526B07"/>
    <w:rsid w:val="33603F7E"/>
    <w:rsid w:val="33B2468A"/>
    <w:rsid w:val="33B757FC"/>
    <w:rsid w:val="34EE5C6F"/>
    <w:rsid w:val="3550415A"/>
    <w:rsid w:val="366A124C"/>
    <w:rsid w:val="366B28CE"/>
    <w:rsid w:val="36CA07CF"/>
    <w:rsid w:val="387863C2"/>
    <w:rsid w:val="389C0221"/>
    <w:rsid w:val="39157874"/>
    <w:rsid w:val="394A06CE"/>
    <w:rsid w:val="39630382"/>
    <w:rsid w:val="39804AC5"/>
    <w:rsid w:val="39BF39F7"/>
    <w:rsid w:val="3AA35841"/>
    <w:rsid w:val="3AC626CB"/>
    <w:rsid w:val="3B5D2CA1"/>
    <w:rsid w:val="3C97441D"/>
    <w:rsid w:val="3CAE49A5"/>
    <w:rsid w:val="3D290D07"/>
    <w:rsid w:val="3DF40CB5"/>
    <w:rsid w:val="3E821D4D"/>
    <w:rsid w:val="3F377AF8"/>
    <w:rsid w:val="3F5601A9"/>
    <w:rsid w:val="402406BD"/>
    <w:rsid w:val="408E01BE"/>
    <w:rsid w:val="427D5E63"/>
    <w:rsid w:val="429E4757"/>
    <w:rsid w:val="42DF22D7"/>
    <w:rsid w:val="431A017F"/>
    <w:rsid w:val="43CB141F"/>
    <w:rsid w:val="455E0778"/>
    <w:rsid w:val="462E594E"/>
    <w:rsid w:val="47503B46"/>
    <w:rsid w:val="47655F00"/>
    <w:rsid w:val="47B364CA"/>
    <w:rsid w:val="47F15329"/>
    <w:rsid w:val="47F71CFF"/>
    <w:rsid w:val="48374534"/>
    <w:rsid w:val="483A5C59"/>
    <w:rsid w:val="48570C2D"/>
    <w:rsid w:val="49840258"/>
    <w:rsid w:val="4A7F2E19"/>
    <w:rsid w:val="4C364951"/>
    <w:rsid w:val="4D4458DA"/>
    <w:rsid w:val="4DA2238C"/>
    <w:rsid w:val="4E6E0E13"/>
    <w:rsid w:val="4E7F4E51"/>
    <w:rsid w:val="4E971E79"/>
    <w:rsid w:val="4EBC30A0"/>
    <w:rsid w:val="4F6765B7"/>
    <w:rsid w:val="4FAD7F37"/>
    <w:rsid w:val="50060252"/>
    <w:rsid w:val="50210776"/>
    <w:rsid w:val="50852AB2"/>
    <w:rsid w:val="50A552DB"/>
    <w:rsid w:val="50E977FF"/>
    <w:rsid w:val="515A3F3F"/>
    <w:rsid w:val="52345E12"/>
    <w:rsid w:val="527254DE"/>
    <w:rsid w:val="52C51B2E"/>
    <w:rsid w:val="530103EA"/>
    <w:rsid w:val="533B38D3"/>
    <w:rsid w:val="53545055"/>
    <w:rsid w:val="5455090C"/>
    <w:rsid w:val="547372DB"/>
    <w:rsid w:val="54B22733"/>
    <w:rsid w:val="54E11C16"/>
    <w:rsid w:val="5560182B"/>
    <w:rsid w:val="55B670AB"/>
    <w:rsid w:val="560962DE"/>
    <w:rsid w:val="56CE4A87"/>
    <w:rsid w:val="57560774"/>
    <w:rsid w:val="57853108"/>
    <w:rsid w:val="58297DCC"/>
    <w:rsid w:val="589A2E73"/>
    <w:rsid w:val="5939465C"/>
    <w:rsid w:val="59DE57A5"/>
    <w:rsid w:val="5A1804F3"/>
    <w:rsid w:val="5A225816"/>
    <w:rsid w:val="5A302B55"/>
    <w:rsid w:val="5A9459B6"/>
    <w:rsid w:val="5B235D59"/>
    <w:rsid w:val="5B2B06FA"/>
    <w:rsid w:val="5C61170D"/>
    <w:rsid w:val="5CDB4954"/>
    <w:rsid w:val="5D041203"/>
    <w:rsid w:val="5D090655"/>
    <w:rsid w:val="5D751BB9"/>
    <w:rsid w:val="5DBC7771"/>
    <w:rsid w:val="5EE0003A"/>
    <w:rsid w:val="5FA47637"/>
    <w:rsid w:val="5FB5191A"/>
    <w:rsid w:val="5FD97791"/>
    <w:rsid w:val="60AF6C6A"/>
    <w:rsid w:val="60F35816"/>
    <w:rsid w:val="611D6D37"/>
    <w:rsid w:val="61FB6DFD"/>
    <w:rsid w:val="622301A1"/>
    <w:rsid w:val="627D58F4"/>
    <w:rsid w:val="62BE3C02"/>
    <w:rsid w:val="6334218D"/>
    <w:rsid w:val="6367429A"/>
    <w:rsid w:val="63687FA9"/>
    <w:rsid w:val="63A44595"/>
    <w:rsid w:val="63FD1194"/>
    <w:rsid w:val="6443137A"/>
    <w:rsid w:val="648F64D0"/>
    <w:rsid w:val="64D65BCC"/>
    <w:rsid w:val="64F14763"/>
    <w:rsid w:val="65080952"/>
    <w:rsid w:val="65C854C3"/>
    <w:rsid w:val="66AD10D3"/>
    <w:rsid w:val="674A1F08"/>
    <w:rsid w:val="675447FA"/>
    <w:rsid w:val="67D70473"/>
    <w:rsid w:val="680C1EE1"/>
    <w:rsid w:val="68A5554E"/>
    <w:rsid w:val="694729C8"/>
    <w:rsid w:val="69945A0D"/>
    <w:rsid w:val="6AB23459"/>
    <w:rsid w:val="6CD22B83"/>
    <w:rsid w:val="6CFD1171"/>
    <w:rsid w:val="6D0112BB"/>
    <w:rsid w:val="6EA3753C"/>
    <w:rsid w:val="6EAD542B"/>
    <w:rsid w:val="6EBE093D"/>
    <w:rsid w:val="6F4240ED"/>
    <w:rsid w:val="6FCE10E6"/>
    <w:rsid w:val="706758D9"/>
    <w:rsid w:val="71761CBC"/>
    <w:rsid w:val="71EB73EE"/>
    <w:rsid w:val="721A70CF"/>
    <w:rsid w:val="7229553C"/>
    <w:rsid w:val="72D14638"/>
    <w:rsid w:val="72ED0F3E"/>
    <w:rsid w:val="7443665D"/>
    <w:rsid w:val="74EB068B"/>
    <w:rsid w:val="7554713D"/>
    <w:rsid w:val="76141C2A"/>
    <w:rsid w:val="764C4802"/>
    <w:rsid w:val="7757167F"/>
    <w:rsid w:val="780115C3"/>
    <w:rsid w:val="786818F3"/>
    <w:rsid w:val="78C21DB8"/>
    <w:rsid w:val="795E51BB"/>
    <w:rsid w:val="7AB46A9E"/>
    <w:rsid w:val="7AF3148F"/>
    <w:rsid w:val="7B8476F2"/>
    <w:rsid w:val="7C7B2E38"/>
    <w:rsid w:val="7D0E2112"/>
    <w:rsid w:val="7E2C00F9"/>
    <w:rsid w:val="7E5621D7"/>
    <w:rsid w:val="7E945D07"/>
    <w:rsid w:val="7EEA3BB2"/>
    <w:rsid w:val="7F2428C7"/>
    <w:rsid w:val="7FB15C5A"/>
    <w:rsid w:val="7FC63D12"/>
    <w:rsid w:val="FBF7B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1"/>
    <w:next w:val="1"/>
    <w:link w:val="323"/>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b01b611a-4f85-46e2-b9f3-680bff01b964"/>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03b4b916-3f77-4daa-a81b-11c1b038b137"/>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ecce25d3-ee21-4084-af77-8a1793f0d566"/>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0"/>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List Paragraph_41d0cc91-dce1-4733-b767-3adef058dad0"/>
    <w:basedOn w:val="1"/>
    <w:qFormat/>
    <w:uiPriority w:val="34"/>
    <w:pPr>
      <w:ind w:firstLine="420" w:firstLineChars="200"/>
    </w:pPr>
  </w:style>
  <w:style w:type="paragraph" w:styleId="971">
    <w:name w:val="List Paragraph"/>
    <w:basedOn w:val="1"/>
    <w:qFormat/>
    <w:uiPriority w:val="0"/>
    <w:pPr>
      <w:ind w:firstLine="420" w:firstLineChars="200"/>
    </w:pPr>
  </w:style>
  <w:style w:type="paragraph" w:customStyle="1" w:styleId="972">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11955</Words>
  <Characters>12994</Characters>
  <Lines>456</Lines>
  <Paragraphs>128</Paragraphs>
  <TotalTime>34</TotalTime>
  <ScaleCrop>false</ScaleCrop>
  <LinksUpToDate>false</LinksUpToDate>
  <CharactersWithSpaces>13208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Lily</cp:lastModifiedBy>
  <cp:lastPrinted>2021-12-27T19:06:00Z</cp:lastPrinted>
  <dcterms:modified xsi:type="dcterms:W3CDTF">2025-07-06T15:15:46Z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63978C5A6CD64739A2226A686EC6A6B9_43</vt:lpwstr>
  </property>
  <property fmtid="{D5CDD505-2E9C-101B-9397-08002B2CF9AE}" pid="5" name="commondata">
    <vt:lpwstr>eyJoZGlkIjoiNGNlMmFkMDQ1NDY0ZmRiM2Q0NjY4NTFjN2IwMTllYjMifQ==</vt:lpwstr>
  </property>
  <property fmtid="{D5CDD505-2E9C-101B-9397-08002B2CF9AE}" pid="6" name="KSOTemplateDocerSaveRecord">
    <vt:lpwstr>eyJoZGlkIjoiMGI4ZWZmMTc1OWRmZjdlMDJkMzkxMzMxODc0NzZmNGQiLCJ1c2VySWQiOiIzNjc1MzMxOTYifQ==</vt:lpwstr>
  </property>
</Properties>
</file>