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D9C23C">
      <w:pPr>
        <w:adjustRightInd/>
        <w:spacing w:line="360" w:lineRule="auto"/>
        <w:jc w:val="center"/>
        <w:rPr>
          <w:rFonts w:hint="eastAsia" w:ascii="宋体" w:hAnsi="宋体" w:cs="宋体"/>
          <w:b/>
          <w:bCs/>
          <w:color w:val="auto"/>
          <w:sz w:val="48"/>
          <w:szCs w:val="48"/>
          <w:highlight w:val="none"/>
        </w:rPr>
      </w:pPr>
    </w:p>
    <w:p w14:paraId="52E94B7B">
      <w:pPr>
        <w:adjustRightInd/>
        <w:spacing w:line="360" w:lineRule="auto"/>
        <w:jc w:val="center"/>
        <w:rPr>
          <w:rFonts w:hint="eastAsia" w:ascii="宋体" w:hAnsi="宋体" w:cs="宋体"/>
          <w:b/>
          <w:bCs/>
          <w:color w:val="auto"/>
          <w:sz w:val="48"/>
          <w:szCs w:val="48"/>
          <w:highlight w:val="none"/>
          <w:lang w:eastAsia="zh-CN"/>
        </w:rPr>
      </w:pPr>
      <w:r>
        <w:rPr>
          <w:rFonts w:hint="eastAsia" w:ascii="宋体" w:hAnsi="宋体" w:cs="宋体"/>
          <w:b/>
          <w:bCs/>
          <w:color w:val="auto"/>
          <w:sz w:val="48"/>
          <w:szCs w:val="48"/>
          <w:highlight w:val="none"/>
          <w:lang w:eastAsia="zh-CN"/>
        </w:rPr>
        <w:t>杭州高级中学钱塘学校</w:t>
      </w:r>
    </w:p>
    <w:p w14:paraId="29799286">
      <w:pPr>
        <w:adjustRightInd/>
        <w:spacing w:line="360" w:lineRule="auto"/>
        <w:jc w:val="center"/>
        <w:rPr>
          <w:rFonts w:ascii="宋体" w:hAnsi="宋体" w:cs="宋体"/>
          <w:color w:val="auto"/>
          <w:sz w:val="48"/>
          <w:szCs w:val="48"/>
          <w:highlight w:val="none"/>
        </w:rPr>
      </w:pPr>
      <w:r>
        <w:rPr>
          <w:rFonts w:hint="eastAsia" w:ascii="宋体" w:hAnsi="宋体" w:cs="宋体"/>
          <w:b/>
          <w:bCs/>
          <w:color w:val="auto"/>
          <w:sz w:val="48"/>
          <w:szCs w:val="48"/>
          <w:highlight w:val="none"/>
          <w:lang w:eastAsia="zh-CN"/>
        </w:rPr>
        <w:t>校舍外墙外立面维修</w:t>
      </w:r>
    </w:p>
    <w:p w14:paraId="182F78EE">
      <w:pPr>
        <w:tabs>
          <w:tab w:val="left" w:pos="432"/>
        </w:tabs>
        <w:outlineLvl w:val="9"/>
        <w:rPr>
          <w:rFonts w:ascii="宋体" w:hAnsi="宋体" w:cs="宋体"/>
          <w:color w:val="auto"/>
          <w:sz w:val="24"/>
          <w:szCs w:val="24"/>
          <w:highlight w:val="none"/>
        </w:rPr>
      </w:pPr>
    </w:p>
    <w:p w14:paraId="68E2A4B4">
      <w:pPr>
        <w:adjustRightInd/>
        <w:spacing w:line="360" w:lineRule="auto"/>
        <w:jc w:val="center"/>
        <w:rPr>
          <w:rFonts w:ascii="宋体" w:hAnsi="宋体" w:cs="宋体"/>
          <w:color w:val="auto"/>
          <w:sz w:val="56"/>
          <w:szCs w:val="56"/>
          <w:highlight w:val="none"/>
        </w:rPr>
      </w:pPr>
      <w:r>
        <w:rPr>
          <w:rFonts w:hint="eastAsia" w:ascii="宋体" w:hAnsi="宋体" w:cs="宋体"/>
          <w:b/>
          <w:bCs/>
          <w:color w:val="auto"/>
          <w:sz w:val="56"/>
          <w:szCs w:val="56"/>
          <w:highlight w:val="none"/>
        </w:rPr>
        <w:t>竞争性磋商文件</w:t>
      </w:r>
    </w:p>
    <w:p w14:paraId="4AD5A2E7">
      <w:pPr>
        <w:adjustRightInd/>
        <w:spacing w:line="360" w:lineRule="auto"/>
        <w:jc w:val="center"/>
        <w:rPr>
          <w:rFonts w:ascii="宋体" w:hAnsi="宋体" w:cs="宋体"/>
          <w:color w:val="auto"/>
          <w:sz w:val="44"/>
          <w:szCs w:val="44"/>
          <w:highlight w:val="none"/>
        </w:rPr>
      </w:pPr>
      <w:r>
        <w:rPr>
          <w:rFonts w:hint="eastAsia" w:ascii="宋体" w:hAnsi="宋体" w:cs="宋体"/>
          <w:color w:val="auto"/>
          <w:sz w:val="44"/>
          <w:szCs w:val="44"/>
          <w:highlight w:val="none"/>
        </w:rPr>
        <w:t>（</w:t>
      </w:r>
      <w:r>
        <w:rPr>
          <w:rFonts w:hint="eastAsia" w:ascii="宋体" w:hAnsi="宋体" w:cs="宋体"/>
          <w:color w:val="auto"/>
          <w:sz w:val="44"/>
          <w:szCs w:val="44"/>
          <w:highlight w:val="none"/>
          <w:lang w:val="en-US" w:eastAsia="zh-CN"/>
        </w:rPr>
        <w:t>非政府采购项目-</w:t>
      </w:r>
      <w:r>
        <w:rPr>
          <w:rFonts w:hint="eastAsia" w:ascii="宋体" w:hAnsi="宋体" w:cs="宋体"/>
          <w:color w:val="auto"/>
          <w:sz w:val="44"/>
          <w:szCs w:val="44"/>
          <w:highlight w:val="none"/>
        </w:rPr>
        <w:t>电子交易）</w:t>
      </w:r>
    </w:p>
    <w:p w14:paraId="541F47CA">
      <w:pPr>
        <w:snapToGrid w:val="0"/>
        <w:spacing w:line="360" w:lineRule="auto"/>
        <w:jc w:val="center"/>
        <w:rPr>
          <w:rFonts w:ascii="宋体" w:hAnsi="宋体" w:cs="宋体"/>
          <w:color w:val="auto"/>
          <w:sz w:val="30"/>
          <w:szCs w:val="30"/>
          <w:highlight w:val="none"/>
        </w:rPr>
      </w:pPr>
    </w:p>
    <w:p w14:paraId="7467DDEC">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32"/>
          <w:szCs w:val="32"/>
          <w:highlight w:val="none"/>
        </w:rPr>
        <w:t>项目编号：</w:t>
      </w:r>
      <w:r>
        <w:rPr>
          <w:rFonts w:hint="eastAsia" w:ascii="宋体" w:hAnsi="宋体" w:cs="宋体"/>
          <w:color w:val="auto"/>
          <w:kern w:val="2"/>
          <w:sz w:val="24"/>
          <w:szCs w:val="24"/>
          <w:highlight w:val="none"/>
          <w:lang w:val="en-US" w:eastAsia="zh-CN" w:bidi="ar-SA"/>
        </w:rPr>
        <w:t>HGQT-2025-S01</w:t>
      </w:r>
    </w:p>
    <w:p w14:paraId="50A18E7F">
      <w:pPr>
        <w:adjustRightInd/>
        <w:spacing w:line="360" w:lineRule="auto"/>
        <w:rPr>
          <w:rFonts w:ascii="宋体" w:hAnsi="宋体" w:cs="宋体"/>
          <w:color w:val="auto"/>
          <w:sz w:val="28"/>
          <w:szCs w:val="20"/>
          <w:highlight w:val="none"/>
        </w:rPr>
      </w:pPr>
    </w:p>
    <w:p w14:paraId="6C4CE619">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39528F0F">
      <w:pPr>
        <w:spacing w:line="360" w:lineRule="auto"/>
        <w:jc w:val="center"/>
        <w:rPr>
          <w:rFonts w:ascii="宋体" w:hAnsi="宋体" w:cs="宋体"/>
          <w:color w:val="auto"/>
          <w:sz w:val="24"/>
          <w:highlight w:val="none"/>
        </w:rPr>
      </w:pPr>
    </w:p>
    <w:p w14:paraId="05C1652D">
      <w:pPr>
        <w:spacing w:line="360" w:lineRule="auto"/>
        <w:jc w:val="center"/>
        <w:rPr>
          <w:rFonts w:ascii="宋体" w:hAnsi="宋体" w:cs="宋体"/>
          <w:color w:val="auto"/>
          <w:sz w:val="24"/>
          <w:highlight w:val="none"/>
        </w:rPr>
      </w:pPr>
    </w:p>
    <w:p w14:paraId="24AC502D">
      <w:pPr>
        <w:spacing w:line="360" w:lineRule="auto"/>
        <w:rPr>
          <w:rFonts w:ascii="宋体" w:hAnsi="宋体" w:cs="宋体"/>
          <w:color w:val="auto"/>
          <w:sz w:val="32"/>
          <w:szCs w:val="32"/>
          <w:highlight w:val="none"/>
        </w:rPr>
      </w:pPr>
    </w:p>
    <w:p w14:paraId="733CE5DC">
      <w:pPr>
        <w:pStyle w:val="24"/>
        <w:rPr>
          <w:rFonts w:cs="宋体"/>
          <w:color w:val="auto"/>
          <w:highlight w:val="none"/>
        </w:rPr>
      </w:pPr>
    </w:p>
    <w:p w14:paraId="2538DBCB">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杭州高级中学钱塘学校</w:t>
      </w:r>
    </w:p>
    <w:p w14:paraId="6ADE96C9">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浙江五石中正工程咨询有限公司</w:t>
      </w:r>
    </w:p>
    <w:p w14:paraId="1ACE4C9B">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月</w:t>
      </w:r>
    </w:p>
    <w:p w14:paraId="0F1EF61B">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352148D3">
      <w:pPr>
        <w:spacing w:line="360" w:lineRule="auto"/>
        <w:jc w:val="center"/>
        <w:rPr>
          <w:rFonts w:ascii="宋体" w:hAnsi="宋体" w:cs="宋体"/>
          <w:color w:val="auto"/>
          <w:sz w:val="24"/>
          <w:highlight w:val="none"/>
        </w:rPr>
      </w:pPr>
    </w:p>
    <w:p w14:paraId="7DABADEE">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07147FEE">
      <w:pPr>
        <w:spacing w:line="360" w:lineRule="auto"/>
        <w:rPr>
          <w:rFonts w:ascii="宋体" w:hAnsi="宋体" w:cs="宋体"/>
          <w:color w:val="auto"/>
          <w:sz w:val="32"/>
          <w:szCs w:val="32"/>
          <w:highlight w:val="none"/>
        </w:rPr>
      </w:pPr>
    </w:p>
    <w:p w14:paraId="43A0CB0E">
      <w:pPr>
        <w:spacing w:line="360" w:lineRule="auto"/>
        <w:rPr>
          <w:rFonts w:ascii="宋体" w:hAnsi="宋体" w:cs="宋体"/>
          <w:color w:val="auto"/>
          <w:sz w:val="32"/>
          <w:szCs w:val="32"/>
          <w:highlight w:val="none"/>
        </w:rPr>
      </w:pPr>
    </w:p>
    <w:p w14:paraId="33F17264">
      <w:pPr>
        <w:spacing w:line="360" w:lineRule="auto"/>
        <w:ind w:firstLine="2880" w:firstLineChars="900"/>
        <w:rPr>
          <w:rFonts w:ascii="宋体" w:hAnsi="宋体" w:cs="宋体"/>
          <w:color w:val="auto"/>
          <w:sz w:val="32"/>
          <w:szCs w:val="32"/>
          <w:highlight w:val="none"/>
        </w:rPr>
      </w:pPr>
      <w:r>
        <w:rPr>
          <w:rFonts w:hint="eastAsia" w:ascii="宋体" w:hAnsi="宋体" w:cs="宋体"/>
          <w:color w:val="auto"/>
          <w:sz w:val="32"/>
          <w:szCs w:val="32"/>
          <w:highlight w:val="none"/>
        </w:rPr>
        <w:t>第一部分      竞争性磋商公告</w:t>
      </w:r>
    </w:p>
    <w:p w14:paraId="484FE6B6">
      <w:pPr>
        <w:spacing w:line="360" w:lineRule="auto"/>
        <w:ind w:firstLine="2880" w:firstLineChars="900"/>
        <w:rPr>
          <w:rFonts w:ascii="宋体" w:hAnsi="宋体" w:cs="宋体"/>
          <w:color w:val="auto"/>
          <w:sz w:val="32"/>
          <w:szCs w:val="32"/>
          <w:highlight w:val="none"/>
        </w:rPr>
      </w:pPr>
      <w:r>
        <w:rPr>
          <w:rFonts w:hint="eastAsia" w:ascii="宋体" w:hAnsi="宋体" w:cs="宋体"/>
          <w:color w:val="auto"/>
          <w:sz w:val="32"/>
          <w:szCs w:val="32"/>
          <w:highlight w:val="none"/>
        </w:rPr>
        <w:t>第二部分      供应商须知</w:t>
      </w:r>
    </w:p>
    <w:p w14:paraId="13E72F3F">
      <w:pPr>
        <w:spacing w:line="360" w:lineRule="auto"/>
        <w:ind w:firstLine="2880" w:firstLineChars="9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15161FC2">
      <w:pPr>
        <w:spacing w:line="360" w:lineRule="auto"/>
        <w:ind w:firstLine="2880" w:firstLineChars="900"/>
        <w:rPr>
          <w:rFonts w:ascii="宋体" w:hAnsi="宋体" w:cs="宋体"/>
          <w:color w:val="auto"/>
          <w:sz w:val="32"/>
          <w:szCs w:val="32"/>
          <w:highlight w:val="none"/>
        </w:rPr>
      </w:pPr>
      <w:r>
        <w:rPr>
          <w:rFonts w:hint="eastAsia" w:ascii="宋体" w:hAnsi="宋体" w:cs="宋体"/>
          <w:color w:val="auto"/>
          <w:sz w:val="32"/>
          <w:szCs w:val="32"/>
          <w:highlight w:val="none"/>
        </w:rPr>
        <w:t>第四部分      评审办法</w:t>
      </w:r>
    </w:p>
    <w:p w14:paraId="318B79C0">
      <w:pPr>
        <w:spacing w:line="360" w:lineRule="auto"/>
        <w:ind w:firstLine="2880" w:firstLineChars="9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5AF4A8A3">
      <w:pPr>
        <w:spacing w:line="360" w:lineRule="auto"/>
        <w:ind w:firstLine="2880" w:firstLineChars="9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6CB138B0">
      <w:pPr>
        <w:spacing w:line="360" w:lineRule="auto"/>
        <w:ind w:firstLine="1280" w:firstLineChars="400"/>
        <w:rPr>
          <w:rFonts w:ascii="宋体" w:hAnsi="宋体" w:cs="宋体"/>
          <w:color w:val="auto"/>
          <w:sz w:val="32"/>
          <w:szCs w:val="32"/>
          <w:highlight w:val="none"/>
        </w:rPr>
      </w:pPr>
    </w:p>
    <w:p w14:paraId="43517D30">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1F68393F">
      <w:pPr>
        <w:spacing w:line="360" w:lineRule="auto"/>
        <w:ind w:firstLine="549" w:firstLineChars="229"/>
        <w:rPr>
          <w:rFonts w:ascii="宋体" w:hAnsi="宋体" w:cs="宋体"/>
          <w:color w:val="auto"/>
          <w:sz w:val="24"/>
          <w:highlight w:val="none"/>
        </w:rPr>
      </w:pPr>
    </w:p>
    <w:p w14:paraId="656E87EB">
      <w:pPr>
        <w:spacing w:line="360" w:lineRule="auto"/>
        <w:ind w:firstLine="549" w:firstLineChars="229"/>
        <w:rPr>
          <w:rFonts w:ascii="宋体" w:hAnsi="宋体" w:cs="宋体"/>
          <w:color w:val="auto"/>
          <w:sz w:val="24"/>
          <w:highlight w:val="none"/>
        </w:rPr>
      </w:pPr>
    </w:p>
    <w:p w14:paraId="33DB7568">
      <w:pPr>
        <w:spacing w:line="360" w:lineRule="auto"/>
        <w:ind w:firstLine="549" w:firstLineChars="229"/>
        <w:rPr>
          <w:rFonts w:ascii="宋体" w:hAnsi="宋体" w:cs="宋体"/>
          <w:color w:val="auto"/>
          <w:sz w:val="24"/>
          <w:highlight w:val="none"/>
        </w:rPr>
      </w:pPr>
    </w:p>
    <w:p w14:paraId="1FAA5C43">
      <w:pPr>
        <w:spacing w:line="360" w:lineRule="auto"/>
        <w:ind w:firstLine="549" w:firstLineChars="229"/>
        <w:rPr>
          <w:rFonts w:ascii="宋体" w:hAnsi="宋体" w:cs="宋体"/>
          <w:color w:val="auto"/>
          <w:sz w:val="24"/>
          <w:highlight w:val="none"/>
        </w:rPr>
      </w:pPr>
    </w:p>
    <w:p w14:paraId="3666498C">
      <w:pPr>
        <w:spacing w:line="360" w:lineRule="auto"/>
        <w:ind w:firstLine="549" w:firstLineChars="229"/>
        <w:rPr>
          <w:rFonts w:ascii="宋体" w:hAnsi="宋体" w:cs="宋体"/>
          <w:color w:val="auto"/>
          <w:sz w:val="24"/>
          <w:highlight w:val="none"/>
        </w:rPr>
      </w:pPr>
    </w:p>
    <w:p w14:paraId="106EE445">
      <w:pPr>
        <w:spacing w:line="360" w:lineRule="auto"/>
        <w:ind w:firstLine="549" w:firstLineChars="229"/>
        <w:rPr>
          <w:rFonts w:ascii="宋体" w:hAnsi="宋体" w:cs="宋体"/>
          <w:color w:val="auto"/>
          <w:sz w:val="24"/>
          <w:highlight w:val="none"/>
        </w:rPr>
      </w:pPr>
    </w:p>
    <w:p w14:paraId="1056B093">
      <w:pPr>
        <w:spacing w:line="360" w:lineRule="auto"/>
        <w:ind w:firstLine="549" w:firstLineChars="229"/>
        <w:rPr>
          <w:rFonts w:ascii="宋体" w:hAnsi="宋体" w:cs="宋体"/>
          <w:color w:val="auto"/>
          <w:sz w:val="24"/>
          <w:highlight w:val="none"/>
        </w:rPr>
      </w:pPr>
    </w:p>
    <w:p w14:paraId="36A6BB73">
      <w:pPr>
        <w:spacing w:line="360" w:lineRule="auto"/>
        <w:ind w:firstLine="549" w:firstLineChars="229"/>
        <w:rPr>
          <w:rFonts w:ascii="宋体" w:hAnsi="宋体" w:cs="宋体"/>
          <w:color w:val="auto"/>
          <w:sz w:val="24"/>
          <w:highlight w:val="none"/>
        </w:rPr>
      </w:pPr>
    </w:p>
    <w:p w14:paraId="28D1408A">
      <w:pPr>
        <w:spacing w:line="360" w:lineRule="auto"/>
        <w:ind w:firstLine="549" w:firstLineChars="229"/>
        <w:rPr>
          <w:rFonts w:ascii="宋体" w:hAnsi="宋体" w:cs="宋体"/>
          <w:color w:val="auto"/>
          <w:sz w:val="24"/>
          <w:highlight w:val="none"/>
        </w:rPr>
      </w:pPr>
    </w:p>
    <w:p w14:paraId="6AD2BCC7">
      <w:pPr>
        <w:spacing w:line="360" w:lineRule="auto"/>
        <w:ind w:firstLine="549" w:firstLineChars="229"/>
        <w:rPr>
          <w:rFonts w:ascii="宋体" w:hAnsi="宋体" w:cs="宋体"/>
          <w:color w:val="auto"/>
          <w:sz w:val="24"/>
          <w:highlight w:val="none"/>
        </w:rPr>
      </w:pPr>
    </w:p>
    <w:p w14:paraId="1AA0741D">
      <w:pPr>
        <w:spacing w:line="360" w:lineRule="auto"/>
        <w:ind w:firstLine="549" w:firstLineChars="229"/>
        <w:rPr>
          <w:rFonts w:ascii="宋体" w:hAnsi="宋体" w:cs="宋体"/>
          <w:color w:val="auto"/>
          <w:sz w:val="24"/>
          <w:highlight w:val="none"/>
        </w:rPr>
      </w:pPr>
    </w:p>
    <w:p w14:paraId="4E5A1E3A">
      <w:pPr>
        <w:spacing w:line="360" w:lineRule="auto"/>
        <w:ind w:firstLine="549" w:firstLineChars="229"/>
        <w:rPr>
          <w:rFonts w:ascii="宋体" w:hAnsi="宋体" w:cs="宋体"/>
          <w:color w:val="auto"/>
          <w:sz w:val="24"/>
          <w:highlight w:val="none"/>
        </w:rPr>
      </w:pPr>
    </w:p>
    <w:p w14:paraId="316B88F1">
      <w:pPr>
        <w:spacing w:line="360" w:lineRule="auto"/>
        <w:rPr>
          <w:rFonts w:ascii="宋体" w:hAnsi="宋体" w:cs="宋体"/>
          <w:color w:val="auto"/>
          <w:sz w:val="24"/>
          <w:highlight w:val="none"/>
        </w:rPr>
      </w:pPr>
    </w:p>
    <w:p w14:paraId="0F50F68B">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竞争性磋商公告</w:t>
      </w:r>
    </w:p>
    <w:tbl>
      <w:tblPr>
        <w:tblStyle w:val="62"/>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14:paraId="600F3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tcPr>
          <w:p w14:paraId="7C39126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项目概况</w:t>
            </w:r>
          </w:p>
          <w:p w14:paraId="1D9713EF">
            <w:pPr>
              <w:pStyle w:val="24"/>
              <w:keepNext w:val="0"/>
              <w:keepLines w:val="0"/>
              <w:pageBreakBefore w:val="0"/>
              <w:kinsoku/>
              <w:wordWrap/>
              <w:overflowPunct/>
              <w:topLinePunct w:val="0"/>
              <w:autoSpaceDE/>
              <w:autoSpaceDN/>
              <w:bidi w:val="0"/>
              <w:adjustRightInd w:val="0"/>
              <w:spacing w:line="360" w:lineRule="auto"/>
              <w:textAlignment w:val="auto"/>
              <w:rPr>
                <w:rFonts w:cs="宋体"/>
                <w:color w:val="auto"/>
                <w:highlight w:val="none"/>
              </w:rPr>
            </w:pPr>
            <w:r>
              <w:rPr>
                <w:rFonts w:hint="eastAsia" w:cs="宋体"/>
                <w:color w:val="auto"/>
                <w:highlight w:val="none"/>
                <w:lang w:eastAsia="zh-CN"/>
              </w:rPr>
              <w:t>杭州高级中学钱塘学校校舍外墙外立面维修</w:t>
            </w:r>
            <w:r>
              <w:rPr>
                <w:rFonts w:hint="eastAsia" w:cs="宋体"/>
                <w:color w:val="auto"/>
                <w:highlight w:val="none"/>
                <w:lang w:val="en-US" w:eastAsia="zh-CN"/>
              </w:rPr>
              <w:t>采购</w:t>
            </w:r>
            <w:r>
              <w:rPr>
                <w:rFonts w:hint="eastAsia" w:cs="宋体"/>
                <w:color w:val="auto"/>
                <w:highlight w:val="none"/>
              </w:rPr>
              <w:t>项目的潜在供应商应在</w:t>
            </w:r>
            <w:r>
              <w:rPr>
                <w:rFonts w:hint="eastAsia" w:ascii="Times New Roman" w:hAnsi="Times New Roman" w:cs="Times New Roman"/>
                <w:color w:val="auto"/>
                <w:lang w:val="en-US" w:eastAsia="zh-CN"/>
              </w:rPr>
              <w:t>杭州市教育局非依法小额采购平台</w:t>
            </w:r>
            <w:r>
              <w:rPr>
                <w:rFonts w:hint="eastAsia" w:ascii="宋体" w:hAnsi="宋体" w:eastAsia="宋体" w:cs="宋体"/>
                <w:color w:val="auto"/>
                <w:lang w:val="en-US" w:eastAsia="zh-CN"/>
              </w:rPr>
              <w:t>（https://hzjyg.lecaiyun.com）获取采购文件，并</w:t>
            </w:r>
            <w:r>
              <w:rPr>
                <w:rFonts w:hint="eastAsia" w:ascii="Times New Roman" w:hAnsi="Times New Roman" w:cs="Times New Roman"/>
                <w:color w:val="auto"/>
                <w:lang w:val="en-US" w:eastAsia="zh-CN"/>
              </w:rPr>
              <w:t>于</w:t>
            </w:r>
            <w:r>
              <w:rPr>
                <w:rFonts w:hint="eastAsia" w:cs="宋体"/>
                <w:color w:val="auto"/>
                <w:sz w:val="24"/>
                <w:highlight w:val="none"/>
                <w:lang w:eastAsia="zh-CN"/>
              </w:rPr>
              <w:t>2025年06月06日</w:t>
            </w:r>
            <w:r>
              <w:rPr>
                <w:rFonts w:hint="eastAsia" w:cs="宋体"/>
                <w:color w:val="auto"/>
                <w:sz w:val="24"/>
                <w:highlight w:val="none"/>
                <w:lang w:val="en-US" w:eastAsia="zh-CN"/>
              </w:rPr>
              <w:t>14:30</w:t>
            </w:r>
            <w:r>
              <w:rPr>
                <w:rFonts w:hint="eastAsia" w:cs="宋体"/>
                <w:color w:val="auto"/>
                <w:highlight w:val="none"/>
              </w:rPr>
              <w:t>（北京时间）前提交（上传）响应文件。 </w:t>
            </w:r>
          </w:p>
        </w:tc>
      </w:tr>
    </w:tbl>
    <w:p w14:paraId="3CDF0045">
      <w:pPr>
        <w:widowControl/>
        <w:snapToGrid w:val="0"/>
        <w:spacing w:line="360" w:lineRule="auto"/>
        <w:jc w:val="left"/>
        <w:rPr>
          <w:rFonts w:ascii="宋体" w:hAnsi="宋体" w:cs="宋体"/>
          <w:color w:val="auto"/>
          <w:highlight w:val="none"/>
        </w:rPr>
      </w:pPr>
    </w:p>
    <w:p w14:paraId="0CF6F244">
      <w:pPr>
        <w:widowControl/>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一、项目基本情况</w:t>
      </w:r>
    </w:p>
    <w:p w14:paraId="4112828C">
      <w:pPr>
        <w:widowControl/>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项目编号：</w:t>
      </w:r>
      <w:r>
        <w:rPr>
          <w:rFonts w:hint="eastAsia" w:ascii="宋体" w:hAnsi="宋体" w:cs="宋体"/>
          <w:color w:val="auto"/>
          <w:kern w:val="2"/>
          <w:sz w:val="24"/>
          <w:szCs w:val="24"/>
          <w:highlight w:val="none"/>
          <w:lang w:val="en-US" w:eastAsia="zh-CN" w:bidi="ar-SA"/>
        </w:rPr>
        <w:t>HGQT-2025-S01</w:t>
      </w:r>
    </w:p>
    <w:p w14:paraId="7C419496">
      <w:pPr>
        <w:pStyle w:val="24"/>
        <w:spacing w:line="360" w:lineRule="auto"/>
        <w:rPr>
          <w:rFonts w:cs="宋体"/>
          <w:color w:val="auto"/>
          <w:highlight w:val="none"/>
        </w:rPr>
      </w:pPr>
      <w:r>
        <w:rPr>
          <w:rFonts w:hint="eastAsia" w:ascii="宋体" w:hAnsi="宋体" w:cs="宋体"/>
          <w:color w:val="auto"/>
          <w:sz w:val="24"/>
          <w:highlight w:val="none"/>
        </w:rPr>
        <w:t>项目名称：</w:t>
      </w:r>
      <w:r>
        <w:rPr>
          <w:rFonts w:hint="eastAsia" w:cs="宋体"/>
          <w:color w:val="auto"/>
          <w:sz w:val="24"/>
          <w:highlight w:val="none"/>
          <w:lang w:eastAsia="zh-CN"/>
        </w:rPr>
        <w:t>校舍外墙外立面维修</w:t>
      </w:r>
      <w:r>
        <w:rPr>
          <w:rFonts w:hint="eastAsia" w:cs="宋体"/>
          <w:color w:val="auto"/>
          <w:sz w:val="24"/>
          <w:highlight w:val="none"/>
          <w:lang w:val="en-US" w:eastAsia="zh-CN"/>
        </w:rPr>
        <w:t xml:space="preserve">  </w:t>
      </w:r>
      <w:r>
        <w:rPr>
          <w:rFonts w:hint="eastAsia" w:cs="宋体"/>
          <w:color w:val="auto"/>
          <w:highlight w:val="none"/>
        </w:rPr>
        <w:t>采购方式：竞争性磋商</w:t>
      </w:r>
    </w:p>
    <w:p w14:paraId="2FA3AEE8">
      <w:pPr>
        <w:widowControl/>
        <w:spacing w:line="36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预算金额（元）：</w:t>
      </w:r>
      <w:r>
        <w:rPr>
          <w:rFonts w:hint="eastAsia" w:ascii="宋体" w:hAnsi="宋体" w:cs="宋体"/>
          <w:color w:val="auto"/>
          <w:sz w:val="24"/>
          <w:highlight w:val="none"/>
          <w:lang w:val="en-US" w:eastAsia="zh-CN"/>
        </w:rPr>
        <w:t>800000.00</w:t>
      </w:r>
    </w:p>
    <w:p w14:paraId="36E9E70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最高限价（元）：</w:t>
      </w:r>
      <w:r>
        <w:rPr>
          <w:rFonts w:hint="eastAsia" w:ascii="宋体" w:hAnsi="宋体" w:cs="宋体"/>
          <w:color w:val="auto"/>
          <w:sz w:val="24"/>
          <w:highlight w:val="none"/>
          <w:lang w:val="en-US" w:eastAsia="zh-CN"/>
        </w:rPr>
        <w:t>800000.00</w:t>
      </w:r>
    </w:p>
    <w:p w14:paraId="0244CFDC">
      <w:pPr>
        <w:widowControl/>
        <w:spacing w:line="360" w:lineRule="auto"/>
        <w:ind w:firstLine="495"/>
        <w:jc w:val="left"/>
        <w:rPr>
          <w:rFonts w:ascii="宋体" w:hAnsi="宋体" w:cs="宋体"/>
          <w:color w:val="auto"/>
          <w:sz w:val="24"/>
          <w:highlight w:val="none"/>
        </w:rPr>
      </w:pPr>
      <w:r>
        <w:rPr>
          <w:rFonts w:hint="eastAsia" w:ascii="宋体" w:hAnsi="宋体" w:cs="宋体"/>
          <w:color w:val="auto"/>
          <w:sz w:val="24"/>
          <w:highlight w:val="none"/>
        </w:rPr>
        <w:t xml:space="preserve">采购需求： </w:t>
      </w:r>
    </w:p>
    <w:p w14:paraId="4F954B5F">
      <w:pPr>
        <w:pStyle w:val="24"/>
        <w:spacing w:line="360" w:lineRule="auto"/>
        <w:rPr>
          <w:rFonts w:cs="宋体"/>
          <w:color w:val="auto"/>
          <w:highlight w:val="none"/>
        </w:rPr>
      </w:pPr>
    </w:p>
    <w:p w14:paraId="41D0D130">
      <w:pPr>
        <w:pStyle w:val="24"/>
        <w:spacing w:line="360" w:lineRule="auto"/>
        <w:rPr>
          <w:rFonts w:cs="宋体"/>
          <w:color w:val="auto"/>
          <w:highlight w:val="none"/>
        </w:rPr>
      </w:pPr>
      <w:r>
        <w:rPr>
          <w:rFonts w:hint="eastAsia" w:cs="宋体"/>
          <w:color w:val="auto"/>
          <w:highlight w:val="none"/>
        </w:rPr>
        <w:t>数量：1</w:t>
      </w:r>
    </w:p>
    <w:p w14:paraId="71E9F55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预算金额（元）：</w:t>
      </w:r>
    </w:p>
    <w:p w14:paraId="3A633E66">
      <w:pPr>
        <w:pStyle w:val="24"/>
        <w:spacing w:line="360" w:lineRule="auto"/>
        <w:rPr>
          <w:rFonts w:cs="宋体"/>
          <w:color w:val="auto"/>
          <w:highlight w:val="none"/>
        </w:rPr>
      </w:pPr>
      <w:r>
        <w:rPr>
          <w:rFonts w:hint="eastAsia" w:cs="宋体"/>
          <w:color w:val="auto"/>
          <w:highlight w:val="none"/>
        </w:rPr>
        <w:t>单位：项</w:t>
      </w:r>
    </w:p>
    <w:p w14:paraId="3082BDB6">
      <w:pPr>
        <w:spacing w:line="360" w:lineRule="auto"/>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简要规格描述：</w:t>
      </w:r>
      <w:r>
        <w:rPr>
          <w:rFonts w:hint="eastAsia" w:ascii="宋体" w:hAnsi="宋体" w:cs="宋体"/>
          <w:color w:val="auto"/>
          <w:sz w:val="24"/>
          <w:highlight w:val="none"/>
          <w:lang w:eastAsia="zh-CN"/>
        </w:rPr>
        <w:t>杭州高级中学钱塘学校校舍外墙外立面维修，</w:t>
      </w:r>
      <w:r>
        <w:rPr>
          <w:rFonts w:hint="eastAsia" w:ascii="宋体" w:hAnsi="宋体" w:cs="宋体"/>
          <w:color w:val="auto"/>
          <w:sz w:val="24"/>
          <w:szCs w:val="24"/>
          <w:highlight w:val="none"/>
          <w:lang w:val="en-US" w:eastAsia="zh-CN"/>
        </w:rPr>
        <w:t>主要对教学楼、宿舍楼、食堂、门卫室等外墙涂料脱落情况进行修补，其余涉零星户外物品的油漆刷新施工等，</w:t>
      </w:r>
      <w:r>
        <w:rPr>
          <w:rFonts w:hint="eastAsia" w:ascii="宋体" w:hAnsi="宋体" w:cs="宋体"/>
          <w:snapToGrid/>
          <w:color w:val="auto"/>
          <w:sz w:val="24"/>
          <w:szCs w:val="24"/>
          <w:highlight w:val="none"/>
        </w:rPr>
        <w:t>详见磋商文件</w:t>
      </w:r>
      <w:r>
        <w:rPr>
          <w:rFonts w:hint="eastAsia" w:ascii="宋体" w:hAnsi="宋体" w:cs="宋体"/>
          <w:snapToGrid/>
          <w:color w:val="auto"/>
          <w:sz w:val="24"/>
          <w:szCs w:val="24"/>
          <w:highlight w:val="none"/>
          <w:lang w:eastAsia="zh-CN"/>
        </w:rPr>
        <w:t>。</w:t>
      </w:r>
    </w:p>
    <w:p w14:paraId="66F357A2">
      <w:pPr>
        <w:widowControl/>
        <w:spacing w:line="360" w:lineRule="auto"/>
        <w:ind w:firstLine="480" w:firstLineChars="200"/>
        <w:jc w:val="left"/>
        <w:rPr>
          <w:rFonts w:hint="eastAsia" w:ascii="宋体" w:hAnsi="宋体" w:cs="宋体"/>
          <w:color w:val="auto"/>
          <w:sz w:val="24"/>
          <w:highlight w:val="none"/>
        </w:rPr>
      </w:pPr>
    </w:p>
    <w:p w14:paraId="2EE2B3FF">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备注：</w:t>
      </w:r>
    </w:p>
    <w:p w14:paraId="2947D0D8">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合同履约期限：合同签订接采购人开工通知后4</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日历天内完成工程施工。</w:t>
      </w:r>
    </w:p>
    <w:p w14:paraId="743B43D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本项目（</w:t>
      </w:r>
      <w:r>
        <w:rPr>
          <w:rFonts w:hint="eastAsia" w:ascii="宋体" w:hAnsi="宋体" w:cs="宋体"/>
          <w:color w:val="auto"/>
          <w:sz w:val="24"/>
          <w:highlight w:val="none"/>
          <w:lang w:val="en-US" w:eastAsia="zh-CN"/>
        </w:rPr>
        <w:t>否</w:t>
      </w:r>
      <w:r>
        <w:rPr>
          <w:rFonts w:hint="eastAsia" w:ascii="宋体" w:hAnsi="宋体" w:cs="宋体"/>
          <w:color w:val="auto"/>
          <w:sz w:val="24"/>
          <w:highlight w:val="none"/>
        </w:rPr>
        <w:t>）接受联合体投标。</w:t>
      </w:r>
    </w:p>
    <w:p w14:paraId="6E4077E2">
      <w:pPr>
        <w:widowControl/>
        <w:spacing w:line="360" w:lineRule="auto"/>
        <w:jc w:val="left"/>
        <w:rPr>
          <w:rFonts w:hint="eastAsia" w:ascii="宋体" w:hAnsi="宋体" w:cs="宋体"/>
          <w:b/>
          <w:bCs/>
          <w:color w:val="auto"/>
          <w:sz w:val="24"/>
          <w:highlight w:val="none"/>
        </w:rPr>
      </w:pPr>
    </w:p>
    <w:p w14:paraId="12750FC5">
      <w:pPr>
        <w:widowControl/>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二、申请人的资格要求</w:t>
      </w:r>
    </w:p>
    <w:p w14:paraId="6207F8AD">
      <w:pPr>
        <w:spacing w:line="360" w:lineRule="auto"/>
        <w:jc w:val="left"/>
        <w:rPr>
          <w:rFonts w:ascii="宋体" w:hAnsi="宋体" w:cs="宋体"/>
          <w:color w:val="auto"/>
          <w:kern w:val="28"/>
          <w:sz w:val="24"/>
          <w:highlight w:val="none"/>
        </w:rPr>
      </w:pPr>
      <w:r>
        <w:rPr>
          <w:rFonts w:hint="eastAsia" w:ascii="宋体" w:hAnsi="宋体" w:cs="宋体"/>
          <w:color w:val="auto"/>
          <w:kern w:val="28"/>
          <w:sz w:val="24"/>
          <w:highlight w:val="none"/>
        </w:rPr>
        <w:t>  1</w:t>
      </w:r>
      <w:r>
        <w:rPr>
          <w:rFonts w:hint="eastAsia" w:ascii="宋体" w:hAnsi="宋体" w:cs="宋体"/>
          <w:color w:val="auto"/>
          <w:kern w:val="28"/>
          <w:sz w:val="24"/>
          <w:highlight w:val="none"/>
          <w:lang w:eastAsia="zh-CN"/>
        </w:rPr>
        <w:t>、</w:t>
      </w:r>
      <w:r>
        <w:rPr>
          <w:rFonts w:hint="eastAsia" w:ascii="宋体" w:hAnsi="宋体" w:cs="宋体"/>
          <w:color w:val="auto"/>
          <w:kern w:val="28"/>
          <w:sz w:val="24"/>
          <w:highlight w:val="none"/>
        </w:rPr>
        <w:t>满足《中华人民共和国政府采购法》第二十二条规定；未被“信用中国”（www.creditchina.gov.cn)、中国政府采购网（www.ccgp.gov.cn）列入失信被执行人、重大税收违法失信主体、政府采购严重违法失信行为记录名单。</w:t>
      </w:r>
    </w:p>
    <w:p w14:paraId="59E8B95A">
      <w:pPr>
        <w:spacing w:line="360" w:lineRule="auto"/>
        <w:ind w:firstLine="240" w:firstLineChars="100"/>
        <w:rPr>
          <w:rFonts w:ascii="宋体" w:hAnsi="宋体" w:cs="宋体"/>
          <w:color w:val="auto"/>
          <w:kern w:val="28"/>
          <w:sz w:val="24"/>
          <w:highlight w:val="none"/>
        </w:rPr>
      </w:pPr>
      <w:r>
        <w:rPr>
          <w:rFonts w:hint="eastAsia" w:ascii="宋体" w:hAnsi="宋体" w:cs="宋体"/>
          <w:color w:val="auto"/>
          <w:kern w:val="28"/>
          <w:sz w:val="24"/>
          <w:highlight w:val="none"/>
        </w:rPr>
        <w:t xml:space="preserve">  2</w:t>
      </w:r>
      <w:r>
        <w:rPr>
          <w:rFonts w:hint="eastAsia" w:ascii="宋体" w:hAnsi="宋体" w:cs="宋体"/>
          <w:color w:val="auto"/>
          <w:kern w:val="28"/>
          <w:sz w:val="24"/>
          <w:highlight w:val="none"/>
          <w:lang w:eastAsia="zh-CN"/>
        </w:rPr>
        <w:t>、</w:t>
      </w:r>
      <w:r>
        <w:rPr>
          <w:rFonts w:hint="eastAsia" w:ascii="宋体" w:hAnsi="宋体" w:cs="宋体"/>
          <w:color w:val="auto"/>
          <w:kern w:val="28"/>
          <w:sz w:val="24"/>
          <w:highlight w:val="none"/>
        </w:rPr>
        <w:t>落实</w:t>
      </w:r>
      <w:r>
        <w:rPr>
          <w:rFonts w:hint="eastAsia" w:ascii="宋体" w:hAnsi="宋体" w:cs="宋体"/>
          <w:color w:val="auto"/>
          <w:kern w:val="28"/>
          <w:sz w:val="24"/>
          <w:highlight w:val="none"/>
          <w:lang w:eastAsia="zh-CN"/>
        </w:rPr>
        <w:t>采购</w:t>
      </w:r>
      <w:r>
        <w:rPr>
          <w:rFonts w:hint="eastAsia" w:ascii="宋体" w:hAnsi="宋体" w:cs="宋体"/>
          <w:color w:val="auto"/>
          <w:kern w:val="28"/>
          <w:sz w:val="24"/>
          <w:highlight w:val="none"/>
        </w:rPr>
        <w:t>政策需满足的资格要求：</w:t>
      </w:r>
    </w:p>
    <w:p w14:paraId="0055E3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☐无；</w:t>
      </w:r>
    </w:p>
    <w:p w14:paraId="3B3B106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sym w:font="Wingdings" w:char="F0FE"/>
      </w:r>
      <w:r>
        <w:rPr>
          <w:rFonts w:hint="eastAsia" w:ascii="宋体" w:hAnsi="宋体" w:cs="宋体"/>
          <w:b/>
          <w:bCs/>
          <w:color w:val="auto"/>
          <w:sz w:val="24"/>
          <w:highlight w:val="none"/>
        </w:rPr>
        <w:t>专门面向中小企业</w:t>
      </w:r>
    </w:p>
    <w:p w14:paraId="5E374CFF">
      <w:pPr>
        <w:spacing w:line="360" w:lineRule="auto"/>
        <w:ind w:firstLine="849" w:firstLineChars="354"/>
        <w:rPr>
          <w:rFonts w:ascii="宋体" w:hAnsi="宋体" w:cs="宋体"/>
          <w:b w:val="0"/>
          <w:bCs w:val="0"/>
          <w:color w:val="auto"/>
          <w:sz w:val="24"/>
          <w:highlight w:val="none"/>
          <w:u w:val="single"/>
        </w:rPr>
      </w:pPr>
      <w:r>
        <w:rPr>
          <w:rFonts w:hint="eastAsia" w:ascii="宋体" w:hAnsi="宋体" w:cs="宋体"/>
          <w:b w:val="0"/>
          <w:bCs w:val="0"/>
          <w:color w:val="auto"/>
          <w:sz w:val="24"/>
          <w:highlight w:val="none"/>
        </w:rPr>
        <w:sym w:font="Wingdings" w:char="00A8"/>
      </w:r>
      <w:r>
        <w:rPr>
          <w:rFonts w:hint="eastAsia" w:ascii="宋体" w:hAnsi="宋体" w:cs="宋体"/>
          <w:b w:val="0"/>
          <w:bCs w:val="0"/>
          <w:color w:val="auto"/>
          <w:sz w:val="24"/>
          <w:highlight w:val="none"/>
        </w:rPr>
        <w:t>工程全部由符合政策要求的</w:t>
      </w:r>
      <w:r>
        <w:rPr>
          <w:rFonts w:hint="eastAsia" w:ascii="宋体" w:hAnsi="宋体" w:cs="宋体"/>
          <w:b w:val="0"/>
          <w:bCs w:val="0"/>
          <w:color w:val="auto"/>
          <w:sz w:val="24"/>
          <w:highlight w:val="none"/>
          <w:lang w:val="en-US" w:eastAsia="zh-CN"/>
        </w:rPr>
        <w:t>中小</w:t>
      </w:r>
      <w:r>
        <w:rPr>
          <w:rFonts w:hint="eastAsia" w:ascii="宋体" w:hAnsi="宋体" w:cs="宋体"/>
          <w:b w:val="0"/>
          <w:bCs w:val="0"/>
          <w:color w:val="auto"/>
          <w:sz w:val="24"/>
          <w:highlight w:val="none"/>
        </w:rPr>
        <w:t>企业承建，提供中小企业声明函；</w:t>
      </w:r>
    </w:p>
    <w:p w14:paraId="6B2B668B">
      <w:pPr>
        <w:spacing w:line="360" w:lineRule="auto"/>
        <w:ind w:firstLine="853" w:firstLineChars="354"/>
        <w:rPr>
          <w:rFonts w:ascii="宋体" w:hAnsi="宋体" w:cs="宋体"/>
          <w:b/>
          <w:bCs/>
          <w:color w:val="auto"/>
          <w:sz w:val="24"/>
          <w:highlight w:val="none"/>
        </w:rPr>
      </w:pPr>
      <w:r>
        <w:rPr>
          <w:rFonts w:hint="eastAsia" w:ascii="宋体" w:hAnsi="宋体" w:cs="宋体"/>
          <w:b/>
          <w:bCs/>
          <w:color w:val="auto"/>
          <w:sz w:val="24"/>
          <w:highlight w:val="none"/>
        </w:rPr>
        <w:sym w:font="Wingdings" w:char="00FE"/>
      </w:r>
      <w:r>
        <w:rPr>
          <w:rFonts w:hint="eastAsia" w:ascii="宋体" w:hAnsi="宋体" w:cs="宋体"/>
          <w:b/>
          <w:bCs/>
          <w:color w:val="auto"/>
          <w:sz w:val="24"/>
          <w:highlight w:val="none"/>
        </w:rPr>
        <w:t>工程全部由符合政策要求的小微企业承建，提供中小企业声明函；</w:t>
      </w:r>
    </w:p>
    <w:p w14:paraId="2B788F1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本项目的特定资格要求：</w:t>
      </w:r>
    </w:p>
    <w:p w14:paraId="091B782B">
      <w:pPr>
        <w:widowControl/>
        <w:spacing w:line="360" w:lineRule="auto"/>
        <w:ind w:left="0" w:leftChars="0" w:firstLine="638" w:firstLineChars="266"/>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（1）</w:t>
      </w:r>
      <w:r>
        <w:rPr>
          <w:rFonts w:hint="eastAsia" w:ascii="宋体" w:hAnsi="宋体" w:cs="宋体"/>
          <w:snapToGrid/>
          <w:color w:val="auto"/>
          <w:sz w:val="24"/>
          <w:szCs w:val="24"/>
          <w:highlight w:val="none"/>
        </w:rPr>
        <w:t>具备</w:t>
      </w:r>
      <w:r>
        <w:rPr>
          <w:rFonts w:hint="eastAsia" w:ascii="宋体" w:hAnsi="宋体" w:cs="宋体"/>
          <w:snapToGrid/>
          <w:color w:val="auto"/>
          <w:sz w:val="24"/>
          <w:szCs w:val="24"/>
          <w:highlight w:val="none"/>
          <w:lang w:eastAsia="zh-CN"/>
        </w:rPr>
        <w:t>建筑工程</w:t>
      </w:r>
      <w:r>
        <w:rPr>
          <w:rFonts w:hint="eastAsia" w:ascii="宋体" w:hAnsi="宋体" w:cs="宋体"/>
          <w:snapToGrid/>
          <w:color w:val="auto"/>
          <w:sz w:val="24"/>
          <w:szCs w:val="24"/>
          <w:highlight w:val="none"/>
        </w:rPr>
        <w:t>施工总承包三级及以上资质</w:t>
      </w:r>
      <w:r>
        <w:rPr>
          <w:rFonts w:hint="eastAsia" w:ascii="宋体" w:hAnsi="宋体" w:cs="宋体"/>
          <w:color w:val="auto"/>
          <w:sz w:val="24"/>
          <w:szCs w:val="24"/>
          <w:highlight w:val="none"/>
        </w:rPr>
        <w:t>；</w:t>
      </w:r>
    </w:p>
    <w:p w14:paraId="6C738D29">
      <w:pPr>
        <w:widowControl/>
        <w:spacing w:line="360" w:lineRule="auto"/>
        <w:ind w:left="0" w:leftChars="0" w:firstLine="638" w:firstLineChars="266"/>
        <w:jc w:val="left"/>
        <w:rPr>
          <w:rFonts w:ascii="宋体" w:hAnsi="宋体" w:cs="宋体"/>
          <w:color w:val="auto"/>
          <w:sz w:val="24"/>
          <w:szCs w:val="24"/>
          <w:highlight w:val="none"/>
        </w:rPr>
      </w:pPr>
      <w:r>
        <w:rPr>
          <w:rFonts w:hint="eastAsia" w:ascii="宋体" w:hAnsi="宋体" w:cs="宋体"/>
          <w:color w:val="auto"/>
          <w:sz w:val="24"/>
          <w:szCs w:val="24"/>
          <w:highlight w:val="none"/>
        </w:rPr>
        <w:t>（2）有效期内的《安全生产许可证》。</w:t>
      </w:r>
    </w:p>
    <w:p w14:paraId="4CDABB1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4、单位负责人为同一人或者存在直接控股、管理关系或存在采购文件中明文限制的不同供应商，不得参加同一合同项下的</w:t>
      </w:r>
      <w:r>
        <w:rPr>
          <w:rFonts w:hint="eastAsia" w:ascii="宋体" w:hAnsi="宋体" w:cs="宋体"/>
          <w:color w:val="auto"/>
          <w:sz w:val="24"/>
          <w:highlight w:val="none"/>
          <w:lang w:eastAsia="zh-CN"/>
        </w:rPr>
        <w:t>采购</w:t>
      </w:r>
      <w:r>
        <w:rPr>
          <w:rFonts w:hint="eastAsia" w:ascii="宋体" w:hAnsi="宋体" w:cs="宋体"/>
          <w:color w:val="auto"/>
          <w:sz w:val="24"/>
          <w:highlight w:val="none"/>
        </w:rPr>
        <w:t>活动。为</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项目的前期准备或者监理工作提供设计、咨询服务的任何法人及其任何附属机构（单位），不得参与项目施工标竞标。</w:t>
      </w:r>
    </w:p>
    <w:p w14:paraId="5914F810">
      <w:pPr>
        <w:widowControl/>
        <w:spacing w:line="360" w:lineRule="auto"/>
        <w:jc w:val="left"/>
        <w:rPr>
          <w:rFonts w:hint="eastAsia" w:ascii="宋体" w:hAnsi="宋体" w:cs="宋体"/>
          <w:b/>
          <w:bCs/>
          <w:color w:val="auto"/>
          <w:sz w:val="24"/>
          <w:highlight w:val="none"/>
        </w:rPr>
      </w:pPr>
    </w:p>
    <w:p w14:paraId="0768C1E0">
      <w:pPr>
        <w:widowControl/>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三、获取（下载）招标文件</w:t>
      </w:r>
    </w:p>
    <w:p w14:paraId="0F92E09F">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时间：</w:t>
      </w:r>
      <w:r>
        <w:rPr>
          <w:rFonts w:hint="eastAsia" w:ascii="宋体" w:hAnsi="宋体" w:cs="宋体"/>
          <w:bCs/>
          <w:color w:val="auto"/>
          <w:sz w:val="24"/>
          <w:highlight w:val="none"/>
          <w:lang w:val="en-US" w:eastAsia="zh-CN"/>
        </w:rPr>
        <w:t>2025年05月22日</w:t>
      </w:r>
      <w:r>
        <w:rPr>
          <w:rFonts w:hint="eastAsia" w:ascii="宋体" w:hAnsi="宋体" w:cs="宋体"/>
          <w:bCs/>
          <w:color w:val="auto"/>
          <w:sz w:val="24"/>
          <w:highlight w:val="none"/>
        </w:rPr>
        <w:t>至</w:t>
      </w:r>
      <w:r>
        <w:rPr>
          <w:rFonts w:hint="eastAsia" w:ascii="宋体" w:hAnsi="宋体" w:cs="宋体"/>
          <w:bCs/>
          <w:color w:val="auto"/>
          <w:sz w:val="24"/>
          <w:highlight w:val="none"/>
          <w:lang w:eastAsia="zh-CN"/>
        </w:rPr>
        <w:t>2025年06月06日</w:t>
      </w:r>
      <w:r>
        <w:rPr>
          <w:rFonts w:hint="eastAsia" w:ascii="宋体" w:hAnsi="宋体" w:cs="宋体"/>
          <w:bCs/>
          <w:color w:val="auto"/>
          <w:sz w:val="24"/>
          <w:highlight w:val="none"/>
        </w:rPr>
        <w:t>，每天上午00:00至12:00 ，下午12:00至23:59（北京时间，线上获取法定节假日均可，线下获取文件法定节假日除外）</w:t>
      </w:r>
    </w:p>
    <w:p w14:paraId="1379D9D4">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地点：</w:t>
      </w:r>
      <w:r>
        <w:rPr>
          <w:rFonts w:hint="eastAsia" w:ascii="宋体" w:hAnsi="宋体" w:cs="宋体"/>
          <w:bCs/>
          <w:color w:val="auto"/>
          <w:sz w:val="24"/>
          <w:highlight w:val="none"/>
          <w:lang w:eastAsia="zh-CN"/>
        </w:rPr>
        <w:t>杭州市教育局非依法招标（小额）项目平台</w:t>
      </w:r>
      <w:r>
        <w:rPr>
          <w:rFonts w:hint="eastAsia" w:ascii="宋体" w:hAnsi="宋体" w:cs="宋体"/>
          <w:bCs/>
          <w:color w:val="auto"/>
          <w:sz w:val="24"/>
          <w:highlight w:val="none"/>
        </w:rPr>
        <w:t xml:space="preserve">线上获取 </w:t>
      </w:r>
    </w:p>
    <w:p w14:paraId="7C179EAB">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方式：</w:t>
      </w:r>
      <w:r>
        <w:rPr>
          <w:rFonts w:hint="eastAsia" w:ascii="宋体" w:hAnsi="宋体" w:cs="宋体"/>
          <w:bCs/>
          <w:color w:val="auto"/>
          <w:sz w:val="24"/>
          <w:highlight w:val="none"/>
          <w:lang w:val="en-US" w:eastAsia="zh-CN"/>
        </w:rPr>
        <w:t>供应商</w:t>
      </w:r>
      <w:r>
        <w:rPr>
          <w:rFonts w:hint="eastAsia" w:ascii="宋体" w:hAnsi="宋体" w:cs="宋体"/>
          <w:bCs/>
          <w:color w:val="auto"/>
          <w:sz w:val="24"/>
          <w:highlight w:val="none"/>
        </w:rPr>
        <w:t>登录</w:t>
      </w:r>
      <w:r>
        <w:rPr>
          <w:rFonts w:hint="eastAsia" w:ascii="宋体" w:hAnsi="宋体" w:cs="宋体"/>
          <w:bCs/>
          <w:color w:val="auto"/>
          <w:sz w:val="24"/>
          <w:highlight w:val="none"/>
          <w:lang w:eastAsia="zh-CN"/>
        </w:rPr>
        <w:t>杭州市教育局非依法招标（小额）项目平台https://hzjyg.lecaiyun.com</w:t>
      </w:r>
      <w:r>
        <w:rPr>
          <w:rFonts w:hint="eastAsia" w:ascii="宋体" w:hAnsi="宋体" w:cs="宋体"/>
          <w:bCs/>
          <w:color w:val="auto"/>
          <w:sz w:val="24"/>
          <w:highlight w:val="none"/>
        </w:rPr>
        <w:t xml:space="preserve">在线申请获取采购文件（进入“项目采购”应用，在获取采购文件菜单中选择项目，申请获取采购文件） </w:t>
      </w:r>
    </w:p>
    <w:p w14:paraId="72EA5864">
      <w:pPr>
        <w:widowControl/>
        <w:spacing w:line="360" w:lineRule="auto"/>
        <w:ind w:firstLine="495" w:firstLineChars="0"/>
        <w:jc w:val="left"/>
        <w:rPr>
          <w:rFonts w:hint="eastAsia" w:ascii="宋体" w:hAnsi="宋体" w:cs="宋体"/>
          <w:color w:val="auto"/>
          <w:sz w:val="24"/>
          <w:highlight w:val="none"/>
          <w:lang w:val="en-US" w:eastAsia="zh-CN"/>
        </w:rPr>
      </w:pPr>
      <w:r>
        <w:rPr>
          <w:rFonts w:hint="eastAsia" w:ascii="宋体" w:hAnsi="宋体" w:cs="宋体"/>
          <w:bCs/>
          <w:color w:val="auto"/>
          <w:sz w:val="24"/>
          <w:highlight w:val="none"/>
        </w:rPr>
        <w:t>售价（元）：</w:t>
      </w:r>
      <w:r>
        <w:rPr>
          <w:rFonts w:hint="eastAsia" w:ascii="宋体" w:hAnsi="宋体" w:cs="宋体"/>
          <w:color w:val="auto"/>
          <w:sz w:val="24"/>
          <w:highlight w:val="none"/>
          <w:lang w:val="en-US" w:eastAsia="zh-CN"/>
        </w:rPr>
        <w:t>500</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在获取采购文件时附件上传标书费打款凭证，售后不退</w:t>
      </w:r>
      <w:r>
        <w:rPr>
          <w:rFonts w:hint="eastAsia" w:ascii="宋体" w:hAnsi="宋体" w:cs="宋体"/>
          <w:bCs/>
          <w:color w:val="auto"/>
          <w:sz w:val="24"/>
          <w:highlight w:val="none"/>
          <w:lang w:eastAsia="zh-CN"/>
        </w:rPr>
        <w:t>）</w:t>
      </w:r>
    </w:p>
    <w:p w14:paraId="065709CE">
      <w:pPr>
        <w:adjustRightInd w:val="0"/>
        <w:snapToGrid w:val="0"/>
        <w:spacing w:line="360" w:lineRule="auto"/>
        <w:ind w:firstLine="480" w:firstLineChars="200"/>
        <w:rPr>
          <w:rFonts w:hint="eastAsia" w:ascii="宋体" w:hAnsi="宋体" w:eastAsia="宋体" w:cs="仿宋_GB2312"/>
          <w:color w:val="auto"/>
          <w:sz w:val="24"/>
          <w:highlight w:val="none"/>
          <w:lang w:eastAsia="zh-CN"/>
        </w:rPr>
      </w:pPr>
      <w:r>
        <w:rPr>
          <w:rFonts w:hint="eastAsia" w:ascii="宋体" w:hAnsi="宋体" w:eastAsia="宋体" w:cs="仿宋_GB2312"/>
          <w:color w:val="auto"/>
          <w:sz w:val="24"/>
          <w:highlight w:val="none"/>
        </w:rPr>
        <w:t>收款单位：</w:t>
      </w:r>
      <w:r>
        <w:rPr>
          <w:rFonts w:hint="eastAsia" w:ascii="宋体" w:hAnsi="宋体" w:cs="仿宋_GB2312"/>
          <w:color w:val="auto"/>
          <w:sz w:val="24"/>
          <w:highlight w:val="none"/>
          <w:lang w:eastAsia="zh-CN"/>
        </w:rPr>
        <w:t>浙江五石中正工程咨询有限公司</w:t>
      </w:r>
    </w:p>
    <w:p w14:paraId="53F593E2">
      <w:pPr>
        <w:adjustRightInd w:val="0"/>
        <w:snapToGrid w:val="0"/>
        <w:spacing w:line="360" w:lineRule="auto"/>
        <w:ind w:firstLine="480" w:firstLineChars="200"/>
        <w:rPr>
          <w:rFonts w:hint="eastAsia" w:ascii="宋体" w:hAnsi="宋体" w:eastAsia="宋体" w:cs="仿宋_GB2312"/>
          <w:color w:val="auto"/>
          <w:sz w:val="24"/>
          <w:highlight w:val="none"/>
          <w:lang w:eastAsia="zh-CN"/>
        </w:rPr>
      </w:pPr>
      <w:r>
        <w:rPr>
          <w:rFonts w:hint="eastAsia" w:ascii="宋体" w:hAnsi="宋体" w:eastAsia="宋体" w:cs="仿宋_GB2312"/>
          <w:color w:val="auto"/>
          <w:sz w:val="24"/>
          <w:highlight w:val="none"/>
        </w:rPr>
        <w:t>开户银行：</w:t>
      </w:r>
      <w:r>
        <w:rPr>
          <w:rFonts w:hint="eastAsia" w:ascii="宋体" w:hAnsi="宋体" w:cs="仿宋_GB2312"/>
          <w:color w:val="auto"/>
          <w:sz w:val="24"/>
          <w:highlight w:val="none"/>
          <w:lang w:eastAsia="zh-CN"/>
        </w:rPr>
        <w:t xml:space="preserve">中国工商银行杭州潮王路支行 </w:t>
      </w:r>
    </w:p>
    <w:p w14:paraId="2C38E34A">
      <w:pPr>
        <w:spacing w:line="360" w:lineRule="auto"/>
        <w:ind w:firstLine="480" w:firstLineChars="200"/>
        <w:rPr>
          <w:rFonts w:ascii="宋体" w:hAnsi="宋体" w:cs="宋体"/>
          <w:bCs/>
          <w:color w:val="auto"/>
          <w:sz w:val="24"/>
          <w:highlight w:val="none"/>
        </w:rPr>
      </w:pPr>
      <w:r>
        <w:rPr>
          <w:rFonts w:hint="eastAsia" w:ascii="宋体" w:hAnsi="宋体" w:eastAsia="宋体" w:cs="仿宋_GB2312"/>
          <w:color w:val="auto"/>
          <w:sz w:val="24"/>
          <w:highlight w:val="none"/>
        </w:rPr>
        <w:t>帐    号：</w:t>
      </w:r>
      <w:r>
        <w:rPr>
          <w:rFonts w:hint="eastAsia" w:ascii="宋体" w:hAnsi="宋体" w:cs="宋体"/>
          <w:color w:val="auto"/>
          <w:sz w:val="24"/>
          <w:highlight w:val="none"/>
          <w:lang w:eastAsia="zh-CN"/>
        </w:rPr>
        <w:t>1202003209900014176</w:t>
      </w:r>
      <w:r>
        <w:rPr>
          <w:rFonts w:hint="eastAsia" w:ascii="宋体" w:hAnsi="宋体" w:cs="宋体"/>
          <w:bCs/>
          <w:color w:val="auto"/>
          <w:sz w:val="24"/>
          <w:highlight w:val="none"/>
        </w:rPr>
        <w:t xml:space="preserve"> </w:t>
      </w:r>
      <w:r>
        <w:rPr>
          <w:rFonts w:hint="eastAsia" w:ascii="宋体" w:hAnsi="宋体" w:cs="宋体"/>
          <w:bCs/>
          <w:color w:val="auto"/>
          <w:sz w:val="24"/>
          <w:highlight w:val="none"/>
        </w:rPr>
        <w:tab/>
      </w:r>
    </w:p>
    <w:p w14:paraId="74EC8629">
      <w:pPr>
        <w:widowControl/>
        <w:spacing w:line="360" w:lineRule="auto"/>
        <w:jc w:val="left"/>
        <w:rPr>
          <w:rFonts w:hint="eastAsia" w:ascii="宋体" w:hAnsi="宋体" w:cs="宋体"/>
          <w:b/>
          <w:bCs/>
          <w:color w:val="auto"/>
          <w:sz w:val="24"/>
          <w:highlight w:val="none"/>
        </w:rPr>
      </w:pPr>
    </w:p>
    <w:p w14:paraId="38F49CE7">
      <w:pPr>
        <w:widowControl/>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四、响应文件提交（上传）</w:t>
      </w:r>
    </w:p>
    <w:p w14:paraId="2448313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截止时间：</w:t>
      </w:r>
      <w:r>
        <w:rPr>
          <w:rFonts w:hint="eastAsia" w:ascii="宋体" w:hAnsi="宋体" w:cs="宋体"/>
          <w:color w:val="auto"/>
          <w:sz w:val="24"/>
          <w:highlight w:val="none"/>
          <w:lang w:eastAsia="zh-CN"/>
        </w:rPr>
        <w:t>2025年06月06日</w:t>
      </w:r>
      <w:r>
        <w:rPr>
          <w:rFonts w:hint="eastAsia" w:ascii="宋体" w:hAnsi="宋体" w:cs="宋体"/>
          <w:color w:val="auto"/>
          <w:sz w:val="24"/>
          <w:highlight w:val="none"/>
          <w:lang w:val="en-US" w:eastAsia="zh-CN"/>
        </w:rPr>
        <w:t>14：30</w:t>
      </w:r>
      <w:r>
        <w:rPr>
          <w:rFonts w:hint="eastAsia" w:ascii="宋体" w:hAnsi="宋体" w:cs="宋体"/>
          <w:color w:val="auto"/>
          <w:sz w:val="24"/>
          <w:highlight w:val="none"/>
        </w:rPr>
        <w:t>（北京时间）</w:t>
      </w:r>
    </w:p>
    <w:p w14:paraId="5FD45067">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   地点（网址）：通过“</w:t>
      </w:r>
      <w:r>
        <w:rPr>
          <w:rFonts w:hint="eastAsia" w:ascii="宋体" w:hAnsi="宋体" w:cs="宋体"/>
          <w:color w:val="auto"/>
          <w:sz w:val="24"/>
          <w:highlight w:val="none"/>
          <w:lang w:eastAsia="zh-CN"/>
        </w:rPr>
        <w:t>乐采云平台（https://hzjyg.lecaiyun.com）</w:t>
      </w:r>
      <w:r>
        <w:rPr>
          <w:rFonts w:hint="eastAsia" w:ascii="宋体" w:hAnsi="宋体" w:cs="宋体"/>
          <w:color w:val="auto"/>
          <w:sz w:val="24"/>
          <w:highlight w:val="none"/>
        </w:rPr>
        <w:t>”在线递交。</w:t>
      </w:r>
    </w:p>
    <w:p w14:paraId="266A7E15">
      <w:pPr>
        <w:widowControl/>
        <w:spacing w:line="360" w:lineRule="auto"/>
        <w:jc w:val="left"/>
        <w:rPr>
          <w:rFonts w:hint="eastAsia" w:ascii="宋体" w:hAnsi="宋体" w:cs="宋体"/>
          <w:b/>
          <w:bCs/>
          <w:color w:val="auto"/>
          <w:sz w:val="24"/>
          <w:highlight w:val="none"/>
        </w:rPr>
      </w:pPr>
    </w:p>
    <w:p w14:paraId="6471B5B5">
      <w:pPr>
        <w:widowControl/>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五、响应文件开启</w:t>
      </w:r>
    </w:p>
    <w:p w14:paraId="4AD63915">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   开启时间：</w:t>
      </w:r>
      <w:r>
        <w:rPr>
          <w:rFonts w:hint="eastAsia" w:ascii="宋体" w:hAnsi="宋体" w:cs="宋体"/>
          <w:color w:val="auto"/>
          <w:sz w:val="24"/>
          <w:highlight w:val="none"/>
          <w:lang w:eastAsia="zh-CN"/>
        </w:rPr>
        <w:t>2025年06月06日</w:t>
      </w:r>
      <w:r>
        <w:rPr>
          <w:rFonts w:hint="eastAsia" w:ascii="宋体" w:hAnsi="宋体" w:cs="宋体"/>
          <w:color w:val="auto"/>
          <w:sz w:val="24"/>
          <w:highlight w:val="none"/>
          <w:lang w:val="en-US" w:eastAsia="zh-CN"/>
        </w:rPr>
        <w:t>14：30</w:t>
      </w:r>
      <w:r>
        <w:rPr>
          <w:rFonts w:hint="eastAsia" w:ascii="宋体" w:hAnsi="宋体" w:cs="宋体"/>
          <w:color w:val="auto"/>
          <w:sz w:val="24"/>
          <w:highlight w:val="none"/>
        </w:rPr>
        <w:t>（北京时间）</w:t>
      </w:r>
    </w:p>
    <w:p w14:paraId="5B07FA09">
      <w:pPr>
        <w:pStyle w:val="24"/>
        <w:spacing w:line="360" w:lineRule="auto"/>
        <w:rPr>
          <w:rFonts w:cs="宋体"/>
          <w:color w:val="auto"/>
          <w:highlight w:val="none"/>
        </w:rPr>
      </w:pPr>
      <w:r>
        <w:rPr>
          <w:rFonts w:hint="eastAsia" w:cs="宋体"/>
          <w:color w:val="auto"/>
          <w:highlight w:val="none"/>
        </w:rPr>
        <w:t>地点：</w:t>
      </w:r>
      <w:r>
        <w:rPr>
          <w:rFonts w:hint="eastAsia" w:ascii="宋体" w:hAnsi="宋体" w:cs="宋体"/>
          <w:bCs/>
          <w:color w:val="auto"/>
          <w:sz w:val="24"/>
          <w:highlight w:val="none"/>
          <w:lang w:eastAsia="zh-CN"/>
        </w:rPr>
        <w:t>杭州市教育局非依法招标（小额）项目平台</w:t>
      </w:r>
      <w:r>
        <w:rPr>
          <w:rFonts w:hint="eastAsia" w:cs="宋体"/>
          <w:color w:val="auto"/>
          <w:highlight w:val="none"/>
        </w:rPr>
        <w:t>；（线下：</w:t>
      </w:r>
      <w:r>
        <w:rPr>
          <w:rFonts w:hint="eastAsia" w:cs="宋体"/>
          <w:color w:val="auto"/>
          <w:highlight w:val="none"/>
          <w:lang w:val="en-US" w:eastAsia="zh-CN"/>
        </w:rPr>
        <w:t>杭州市拱墅区白石巷318号北楼504</w:t>
      </w:r>
      <w:r>
        <w:rPr>
          <w:rFonts w:hint="eastAsia" w:cs="宋体"/>
          <w:color w:val="auto"/>
          <w:highlight w:val="none"/>
        </w:rPr>
        <w:t>）</w:t>
      </w:r>
    </w:p>
    <w:p w14:paraId="72674239">
      <w:pPr>
        <w:widowControl/>
        <w:spacing w:line="360" w:lineRule="auto"/>
        <w:jc w:val="left"/>
        <w:rPr>
          <w:rFonts w:hint="eastAsia" w:ascii="宋体" w:hAnsi="宋体" w:cs="宋体"/>
          <w:b/>
          <w:bCs/>
          <w:color w:val="auto"/>
          <w:sz w:val="24"/>
          <w:highlight w:val="none"/>
        </w:rPr>
      </w:pPr>
    </w:p>
    <w:p w14:paraId="2EB2300D">
      <w:pPr>
        <w:widowControl/>
        <w:spacing w:line="360" w:lineRule="auto"/>
        <w:jc w:val="left"/>
        <w:rPr>
          <w:rFonts w:ascii="宋体" w:hAnsi="宋体" w:cs="宋体"/>
          <w:b/>
          <w:bCs/>
          <w:strike w:val="0"/>
          <w:color w:val="auto"/>
          <w:sz w:val="24"/>
          <w:highlight w:val="none"/>
        </w:rPr>
      </w:pPr>
      <w:r>
        <w:rPr>
          <w:rFonts w:hint="eastAsia" w:ascii="宋体" w:hAnsi="宋体" w:cs="宋体"/>
          <w:b/>
          <w:bCs/>
          <w:strike w:val="0"/>
          <w:color w:val="auto"/>
          <w:sz w:val="24"/>
          <w:highlight w:val="none"/>
        </w:rPr>
        <w:t>六、公告期限</w:t>
      </w:r>
    </w:p>
    <w:p w14:paraId="0E38C4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自本公告发布之日起3个工作日。</w:t>
      </w:r>
    </w:p>
    <w:p w14:paraId="0DB6E5F8">
      <w:pPr>
        <w:widowControl/>
        <w:spacing w:line="360" w:lineRule="auto"/>
        <w:jc w:val="left"/>
        <w:rPr>
          <w:rFonts w:hint="eastAsia" w:ascii="宋体" w:hAnsi="宋体" w:cs="宋体"/>
          <w:b/>
          <w:bCs/>
          <w:color w:val="auto"/>
          <w:sz w:val="24"/>
          <w:highlight w:val="none"/>
        </w:rPr>
      </w:pPr>
    </w:p>
    <w:p w14:paraId="7BCF2B90">
      <w:pPr>
        <w:widowControl/>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lang w:val="en-US" w:eastAsia="zh-CN"/>
        </w:rPr>
        <w:t>七</w:t>
      </w:r>
      <w:r>
        <w:rPr>
          <w:rFonts w:hint="eastAsia" w:ascii="宋体" w:hAnsi="宋体" w:cs="宋体"/>
          <w:b/>
          <w:bCs/>
          <w:color w:val="auto"/>
          <w:sz w:val="24"/>
          <w:highlight w:val="none"/>
        </w:rPr>
        <w:t>、其他补充事宜</w:t>
      </w:r>
    </w:p>
    <w:p w14:paraId="3E3B1E73">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采购监督管理部门投诉。质疑函范本、投诉书范本请到浙江政府采购网下载专区下载。</w:t>
      </w:r>
      <w:r>
        <w:rPr>
          <w:rFonts w:hint="eastAsia" w:ascii="宋体" w:hAnsi="宋体" w:cs="宋体"/>
          <w:color w:val="auto"/>
          <w:sz w:val="24"/>
          <w:highlight w:val="none"/>
        </w:rPr>
        <w:br w:type="textWrapping"/>
      </w:r>
      <w:r>
        <w:rPr>
          <w:rFonts w:hint="eastAsia" w:ascii="宋体" w:hAnsi="宋体" w:cs="宋体"/>
          <w:color w:val="auto"/>
          <w:sz w:val="24"/>
          <w:highlight w:val="none"/>
        </w:rPr>
        <w:t xml:space="preserve">  2.其他事项：</w:t>
      </w:r>
      <w:r>
        <w:rPr>
          <w:rFonts w:hint="eastAsia" w:ascii="宋体" w:hAnsi="宋体" w:cs="宋体"/>
          <w:color w:val="auto"/>
          <w:sz w:val="24"/>
          <w:highlight w:val="none"/>
        </w:rPr>
        <w:br w:type="textWrapping"/>
      </w:r>
      <w:r>
        <w:rPr>
          <w:rFonts w:hint="eastAsia" w:ascii="宋体" w:hAnsi="宋体" w:cs="宋体"/>
          <w:color w:val="auto"/>
          <w:sz w:val="24"/>
          <w:highlight w:val="none"/>
        </w:rPr>
        <w:t>  （1）需要落实的政府采购政策：包括节约资源、保护环境、支持创新、促进中小企业发展等。详见招标文件的第二部分总则。</w:t>
      </w:r>
      <w:r>
        <w:rPr>
          <w:rFonts w:hint="eastAsia" w:ascii="宋体" w:hAnsi="宋体" w:cs="宋体"/>
          <w:color w:val="auto"/>
          <w:sz w:val="24"/>
          <w:highlight w:val="none"/>
        </w:rPr>
        <w:br w:type="textWrapping"/>
      </w:r>
      <w:r>
        <w:rPr>
          <w:rFonts w:hint="eastAsia" w:ascii="宋体" w:hAnsi="宋体" w:cs="宋体"/>
          <w:color w:val="auto"/>
          <w:sz w:val="24"/>
          <w:highlight w:val="none"/>
        </w:rPr>
        <w:t>  （2）电子招投标的说明：①电子招投标：本项目以数据电文形式，依托“乐采云平台（https://hzjyg.lecaiyun.com）”进行招投标活动，不接受纸质投标文件；②投标准备：注册账号--点击“商家入驻”，进行政府采购投应商资料填写；申领CA数字证书---申领流程详见“乐采云平台-下载专区-电子交易客户端-CA驱动和申领流程”；安装“乐采云电子交易客户端”----前往“乐采云平台-下载专区-电子交易客户端”进行下载并安装；③招标文件的获取：使用账号登录或者使用CA登录杭州市教育局非依法招标（小额）项目平台；进入“项目采购”应用，在获取采购文件菜单中选择项目，获取招标文件；④投标文件的制作：在“乐采云电子交易客户端”中完成“填写基本信息”、“导入投标文件”、“标书关联”、“标书检查”、“电子签名”、“生成电子标书”等操作；⑤采购人、采购机构将依托杭州市教育局非依法招标（小额）项目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乐采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乐采云平台”上传递交的投标文件无法按时解密，投标人递交了备份投标文件的，以备份投标文件为依据，否则视为投标文件撤回。通过“乐采云平台”上传递交的投标文件已按时解密的，备份投标文件自动失效。投标人仅提交备份投标文件，未在电子交易平台传输递交投标文件的，投标无效；⑩具体操作指南：详见</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平台“服务中心-帮助文档-项目采购-操作流程-电子招投标-采购项目电子交易管理操作指南-供应商”。</w:t>
      </w:r>
      <w:r>
        <w:rPr>
          <w:rFonts w:hint="eastAsia" w:ascii="宋体" w:hAnsi="宋体" w:cs="宋体"/>
          <w:color w:val="auto"/>
          <w:sz w:val="24"/>
          <w:highlight w:val="none"/>
        </w:rPr>
        <w:br w:type="textWrapping"/>
      </w:r>
      <w:r>
        <w:rPr>
          <w:rFonts w:hint="eastAsia" w:ascii="宋体" w:hAnsi="宋体" w:cs="宋体"/>
          <w:color w:val="auto"/>
          <w:sz w:val="24"/>
          <w:highlight w:val="none"/>
        </w:rPr>
        <w:t>  （3）招标文件公告期限与招标公告的公告期限一致。</w:t>
      </w:r>
    </w:p>
    <w:p w14:paraId="152F2DB0">
      <w:pPr>
        <w:widowControl/>
        <w:spacing w:line="360" w:lineRule="auto"/>
        <w:jc w:val="left"/>
        <w:rPr>
          <w:rFonts w:hint="eastAsia" w:ascii="宋体" w:hAnsi="宋体" w:cs="宋体"/>
          <w:b/>
          <w:bCs/>
          <w:color w:val="auto"/>
          <w:sz w:val="24"/>
          <w:highlight w:val="none"/>
        </w:rPr>
      </w:pPr>
    </w:p>
    <w:p w14:paraId="035A5AA5">
      <w:pPr>
        <w:widowControl/>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lang w:val="en-US" w:eastAsia="zh-CN"/>
        </w:rPr>
        <w:t>八</w:t>
      </w:r>
      <w:r>
        <w:rPr>
          <w:rFonts w:hint="eastAsia" w:ascii="宋体" w:hAnsi="宋体" w:cs="宋体"/>
          <w:b/>
          <w:bCs/>
          <w:color w:val="auto"/>
          <w:sz w:val="24"/>
          <w:highlight w:val="none"/>
        </w:rPr>
        <w:t>、凡对本次招标提出询问、质疑、投诉，请按以下方式联系</w:t>
      </w:r>
    </w:p>
    <w:p w14:paraId="19497788">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ascii="宋体" w:hAnsi="宋体" w:cs="宋体"/>
          <w:color w:val="auto"/>
          <w:sz w:val="24"/>
          <w:highlight w:val="none"/>
        </w:rPr>
      </w:pPr>
      <w:r>
        <w:rPr>
          <w:rFonts w:hint="eastAsia" w:ascii="宋体" w:hAnsi="宋体" w:cs="宋体"/>
          <w:color w:val="auto"/>
          <w:sz w:val="24"/>
          <w:highlight w:val="none"/>
        </w:rPr>
        <w:t>1.采购人信息</w:t>
      </w:r>
    </w:p>
    <w:p w14:paraId="7D1CE4D6">
      <w:pPr>
        <w:keepNext w:val="0"/>
        <w:keepLines w:val="0"/>
        <w:pageBreakBefore w:val="0"/>
        <w:kinsoku/>
        <w:wordWrap/>
        <w:overflowPunct/>
        <w:topLinePunct w:val="0"/>
        <w:autoSpaceDE/>
        <w:autoSpaceDN/>
        <w:bidi w:val="0"/>
        <w:adjustRightInd w:val="0"/>
        <w:snapToGrid w:val="0"/>
        <w:spacing w:line="360" w:lineRule="auto"/>
        <w:ind w:firstLine="566" w:firstLineChars="236"/>
        <w:jc w:val="lef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杭州高级中学钱塘学校</w:t>
      </w:r>
    </w:p>
    <w:p w14:paraId="275CFAF2">
      <w:pPr>
        <w:keepNext w:val="0"/>
        <w:keepLines w:val="0"/>
        <w:pageBreakBefore w:val="0"/>
        <w:widowControl w:val="0"/>
        <w:kinsoku/>
        <w:wordWrap/>
        <w:overflowPunct/>
        <w:topLinePunct w:val="0"/>
        <w:autoSpaceDE/>
        <w:autoSpaceDN/>
        <w:bidi w:val="0"/>
        <w:adjustRightInd w:val="0"/>
        <w:snapToGrid w:val="0"/>
        <w:spacing w:line="360" w:lineRule="auto"/>
        <w:ind w:firstLine="566" w:firstLineChars="236"/>
        <w:jc w:val="lef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地址：</w:t>
      </w:r>
      <w:r>
        <w:rPr>
          <w:rFonts w:hint="eastAsia" w:ascii="宋体" w:hAnsi="宋体" w:eastAsia="宋体" w:cs="宋体"/>
          <w:i w:val="0"/>
          <w:iCs w:val="0"/>
          <w:caps w:val="0"/>
          <w:snapToGrid w:val="0"/>
          <w:color w:val="auto"/>
          <w:spacing w:val="0"/>
          <w:kern w:val="0"/>
          <w:sz w:val="24"/>
          <w:szCs w:val="24"/>
          <w:highlight w:val="none"/>
          <w:shd w:val="clear" w:color="auto" w:fill="FFFFFF"/>
          <w:lang w:val="en-US" w:eastAsia="zh-CN" w:bidi="ar"/>
        </w:rPr>
        <w:t>杭州市</w:t>
      </w:r>
      <w:r>
        <w:rPr>
          <w:rFonts w:hint="eastAsia" w:hAnsi="宋体" w:eastAsia="宋体"/>
          <w:bCs/>
          <w:color w:val="auto"/>
          <w:sz w:val="24"/>
          <w:highlight w:val="none"/>
          <w:lang w:eastAsia="zh-CN"/>
        </w:rPr>
        <w:t>钱塘区河庄街道浩瀚路1号</w:t>
      </w:r>
    </w:p>
    <w:p w14:paraId="684DE6F7">
      <w:pPr>
        <w:keepNext w:val="0"/>
        <w:keepLines w:val="0"/>
        <w:pageBreakBefore w:val="0"/>
        <w:kinsoku/>
        <w:wordWrap/>
        <w:overflowPunct/>
        <w:topLinePunct w:val="0"/>
        <w:autoSpaceDE/>
        <w:autoSpaceDN/>
        <w:bidi w:val="0"/>
        <w:adjustRightInd w:val="0"/>
        <w:snapToGrid w:val="0"/>
        <w:spacing w:line="360" w:lineRule="auto"/>
        <w:ind w:firstLine="566" w:firstLineChars="236"/>
        <w:jc w:val="left"/>
        <w:textAlignment w:val="auto"/>
        <w:rPr>
          <w:rFonts w:hint="eastAsia"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eastAsia="宋体" w:cs="宋体"/>
          <w:i w:val="0"/>
          <w:iCs w:val="0"/>
          <w:caps w:val="0"/>
          <w:snapToGrid w:val="0"/>
          <w:color w:val="auto"/>
          <w:spacing w:val="0"/>
          <w:kern w:val="0"/>
          <w:sz w:val="24"/>
          <w:szCs w:val="24"/>
          <w:highlight w:val="none"/>
          <w:shd w:val="clear" w:color="auto" w:fill="FFFFFF"/>
          <w:lang w:val="en-US" w:eastAsia="zh-CN" w:bidi="ar"/>
        </w:rPr>
        <w:t>施老师</w:t>
      </w:r>
    </w:p>
    <w:p w14:paraId="42124834">
      <w:pPr>
        <w:keepNext w:val="0"/>
        <w:keepLines w:val="0"/>
        <w:pageBreakBefore w:val="0"/>
        <w:widowControl w:val="0"/>
        <w:kinsoku/>
        <w:wordWrap/>
        <w:overflowPunct/>
        <w:topLinePunct w:val="0"/>
        <w:autoSpaceDE/>
        <w:autoSpaceDN/>
        <w:bidi w:val="0"/>
        <w:adjustRightInd w:val="0"/>
        <w:snapToGrid w:val="0"/>
        <w:spacing w:line="360" w:lineRule="auto"/>
        <w:ind w:firstLine="566" w:firstLineChars="236"/>
        <w:jc w:val="left"/>
        <w:textAlignment w:val="auto"/>
        <w:rPr>
          <w:rFonts w:hint="eastAsia" w:ascii="宋体" w:hAnsi="宋体" w:cs="宋体"/>
          <w:color w:val="auto"/>
          <w:sz w:val="24"/>
          <w:highlight w:val="none"/>
        </w:rPr>
      </w:pPr>
      <w:r>
        <w:rPr>
          <w:rFonts w:hint="eastAsia" w:ascii="宋体" w:hAnsi="宋体" w:cs="宋体"/>
          <w:color w:val="auto"/>
          <w:sz w:val="24"/>
          <w:highlight w:val="none"/>
        </w:rPr>
        <w:t>项目联系方式（询问）：</w:t>
      </w:r>
      <w:r>
        <w:rPr>
          <w:rFonts w:hint="eastAsia" w:ascii="宋体" w:hAnsi="宋体" w:eastAsia="宋体" w:cs="宋体"/>
          <w:i w:val="0"/>
          <w:iCs w:val="0"/>
          <w:caps w:val="0"/>
          <w:snapToGrid w:val="0"/>
          <w:color w:val="auto"/>
          <w:spacing w:val="0"/>
          <w:kern w:val="0"/>
          <w:sz w:val="24"/>
          <w:szCs w:val="24"/>
          <w:highlight w:val="none"/>
          <w:shd w:val="clear" w:color="auto" w:fill="FFFFFF"/>
          <w:lang w:val="en-US" w:eastAsia="zh-CN" w:bidi="ar"/>
        </w:rPr>
        <w:t>15356147025</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p>
    <w:p w14:paraId="6B9F89B3">
      <w:pPr>
        <w:keepNext w:val="0"/>
        <w:keepLines w:val="0"/>
        <w:pageBreakBefore w:val="0"/>
        <w:widowControl w:val="0"/>
        <w:kinsoku/>
        <w:wordWrap/>
        <w:overflowPunct/>
        <w:topLinePunct w:val="0"/>
        <w:autoSpaceDE/>
        <w:autoSpaceDN/>
        <w:bidi w:val="0"/>
        <w:adjustRightInd w:val="0"/>
        <w:snapToGrid w:val="0"/>
        <w:spacing w:line="360" w:lineRule="auto"/>
        <w:ind w:firstLine="566" w:firstLineChars="236"/>
        <w:jc w:val="left"/>
        <w:textAlignment w:val="auto"/>
        <w:rPr>
          <w:rFonts w:hint="eastAsia"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金</w:t>
      </w:r>
      <w:r>
        <w:rPr>
          <w:rFonts w:hint="eastAsia" w:ascii="宋体" w:hAnsi="宋体" w:cs="宋体"/>
          <w:color w:val="auto"/>
          <w:sz w:val="24"/>
          <w:highlight w:val="none"/>
        </w:rPr>
        <w:t xml:space="preserve">老师 </w:t>
      </w:r>
    </w:p>
    <w:p w14:paraId="37DA1F14">
      <w:pPr>
        <w:keepNext w:val="0"/>
        <w:keepLines w:val="0"/>
        <w:pageBreakBefore w:val="0"/>
        <w:widowControl w:val="0"/>
        <w:kinsoku/>
        <w:wordWrap/>
        <w:overflowPunct/>
        <w:topLinePunct w:val="0"/>
        <w:autoSpaceDE/>
        <w:autoSpaceDN/>
        <w:bidi w:val="0"/>
        <w:adjustRightInd w:val="0"/>
        <w:snapToGrid w:val="0"/>
        <w:spacing w:line="360" w:lineRule="auto"/>
        <w:ind w:firstLine="566" w:firstLineChars="236"/>
        <w:jc w:val="left"/>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质</w:t>
      </w:r>
      <w:r>
        <w:rPr>
          <w:rFonts w:hint="eastAsia" w:ascii="宋体" w:hAnsi="宋体" w:cs="宋体"/>
          <w:color w:val="auto"/>
          <w:sz w:val="24"/>
          <w:highlight w:val="none"/>
        </w:rPr>
        <w:t>疑联系方式：</w:t>
      </w:r>
      <w:r>
        <w:rPr>
          <w:rFonts w:hint="eastAsia" w:ascii="宋体" w:hAnsi="宋体" w:cs="宋体"/>
          <w:color w:val="auto"/>
          <w:sz w:val="24"/>
          <w:highlight w:val="none"/>
          <w:lang w:eastAsia="zh-CN"/>
        </w:rPr>
        <w:t>0571-85177553</w:t>
      </w:r>
      <w:r>
        <w:rPr>
          <w:rFonts w:hint="eastAsia" w:ascii="宋体" w:hAnsi="宋体" w:cs="宋体"/>
          <w:color w:val="auto"/>
          <w:sz w:val="24"/>
          <w:highlight w:val="none"/>
        </w:rPr>
        <w:t xml:space="preserve"> </w:t>
      </w:r>
    </w:p>
    <w:p w14:paraId="051CC7B1">
      <w:pPr>
        <w:keepNext w:val="0"/>
        <w:keepLines w:val="0"/>
        <w:pageBreakBefore w:val="0"/>
        <w:kinsoku/>
        <w:wordWrap/>
        <w:overflowPunct/>
        <w:topLinePunct w:val="0"/>
        <w:autoSpaceDE/>
        <w:autoSpaceDN/>
        <w:bidi w:val="0"/>
        <w:adjustRightInd w:val="0"/>
        <w:snapToGrid w:val="0"/>
        <w:spacing w:line="360" w:lineRule="auto"/>
        <w:ind w:firstLine="566" w:firstLineChars="236"/>
        <w:jc w:val="left"/>
        <w:textAlignment w:val="auto"/>
        <w:rPr>
          <w:rFonts w:hint="eastAsia" w:ascii="宋体" w:hAnsi="宋体" w:cs="宋体"/>
          <w:color w:val="auto"/>
          <w:sz w:val="24"/>
          <w:highlight w:val="none"/>
        </w:rPr>
      </w:pPr>
    </w:p>
    <w:p w14:paraId="372B6546">
      <w:pPr>
        <w:keepNext w:val="0"/>
        <w:keepLines w:val="0"/>
        <w:pageBreakBefore w:val="0"/>
        <w:kinsoku/>
        <w:wordWrap/>
        <w:overflowPunct/>
        <w:topLinePunct w:val="0"/>
        <w:autoSpaceDE/>
        <w:autoSpaceDN/>
        <w:bidi w:val="0"/>
        <w:adjustRightInd w:val="0"/>
        <w:snapToGrid w:val="0"/>
        <w:spacing w:line="360" w:lineRule="auto"/>
        <w:ind w:firstLine="566" w:firstLineChars="236"/>
        <w:jc w:val="left"/>
        <w:textAlignment w:val="auto"/>
        <w:rPr>
          <w:rFonts w:ascii="宋体" w:hAnsi="宋体" w:cs="宋体"/>
          <w:color w:val="auto"/>
          <w:sz w:val="24"/>
          <w:highlight w:val="none"/>
        </w:rPr>
      </w:pPr>
      <w:r>
        <w:rPr>
          <w:rFonts w:hint="eastAsia" w:ascii="宋体" w:hAnsi="宋体" w:cs="宋体"/>
          <w:color w:val="auto"/>
          <w:sz w:val="24"/>
          <w:highlight w:val="none"/>
        </w:rPr>
        <w:t>2.采购代理机构信息</w:t>
      </w:r>
    </w:p>
    <w:p w14:paraId="19BAB508">
      <w:pPr>
        <w:keepNext w:val="0"/>
        <w:keepLines w:val="0"/>
        <w:pageBreakBefore w:val="0"/>
        <w:widowControl/>
        <w:kinsoku/>
        <w:wordWrap/>
        <w:overflowPunct/>
        <w:topLinePunct w:val="0"/>
        <w:autoSpaceDE/>
        <w:autoSpaceDN/>
        <w:bidi w:val="0"/>
        <w:adjustRightInd w:val="0"/>
        <w:snapToGrid w:val="0"/>
        <w:spacing w:before="75" w:after="75" w:line="360" w:lineRule="auto"/>
        <w:jc w:val="lef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名称：</w:t>
      </w:r>
      <w:r>
        <w:rPr>
          <w:rFonts w:hint="eastAsia" w:ascii="宋体" w:hAnsi="宋体" w:cs="宋体"/>
          <w:color w:val="auto"/>
          <w:sz w:val="24"/>
          <w:highlight w:val="none"/>
          <w:lang w:eastAsia="zh-CN"/>
        </w:rPr>
        <w:t>浙江五石中正工程咨询有限公司</w:t>
      </w:r>
    </w:p>
    <w:p w14:paraId="460E6B76">
      <w:pPr>
        <w:keepNext w:val="0"/>
        <w:keepLines w:val="0"/>
        <w:pageBreakBefore w:val="0"/>
        <w:widowControl/>
        <w:kinsoku/>
        <w:wordWrap/>
        <w:overflowPunct/>
        <w:topLinePunct w:val="0"/>
        <w:autoSpaceDE/>
        <w:autoSpaceDN/>
        <w:bidi w:val="0"/>
        <w:adjustRightInd w:val="0"/>
        <w:snapToGrid w:val="0"/>
        <w:spacing w:before="75" w:after="75" w:line="360" w:lineRule="auto"/>
        <w:jc w:val="lef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地址：</w:t>
      </w:r>
      <w:r>
        <w:rPr>
          <w:rFonts w:hint="eastAsia" w:ascii="宋体" w:hAnsi="宋体" w:cs="宋体"/>
          <w:color w:val="auto"/>
          <w:sz w:val="24"/>
          <w:highlight w:val="none"/>
          <w:lang w:eastAsia="zh-CN"/>
        </w:rPr>
        <w:t>杭州市拱墅区白石巷318号北楼512室</w:t>
      </w:r>
    </w:p>
    <w:p w14:paraId="08323DFC">
      <w:pPr>
        <w:keepNext w:val="0"/>
        <w:keepLines w:val="0"/>
        <w:pageBreakBefore w:val="0"/>
        <w:widowControl/>
        <w:kinsoku/>
        <w:wordWrap/>
        <w:overflowPunct/>
        <w:topLinePunct w:val="0"/>
        <w:autoSpaceDE/>
        <w:autoSpaceDN/>
        <w:bidi w:val="0"/>
        <w:adjustRightInd w:val="0"/>
        <w:snapToGrid w:val="0"/>
        <w:spacing w:before="75" w:after="75" w:line="360" w:lineRule="auto"/>
        <w:jc w:val="lef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传真：</w:t>
      </w:r>
      <w:r>
        <w:rPr>
          <w:rFonts w:hint="eastAsia" w:ascii="宋体" w:hAnsi="宋体" w:cs="宋体"/>
          <w:color w:val="auto"/>
          <w:sz w:val="24"/>
          <w:highlight w:val="none"/>
          <w:lang w:eastAsia="zh-CN"/>
        </w:rPr>
        <w:t>0571-85061967</w:t>
      </w:r>
    </w:p>
    <w:p w14:paraId="72C46E45">
      <w:pPr>
        <w:keepNext w:val="0"/>
        <w:keepLines w:val="0"/>
        <w:pageBreakBefore w:val="0"/>
        <w:widowControl/>
        <w:kinsoku/>
        <w:wordWrap/>
        <w:overflowPunct/>
        <w:topLinePunct w:val="0"/>
        <w:autoSpaceDE/>
        <w:autoSpaceDN/>
        <w:bidi w:val="0"/>
        <w:adjustRightInd w:val="0"/>
        <w:snapToGrid w:val="0"/>
        <w:spacing w:before="75" w:after="75"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阮雅迪</w:t>
      </w:r>
    </w:p>
    <w:p w14:paraId="20B17054">
      <w:pPr>
        <w:keepNext w:val="0"/>
        <w:keepLines w:val="0"/>
        <w:pageBreakBefore w:val="0"/>
        <w:widowControl/>
        <w:kinsoku/>
        <w:wordWrap/>
        <w:overflowPunct/>
        <w:topLinePunct w:val="0"/>
        <w:autoSpaceDE/>
        <w:autoSpaceDN/>
        <w:bidi w:val="0"/>
        <w:adjustRightInd w:val="0"/>
        <w:snapToGrid w:val="0"/>
        <w:spacing w:before="75" w:after="75" w:line="360" w:lineRule="auto"/>
        <w:jc w:val="lef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项目联系方式（询问）：</w:t>
      </w:r>
      <w:r>
        <w:rPr>
          <w:rFonts w:hint="eastAsia" w:ascii="宋体" w:hAnsi="宋体" w:cs="宋体"/>
          <w:color w:val="auto"/>
          <w:sz w:val="24"/>
          <w:highlight w:val="none"/>
          <w:lang w:eastAsia="zh-CN"/>
        </w:rPr>
        <w:t>0571-85061967</w:t>
      </w:r>
    </w:p>
    <w:p w14:paraId="2AD4B63C">
      <w:pPr>
        <w:keepNext w:val="0"/>
        <w:keepLines w:val="0"/>
        <w:pageBreakBefore w:val="0"/>
        <w:widowControl/>
        <w:kinsoku/>
        <w:wordWrap/>
        <w:overflowPunct/>
        <w:topLinePunct w:val="0"/>
        <w:autoSpaceDE/>
        <w:autoSpaceDN/>
        <w:bidi w:val="0"/>
        <w:adjustRightInd w:val="0"/>
        <w:snapToGrid w:val="0"/>
        <w:spacing w:before="75" w:after="75" w:line="360" w:lineRule="auto"/>
        <w:jc w:val="left"/>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质疑联系人：</w:t>
      </w:r>
      <w:r>
        <w:rPr>
          <w:rFonts w:hint="eastAsia" w:ascii="宋体" w:hAnsi="宋体" w:cs="宋体"/>
          <w:color w:val="auto"/>
          <w:sz w:val="24"/>
          <w:highlight w:val="none"/>
          <w:lang w:val="en-US" w:eastAsia="zh-CN"/>
        </w:rPr>
        <w:t>黄经理</w:t>
      </w:r>
    </w:p>
    <w:p w14:paraId="0105348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质疑联系方式：</w:t>
      </w:r>
      <w:r>
        <w:rPr>
          <w:rFonts w:hint="eastAsia" w:ascii="宋体" w:hAnsi="宋体" w:cs="宋体"/>
          <w:color w:val="auto"/>
          <w:sz w:val="24"/>
          <w:highlight w:val="none"/>
          <w:lang w:eastAsia="zh-CN"/>
        </w:rPr>
        <w:t>0571-85061967</w:t>
      </w:r>
    </w:p>
    <w:p w14:paraId="18512029">
      <w:pPr>
        <w:snapToGrid w:val="0"/>
        <w:spacing w:line="360" w:lineRule="auto"/>
        <w:ind w:firstLine="480" w:firstLineChars="200"/>
        <w:rPr>
          <w:rFonts w:hint="eastAsia" w:ascii="宋体" w:hAnsi="宋体" w:cs="宋体"/>
          <w:color w:val="auto"/>
          <w:sz w:val="24"/>
          <w:highlight w:val="none"/>
        </w:rPr>
      </w:pPr>
    </w:p>
    <w:p w14:paraId="34EB46F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3.同级采购监督管理部门            </w:t>
      </w:r>
    </w:p>
    <w:p w14:paraId="1C16AD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杭州高级中学钱塘学校</w:t>
      </w:r>
    </w:p>
    <w:p w14:paraId="5BECC8A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地址：</w:t>
      </w:r>
      <w:r>
        <w:rPr>
          <w:rFonts w:hint="eastAsia" w:ascii="宋体" w:hAnsi="宋体" w:cs="宋体"/>
          <w:color w:val="auto"/>
          <w:sz w:val="24"/>
          <w:highlight w:val="none"/>
          <w:lang w:eastAsia="zh-CN"/>
        </w:rPr>
        <w:t>杭州市钱塘区奕策路1号</w:t>
      </w:r>
      <w:r>
        <w:rPr>
          <w:rFonts w:hint="eastAsia" w:ascii="宋体" w:hAnsi="宋体" w:cs="宋体"/>
          <w:color w:val="auto"/>
          <w:sz w:val="24"/>
          <w:highlight w:val="none"/>
        </w:rPr>
        <w:t xml:space="preserve"> </w:t>
      </w:r>
    </w:p>
    <w:p w14:paraId="06CE255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传真：/</w:t>
      </w:r>
    </w:p>
    <w:p w14:paraId="2CB39C7B">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联系人：</w:t>
      </w:r>
      <w:r>
        <w:rPr>
          <w:rFonts w:hint="eastAsia" w:ascii="宋体" w:hAnsi="宋体" w:cs="宋体"/>
          <w:color w:val="auto"/>
          <w:sz w:val="24"/>
          <w:highlight w:val="none"/>
          <w:lang w:val="en-US" w:eastAsia="zh-CN"/>
        </w:rPr>
        <w:t>张老师</w:t>
      </w:r>
    </w:p>
    <w:p w14:paraId="4F7B597E">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iCs w:val="0"/>
          <w:caps w:val="0"/>
          <w:snapToGrid w:val="0"/>
          <w:color w:val="auto"/>
          <w:spacing w:val="0"/>
          <w:kern w:val="0"/>
          <w:sz w:val="24"/>
          <w:szCs w:val="24"/>
          <w:highlight w:val="none"/>
          <w:shd w:val="clear" w:color="auto" w:fill="FFFFFF"/>
          <w:lang w:val="en-US" w:eastAsia="zh-CN" w:bidi="ar"/>
        </w:rPr>
        <w:t>0571-85179868</w:t>
      </w:r>
    </w:p>
    <w:p w14:paraId="3883A868">
      <w:pPr>
        <w:spacing w:line="360" w:lineRule="auto"/>
        <w:ind w:firstLine="480"/>
        <w:rPr>
          <w:rFonts w:ascii="宋体" w:hAnsi="宋体" w:cs="宋体"/>
          <w:color w:val="auto"/>
          <w:sz w:val="24"/>
          <w:highlight w:val="none"/>
        </w:rPr>
      </w:pPr>
    </w:p>
    <w:p w14:paraId="2DA7A94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w:t>
      </w:r>
    </w:p>
    <w:p w14:paraId="1755310F">
      <w:pPr>
        <w:snapToGrid w:val="0"/>
        <w:spacing w:line="360" w:lineRule="auto"/>
        <w:ind w:firstLine="480" w:firstLineChars="200"/>
        <w:rPr>
          <w:rFonts w:ascii="宋体" w:hAnsi="宋体" w:cs="宋体"/>
          <w:color w:val="auto"/>
          <w:sz w:val="24"/>
          <w:highlight w:val="none"/>
        </w:rPr>
      </w:pPr>
    </w:p>
    <w:p w14:paraId="61047F9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w:t>
      </w:r>
      <w:r>
        <w:rPr>
          <w:rFonts w:hint="eastAsia" w:ascii="宋体" w:hAnsi="宋体" w:cs="宋体"/>
          <w:color w:val="auto"/>
          <w:sz w:val="24"/>
          <w:highlight w:val="none"/>
          <w:lang w:eastAsia="zh-CN"/>
        </w:rPr>
        <w:t>乐采云平台（https://hzjyg.lecaiyun.com）</w:t>
      </w:r>
      <w:r>
        <w:rPr>
          <w:rFonts w:hint="eastAsia" w:ascii="宋体" w:hAnsi="宋体" w:cs="宋体"/>
          <w:color w:val="auto"/>
          <w:sz w:val="24"/>
          <w:highlight w:val="none"/>
        </w:rPr>
        <w:t>，点击右侧咨询小采，获取采小蜜智能服务管家帮助，或拨打</w:t>
      </w:r>
      <w:r>
        <w:rPr>
          <w:rFonts w:hint="eastAsia" w:ascii="宋体" w:hAnsi="宋体" w:cs="宋体"/>
          <w:color w:val="auto"/>
          <w:sz w:val="24"/>
          <w:highlight w:val="none"/>
          <w:lang w:val="en-US" w:eastAsia="zh-CN"/>
        </w:rPr>
        <w:t>乐</w:t>
      </w:r>
      <w:r>
        <w:rPr>
          <w:rFonts w:hint="eastAsia" w:ascii="宋体" w:hAnsi="宋体" w:cs="宋体"/>
          <w:color w:val="auto"/>
          <w:sz w:val="24"/>
          <w:highlight w:val="none"/>
        </w:rPr>
        <w:t>采云服务热线95763 获取热线服务帮助。</w:t>
      </w:r>
    </w:p>
    <w:p w14:paraId="53E75791">
      <w:pPr>
        <w:snapToGrid w:val="0"/>
        <w:spacing w:line="360" w:lineRule="auto"/>
        <w:ind w:firstLine="480" w:firstLineChars="200"/>
        <w:rPr>
          <w:rFonts w:hint="default" w:ascii="宋体" w:hAnsi="宋体" w:eastAsia="宋体" w:cs="宋体"/>
          <w:color w:val="auto"/>
          <w:sz w:val="24"/>
          <w:highlight w:val="none"/>
          <w:lang w:val="en-US" w:eastAsia="zh-CN"/>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宋体" w:hAnsi="宋体" w:cs="宋体"/>
          <w:color w:val="auto"/>
          <w:sz w:val="24"/>
          <w:highlight w:val="none"/>
        </w:rPr>
        <w:t>CA问题联系电话（人工）：汇信CA 400-888-4636；天谷CA 400-087-8198。</w:t>
      </w:r>
      <w:r>
        <w:rPr>
          <w:rFonts w:hint="eastAsia" w:ascii="宋体" w:hAnsi="宋体" w:cs="宋体"/>
          <w:color w:val="auto"/>
          <w:sz w:val="24"/>
          <w:highlight w:val="none"/>
          <w:lang w:val="en-US" w:eastAsia="zh-CN"/>
        </w:rPr>
        <w:t xml:space="preserve">  </w:t>
      </w:r>
    </w:p>
    <w:p w14:paraId="0089B34C">
      <w:pPr>
        <w:pStyle w:val="32"/>
        <w:spacing w:line="360" w:lineRule="auto"/>
        <w:jc w:val="center"/>
        <w:rPr>
          <w:rFonts w:hAnsi="宋体" w:cs="宋体"/>
          <w:b/>
          <w:snapToGrid/>
          <w:color w:val="auto"/>
          <w:sz w:val="36"/>
          <w:szCs w:val="20"/>
          <w:highlight w:val="none"/>
        </w:rPr>
      </w:pPr>
      <w:r>
        <w:rPr>
          <w:rFonts w:hint="eastAsia" w:hAnsi="宋体" w:cs="宋体"/>
          <w:b/>
          <w:snapToGrid/>
          <w:color w:val="auto"/>
          <w:sz w:val="36"/>
          <w:szCs w:val="20"/>
          <w:highlight w:val="none"/>
        </w:rPr>
        <w:t>第二部分</w:t>
      </w:r>
      <w:bookmarkEnd w:id="8"/>
      <w:r>
        <w:rPr>
          <w:rFonts w:hint="eastAsia" w:hAnsi="宋体" w:cs="宋体"/>
          <w:b/>
          <w:snapToGrid/>
          <w:color w:val="auto"/>
          <w:sz w:val="36"/>
          <w:szCs w:val="20"/>
          <w:highlight w:val="none"/>
        </w:rPr>
        <w:t xml:space="preserve"> 供应商须知</w:t>
      </w:r>
      <w:bookmarkEnd w:id="9"/>
    </w:p>
    <w:p w14:paraId="1AB7CC7C">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1890"/>
        <w:gridCol w:w="7130"/>
      </w:tblGrid>
      <w:tr w14:paraId="3BCB1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714" w:type="dxa"/>
          </w:tcPr>
          <w:p w14:paraId="2A06B2D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90" w:type="dxa"/>
            <w:vAlign w:val="center"/>
          </w:tcPr>
          <w:p w14:paraId="588D0D9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7130" w:type="dxa"/>
            <w:vAlign w:val="center"/>
          </w:tcPr>
          <w:p w14:paraId="7416380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2DD71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714" w:type="dxa"/>
            <w:vAlign w:val="center"/>
          </w:tcPr>
          <w:p w14:paraId="494A0DE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w:t>
            </w:r>
          </w:p>
        </w:tc>
        <w:tc>
          <w:tcPr>
            <w:tcW w:w="1890" w:type="dxa"/>
            <w:vAlign w:val="center"/>
          </w:tcPr>
          <w:p w14:paraId="76768A9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项目概述</w:t>
            </w:r>
          </w:p>
        </w:tc>
        <w:tc>
          <w:tcPr>
            <w:tcW w:w="7130" w:type="dxa"/>
            <w:vAlign w:val="center"/>
          </w:tcPr>
          <w:p w14:paraId="00E75A86">
            <w:pPr>
              <w:pStyle w:val="970"/>
              <w:numPr>
                <w:ilvl w:val="0"/>
                <w:numId w:val="1"/>
              </w:numPr>
              <w:snapToGrid w:val="0"/>
              <w:spacing w:line="360" w:lineRule="auto"/>
              <w:ind w:firstLine="0" w:firstLineChars="0"/>
              <w:jc w:val="left"/>
              <w:rPr>
                <w:rFonts w:ascii="宋体" w:hAnsi="宋体" w:cs="宋体"/>
                <w:color w:val="auto"/>
                <w:sz w:val="24"/>
                <w:highlight w:val="none"/>
              </w:rPr>
            </w:pPr>
            <w:r>
              <w:rPr>
                <w:rFonts w:hint="eastAsia" w:ascii="宋体" w:hAnsi="宋体" w:cs="宋体"/>
                <w:bCs/>
                <w:color w:val="auto"/>
                <w:sz w:val="24"/>
                <w:highlight w:val="none"/>
              </w:rPr>
              <w:t>项目名称：</w:t>
            </w:r>
            <w:r>
              <w:rPr>
                <w:rFonts w:hint="eastAsia" w:ascii="宋体" w:hAnsi="宋体" w:cs="宋体"/>
                <w:color w:val="auto"/>
                <w:sz w:val="24"/>
                <w:highlight w:val="none"/>
                <w:lang w:eastAsia="zh-CN"/>
              </w:rPr>
              <w:t>校舍外墙外立面维修</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HGQT-2025-S01</w:t>
            </w:r>
          </w:p>
          <w:p w14:paraId="363648FD">
            <w:pPr>
              <w:pStyle w:val="970"/>
              <w:numPr>
                <w:ilvl w:val="0"/>
                <w:numId w:val="1"/>
              </w:numPr>
              <w:snapToGrid w:val="0"/>
              <w:spacing w:line="360" w:lineRule="auto"/>
              <w:ind w:firstLine="0" w:firstLineChars="0"/>
              <w:jc w:val="left"/>
              <w:rPr>
                <w:rFonts w:ascii="宋体" w:hAnsi="宋体" w:cs="宋体"/>
                <w:color w:val="auto"/>
                <w:sz w:val="24"/>
                <w:highlight w:val="none"/>
                <w:shd w:val="clear" w:fill="FFFFFF" w:themeFill="background1"/>
              </w:rPr>
            </w:pPr>
            <w:r>
              <w:rPr>
                <w:rFonts w:hint="eastAsia" w:ascii="宋体" w:hAnsi="宋体" w:cs="宋体"/>
                <w:color w:val="auto"/>
                <w:sz w:val="24"/>
                <w:highlight w:val="none"/>
              </w:rPr>
              <w:t>项目主要内容：</w:t>
            </w:r>
            <w:r>
              <w:rPr>
                <w:rFonts w:hint="eastAsia" w:ascii="宋体" w:hAnsi="宋体" w:cs="宋体"/>
                <w:color w:val="auto"/>
                <w:sz w:val="24"/>
                <w:highlight w:val="none"/>
                <w:lang w:val="en-US" w:eastAsia="zh-CN"/>
              </w:rPr>
              <w:t>对教学楼、宿舍楼、食堂、门卫室等外墙涂料脱落情况进行修补，其余涉零星户外物品的油漆刷新施工等，</w:t>
            </w:r>
            <w:r>
              <w:rPr>
                <w:rFonts w:hint="eastAsia" w:ascii="宋体" w:hAnsi="宋体" w:cs="宋体"/>
                <w:color w:val="auto"/>
                <w:sz w:val="24"/>
                <w:highlight w:val="none"/>
              </w:rPr>
              <w:t>详见磋商文件</w:t>
            </w:r>
            <w:r>
              <w:rPr>
                <w:rFonts w:hint="eastAsia" w:ascii="宋体" w:hAnsi="宋体" w:cs="宋体"/>
                <w:color w:val="auto"/>
                <w:sz w:val="24"/>
                <w:highlight w:val="none"/>
                <w:shd w:val="clear" w:fill="FFFFFF" w:themeFill="background1"/>
                <w:lang w:eastAsia="zh-CN"/>
              </w:rPr>
              <w:t>。</w:t>
            </w:r>
          </w:p>
          <w:p w14:paraId="71B465EC">
            <w:pPr>
              <w:pStyle w:val="970"/>
              <w:numPr>
                <w:ilvl w:val="0"/>
                <w:numId w:val="1"/>
              </w:numPr>
              <w:snapToGrid w:val="0"/>
              <w:spacing w:line="360" w:lineRule="auto"/>
              <w:ind w:firstLine="0" w:firstLineChars="0"/>
              <w:jc w:val="left"/>
              <w:rPr>
                <w:rFonts w:ascii="宋体" w:hAnsi="宋体" w:cs="宋体"/>
                <w:color w:val="auto"/>
                <w:sz w:val="24"/>
                <w:highlight w:val="none"/>
              </w:rPr>
            </w:pPr>
            <w:r>
              <w:rPr>
                <w:rFonts w:hint="eastAsia" w:ascii="宋体" w:hAnsi="宋体" w:cs="宋体"/>
                <w:bCs/>
                <w:color w:val="auto"/>
                <w:sz w:val="24"/>
                <w:highlight w:val="none"/>
              </w:rPr>
              <w:t>项</w:t>
            </w:r>
            <w:r>
              <w:rPr>
                <w:rFonts w:hint="eastAsia" w:ascii="宋体" w:hAnsi="宋体" w:cs="宋体"/>
                <w:color w:val="auto"/>
                <w:sz w:val="24"/>
                <w:highlight w:val="none"/>
              </w:rPr>
              <w:t>目预算：</w:t>
            </w:r>
            <w:r>
              <w:rPr>
                <w:rFonts w:hint="eastAsia" w:ascii="宋体" w:hAnsi="宋体" w:cs="宋体"/>
                <w:color w:val="auto"/>
                <w:sz w:val="24"/>
                <w:highlight w:val="none"/>
                <w:lang w:eastAsia="zh-CN"/>
              </w:rPr>
              <w:t>800000</w:t>
            </w:r>
            <w:r>
              <w:rPr>
                <w:rFonts w:hint="eastAsia" w:ascii="宋体" w:hAnsi="宋体" w:cs="宋体"/>
                <w:color w:val="auto"/>
                <w:sz w:val="24"/>
                <w:highlight w:val="none"/>
              </w:rPr>
              <w:t>元；</w:t>
            </w:r>
          </w:p>
          <w:p w14:paraId="324B07AE">
            <w:pPr>
              <w:pStyle w:val="970"/>
              <w:snapToGrid w:val="0"/>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项目控制价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eastAsia="zh-CN"/>
              </w:rPr>
              <w:t>800000</w:t>
            </w:r>
            <w:r>
              <w:rPr>
                <w:rFonts w:hint="eastAsia" w:ascii="宋体" w:hAnsi="宋体" w:cs="宋体"/>
                <w:color w:val="auto"/>
                <w:sz w:val="24"/>
                <w:highlight w:val="none"/>
                <w:u w:val="single"/>
                <w:lang w:val="en-US" w:eastAsia="zh-CN"/>
              </w:rPr>
              <w:t xml:space="preserve"> </w:t>
            </w:r>
            <w:r>
              <w:rPr>
                <w:rFonts w:ascii="宋体" w:hAnsi="宋体" w:eastAsia="宋体" w:cs="宋体"/>
                <w:color w:val="auto"/>
                <w:sz w:val="24"/>
                <w:szCs w:val="24"/>
                <w:highlight w:val="none"/>
              </w:rPr>
              <w:t>元</w:t>
            </w:r>
            <w:r>
              <w:rPr>
                <w:rFonts w:hint="eastAsia" w:ascii="宋体" w:hAnsi="宋体" w:cs="宋体"/>
                <w:color w:val="auto"/>
                <w:sz w:val="24"/>
                <w:highlight w:val="none"/>
              </w:rPr>
              <w:t>，最高限价</w:t>
            </w:r>
            <w:r>
              <w:rPr>
                <w:rFonts w:hint="eastAsia" w:ascii="宋体" w:hAnsi="宋体" w:cs="宋体"/>
                <w:color w:val="auto"/>
                <w:sz w:val="24"/>
                <w:highlight w:val="none"/>
                <w:u w:val="single"/>
                <w:lang w:val="en-US" w:eastAsia="zh-CN"/>
              </w:rPr>
              <w:t>800000</w:t>
            </w:r>
            <w:r>
              <w:rPr>
                <w:rFonts w:hint="eastAsia" w:ascii="宋体" w:hAnsi="宋体" w:cs="宋体"/>
                <w:color w:val="auto"/>
                <w:sz w:val="24"/>
                <w:highlight w:val="none"/>
              </w:rPr>
              <w:t>元，超过最高限价的磋商报价将作为无效响应。</w:t>
            </w:r>
          </w:p>
          <w:p w14:paraId="3A442E54">
            <w:pPr>
              <w:pStyle w:val="970"/>
              <w:numPr>
                <w:ilvl w:val="0"/>
                <w:numId w:val="1"/>
              </w:numPr>
              <w:snapToGrid w:val="0"/>
              <w:spacing w:line="360" w:lineRule="auto"/>
              <w:ind w:firstLine="0" w:firstLineChars="0"/>
              <w:jc w:val="left"/>
              <w:rPr>
                <w:rFonts w:ascii="宋体" w:hAnsi="宋体" w:cs="宋体"/>
                <w:b w:val="0"/>
                <w:bCs w:val="0"/>
                <w:color w:val="auto"/>
                <w:sz w:val="24"/>
                <w:highlight w:val="none"/>
              </w:rPr>
            </w:pPr>
            <w:r>
              <w:rPr>
                <w:rFonts w:hint="eastAsia" w:ascii="宋体" w:hAnsi="宋体" w:cs="宋体"/>
                <w:b w:val="0"/>
                <w:bCs w:val="0"/>
                <w:color w:val="auto"/>
                <w:sz w:val="24"/>
                <w:highlight w:val="none"/>
              </w:rPr>
              <w:t>工期：</w:t>
            </w:r>
            <w:r>
              <w:rPr>
                <w:rFonts w:hint="eastAsia" w:ascii="宋体" w:hAnsi="宋体" w:cs="宋体"/>
                <w:b w:val="0"/>
                <w:bCs w:val="0"/>
                <w:color w:val="auto"/>
                <w:sz w:val="24"/>
                <w:highlight w:val="none"/>
                <w:lang w:eastAsia="zh-CN"/>
              </w:rPr>
              <w:t>合同签订接采购人开工通知后40日历天内完成工程施工。</w:t>
            </w:r>
          </w:p>
          <w:p w14:paraId="021A6F3E">
            <w:pPr>
              <w:pStyle w:val="970"/>
              <w:numPr>
                <w:ilvl w:val="0"/>
                <w:numId w:val="1"/>
              </w:numPr>
              <w:snapToGrid w:val="0"/>
              <w:spacing w:line="360" w:lineRule="auto"/>
              <w:ind w:left="420" w:hanging="420" w:firstLineChars="0"/>
              <w:jc w:val="left"/>
              <w:rPr>
                <w:rFonts w:ascii="宋体" w:hAnsi="宋体" w:cs="宋体"/>
                <w:b/>
                <w:color w:val="auto"/>
                <w:sz w:val="24"/>
                <w:highlight w:val="none"/>
              </w:rPr>
            </w:pPr>
            <w:r>
              <w:rPr>
                <w:rFonts w:hint="eastAsia" w:ascii="宋体" w:hAnsi="宋体" w:cs="宋体"/>
                <w:b w:val="0"/>
                <w:bCs w:val="0"/>
                <w:color w:val="auto"/>
                <w:sz w:val="24"/>
                <w:highlight w:val="none"/>
              </w:rPr>
              <w:t>质量标准：按国家施工验收规范验收合格。</w:t>
            </w:r>
          </w:p>
        </w:tc>
      </w:tr>
      <w:tr w14:paraId="66E60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714" w:type="dxa"/>
            <w:vAlign w:val="center"/>
          </w:tcPr>
          <w:p w14:paraId="7FE13F7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90" w:type="dxa"/>
            <w:vAlign w:val="center"/>
          </w:tcPr>
          <w:p w14:paraId="4D4E126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7130" w:type="dxa"/>
            <w:vAlign w:val="center"/>
          </w:tcPr>
          <w:p w14:paraId="136F5C60">
            <w:pPr>
              <w:spacing w:line="360" w:lineRule="auto"/>
              <w:rPr>
                <w:rFonts w:ascii="宋体" w:hAnsi="宋体" w:cs="宋体"/>
                <w:color w:val="auto"/>
                <w:sz w:val="24"/>
                <w:highlight w:val="none"/>
              </w:rPr>
            </w:pPr>
            <w:r>
              <w:rPr>
                <w:rFonts w:hint="eastAsia" w:ascii="宋体" w:hAnsi="宋体" w:cs="宋体"/>
                <w:color w:val="auto"/>
                <w:kern w:val="0"/>
                <w:sz w:val="24"/>
                <w:highlight w:val="none"/>
              </w:rPr>
              <w:t>工程</w:t>
            </w:r>
            <w:r>
              <w:rPr>
                <w:rFonts w:hint="eastAsia" w:ascii="宋体" w:hAnsi="宋体" w:cs="宋体"/>
                <w:color w:val="auto"/>
                <w:sz w:val="24"/>
                <w:highlight w:val="none"/>
              </w:rPr>
              <w:t>类</w:t>
            </w:r>
          </w:p>
        </w:tc>
      </w:tr>
      <w:tr w14:paraId="6D02C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714" w:type="dxa"/>
            <w:vAlign w:val="center"/>
          </w:tcPr>
          <w:p w14:paraId="7238769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90" w:type="dxa"/>
            <w:vAlign w:val="center"/>
          </w:tcPr>
          <w:p w14:paraId="0CAFC39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7130" w:type="dxa"/>
            <w:vAlign w:val="center"/>
          </w:tcPr>
          <w:p w14:paraId="56171F22">
            <w:pPr>
              <w:shd w:val="clear" w:fill="FFFFFF" w:themeFill="background1"/>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校舍外立面安全隐患改造</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建筑业 </w:t>
            </w:r>
            <w:r>
              <w:rPr>
                <w:rFonts w:hint="eastAsia" w:ascii="宋体" w:hAnsi="宋体" w:cs="宋体"/>
                <w:color w:val="auto"/>
                <w:kern w:val="0"/>
                <w:sz w:val="24"/>
                <w:highlight w:val="none"/>
              </w:rPr>
              <w:t>行业；</w:t>
            </w:r>
          </w:p>
          <w:p w14:paraId="64148BA6">
            <w:pPr>
              <w:snapToGrid w:val="0"/>
              <w:spacing w:line="360" w:lineRule="auto"/>
              <w:rPr>
                <w:rFonts w:ascii="宋体" w:hAnsi="宋体" w:cs="宋体"/>
                <w:color w:val="auto"/>
                <w:highlight w:val="none"/>
              </w:rPr>
            </w:pPr>
            <w:r>
              <w:rPr>
                <w:rFonts w:hint="eastAsia" w:ascii="宋体" w:hAnsi="宋体" w:cs="宋体"/>
                <w:snapToGrid w:val="0"/>
                <w:color w:val="auto"/>
                <w:kern w:val="0"/>
                <w:sz w:val="24"/>
                <w:highlight w:val="none"/>
              </w:rPr>
              <w:t>中小企业划分标准：</w:t>
            </w:r>
            <w:r>
              <w:rPr>
                <w:rFonts w:hint="eastAsia" w:ascii="宋体" w:hAnsi="宋体" w:cs="宋体"/>
                <w:snapToGrid w:val="0"/>
                <w:color w:val="auto"/>
                <w:kern w:val="0"/>
                <w:sz w:val="24"/>
                <w:highlight w:val="none"/>
                <w:u w:val="single"/>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4A377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714" w:type="dxa"/>
            <w:vAlign w:val="center"/>
          </w:tcPr>
          <w:p w14:paraId="728E156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90" w:type="dxa"/>
            <w:vAlign w:val="center"/>
          </w:tcPr>
          <w:p w14:paraId="249A9F0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7130" w:type="dxa"/>
            <w:vAlign w:val="center"/>
          </w:tcPr>
          <w:p w14:paraId="22B70BEB">
            <w:pPr>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sym w:font="Wingdings" w:char="F0FE"/>
            </w:r>
            <w:r>
              <w:rPr>
                <w:rFonts w:hint="eastAsia" w:ascii="宋体" w:hAnsi="宋体" w:cs="宋体"/>
                <w:b/>
                <w:bCs/>
                <w:color w:val="auto"/>
                <w:kern w:val="0"/>
                <w:sz w:val="24"/>
                <w:highlight w:val="none"/>
              </w:rPr>
              <w:t>本项目不允许采购进口产品。</w:t>
            </w:r>
          </w:p>
          <w:p w14:paraId="35AF24AE">
            <w:pPr>
              <w:spacing w:line="360" w:lineRule="auto"/>
              <w:rPr>
                <w:rFonts w:ascii="宋体" w:hAnsi="宋体" w:cs="宋体"/>
                <w:color w:val="auto"/>
                <w:highlight w:val="none"/>
              </w:rPr>
            </w:pPr>
            <w:r>
              <w:rPr>
                <w:rFonts w:hint="eastAsia" w:ascii="宋体" w:hAnsi="宋体" w:cs="宋体"/>
                <w:color w:val="auto"/>
                <w:kern w:val="0"/>
                <w:sz w:val="24"/>
                <w:highlight w:val="none"/>
              </w:rPr>
              <w:sym w:font="Wingdings" w:char="00A8"/>
            </w:r>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34030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714" w:type="dxa"/>
            <w:vAlign w:val="center"/>
          </w:tcPr>
          <w:p w14:paraId="6E12A00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90" w:type="dxa"/>
            <w:vAlign w:val="center"/>
          </w:tcPr>
          <w:p w14:paraId="4A7FD23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7130" w:type="dxa"/>
            <w:vAlign w:val="center"/>
          </w:tcPr>
          <w:p w14:paraId="1ACB212E">
            <w:pPr>
              <w:spacing w:line="360" w:lineRule="auto"/>
              <w:rPr>
                <w:rFonts w:ascii="宋体" w:hAnsi="宋体" w:cs="宋体"/>
                <w:color w:val="auto"/>
                <w:sz w:val="24"/>
                <w:highlight w:val="none"/>
              </w:rPr>
            </w:pPr>
            <w:r>
              <w:rPr>
                <w:rFonts w:hint="eastAsia" w:ascii="宋体" w:hAnsi="宋体" w:cs="宋体"/>
                <w:b/>
                <w:bCs/>
                <w:color w:val="auto"/>
                <w:kern w:val="0"/>
                <w:sz w:val="24"/>
                <w:highlight w:val="none"/>
              </w:rPr>
              <w:sym w:font="Wingdings" w:char="00FE"/>
            </w:r>
            <w:r>
              <w:rPr>
                <w:rFonts w:hint="eastAsia" w:ascii="宋体" w:hAnsi="宋体" w:cs="宋体"/>
                <w:b/>
                <w:bCs/>
                <w:color w:val="auto"/>
                <w:kern w:val="0"/>
                <w:sz w:val="24"/>
                <w:highlight w:val="none"/>
              </w:rPr>
              <w:t xml:space="preserve"> A</w:t>
            </w:r>
            <w:r>
              <w:rPr>
                <w:rFonts w:hint="eastAsia" w:ascii="宋体" w:hAnsi="宋体" w:cs="宋体"/>
                <w:b/>
                <w:bCs/>
                <w:color w:val="auto"/>
                <w:sz w:val="24"/>
                <w:highlight w:val="none"/>
              </w:rPr>
              <w:t>同意将非主体、非关键性的</w:t>
            </w:r>
            <w:r>
              <w:rPr>
                <w:rFonts w:hint="eastAsia" w:ascii="宋体" w:hAnsi="宋体" w:cs="宋体"/>
                <w:b/>
                <w:bCs/>
                <w:color w:val="auto"/>
                <w:sz w:val="24"/>
                <w:highlight w:val="none"/>
                <w:u w:val="single"/>
              </w:rPr>
              <w:t xml:space="preserve"> 运输 </w:t>
            </w:r>
            <w:r>
              <w:rPr>
                <w:rFonts w:hint="eastAsia" w:ascii="宋体" w:hAnsi="宋体" w:cs="宋体"/>
                <w:b/>
                <w:bCs/>
                <w:color w:val="auto"/>
                <w:sz w:val="24"/>
                <w:highlight w:val="none"/>
              </w:rPr>
              <w:t>工作分包。</w:t>
            </w:r>
          </w:p>
          <w:p w14:paraId="22321D5D">
            <w:pPr>
              <w:spacing w:line="360" w:lineRule="auto"/>
              <w:rPr>
                <w:rFonts w:ascii="宋体" w:hAnsi="宋体" w:cs="宋体"/>
                <w:color w:val="auto"/>
                <w:sz w:val="24"/>
                <w:highlight w:val="none"/>
              </w:rPr>
            </w:pPr>
            <w:r>
              <w:rPr>
                <w:rFonts w:hint="eastAsia" w:ascii="宋体" w:hAnsi="宋体" w:cs="宋体"/>
                <w:color w:val="auto"/>
                <w:kern w:val="0"/>
                <w:sz w:val="24"/>
                <w:highlight w:val="none"/>
              </w:rPr>
              <w:sym w:font="Wingdings" w:char="00A8"/>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3F2698E8">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0EC4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714" w:type="dxa"/>
            <w:vAlign w:val="center"/>
          </w:tcPr>
          <w:p w14:paraId="33B8AEE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90" w:type="dxa"/>
            <w:vAlign w:val="center"/>
          </w:tcPr>
          <w:p w14:paraId="60DDAB5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磋商前答疑会或现场考察</w:t>
            </w:r>
          </w:p>
        </w:tc>
        <w:tc>
          <w:tcPr>
            <w:tcW w:w="7130" w:type="dxa"/>
            <w:vAlign w:val="center"/>
          </w:tcPr>
          <w:p w14:paraId="0D99F778">
            <w:pPr>
              <w:snapToGrid w:val="0"/>
              <w:spacing w:line="360" w:lineRule="auto"/>
              <w:rPr>
                <w:rFonts w:ascii="宋体" w:hAnsi="宋体" w:cs="宋体"/>
                <w:b/>
                <w:bCs/>
                <w:color w:val="auto"/>
                <w:sz w:val="24"/>
                <w:highlight w:val="none"/>
              </w:rPr>
            </w:pPr>
            <w:r>
              <w:rPr>
                <w:rFonts w:hint="eastAsia" w:ascii="宋体" w:hAnsi="宋体" w:cs="宋体"/>
                <w:b/>
                <w:bCs/>
                <w:color w:val="auto"/>
                <w:kern w:val="0"/>
                <w:sz w:val="24"/>
                <w:highlight w:val="none"/>
              </w:rPr>
              <w:sym w:font="Wingdings" w:char="F0FE"/>
            </w:r>
            <w:r>
              <w:rPr>
                <w:rFonts w:hint="eastAsia" w:ascii="宋体" w:hAnsi="宋体" w:cs="宋体"/>
                <w:b/>
                <w:bCs/>
                <w:color w:val="auto"/>
                <w:kern w:val="0"/>
                <w:sz w:val="24"/>
                <w:highlight w:val="none"/>
              </w:rPr>
              <w:t>A</w:t>
            </w:r>
            <w:r>
              <w:rPr>
                <w:rFonts w:hint="eastAsia" w:ascii="宋体" w:hAnsi="宋体" w:cs="宋体"/>
                <w:b/>
                <w:bCs/>
                <w:color w:val="auto"/>
                <w:sz w:val="24"/>
                <w:highlight w:val="none"/>
              </w:rPr>
              <w:t>不组织。</w:t>
            </w:r>
          </w:p>
          <w:p w14:paraId="631E573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请潜在供应商自行前往踏勘现场，</w:t>
            </w:r>
            <w:r>
              <w:rPr>
                <w:rFonts w:hint="eastAsia" w:ascii="宋体" w:hAnsi="宋体" w:cs="宋体"/>
                <w:color w:val="auto"/>
                <w:sz w:val="24"/>
                <w:highlight w:val="none"/>
              </w:rPr>
              <w:t>以充分了解工地位置、情况、道路、储存空间、装卸限制及任何其他足以影响承包价的情况，任何因忽视或误解工地情况而导致的索赔或工期延长申请将不被批准。</w:t>
            </w:r>
          </w:p>
          <w:p w14:paraId="76F5592A">
            <w:pPr>
              <w:spacing w:line="360" w:lineRule="auto"/>
              <w:rPr>
                <w:rFonts w:hint="eastAsia" w:ascii="宋体" w:hAnsi="宋体" w:eastAsia="宋体" w:cs="宋体"/>
                <w:bCs/>
                <w:color w:val="auto"/>
                <w:sz w:val="24"/>
                <w:highlight w:val="none"/>
                <w:u w:val="single"/>
                <w:lang w:eastAsia="zh-CN"/>
              </w:rPr>
            </w:pPr>
            <w:r>
              <w:rPr>
                <w:rFonts w:hint="eastAsia" w:ascii="宋体" w:hAnsi="宋体" w:cs="宋体"/>
                <w:bCs/>
                <w:color w:val="auto"/>
                <w:sz w:val="24"/>
                <w:highlight w:val="none"/>
              </w:rPr>
              <w:t>踏勘联系人：</w:t>
            </w:r>
            <w:r>
              <w:rPr>
                <w:rFonts w:hint="eastAsia" w:ascii="宋体" w:hAnsi="宋体" w:cs="宋体"/>
                <w:bCs/>
                <w:color w:val="auto"/>
                <w:sz w:val="24"/>
                <w:highlight w:val="none"/>
                <w:u w:val="single"/>
                <w:lang w:val="en-US" w:eastAsia="zh-CN"/>
              </w:rPr>
              <w:t xml:space="preserve">施老师 </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联系方式：</w:t>
            </w:r>
            <w:r>
              <w:rPr>
                <w:rFonts w:hint="eastAsia" w:ascii="宋体" w:hAnsi="宋体" w:cs="宋体"/>
                <w:bCs/>
                <w:color w:val="auto"/>
                <w:sz w:val="24"/>
                <w:highlight w:val="none"/>
                <w:u w:val="single"/>
                <w:lang w:val="en-US" w:eastAsia="zh-CN"/>
              </w:rPr>
              <w:t xml:space="preserve"> 15356147025</w:t>
            </w:r>
            <w:r>
              <w:rPr>
                <w:rFonts w:hint="eastAsia" w:ascii="宋体" w:hAnsi="宋体" w:cs="宋体"/>
                <w:bCs/>
                <w:color w:val="auto"/>
                <w:sz w:val="24"/>
                <w:highlight w:val="none"/>
                <w:u w:val="single"/>
                <w:lang w:eastAsia="zh-CN"/>
              </w:rPr>
              <w:t>；</w:t>
            </w:r>
          </w:p>
          <w:p w14:paraId="30D6AA7A">
            <w:pPr>
              <w:spacing w:line="360" w:lineRule="auto"/>
              <w:rPr>
                <w:rFonts w:ascii="宋体" w:hAnsi="宋体" w:cs="宋体"/>
                <w:color w:val="auto"/>
                <w:sz w:val="24"/>
                <w:highlight w:val="none"/>
              </w:rPr>
            </w:pPr>
            <w:r>
              <w:rPr>
                <w:rFonts w:hint="eastAsia" w:ascii="宋体" w:hAnsi="宋体" w:cs="宋体"/>
                <w:bCs/>
                <w:color w:val="auto"/>
                <w:sz w:val="24"/>
                <w:highlight w:val="none"/>
              </w:rPr>
              <w:t>踏勘地址：</w:t>
            </w:r>
            <w:r>
              <w:rPr>
                <w:rFonts w:hint="eastAsia" w:ascii="宋体" w:hAnsi="宋体" w:cs="宋体"/>
                <w:bCs/>
                <w:color w:val="auto"/>
                <w:sz w:val="24"/>
                <w:highlight w:val="none"/>
                <w:u w:val="single"/>
                <w:lang w:val="en-US" w:eastAsia="zh-CN"/>
              </w:rPr>
              <w:t xml:space="preserve"> 杭州市钱塘区河庄街道浩瀚路1号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p>
          <w:p w14:paraId="0FF57217">
            <w:pPr>
              <w:spacing w:line="360" w:lineRule="auto"/>
              <w:rPr>
                <w:rFonts w:ascii="宋体" w:hAnsi="宋体" w:cs="宋体"/>
                <w:color w:val="auto"/>
                <w:sz w:val="24"/>
                <w:szCs w:val="20"/>
                <w:highlight w:val="none"/>
              </w:rPr>
            </w:pPr>
            <w:r>
              <w:rPr>
                <w:rFonts w:hint="eastAsia" w:ascii="宋体" w:hAnsi="宋体" w:cs="宋体"/>
                <w:color w:val="auto"/>
                <w:kern w:val="0"/>
                <w:sz w:val="24"/>
                <w:highlight w:val="none"/>
              </w:rPr>
              <w:sym w:font="Wingdings" w:char="00A8"/>
            </w: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07441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714" w:type="dxa"/>
            <w:vAlign w:val="center"/>
          </w:tcPr>
          <w:p w14:paraId="4A6923D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90" w:type="dxa"/>
            <w:vAlign w:val="center"/>
          </w:tcPr>
          <w:p w14:paraId="15DBF1D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7130" w:type="dxa"/>
            <w:vAlign w:val="center"/>
          </w:tcPr>
          <w:p w14:paraId="1EDA2C8C">
            <w:pPr>
              <w:shd w:val="clear" w:fill="FFFFFF" w:themeFill="background1"/>
              <w:spacing w:line="360" w:lineRule="auto"/>
              <w:rPr>
                <w:rFonts w:ascii="宋体" w:hAnsi="宋体" w:cs="宋体"/>
                <w:b w:val="0"/>
                <w:bCs w:val="0"/>
                <w:color w:val="auto"/>
                <w:sz w:val="24"/>
                <w:highlight w:val="none"/>
              </w:rPr>
            </w:pPr>
            <w:r>
              <w:rPr>
                <w:rFonts w:hint="eastAsia" w:ascii="宋体" w:hAnsi="宋体" w:cs="宋体"/>
                <w:b w:val="0"/>
                <w:bCs w:val="0"/>
                <w:color w:val="auto"/>
                <w:kern w:val="0"/>
                <w:sz w:val="24"/>
                <w:highlight w:val="none"/>
              </w:rPr>
              <w:sym w:font="Wingdings" w:char="00FE"/>
            </w:r>
            <w:r>
              <w:rPr>
                <w:rFonts w:hint="eastAsia" w:ascii="宋体" w:hAnsi="宋体" w:cs="宋体"/>
                <w:b w:val="0"/>
                <w:bCs w:val="0"/>
                <w:color w:val="auto"/>
                <w:kern w:val="0"/>
                <w:sz w:val="24"/>
                <w:highlight w:val="none"/>
              </w:rPr>
              <w:t>A</w:t>
            </w:r>
            <w:r>
              <w:rPr>
                <w:rFonts w:hint="eastAsia" w:ascii="宋体" w:hAnsi="宋体" w:cs="宋体"/>
                <w:b w:val="0"/>
                <w:bCs w:val="0"/>
                <w:color w:val="auto"/>
                <w:sz w:val="24"/>
                <w:highlight w:val="none"/>
              </w:rPr>
              <w:t>不要求提供。</w:t>
            </w:r>
          </w:p>
          <w:p w14:paraId="3417D711">
            <w:pPr>
              <w:shd w:val="clear" w:fill="FFFFFF" w:themeFill="background1"/>
              <w:spacing w:line="360" w:lineRule="auto"/>
              <w:rPr>
                <w:rFonts w:ascii="宋体" w:hAnsi="宋体" w:cs="宋体"/>
                <w:b w:val="0"/>
                <w:bCs w:val="0"/>
                <w:color w:val="auto"/>
                <w:kern w:val="0"/>
                <w:sz w:val="24"/>
                <w:highlight w:val="none"/>
              </w:rPr>
            </w:pPr>
            <w:r>
              <w:rPr>
                <w:rFonts w:hint="eastAsia" w:ascii="宋体" w:hAnsi="宋体" w:cs="宋体"/>
                <w:b w:val="0"/>
                <w:bCs w:val="0"/>
                <w:color w:val="auto"/>
                <w:kern w:val="0"/>
                <w:sz w:val="24"/>
                <w:highlight w:val="none"/>
              </w:rPr>
              <w:sym w:font="Wingdings" w:char="00A8"/>
            </w:r>
            <w:r>
              <w:rPr>
                <w:rFonts w:hint="eastAsia" w:ascii="宋体" w:hAnsi="宋体" w:cs="宋体"/>
                <w:b w:val="0"/>
                <w:bCs w:val="0"/>
                <w:color w:val="auto"/>
                <w:kern w:val="0"/>
                <w:sz w:val="24"/>
                <w:highlight w:val="none"/>
              </w:rPr>
              <w:t>B要求提供，</w:t>
            </w:r>
          </w:p>
          <w:p w14:paraId="6B22757B">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（1）样品：</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8292D5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（2）样品制作的标准和要求：</w:t>
            </w:r>
            <w:r>
              <w:rPr>
                <w:rFonts w:hint="eastAsia" w:ascii="宋体" w:hAnsi="宋体" w:cs="宋体"/>
                <w:color w:val="auto"/>
                <w:kern w:val="0"/>
                <w:sz w:val="24"/>
                <w:highlight w:val="none"/>
                <w:u w:val="single"/>
              </w:rPr>
              <w:t>详见需求</w:t>
            </w:r>
            <w:r>
              <w:rPr>
                <w:rFonts w:hint="eastAsia" w:ascii="宋体" w:hAnsi="宋体" w:cs="宋体"/>
                <w:color w:val="auto"/>
                <w:kern w:val="0"/>
                <w:sz w:val="24"/>
                <w:highlight w:val="none"/>
              </w:rPr>
              <w:t>。</w:t>
            </w:r>
          </w:p>
          <w:p w14:paraId="7AFDAB4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评审办法</w:t>
            </w:r>
            <w:r>
              <w:rPr>
                <w:rFonts w:hint="eastAsia" w:ascii="宋体" w:hAnsi="宋体" w:cs="宋体"/>
                <w:color w:val="auto"/>
                <w:kern w:val="0"/>
                <w:sz w:val="24"/>
                <w:highlight w:val="none"/>
              </w:rPr>
              <w:t>；</w:t>
            </w:r>
          </w:p>
          <w:p w14:paraId="6CA6DB80">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r>
              <w:rPr>
                <w:rFonts w:hint="eastAsia" w:ascii="宋体" w:hAnsi="宋体" w:cs="宋体"/>
                <w:color w:val="auto"/>
                <w:kern w:val="0"/>
                <w:sz w:val="24"/>
                <w:highlight w:val="none"/>
              </w:rPr>
              <w:sym w:font="Wingdings" w:char="00FE"/>
            </w:r>
            <w:r>
              <w:rPr>
                <w:rFonts w:hint="eastAsia" w:ascii="宋体" w:hAnsi="宋体" w:cs="宋体"/>
                <w:color w:val="auto"/>
                <w:kern w:val="0"/>
                <w:sz w:val="24"/>
                <w:highlight w:val="none"/>
              </w:rPr>
              <w:t>否；☐是，检测机构的要求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164510FF">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截止时间同项目投标截止时间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杭州市拱墅区白石巷318号北楼512室</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阮雅迪</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18258422208</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。请供应商在上述时间内提供样品并按规定位置安装完毕。超过截止时间的，采购人或采购代理机构将不予接收，并将清场并封闭样品现场。</w:t>
            </w:r>
          </w:p>
          <w:p w14:paraId="2E25694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14:paraId="51132ED9">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（7）制作、运输、安装和保管样品所发生的一切费用由供应商自理。</w:t>
            </w:r>
          </w:p>
        </w:tc>
      </w:tr>
      <w:tr w14:paraId="5B262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714" w:type="dxa"/>
            <w:vAlign w:val="center"/>
          </w:tcPr>
          <w:p w14:paraId="58D650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90" w:type="dxa"/>
            <w:vAlign w:val="center"/>
          </w:tcPr>
          <w:p w14:paraId="3C0E14C4">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7130" w:type="dxa"/>
            <w:vAlign w:val="center"/>
          </w:tcPr>
          <w:p w14:paraId="46D29D5F">
            <w:pPr>
              <w:spacing w:line="360" w:lineRule="auto"/>
              <w:rPr>
                <w:rFonts w:ascii="宋体" w:hAnsi="宋体" w:cs="宋体"/>
                <w:color w:val="auto"/>
                <w:sz w:val="24"/>
                <w:highlight w:val="none"/>
              </w:rPr>
            </w:pPr>
            <w:r>
              <w:rPr>
                <w:rFonts w:hint="eastAsia" w:ascii="宋体" w:hAnsi="宋体" w:cs="宋体"/>
                <w:color w:val="auto"/>
                <w:kern w:val="0"/>
                <w:sz w:val="24"/>
                <w:highlight w:val="none"/>
              </w:rPr>
              <w:sym w:font="Wingdings" w:char="00FE"/>
            </w:r>
            <w:r>
              <w:rPr>
                <w:rFonts w:hint="eastAsia" w:ascii="宋体" w:hAnsi="宋体" w:cs="宋体"/>
                <w:b/>
                <w:bCs/>
                <w:color w:val="auto"/>
                <w:kern w:val="0"/>
                <w:sz w:val="24"/>
                <w:highlight w:val="none"/>
              </w:rPr>
              <w:t>A</w:t>
            </w:r>
            <w:r>
              <w:rPr>
                <w:rFonts w:hint="eastAsia" w:ascii="宋体" w:hAnsi="宋体" w:cs="宋体"/>
                <w:b/>
                <w:bCs/>
                <w:color w:val="auto"/>
                <w:sz w:val="24"/>
                <w:highlight w:val="none"/>
              </w:rPr>
              <w:t>不组织。</w:t>
            </w:r>
          </w:p>
          <w:p w14:paraId="7BCA40B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w:char="00A8"/>
            </w:r>
            <w:r>
              <w:rPr>
                <w:rFonts w:hint="eastAsia" w:ascii="宋体" w:hAnsi="宋体" w:cs="宋体"/>
                <w:color w:val="auto"/>
                <w:kern w:val="0"/>
                <w:sz w:val="24"/>
                <w:highlight w:val="none"/>
              </w:rPr>
              <w:t>B组织。</w:t>
            </w:r>
          </w:p>
          <w:p w14:paraId="3B7EAF0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（1）在评审时安排每个供应商进行方案讲解演示。每个供应商时间不超过20分钟，讲解次序以响应文件解密时间先后次序为准，讲解演示人员不超过3人。讲解演示结束后按要求解答磋商小组提问。</w:t>
            </w:r>
          </w:p>
          <w:p w14:paraId="3AB4DB9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70FD4CF7">
            <w:pPr>
              <w:snapToGrid w:val="0"/>
              <w:spacing w:line="360" w:lineRule="auto"/>
              <w:ind w:right="143" w:rightChars="68" w:firstLine="81" w:firstLineChars="34"/>
              <w:jc w:val="left"/>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方式一：录屏演示：</w:t>
            </w:r>
            <w:r>
              <w:rPr>
                <w:rFonts w:ascii="宋体" w:hAnsi="宋体"/>
                <w:bCs/>
                <w:color w:val="auto"/>
                <w:sz w:val="24"/>
                <w:szCs w:val="24"/>
                <w:highlight w:val="none"/>
              </w:rPr>
              <w:t>若</w:t>
            </w:r>
            <w:r>
              <w:rPr>
                <w:rFonts w:hint="eastAsia" w:ascii="宋体" w:hAnsi="宋体"/>
                <w:bCs/>
                <w:color w:val="auto"/>
                <w:sz w:val="24"/>
                <w:szCs w:val="24"/>
                <w:highlight w:val="none"/>
                <w:lang w:eastAsia="zh-CN"/>
              </w:rPr>
              <w:t>投标人</w:t>
            </w:r>
            <w:r>
              <w:rPr>
                <w:rFonts w:ascii="宋体" w:hAnsi="宋体"/>
                <w:bCs/>
                <w:color w:val="auto"/>
                <w:sz w:val="24"/>
                <w:szCs w:val="24"/>
                <w:highlight w:val="none"/>
              </w:rPr>
              <w:t>不到现场，提供演示录屏（视频格式为非常规格式提供</w:t>
            </w:r>
            <w:r>
              <w:rPr>
                <w:rFonts w:hint="eastAsia" w:ascii="宋体" w:hAnsi="宋体"/>
                <w:bCs/>
                <w:color w:val="auto"/>
                <w:sz w:val="24"/>
                <w:szCs w:val="24"/>
                <w:highlight w:val="none"/>
              </w:rPr>
              <w:t>视频</w:t>
            </w:r>
            <w:r>
              <w:rPr>
                <w:rFonts w:ascii="宋体" w:hAnsi="宋体"/>
                <w:bCs/>
                <w:color w:val="auto"/>
                <w:sz w:val="24"/>
                <w:szCs w:val="24"/>
                <w:highlight w:val="none"/>
              </w:rPr>
              <w:t>安装软件，以免无法播放），可与备份文件一起邮寄</w:t>
            </w:r>
            <w:r>
              <w:rPr>
                <w:rFonts w:hint="eastAsia" w:ascii="宋体" w:hAnsi="宋体"/>
                <w:bCs/>
                <w:color w:val="auto"/>
                <w:sz w:val="24"/>
                <w:szCs w:val="24"/>
                <w:highlight w:val="none"/>
              </w:rPr>
              <w:t>，需明确备注</w:t>
            </w:r>
            <w:r>
              <w:rPr>
                <w:rFonts w:ascii="宋体" w:hAnsi="宋体"/>
                <w:bCs/>
                <w:color w:val="auto"/>
                <w:sz w:val="24"/>
                <w:szCs w:val="24"/>
                <w:highlight w:val="none"/>
              </w:rPr>
              <w:t>。</w:t>
            </w:r>
          </w:p>
          <w:p w14:paraId="534BEC7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，讲解演示所用电脑等设备由供应商自备。现场讲解演示人员进场时提供讲解人员名单（加盖公章或授权代表签名）及身份证明，否则不得讲解演示。</w:t>
            </w:r>
          </w:p>
          <w:p w14:paraId="6967795E">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注：因供应商自身原因导致无法演示或者演示效果不理想的，责任自负。</w:t>
            </w:r>
          </w:p>
        </w:tc>
      </w:tr>
      <w:tr w14:paraId="1661D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714" w:type="dxa"/>
            <w:vAlign w:val="center"/>
          </w:tcPr>
          <w:p w14:paraId="6BA54D6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90" w:type="dxa"/>
            <w:vAlign w:val="center"/>
          </w:tcPr>
          <w:p w14:paraId="59BF366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供应商应当提供的资格、资信证明文件</w:t>
            </w:r>
          </w:p>
        </w:tc>
        <w:tc>
          <w:tcPr>
            <w:tcW w:w="7130" w:type="dxa"/>
            <w:vAlign w:val="center"/>
          </w:tcPr>
          <w:p w14:paraId="558DECFF">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（1）资格证明文件：见采购文件第二部分11.1。</w:t>
            </w:r>
          </w:p>
          <w:p w14:paraId="195E218C">
            <w:pPr>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供应商未提供有效的资格证明文件的，视为供应商不具备采购文件中规定的资格要求，响应文件无效。</w:t>
            </w:r>
          </w:p>
          <w:p w14:paraId="78F71415">
            <w:pPr>
              <w:spacing w:line="360" w:lineRule="auto"/>
              <w:rPr>
                <w:rFonts w:ascii="宋体" w:hAnsi="宋体" w:cs="宋体"/>
                <w:snapToGrid w:val="0"/>
                <w:color w:val="auto"/>
                <w:kern w:val="0"/>
                <w:szCs w:val="21"/>
                <w:highlight w:val="none"/>
              </w:rPr>
            </w:pPr>
            <w:r>
              <w:rPr>
                <w:rFonts w:hint="eastAsia" w:ascii="宋体" w:hAnsi="宋体" w:cs="宋体"/>
                <w:color w:val="auto"/>
                <w:sz w:val="24"/>
                <w:highlight w:val="none"/>
              </w:rPr>
              <w:t>（2）资信证明文件：根据采购文件第四部分评审标准提供。</w:t>
            </w:r>
          </w:p>
        </w:tc>
      </w:tr>
      <w:tr w14:paraId="5491B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714" w:type="dxa"/>
            <w:vAlign w:val="center"/>
          </w:tcPr>
          <w:p w14:paraId="49FC18B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90" w:type="dxa"/>
            <w:vAlign w:val="center"/>
          </w:tcPr>
          <w:p w14:paraId="631E905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7130" w:type="dxa"/>
            <w:vAlign w:val="center"/>
          </w:tcPr>
          <w:p w14:paraId="78F98FC7">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44BA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714" w:type="dxa"/>
            <w:vAlign w:val="center"/>
          </w:tcPr>
          <w:p w14:paraId="462721D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90" w:type="dxa"/>
            <w:vAlign w:val="center"/>
          </w:tcPr>
          <w:p w14:paraId="6F2E3E3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7130" w:type="dxa"/>
            <w:vAlign w:val="center"/>
          </w:tcPr>
          <w:p w14:paraId="653BBD56">
            <w:pPr>
              <w:snapToGrid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color w:val="auto"/>
                <w:sz w:val="24"/>
                <w:highlight w:val="none"/>
              </w:rPr>
              <w:t>报价单是报价的唯一载体</w:t>
            </w:r>
            <w:r>
              <w:rPr>
                <w:rFonts w:hint="eastAsia" w:ascii="宋体" w:hAnsi="宋体" w:cs="宋体"/>
                <w:bCs/>
                <w:color w:val="auto"/>
                <w:sz w:val="24"/>
                <w:highlight w:val="none"/>
              </w:rPr>
              <w:t>，如投标人在</w:t>
            </w:r>
            <w:r>
              <w:rPr>
                <w:rFonts w:hint="eastAsia" w:ascii="宋体" w:hAnsi="宋体" w:cs="宋体"/>
                <w:bCs/>
                <w:color w:val="auto"/>
                <w:sz w:val="24"/>
                <w:highlight w:val="none"/>
                <w:lang w:eastAsia="zh-CN"/>
              </w:rPr>
              <w:t>乐采云平台</w:t>
            </w:r>
            <w:r>
              <w:rPr>
                <w:rFonts w:hint="eastAsia" w:ascii="宋体" w:hAnsi="宋体" w:cs="宋体"/>
                <w:bCs/>
                <w:color w:val="auto"/>
                <w:sz w:val="24"/>
                <w:highlight w:val="none"/>
              </w:rPr>
              <w:t>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响应文件中价格全部采用人民币报价。采购文件未列明，而供应商认为必需的费用也需列入报价。</w:t>
            </w:r>
          </w:p>
          <w:p w14:paraId="6D064442">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提醒：验收时检测费用由采购人承担，不包含在总价中。</w:t>
            </w:r>
          </w:p>
          <w:p w14:paraId="4829813D">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最后报价出现下列情形的，响应文件无效：</w:t>
            </w:r>
          </w:p>
          <w:p w14:paraId="5E13875F">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响应文件出现不是唯一的、有选择性最后报价的；</w:t>
            </w:r>
          </w:p>
          <w:p w14:paraId="19B84D01">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最后报价超过采购文件中规定的预算金额或者最高限价的；</w:t>
            </w:r>
          </w:p>
          <w:p w14:paraId="36E3C5AF">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78E7879">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供应商对根据修正原则修正后的报价不确认的</w:t>
            </w:r>
            <w:r>
              <w:rPr>
                <w:rFonts w:hint="eastAsia" w:ascii="宋体" w:hAnsi="宋体" w:cs="宋体"/>
                <w:b/>
                <w:color w:val="auto"/>
                <w:sz w:val="24"/>
                <w:highlight w:val="none"/>
              </w:rPr>
              <w:t>。</w:t>
            </w:r>
          </w:p>
        </w:tc>
      </w:tr>
      <w:tr w14:paraId="49130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714" w:type="dxa"/>
            <w:vAlign w:val="center"/>
          </w:tcPr>
          <w:p w14:paraId="1439A2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90" w:type="dxa"/>
            <w:vAlign w:val="center"/>
          </w:tcPr>
          <w:p w14:paraId="1B4EEC1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7130" w:type="dxa"/>
            <w:vAlign w:val="center"/>
          </w:tcPr>
          <w:p w14:paraId="5686941A">
            <w:pPr>
              <w:spacing w:line="360" w:lineRule="auto"/>
              <w:ind w:firstLine="480" w:firstLineChars="200"/>
              <w:rPr>
                <w:rFonts w:ascii="宋体" w:hAnsi="宋体" w:cs="宋体"/>
                <w:color w:val="auto"/>
                <w:sz w:val="24"/>
                <w:highlight w:val="none"/>
              </w:rPr>
            </w:pPr>
            <w:r>
              <w:rPr>
                <w:rFonts w:hint="eastAsia" w:ascii="宋体" w:hAnsi="宋体"/>
                <w:snapToGrid w:val="0"/>
                <w:color w:val="auto"/>
                <w:kern w:val="28"/>
                <w:sz w:val="24"/>
                <w:highlight w:val="none"/>
              </w:rPr>
              <w:t>投标人中标后也可在“</w:t>
            </w:r>
            <w:r>
              <w:rPr>
                <w:rFonts w:hint="eastAsia" w:ascii="宋体" w:hAnsi="宋体"/>
                <w:snapToGrid w:val="0"/>
                <w:color w:val="auto"/>
                <w:kern w:val="28"/>
                <w:sz w:val="24"/>
                <w:highlight w:val="none"/>
                <w:lang w:eastAsia="zh-CN"/>
              </w:rPr>
              <w:t>乐采云</w:t>
            </w:r>
            <w:r>
              <w:rPr>
                <w:rFonts w:hint="eastAsia" w:ascii="宋体" w:hAnsi="宋体"/>
                <w:snapToGrid w:val="0"/>
                <w:color w:val="auto"/>
                <w:kern w:val="28"/>
                <w:sz w:val="24"/>
                <w:highlight w:val="none"/>
              </w:rPr>
              <w:t>”平台申请政采贷：操作路径：登录</w:t>
            </w:r>
            <w:r>
              <w:rPr>
                <w:rFonts w:hint="eastAsia" w:ascii="宋体" w:hAnsi="宋体"/>
                <w:snapToGrid w:val="0"/>
                <w:color w:val="auto"/>
                <w:kern w:val="28"/>
                <w:sz w:val="24"/>
                <w:highlight w:val="none"/>
                <w:lang w:eastAsia="zh-CN"/>
              </w:rPr>
              <w:t>杭州市教育局非依法招标（小额）项目平台</w:t>
            </w:r>
            <w:r>
              <w:rPr>
                <w:rFonts w:hint="eastAsia" w:ascii="宋体" w:hAnsi="宋体"/>
                <w:snapToGrid w:val="0"/>
                <w:color w:val="auto"/>
                <w:kern w:val="28"/>
                <w:sz w:val="24"/>
                <w:highlight w:val="none"/>
              </w:rPr>
              <w:t xml:space="preserve"> - 金融服务中心 -【融资服务】，可在热门申请中选择产品直接申请，也可点击云智贷匹配适合产品进行申请，或者在可申请项目中根据该项目进行申请。</w:t>
            </w:r>
          </w:p>
        </w:tc>
      </w:tr>
      <w:tr w14:paraId="4EC6E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714" w:type="dxa"/>
            <w:vAlign w:val="center"/>
          </w:tcPr>
          <w:p w14:paraId="35A09AD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90" w:type="dxa"/>
            <w:vAlign w:val="center"/>
          </w:tcPr>
          <w:p w14:paraId="47218E2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备份响应文件送达地点和签收人员</w:t>
            </w:r>
          </w:p>
        </w:tc>
        <w:tc>
          <w:tcPr>
            <w:tcW w:w="7130" w:type="dxa"/>
            <w:vAlign w:val="center"/>
          </w:tcPr>
          <w:p w14:paraId="2B5D9E16">
            <w:pPr>
              <w:pStyle w:val="32"/>
              <w:spacing w:line="360" w:lineRule="auto"/>
              <w:rPr>
                <w:rFonts w:hAnsi="宋体" w:cs="宋体"/>
                <w:color w:val="auto"/>
                <w:kern w:val="28"/>
                <w:sz w:val="24"/>
                <w:szCs w:val="24"/>
                <w:highlight w:val="none"/>
              </w:rPr>
            </w:pPr>
            <w:r>
              <w:rPr>
                <w:rFonts w:hint="eastAsia" w:hAnsi="宋体" w:cs="宋体"/>
                <w:color w:val="auto"/>
                <w:kern w:val="28"/>
                <w:sz w:val="24"/>
                <w:szCs w:val="24"/>
                <w:highlight w:val="none"/>
              </w:rPr>
              <w:t>备份响应文件送达地点：</w:t>
            </w:r>
            <w:r>
              <w:rPr>
                <w:rFonts w:hint="eastAsia" w:hAnsi="宋体" w:cs="宋体"/>
                <w:color w:val="auto"/>
                <w:sz w:val="24"/>
                <w:highlight w:val="none"/>
                <w:u w:val="single"/>
                <w:lang w:eastAsia="zh-CN"/>
              </w:rPr>
              <w:t>杭州市拱墅区白石巷318号北楼512室</w:t>
            </w:r>
            <w:r>
              <w:rPr>
                <w:rFonts w:hint="eastAsia" w:hAnsi="宋体" w:cs="宋体"/>
                <w:color w:val="auto"/>
                <w:kern w:val="28"/>
                <w:sz w:val="24"/>
                <w:szCs w:val="24"/>
                <w:highlight w:val="none"/>
              </w:rPr>
              <w:t>；</w:t>
            </w:r>
          </w:p>
          <w:p w14:paraId="61972106">
            <w:pPr>
              <w:pStyle w:val="32"/>
              <w:spacing w:line="360" w:lineRule="auto"/>
              <w:rPr>
                <w:rFonts w:hAnsi="宋体" w:cs="宋体"/>
                <w:color w:val="auto"/>
                <w:sz w:val="24"/>
                <w:szCs w:val="24"/>
                <w:highlight w:val="none"/>
              </w:rPr>
            </w:pPr>
            <w:r>
              <w:rPr>
                <w:rFonts w:hint="eastAsia" w:hAnsi="宋体" w:cs="宋体"/>
                <w:color w:val="auto"/>
                <w:kern w:val="28"/>
                <w:sz w:val="24"/>
                <w:szCs w:val="24"/>
                <w:highlight w:val="none"/>
              </w:rPr>
              <w:t>备份响应文件签收人员联系电话：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eastAsia="zh-CN"/>
              </w:rPr>
              <w:t>阮雅迪</w:t>
            </w:r>
            <w:r>
              <w:rPr>
                <w:rFonts w:hint="eastAsia" w:hAnsi="宋体" w:cs="宋体"/>
                <w:color w:val="auto"/>
                <w:sz w:val="24"/>
                <w:highlight w:val="none"/>
                <w:u w:val="single"/>
              </w:rPr>
              <w:t xml:space="preserve"> </w:t>
            </w:r>
            <w:r>
              <w:rPr>
                <w:rFonts w:hint="eastAsia" w:hAnsi="宋体" w:cs="宋体"/>
                <w:color w:val="auto"/>
                <w:sz w:val="24"/>
                <w:highlight w:val="none"/>
                <w:u w:val="single"/>
                <w:lang w:eastAsia="zh-CN"/>
              </w:rPr>
              <w:t>18258422208</w:t>
            </w:r>
            <w:r>
              <w:rPr>
                <w:rFonts w:hint="eastAsia" w:hAnsi="宋体" w:cs="宋体"/>
                <w:color w:val="auto"/>
                <w:sz w:val="24"/>
                <w:highlight w:val="none"/>
                <w:u w:val="single"/>
              </w:rPr>
              <w:t xml:space="preserve"> </w:t>
            </w:r>
            <w:r>
              <w:rPr>
                <w:rFonts w:hint="eastAsia" w:hAnsi="宋体" w:cs="宋体"/>
                <w:color w:val="auto"/>
                <w:sz w:val="24"/>
                <w:szCs w:val="24"/>
                <w:highlight w:val="none"/>
              </w:rPr>
              <w:t>。</w:t>
            </w:r>
          </w:p>
          <w:p w14:paraId="583F8126">
            <w:pPr>
              <w:pStyle w:val="32"/>
              <w:spacing w:line="360" w:lineRule="auto"/>
              <w:rPr>
                <w:rFonts w:hAnsi="宋体" w:cs="宋体"/>
                <w:color w:val="auto"/>
                <w:kern w:val="28"/>
                <w:sz w:val="24"/>
                <w:highlight w:val="none"/>
              </w:rPr>
            </w:pPr>
            <w:r>
              <w:rPr>
                <w:rFonts w:hint="eastAsia" w:hAnsi="宋体" w:cs="宋体"/>
                <w:b/>
                <w:color w:val="auto"/>
                <w:sz w:val="24"/>
                <w:szCs w:val="24"/>
                <w:highlight w:val="none"/>
              </w:rPr>
              <w:t>采购人、采购代理机构不强制或变相强制供应商提交备份响应文件。</w:t>
            </w:r>
          </w:p>
        </w:tc>
      </w:tr>
      <w:tr w14:paraId="2A2B0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714" w:type="dxa"/>
            <w:vAlign w:val="center"/>
          </w:tcPr>
          <w:p w14:paraId="006CBF1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90" w:type="dxa"/>
            <w:vAlign w:val="center"/>
          </w:tcPr>
          <w:p w14:paraId="726417F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其它说明</w:t>
            </w:r>
          </w:p>
        </w:tc>
        <w:tc>
          <w:tcPr>
            <w:tcW w:w="7130" w:type="dxa"/>
            <w:vAlign w:val="center"/>
          </w:tcPr>
          <w:p w14:paraId="3796540E">
            <w:pPr>
              <w:snapToGrid w:val="0"/>
              <w:spacing w:line="360" w:lineRule="auto"/>
              <w:rPr>
                <w:rFonts w:ascii="宋体" w:hAnsi="宋体" w:cs="宋体"/>
                <w:color w:val="auto"/>
                <w:kern w:val="28"/>
                <w:sz w:val="24"/>
                <w:highlight w:val="none"/>
              </w:rPr>
            </w:pPr>
            <w:r>
              <w:rPr>
                <w:rFonts w:hint="eastAsia" w:ascii="宋体" w:hAnsi="宋体" w:cs="宋体"/>
                <w:color w:val="auto"/>
                <w:sz w:val="24"/>
                <w:highlight w:val="none"/>
              </w:rPr>
              <w:t>（1）中标通知书发出后30日（鼓励有条件的缩短至10个工作日）内，中标供应商持中标通知书与采购人签订合同；合同签订后需在2个工作日内进行备案公示。</w:t>
            </w:r>
          </w:p>
          <w:p w14:paraId="355E231F">
            <w:pPr>
              <w:snapToGrid w:val="0"/>
              <w:spacing w:line="360" w:lineRule="auto"/>
              <w:rPr>
                <w:rFonts w:ascii="宋体" w:hAnsi="宋体" w:cs="宋体"/>
                <w:color w:val="auto"/>
                <w:kern w:val="28"/>
                <w:sz w:val="24"/>
                <w:highlight w:val="none"/>
              </w:rPr>
            </w:pPr>
            <w:r>
              <w:rPr>
                <w:rFonts w:hint="eastAsia" w:ascii="宋体" w:hAnsi="宋体" w:cs="宋体"/>
                <w:color w:val="auto"/>
                <w:kern w:val="28"/>
                <w:sz w:val="24"/>
                <w:highlight w:val="none"/>
              </w:rPr>
              <w:t>（2）</w:t>
            </w:r>
            <w:r>
              <w:rPr>
                <w:rFonts w:hint="eastAsia" w:ascii="宋体" w:hAnsi="宋体" w:cs="宋体"/>
                <w:color w:val="auto"/>
                <w:sz w:val="24"/>
                <w:highlight w:val="none"/>
              </w:rPr>
              <w:t>中标供应商在收到中标通知后7个工作日内提交纸质版投标文件（内容同电子投标文件）一正两副或系统解密版三份，用于项目资料存档。（邮寄地址：</w:t>
            </w:r>
            <w:r>
              <w:rPr>
                <w:rFonts w:hint="eastAsia" w:ascii="宋体" w:hAnsi="宋体" w:cs="宋体"/>
                <w:color w:val="auto"/>
                <w:sz w:val="24"/>
                <w:highlight w:val="none"/>
                <w:lang w:eastAsia="zh-CN"/>
              </w:rPr>
              <w:t>杭州市拱墅区白石巷318号北楼512室</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阮雅迪</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18258422208</w:t>
            </w:r>
            <w:r>
              <w:rPr>
                <w:rFonts w:hint="eastAsia" w:ascii="宋体" w:hAnsi="宋体" w:cs="宋体"/>
                <w:color w:val="auto"/>
                <w:sz w:val="24"/>
                <w:highlight w:val="none"/>
              </w:rPr>
              <w:t>收）</w:t>
            </w:r>
          </w:p>
          <w:p w14:paraId="23F5CFF9">
            <w:pPr>
              <w:snapToGrid w:val="0"/>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（3）</w:t>
            </w:r>
            <w:r>
              <w:rPr>
                <w:rFonts w:hint="eastAsia" w:ascii="宋体" w:hAnsi="宋体" w:cs="宋体"/>
                <w:color w:val="auto"/>
                <w:sz w:val="24"/>
                <w:highlight w:val="none"/>
              </w:rPr>
              <w:t>若联合体投标的，联合体各方均应当具备规定的相应资格条件。不同投标人组成联合体投标的，联合体各方应当签订共同投标协议，明确约定各方拟承担的工作和责任，并且要求在联合体协议中明确联合体的主体方（牵头人）。</w:t>
            </w:r>
          </w:p>
          <w:p w14:paraId="0F9EE962">
            <w:pPr>
              <w:spacing w:line="360" w:lineRule="auto"/>
              <w:rPr>
                <w:rFonts w:ascii="宋体" w:hAnsi="宋体" w:cs="宋体"/>
                <w:b/>
                <w:color w:val="auto"/>
                <w:kern w:val="0"/>
                <w:sz w:val="24"/>
                <w:highlight w:val="none"/>
              </w:rPr>
            </w:pPr>
            <w:r>
              <w:rPr>
                <w:rFonts w:hint="eastAsia" w:ascii="宋体" w:hAnsi="宋体" w:cs="宋体"/>
                <w:snapToGrid w:val="0"/>
                <w:color w:val="auto"/>
                <w:kern w:val="28"/>
                <w:sz w:val="24"/>
                <w:highlight w:val="none"/>
              </w:rPr>
              <w:t>（4）联合体或者以分包方式履行合同的，联合体各方（供应商与分包供应商）分别提供与联合体协议（分包意向协议）中规定的分工内容相应的业绩证明材料，业绩数量以提供材料较少的一方为准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color w:val="auto"/>
                <w:kern w:val="0"/>
                <w:sz w:val="24"/>
                <w:highlight w:val="none"/>
              </w:rPr>
              <w:t>。</w:t>
            </w:r>
          </w:p>
          <w:p w14:paraId="2E082D3B">
            <w:pPr>
              <w:spacing w:line="360" w:lineRule="auto"/>
              <w:rPr>
                <w:rFonts w:ascii="宋体" w:hAnsi="宋体" w:cs="宋体"/>
                <w:bCs/>
                <w:color w:val="auto"/>
                <w:sz w:val="24"/>
                <w:highlight w:val="none"/>
              </w:rPr>
            </w:pPr>
            <w:r>
              <w:rPr>
                <w:rFonts w:hint="eastAsia" w:ascii="宋体" w:hAnsi="宋体" w:cs="宋体"/>
                <w:bCs/>
                <w:color w:val="auto"/>
                <w:kern w:val="0"/>
                <w:sz w:val="24"/>
                <w:highlight w:val="none"/>
              </w:rPr>
              <w:t>（5）</w:t>
            </w:r>
            <w:r>
              <w:rPr>
                <w:rFonts w:hint="eastAsia" w:ascii="宋体" w:hAnsi="宋体" w:cs="宋体"/>
                <w:bCs/>
                <w:color w:val="auto"/>
                <w:sz w:val="24"/>
                <w:highlight w:val="none"/>
              </w:rPr>
              <w:t>若联合体中标，联合体成员应按联合体协议签订的实施范围进行项目实施，不得私自调整项目实施范围，不得将属于高资质实施范围内工作分包给低资质的成员单位实施，一经发现，采购人有权终止合同，并保留向中标单位追究违约责任的权利，由此产生的损失由中标单位承担。</w:t>
            </w:r>
          </w:p>
        </w:tc>
      </w:tr>
      <w:tr w14:paraId="1EFE0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714" w:type="dxa"/>
            <w:vAlign w:val="center"/>
          </w:tcPr>
          <w:p w14:paraId="5A7FA80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890" w:type="dxa"/>
            <w:vAlign w:val="center"/>
          </w:tcPr>
          <w:p w14:paraId="49AF36D9">
            <w:pPr>
              <w:snapToGrid w:val="0"/>
              <w:spacing w:line="360" w:lineRule="auto"/>
              <w:jc w:val="center"/>
              <w:rPr>
                <w:rFonts w:ascii="宋体" w:hAnsi="宋体" w:cs="宋体"/>
                <w:b w:val="0"/>
                <w:bCs/>
                <w:color w:val="auto"/>
                <w:sz w:val="24"/>
                <w:highlight w:val="none"/>
              </w:rPr>
            </w:pPr>
            <w:r>
              <w:rPr>
                <w:rFonts w:hint="eastAsia" w:ascii="宋体" w:hAnsi="宋体" w:cs="宋体"/>
                <w:b w:val="0"/>
                <w:bCs/>
                <w:color w:val="auto"/>
                <w:sz w:val="24"/>
                <w:highlight w:val="none"/>
              </w:rPr>
              <w:t>采购代理服务费</w:t>
            </w:r>
          </w:p>
        </w:tc>
        <w:tc>
          <w:tcPr>
            <w:tcW w:w="7130" w:type="dxa"/>
            <w:vAlign w:val="center"/>
          </w:tcPr>
          <w:p w14:paraId="77919F4B">
            <w:pPr>
              <w:widowControl/>
              <w:spacing w:line="360" w:lineRule="auto"/>
              <w:rPr>
                <w:rFonts w:hint="eastAsia" w:ascii="宋体" w:hAnsi="宋体" w:eastAsia="宋体" w:cs="宋体"/>
                <w:b w:val="0"/>
                <w:bCs/>
                <w:color w:val="auto"/>
                <w:sz w:val="24"/>
                <w:highlight w:val="none"/>
                <w:lang w:eastAsia="zh-CN"/>
              </w:rPr>
            </w:pP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lang w:val="en-US" w:eastAsia="zh-CN"/>
              </w:rPr>
              <w:t>1</w:t>
            </w: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rPr>
              <w:t>本项目招标服务费收费标准</w:t>
            </w:r>
            <w:r>
              <w:rPr>
                <w:rFonts w:hint="eastAsia" w:ascii="宋体" w:hAnsi="宋体" w:cs="宋体"/>
                <w:b w:val="0"/>
                <w:bCs/>
                <w:color w:val="auto"/>
                <w:sz w:val="24"/>
                <w:highlight w:val="none"/>
                <w:lang w:eastAsia="zh-CN"/>
              </w:rPr>
              <w:t>：</w:t>
            </w:r>
          </w:p>
          <w:p w14:paraId="5F486347">
            <w:pPr>
              <w:widowControl/>
              <w:spacing w:line="360" w:lineRule="auto"/>
              <w:rPr>
                <w:rFonts w:ascii="宋体" w:hAnsi="宋体" w:cs="宋体"/>
                <w:b/>
                <w:bCs w:val="0"/>
                <w:color w:val="auto"/>
                <w:sz w:val="24"/>
                <w:highlight w:val="none"/>
              </w:rPr>
            </w:pPr>
            <w:r>
              <w:rPr>
                <w:rFonts w:hint="eastAsia" w:ascii="宋体" w:hAnsi="宋体" w:cs="宋体"/>
                <w:b/>
                <w:bCs w:val="0"/>
                <w:color w:val="auto"/>
                <w:sz w:val="24"/>
                <w:highlight w:val="none"/>
              </w:rPr>
              <w:t>招标代理费：按浙价服(2003)77号文规定</w:t>
            </w:r>
            <w:r>
              <w:rPr>
                <w:rFonts w:hint="eastAsia" w:ascii="宋体" w:hAnsi="宋体" w:cs="宋体"/>
                <w:b/>
                <w:bCs w:val="0"/>
                <w:color w:val="auto"/>
                <w:sz w:val="24"/>
                <w:highlight w:val="none"/>
                <w:lang w:val="en-US" w:eastAsia="zh-CN"/>
              </w:rPr>
              <w:t>72%</w:t>
            </w:r>
            <w:r>
              <w:rPr>
                <w:rFonts w:hint="eastAsia" w:ascii="宋体" w:hAnsi="宋体" w:cs="宋体"/>
                <w:b/>
                <w:bCs w:val="0"/>
                <w:color w:val="auto"/>
                <w:sz w:val="24"/>
                <w:highlight w:val="none"/>
              </w:rPr>
              <w:t>计取</w:t>
            </w:r>
            <w:r>
              <w:rPr>
                <w:rFonts w:hint="eastAsia" w:ascii="宋体" w:hAnsi="宋体" w:cs="宋体"/>
                <w:b/>
                <w:bCs w:val="0"/>
                <w:color w:val="auto"/>
                <w:sz w:val="24"/>
                <w:highlight w:val="none"/>
                <w:lang w:eastAsia="zh-CN"/>
              </w:rPr>
              <w:t>，</w:t>
            </w:r>
            <w:r>
              <w:rPr>
                <w:rFonts w:hint="eastAsia" w:ascii="宋体" w:hAnsi="宋体" w:cs="宋体"/>
                <w:b/>
                <w:bCs w:val="0"/>
                <w:color w:val="auto"/>
                <w:sz w:val="24"/>
                <w:highlight w:val="none"/>
                <w:lang w:val="en-US" w:eastAsia="zh-CN"/>
              </w:rPr>
              <w:t>不足陆仟按陆仟元计取，</w:t>
            </w:r>
            <w:r>
              <w:rPr>
                <w:rFonts w:hint="eastAsia" w:ascii="宋体" w:hAnsi="宋体" w:cs="宋体"/>
                <w:b/>
                <w:bCs w:val="0"/>
                <w:color w:val="auto"/>
                <w:sz w:val="24"/>
                <w:highlight w:val="none"/>
              </w:rPr>
              <w:t>中标人在领取中标通知书后7个工作日内一次性缴纳。</w:t>
            </w:r>
          </w:p>
          <w:p w14:paraId="5D1D0196">
            <w:pPr>
              <w:widowControl/>
              <w:shd w:val="clear" w:fill="FFFFFF" w:themeFill="background1"/>
              <w:spacing w:line="360" w:lineRule="auto"/>
              <w:rPr>
                <w:rFonts w:ascii="宋体" w:hAnsi="宋体" w:cs="宋体"/>
                <w:b w:val="0"/>
                <w:bCs/>
                <w:color w:val="auto"/>
                <w:sz w:val="24"/>
                <w:highlight w:val="none"/>
              </w:rPr>
            </w:pPr>
            <w:r>
              <w:rPr>
                <w:rFonts w:hint="eastAsia" w:ascii="宋体" w:hAnsi="宋体" w:cs="宋体"/>
                <w:b w:val="0"/>
                <w:bCs/>
                <w:color w:val="auto"/>
                <w:sz w:val="24"/>
                <w:highlight w:val="none"/>
              </w:rPr>
              <w:t>工程造价咨询费：</w:t>
            </w:r>
            <w:r>
              <w:rPr>
                <w:rFonts w:hint="eastAsia" w:ascii="宋体" w:hAnsi="宋体" w:cs="宋体"/>
                <w:b w:val="0"/>
                <w:bCs/>
                <w:color w:val="auto"/>
                <w:kern w:val="0"/>
                <w:sz w:val="24"/>
                <w:highlight w:val="none"/>
              </w:rPr>
              <w:sym w:font="Wingdings" w:char="00A8"/>
            </w:r>
            <w:r>
              <w:rPr>
                <w:rFonts w:hint="eastAsia" w:ascii="宋体" w:hAnsi="宋体" w:cs="宋体"/>
                <w:b w:val="0"/>
                <w:bCs/>
                <w:color w:val="auto"/>
                <w:kern w:val="0"/>
                <w:sz w:val="24"/>
                <w:highlight w:val="none"/>
              </w:rPr>
              <w:t>无；</w:t>
            </w:r>
            <w:r>
              <w:rPr>
                <w:rFonts w:hint="eastAsia" w:ascii="宋体" w:hAnsi="宋体" w:cs="宋体"/>
                <w:b/>
                <w:bCs w:val="0"/>
                <w:color w:val="auto"/>
                <w:kern w:val="0"/>
                <w:sz w:val="24"/>
                <w:highlight w:val="none"/>
              </w:rPr>
              <w:sym w:font="Wingdings" w:char="00FE"/>
            </w:r>
            <w:r>
              <w:rPr>
                <w:rFonts w:hint="eastAsia" w:ascii="宋体" w:hAnsi="宋体" w:cs="宋体"/>
                <w:b/>
                <w:bCs w:val="0"/>
                <w:color w:val="auto"/>
                <w:kern w:val="0"/>
                <w:sz w:val="24"/>
                <w:highlight w:val="none"/>
              </w:rPr>
              <w:t>浙建价协〔2021〕13号文</w:t>
            </w:r>
            <w:r>
              <w:rPr>
                <w:rFonts w:hint="eastAsia" w:ascii="宋体" w:hAnsi="宋体" w:cs="宋体"/>
                <w:b/>
                <w:bCs w:val="0"/>
                <w:color w:val="auto"/>
                <w:sz w:val="24"/>
                <w:highlight w:val="none"/>
              </w:rPr>
              <w:t>规定</w:t>
            </w:r>
            <w:r>
              <w:rPr>
                <w:rFonts w:hint="eastAsia" w:ascii="宋体" w:hAnsi="宋体" w:cs="宋体"/>
                <w:b/>
                <w:bCs w:val="0"/>
                <w:color w:val="auto"/>
                <w:sz w:val="24"/>
                <w:highlight w:val="none"/>
                <w:lang w:val="en-US" w:eastAsia="zh-CN"/>
              </w:rPr>
              <w:t>72%</w:t>
            </w:r>
            <w:r>
              <w:rPr>
                <w:rFonts w:hint="eastAsia" w:ascii="宋体" w:hAnsi="宋体" w:cs="宋体"/>
                <w:b/>
                <w:bCs w:val="0"/>
                <w:color w:val="auto"/>
                <w:sz w:val="24"/>
                <w:highlight w:val="none"/>
              </w:rPr>
              <w:t>计取</w:t>
            </w:r>
            <w:r>
              <w:rPr>
                <w:rFonts w:hint="eastAsia" w:ascii="宋体" w:hAnsi="宋体" w:cs="宋体"/>
                <w:b/>
                <w:bCs w:val="0"/>
                <w:color w:val="auto"/>
                <w:kern w:val="0"/>
                <w:sz w:val="24"/>
                <w:highlight w:val="none"/>
              </w:rPr>
              <w:t>，</w:t>
            </w:r>
            <w:r>
              <w:rPr>
                <w:rFonts w:hint="eastAsia" w:ascii="宋体" w:hAnsi="宋体" w:cs="宋体"/>
                <w:b/>
                <w:bCs w:val="0"/>
                <w:color w:val="auto"/>
                <w:sz w:val="24"/>
                <w:highlight w:val="none"/>
              </w:rPr>
              <w:t>不足</w:t>
            </w:r>
            <w:r>
              <w:rPr>
                <w:rFonts w:hint="eastAsia" w:ascii="宋体" w:hAnsi="宋体" w:cs="宋体"/>
                <w:b/>
                <w:bCs w:val="0"/>
                <w:color w:val="auto"/>
                <w:sz w:val="24"/>
                <w:highlight w:val="none"/>
                <w:lang w:val="en-US" w:eastAsia="zh-CN"/>
              </w:rPr>
              <w:t>叁</w:t>
            </w:r>
            <w:r>
              <w:rPr>
                <w:rFonts w:hint="eastAsia" w:ascii="宋体" w:hAnsi="宋体" w:cs="宋体"/>
                <w:b/>
                <w:bCs w:val="0"/>
                <w:color w:val="auto"/>
                <w:sz w:val="24"/>
                <w:highlight w:val="none"/>
              </w:rPr>
              <w:t>仟元按</w:t>
            </w:r>
            <w:r>
              <w:rPr>
                <w:rFonts w:hint="eastAsia" w:ascii="宋体" w:hAnsi="宋体" w:cs="宋体"/>
                <w:b/>
                <w:bCs w:val="0"/>
                <w:color w:val="auto"/>
                <w:sz w:val="24"/>
                <w:highlight w:val="none"/>
                <w:lang w:val="en-US" w:eastAsia="zh-CN"/>
              </w:rPr>
              <w:t>叁</w:t>
            </w:r>
            <w:r>
              <w:rPr>
                <w:rFonts w:hint="eastAsia" w:ascii="宋体" w:hAnsi="宋体" w:cs="宋体"/>
                <w:b/>
                <w:bCs w:val="0"/>
                <w:color w:val="auto"/>
                <w:sz w:val="24"/>
                <w:highlight w:val="none"/>
              </w:rPr>
              <w:t>仟元计取</w:t>
            </w:r>
            <w:r>
              <w:rPr>
                <w:rFonts w:hint="eastAsia" w:ascii="宋体" w:hAnsi="宋体" w:cs="宋体"/>
                <w:b/>
                <w:bCs w:val="0"/>
                <w:color w:val="auto"/>
                <w:sz w:val="24"/>
                <w:highlight w:val="none"/>
                <w:lang w:eastAsia="zh-CN"/>
              </w:rPr>
              <w:t>，由采购人在项目招标完成后一次性支付</w:t>
            </w:r>
            <w:r>
              <w:rPr>
                <w:rFonts w:hint="eastAsia" w:ascii="宋体" w:hAnsi="宋体" w:cs="宋体"/>
                <w:b/>
                <w:bCs w:val="0"/>
                <w:color w:val="auto"/>
                <w:kern w:val="0"/>
                <w:sz w:val="24"/>
                <w:highlight w:val="none"/>
              </w:rPr>
              <w:t>。</w:t>
            </w:r>
          </w:p>
          <w:p w14:paraId="665E890D">
            <w:pPr>
              <w:widowControl/>
              <w:spacing w:line="360" w:lineRule="auto"/>
              <w:rPr>
                <w:rFonts w:ascii="宋体" w:hAnsi="宋体" w:cs="宋体"/>
                <w:b w:val="0"/>
                <w:bCs/>
                <w:color w:val="auto"/>
                <w:sz w:val="24"/>
                <w:highlight w:val="none"/>
              </w:rPr>
            </w:pP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lang w:val="en-US" w:eastAsia="zh-CN"/>
              </w:rPr>
              <w:t>2</w:t>
            </w: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lang w:val="en-US" w:eastAsia="zh-CN"/>
              </w:rPr>
              <w:t>收款信息</w:t>
            </w:r>
            <w:r>
              <w:rPr>
                <w:rFonts w:hint="eastAsia" w:ascii="宋体" w:hAnsi="宋体" w:cs="宋体"/>
                <w:b w:val="0"/>
                <w:bCs/>
                <w:color w:val="auto"/>
                <w:sz w:val="24"/>
                <w:highlight w:val="none"/>
              </w:rPr>
              <w:t>：</w:t>
            </w:r>
          </w:p>
          <w:p w14:paraId="704A83C9">
            <w:pPr>
              <w:widowControl/>
              <w:spacing w:line="360" w:lineRule="auto"/>
              <w:rPr>
                <w:rFonts w:hint="eastAsia" w:ascii="宋体" w:hAnsi="宋体" w:eastAsia="宋体" w:cs="宋体"/>
                <w:b w:val="0"/>
                <w:bCs/>
                <w:color w:val="auto"/>
                <w:sz w:val="24"/>
                <w:highlight w:val="none"/>
                <w:lang w:eastAsia="zh-CN"/>
              </w:rPr>
            </w:pPr>
            <w:r>
              <w:rPr>
                <w:rFonts w:hint="eastAsia" w:ascii="宋体" w:hAnsi="宋体" w:cs="宋体"/>
                <w:b w:val="0"/>
                <w:bCs/>
                <w:color w:val="auto"/>
                <w:sz w:val="24"/>
                <w:highlight w:val="none"/>
              </w:rPr>
              <w:t>收款单位：</w:t>
            </w:r>
            <w:r>
              <w:rPr>
                <w:rFonts w:hint="eastAsia" w:ascii="宋体" w:hAnsi="宋体" w:cs="宋体"/>
                <w:b w:val="0"/>
                <w:bCs/>
                <w:color w:val="auto"/>
                <w:sz w:val="24"/>
                <w:highlight w:val="none"/>
                <w:lang w:eastAsia="zh-CN"/>
              </w:rPr>
              <w:t>浙江五石中正工程咨询有限公司</w:t>
            </w:r>
            <w:bookmarkStart w:id="399" w:name="_GoBack"/>
            <w:bookmarkEnd w:id="399"/>
          </w:p>
          <w:p w14:paraId="5891CFC6">
            <w:pPr>
              <w:snapToGrid w:val="0"/>
              <w:spacing w:line="360" w:lineRule="auto"/>
              <w:rPr>
                <w:rFonts w:hint="eastAsia" w:ascii="宋体" w:hAnsi="宋体" w:eastAsia="宋体" w:cs="宋体"/>
                <w:b w:val="0"/>
                <w:bCs/>
                <w:color w:val="auto"/>
                <w:sz w:val="24"/>
                <w:highlight w:val="none"/>
                <w:lang w:eastAsia="zh-CN"/>
              </w:rPr>
            </w:pPr>
            <w:r>
              <w:rPr>
                <w:rFonts w:hint="eastAsia" w:ascii="宋体" w:hAnsi="宋体" w:cs="宋体"/>
                <w:b w:val="0"/>
                <w:bCs/>
                <w:color w:val="auto"/>
                <w:sz w:val="24"/>
                <w:highlight w:val="none"/>
              </w:rPr>
              <w:t>开户银行：</w:t>
            </w:r>
            <w:r>
              <w:rPr>
                <w:rFonts w:hint="eastAsia" w:ascii="宋体" w:hAnsi="宋体" w:cs="宋体"/>
                <w:b w:val="0"/>
                <w:bCs/>
                <w:color w:val="auto"/>
                <w:sz w:val="24"/>
                <w:highlight w:val="none"/>
                <w:lang w:eastAsia="zh-CN"/>
              </w:rPr>
              <w:t xml:space="preserve">中国工商银行杭州潮王路支行 </w:t>
            </w:r>
          </w:p>
          <w:p w14:paraId="23B9325D">
            <w:pPr>
              <w:spacing w:line="360" w:lineRule="auto"/>
              <w:rPr>
                <w:rFonts w:hint="eastAsia" w:ascii="宋体" w:hAnsi="宋体" w:eastAsia="宋体" w:cs="宋体"/>
                <w:b w:val="0"/>
                <w:bCs/>
                <w:color w:val="auto"/>
                <w:sz w:val="24"/>
                <w:highlight w:val="none"/>
                <w:lang w:eastAsia="zh-CN"/>
              </w:rPr>
            </w:pPr>
            <w:r>
              <w:rPr>
                <w:rFonts w:hint="eastAsia" w:ascii="宋体" w:hAnsi="宋体" w:cs="宋体"/>
                <w:b w:val="0"/>
                <w:bCs/>
                <w:color w:val="auto"/>
                <w:sz w:val="24"/>
                <w:highlight w:val="none"/>
              </w:rPr>
              <w:t>帐    号：</w:t>
            </w:r>
            <w:r>
              <w:rPr>
                <w:rFonts w:hint="eastAsia" w:ascii="宋体" w:hAnsi="宋体" w:cs="宋体"/>
                <w:b w:val="0"/>
                <w:bCs/>
                <w:color w:val="auto"/>
                <w:sz w:val="24"/>
                <w:highlight w:val="none"/>
                <w:lang w:eastAsia="zh-CN"/>
              </w:rPr>
              <w:t>1202003209900014176</w:t>
            </w:r>
          </w:p>
          <w:p w14:paraId="58C11033">
            <w:pPr>
              <w:spacing w:line="360" w:lineRule="auto"/>
              <w:rPr>
                <w:rFonts w:ascii="宋体" w:hAnsi="宋体" w:cs="宋体"/>
                <w:b w:val="0"/>
                <w:bCs/>
                <w:snapToGrid w:val="0"/>
                <w:color w:val="auto"/>
                <w:kern w:val="28"/>
                <w:sz w:val="24"/>
                <w:highlight w:val="none"/>
              </w:rPr>
            </w:pPr>
            <w:r>
              <w:rPr>
                <w:rFonts w:hint="eastAsia" w:ascii="宋体" w:hAnsi="宋体" w:cs="宋体"/>
                <w:b w:val="0"/>
                <w:bCs/>
                <w:color w:val="auto"/>
                <w:sz w:val="24"/>
                <w:highlight w:val="none"/>
              </w:rPr>
              <w:t>注：打款时备注项目编号，项目名称等信息。</w:t>
            </w:r>
          </w:p>
        </w:tc>
      </w:tr>
    </w:tbl>
    <w:p w14:paraId="0BC36472">
      <w:pPr>
        <w:snapToGrid w:val="0"/>
        <w:spacing w:line="360" w:lineRule="auto"/>
        <w:jc w:val="center"/>
        <w:rPr>
          <w:rFonts w:ascii="宋体" w:hAnsi="宋体" w:cs="宋体"/>
          <w:b/>
          <w:color w:val="auto"/>
          <w:sz w:val="32"/>
          <w:szCs w:val="20"/>
          <w:highlight w:val="none"/>
        </w:rPr>
      </w:pPr>
    </w:p>
    <w:bookmarkEnd w:id="10"/>
    <w:p w14:paraId="5486AF70">
      <w:pPr>
        <w:widowControl/>
        <w:adjustRightInd/>
        <w:jc w:val="left"/>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br w:type="page"/>
      </w:r>
    </w:p>
    <w:p w14:paraId="23E7FCF6">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0E35DABB">
      <w:pPr>
        <w:snapToGrid w:val="0"/>
        <w:spacing w:line="360" w:lineRule="auto"/>
        <w:jc w:val="left"/>
        <w:outlineLvl w:val="1"/>
        <w:rPr>
          <w:rFonts w:ascii="宋体" w:hAnsi="宋体" w:cs="宋体"/>
          <w:b/>
          <w:color w:val="auto"/>
          <w:sz w:val="24"/>
          <w:highlight w:val="none"/>
        </w:rPr>
      </w:pPr>
      <w:r>
        <w:rPr>
          <w:rFonts w:hint="eastAsia" w:ascii="宋体" w:hAnsi="宋体" w:cs="宋体"/>
          <w:b/>
          <w:color w:val="auto"/>
          <w:sz w:val="24"/>
          <w:highlight w:val="none"/>
        </w:rPr>
        <w:t>1.适用范围</w:t>
      </w:r>
    </w:p>
    <w:p w14:paraId="3FD2F2E5">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本采购文件适用于该项目的采购邀请、响应文件提交、响应文件开启、资格审查及信用信息查询、磋商、评审、成交供应商确定、合同、验收等行为（法律、法规另有规定的，从其规定）。</w:t>
      </w:r>
    </w:p>
    <w:p w14:paraId="409EE993">
      <w:pPr>
        <w:snapToGrid w:val="0"/>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2.定义</w:t>
      </w:r>
    </w:p>
    <w:p w14:paraId="19F91D5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“采购人”系指竞争性磋商公告中载明的本项目的采购人。</w:t>
      </w:r>
    </w:p>
    <w:p w14:paraId="10FF1C3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“采购代理机构”系指竞争性磋商公告中载明的本项目的采购代理机构。</w:t>
      </w:r>
    </w:p>
    <w:p w14:paraId="7376E7C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“供应商”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lang w:eastAsia="zh-CN"/>
        </w:rPr>
        <w:t>”</w:t>
      </w:r>
      <w:r>
        <w:rPr>
          <w:rFonts w:hint="eastAsia" w:ascii="宋体" w:hAnsi="宋体" w:cs="宋体"/>
          <w:color w:val="auto"/>
          <w:sz w:val="24"/>
          <w:highlight w:val="none"/>
        </w:rPr>
        <w:t>系指是指提交响应文件和报价、参与竞争性磋商采购活动的法人、其他组织或者自然人。</w:t>
      </w:r>
    </w:p>
    <w:p w14:paraId="4528081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71A616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104CF67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2.6“电子交易平台”是指本项目采购活动所依托的</w:t>
      </w:r>
      <w:r>
        <w:rPr>
          <w:rFonts w:hint="eastAsia" w:ascii="宋体" w:hAnsi="宋体" w:cs="宋体"/>
          <w:color w:val="auto"/>
          <w:sz w:val="24"/>
          <w:highlight w:val="none"/>
          <w:lang w:eastAsia="zh-CN"/>
        </w:rPr>
        <w:t>乐采云平台（https://hzjyg.lecaiyun.com）</w:t>
      </w:r>
      <w:r>
        <w:rPr>
          <w:rFonts w:hint="eastAsia" w:ascii="宋体" w:hAnsi="宋体" w:cs="宋体"/>
          <w:color w:val="auto"/>
          <w:sz w:val="24"/>
          <w:highlight w:val="none"/>
        </w:rPr>
        <w:t>。</w:t>
      </w:r>
    </w:p>
    <w:p w14:paraId="38D856B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hint="eastAsia" w:ascii="宋体" w:hAnsi="宋体" w:cs="宋体"/>
          <w:b/>
          <w:bCs/>
          <w:color w:val="auto"/>
          <w:sz w:val="24"/>
          <w:highlight w:val="none"/>
        </w:rPr>
        <w:sym w:font="Wingdings" w:char="00FE"/>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系指不适用本项目的要求，“※”系指磋商过程中可能实质性变动的内容。</w:t>
      </w:r>
    </w:p>
    <w:p w14:paraId="702BC6E1">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2640221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4FDB75A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支持绿色发展</w:t>
      </w:r>
    </w:p>
    <w:p w14:paraId="28267247">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auto"/>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14:paraId="0C60789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修缮、装修类项目采购建材的，采购人应将绿色建筑和绿色建材性能、指标等作为实质性条件纳入采购文件和合同。</w:t>
      </w:r>
    </w:p>
    <w:p w14:paraId="2ED5BF6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F61EBF2">
      <w:pPr>
        <w:pStyle w:val="2"/>
        <w:tabs>
          <w:tab w:val="left" w:pos="0"/>
          <w:tab w:val="clear" w:pos="432"/>
        </w:tabs>
        <w:ind w:left="0" w:firstLine="480" w:firstLineChars="200"/>
        <w:rPr>
          <w:color w:val="auto"/>
          <w:highlight w:val="none"/>
          <w:lang w:val="en-US"/>
        </w:rPr>
      </w:pPr>
      <w:r>
        <w:rPr>
          <w:rFonts w:ascii="宋体" w:hAnsi="宋体" w:eastAsia="宋体" w:cs="宋体"/>
          <w:b w:val="0"/>
          <w:bCs w:val="0"/>
          <w:color w:val="auto"/>
          <w:sz w:val="24"/>
          <w:szCs w:val="24"/>
          <w:highlight w:val="none"/>
          <w:lang w:val="en-US"/>
        </w:rPr>
        <w:t xml:space="preserve">3.2.4 </w:t>
      </w:r>
      <w:r>
        <w:rPr>
          <w:rFonts w:hint="eastAsia" w:ascii="宋体" w:hAnsi="宋体" w:eastAsia="宋体" w:cs="宋体"/>
          <w:b w:val="0"/>
          <w:bCs w:val="0"/>
          <w:color w:val="auto"/>
          <w:sz w:val="24"/>
          <w:szCs w:val="24"/>
          <w:highlight w:val="none"/>
          <w:lang w:val="en-US"/>
        </w:rPr>
        <w:t>鼓励供应商在参加</w:t>
      </w:r>
      <w:r>
        <w:rPr>
          <w:rFonts w:hint="eastAsia" w:ascii="宋体" w:hAnsi="宋体" w:eastAsia="宋体" w:cs="宋体"/>
          <w:b w:val="0"/>
          <w:bCs w:val="0"/>
          <w:color w:val="auto"/>
          <w:sz w:val="24"/>
          <w:szCs w:val="24"/>
          <w:highlight w:val="none"/>
          <w:lang w:val="en-US" w:eastAsia="zh-CN"/>
        </w:rPr>
        <w:t>采购</w:t>
      </w:r>
      <w:r>
        <w:rPr>
          <w:rFonts w:hint="eastAsia" w:ascii="宋体" w:hAnsi="宋体" w:eastAsia="宋体" w:cs="宋体"/>
          <w:b w:val="0"/>
          <w:bCs w:val="0"/>
          <w:color w:val="auto"/>
          <w:sz w:val="24"/>
          <w:szCs w:val="24"/>
          <w:highlight w:val="none"/>
          <w:lang w:val="en-US"/>
        </w:rPr>
        <w:t>过程中开展绿色设计、选择绿色材料、打造绿色制造工艺、开展绿色运输、做好废弃产品回收处理，实现产品全周期的绿色环保。鼓励采购单位对其提高预付款比例、免收履约保证金。</w:t>
      </w:r>
    </w:p>
    <w:p w14:paraId="6441932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3.3支持中小企业发展</w:t>
      </w:r>
    </w:p>
    <w:p w14:paraId="29FC9C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D3C887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w:t>
      </w:r>
      <w:r>
        <w:rPr>
          <w:rFonts w:hint="eastAsia" w:ascii="宋体" w:hAnsi="宋体" w:cs="宋体"/>
          <w:color w:val="auto"/>
          <w:sz w:val="24"/>
          <w:highlight w:val="none"/>
          <w:lang w:eastAsia="zh-CN"/>
        </w:rPr>
        <w:t>采购</w:t>
      </w:r>
      <w:r>
        <w:rPr>
          <w:rFonts w:hint="eastAsia" w:ascii="宋体" w:hAnsi="宋体" w:cs="宋体"/>
          <w:color w:val="auto"/>
          <w:sz w:val="24"/>
          <w:highlight w:val="none"/>
        </w:rPr>
        <w:t>活动中视同中小企业。</w:t>
      </w:r>
    </w:p>
    <w:p w14:paraId="1A6448F8">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w:t>
      </w:r>
      <w:r>
        <w:rPr>
          <w:rFonts w:hint="eastAsia" w:ascii="宋体" w:hAnsi="宋体" w:cs="宋体"/>
          <w:color w:val="auto"/>
          <w:kern w:val="0"/>
          <w:sz w:val="24"/>
          <w:highlight w:val="none"/>
          <w:lang w:eastAsia="zh-CN"/>
        </w:rPr>
        <w:t>采购</w:t>
      </w:r>
      <w:r>
        <w:rPr>
          <w:rFonts w:hint="eastAsia" w:ascii="宋体" w:hAnsi="宋体" w:cs="宋体"/>
          <w:color w:val="auto"/>
          <w:kern w:val="0"/>
          <w:sz w:val="24"/>
          <w:highlight w:val="none"/>
        </w:rPr>
        <w:t>活动中，供应商提供的工程符合下列情形的，享受中小企业扶持政策：</w:t>
      </w:r>
      <w:r>
        <w:rPr>
          <w:rFonts w:hint="eastAsia" w:ascii="宋体" w:hAnsi="宋体" w:cs="宋体"/>
          <w:color w:val="auto"/>
          <w:sz w:val="24"/>
          <w:highlight w:val="none"/>
        </w:rPr>
        <w:t>在工程采购项目中，工程由中小企业承建，即工程施工单位为中小企业</w:t>
      </w:r>
      <w:r>
        <w:rPr>
          <w:rFonts w:hint="eastAsia" w:ascii="宋体" w:hAnsi="宋体" w:cs="宋体"/>
          <w:color w:val="auto"/>
          <w:kern w:val="0"/>
          <w:sz w:val="24"/>
          <w:highlight w:val="none"/>
        </w:rPr>
        <w:t>。</w:t>
      </w:r>
    </w:p>
    <w:p w14:paraId="12559488">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w:t>
      </w:r>
      <w:r>
        <w:rPr>
          <w:rFonts w:hint="eastAsia" w:ascii="宋体" w:hAnsi="宋体" w:cs="宋体"/>
          <w:color w:val="auto"/>
          <w:kern w:val="0"/>
          <w:sz w:val="24"/>
          <w:highlight w:val="none"/>
          <w:lang w:eastAsia="zh-CN"/>
        </w:rPr>
        <w:t>采购</w:t>
      </w:r>
      <w:r>
        <w:rPr>
          <w:rFonts w:hint="eastAsia" w:ascii="宋体" w:hAnsi="宋体" w:cs="宋体"/>
          <w:color w:val="auto"/>
          <w:kern w:val="0"/>
          <w:sz w:val="24"/>
          <w:highlight w:val="none"/>
        </w:rPr>
        <w:t>活动，联合体各方均为中小企业的，联合体视同中小企业。其中，联合体各方均为小微企业的，联合体视同小微企业。</w:t>
      </w:r>
    </w:p>
    <w:p w14:paraId="465438D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w:t>
      </w:r>
      <w:r>
        <w:rPr>
          <w:rFonts w:hint="eastAsia" w:ascii="宋体" w:hAnsi="宋体" w:cs="宋体"/>
          <w:color w:val="auto"/>
          <w:sz w:val="24"/>
          <w:highlight w:val="none"/>
          <w:lang w:eastAsia="zh-CN"/>
        </w:rPr>
        <w:t>采购</w:t>
      </w:r>
      <w:r>
        <w:rPr>
          <w:rFonts w:hint="eastAsia" w:ascii="宋体" w:hAnsi="宋体" w:cs="宋体"/>
          <w:color w:val="auto"/>
          <w:sz w:val="24"/>
          <w:highlight w:val="none"/>
        </w:rPr>
        <w:t>工程项目，以及预留份额</w:t>
      </w:r>
      <w:r>
        <w:rPr>
          <w:rFonts w:hint="eastAsia" w:ascii="宋体" w:hAnsi="宋体" w:cs="宋体"/>
          <w:color w:val="auto"/>
          <w:sz w:val="24"/>
          <w:highlight w:val="none"/>
          <w:lang w:eastAsia="zh-CN"/>
        </w:rPr>
        <w:t>采购</w:t>
      </w:r>
      <w:r>
        <w:rPr>
          <w:rFonts w:hint="eastAsia" w:ascii="宋体" w:hAnsi="宋体" w:cs="宋体"/>
          <w:color w:val="auto"/>
          <w:sz w:val="24"/>
          <w:highlight w:val="none"/>
        </w:rPr>
        <w:t>工程项目中的非预留部分标项，对小型和微型企业的最后报价给予5%的扣除，用扣除后的价格参与评审。接受大中型企业与小微企业组成联合体或者允许大中型企业向一家或者多家小微企业分包的</w:t>
      </w:r>
      <w:r>
        <w:rPr>
          <w:rFonts w:hint="eastAsia" w:ascii="宋体" w:hAnsi="宋体" w:cs="宋体"/>
          <w:color w:val="auto"/>
          <w:sz w:val="24"/>
          <w:highlight w:val="none"/>
          <w:lang w:eastAsia="zh-CN"/>
        </w:rPr>
        <w:t>采购</w:t>
      </w:r>
      <w:r>
        <w:rPr>
          <w:rFonts w:hint="eastAsia" w:ascii="宋体" w:hAnsi="宋体" w:cs="宋体"/>
          <w:color w:val="auto"/>
          <w:sz w:val="24"/>
          <w:highlight w:val="none"/>
        </w:rPr>
        <w:t>工程项目，对于</w:t>
      </w:r>
      <w:bookmarkStart w:id="13" w:name="_Hlk101132181"/>
      <w:r>
        <w:rPr>
          <w:rFonts w:hint="eastAsia" w:ascii="宋体" w:hAnsi="宋体" w:cs="宋体"/>
          <w:color w:val="auto"/>
          <w:sz w:val="24"/>
          <w:highlight w:val="none"/>
        </w:rPr>
        <w:t>联合协议或者分包意向协议约定小微企业的合同份额占到合同总金额30%以上的</w:t>
      </w:r>
      <w:bookmarkEnd w:id="13"/>
      <w:r>
        <w:rPr>
          <w:rFonts w:hint="eastAsia" w:ascii="宋体" w:hAnsi="宋体" w:cs="宋体"/>
          <w:color w:val="auto"/>
          <w:sz w:val="24"/>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14:paraId="4A5035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58752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F660DE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07BFA47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w:t>
      </w:r>
      <w:r>
        <w:rPr>
          <w:rFonts w:hint="eastAsia" w:ascii="宋体" w:hAnsi="宋体" w:cs="宋体"/>
          <w:color w:val="auto"/>
          <w:sz w:val="24"/>
          <w:highlight w:val="none"/>
          <w:lang w:eastAsia="zh-CN"/>
        </w:rPr>
        <w:t>采购</w:t>
      </w:r>
      <w:r>
        <w:rPr>
          <w:rFonts w:hint="eastAsia" w:ascii="宋体" w:hAnsi="宋体" w:cs="宋体"/>
          <w:color w:val="auto"/>
          <w:sz w:val="24"/>
          <w:highlight w:val="none"/>
        </w:rPr>
        <w:t>合同的，小微企业不得将合同分包给大中型企业，中型企业不得将合同分包给大型企业。</w:t>
      </w:r>
    </w:p>
    <w:p w14:paraId="33E08A7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76B0CA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0F81432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w:t>
      </w:r>
      <w:r>
        <w:rPr>
          <w:rFonts w:hint="eastAsia" w:ascii="宋体" w:hAnsi="宋体" w:cs="宋体"/>
          <w:color w:val="auto"/>
          <w:sz w:val="24"/>
          <w:highlight w:val="none"/>
          <w:lang w:eastAsia="zh-CN"/>
        </w:rPr>
        <w:t>采购</w:t>
      </w:r>
      <w:r>
        <w:rPr>
          <w:rFonts w:hint="eastAsia" w:ascii="宋体" w:hAnsi="宋体" w:cs="宋体"/>
          <w:color w:val="auto"/>
          <w:sz w:val="24"/>
          <w:highlight w:val="none"/>
        </w:rPr>
        <w:t>活动时业绩分值为满分。</w:t>
      </w:r>
    </w:p>
    <w:p w14:paraId="5BA7BF0B">
      <w:pPr>
        <w:pStyle w:val="2"/>
        <w:adjustRightInd w:val="0"/>
        <w:snapToGrid w:val="0"/>
        <w:ind w:left="0" w:firstLine="480" w:firstLineChars="200"/>
        <w:rPr>
          <w:rFonts w:hint="eastAsia" w:ascii="宋体" w:hAnsi="宋体" w:eastAsia="宋体" w:cs="仿宋"/>
          <w:b w:val="0"/>
          <w:bCs w:val="0"/>
          <w:color w:val="auto"/>
          <w:sz w:val="24"/>
          <w:szCs w:val="24"/>
          <w:lang w:val="en-US"/>
        </w:rPr>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5A2D566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50EE7C5B">
      <w:pPr>
        <w:snapToGrid w:val="0"/>
        <w:spacing w:line="360" w:lineRule="auto"/>
        <w:ind w:firstLine="480" w:firstLineChars="200"/>
        <w:rPr>
          <w:rFonts w:ascii="宋体" w:hAnsi="宋体" w:cs="宋体"/>
          <w:b/>
          <w:color w:val="0000FF"/>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0C870F74">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4.1在线询问、质疑、投诉</w:t>
      </w:r>
    </w:p>
    <w:p w14:paraId="74A9E994">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鼓励供应商在线提起询问，路径为：</w:t>
      </w:r>
      <w:r>
        <w:rPr>
          <w:rFonts w:hint="eastAsia"/>
          <w:color w:val="auto"/>
          <w:highlight w:val="none"/>
          <w:lang w:eastAsia="zh-CN"/>
        </w:rPr>
        <w:t>乐采云</w:t>
      </w:r>
      <w:r>
        <w:rPr>
          <w:rFonts w:hint="eastAsia"/>
          <w:color w:val="auto"/>
          <w:highlight w:val="none"/>
        </w:rPr>
        <w:t>-项目采购-询问质疑投诉-询问列表；鼓励供应商在线提起质疑，路径为：</w:t>
      </w:r>
      <w:r>
        <w:rPr>
          <w:rFonts w:hint="eastAsia"/>
          <w:color w:val="auto"/>
          <w:highlight w:val="none"/>
          <w:lang w:eastAsia="zh-CN"/>
        </w:rPr>
        <w:t>乐采云</w:t>
      </w:r>
      <w:r>
        <w:rPr>
          <w:rFonts w:hint="eastAsia"/>
          <w:color w:val="auto"/>
          <w:highlight w:val="none"/>
        </w:rPr>
        <w:t>-项目采购-询问质疑投诉-质疑列表。质疑供应商对在线质疑答复不满意的，可</w:t>
      </w:r>
      <w:r>
        <w:rPr>
          <w:rFonts w:hint="eastAsia"/>
          <w:color w:val="auto"/>
          <w:highlight w:val="none"/>
          <w:lang w:val="en-US" w:eastAsia="zh-CN"/>
        </w:rPr>
        <w:t>向</w:t>
      </w:r>
      <w:r>
        <w:rPr>
          <w:rFonts w:hint="eastAsia" w:ascii="宋体" w:hAnsi="宋体" w:cs="宋体"/>
          <w:color w:val="auto"/>
          <w:sz w:val="24"/>
          <w:highlight w:val="none"/>
        </w:rPr>
        <w:t>同级采购监督管理部门</w:t>
      </w:r>
      <w:r>
        <w:rPr>
          <w:rFonts w:hint="eastAsia"/>
          <w:color w:val="auto"/>
          <w:highlight w:val="none"/>
        </w:rPr>
        <w:t>提起投诉。</w:t>
      </w:r>
    </w:p>
    <w:p w14:paraId="0F449D51">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3F74532">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DBCBE5B">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36C4466E">
      <w:pPr>
        <w:pStyle w:val="32"/>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.1提出质疑的供应商应当是参与所质疑项目采购活动的供应商。潜在供应商已依法获取其可质疑的采购文件的，可以对该文件提出质疑。</w:t>
      </w:r>
    </w:p>
    <w:p w14:paraId="181B94C9">
      <w:pPr>
        <w:pStyle w:val="32"/>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3742900D">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4.3.2.1对采购文件提出质疑的，质疑期限为供应商获得采购文件之日或者采购文件公告期限届满之日起计算。</w:t>
      </w:r>
    </w:p>
    <w:p w14:paraId="0E34B9DB">
      <w:pPr>
        <w:pStyle w:val="32"/>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w:t>
      </w:r>
    </w:p>
    <w:p w14:paraId="104C056C">
      <w:pPr>
        <w:pStyle w:val="32"/>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4.3.2.3对采购结果提出质疑的，质疑期限自采购结果公告期限届满之日起计算。</w:t>
      </w:r>
    </w:p>
    <w:p w14:paraId="68ABA266">
      <w:pPr>
        <w:pStyle w:val="32"/>
        <w:snapToGrid w:val="0"/>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56E714F7">
      <w:pPr>
        <w:pStyle w:val="32"/>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14:paraId="52AB4952">
      <w:pPr>
        <w:pStyle w:val="32"/>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14:paraId="0EBB030C">
      <w:pPr>
        <w:pStyle w:val="32"/>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14:paraId="63E98FB5">
      <w:pPr>
        <w:pStyle w:val="32"/>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4.3.3.4事实依据；</w:t>
      </w:r>
    </w:p>
    <w:p w14:paraId="7055B62E">
      <w:pPr>
        <w:pStyle w:val="32"/>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14:paraId="79224D4C">
      <w:pPr>
        <w:pStyle w:val="32"/>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05BB9323">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721621EF">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质疑函范本及制作说明详见附件2。</w:t>
      </w:r>
    </w:p>
    <w:p w14:paraId="6A7E3CB8">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4.3.4对同一采购程序环节的质疑，供应商须在法定质疑期内一次性提出。</w:t>
      </w:r>
    </w:p>
    <w:p w14:paraId="3636335E">
      <w:pPr>
        <w:pStyle w:val="890"/>
        <w:shd w:val="clear" w:color="auto" w:fill="FFFFFF"/>
        <w:adjustRightInd w:val="0"/>
        <w:snapToGrid w:val="0"/>
        <w:spacing w:before="0" w:beforeAutospacing="0" w:after="0" w:afterAutospacing="0" w:line="360" w:lineRule="auto"/>
        <w:ind w:firstLine="480" w:firstLineChars="200"/>
        <w:contextualSpacing/>
        <w:rPr>
          <w:strike/>
          <w:color w:val="0000FF"/>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w:t>
      </w:r>
      <w:r>
        <w:rPr>
          <w:rFonts w:hint="eastAsia"/>
          <w:color w:val="auto"/>
          <w:highlight w:val="none"/>
          <w:lang w:eastAsia="zh-CN"/>
        </w:rPr>
        <w:t>采购</w:t>
      </w:r>
      <w:r>
        <w:rPr>
          <w:rFonts w:hint="eastAsia"/>
          <w:color w:val="auto"/>
          <w:highlight w:val="none"/>
        </w:rPr>
        <w:t>当事人，但答复的内容不得涉及商业秘密。</w:t>
      </w:r>
    </w:p>
    <w:p w14:paraId="7464C282">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0FABF2EB">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1895BAC5">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w:t>
      </w:r>
      <w:r>
        <w:rPr>
          <w:rFonts w:hint="eastAsia"/>
          <w:color w:val="auto"/>
          <w:highlight w:val="none"/>
          <w:lang w:eastAsia="zh-CN"/>
        </w:rPr>
        <w:t>采购</w:t>
      </w:r>
      <w:r>
        <w:rPr>
          <w:rFonts w:hint="eastAsia"/>
          <w:color w:val="auto"/>
          <w:highlight w:val="none"/>
        </w:rPr>
        <w:t>监督管理部门提出投诉。</w:t>
      </w:r>
    </w:p>
    <w:p w14:paraId="4702BFAE">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1265F4E3">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4.4.3供应商投诉应当有明确的请求和必要的证明材料。</w:t>
      </w:r>
    </w:p>
    <w:p w14:paraId="283C3309">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4.4.4以联合体形式参加</w:t>
      </w:r>
      <w:r>
        <w:rPr>
          <w:rFonts w:hint="eastAsia"/>
          <w:color w:val="auto"/>
          <w:highlight w:val="none"/>
          <w:lang w:eastAsia="zh-CN"/>
        </w:rPr>
        <w:t>采购</w:t>
      </w:r>
      <w:r>
        <w:rPr>
          <w:rFonts w:hint="eastAsia"/>
          <w:color w:val="auto"/>
          <w:highlight w:val="none"/>
        </w:rPr>
        <w:t>活动的，其投诉应当由组成联合体的所有供应商共同提出。</w:t>
      </w:r>
    </w:p>
    <w:p w14:paraId="4B40F48C">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投诉书范本及制作说明详见附件3。</w:t>
      </w:r>
    </w:p>
    <w:p w14:paraId="1913FD4A">
      <w:pPr>
        <w:snapToGrid w:val="0"/>
        <w:spacing w:before="157" w:beforeLines="50"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二、采购文件的构成、澄清、修改</w:t>
      </w:r>
    </w:p>
    <w:p w14:paraId="73F8398A">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5．采购文件的构成</w:t>
      </w:r>
    </w:p>
    <w:p w14:paraId="779E204C">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采购文件包括下列文件及附件：</w:t>
      </w:r>
    </w:p>
    <w:p w14:paraId="68B1002A">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5.1.1竞争性磋商公告；</w:t>
      </w:r>
    </w:p>
    <w:p w14:paraId="6379B9D5">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5.1.2供应商须知；</w:t>
      </w:r>
    </w:p>
    <w:p w14:paraId="585D2F0A">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D6E6B8D">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5.1.4评审办法；</w:t>
      </w:r>
    </w:p>
    <w:p w14:paraId="23AE7932">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73065320">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67F018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澄清或者修改的内容为采购文件的组成部分</w:t>
      </w:r>
      <w:r>
        <w:rPr>
          <w:rFonts w:hint="eastAsia" w:ascii="宋体" w:hAnsi="宋体" w:cs="宋体"/>
          <w:color w:val="auto"/>
          <w:sz w:val="24"/>
          <w:highlight w:val="none"/>
        </w:rPr>
        <w:t>。</w:t>
      </w:r>
    </w:p>
    <w:p w14:paraId="5224F330">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采购文件的澄清、修改</w:t>
      </w:r>
    </w:p>
    <w:p w14:paraId="174C55F9">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6.1已获取采购文件的潜在供应商，若有问题需要澄清，应于响应文件提交（上传）截止时间前，以书面形式向采购代理机构提出。</w:t>
      </w:r>
    </w:p>
    <w:p w14:paraId="7D5FA211">
      <w:pPr>
        <w:pStyle w:val="132"/>
        <w:snapToGrid w:val="0"/>
        <w:spacing w:before="0"/>
        <w:ind w:firstLine="480"/>
        <w:rPr>
          <w:rFonts w:hint="eastAsia" w:ascii="宋体" w:hAnsi="宋体" w:cs="宋体"/>
          <w:b/>
          <w:color w:val="auto"/>
          <w:sz w:val="32"/>
          <w:szCs w:val="20"/>
          <w:highlight w:val="none"/>
        </w:rPr>
      </w:pPr>
      <w:r>
        <w:rPr>
          <w:rFonts w:hint="eastAsia" w:ascii="宋体" w:hAnsi="宋体" w:cs="宋体"/>
          <w:color w:val="auto"/>
          <w:highlight w:val="none"/>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1C273666">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三、提交响应文件</w:t>
      </w:r>
    </w:p>
    <w:p w14:paraId="15007860">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采购文件的获取</w:t>
      </w:r>
    </w:p>
    <w:p w14:paraId="606CB1A6">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详见竞争性磋商公告中获取采购文件的时间期限、地点、方式及采购文件售价。</w:t>
      </w:r>
    </w:p>
    <w:p w14:paraId="11FABF52">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8.磋商前答疑会或现场考察</w:t>
      </w:r>
    </w:p>
    <w:p w14:paraId="1B8E6AAB">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采购人组织潜在供应商现场考察或者召开磋商前答疑会的，潜在供应商按第二部分供应商须知前附表的规定参加现场考察或者磋商前答疑会。</w:t>
      </w:r>
    </w:p>
    <w:p w14:paraId="6B0ED8BD">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9.磋商保证金</w:t>
      </w:r>
    </w:p>
    <w:p w14:paraId="739A5965">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本项目不需缴纳磋商保证金。</w:t>
      </w:r>
    </w:p>
    <w:p w14:paraId="79A4B4FD">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响应文件的语言</w:t>
      </w:r>
    </w:p>
    <w:p w14:paraId="408050E0">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响应文件及供应商与采购有关的来往通知、函件和文件均应使用中文。</w:t>
      </w:r>
    </w:p>
    <w:p w14:paraId="3CBC45B8">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响应文件的组成</w:t>
      </w:r>
    </w:p>
    <w:p w14:paraId="13B0BB38">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11.1资格文件</w:t>
      </w:r>
    </w:p>
    <w:p w14:paraId="6B1FB02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w:t>
      </w:r>
      <w:r>
        <w:rPr>
          <w:rFonts w:hint="eastAsia" w:ascii="宋体" w:hAnsi="宋体" w:cs="宋体"/>
          <w:color w:val="auto"/>
          <w:sz w:val="24"/>
          <w:highlight w:val="none"/>
          <w:lang w:eastAsia="zh-CN"/>
        </w:rPr>
        <w:t>采购</w:t>
      </w:r>
      <w:r>
        <w:rPr>
          <w:rFonts w:hint="eastAsia" w:ascii="宋体" w:hAnsi="宋体" w:cs="宋体"/>
          <w:color w:val="auto"/>
          <w:sz w:val="24"/>
          <w:highlight w:val="none"/>
        </w:rPr>
        <w:t>活动应当具备的一般条件的承诺函；</w:t>
      </w:r>
    </w:p>
    <w:p w14:paraId="5CF8DD6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11.1.2</w:t>
      </w:r>
      <w:bookmarkStart w:id="14" w:name="_Hlk101259339"/>
      <w:r>
        <w:rPr>
          <w:rFonts w:hint="eastAsia" w:ascii="宋体" w:hAnsi="宋体" w:cs="宋体"/>
          <w:snapToGrid w:val="0"/>
          <w:color w:val="auto"/>
          <w:kern w:val="28"/>
          <w:sz w:val="24"/>
          <w:szCs w:val="20"/>
          <w:highlight w:val="none"/>
        </w:rPr>
        <w:t>联合协议</w:t>
      </w:r>
      <w:bookmarkStart w:id="15" w:name="_Hlk101257010"/>
      <w:r>
        <w:rPr>
          <w:rFonts w:hint="eastAsia" w:ascii="宋体" w:hAnsi="宋体" w:cs="宋体"/>
          <w:snapToGrid w:val="0"/>
          <w:color w:val="auto"/>
          <w:kern w:val="28"/>
          <w:sz w:val="24"/>
          <w:szCs w:val="20"/>
          <w:highlight w:val="none"/>
        </w:rPr>
        <w:t>（如果有)</w:t>
      </w:r>
      <w:bookmarkEnd w:id="14"/>
      <w:bookmarkEnd w:id="15"/>
      <w:r>
        <w:rPr>
          <w:rFonts w:hint="eastAsia" w:ascii="宋体" w:hAnsi="宋体" w:cs="宋体"/>
          <w:snapToGrid w:val="0"/>
          <w:color w:val="auto"/>
          <w:kern w:val="28"/>
          <w:sz w:val="24"/>
          <w:szCs w:val="20"/>
          <w:highlight w:val="none"/>
        </w:rPr>
        <w:t>；</w:t>
      </w:r>
    </w:p>
    <w:p w14:paraId="124CE08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11.1.3落实</w:t>
      </w:r>
      <w:r>
        <w:rPr>
          <w:rFonts w:hint="eastAsia" w:ascii="宋体" w:hAnsi="宋体" w:cs="宋体"/>
          <w:color w:val="auto"/>
          <w:sz w:val="24"/>
          <w:highlight w:val="none"/>
          <w:lang w:eastAsia="zh-CN"/>
        </w:rPr>
        <w:t>采购</w:t>
      </w:r>
      <w:r>
        <w:rPr>
          <w:rFonts w:hint="eastAsia" w:ascii="宋体" w:hAnsi="宋体" w:cs="宋体"/>
          <w:color w:val="auto"/>
          <w:sz w:val="24"/>
          <w:highlight w:val="none"/>
        </w:rPr>
        <w:t>政策需满足的资格要求；</w:t>
      </w:r>
    </w:p>
    <w:p w14:paraId="394429C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11.1.4本项目的特定资格要求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8C76AA6">
      <w:pPr>
        <w:snapToGrid w:val="0"/>
        <w:spacing w:line="360" w:lineRule="auto"/>
        <w:ind w:firstLine="482" w:firstLineChars="200"/>
        <w:rPr>
          <w:rFonts w:ascii="宋体" w:hAnsi="宋体" w:cs="宋体"/>
          <w:b/>
          <w:bCs/>
          <w:color w:val="auto"/>
          <w:sz w:val="24"/>
          <w:highlight w:val="none"/>
          <w:lang w:val="zh-CN"/>
        </w:rPr>
      </w:pPr>
      <w:r>
        <w:rPr>
          <w:rFonts w:hint="eastAsia" w:ascii="宋体" w:hAnsi="宋体" w:cs="宋体"/>
          <w:b/>
          <w:bCs/>
          <w:color w:val="auto"/>
          <w:sz w:val="24"/>
          <w:highlight w:val="none"/>
          <w:lang w:val="zh-CN"/>
        </w:rPr>
        <w:t>11.</w:t>
      </w:r>
      <w:r>
        <w:rPr>
          <w:rFonts w:hint="eastAsia" w:ascii="宋体" w:hAnsi="宋体" w:cs="宋体"/>
          <w:b/>
          <w:bCs/>
          <w:color w:val="auto"/>
          <w:sz w:val="24"/>
          <w:highlight w:val="none"/>
        </w:rPr>
        <w:t>2商务技术</w:t>
      </w:r>
      <w:r>
        <w:rPr>
          <w:rFonts w:hint="eastAsia" w:ascii="宋体" w:hAnsi="宋体" w:cs="宋体"/>
          <w:b/>
          <w:bCs/>
          <w:color w:val="auto"/>
          <w:sz w:val="24"/>
          <w:highlight w:val="none"/>
          <w:lang w:val="zh-CN"/>
        </w:rPr>
        <w:t>文件</w:t>
      </w:r>
    </w:p>
    <w:p w14:paraId="272954F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11.2.1响应函；</w:t>
      </w:r>
      <w:r>
        <w:rPr>
          <w:rFonts w:hint="eastAsia" w:ascii="宋体" w:hAnsi="宋体" w:cs="宋体"/>
          <w:color w:val="auto"/>
          <w:sz w:val="24"/>
          <w:highlight w:val="none"/>
          <w:lang w:val="zh-CN"/>
        </w:rPr>
        <w:t xml:space="preserve"> </w:t>
      </w:r>
    </w:p>
    <w:p w14:paraId="1F9D3F7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7D7E79D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11.2.3分包意向协议（如果有)；</w:t>
      </w:r>
    </w:p>
    <w:p w14:paraId="2CD1074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11.2.4符合性审查资料；</w:t>
      </w:r>
    </w:p>
    <w:p w14:paraId="5FD250C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11.2.5评审标准相应的商务技术资料；</w:t>
      </w:r>
    </w:p>
    <w:p w14:paraId="002E506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11.2.6商务技术偏离表；</w:t>
      </w:r>
    </w:p>
    <w:p w14:paraId="0B6977C5">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采购供应商廉洁自律承诺书；</w:t>
      </w:r>
    </w:p>
    <w:p w14:paraId="006BC941">
      <w:pPr>
        <w:snapToGrid w:val="0"/>
        <w:spacing w:line="360" w:lineRule="auto"/>
        <w:ind w:firstLine="482" w:firstLineChars="200"/>
        <w:rPr>
          <w:rFonts w:ascii="宋体" w:hAnsi="宋体" w:cs="宋体"/>
          <w:b/>
          <w:bCs/>
          <w:color w:val="auto"/>
          <w:sz w:val="24"/>
          <w:highlight w:val="none"/>
          <w:u w:val="single"/>
          <w:lang w:val="zh-CN"/>
        </w:rPr>
      </w:pPr>
      <w:r>
        <w:rPr>
          <w:rFonts w:hint="eastAsia" w:ascii="宋体" w:hAnsi="宋体" w:cs="宋体"/>
          <w:b/>
          <w:bCs/>
          <w:color w:val="auto"/>
          <w:kern w:val="0"/>
          <w:sz w:val="24"/>
          <w:highlight w:val="none"/>
          <w:lang w:val="zh-CN"/>
        </w:rPr>
        <w:t>11.</w:t>
      </w:r>
      <w:r>
        <w:rPr>
          <w:rFonts w:hint="eastAsia" w:ascii="宋体" w:hAnsi="宋体" w:cs="宋体"/>
          <w:b/>
          <w:bCs/>
          <w:color w:val="auto"/>
          <w:kern w:val="0"/>
          <w:sz w:val="24"/>
          <w:highlight w:val="none"/>
        </w:rPr>
        <w:t>3</w:t>
      </w:r>
      <w:r>
        <w:rPr>
          <w:rFonts w:hint="eastAsia" w:ascii="宋体" w:hAnsi="宋体" w:cs="宋体"/>
          <w:b/>
          <w:bCs/>
          <w:color w:val="auto"/>
          <w:sz w:val="24"/>
          <w:highlight w:val="none"/>
        </w:rPr>
        <w:t>报价文件</w:t>
      </w:r>
    </w:p>
    <w:p w14:paraId="3A91F70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11.3.1报价单；</w:t>
      </w:r>
    </w:p>
    <w:p w14:paraId="109926E0">
      <w:pPr>
        <w:snapToGrid w:val="0"/>
        <w:spacing w:line="360" w:lineRule="auto"/>
        <w:ind w:firstLine="960" w:firstLineChars="4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p>
    <w:p w14:paraId="392BB69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已标价工程量清单；</w:t>
      </w:r>
    </w:p>
    <w:p w14:paraId="56D21BAE">
      <w:pPr>
        <w:snapToGrid w:val="0"/>
        <w:spacing w:line="360" w:lineRule="auto"/>
        <w:ind w:firstLine="960" w:firstLineChars="400"/>
        <w:rPr>
          <w:rFonts w:hint="eastAsia" w:ascii="宋体" w:hAnsi="宋体" w:cs="宋体"/>
          <w:b/>
          <w:color w:val="auto"/>
          <w:sz w:val="24"/>
          <w:highlight w:val="none"/>
        </w:rPr>
      </w:pPr>
      <w:r>
        <w:rPr>
          <w:rFonts w:hint="eastAsia" w:ascii="宋体" w:hAnsi="宋体" w:cs="宋体"/>
          <w:color w:val="auto"/>
          <w:sz w:val="24"/>
        </w:rPr>
        <w:t>11.3.</w:t>
      </w:r>
      <w:r>
        <w:rPr>
          <w:rFonts w:hint="eastAsia" w:ascii="宋体" w:hAnsi="宋体" w:cs="宋体"/>
          <w:color w:val="auto"/>
          <w:sz w:val="24"/>
          <w:lang w:val="en-US" w:eastAsia="zh-CN"/>
        </w:rPr>
        <w:t>4</w:t>
      </w:r>
      <w:r>
        <w:rPr>
          <w:rFonts w:hint="eastAsia" w:ascii="宋体" w:hAnsi="宋体" w:cs="宋体"/>
          <w:color w:val="auto"/>
          <w:sz w:val="24"/>
        </w:rPr>
        <w:t>中小企业声明函（如果有）。</w:t>
      </w:r>
    </w:p>
    <w:p w14:paraId="31F4B2A8">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响应文件含有采购人不能接受的附加条件的，响应文件无效；</w:t>
      </w:r>
    </w:p>
    <w:p w14:paraId="628CF021">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供应商提供虚假材料的，响应文件无效。</w:t>
      </w:r>
    </w:p>
    <w:p w14:paraId="041A2802">
      <w:pPr>
        <w:spacing w:line="360" w:lineRule="auto"/>
        <w:ind w:firstLine="723" w:firstLineChars="300"/>
        <w:rPr>
          <w:rFonts w:ascii="宋体" w:hAnsi="宋体" w:cs="宋体"/>
          <w:b/>
          <w:color w:val="auto"/>
          <w:sz w:val="24"/>
          <w:szCs w:val="21"/>
        </w:rPr>
      </w:pPr>
      <w:r>
        <w:rPr>
          <w:rFonts w:hint="eastAsia" w:ascii="宋体" w:hAnsi="宋体" w:cs="宋体"/>
          <w:b/>
          <w:color w:val="auto"/>
          <w:sz w:val="24"/>
        </w:rPr>
        <w:t>投标人应对投标文件中材料的真实性、合法性负责。</w:t>
      </w:r>
    </w:p>
    <w:p w14:paraId="488E6138">
      <w:pPr>
        <w:pStyle w:val="132"/>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响应文件的编制</w:t>
      </w:r>
    </w:p>
    <w:p w14:paraId="00023E44">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012C4A3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12.2供应商进行电子投标应安装客户端软件—“乐采云电子交易客户端”，并按照采购文件和电子交易平台的要求编制并加密响应文件。供应商未按规定加密的响应文件，电子交易平台将拒收并提示。</w:t>
      </w:r>
    </w:p>
    <w:p w14:paraId="41A44F5D">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12.3使用“乐采云电子交易客户端”需要提前申领CA数字证书，申领流程请自行前往“浙江政府采购网-下载专区-电子交易客户端-CA驱动和申领流程”进行查阅。</w:t>
      </w:r>
    </w:p>
    <w:p w14:paraId="2DE328DD">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13.响应文件的签署、盖章</w:t>
      </w:r>
    </w:p>
    <w:p w14:paraId="0594C2FB">
      <w:pPr>
        <w:pStyle w:val="132"/>
        <w:snapToGrid w:val="0"/>
        <w:spacing w:before="0"/>
        <w:ind w:firstLine="480"/>
        <w:rPr>
          <w:rFonts w:ascii="宋体" w:hAnsi="宋体" w:cs="宋体"/>
          <w:b/>
          <w:color w:val="auto"/>
          <w:highlight w:val="none"/>
        </w:rPr>
      </w:pPr>
      <w:r>
        <w:rPr>
          <w:rFonts w:hint="eastAsia" w:ascii="宋体" w:hAnsi="宋体" w:cs="宋体"/>
          <w:color w:val="auto"/>
          <w:szCs w:val="24"/>
          <w:highlight w:val="none"/>
        </w:rPr>
        <w:t>13.1响应文件按照采购文件第六部分格式要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▲供应商的响应文件未按照采购文件要求签署、盖章的，其响应文件无效</w:t>
      </w:r>
      <w:r>
        <w:rPr>
          <w:rFonts w:hint="eastAsia" w:ascii="宋体" w:hAnsi="宋体" w:cs="宋体"/>
          <w:color w:val="auto"/>
          <w:szCs w:val="24"/>
          <w:highlight w:val="none"/>
        </w:rPr>
        <w:t>。</w:t>
      </w:r>
    </w:p>
    <w:p w14:paraId="3C7D9BBB">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23A2FA93">
      <w:pPr>
        <w:pStyle w:val="132"/>
        <w:snapToGrid w:val="0"/>
        <w:spacing w:before="0"/>
        <w:ind w:firstLine="480"/>
        <w:rPr>
          <w:rFonts w:ascii="宋体" w:hAnsi="宋体" w:cs="宋体"/>
          <w:color w:val="auto"/>
          <w:szCs w:val="24"/>
          <w:highlight w:val="none"/>
        </w:rPr>
      </w:pPr>
      <w:r>
        <w:rPr>
          <w:rFonts w:hint="eastAsia" w:ascii="宋体" w:hAnsi="宋体" w:cs="宋体"/>
          <w:color w:val="auto"/>
          <w:highlight w:val="none"/>
        </w:rPr>
        <w:t>13.3采购文件对响应文件签署、盖章的要求适用于电子签名。</w:t>
      </w:r>
    </w:p>
    <w:p w14:paraId="38996A5B">
      <w:pPr>
        <w:pStyle w:val="132"/>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响应文件的提交、补充、修改、撤回</w:t>
      </w:r>
    </w:p>
    <w:p w14:paraId="07581636">
      <w:pPr>
        <w:pStyle w:val="132"/>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1A34A317">
      <w:pPr>
        <w:pStyle w:val="132"/>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6C803276">
      <w:pPr>
        <w:pStyle w:val="132"/>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4D987412">
      <w:pPr>
        <w:pStyle w:val="32"/>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15.备份响应文件</w:t>
      </w:r>
    </w:p>
    <w:p w14:paraId="1D8FC212">
      <w:pPr>
        <w:pStyle w:val="32"/>
        <w:snapToGrid w:val="0"/>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hAnsi="宋体" w:cs="宋体"/>
          <w:b/>
          <w:color w:val="auto"/>
          <w:sz w:val="24"/>
          <w:szCs w:val="24"/>
          <w:highlight w:val="none"/>
        </w:rPr>
        <w:t>但采购人、采购代理机构不强制或变相强制供应商提交备份响应文件。</w:t>
      </w:r>
    </w:p>
    <w:p w14:paraId="04F89F7C">
      <w:pPr>
        <w:pStyle w:val="32"/>
        <w:snapToGrid w:val="0"/>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15.2备份响应文件须在“</w:t>
      </w:r>
      <w:r>
        <w:rPr>
          <w:rFonts w:hint="eastAsia" w:hAnsi="宋体" w:cs="宋体"/>
          <w:color w:val="auto"/>
          <w:sz w:val="24"/>
          <w:szCs w:val="24"/>
          <w:highlight w:val="none"/>
          <w:lang w:eastAsia="zh-CN"/>
        </w:rPr>
        <w:t>乐采云</w:t>
      </w:r>
      <w:r>
        <w:rPr>
          <w:rFonts w:hint="eastAsia" w:hAnsi="宋体" w:cs="宋体"/>
          <w:color w:val="auto"/>
          <w:sz w:val="24"/>
          <w:szCs w:val="24"/>
          <w:highlight w:val="none"/>
        </w:rPr>
        <w:t>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存储、密封规定的备份响应文件将被视为无效或者被拒绝接收。</w:t>
      </w:r>
    </w:p>
    <w:p w14:paraId="515E58EA">
      <w:pPr>
        <w:pStyle w:val="32"/>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响应文件的，供应商应于响应文件提交（上传）截止时间前在竞争性磋商公告中载明的响应文件开启地点将备份响应文件提交给采购代理机构，采购代理机构将拒绝接受逾期送达的备份响应文件。</w:t>
      </w:r>
    </w:p>
    <w:p w14:paraId="1D1FFF35">
      <w:pPr>
        <w:pStyle w:val="32"/>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auto"/>
          <w:sz w:val="24"/>
          <w:szCs w:val="24"/>
          <w:highlight w:val="none"/>
        </w:rPr>
        <w:t>采购文件第二部分供应商须知前附表规定的备份响应文件送达地点；</w:t>
      </w:r>
      <w:r>
        <w:rPr>
          <w:rFonts w:hint="eastAsia" w:hAnsi="宋体" w:cs="宋体"/>
          <w:color w:val="auto"/>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14:paraId="2226920D">
      <w:pPr>
        <w:pStyle w:val="32"/>
        <w:snapToGrid w:val="0"/>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15.5供应商仅提交备份响应文件，未在电子交易平台传输递交响应文件的，响应文件无效。</w:t>
      </w:r>
    </w:p>
    <w:p w14:paraId="0D958910">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16.响应文件的无效处理</w:t>
      </w:r>
    </w:p>
    <w:p w14:paraId="3442F502">
      <w:pPr>
        <w:pStyle w:val="24"/>
        <w:spacing w:line="360" w:lineRule="auto"/>
        <w:ind w:firstLine="360" w:firstLineChars="150"/>
        <w:rPr>
          <w:rFonts w:cs="宋体"/>
          <w:color w:val="auto"/>
          <w:szCs w:val="21"/>
          <w:highlight w:val="none"/>
        </w:rPr>
      </w:pPr>
      <w:r>
        <w:rPr>
          <w:rFonts w:hint="eastAsia" w:cs="宋体"/>
          <w:color w:val="auto"/>
          <w:szCs w:val="21"/>
          <w:highlight w:val="none"/>
        </w:rPr>
        <w:t>有采购文件第四部分</w:t>
      </w:r>
      <w:r>
        <w:rPr>
          <w:rFonts w:hint="eastAsia" w:cs="宋体"/>
          <w:color w:val="auto"/>
          <w:highlight w:val="none"/>
        </w:rPr>
        <w:t>4.2规定</w:t>
      </w:r>
      <w:r>
        <w:rPr>
          <w:rFonts w:hint="eastAsia" w:cs="宋体"/>
          <w:color w:val="auto"/>
          <w:szCs w:val="21"/>
          <w:highlight w:val="none"/>
        </w:rPr>
        <w:t>的情形之一的，响应文件无效：</w:t>
      </w:r>
    </w:p>
    <w:p w14:paraId="4A6CF0CC">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17.响应文件有效期</w:t>
      </w:r>
    </w:p>
    <w:p w14:paraId="2E652A78">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17.1响应文件有效期为从提交响应文件的截止之日起90天。▲</w:t>
      </w:r>
      <w:r>
        <w:rPr>
          <w:rFonts w:hint="eastAsia" w:ascii="宋体" w:hAnsi="宋体" w:cs="宋体"/>
          <w:b/>
          <w:color w:val="auto"/>
          <w:sz w:val="24"/>
          <w:szCs w:val="20"/>
          <w:highlight w:val="none"/>
        </w:rPr>
        <w:t>供应商的响应文件中承</w:t>
      </w:r>
      <w:r>
        <w:rPr>
          <w:rFonts w:hint="eastAsia" w:ascii="宋体" w:hAnsi="宋体" w:cs="宋体"/>
          <w:b/>
          <w:color w:val="auto"/>
          <w:sz w:val="24"/>
          <w:szCs w:val="21"/>
          <w:highlight w:val="none"/>
        </w:rPr>
        <w:t>诺的响应文件有效期少于采购文件中载明的响应文件有效期的，响应文件无效。</w:t>
      </w:r>
    </w:p>
    <w:p w14:paraId="00A1CD02">
      <w:pPr>
        <w:pStyle w:val="132"/>
        <w:spacing w:before="0"/>
        <w:ind w:firstLine="480"/>
        <w:rPr>
          <w:rFonts w:ascii="宋体" w:hAnsi="宋体" w:cs="宋体"/>
          <w:color w:val="auto"/>
          <w:highlight w:val="none"/>
        </w:rPr>
      </w:pPr>
      <w:r>
        <w:rPr>
          <w:rFonts w:hint="eastAsia" w:ascii="宋体" w:hAnsi="宋体" w:cs="宋体"/>
          <w:color w:val="auto"/>
          <w:highlight w:val="none"/>
        </w:rPr>
        <w:t>17.2响应文件合格投递后，自响应文件提交截止时间起，在响应文件有效期内有效。</w:t>
      </w:r>
    </w:p>
    <w:p w14:paraId="746C93A4">
      <w:pPr>
        <w:pStyle w:val="132"/>
        <w:spacing w:before="0"/>
        <w:ind w:firstLine="480"/>
        <w:rPr>
          <w:rFonts w:ascii="宋体" w:hAnsi="宋体" w:cs="宋体"/>
          <w:b/>
          <w:color w:val="auto"/>
          <w:sz w:val="32"/>
          <w:highlight w:val="none"/>
        </w:rPr>
      </w:pPr>
      <w:r>
        <w:rPr>
          <w:rFonts w:hint="eastAsia" w:ascii="宋体" w:hAnsi="宋体" w:cs="宋体"/>
          <w:color w:val="auto"/>
          <w:highlight w:val="none"/>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14:paraId="1DCA6A87">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四、响应文件开启、资格审查与信用信息查询</w:t>
      </w:r>
    </w:p>
    <w:p w14:paraId="6B5A14D2">
      <w:pPr>
        <w:pStyle w:val="558"/>
        <w:spacing w:before="0" w:line="360" w:lineRule="auto"/>
        <w:ind w:left="0" w:firstLine="0"/>
        <w:contextualSpacing/>
        <w:rPr>
          <w:rFonts w:ascii="宋体" w:hAnsi="宋体" w:cs="宋体"/>
          <w:color w:val="auto"/>
          <w:sz w:val="24"/>
          <w:highlight w:val="none"/>
        </w:rPr>
      </w:pPr>
      <w:r>
        <w:rPr>
          <w:rFonts w:hint="eastAsia" w:ascii="宋体" w:hAnsi="宋体" w:cs="宋体"/>
          <w:b/>
          <w:color w:val="auto"/>
          <w:sz w:val="24"/>
          <w:szCs w:val="24"/>
          <w:highlight w:val="none"/>
        </w:rPr>
        <w:t>18.响应文件开启</w:t>
      </w:r>
      <w:r>
        <w:rPr>
          <w:rFonts w:hint="eastAsia" w:ascii="宋体" w:hAnsi="宋体" w:cs="宋体"/>
          <w:color w:val="auto"/>
          <w:sz w:val="24"/>
          <w:highlight w:val="none"/>
        </w:rPr>
        <w:t xml:space="preserve"> </w:t>
      </w:r>
    </w:p>
    <w:p w14:paraId="32BE8A32">
      <w:pPr>
        <w:pStyle w:val="558"/>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18.1采购代理机构按照采购文件规定的时间通过电子交易平台组织响应文件开启，所有供应商均应当准时在线参加。供应商不足3家的，不得开启。</w:t>
      </w:r>
    </w:p>
    <w:p w14:paraId="441F530D">
      <w:pPr>
        <w:pStyle w:val="558"/>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18.2响应文件开启时，电子交易平台按响应文件开启时间自动提取所有响应文件。采购代理机构依托电子交易平台发起开始解密指令，供应商按照平台提示和采购文件的规定在半小时内完成在线解密。</w:t>
      </w:r>
    </w:p>
    <w:p w14:paraId="07A116AE">
      <w:pPr>
        <w:pStyle w:val="558"/>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18.3</w:t>
      </w:r>
      <w:r>
        <w:rPr>
          <w:rFonts w:hint="eastAsia" w:ascii="宋体" w:hAnsi="宋体" w:cs="宋体"/>
          <w:b/>
          <w:bCs/>
          <w:color w:val="auto"/>
          <w:sz w:val="24"/>
          <w:highlight w:val="none"/>
        </w:rPr>
        <w:t>响应文件未按时解密，供应商提供了备份响应文件的，以备份响应文件作为依据，否则视为响应文件撤回。响应文件已按时解密的，备份响应文件自动失效。</w:t>
      </w:r>
    </w:p>
    <w:p w14:paraId="58D3C2E8">
      <w:pPr>
        <w:pStyle w:val="558"/>
        <w:spacing w:before="0" w:line="360" w:lineRule="auto"/>
        <w:ind w:left="0" w:firstLine="0"/>
        <w:contextualSpacing/>
        <w:rPr>
          <w:rFonts w:ascii="宋体" w:hAnsi="宋体" w:cs="宋体"/>
          <w:b/>
          <w:color w:val="auto"/>
          <w:sz w:val="24"/>
          <w:szCs w:val="24"/>
          <w:highlight w:val="none"/>
        </w:rPr>
      </w:pPr>
      <w:r>
        <w:rPr>
          <w:rFonts w:hint="eastAsia" w:ascii="宋体" w:hAnsi="宋体" w:cs="宋体"/>
          <w:b/>
          <w:color w:val="auto"/>
          <w:sz w:val="24"/>
          <w:szCs w:val="24"/>
          <w:highlight w:val="none"/>
        </w:rPr>
        <w:t>19、资格审查</w:t>
      </w:r>
    </w:p>
    <w:p w14:paraId="1030F15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采购人、采购代理机构或磋商小组依据法律法规和采购文件的规定，对供应商的资格进行审查。</w:t>
      </w:r>
    </w:p>
    <w:p w14:paraId="5F3BC284">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19.2供应商未按照采购文件要求提供与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供应商不具备采购文件中规定的资格要求，其响应文件无效。</w:t>
      </w:r>
    </w:p>
    <w:p w14:paraId="209AECFE">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3对未通过资格审查的供应商，采购人或采购代理机构告知其未通过的原因。</w:t>
      </w:r>
    </w:p>
    <w:p w14:paraId="700F2AC9">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4合格供应商不足3家的，不再评审。</w:t>
      </w:r>
    </w:p>
    <w:p w14:paraId="09BC028E">
      <w:pPr>
        <w:pStyle w:val="132"/>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w:t>
      </w:r>
      <w:r>
        <w:rPr>
          <w:rFonts w:hint="eastAsia" w:ascii="宋体" w:hAnsi="宋体" w:cs="宋体"/>
          <w:color w:val="auto"/>
          <w:kern w:val="0"/>
          <w:szCs w:val="24"/>
          <w:highlight w:val="none"/>
          <w:lang w:eastAsia="zh-CN"/>
        </w:rPr>
        <w:t>采购</w:t>
      </w:r>
      <w:r>
        <w:rPr>
          <w:rFonts w:hint="eastAsia" w:ascii="宋体" w:hAnsi="宋体" w:cs="宋体"/>
          <w:color w:val="auto"/>
          <w:kern w:val="0"/>
          <w:szCs w:val="24"/>
          <w:highlight w:val="none"/>
        </w:rPr>
        <w:t>活动。</w:t>
      </w:r>
    </w:p>
    <w:p w14:paraId="6382E397">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443F2425">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20.1信用信息查询渠道及截止时间：采购代理机构将在资格审查时通过“信用中国”网站(www.creditchina.gov.cn)、中国政府采购网(www.ccgp.gov.cn)渠道查询供应商接受资格审查时的信用记录。</w:t>
      </w:r>
    </w:p>
    <w:p w14:paraId="1D8D5842">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20.2信用信息查询记录和证据留存的具体方式：现场查询的供应商的信用记录、查询结果经确认后将与采购文件一起存档。</w:t>
      </w:r>
    </w:p>
    <w:p w14:paraId="317E236D">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20.3信用信息的使用规则：经查询列入失信被执行人名单、重大税收违法案件当事人名单、政府采购严重违法失信行为记录名单的供应商将被拒绝参与</w:t>
      </w:r>
      <w:r>
        <w:rPr>
          <w:rFonts w:hint="eastAsia" w:ascii="宋体" w:hAnsi="宋体" w:cs="宋体"/>
          <w:color w:val="auto"/>
          <w:kern w:val="0"/>
          <w:szCs w:val="24"/>
          <w:highlight w:val="none"/>
          <w:lang w:eastAsia="zh-CN"/>
        </w:rPr>
        <w:t>采购</w:t>
      </w:r>
      <w:r>
        <w:rPr>
          <w:rFonts w:hint="eastAsia" w:ascii="宋体" w:hAnsi="宋体" w:cs="宋体"/>
          <w:color w:val="auto"/>
          <w:kern w:val="0"/>
          <w:szCs w:val="24"/>
          <w:highlight w:val="none"/>
        </w:rPr>
        <w:t>活动。</w:t>
      </w:r>
    </w:p>
    <w:p w14:paraId="097A1395">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w:t>
      </w:r>
      <w:r>
        <w:rPr>
          <w:rFonts w:hint="eastAsia" w:ascii="宋体" w:hAnsi="宋体" w:cs="宋体"/>
          <w:color w:val="auto"/>
          <w:kern w:val="0"/>
          <w:szCs w:val="24"/>
          <w:highlight w:val="none"/>
          <w:lang w:eastAsia="zh-CN"/>
        </w:rPr>
        <w:t>采购</w:t>
      </w:r>
      <w:r>
        <w:rPr>
          <w:rFonts w:hint="eastAsia" w:ascii="宋体" w:hAnsi="宋体" w:cs="宋体"/>
          <w:color w:val="auto"/>
          <w:kern w:val="0"/>
          <w:szCs w:val="24"/>
          <w:highlight w:val="none"/>
        </w:rPr>
        <w:t>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5D40811B">
      <w:pPr>
        <w:pStyle w:val="132"/>
        <w:spacing w:before="0"/>
        <w:ind w:firstLine="0" w:firstLineChars="0"/>
        <w:rPr>
          <w:rFonts w:ascii="宋体" w:hAnsi="宋体" w:cs="宋体"/>
          <w:color w:val="auto"/>
          <w:kern w:val="0"/>
          <w:szCs w:val="24"/>
          <w:highlight w:val="none"/>
        </w:rPr>
      </w:pPr>
    </w:p>
    <w:p w14:paraId="0085AF33">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五、评审</w:t>
      </w:r>
    </w:p>
    <w:p w14:paraId="3DCDC49C">
      <w:pPr>
        <w:spacing w:line="360" w:lineRule="auto"/>
        <w:rPr>
          <w:rFonts w:ascii="宋体" w:hAnsi="宋体" w:cs="宋体"/>
          <w:b/>
          <w:color w:val="auto"/>
          <w:sz w:val="24"/>
          <w:highlight w:val="none"/>
        </w:rPr>
      </w:pPr>
      <w:bookmarkStart w:id="16"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auto"/>
          <w:sz w:val="24"/>
          <w:highlight w:val="none"/>
        </w:rPr>
        <w:t>详见采购文件第四部分评审办法。</w:t>
      </w:r>
    </w:p>
    <w:p w14:paraId="5928E894">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六、成交供应商确定</w:t>
      </w:r>
    </w:p>
    <w:p w14:paraId="15AADE00">
      <w:pPr>
        <w:pStyle w:val="24"/>
        <w:spacing w:line="360" w:lineRule="auto"/>
        <w:ind w:left="479" w:hanging="479" w:hangingChars="199"/>
        <w:rPr>
          <w:rFonts w:cs="宋体"/>
          <w:b/>
          <w:color w:val="auto"/>
          <w:highlight w:val="none"/>
        </w:rPr>
      </w:pPr>
      <w:r>
        <w:rPr>
          <w:rFonts w:hint="eastAsia" w:cs="宋体"/>
          <w:b/>
          <w:color w:val="auto"/>
          <w:highlight w:val="none"/>
        </w:rPr>
        <w:t>22. 确定成交供应商</w:t>
      </w:r>
    </w:p>
    <w:p w14:paraId="1BFE2437">
      <w:pPr>
        <w:pStyle w:val="132"/>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lang w:eastAsia="zh-CN"/>
        </w:rPr>
        <w:t>采购</w:t>
      </w:r>
      <w:r>
        <w:rPr>
          <w:rFonts w:hint="eastAsia" w:ascii="宋体" w:hAnsi="宋体" w:cs="宋体"/>
          <w:color w:val="auto"/>
          <w:szCs w:val="24"/>
          <w:highlight w:val="none"/>
        </w:rPr>
        <w:t>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auto"/>
          <w:szCs w:val="24"/>
          <w:highlight w:val="none"/>
          <w:lang w:eastAsia="zh-CN"/>
        </w:rPr>
        <w:t>，</w:t>
      </w:r>
      <w:r>
        <w:rPr>
          <w:rFonts w:hint="eastAsia" w:ascii="宋体" w:hAnsi="宋体" w:cs="宋体"/>
          <w:color w:val="auto"/>
          <w:szCs w:val="24"/>
        </w:rPr>
        <w:t>为提高</w:t>
      </w:r>
      <w:r>
        <w:rPr>
          <w:rFonts w:hint="eastAsia" w:ascii="宋体" w:hAnsi="宋体" w:cs="宋体"/>
          <w:color w:val="auto"/>
          <w:szCs w:val="24"/>
          <w:lang w:eastAsia="zh-CN"/>
        </w:rPr>
        <w:t>采购</w:t>
      </w:r>
      <w:r>
        <w:rPr>
          <w:rFonts w:hint="eastAsia" w:ascii="宋体" w:hAnsi="宋体" w:cs="宋体"/>
          <w:color w:val="auto"/>
          <w:szCs w:val="24"/>
        </w:rPr>
        <w:t>效率，一般在收到评审报告当天确定中标或者成交供应商</w:t>
      </w:r>
      <w:r>
        <w:rPr>
          <w:rFonts w:hint="eastAsia" w:ascii="宋体" w:hAnsi="宋体" w:cs="宋体"/>
          <w:color w:val="auto"/>
          <w:szCs w:val="24"/>
          <w:highlight w:val="none"/>
        </w:rPr>
        <w:t>。中标、成交通知书和中标、成交结果公告应当在规定时间内同时发出。</w:t>
      </w:r>
    </w:p>
    <w:p w14:paraId="259CC285">
      <w:pPr>
        <w:pStyle w:val="132"/>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成交通知与成交结果公告</w:t>
      </w:r>
    </w:p>
    <w:p w14:paraId="6CD2963A">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23.1自成交供应商确定之日起1个工作日内，采购代理机构通过电子交易平台向成交供应商发出成交通知书，同时编制发布采购结果公告。采购代理机构也可以以纸质形式进行成交通知。</w:t>
      </w:r>
    </w:p>
    <w:p w14:paraId="218BA529">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6BB24262">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21DEA221">
      <w:pPr>
        <w:widowControl/>
        <w:shd w:val="clear" w:color="auto" w:fill="FFFFFF"/>
        <w:spacing w:line="360" w:lineRule="auto"/>
        <w:ind w:firstLine="480"/>
        <w:rPr>
          <w:rFonts w:ascii="宋体" w:hAnsi="宋体" w:cs="宋体"/>
          <w:color w:val="auto"/>
          <w:sz w:val="24"/>
        </w:rPr>
      </w:pPr>
      <w:r>
        <w:rPr>
          <w:rFonts w:ascii="宋体" w:hAnsi="宋体" w:cs="宋体"/>
          <w:bCs/>
          <w:color w:val="auto"/>
          <w:sz w:val="24"/>
        </w:rPr>
        <w:t>23.4</w:t>
      </w:r>
      <w:r>
        <w:rPr>
          <w:rFonts w:hint="eastAsia" w:ascii="宋体" w:hAnsi="宋体" w:cs="宋体"/>
          <w:bCs/>
          <w:color w:val="auto"/>
          <w:sz w:val="24"/>
        </w:rPr>
        <w:t>由于成交供应商原因导致重新采购的，应当承担支付代理费和专家评审费等费用在内的赔偿责任。</w:t>
      </w:r>
    </w:p>
    <w:p w14:paraId="75FC39F6">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七、合同授予</w:t>
      </w:r>
    </w:p>
    <w:p w14:paraId="5E5E2FBB">
      <w:pPr>
        <w:pStyle w:val="24"/>
        <w:snapToGrid w:val="0"/>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01AE2F88">
      <w:pPr>
        <w:pStyle w:val="24"/>
        <w:snapToGrid w:val="0"/>
        <w:spacing w:line="360" w:lineRule="auto"/>
        <w:ind w:left="479" w:hanging="479" w:hangingChars="199"/>
        <w:rPr>
          <w:rFonts w:cs="宋体"/>
          <w:b/>
          <w:color w:val="auto"/>
          <w:highlight w:val="none"/>
        </w:rPr>
      </w:pPr>
      <w:r>
        <w:rPr>
          <w:rFonts w:hint="eastAsia" w:cs="宋体"/>
          <w:b/>
          <w:color w:val="auto"/>
          <w:highlight w:val="none"/>
        </w:rPr>
        <w:t>25. 合同的签订</w:t>
      </w:r>
    </w:p>
    <w:p w14:paraId="71D13DF7">
      <w:pPr>
        <w:widowControl/>
        <w:shd w:val="clear" w:color="auto" w:fill="FFFFFF"/>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采购人与成交供应商应当通过电子交易平台在成交通知书发出之日起三十日内</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鼓励有条件的采购人视情缩减采购合同签订时限，提高采购效率，杜绝“冷、硬、横、推”等不当行为。除不可抗力等特殊情况外，原则上应当在成交通知书发出之日起10个工作日内，与成交供应商按照采购文件确定的事项签订</w:t>
      </w:r>
      <w:r>
        <w:rPr>
          <w:rFonts w:hint="eastAsia" w:ascii="宋体" w:hAnsi="宋体" w:cs="宋体"/>
          <w:color w:val="auto"/>
          <w:kern w:val="0"/>
          <w:sz w:val="24"/>
          <w:highlight w:val="none"/>
          <w:lang w:eastAsia="zh-CN"/>
        </w:rPr>
        <w:t>采购</w:t>
      </w:r>
      <w:r>
        <w:rPr>
          <w:rFonts w:hint="eastAsia" w:ascii="宋体" w:hAnsi="宋体" w:cs="宋体"/>
          <w:color w:val="auto"/>
          <w:kern w:val="0"/>
          <w:sz w:val="24"/>
          <w:highlight w:val="none"/>
        </w:rPr>
        <w:t>合同。</w:t>
      </w:r>
    </w:p>
    <w:p w14:paraId="01837275">
      <w:pPr>
        <w:pStyle w:val="132"/>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141E13DB">
      <w:pPr>
        <w:pStyle w:val="132"/>
        <w:snapToGrid w:val="0"/>
        <w:spacing w:before="0"/>
        <w:ind w:firstLine="480"/>
        <w:rPr>
          <w:rFonts w:hint="eastAsia" w:ascii="宋体" w:hAnsi="宋体" w:eastAsia="宋体" w:cs="宋体"/>
          <w:color w:val="auto"/>
          <w:highlight w:val="none"/>
          <w:lang w:val="en-US" w:eastAsia="zh-CN"/>
        </w:rPr>
      </w:pPr>
      <w:r>
        <w:rPr>
          <w:rFonts w:hint="eastAsia" w:ascii="宋体" w:hAnsi="宋体" w:cs="宋体"/>
          <w:color w:val="auto"/>
          <w:highlight w:val="none"/>
        </w:rPr>
        <w:t>25.3如签订合同并生效后，供应商无故拒绝或延期，除按照合同条款处理外，列入不良行为记录一次，并给予通报。</w:t>
      </w:r>
      <w:r>
        <w:rPr>
          <w:rFonts w:hint="eastAsia" w:ascii="宋体" w:hAnsi="宋体" w:cs="宋体"/>
          <w:color w:val="auto"/>
          <w:highlight w:val="none"/>
          <w:lang w:val="en-US" w:eastAsia="zh-CN"/>
        </w:rPr>
        <w:t xml:space="preserve"> </w:t>
      </w:r>
    </w:p>
    <w:p w14:paraId="138CABC3">
      <w:pPr>
        <w:pStyle w:val="132"/>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25.4成交供应商拒绝与采购人签订合同的，采购人可以按照评审报告推荐的成交候选人名单排序，确定下一候选人为成交供应商，也可以重新开展</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活动。</w:t>
      </w:r>
    </w:p>
    <w:p w14:paraId="7731FCBE">
      <w:pPr>
        <w:pStyle w:val="24"/>
        <w:snapToGrid w:val="0"/>
        <w:spacing w:line="360" w:lineRule="auto"/>
        <w:ind w:left="479" w:hanging="420" w:hangingChars="199"/>
        <w:rPr>
          <w:rFonts w:cs="宋体"/>
          <w:b/>
          <w:color w:val="auto"/>
          <w:sz w:val="21"/>
          <w:szCs w:val="21"/>
          <w:highlight w:val="none"/>
        </w:rPr>
      </w:pPr>
      <w:r>
        <w:rPr>
          <w:rFonts w:hint="eastAsia" w:cs="宋体"/>
          <w:b/>
          <w:color w:val="auto"/>
          <w:sz w:val="21"/>
          <w:szCs w:val="21"/>
          <w:highlight w:val="none"/>
        </w:rPr>
        <w:t>26. 履约保证金</w:t>
      </w:r>
    </w:p>
    <w:p w14:paraId="7736AA05">
      <w:pPr>
        <w:tabs>
          <w:tab w:val="left" w:pos="0"/>
        </w:tabs>
        <w:snapToGrid w:val="0"/>
        <w:spacing w:line="360" w:lineRule="auto"/>
        <w:ind w:firstLine="482"/>
        <w:rPr>
          <w:rFonts w:hint="eastAsia" w:ascii="宋体" w:hAnsi="宋体" w:cs="宋体"/>
          <w:color w:val="auto"/>
          <w:sz w:val="24"/>
          <w:highlight w:val="none"/>
        </w:rPr>
      </w:pPr>
      <w:r>
        <w:rPr>
          <w:rFonts w:hint="eastAsia" w:ascii="宋体" w:hAnsi="宋体" w:cs="宋体"/>
          <w:color w:val="auto"/>
          <w:sz w:val="21"/>
          <w:szCs w:val="21"/>
          <w:highlight w:val="none"/>
        </w:rPr>
        <w:t>拟签订的合同文本要求成交供应商提交履约保证金的，供应商应当以支票、汇票、本票或者金融机构、担保机构出具的保函等非现金形式提交。确需收取履约保证金的，履约保证金缴纳最高比例由不超过合同金额的1%。采购单位鼓励供应商采取履约保函形式提供信用保证；</w:t>
      </w:r>
      <w:r>
        <w:rPr>
          <w:rFonts w:hint="eastAsia" w:ascii="宋体" w:hAnsi="宋体" w:cs="宋体"/>
          <w:color w:val="auto"/>
          <w:sz w:val="24"/>
          <w:highlight w:val="none"/>
        </w:rPr>
        <w:t>供应商提供保函的，采购单位不得拒收。项目验收结束后应及时退还，延迟退还的，应当按照合同约定和法律规定承担相应的赔偿责任。</w:t>
      </w:r>
    </w:p>
    <w:p w14:paraId="3A3D4C79">
      <w:pPr>
        <w:tabs>
          <w:tab w:val="left" w:pos="0"/>
        </w:tabs>
        <w:snapToGrid w:val="0"/>
        <w:spacing w:line="360" w:lineRule="auto"/>
        <w:ind w:firstLine="482"/>
        <w:rPr>
          <w:rFonts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w:t>
      </w:r>
      <w:r>
        <w:rPr>
          <w:rFonts w:hint="eastAsia" w:ascii="宋体" w:hAnsi="宋体" w:cs="宋体"/>
          <w:b w:val="0"/>
          <w:bCs w:val="0"/>
          <w:snapToGrid w:val="0"/>
          <w:color w:val="auto"/>
          <w:kern w:val="28"/>
          <w:sz w:val="24"/>
          <w:highlight w:val="none"/>
          <w:lang w:eastAsia="zh-CN"/>
        </w:rPr>
        <w:t>乐采云平台</w:t>
      </w:r>
      <w:r>
        <w:rPr>
          <w:rFonts w:hint="eastAsia" w:ascii="宋体" w:hAnsi="宋体" w:eastAsia="宋体" w:cs="宋体"/>
          <w:b w:val="0"/>
          <w:bCs w:val="0"/>
          <w:snapToGrid w:val="0"/>
          <w:color w:val="auto"/>
          <w:kern w:val="28"/>
          <w:sz w:val="24"/>
          <w:highlight w:val="none"/>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B261C5D">
      <w:pPr>
        <w:pStyle w:val="2"/>
      </w:pPr>
      <w:r>
        <w:rPr>
          <w:rFonts w:ascii="宋体" w:hAnsi="宋体" w:eastAsia="宋体"/>
          <w:sz w:val="24"/>
          <w:lang w:val="en-US"/>
        </w:rPr>
        <w:t>27.预付款</w:t>
      </w:r>
    </w:p>
    <w:p w14:paraId="731482B4">
      <w:pPr>
        <w:adjustRightInd/>
        <w:spacing w:line="360" w:lineRule="auto"/>
        <w:ind w:firstLine="480" w:firstLineChars="200"/>
      </w:pPr>
      <w:r>
        <w:rPr>
          <w:rFonts w:hint="eastAsia" w:ascii="宋体" w:hAnsi="宋体"/>
          <w:sz w:val="24"/>
        </w:rPr>
        <w:t>采购单位应当在</w:t>
      </w:r>
      <w:r>
        <w:rPr>
          <w:rFonts w:hint="eastAsia" w:ascii="宋体" w:hAnsi="宋体"/>
          <w:sz w:val="24"/>
          <w:lang w:eastAsia="zh-CN"/>
        </w:rPr>
        <w:t>采购</w:t>
      </w:r>
      <w:r>
        <w:rPr>
          <w:rFonts w:hint="eastAsia" w:ascii="宋体" w:hAnsi="宋体"/>
          <w:sz w:val="24"/>
        </w:rPr>
        <w:t>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w:t>
      </w:r>
      <w:r>
        <w:rPr>
          <w:rFonts w:hint="eastAsia" w:ascii="宋体" w:hAnsi="宋体"/>
          <w:sz w:val="24"/>
          <w:lang w:eastAsia="zh-CN"/>
        </w:rPr>
        <w:t>采购</w:t>
      </w:r>
      <w:r>
        <w:rPr>
          <w:rFonts w:ascii="宋体" w:hAnsi="宋体"/>
          <w:sz w:val="24"/>
        </w:rPr>
        <w:t>预付款应在合同生效以及具备实施条件后5个工作日内支付。</w:t>
      </w:r>
      <w:r>
        <w:rPr>
          <w:rFonts w:hint="eastAsia" w:ascii="宋体" w:hAnsi="宋体"/>
          <w:sz w:val="24"/>
          <w:lang w:eastAsia="zh-CN"/>
        </w:rPr>
        <w:t>采购</w:t>
      </w:r>
      <w:r>
        <w:rPr>
          <w:rFonts w:hint="eastAsia" w:ascii="宋体" w:hAnsi="宋体"/>
          <w:sz w:val="24"/>
        </w:rPr>
        <w:t>工程以及与工程建设有关的货物、服务，采用招标方式采购的，预付款从其相关规定。供应商可登录</w:t>
      </w:r>
      <w:r>
        <w:rPr>
          <w:rFonts w:hint="eastAsia" w:ascii="宋体" w:hAnsi="宋体"/>
          <w:sz w:val="24"/>
          <w:lang w:eastAsia="zh-CN"/>
        </w:rPr>
        <w:t>乐采云</w:t>
      </w:r>
      <w:r>
        <w:rPr>
          <w:rFonts w:hint="eastAsia" w:ascii="宋体" w:hAnsi="宋体"/>
          <w:sz w:val="24"/>
        </w:rPr>
        <w:t>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w:t>
      </w:r>
    </w:p>
    <w:p w14:paraId="4D62E717"/>
    <w:p w14:paraId="26A8FB88">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八、电子交易活动的中止</w:t>
      </w:r>
    </w:p>
    <w:p w14:paraId="38C946D3">
      <w:pPr>
        <w:pStyle w:val="132"/>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00ABBB9C">
      <w:pPr>
        <w:pStyle w:val="132"/>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1EC4E2C6">
      <w:pPr>
        <w:pStyle w:val="132"/>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3CBCFB0E">
      <w:pPr>
        <w:pStyle w:val="132"/>
        <w:snapToGrid w:val="0"/>
        <w:spacing w:before="0"/>
        <w:ind w:firstLine="480"/>
        <w:rPr>
          <w:rFonts w:ascii="宋体" w:hAnsi="宋体" w:cs="宋体"/>
        </w:rPr>
      </w:pPr>
      <w:r>
        <w:rPr>
          <w:rFonts w:hint="eastAsia" w:ascii="宋体" w:hAnsi="宋体" w:cs="宋体"/>
        </w:rPr>
        <w:t>28.3电子交易平台发现严重安全漏洞，有潜在泄密危险的；</w:t>
      </w:r>
    </w:p>
    <w:p w14:paraId="2B3B9B52">
      <w:pPr>
        <w:pStyle w:val="132"/>
        <w:snapToGrid w:val="0"/>
        <w:spacing w:before="0"/>
        <w:ind w:firstLine="480"/>
        <w:rPr>
          <w:rFonts w:ascii="宋体" w:hAnsi="宋体" w:cs="宋体"/>
        </w:rPr>
      </w:pPr>
      <w:r>
        <w:rPr>
          <w:rFonts w:hint="eastAsia" w:ascii="宋体" w:hAnsi="宋体" w:cs="宋体"/>
        </w:rPr>
        <w:t xml:space="preserve">28.4病毒发作导致不能进行正常操作的； </w:t>
      </w:r>
    </w:p>
    <w:p w14:paraId="36BCDF96">
      <w:pPr>
        <w:pStyle w:val="132"/>
        <w:snapToGrid w:val="0"/>
        <w:spacing w:before="0"/>
        <w:ind w:firstLine="480"/>
        <w:rPr>
          <w:rFonts w:ascii="宋体" w:hAnsi="宋体" w:cs="宋体"/>
        </w:rPr>
      </w:pPr>
      <w:r>
        <w:rPr>
          <w:rFonts w:hint="eastAsia" w:ascii="宋体" w:hAnsi="宋体" w:cs="宋体"/>
        </w:rPr>
        <w:t>28.5其他无法保证电子交易的公平、公正和安全的情况。</w:t>
      </w:r>
    </w:p>
    <w:p w14:paraId="04570F35">
      <w:pPr>
        <w:pStyle w:val="132"/>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DB28F5D">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九、验收</w:t>
      </w:r>
    </w:p>
    <w:bookmarkEnd w:id="11"/>
    <w:bookmarkEnd w:id="12"/>
    <w:bookmarkEnd w:id="16"/>
    <w:p w14:paraId="26471E3B">
      <w:pPr>
        <w:pStyle w:val="24"/>
        <w:spacing w:line="360" w:lineRule="auto"/>
        <w:ind w:firstLine="0" w:firstLineChars="0"/>
        <w:rPr>
          <w:rFonts w:cs="宋体"/>
          <w:b/>
        </w:rPr>
      </w:pPr>
      <w:bookmarkStart w:id="17" w:name="第四部分"/>
      <w:r>
        <w:rPr>
          <w:rFonts w:hint="eastAsia" w:cs="宋体"/>
          <w:b/>
        </w:rPr>
        <w:t>30.验收</w:t>
      </w:r>
    </w:p>
    <w:p w14:paraId="793CD5CF">
      <w:pPr>
        <w:tabs>
          <w:tab w:val="left" w:pos="0"/>
        </w:tabs>
        <w:spacing w:line="360" w:lineRule="auto"/>
        <w:ind w:firstLine="480"/>
        <w:rPr>
          <w:rFonts w:ascii="宋体" w:hAnsi="宋体" w:cs="宋体"/>
          <w:kern w:val="0"/>
          <w:sz w:val="24"/>
        </w:rPr>
      </w:pPr>
      <w:r>
        <w:rPr>
          <w:rFonts w:hint="eastAsia" w:ascii="宋体" w:hAnsi="宋体" w:cs="宋体"/>
          <w:kern w:val="0"/>
          <w:sz w:val="24"/>
        </w:rPr>
        <w:t>30.1采购人应当根据采购项目的具体情况，自行组织项目验收或者委托采购代理机构验收。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FF81B7C">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30.2采购人可以邀请参加本项目的其他供应商或者第三方机构参与验收。参与验收的供应商或者第三方机构的意见作为验收书的参考资料一并存档。</w:t>
      </w:r>
    </w:p>
    <w:p w14:paraId="7DC216E1">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64D18B0">
      <w:pPr>
        <w:tabs>
          <w:tab w:val="left" w:pos="0"/>
        </w:tabs>
        <w:spacing w:line="360" w:lineRule="auto"/>
        <w:ind w:firstLine="480"/>
        <w:rPr>
          <w:rFonts w:hint="eastAsia" w:ascii="宋体" w:hAnsi="宋体" w:cs="宋体"/>
          <w:kern w:val="0"/>
          <w:sz w:val="24"/>
          <w:lang w:val="en-US"/>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14:paraId="709B1395">
      <w:pPr>
        <w:pStyle w:val="2"/>
        <w:rPr>
          <w:strike/>
          <w:color w:val="0000FF"/>
          <w:lang w:val="en-US"/>
        </w:rPr>
        <w:sectPr>
          <w:pgSz w:w="11906" w:h="16838"/>
          <w:pgMar w:top="1440" w:right="1080" w:bottom="1440" w:left="1080" w:header="851" w:footer="992" w:gutter="0"/>
          <w:cols w:space="720" w:num="1"/>
          <w:titlePg/>
          <w:docGrid w:linePitch="312" w:charSpace="0"/>
        </w:sectPr>
      </w:pPr>
    </w:p>
    <w:p w14:paraId="4C34FDFE">
      <w:pPr>
        <w:pStyle w:val="32"/>
        <w:spacing w:line="360" w:lineRule="auto"/>
        <w:jc w:val="center"/>
        <w:rPr>
          <w:rFonts w:hAnsi="宋体" w:cs="宋体"/>
          <w:b/>
          <w:snapToGrid/>
          <w:color w:val="auto"/>
          <w:sz w:val="36"/>
          <w:szCs w:val="20"/>
          <w:highlight w:val="none"/>
        </w:rPr>
      </w:pPr>
      <w:r>
        <w:rPr>
          <w:rFonts w:hint="eastAsia" w:hAnsi="宋体" w:cs="宋体"/>
          <w:b/>
          <w:snapToGrid/>
          <w:color w:val="auto"/>
          <w:sz w:val="36"/>
          <w:szCs w:val="20"/>
          <w:highlight w:val="none"/>
        </w:rPr>
        <w:t>第三部分 采购需求</w:t>
      </w:r>
    </w:p>
    <w:p w14:paraId="64CE541E">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一、工程概况</w:t>
      </w:r>
    </w:p>
    <w:p w14:paraId="4F97C540">
      <w:pPr>
        <w:spacing w:line="360" w:lineRule="auto"/>
        <w:ind w:firstLine="480" w:firstLineChars="200"/>
        <w:rPr>
          <w:rFonts w:hint="default" w:ascii="宋体" w:hAnsi="宋体" w:eastAsia="宋体" w:cs="宋体"/>
          <w:b/>
          <w:bCs/>
          <w:color w:val="auto"/>
          <w:sz w:val="24"/>
          <w:szCs w:val="24"/>
          <w:highlight w:val="none"/>
          <w:lang w:val="en-US" w:eastAsia="zh-CN"/>
        </w:rPr>
      </w:pPr>
      <w:r>
        <w:rPr>
          <w:rFonts w:hint="eastAsia" w:ascii="宋体" w:hAnsi="宋体" w:eastAsia="宋体" w:cs="宋体"/>
          <w:b w:val="0"/>
          <w:bCs/>
          <w:color w:val="auto"/>
          <w:sz w:val="24"/>
          <w:szCs w:val="24"/>
          <w:highlight w:val="none"/>
          <w:u w:val="none"/>
          <w:lang w:val="en-US" w:eastAsia="zh-CN"/>
        </w:rPr>
        <w:t>杭州高级中学钱塘学校位于杭州市钱塘区浩瀚路1号，本次修缮</w:t>
      </w:r>
      <w:r>
        <w:rPr>
          <w:rFonts w:hint="eastAsia" w:ascii="宋体" w:hAnsi="宋体" w:eastAsia="宋体" w:cs="宋体"/>
          <w:b w:val="0"/>
          <w:bCs/>
          <w:color w:val="auto"/>
          <w:sz w:val="24"/>
          <w:szCs w:val="24"/>
          <w:highlight w:val="none"/>
          <w:u w:val="none"/>
        </w:rPr>
        <w:t>主要包括对教学楼、宿舍楼、食堂、门卫室等外墙涂料脱落情况进行修补，其余涉零星户外物品的油漆刷新施工</w:t>
      </w:r>
      <w:r>
        <w:rPr>
          <w:rFonts w:hint="eastAsia" w:ascii="宋体" w:hAnsi="宋体" w:eastAsia="宋体" w:cs="宋体"/>
          <w:b w:val="0"/>
          <w:bCs/>
          <w:color w:val="auto"/>
          <w:sz w:val="24"/>
          <w:szCs w:val="24"/>
          <w:highlight w:val="none"/>
          <w:u w:val="none"/>
          <w:lang w:val="en-US"/>
        </w:rPr>
        <w:t>等</w:t>
      </w:r>
      <w:r>
        <w:rPr>
          <w:rFonts w:hint="eastAsia" w:ascii="宋体" w:hAnsi="宋体" w:eastAsia="宋体" w:cs="宋体"/>
          <w:b w:val="0"/>
          <w:bCs/>
          <w:color w:val="auto"/>
          <w:sz w:val="24"/>
          <w:szCs w:val="24"/>
          <w:highlight w:val="none"/>
          <w:u w:val="none"/>
        </w:rPr>
        <w:t>。</w:t>
      </w:r>
    </w:p>
    <w:p w14:paraId="014F491B">
      <w:pPr>
        <w:spacing w:line="360" w:lineRule="auto"/>
        <w:ind w:firstLine="480" w:firstLineChars="200"/>
        <w:rPr>
          <w:rFonts w:hint="eastAsia" w:ascii="宋体" w:hAnsi="宋体" w:eastAsia="宋体" w:cs="宋体"/>
          <w:b w:val="0"/>
          <w:bCs/>
          <w:color w:val="auto"/>
          <w:sz w:val="24"/>
          <w:szCs w:val="24"/>
          <w:highlight w:val="none"/>
          <w:u w:val="none"/>
        </w:rPr>
      </w:pPr>
      <w:r>
        <w:rPr>
          <w:rFonts w:hint="eastAsia" w:ascii="宋体" w:hAnsi="宋体" w:eastAsia="宋体" w:cs="宋体"/>
          <w:b w:val="0"/>
          <w:bCs/>
          <w:color w:val="auto"/>
          <w:sz w:val="24"/>
          <w:szCs w:val="24"/>
          <w:highlight w:val="none"/>
          <w:u w:val="none"/>
        </w:rPr>
        <w:t xml:space="preserve">二、工程内容 </w:t>
      </w:r>
    </w:p>
    <w:p w14:paraId="7C7F4D9F">
      <w:pPr>
        <w:spacing w:line="360" w:lineRule="auto"/>
        <w:ind w:firstLine="480" w:firstLineChars="200"/>
        <w:rPr>
          <w:rFonts w:hint="eastAsia" w:ascii="宋体" w:hAnsi="宋体" w:eastAsia="宋体" w:cs="宋体"/>
          <w:b w:val="0"/>
          <w:bCs/>
          <w:color w:val="auto"/>
          <w:sz w:val="24"/>
          <w:szCs w:val="24"/>
          <w:highlight w:val="none"/>
          <w:u w:val="none"/>
        </w:rPr>
      </w:pPr>
      <w:r>
        <w:rPr>
          <w:rFonts w:hint="eastAsia" w:ascii="宋体" w:hAnsi="宋体" w:eastAsia="宋体" w:cs="宋体"/>
          <w:b w:val="0"/>
          <w:bCs/>
          <w:color w:val="auto"/>
          <w:sz w:val="24"/>
          <w:szCs w:val="24"/>
          <w:highlight w:val="none"/>
          <w:u w:val="none"/>
        </w:rPr>
        <w:t>1.工程名称</w:t>
      </w:r>
    </w:p>
    <w:p w14:paraId="35AB0478">
      <w:pPr>
        <w:spacing w:line="360" w:lineRule="auto"/>
        <w:ind w:firstLine="480" w:firstLineChars="200"/>
        <w:rPr>
          <w:rFonts w:hint="eastAsia" w:ascii="宋体" w:hAnsi="宋体" w:eastAsia="宋体" w:cs="宋体"/>
          <w:b w:val="0"/>
          <w:bCs/>
          <w:color w:val="auto"/>
          <w:sz w:val="24"/>
          <w:szCs w:val="24"/>
          <w:highlight w:val="none"/>
          <w:u w:val="none"/>
        </w:rPr>
      </w:pPr>
      <w:r>
        <w:rPr>
          <w:rFonts w:hint="eastAsia" w:ascii="宋体" w:hAnsi="宋体" w:eastAsia="宋体" w:cs="宋体"/>
          <w:b w:val="0"/>
          <w:bCs/>
          <w:color w:val="auto"/>
          <w:sz w:val="24"/>
          <w:szCs w:val="24"/>
          <w:highlight w:val="none"/>
          <w:u w:val="none"/>
          <w:lang w:eastAsia="zh-CN"/>
        </w:rPr>
        <w:t>校舍外立面安全隐患改造</w:t>
      </w:r>
      <w:r>
        <w:rPr>
          <w:rFonts w:hint="eastAsia" w:ascii="宋体" w:hAnsi="宋体" w:eastAsia="宋体" w:cs="宋体"/>
          <w:b w:val="0"/>
          <w:bCs/>
          <w:color w:val="auto"/>
          <w:sz w:val="24"/>
          <w:szCs w:val="24"/>
          <w:highlight w:val="none"/>
          <w:u w:val="none"/>
        </w:rPr>
        <w:t>。</w:t>
      </w:r>
    </w:p>
    <w:p w14:paraId="76F94C3B">
      <w:pPr>
        <w:spacing w:line="360" w:lineRule="auto"/>
        <w:ind w:firstLine="480" w:firstLineChars="200"/>
        <w:rPr>
          <w:rFonts w:hint="eastAsia" w:ascii="宋体" w:hAnsi="宋体" w:eastAsia="宋体" w:cs="宋体"/>
          <w:b w:val="0"/>
          <w:bCs/>
          <w:color w:val="auto"/>
          <w:sz w:val="24"/>
          <w:szCs w:val="24"/>
          <w:highlight w:val="none"/>
          <w:u w:val="none"/>
        </w:rPr>
      </w:pPr>
      <w:r>
        <w:rPr>
          <w:rFonts w:hint="eastAsia" w:ascii="宋体" w:hAnsi="宋体" w:eastAsia="宋体" w:cs="宋体"/>
          <w:b w:val="0"/>
          <w:bCs/>
          <w:color w:val="auto"/>
          <w:sz w:val="24"/>
          <w:szCs w:val="24"/>
          <w:highlight w:val="none"/>
          <w:u w:val="none"/>
        </w:rPr>
        <w:t>2.现场条件</w:t>
      </w:r>
    </w:p>
    <w:p w14:paraId="2D587697">
      <w:pPr>
        <w:spacing w:line="360" w:lineRule="auto"/>
        <w:ind w:firstLine="480" w:firstLineChars="200"/>
        <w:rPr>
          <w:rFonts w:hint="eastAsia" w:ascii="宋体" w:hAnsi="宋体" w:eastAsia="宋体" w:cs="宋体"/>
          <w:b w:val="0"/>
          <w:bCs/>
          <w:color w:val="auto"/>
          <w:sz w:val="24"/>
          <w:szCs w:val="24"/>
          <w:highlight w:val="none"/>
          <w:u w:val="none"/>
        </w:rPr>
      </w:pPr>
      <w:r>
        <w:rPr>
          <w:rFonts w:hint="eastAsia" w:ascii="宋体" w:hAnsi="宋体" w:eastAsia="宋体" w:cs="宋体"/>
          <w:b w:val="0"/>
          <w:bCs/>
          <w:color w:val="auto"/>
          <w:sz w:val="24"/>
          <w:szCs w:val="24"/>
          <w:highlight w:val="none"/>
          <w:u w:val="none"/>
        </w:rPr>
        <w:t>目前施工现场通水、通电工作均已完成，具备项目施工条件。</w:t>
      </w:r>
    </w:p>
    <w:p w14:paraId="36116460">
      <w:pPr>
        <w:spacing w:line="360" w:lineRule="auto"/>
        <w:ind w:firstLine="480" w:firstLineChars="200"/>
        <w:rPr>
          <w:rFonts w:hint="eastAsia" w:ascii="宋体" w:hAnsi="宋体" w:eastAsia="宋体" w:cs="宋体"/>
          <w:b w:val="0"/>
          <w:bCs/>
          <w:color w:val="auto"/>
          <w:sz w:val="24"/>
          <w:szCs w:val="24"/>
          <w:highlight w:val="none"/>
          <w:u w:val="none"/>
          <w:lang w:eastAsia="zh-CN"/>
        </w:rPr>
      </w:pPr>
      <w:r>
        <w:rPr>
          <w:rFonts w:hint="eastAsia" w:ascii="宋体" w:hAnsi="宋体" w:eastAsia="宋体" w:cs="宋体"/>
          <w:b w:val="0"/>
          <w:bCs/>
          <w:color w:val="auto"/>
          <w:sz w:val="24"/>
          <w:szCs w:val="24"/>
          <w:highlight w:val="none"/>
          <w:u w:val="none"/>
          <w:lang w:val="en-US" w:eastAsia="zh-CN"/>
        </w:rPr>
        <w:t>3.</w:t>
      </w:r>
      <w:r>
        <w:rPr>
          <w:rFonts w:hint="eastAsia" w:ascii="宋体" w:hAnsi="宋体" w:eastAsia="宋体" w:cs="宋体"/>
          <w:b w:val="0"/>
          <w:bCs/>
          <w:color w:val="auto"/>
          <w:sz w:val="24"/>
          <w:szCs w:val="24"/>
          <w:highlight w:val="none"/>
          <w:u w:val="none"/>
        </w:rPr>
        <w:t>工程承包范围</w:t>
      </w:r>
      <w:r>
        <w:rPr>
          <w:rFonts w:hint="eastAsia" w:ascii="宋体" w:hAnsi="宋体" w:eastAsia="宋体" w:cs="宋体"/>
          <w:b w:val="0"/>
          <w:bCs/>
          <w:color w:val="auto"/>
          <w:sz w:val="24"/>
          <w:szCs w:val="24"/>
          <w:highlight w:val="none"/>
          <w:u w:val="none"/>
          <w:lang w:eastAsia="zh-CN"/>
        </w:rPr>
        <w:t>：</w:t>
      </w:r>
    </w:p>
    <w:p w14:paraId="43FBB185">
      <w:pPr>
        <w:spacing w:line="360" w:lineRule="auto"/>
        <w:ind w:firstLine="480" w:firstLineChars="200"/>
        <w:rPr>
          <w:rFonts w:hint="default" w:ascii="宋体" w:hAnsi="宋体" w:eastAsia="宋体" w:cs="宋体"/>
          <w:b w:val="0"/>
          <w:bCs/>
          <w:color w:val="auto"/>
          <w:sz w:val="24"/>
          <w:szCs w:val="24"/>
          <w:highlight w:val="none"/>
          <w:u w:val="none"/>
          <w:lang w:val="en-US" w:eastAsia="zh-CN"/>
        </w:rPr>
      </w:pPr>
      <w:r>
        <w:rPr>
          <w:rFonts w:hint="eastAsia" w:ascii="宋体" w:hAnsi="宋体" w:eastAsia="宋体" w:cs="宋体"/>
          <w:b w:val="0"/>
          <w:bCs/>
          <w:color w:val="auto"/>
          <w:sz w:val="24"/>
          <w:szCs w:val="24"/>
          <w:highlight w:val="none"/>
          <w:u w:val="none"/>
        </w:rPr>
        <w:t>※工程承包范围为磋商文件、磋商记录、</w:t>
      </w:r>
      <w:r>
        <w:rPr>
          <w:rFonts w:hint="eastAsia" w:ascii="宋体" w:hAnsi="宋体" w:eastAsia="宋体" w:cs="宋体"/>
          <w:b w:val="0"/>
          <w:bCs/>
          <w:color w:val="auto"/>
          <w:sz w:val="24"/>
          <w:szCs w:val="24"/>
          <w:highlight w:val="none"/>
          <w:u w:val="none"/>
          <w:lang w:val="en-US" w:eastAsia="zh-CN"/>
        </w:rPr>
        <w:t>清单</w:t>
      </w:r>
      <w:r>
        <w:rPr>
          <w:rFonts w:hint="eastAsia" w:ascii="宋体" w:hAnsi="宋体" w:eastAsia="宋体" w:cs="宋体"/>
          <w:b w:val="0"/>
          <w:bCs/>
          <w:color w:val="auto"/>
          <w:sz w:val="24"/>
          <w:szCs w:val="24"/>
          <w:highlight w:val="none"/>
          <w:u w:val="none"/>
        </w:rPr>
        <w:t>中包含的所有内容。</w:t>
      </w:r>
    </w:p>
    <w:p w14:paraId="417FE01A">
      <w:pPr>
        <w:spacing w:line="360" w:lineRule="auto"/>
        <w:ind w:firstLine="480" w:firstLineChars="200"/>
        <w:rPr>
          <w:rFonts w:hint="eastAsia" w:ascii="宋体" w:hAnsi="宋体" w:eastAsia="宋体" w:cs="宋体"/>
          <w:b w:val="0"/>
          <w:bCs/>
          <w:color w:val="auto"/>
          <w:sz w:val="24"/>
          <w:szCs w:val="24"/>
          <w:highlight w:val="none"/>
          <w:u w:val="none"/>
        </w:rPr>
      </w:pPr>
      <w:r>
        <w:rPr>
          <w:rFonts w:hint="eastAsia" w:ascii="宋体" w:hAnsi="宋体" w:eastAsia="宋体" w:cs="宋体"/>
          <w:b w:val="0"/>
          <w:bCs/>
          <w:color w:val="auto"/>
          <w:sz w:val="24"/>
          <w:szCs w:val="24"/>
          <w:highlight w:val="none"/>
          <w:u w:val="none"/>
        </w:rPr>
        <w:t>以上与施工相关的管理要求所需要的费用包含在各综合单价、合价和磋商响应总报价中。</w:t>
      </w:r>
    </w:p>
    <w:p w14:paraId="6EE7D228">
      <w:pPr>
        <w:spacing w:line="360" w:lineRule="auto"/>
        <w:ind w:firstLine="480" w:firstLineChars="200"/>
        <w:rPr>
          <w:rFonts w:hint="eastAsia" w:ascii="宋体" w:hAnsi="宋体" w:eastAsia="宋体" w:cs="宋体"/>
          <w:b w:val="0"/>
          <w:bCs/>
          <w:color w:val="auto"/>
          <w:sz w:val="24"/>
          <w:szCs w:val="24"/>
          <w:highlight w:val="none"/>
          <w:u w:val="none"/>
        </w:rPr>
      </w:pPr>
      <w:r>
        <w:rPr>
          <w:rFonts w:hint="eastAsia" w:ascii="宋体" w:hAnsi="宋体" w:eastAsia="宋体" w:cs="宋体"/>
          <w:b w:val="0"/>
          <w:bCs/>
          <w:color w:val="auto"/>
          <w:sz w:val="24"/>
          <w:szCs w:val="24"/>
          <w:highlight w:val="none"/>
          <w:u w:val="none"/>
        </w:rPr>
        <w:t>本项目</w:t>
      </w:r>
      <w:r>
        <w:rPr>
          <w:rFonts w:hint="eastAsia" w:ascii="宋体" w:hAnsi="宋体" w:eastAsia="宋体" w:cs="宋体"/>
          <w:b w:val="0"/>
          <w:bCs/>
          <w:color w:val="auto"/>
          <w:sz w:val="24"/>
          <w:szCs w:val="24"/>
          <w:highlight w:val="none"/>
          <w:u w:val="none"/>
          <w:lang w:val="en-US" w:eastAsia="zh-CN"/>
        </w:rPr>
        <w:t>采用项目范围内总价包干模式</w:t>
      </w:r>
      <w:r>
        <w:rPr>
          <w:rFonts w:hint="eastAsia" w:ascii="宋体" w:hAnsi="宋体" w:eastAsia="宋体" w:cs="宋体"/>
          <w:b w:val="0"/>
          <w:bCs/>
          <w:color w:val="auto"/>
          <w:sz w:val="24"/>
          <w:szCs w:val="24"/>
          <w:highlight w:val="none"/>
          <w:u w:val="none"/>
        </w:rPr>
        <w:t xml:space="preserve">。 </w:t>
      </w:r>
    </w:p>
    <w:p w14:paraId="231CA8A1">
      <w:pPr>
        <w:spacing w:line="360" w:lineRule="auto"/>
        <w:ind w:firstLine="480" w:firstLineChars="200"/>
        <w:rPr>
          <w:rFonts w:hint="default" w:ascii="宋体" w:hAnsi="宋体" w:eastAsia="宋体" w:cs="宋体"/>
          <w:b w:val="0"/>
          <w:bCs/>
          <w:color w:val="auto"/>
          <w:sz w:val="24"/>
          <w:szCs w:val="24"/>
          <w:highlight w:val="none"/>
          <w:u w:val="none"/>
          <w:lang w:val="en-US" w:eastAsia="zh-CN"/>
        </w:rPr>
      </w:pPr>
      <w:r>
        <w:rPr>
          <w:rFonts w:hint="eastAsia" w:ascii="宋体" w:hAnsi="宋体" w:eastAsia="宋体" w:cs="宋体"/>
          <w:b w:val="0"/>
          <w:bCs/>
          <w:color w:val="auto"/>
          <w:sz w:val="24"/>
          <w:szCs w:val="24"/>
          <w:highlight w:val="none"/>
          <w:u w:val="none"/>
        </w:rPr>
        <w:t>※</w:t>
      </w:r>
      <w:r>
        <w:rPr>
          <w:rFonts w:hint="eastAsia" w:ascii="宋体" w:hAnsi="宋体" w:eastAsia="宋体" w:cs="宋体"/>
          <w:b w:val="0"/>
          <w:bCs/>
          <w:color w:val="auto"/>
          <w:sz w:val="24"/>
          <w:szCs w:val="24"/>
          <w:highlight w:val="none"/>
          <w:u w:val="none"/>
          <w:lang w:val="en-US" w:eastAsia="zh-CN"/>
        </w:rPr>
        <w:t>供应商需在中标后一周内，</w:t>
      </w:r>
      <w:r>
        <w:rPr>
          <w:rFonts w:hint="eastAsia" w:ascii="宋体" w:hAnsi="宋体" w:cs="宋体"/>
          <w:b w:val="0"/>
          <w:bCs/>
          <w:color w:val="auto"/>
          <w:sz w:val="24"/>
          <w:szCs w:val="24"/>
          <w:highlight w:val="none"/>
          <w:u w:val="none"/>
          <w:lang w:val="en-US" w:eastAsia="zh-CN"/>
        </w:rPr>
        <w:t>与甲方进行技术交底</w:t>
      </w:r>
      <w:r>
        <w:rPr>
          <w:rFonts w:hint="eastAsia" w:ascii="宋体" w:hAnsi="宋体" w:eastAsia="宋体" w:cs="宋体"/>
          <w:b w:val="0"/>
          <w:bCs/>
          <w:color w:val="auto"/>
          <w:sz w:val="24"/>
          <w:szCs w:val="24"/>
          <w:highlight w:val="none"/>
          <w:u w:val="none"/>
          <w:lang w:val="en-US" w:eastAsia="zh-CN"/>
        </w:rPr>
        <w:t>。</w:t>
      </w:r>
    </w:p>
    <w:p w14:paraId="7075F645">
      <w:pPr>
        <w:spacing w:line="360" w:lineRule="auto"/>
        <w:ind w:left="210" w:leftChars="100"/>
        <w:jc w:val="left"/>
        <w:rPr>
          <w:rFonts w:ascii="宋体" w:hAnsi="宋体" w:cs="宋体"/>
          <w:color w:val="auto"/>
          <w:sz w:val="24"/>
          <w:highlight w:val="none"/>
        </w:rPr>
      </w:pPr>
      <w:r>
        <w:rPr>
          <w:rFonts w:hint="eastAsia" w:ascii="宋体" w:hAnsi="宋体" w:cs="宋体"/>
          <w:color w:val="auto"/>
          <w:sz w:val="24"/>
          <w:highlight w:val="none"/>
        </w:rPr>
        <w:t>4.工程质量标准</w:t>
      </w:r>
    </w:p>
    <w:p w14:paraId="415D18C4">
      <w:pPr>
        <w:spacing w:line="360"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住建部现行工程质量验收规范以及合同规定的验收评定标准。</w:t>
      </w:r>
    </w:p>
    <w:p w14:paraId="05BC9E00">
      <w:pPr>
        <w:spacing w:line="360" w:lineRule="auto"/>
        <w:ind w:left="210" w:leftChars="100"/>
        <w:jc w:val="left"/>
        <w:rPr>
          <w:rFonts w:ascii="宋体" w:hAnsi="宋体" w:cs="宋体"/>
          <w:color w:val="auto"/>
          <w:sz w:val="24"/>
          <w:highlight w:val="none"/>
        </w:rPr>
      </w:pPr>
      <w:r>
        <w:rPr>
          <w:rFonts w:hint="eastAsia" w:ascii="宋体" w:hAnsi="宋体" w:cs="宋体"/>
          <w:color w:val="auto"/>
          <w:sz w:val="24"/>
          <w:highlight w:val="none"/>
        </w:rPr>
        <w:t>5.工程施工要求</w:t>
      </w:r>
    </w:p>
    <w:p w14:paraId="52FB739F">
      <w:pPr>
        <w:pStyle w:val="19"/>
        <w:numPr>
          <w:ilvl w:val="0"/>
          <w:numId w:val="2"/>
        </w:numPr>
        <w:spacing w:line="360" w:lineRule="auto"/>
        <w:jc w:val="both"/>
        <w:rPr>
          <w:rFonts w:ascii="宋体" w:hAnsi="宋体" w:cs="宋体"/>
          <w:color w:val="auto"/>
          <w:sz w:val="24"/>
          <w:highlight w:val="none"/>
        </w:rPr>
      </w:pPr>
      <w:r>
        <w:rPr>
          <w:rFonts w:hint="eastAsia" w:ascii="宋体" w:hAnsi="宋体" w:cs="宋体"/>
          <w:color w:val="auto"/>
          <w:sz w:val="24"/>
          <w:highlight w:val="none"/>
        </w:rPr>
        <w:t>工程技术规范要求：</w:t>
      </w:r>
    </w:p>
    <w:p w14:paraId="037041F5">
      <w:pPr>
        <w:pStyle w:val="19"/>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本工程项目的材料、设备、施工必须达到现行中华人民共和国及省、市、行业的一切有关法规、规范的要求，如标准及规范要求有出入则以较严格者为准。</w:t>
      </w:r>
    </w:p>
    <w:p w14:paraId="350DB276">
      <w:pPr>
        <w:pStyle w:val="19"/>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对本工程所采用的标准或规范的任何部分，当成交供应商认为改用其他标准或规范，同样能够保证工程达到相同质量或更高的质量时，成交供应商可提出申请报经采购人审批后采用，但这种批准不免除成交供应商根据合同规定应承担的任何责任。申请报告中应对原采用的标准或规范与所建议改用的其他标准或规范之间的差异进行详细说明。获批之前成交供应商仍应执行原采用的标准或规范。</w:t>
      </w:r>
    </w:p>
    <w:p w14:paraId="2D34AB3F">
      <w:pPr>
        <w:pStyle w:val="19"/>
        <w:numPr>
          <w:ilvl w:val="0"/>
          <w:numId w:val="2"/>
        </w:numPr>
        <w:spacing w:line="360" w:lineRule="auto"/>
        <w:jc w:val="both"/>
        <w:rPr>
          <w:rFonts w:ascii="宋体" w:hAnsi="宋体" w:cs="宋体"/>
          <w:color w:val="auto"/>
          <w:sz w:val="24"/>
          <w:highlight w:val="none"/>
        </w:rPr>
      </w:pPr>
      <w:r>
        <w:rPr>
          <w:rFonts w:hint="eastAsia" w:ascii="宋体" w:hAnsi="宋体" w:cs="宋体"/>
          <w:color w:val="auto"/>
          <w:sz w:val="24"/>
          <w:highlight w:val="none"/>
        </w:rPr>
        <w:t>安全文明施工要求</w:t>
      </w:r>
    </w:p>
    <w:p w14:paraId="630F0C28">
      <w:pPr>
        <w:pStyle w:val="19"/>
        <w:numPr>
          <w:ilvl w:val="0"/>
          <w:numId w:val="3"/>
        </w:numPr>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成交供应商应对进度施工现场的施工人员进行安全文明施工教育，配备必要的劳动保护用具，保证工程的施工安全和人身安全。</w:t>
      </w:r>
    </w:p>
    <w:p w14:paraId="1C48A717">
      <w:pPr>
        <w:pStyle w:val="19"/>
        <w:numPr>
          <w:ilvl w:val="0"/>
          <w:numId w:val="3"/>
        </w:numPr>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成交供应商应强化安全意识，抓好安全生产，杜绝事故发生，施工中若因供应商原因发生安全及人身事故由成交供应商自行负责处理，并承担全部费用。</w:t>
      </w:r>
    </w:p>
    <w:p w14:paraId="22373635">
      <w:pPr>
        <w:pStyle w:val="19"/>
        <w:numPr>
          <w:ilvl w:val="0"/>
          <w:numId w:val="3"/>
        </w:numPr>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成交供应商须遵守地方政府和有关部门及采购人对施工场地交通、环卫、安全和施工噪音等的管理规定，并按规定办理相关审批手续。</w:t>
      </w:r>
    </w:p>
    <w:p w14:paraId="43E26B49">
      <w:pPr>
        <w:pStyle w:val="19"/>
        <w:numPr>
          <w:ilvl w:val="0"/>
          <w:numId w:val="3"/>
        </w:numPr>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成交供应商应采取有效措施尽量减小尘土和噪音污染，需要进行夜间作业时应经有关部门批准。</w:t>
      </w:r>
    </w:p>
    <w:p w14:paraId="3938AC46">
      <w:pPr>
        <w:pStyle w:val="19"/>
        <w:numPr>
          <w:ilvl w:val="0"/>
          <w:numId w:val="2"/>
        </w:numPr>
        <w:spacing w:line="360" w:lineRule="auto"/>
        <w:jc w:val="both"/>
        <w:rPr>
          <w:rFonts w:ascii="宋体" w:hAnsi="宋体" w:cs="宋体"/>
          <w:color w:val="auto"/>
          <w:sz w:val="24"/>
          <w:highlight w:val="none"/>
        </w:rPr>
      </w:pPr>
      <w:r>
        <w:rPr>
          <w:rFonts w:hint="eastAsia" w:ascii="宋体" w:hAnsi="宋体" w:cs="宋体"/>
          <w:color w:val="auto"/>
          <w:sz w:val="24"/>
          <w:highlight w:val="none"/>
        </w:rPr>
        <w:t>其它施工过程中需注意事项</w:t>
      </w:r>
    </w:p>
    <w:p w14:paraId="3D59492D">
      <w:pPr>
        <w:pStyle w:val="19"/>
        <w:numPr>
          <w:ilvl w:val="0"/>
          <w:numId w:val="4"/>
        </w:numPr>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本工程在施工期间，成交供应商应注意保护好采购人周边现有成品，如有损坏，须无条件修复至采购人满意。</w:t>
      </w:r>
    </w:p>
    <w:p w14:paraId="52C402AD">
      <w:pPr>
        <w:pStyle w:val="19"/>
        <w:numPr>
          <w:ilvl w:val="0"/>
          <w:numId w:val="4"/>
        </w:numPr>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废弃材料不得丢弃或随意堆放在校园内，清理产生的拆除费、搬运费、交通运输费等各项费用均由供应商自行考虑并计入响应总价且一次性包干</w:t>
      </w:r>
    </w:p>
    <w:p w14:paraId="38134F0E">
      <w:pPr>
        <w:pStyle w:val="19"/>
        <w:numPr>
          <w:ilvl w:val="0"/>
          <w:numId w:val="4"/>
        </w:numPr>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工程完工后，成交供应商需对施工现场进行全面的清洁工作。</w:t>
      </w:r>
    </w:p>
    <w:p w14:paraId="3338D280">
      <w:pPr>
        <w:pStyle w:val="969"/>
        <w:spacing w:line="360" w:lineRule="auto"/>
        <w:ind w:left="210" w:firstLine="0" w:firstLineChars="0"/>
        <w:jc w:val="left"/>
        <w:rPr>
          <w:rFonts w:ascii="宋体" w:hAnsi="宋体" w:cs="宋体"/>
          <w:color w:val="auto"/>
          <w:sz w:val="24"/>
          <w:highlight w:val="none"/>
        </w:rPr>
      </w:pPr>
      <w:r>
        <w:rPr>
          <w:rFonts w:hint="eastAsia" w:ascii="宋体" w:hAnsi="宋体" w:cs="宋体"/>
          <w:color w:val="auto"/>
          <w:sz w:val="24"/>
          <w:highlight w:val="none"/>
        </w:rPr>
        <w:t>6.工程管理要求</w:t>
      </w:r>
    </w:p>
    <w:p w14:paraId="200A418C">
      <w:pPr>
        <w:pStyle w:val="19"/>
        <w:numPr>
          <w:ilvl w:val="0"/>
          <w:numId w:val="5"/>
        </w:numPr>
        <w:spacing w:line="360" w:lineRule="auto"/>
        <w:jc w:val="both"/>
        <w:rPr>
          <w:rFonts w:ascii="宋体" w:hAnsi="宋体" w:cs="宋体"/>
          <w:color w:val="auto"/>
          <w:sz w:val="24"/>
          <w:highlight w:val="none"/>
        </w:rPr>
      </w:pPr>
      <w:r>
        <w:rPr>
          <w:rFonts w:hint="eastAsia" w:ascii="宋体" w:hAnsi="宋体" w:cs="宋体"/>
          <w:color w:val="auto"/>
          <w:sz w:val="24"/>
          <w:highlight w:val="none"/>
        </w:rPr>
        <w:t>工程管理原则：</w:t>
      </w:r>
    </w:p>
    <w:p w14:paraId="2280C780">
      <w:pPr>
        <w:pStyle w:val="969"/>
        <w:tabs>
          <w:tab w:val="left" w:pos="420"/>
        </w:tabs>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①本工程承包范围内的工程项目，成交供应商未经采购人同意，一律不得转包，一经发现采购人有权立即取消其承包资格，成交供应商应承担由此引起的一切经济责任和法律责任；</w:t>
      </w:r>
    </w:p>
    <w:p w14:paraId="5708E0AF">
      <w:pPr>
        <w:pStyle w:val="969"/>
        <w:tabs>
          <w:tab w:val="left" w:pos="420"/>
        </w:tabs>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②在工程实施过程中，如发现成交供应商为挂靠单位，采购人可立即终止合同。成交供应商应承担由此引起的一切经济责任和法律责任。</w:t>
      </w:r>
    </w:p>
    <w:p w14:paraId="57E0FD3B">
      <w:pPr>
        <w:pStyle w:val="969"/>
        <w:tabs>
          <w:tab w:val="left" w:pos="420"/>
        </w:tabs>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③成交供应商须严格按照已确认的施工技术方案组织实施，并无条件接受采购人的项目管理部门的管理。</w:t>
      </w:r>
    </w:p>
    <w:p w14:paraId="68CC787E">
      <w:pPr>
        <w:pStyle w:val="969"/>
        <w:tabs>
          <w:tab w:val="left" w:pos="420"/>
        </w:tabs>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④成交供应商在响应文件中确定的工程</w:t>
      </w:r>
      <w:r>
        <w:rPr>
          <w:rFonts w:hint="eastAsia" w:ascii="宋体" w:hAnsi="宋体" w:cs="宋体"/>
          <w:color w:val="auto"/>
          <w:sz w:val="24"/>
          <w:highlight w:val="none"/>
          <w:lang w:eastAsia="zh-CN"/>
        </w:rPr>
        <w:t>项目经理</w:t>
      </w:r>
      <w:r>
        <w:rPr>
          <w:rFonts w:hint="eastAsia" w:ascii="宋体" w:hAnsi="宋体" w:cs="宋体"/>
          <w:color w:val="auto"/>
          <w:sz w:val="24"/>
          <w:highlight w:val="none"/>
        </w:rPr>
        <w:t>及项目管理班子人员，未经采购人同意，不得调换和撤离，本工程确定的成交人的项目管理班子成员，不得兼任其他工程职务并应完全到位。采购人有权要求成交供应商撤换工作不负责任、管理不力、贻误工期、违法乱纪及造成严重安全事故和工程质量事故的项目班子的任何人员，直至项目经理本人。如项目班子成员被采购人撤换，按项目班子成员不到位处罚额度进行处罚，成交供应商不得姑息迁就，拖延撤换和有碍工程进展，否则，采购人有权单方面终止合同，并对由此造成的采购人损失，予以追究赔偿。</w:t>
      </w:r>
    </w:p>
    <w:p w14:paraId="4BEDA6AA">
      <w:pPr>
        <w:pStyle w:val="19"/>
        <w:numPr>
          <w:ilvl w:val="0"/>
          <w:numId w:val="5"/>
        </w:numPr>
        <w:spacing w:line="360" w:lineRule="auto"/>
        <w:jc w:val="both"/>
        <w:rPr>
          <w:rFonts w:ascii="宋体" w:hAnsi="宋体" w:cs="宋体"/>
          <w:color w:val="auto"/>
          <w:sz w:val="24"/>
          <w:highlight w:val="none"/>
        </w:rPr>
      </w:pPr>
      <w:r>
        <w:rPr>
          <w:rFonts w:hint="eastAsia" w:ascii="宋体" w:hAnsi="宋体" w:cs="宋体"/>
          <w:color w:val="auto"/>
          <w:sz w:val="24"/>
          <w:highlight w:val="none"/>
        </w:rPr>
        <w:t>项目管理班子人员要求</w:t>
      </w:r>
      <w:r>
        <w:rPr>
          <w:rFonts w:hint="eastAsia" w:ascii="宋体" w:hAnsi="宋体" w:cs="宋体"/>
          <w:color w:val="auto"/>
          <w:sz w:val="24"/>
          <w:highlight w:val="none"/>
          <w:lang w:eastAsia="zh-CN"/>
        </w:rPr>
        <w:t>：</w:t>
      </w:r>
    </w:p>
    <w:p w14:paraId="18A8D673">
      <w:pPr>
        <w:pStyle w:val="969"/>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①项目经理：本项目拟派项目经理</w:t>
      </w:r>
      <w:r>
        <w:rPr>
          <w:rFonts w:hint="eastAsia" w:ascii="宋体" w:hAnsi="宋体" w:cs="宋体"/>
          <w:color w:val="auto"/>
          <w:sz w:val="24"/>
          <w:highlight w:val="none"/>
          <w:u w:val="none"/>
        </w:rPr>
        <w:t>除具备建筑工程专业</w:t>
      </w:r>
      <w:r>
        <w:rPr>
          <w:rFonts w:hint="eastAsia" w:ascii="宋体" w:hAnsi="宋体" w:cs="宋体"/>
          <w:color w:val="auto"/>
          <w:sz w:val="24"/>
          <w:highlight w:val="none"/>
        </w:rPr>
        <w:t>注册建造师资格，无在建项目外，还应具有类似施工经验以及相关专业技术职称，在施工过程中，应确保到位率达到</w:t>
      </w:r>
      <w:r>
        <w:rPr>
          <w:rFonts w:hint="eastAsia" w:ascii="宋体" w:hAnsi="宋体" w:cs="宋体"/>
          <w:color w:val="auto"/>
          <w:sz w:val="24"/>
          <w:highlight w:val="none"/>
          <w:lang w:val="en-US" w:eastAsia="zh-CN"/>
        </w:rPr>
        <w:t>80</w:t>
      </w:r>
      <w:r>
        <w:rPr>
          <w:rFonts w:hint="eastAsia" w:ascii="宋体" w:hAnsi="宋体" w:cs="宋体"/>
          <w:color w:val="auto"/>
          <w:sz w:val="24"/>
          <w:highlight w:val="none"/>
        </w:rPr>
        <w:t>%（含）以上；</w:t>
      </w:r>
    </w:p>
    <w:p w14:paraId="330140B0">
      <w:pPr>
        <w:pStyle w:val="969"/>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②拟派技术负责人应具有类似工程施工经验以及相关专业技术职称；</w:t>
      </w:r>
    </w:p>
    <w:p w14:paraId="1C56C375">
      <w:pPr>
        <w:pStyle w:val="969"/>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③拟派项目管理班子中施工员、安全员、质检员、材料员等重要岗位应人员配置齐全。</w:t>
      </w:r>
    </w:p>
    <w:p w14:paraId="4EA842B8">
      <w:pPr>
        <w:pStyle w:val="19"/>
        <w:numPr>
          <w:ilvl w:val="0"/>
          <w:numId w:val="5"/>
        </w:numPr>
        <w:spacing w:line="360" w:lineRule="auto"/>
        <w:jc w:val="both"/>
        <w:rPr>
          <w:rFonts w:ascii="宋体" w:hAnsi="宋体" w:cs="宋体"/>
          <w:color w:val="auto"/>
          <w:sz w:val="24"/>
          <w:highlight w:val="none"/>
        </w:rPr>
      </w:pPr>
      <w:r>
        <w:rPr>
          <w:rFonts w:hint="eastAsia" w:ascii="宋体" w:hAnsi="宋体" w:cs="宋体"/>
          <w:color w:val="auto"/>
          <w:sz w:val="24"/>
          <w:highlight w:val="none"/>
        </w:rPr>
        <w:t>工程管理其他要求</w:t>
      </w:r>
    </w:p>
    <w:p w14:paraId="1F731F09">
      <w:pPr>
        <w:pStyle w:val="969"/>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①本项目施工现场采购人不提供食宿，施工期间，所有施工人员的食宿均由成交供应商自行安排，材料的堆放及停车必须服从采购人的安排。</w:t>
      </w:r>
    </w:p>
    <w:p w14:paraId="59EB7C59">
      <w:pPr>
        <w:pStyle w:val="969"/>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②施工现场严禁吸烟。</w:t>
      </w:r>
    </w:p>
    <w:p w14:paraId="5099B536">
      <w:pPr>
        <w:spacing w:line="360" w:lineRule="auto"/>
        <w:ind w:left="210" w:leftChars="100"/>
        <w:jc w:val="left"/>
        <w:rPr>
          <w:rFonts w:ascii="宋体" w:hAnsi="宋体" w:cs="宋体"/>
          <w:color w:val="auto"/>
          <w:sz w:val="24"/>
          <w:highlight w:val="none"/>
        </w:rPr>
      </w:pPr>
      <w:r>
        <w:rPr>
          <w:rFonts w:hint="eastAsia" w:ascii="宋体" w:hAnsi="宋体" w:cs="宋体"/>
          <w:color w:val="auto"/>
          <w:sz w:val="24"/>
          <w:highlight w:val="none"/>
        </w:rPr>
        <w:t xml:space="preserve">7.工程主要材料（设备）要求  </w:t>
      </w:r>
    </w:p>
    <w:p w14:paraId="770891C5">
      <w:pPr>
        <w:pStyle w:val="969"/>
        <w:numPr>
          <w:ilvl w:val="0"/>
          <w:numId w:val="6"/>
        </w:numPr>
        <w:snapToGrid w:val="0"/>
        <w:spacing w:line="360" w:lineRule="auto"/>
        <w:ind w:left="0" w:firstLine="420" w:firstLineChars="0"/>
        <w:jc w:val="left"/>
        <w:rPr>
          <w:rFonts w:ascii="宋体" w:hAnsi="宋体" w:cs="宋体"/>
          <w:color w:val="auto"/>
          <w:sz w:val="24"/>
          <w:highlight w:val="none"/>
        </w:rPr>
      </w:pPr>
      <w:r>
        <w:rPr>
          <w:rFonts w:hint="eastAsia" w:ascii="宋体" w:hAnsi="宋体" w:cs="宋体"/>
          <w:color w:val="auto"/>
          <w:sz w:val="24"/>
          <w:highlight w:val="none"/>
        </w:rPr>
        <w:t>本项目涉及的所有材料设备，必须经采购人/监理公司确认后方能采购、进场、加工、安装。否则一律不予承认，不予支付相应款项。</w:t>
      </w:r>
    </w:p>
    <w:p w14:paraId="28D789D4">
      <w:pPr>
        <w:pStyle w:val="969"/>
        <w:numPr>
          <w:ilvl w:val="0"/>
          <w:numId w:val="6"/>
        </w:numPr>
        <w:snapToGrid w:val="0"/>
        <w:spacing w:line="360" w:lineRule="auto"/>
        <w:ind w:left="0" w:firstLine="420" w:firstLineChars="0"/>
        <w:jc w:val="left"/>
        <w:rPr>
          <w:rFonts w:ascii="宋体" w:hAnsi="宋体" w:cs="宋体"/>
          <w:b w:val="0"/>
          <w:color w:val="auto"/>
          <w:sz w:val="24"/>
          <w:highlight w:val="none"/>
        </w:rPr>
      </w:pPr>
      <w:r>
        <w:rPr>
          <w:rFonts w:hint="eastAsia" w:ascii="宋体" w:hAnsi="宋体" w:cs="宋体"/>
          <w:color w:val="auto"/>
          <w:sz w:val="24"/>
          <w:highlight w:val="none"/>
        </w:rPr>
        <w:t>材料规格：本磋商文件涉及的主要设备和材料，各供应商须根据磋商文件要求的用材规格进行选材并报价，并符合环保要求，严禁选择不符合施工图纸要求的低档材料进行响应报价及组织施工实施，如有其它国家强制性认证要求的也必须满足；</w:t>
      </w:r>
    </w:p>
    <w:p w14:paraId="6F4AEFD0">
      <w:pPr>
        <w:pStyle w:val="969"/>
        <w:numPr>
          <w:ilvl w:val="0"/>
          <w:numId w:val="6"/>
        </w:numPr>
        <w:snapToGrid w:val="0"/>
        <w:spacing w:line="360" w:lineRule="auto"/>
        <w:ind w:left="0" w:firstLine="420" w:firstLineChars="0"/>
        <w:jc w:val="left"/>
        <w:rPr>
          <w:rFonts w:ascii="宋体" w:hAnsi="宋体" w:cs="宋体"/>
          <w:color w:val="auto"/>
          <w:sz w:val="24"/>
          <w:highlight w:val="none"/>
        </w:rPr>
      </w:pPr>
      <w:r>
        <w:rPr>
          <w:rFonts w:hint="eastAsia" w:ascii="宋体" w:hAnsi="宋体" w:cs="宋体"/>
          <w:color w:val="auto"/>
          <w:sz w:val="24"/>
          <w:highlight w:val="none"/>
        </w:rPr>
        <w:t>供应商应在响应文件中写明各类主要材料（设备）的选用品牌、产地和规格，若未注明品牌的可由采购人自行选择。若成交后注明的品牌或采购人选择的品牌在施工期间市场上无现货供应，须进行订制，如该品牌无法订制时，采购人有权选择其它品牌。成交供应商不按该选用的材料和设备采购的，采购人有权拒绝验收。</w:t>
      </w:r>
    </w:p>
    <w:p w14:paraId="01B32954">
      <w:pPr>
        <w:spacing w:line="360" w:lineRule="auto"/>
        <w:ind w:firstLine="480" w:firstLineChars="200"/>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主材参考品牌：</w:t>
      </w:r>
    </w:p>
    <w:p w14:paraId="6445862D">
      <w:pPr>
        <w:numPr>
          <w:ilvl w:val="0"/>
          <w:numId w:val="7"/>
        </w:numPr>
        <w:spacing w:line="360" w:lineRule="auto"/>
        <w:ind w:firstLine="480" w:firstLineChars="200"/>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油漆品牌：宝佳丽，保丽捷，三棵树或同等档次及以上</w:t>
      </w:r>
    </w:p>
    <w:p w14:paraId="29DA60A2">
      <w:pPr>
        <w:spacing w:line="360" w:lineRule="auto"/>
        <w:ind w:firstLine="482" w:firstLineChars="200"/>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注：主材、设备进场时需随材料提交检测报告、合格证等资料</w:t>
      </w:r>
    </w:p>
    <w:p w14:paraId="3182B6EC">
      <w:pPr>
        <w:pStyle w:val="969"/>
        <w:numPr>
          <w:ilvl w:val="0"/>
          <w:numId w:val="6"/>
        </w:numPr>
        <w:snapToGrid w:val="0"/>
        <w:spacing w:line="360" w:lineRule="auto"/>
        <w:ind w:left="0" w:firstLine="420" w:firstLineChars="0"/>
        <w:jc w:val="left"/>
        <w:rPr>
          <w:rFonts w:ascii="宋体" w:hAnsi="宋体" w:cs="宋体"/>
          <w:color w:val="auto"/>
          <w:sz w:val="24"/>
          <w:highlight w:val="none"/>
        </w:rPr>
      </w:pPr>
      <w:r>
        <w:rPr>
          <w:rFonts w:hint="eastAsia" w:ascii="宋体" w:hAnsi="宋体" w:cs="宋体"/>
          <w:color w:val="auto"/>
          <w:sz w:val="24"/>
          <w:highlight w:val="none"/>
        </w:rPr>
        <w:t>供应商应当有详细的材料（设备）供应计划及质量保证措施；</w:t>
      </w:r>
    </w:p>
    <w:p w14:paraId="61CF7C94">
      <w:pPr>
        <w:pStyle w:val="969"/>
        <w:numPr>
          <w:ilvl w:val="0"/>
          <w:numId w:val="6"/>
        </w:numPr>
        <w:snapToGrid w:val="0"/>
        <w:spacing w:line="360" w:lineRule="auto"/>
        <w:ind w:left="0" w:firstLine="420" w:firstLineChars="0"/>
        <w:jc w:val="left"/>
        <w:rPr>
          <w:rFonts w:ascii="宋体" w:hAnsi="宋体" w:cs="宋体"/>
          <w:color w:val="auto"/>
          <w:sz w:val="24"/>
          <w:highlight w:val="none"/>
        </w:rPr>
      </w:pPr>
      <w:r>
        <w:rPr>
          <w:rFonts w:hint="eastAsia" w:ascii="宋体" w:hAnsi="宋体" w:cs="宋体"/>
          <w:color w:val="auto"/>
          <w:sz w:val="24"/>
          <w:highlight w:val="none"/>
        </w:rPr>
        <w:t>材料的质量要求：材料检验按法律、法规、文件规定的见证取样和送检规定的程序进行。凡检验结果证明其有害物质含量指标超标的产品不得在工程上使用。</w:t>
      </w:r>
    </w:p>
    <w:p w14:paraId="02B60443">
      <w:pPr>
        <w:spacing w:line="360" w:lineRule="auto"/>
        <w:jc w:val="left"/>
        <w:rPr>
          <w:rFonts w:hint="eastAsia" w:ascii="宋体" w:hAnsi="宋体" w:cs="宋体"/>
          <w:b/>
          <w:bCs/>
          <w:color w:val="auto"/>
          <w:sz w:val="24"/>
          <w:highlight w:val="none"/>
        </w:rPr>
      </w:pPr>
    </w:p>
    <w:p w14:paraId="04536E10">
      <w:pPr>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三、商务要求</w:t>
      </w:r>
    </w:p>
    <w:p w14:paraId="3F02B87B">
      <w:pPr>
        <w:spacing w:line="360" w:lineRule="auto"/>
        <w:ind w:left="210" w:leftChars="1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1.工期要求：</w:t>
      </w:r>
      <w:r>
        <w:rPr>
          <w:rFonts w:hint="eastAsia" w:ascii="宋体" w:hAnsi="宋体" w:cs="宋体"/>
          <w:color w:val="auto"/>
          <w:sz w:val="24"/>
          <w:highlight w:val="none"/>
          <w:lang w:eastAsia="zh-CN"/>
        </w:rPr>
        <w:t>杭州高级中学钱塘学校校舍外墙外立面维修</w:t>
      </w:r>
      <w:r>
        <w:rPr>
          <w:rFonts w:hint="eastAsia" w:ascii="宋体" w:hAnsi="宋体" w:cs="宋体"/>
          <w:color w:val="auto"/>
          <w:sz w:val="24"/>
          <w:highlight w:val="none"/>
        </w:rPr>
        <w:t>2.工程地点：</w:t>
      </w:r>
      <w:r>
        <w:rPr>
          <w:rFonts w:hint="eastAsia" w:ascii="宋体" w:hAnsi="宋体" w:cs="宋体"/>
          <w:color w:val="auto"/>
          <w:sz w:val="24"/>
          <w:highlight w:val="none"/>
          <w:lang w:val="en-US" w:eastAsia="zh-CN"/>
        </w:rPr>
        <w:t>杭州市</w:t>
      </w:r>
      <w:r>
        <w:rPr>
          <w:rFonts w:hint="eastAsia" w:ascii="宋体" w:hAnsi="宋体" w:cs="宋体"/>
          <w:color w:val="auto"/>
          <w:sz w:val="24"/>
          <w:highlight w:val="none"/>
          <w:lang w:eastAsia="zh-CN"/>
        </w:rPr>
        <w:t>钱塘区河庄街道浩瀚路1号</w:t>
      </w:r>
    </w:p>
    <w:p w14:paraId="63DBF0F9">
      <w:pPr>
        <w:spacing w:line="360" w:lineRule="auto"/>
        <w:ind w:left="210" w:leftChars="100"/>
        <w:jc w:val="left"/>
        <w:rPr>
          <w:rFonts w:ascii="宋体" w:hAnsi="宋体" w:cs="宋体"/>
          <w:color w:val="auto"/>
          <w:sz w:val="24"/>
          <w:highlight w:val="none"/>
        </w:rPr>
      </w:pPr>
      <w:r>
        <w:rPr>
          <w:rFonts w:hint="eastAsia" w:ascii="宋体" w:hAnsi="宋体" w:cs="宋体"/>
          <w:color w:val="auto"/>
          <w:sz w:val="24"/>
          <w:highlight w:val="none"/>
        </w:rPr>
        <w:t>3.付款条件（进度和方式）</w:t>
      </w:r>
    </w:p>
    <w:p w14:paraId="34BD9B6F">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（1）项目合同签订后</w:t>
      </w:r>
      <w:r>
        <w:rPr>
          <w:rFonts w:hint="eastAsia" w:ascii="宋体" w:hAnsi="宋体"/>
          <w:color w:val="auto"/>
          <w:sz w:val="24"/>
          <w:highlight w:val="none"/>
          <w:lang w:val="en-US" w:eastAsia="zh-CN"/>
        </w:rPr>
        <w:t>具备实施条件7</w:t>
      </w:r>
      <w:r>
        <w:rPr>
          <w:rFonts w:hint="eastAsia" w:ascii="宋体" w:hAnsi="宋体"/>
          <w:color w:val="auto"/>
          <w:sz w:val="24"/>
          <w:highlight w:val="none"/>
        </w:rPr>
        <w:t>个</w:t>
      </w:r>
      <w:r>
        <w:rPr>
          <w:rFonts w:hint="eastAsia" w:ascii="宋体" w:hAnsi="宋体"/>
          <w:color w:val="auto"/>
          <w:sz w:val="24"/>
          <w:highlight w:val="none"/>
          <w:lang w:val="en-US" w:eastAsia="zh-CN"/>
        </w:rPr>
        <w:t>工作日</w:t>
      </w:r>
      <w:r>
        <w:rPr>
          <w:rFonts w:hint="eastAsia" w:ascii="宋体" w:hAnsi="宋体"/>
          <w:color w:val="auto"/>
          <w:sz w:val="24"/>
          <w:highlight w:val="none"/>
        </w:rPr>
        <w:t>内，支付</w:t>
      </w:r>
      <w:r>
        <w:rPr>
          <w:rFonts w:hint="eastAsia" w:ascii="宋体" w:hAnsi="宋体"/>
          <w:color w:val="auto"/>
          <w:sz w:val="24"/>
          <w:highlight w:val="none"/>
          <w:lang w:val="en-US" w:eastAsia="zh-CN"/>
        </w:rPr>
        <w:t>50</w:t>
      </w:r>
      <w:r>
        <w:rPr>
          <w:rFonts w:hint="eastAsia" w:ascii="宋体" w:hAnsi="宋体"/>
          <w:color w:val="auto"/>
          <w:sz w:val="24"/>
          <w:highlight w:val="none"/>
        </w:rPr>
        <w:t>%首付款；</w:t>
      </w:r>
    </w:p>
    <w:p w14:paraId="0EA11A22">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（2）项目完成交付验收合格</w:t>
      </w:r>
      <w:r>
        <w:rPr>
          <w:rFonts w:hint="eastAsia" w:ascii="宋体" w:hAnsi="宋体"/>
          <w:color w:val="auto"/>
          <w:sz w:val="24"/>
          <w:szCs w:val="24"/>
          <w:highlight w:val="none"/>
        </w:rPr>
        <w:t>经审计</w:t>
      </w:r>
      <w:r>
        <w:rPr>
          <w:rFonts w:hint="eastAsia" w:ascii="宋体" w:hAnsi="宋体"/>
          <w:color w:val="auto"/>
          <w:sz w:val="24"/>
          <w:highlight w:val="none"/>
        </w:rPr>
        <w:t>后，支付剩余合同款项；</w:t>
      </w:r>
    </w:p>
    <w:p w14:paraId="2F649A79">
      <w:pPr>
        <w:keepNext w:val="0"/>
        <w:keepLines w:val="0"/>
        <w:pageBreakBefore w:val="0"/>
        <w:widowControl w:val="0"/>
        <w:kinsoku/>
        <w:wordWrap/>
        <w:overflowPunct/>
        <w:topLinePunct w:val="0"/>
        <w:autoSpaceDE/>
        <w:autoSpaceDN/>
        <w:bidi w:val="0"/>
        <w:adjustRightInd w:val="0"/>
        <w:snapToGrid w:val="0"/>
        <w:spacing w:before="0" w:line="360" w:lineRule="auto"/>
        <w:ind w:right="143" w:rightChars="68" w:firstLine="81" w:firstLineChars="34"/>
        <w:jc w:val="left"/>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4.</w:t>
      </w:r>
      <w:r>
        <w:rPr>
          <w:rFonts w:hint="eastAsia" w:ascii="宋体" w:hAnsi="宋体" w:cs="宋体"/>
          <w:color w:val="auto"/>
          <w:sz w:val="24"/>
          <w:highlight w:val="none"/>
          <w:lang w:val="en-US" w:eastAsia="zh-CN"/>
        </w:rPr>
        <w:t>履约保证金</w:t>
      </w:r>
    </w:p>
    <w:p w14:paraId="5B12C9A1">
      <w:pPr>
        <w:keepNext w:val="0"/>
        <w:keepLines w:val="0"/>
        <w:pageBreakBefore w:val="0"/>
        <w:widowControl w:val="0"/>
        <w:kinsoku/>
        <w:wordWrap/>
        <w:overflowPunct/>
        <w:topLinePunct w:val="0"/>
        <w:autoSpaceDE/>
        <w:autoSpaceDN/>
        <w:bidi w:val="0"/>
        <w:adjustRightInd w:val="0"/>
        <w:snapToGrid w:val="0"/>
        <w:spacing w:before="0" w:line="360" w:lineRule="auto"/>
        <w:ind w:right="143" w:rightChars="68" w:firstLine="323" w:firstLineChars="134"/>
        <w:jc w:val="left"/>
        <w:textAlignment w:val="auto"/>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rPr>
        <w:sym w:font="Wingdings 2" w:char="0052"/>
      </w:r>
      <w:r>
        <w:rPr>
          <w:rFonts w:hint="eastAsia" w:ascii="宋体" w:hAnsi="宋体" w:cs="宋体"/>
          <w:b/>
          <w:bCs/>
          <w:color w:val="auto"/>
          <w:sz w:val="24"/>
          <w:highlight w:val="none"/>
          <w:lang w:val="en-US" w:eastAsia="zh-CN"/>
        </w:rPr>
        <w:t>本项目无需缴纳履约保证金。</w:t>
      </w:r>
    </w:p>
    <w:p w14:paraId="023D7A97">
      <w:pPr>
        <w:keepNext w:val="0"/>
        <w:keepLines w:val="0"/>
        <w:pageBreakBefore w:val="0"/>
        <w:widowControl w:val="0"/>
        <w:kinsoku/>
        <w:wordWrap/>
        <w:overflowPunct/>
        <w:topLinePunct w:val="0"/>
        <w:autoSpaceDE/>
        <w:autoSpaceDN/>
        <w:bidi w:val="0"/>
        <w:adjustRightInd w:val="0"/>
        <w:snapToGrid w:val="0"/>
        <w:spacing w:before="0" w:line="360" w:lineRule="auto"/>
        <w:ind w:right="143" w:rightChars="68" w:firstLine="321" w:firstLineChars="134"/>
        <w:jc w:val="left"/>
        <w:textAlignment w:val="auto"/>
        <w:rPr>
          <w:rFonts w:ascii="宋体" w:hAnsi="宋体" w:cs="宋体"/>
          <w:color w:val="auto"/>
          <w:sz w:val="24"/>
          <w:highlight w:val="none"/>
        </w:rPr>
      </w:pPr>
      <w:r>
        <w:rPr>
          <w:rFonts w:hint="eastAsia" w:ascii="宋体" w:hAnsi="宋体" w:cs="宋体"/>
          <w:color w:val="auto"/>
          <w:sz w:val="24"/>
          <w:highlight w:val="none"/>
        </w:rPr>
        <w:sym w:font="Wingdings 2" w:char="00A3"/>
      </w:r>
      <w:r>
        <w:rPr>
          <w:rFonts w:hint="eastAsia" w:ascii="宋体" w:hAnsi="宋体" w:cs="宋体"/>
          <w:color w:val="auto"/>
          <w:sz w:val="24"/>
          <w:highlight w:val="none"/>
        </w:rPr>
        <w:t>本项目履约保证金最高收取1%，合同签订后5个工作日内缴纳，履约保证金以转账、金融机构、担保机构出具的保函等非现金形式缴纳。项目验收合格后无异议，30天内全额无息退回。</w:t>
      </w:r>
    </w:p>
    <w:p w14:paraId="1E667DFE">
      <w:pPr>
        <w:spacing w:line="360" w:lineRule="auto"/>
        <w:jc w:val="left"/>
        <w:rPr>
          <w:rFonts w:ascii="宋体" w:hAnsi="宋体" w:cs="宋体"/>
          <w:color w:val="auto"/>
          <w:sz w:val="24"/>
          <w:highlight w:val="none"/>
        </w:rPr>
      </w:pPr>
      <w:r>
        <w:rPr>
          <w:rFonts w:hint="eastAsia" w:ascii="宋体" w:hAnsi="宋体" w:cs="宋体"/>
          <w:color w:val="auto"/>
          <w:sz w:val="24"/>
          <w:highlight w:val="none"/>
        </w:rPr>
        <w:t>5.工程售后服务要求</w:t>
      </w:r>
    </w:p>
    <w:p w14:paraId="7435FA1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（1）保修期：按工程质量保修书规定执行，质量保证期为本项目验收合格后不少于2年（具体详见工程质量保修书）。</w:t>
      </w:r>
    </w:p>
    <w:p w14:paraId="562A481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成交供应商应与采购人签订工程质量保修书，在质量保修期内，按照有关法律、法规、规章的管理规定和双方约定，承担本工程质量保修责任。</w:t>
      </w:r>
    </w:p>
    <w:p w14:paraId="642E3F6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（2）在保修期内，成交供应商对有缺陷的部位必须无偿地给予修理与更换，并承担一切由此引起的对采购人或第三者的直接损失，除非该缺陷是由于人为破坏或合同规定的不可抗因素造成的损坏。</w:t>
      </w:r>
    </w:p>
    <w:p w14:paraId="74DFF40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（3）成交供应商必须对所承包的工程的质量负全部责任，其责任不因其他材料生产商提供的保证书而减轻或更改。</w:t>
      </w:r>
    </w:p>
    <w:p w14:paraId="593458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（4）供应商应当在缺陷责任期内具有完善的售后技术支持和服务体系，能够提供服务标准、服务流程、服务内容。</w:t>
      </w:r>
    </w:p>
    <w:p w14:paraId="2EC440AB">
      <w:pPr>
        <w:spacing w:line="360" w:lineRule="auto"/>
        <w:ind w:left="210" w:leftChars="100"/>
        <w:jc w:val="left"/>
        <w:rPr>
          <w:rFonts w:ascii="宋体" w:hAnsi="宋体" w:cs="宋体"/>
          <w:color w:val="auto"/>
          <w:sz w:val="24"/>
          <w:highlight w:val="none"/>
        </w:rPr>
      </w:pPr>
      <w:r>
        <w:rPr>
          <w:rFonts w:hint="eastAsia" w:ascii="宋体" w:hAnsi="宋体" w:cs="宋体"/>
          <w:color w:val="auto"/>
          <w:sz w:val="24"/>
          <w:highlight w:val="none"/>
        </w:rPr>
        <w:t>6.其他商务要求（包装和运输、保险等）</w:t>
      </w:r>
    </w:p>
    <w:p w14:paraId="4045CE7D">
      <w:pPr>
        <w:spacing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（1）供应商应当将因校内搬运不便而产生的二次搬运费用计算在磋商报价中。</w:t>
      </w:r>
    </w:p>
    <w:p w14:paraId="4EA7F4CD">
      <w:pPr>
        <w:spacing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（2）供应商应当将与本项目有关的农民工工伤保险相关费用计算在磋商报价中。</w:t>
      </w:r>
    </w:p>
    <w:p w14:paraId="4D03F402">
      <w:pPr>
        <w:spacing w:line="360" w:lineRule="auto"/>
        <w:jc w:val="left"/>
        <w:rPr>
          <w:rFonts w:ascii="宋体" w:hAnsi="宋体" w:cs="宋体"/>
          <w:b/>
          <w:color w:val="auto"/>
          <w:sz w:val="24"/>
          <w:highlight w:val="none"/>
        </w:rPr>
      </w:pPr>
      <w:r>
        <w:rPr>
          <w:rFonts w:hint="eastAsia" w:ascii="宋体" w:hAnsi="宋体" w:cs="宋体"/>
          <w:b/>
          <w:color w:val="auto"/>
          <w:sz w:val="24"/>
          <w:highlight w:val="none"/>
        </w:rPr>
        <w:t>四、工程量清单报价要求</w:t>
      </w:r>
    </w:p>
    <w:p w14:paraId="493E26B9">
      <w:pP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根据工程量格式报价，投标报价文件编制页应有</w:t>
      </w:r>
      <w:r>
        <w:rPr>
          <w:rFonts w:hint="eastAsia" w:ascii="宋体" w:hAnsi="宋体" w:cs="宋体"/>
          <w:b/>
          <w:color w:val="auto"/>
          <w:sz w:val="24"/>
          <w:highlight w:val="none"/>
          <w:u w:val="single"/>
        </w:rPr>
        <w:t>具有编制造价师签字并盖执业章</w:t>
      </w:r>
      <w:r>
        <w:rPr>
          <w:rFonts w:hint="eastAsia" w:ascii="宋体" w:hAnsi="宋体" w:cs="宋体"/>
          <w:b/>
          <w:color w:val="auto"/>
          <w:sz w:val="24"/>
          <w:highlight w:val="none"/>
        </w:rPr>
        <w:t>；详细内容具体详见工程量清单（另附）。</w:t>
      </w:r>
    </w:p>
    <w:p w14:paraId="732C518D">
      <w:pPr>
        <w:spacing w:line="360" w:lineRule="auto"/>
        <w:jc w:val="left"/>
        <w:rPr>
          <w:rFonts w:hint="eastAsia" w:ascii="宋体" w:hAnsi="宋体" w:cs="宋体"/>
          <w:b/>
          <w:color w:val="auto"/>
          <w:sz w:val="24"/>
          <w:highlight w:val="none"/>
        </w:rPr>
      </w:pPr>
    </w:p>
    <w:p w14:paraId="037CEBF9">
      <w:pPr>
        <w:spacing w:line="360" w:lineRule="auto"/>
        <w:jc w:val="left"/>
        <w:rPr>
          <w:rFonts w:ascii="宋体" w:hAnsi="宋体" w:cs="宋体"/>
          <w:b/>
          <w:color w:val="auto"/>
          <w:sz w:val="24"/>
          <w:highlight w:val="none"/>
        </w:rPr>
      </w:pPr>
      <w:r>
        <w:rPr>
          <w:rFonts w:hint="eastAsia" w:ascii="宋体" w:hAnsi="宋体" w:cs="宋体"/>
          <w:b/>
          <w:color w:val="auto"/>
          <w:sz w:val="24"/>
          <w:highlight w:val="none"/>
        </w:rPr>
        <w:t>五、其他要求</w:t>
      </w:r>
    </w:p>
    <w:p w14:paraId="1EE52533">
      <w:p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（1）各供应商应先到工地踏勘以充分了解工地位置、现状情况、及任何其它足以影响磋商报价的情况，任何因忽视或误解工地情况而导致的行政处罚、索赔或工期延长申请将不获批准。本项目为</w:t>
      </w:r>
      <w:r>
        <w:rPr>
          <w:rFonts w:hint="eastAsia" w:ascii="宋体" w:hAnsi="宋体" w:cs="宋体"/>
          <w:color w:val="auto"/>
          <w:sz w:val="24"/>
          <w:highlight w:val="none"/>
          <w:lang w:val="en-US" w:eastAsia="zh-CN"/>
        </w:rPr>
        <w:t>总价包干</w:t>
      </w:r>
      <w:r>
        <w:rPr>
          <w:rFonts w:hint="eastAsia" w:ascii="宋体" w:hAnsi="宋体" w:cs="宋体"/>
          <w:color w:val="auto"/>
          <w:sz w:val="24"/>
          <w:highlight w:val="none"/>
        </w:rPr>
        <w:t>合同，除了清单和图纸（如有）外，可能涉及一些零星工程，请根据工地踏勘的实际情况进行综合考虑报价。在规定工期内完成采购范围全部工程内容的所有费用，包括完成本工程的直接费、间接费、利润、税金、风险费等，后期均不做调整。</w:t>
      </w:r>
    </w:p>
    <w:p w14:paraId="45241D97">
      <w:pPr>
        <w:snapToGrid w:val="0"/>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（2）因工程施工要求或工程管理要求而产生的各项潜在费用支出均由供应商自行考虑并计入响应总价且一次性包干。</w:t>
      </w:r>
    </w:p>
    <w:p w14:paraId="6BF07D12">
      <w:pPr>
        <w:snapToGrid w:val="0"/>
        <w:spacing w:line="360" w:lineRule="auto"/>
        <w:ind w:firstLine="422"/>
        <w:rPr>
          <w:rFonts w:ascii="宋体" w:hAnsi="宋体" w:cs="宋体"/>
          <w:color w:val="auto"/>
          <w:kern w:val="0"/>
          <w:sz w:val="24"/>
          <w:highlight w:val="none"/>
        </w:rPr>
      </w:pPr>
      <w:r>
        <w:rPr>
          <w:rFonts w:hint="eastAsia" w:ascii="宋体" w:hAnsi="宋体" w:cs="宋体"/>
          <w:color w:val="auto"/>
          <w:sz w:val="24"/>
          <w:highlight w:val="none"/>
        </w:rPr>
        <w:t>（3）</w:t>
      </w:r>
      <w:r>
        <w:rPr>
          <w:rFonts w:hint="eastAsia" w:ascii="宋体" w:hAnsi="宋体" w:cs="宋体"/>
          <w:color w:val="auto"/>
          <w:kern w:val="0"/>
          <w:sz w:val="24"/>
          <w:highlight w:val="none"/>
        </w:rPr>
        <w:t>本工程的组织措施费用为一次性包干使用，成交后不再作调整；技术措施费用中，按“项”计量的部分为一次性包干使用，成交后不再作调整。</w:t>
      </w:r>
    </w:p>
    <w:p w14:paraId="483137D6">
      <w:pPr>
        <w:snapToGrid w:val="0"/>
        <w:spacing w:line="360" w:lineRule="auto"/>
        <w:ind w:firstLine="422"/>
        <w:rPr>
          <w:rFonts w:ascii="宋体" w:hAnsi="宋体" w:cs="宋体"/>
          <w:color w:val="auto"/>
          <w:kern w:val="0"/>
          <w:sz w:val="24"/>
          <w:highlight w:val="none"/>
        </w:rPr>
      </w:pPr>
      <w:r>
        <w:rPr>
          <w:rFonts w:hint="eastAsia" w:ascii="宋体" w:hAnsi="宋体" w:cs="宋体"/>
          <w:color w:val="auto"/>
          <w:sz w:val="24"/>
          <w:highlight w:val="none"/>
        </w:rPr>
        <w:t>（4）</w:t>
      </w:r>
      <w:r>
        <w:rPr>
          <w:rFonts w:hint="eastAsia" w:ascii="宋体" w:hAnsi="宋体" w:cs="宋体"/>
          <w:color w:val="auto"/>
          <w:kern w:val="0"/>
          <w:sz w:val="24"/>
          <w:highlight w:val="none"/>
        </w:rPr>
        <w:t>与报价相关的其他事宜见本项目“工程量清单”。</w:t>
      </w:r>
    </w:p>
    <w:p w14:paraId="70C8E41A">
      <w:pPr>
        <w:snapToGrid w:val="0"/>
        <w:spacing w:line="360" w:lineRule="auto"/>
        <w:ind w:firstLine="422"/>
        <w:rPr>
          <w:rFonts w:ascii="宋体" w:hAnsi="宋体" w:cs="宋体"/>
          <w:color w:val="auto"/>
          <w:kern w:val="0"/>
          <w:sz w:val="24"/>
          <w:highlight w:val="none"/>
        </w:rPr>
      </w:pPr>
      <w:r>
        <w:rPr>
          <w:rFonts w:hint="eastAsia" w:ascii="宋体" w:hAnsi="宋体" w:cs="宋体"/>
          <w:color w:val="auto"/>
          <w:kern w:val="0"/>
          <w:sz w:val="24"/>
          <w:highlight w:val="none"/>
        </w:rPr>
        <w:t>（5）技术响应要求：</w:t>
      </w:r>
    </w:p>
    <w:p w14:paraId="2F945BFD">
      <w:pPr>
        <w:pStyle w:val="969"/>
        <w:numPr>
          <w:ilvl w:val="0"/>
          <w:numId w:val="8"/>
        </w:numPr>
        <w:spacing w:line="360" w:lineRule="auto"/>
        <w:ind w:firstLineChars="0"/>
        <w:jc w:val="left"/>
        <w:rPr>
          <w:rFonts w:ascii="宋体" w:hAnsi="宋体" w:cs="宋体"/>
          <w:color w:val="auto"/>
          <w:sz w:val="24"/>
          <w:highlight w:val="none"/>
        </w:rPr>
      </w:pPr>
      <w:r>
        <w:rPr>
          <w:rFonts w:hint="eastAsia" w:ascii="宋体" w:hAnsi="宋体" w:cs="宋体"/>
          <w:color w:val="auto"/>
          <w:sz w:val="24"/>
          <w:highlight w:val="none"/>
        </w:rPr>
        <w:t>供应商应当有全面、合理、针对本项目的工程施工技术方案和措施，此工程施工技术方案应当具有明确的针对性和可操作性，各项施工措施应当明确、到位；</w:t>
      </w:r>
    </w:p>
    <w:p w14:paraId="468C0CC9">
      <w:pPr>
        <w:numPr>
          <w:ilvl w:val="0"/>
          <w:numId w:val="8"/>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供应商应当有全面、合理、针对本项目的施工组织设计，此施工组织设计应当具有明确的针对性和可操作性，施工组织设计应当明确、到位； </w:t>
      </w:r>
    </w:p>
    <w:p w14:paraId="4FB335A6">
      <w:pPr>
        <w:numPr>
          <w:ilvl w:val="0"/>
          <w:numId w:val="8"/>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供应商应当有全面、合理、针对本项目的主要施工方法，主要施工方法应当具有明确的针对性和可操作性，对施工的各道程序应当明确、到位；</w:t>
      </w:r>
    </w:p>
    <w:p w14:paraId="74F6E2D9">
      <w:pPr>
        <w:numPr>
          <w:ilvl w:val="0"/>
          <w:numId w:val="8"/>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供应商应当有特殊施工环境的具体措施、预防自然灾害(台风及防汛等)的组织和技术措施；</w:t>
      </w:r>
    </w:p>
    <w:p w14:paraId="718FF04B">
      <w:pPr>
        <w:numPr>
          <w:ilvl w:val="0"/>
          <w:numId w:val="8"/>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供应商应当有针对现场施工的具体降噪措施，包括针对教学的降噪措施和针对附近居民的降噪措施；</w:t>
      </w:r>
    </w:p>
    <w:p w14:paraId="46804955">
      <w:pPr>
        <w:numPr>
          <w:ilvl w:val="0"/>
          <w:numId w:val="8"/>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供应商应当有针对材料设备进场计划及施工计划，材料设备的进场计划应当包含材料设备进场的包装、运输、进场验收等各个环节，施工计划应当包含施工的各个环节；</w:t>
      </w:r>
    </w:p>
    <w:p w14:paraId="27074DA8">
      <w:pPr>
        <w:numPr>
          <w:ilvl w:val="0"/>
          <w:numId w:val="8"/>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供应商应当有针对工程特点、难点的分析，并根据本工程项目的特点、难点提出有针对性的施工方案与措施；</w:t>
      </w:r>
    </w:p>
    <w:p w14:paraId="45EF6EDE">
      <w:pPr>
        <w:numPr>
          <w:ilvl w:val="0"/>
          <w:numId w:val="8"/>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供应商应当具有针对本项目施工特点的安全、文明施工及市政、市容、环保、消防等的保证措施；</w:t>
      </w:r>
    </w:p>
    <w:p w14:paraId="055E1AFE">
      <w:pPr>
        <w:numPr>
          <w:ilvl w:val="0"/>
          <w:numId w:val="8"/>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供应商应当具有针对本项目的具体成品保护措施，措施应当完善、到位；</w:t>
      </w:r>
    </w:p>
    <w:p w14:paraId="5E466A1D">
      <w:pPr>
        <w:numPr>
          <w:ilvl w:val="0"/>
          <w:numId w:val="8"/>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供应商应当针对本项目施工工期要求编制进度计划及控制措施，包括人工的合理安排、工作量的前后分配等；</w:t>
      </w:r>
    </w:p>
    <w:p w14:paraId="60D05D2A">
      <w:pPr>
        <w:numPr>
          <w:ilvl w:val="0"/>
          <w:numId w:val="8"/>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供应商应具有针对本项目的具体施工质量控制措施，质量控制措施应当完善、到位；</w:t>
      </w:r>
    </w:p>
    <w:p w14:paraId="2F0188E8">
      <w:pPr>
        <w:numPr>
          <w:ilvl w:val="0"/>
          <w:numId w:val="8"/>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供应商拟投入的施工机具和检验仪器应当满足施工工程现场的要求，其中施工机械和设备应当同时考虑小型建设施工和室内装饰的需要；</w:t>
      </w:r>
    </w:p>
    <w:p w14:paraId="5B50274A">
      <w:pPr>
        <w:numPr>
          <w:ilvl w:val="0"/>
          <w:numId w:val="8"/>
        </w:numPr>
        <w:snapToGrid w:val="0"/>
        <w:spacing w:line="360" w:lineRule="auto"/>
        <w:ind w:firstLine="480" w:firstLineChars="200"/>
        <w:rPr>
          <w:rFonts w:ascii="宋体" w:hAnsi="宋体" w:cs="宋体"/>
          <w:color w:val="auto"/>
          <w:sz w:val="24"/>
          <w:highlight w:val="none"/>
        </w:rPr>
        <w:sectPr>
          <w:pgSz w:w="11907" w:h="16840"/>
          <w:pgMar w:top="1440" w:right="1417" w:bottom="1440" w:left="1417" w:header="851" w:footer="850" w:gutter="0"/>
          <w:cols w:space="0" w:num="1"/>
        </w:sectPr>
      </w:pPr>
      <w:r>
        <w:rPr>
          <w:rFonts w:hint="eastAsia" w:ascii="宋体" w:hAnsi="宋体" w:cs="宋体"/>
          <w:color w:val="auto"/>
          <w:sz w:val="24"/>
          <w:highlight w:val="none"/>
        </w:rPr>
        <w:t>供应商在缺陷责任期内应当具有完善的售后技术支持和服务体系，能够保证采购人在缺陷责任期内得到不少于本磋商文件所附工程质量保修书的相关服务要求。</w:t>
      </w:r>
    </w:p>
    <w:p w14:paraId="44488029">
      <w:pPr>
        <w:snapToGrid w:val="0"/>
        <w:spacing w:line="360" w:lineRule="auto"/>
        <w:jc w:val="center"/>
        <w:rPr>
          <w:rFonts w:ascii="宋体" w:hAnsi="宋体" w:cs="宋体"/>
          <w:b/>
          <w:color w:val="auto"/>
          <w:sz w:val="36"/>
          <w:szCs w:val="20"/>
          <w:highlight w:val="none"/>
        </w:rPr>
      </w:pPr>
      <w:r>
        <w:rPr>
          <w:rFonts w:hint="eastAsia" w:ascii="宋体" w:hAnsi="宋体" w:cs="宋体"/>
          <w:b/>
          <w:color w:val="auto"/>
          <w:sz w:val="36"/>
          <w:szCs w:val="20"/>
          <w:highlight w:val="none"/>
        </w:rPr>
        <w:t>第四部分</w:t>
      </w:r>
      <w:bookmarkStart w:id="18" w:name="_Toc184308106"/>
      <w:bookmarkEnd w:id="18"/>
      <w:bookmarkStart w:id="19" w:name="_Toc184314440"/>
      <w:bookmarkEnd w:id="19"/>
      <w:bookmarkStart w:id="20" w:name="_Toc184313278"/>
      <w:bookmarkEnd w:id="20"/>
      <w:bookmarkStart w:id="21" w:name="_Toc184308064"/>
      <w:bookmarkEnd w:id="21"/>
      <w:bookmarkStart w:id="22" w:name="_Toc184310303"/>
      <w:bookmarkEnd w:id="22"/>
      <w:bookmarkStart w:id="23" w:name="_Toc184314455"/>
      <w:bookmarkEnd w:id="23"/>
      <w:bookmarkStart w:id="24" w:name="_Toc184314475"/>
      <w:bookmarkEnd w:id="24"/>
      <w:bookmarkStart w:id="25" w:name="_Toc184310278"/>
      <w:bookmarkEnd w:id="25"/>
      <w:bookmarkStart w:id="26" w:name="_Toc184312079"/>
      <w:bookmarkEnd w:id="26"/>
      <w:bookmarkStart w:id="27" w:name="_Toc184314464"/>
      <w:bookmarkEnd w:id="27"/>
      <w:bookmarkStart w:id="28" w:name="_Toc184310298"/>
      <w:bookmarkEnd w:id="28"/>
      <w:bookmarkStart w:id="29" w:name="_Toc184310314"/>
      <w:bookmarkEnd w:id="29"/>
      <w:bookmarkStart w:id="30" w:name="_Toc184308077"/>
      <w:bookmarkEnd w:id="30"/>
      <w:bookmarkStart w:id="31" w:name="_Toc184313301"/>
      <w:bookmarkEnd w:id="31"/>
      <w:bookmarkStart w:id="32" w:name="_Toc184312136"/>
      <w:bookmarkEnd w:id="32"/>
      <w:bookmarkStart w:id="33" w:name="_Toc184310275"/>
      <w:bookmarkEnd w:id="33"/>
      <w:bookmarkStart w:id="34" w:name="_Toc184308046"/>
      <w:bookmarkEnd w:id="34"/>
      <w:bookmarkStart w:id="35" w:name="_Toc184310281"/>
      <w:bookmarkEnd w:id="35"/>
      <w:bookmarkStart w:id="36" w:name="_Toc184308050"/>
      <w:bookmarkEnd w:id="36"/>
      <w:bookmarkStart w:id="37" w:name="_Toc184314481"/>
      <w:bookmarkEnd w:id="37"/>
      <w:bookmarkStart w:id="38" w:name="_Toc184308059"/>
      <w:bookmarkEnd w:id="38"/>
      <w:bookmarkStart w:id="39" w:name="_Toc184308062"/>
      <w:bookmarkEnd w:id="39"/>
      <w:bookmarkStart w:id="40" w:name="_Toc184310289"/>
      <w:bookmarkEnd w:id="40"/>
      <w:bookmarkStart w:id="41" w:name="_Toc184313275"/>
      <w:bookmarkEnd w:id="41"/>
      <w:bookmarkStart w:id="42" w:name="_Toc184313246"/>
      <w:bookmarkEnd w:id="42"/>
      <w:bookmarkStart w:id="43" w:name="_Toc184310336"/>
      <w:bookmarkEnd w:id="43"/>
      <w:bookmarkStart w:id="44" w:name="_Toc184310312"/>
      <w:bookmarkEnd w:id="44"/>
      <w:bookmarkStart w:id="45" w:name="_Toc184314431"/>
      <w:bookmarkEnd w:id="45"/>
      <w:bookmarkStart w:id="46" w:name="_Toc184312128"/>
      <w:bookmarkEnd w:id="46"/>
      <w:bookmarkStart w:id="47" w:name="_Toc184313248"/>
      <w:bookmarkEnd w:id="47"/>
      <w:bookmarkStart w:id="48" w:name="_Toc184308061"/>
      <w:bookmarkEnd w:id="48"/>
      <w:bookmarkStart w:id="49" w:name="_Toc184313310"/>
      <w:bookmarkEnd w:id="49"/>
      <w:bookmarkStart w:id="50" w:name="_Toc184314466"/>
      <w:bookmarkEnd w:id="50"/>
      <w:bookmarkStart w:id="51" w:name="_Toc184308082"/>
      <w:bookmarkEnd w:id="51"/>
      <w:bookmarkStart w:id="52" w:name="_Toc184310291"/>
      <w:bookmarkEnd w:id="52"/>
      <w:bookmarkStart w:id="53" w:name="_Toc184310308"/>
      <w:bookmarkEnd w:id="53"/>
      <w:bookmarkStart w:id="54" w:name="_Toc184308055"/>
      <w:bookmarkEnd w:id="54"/>
      <w:bookmarkStart w:id="55" w:name="_Toc184312125"/>
      <w:bookmarkEnd w:id="55"/>
      <w:bookmarkStart w:id="56" w:name="_Toc184313260"/>
      <w:bookmarkEnd w:id="56"/>
      <w:bookmarkStart w:id="57" w:name="_Toc184308068"/>
      <w:bookmarkEnd w:id="57"/>
      <w:bookmarkStart w:id="58" w:name="_Toc184313258"/>
      <w:bookmarkEnd w:id="58"/>
      <w:bookmarkStart w:id="59" w:name="_Toc184312097"/>
      <w:bookmarkEnd w:id="59"/>
      <w:bookmarkStart w:id="60" w:name="_Toc184310302"/>
      <w:bookmarkEnd w:id="60"/>
      <w:bookmarkStart w:id="61" w:name="_Toc184314433"/>
      <w:bookmarkEnd w:id="61"/>
      <w:bookmarkStart w:id="62" w:name="_Toc184312109"/>
      <w:bookmarkEnd w:id="62"/>
      <w:bookmarkStart w:id="63" w:name="_Toc184314459"/>
      <w:bookmarkEnd w:id="63"/>
      <w:bookmarkStart w:id="64" w:name="_Toc184310340"/>
      <w:bookmarkEnd w:id="64"/>
      <w:bookmarkStart w:id="65" w:name="_Toc184312122"/>
      <w:bookmarkEnd w:id="65"/>
      <w:bookmarkStart w:id="66" w:name="_Toc184310286"/>
      <w:bookmarkEnd w:id="66"/>
      <w:bookmarkStart w:id="67" w:name="_Toc184313238"/>
      <w:bookmarkEnd w:id="67"/>
      <w:bookmarkStart w:id="68" w:name="_Toc184314447"/>
      <w:bookmarkEnd w:id="68"/>
      <w:bookmarkStart w:id="69" w:name="_Toc184313239"/>
      <w:bookmarkEnd w:id="69"/>
      <w:bookmarkStart w:id="70" w:name="_Toc184308090"/>
      <w:bookmarkEnd w:id="70"/>
      <w:bookmarkStart w:id="71" w:name="_Toc184312076"/>
      <w:bookmarkEnd w:id="71"/>
      <w:bookmarkStart w:id="72" w:name="_Toc184313245"/>
      <w:bookmarkEnd w:id="72"/>
      <w:bookmarkStart w:id="73" w:name="_Toc184313253"/>
      <w:bookmarkEnd w:id="73"/>
      <w:bookmarkStart w:id="74" w:name="_Toc184308053"/>
      <w:bookmarkEnd w:id="74"/>
      <w:bookmarkStart w:id="75" w:name="_Toc184310279"/>
      <w:bookmarkEnd w:id="75"/>
      <w:bookmarkStart w:id="76" w:name="_Toc184313304"/>
      <w:bookmarkEnd w:id="76"/>
      <w:bookmarkStart w:id="77" w:name="_Toc184314451"/>
      <w:bookmarkEnd w:id="77"/>
      <w:bookmarkStart w:id="78" w:name="_Toc184313274"/>
      <w:bookmarkEnd w:id="78"/>
      <w:bookmarkStart w:id="79" w:name="_Toc184310283"/>
      <w:bookmarkEnd w:id="79"/>
      <w:bookmarkStart w:id="80" w:name="_Toc184313270"/>
      <w:bookmarkEnd w:id="80"/>
      <w:bookmarkStart w:id="81" w:name="_Toc184308037"/>
      <w:bookmarkEnd w:id="81"/>
      <w:bookmarkStart w:id="82" w:name="_Toc184312103"/>
      <w:bookmarkEnd w:id="82"/>
      <w:bookmarkStart w:id="83" w:name="_Toc184314434"/>
      <w:bookmarkEnd w:id="83"/>
      <w:bookmarkStart w:id="84" w:name="_Toc184312089"/>
      <w:bookmarkEnd w:id="84"/>
      <w:bookmarkStart w:id="85" w:name="_Toc184313264"/>
      <w:bookmarkEnd w:id="85"/>
      <w:bookmarkStart w:id="86" w:name="_Toc184310294"/>
      <w:bookmarkEnd w:id="86"/>
      <w:bookmarkStart w:id="87" w:name="_Toc184310307"/>
      <w:bookmarkEnd w:id="87"/>
      <w:bookmarkStart w:id="88" w:name="_Toc184314432"/>
      <w:bookmarkEnd w:id="88"/>
      <w:bookmarkStart w:id="89" w:name="_Toc184310305"/>
      <w:bookmarkEnd w:id="89"/>
      <w:bookmarkStart w:id="90" w:name="_Toc184314413"/>
      <w:bookmarkEnd w:id="90"/>
      <w:bookmarkStart w:id="91" w:name="_Toc184312132"/>
      <w:bookmarkEnd w:id="91"/>
      <w:bookmarkStart w:id="92" w:name="_Toc184314477"/>
      <w:bookmarkEnd w:id="92"/>
      <w:bookmarkStart w:id="93" w:name="_Toc184314448"/>
      <w:bookmarkEnd w:id="93"/>
      <w:bookmarkStart w:id="94" w:name="_Toc184310292"/>
      <w:bookmarkEnd w:id="94"/>
      <w:bookmarkStart w:id="95" w:name="_Toc184308098"/>
      <w:bookmarkEnd w:id="95"/>
      <w:bookmarkStart w:id="96" w:name="_Toc184314427"/>
      <w:bookmarkEnd w:id="96"/>
      <w:bookmarkStart w:id="97" w:name="_Toc184313249"/>
      <w:bookmarkEnd w:id="97"/>
      <w:bookmarkStart w:id="98" w:name="_Toc184308063"/>
      <w:bookmarkEnd w:id="98"/>
      <w:bookmarkStart w:id="99" w:name="_Toc184313288"/>
      <w:bookmarkEnd w:id="99"/>
      <w:bookmarkStart w:id="100" w:name="_Toc184313250"/>
      <w:bookmarkEnd w:id="100"/>
      <w:bookmarkStart w:id="101" w:name="_Toc184314478"/>
      <w:bookmarkEnd w:id="101"/>
      <w:bookmarkStart w:id="102" w:name="_Toc184310301"/>
      <w:bookmarkEnd w:id="102"/>
      <w:bookmarkStart w:id="103" w:name="_Toc184312072"/>
      <w:bookmarkEnd w:id="103"/>
      <w:bookmarkStart w:id="104" w:name="_Toc184314482"/>
      <w:bookmarkEnd w:id="104"/>
      <w:bookmarkStart w:id="105" w:name="_Toc184308044"/>
      <w:bookmarkEnd w:id="105"/>
      <w:bookmarkStart w:id="106" w:name="_Toc184313293"/>
      <w:bookmarkEnd w:id="106"/>
      <w:bookmarkStart w:id="107" w:name="_Toc184314461"/>
      <w:bookmarkEnd w:id="107"/>
      <w:bookmarkStart w:id="108" w:name="_Toc184314414"/>
      <w:bookmarkEnd w:id="108"/>
      <w:bookmarkStart w:id="109" w:name="_Toc184314469"/>
      <w:bookmarkEnd w:id="109"/>
      <w:bookmarkStart w:id="110" w:name="_Toc184308048"/>
      <w:bookmarkEnd w:id="110"/>
      <w:bookmarkStart w:id="111" w:name="_Toc184310329"/>
      <w:bookmarkEnd w:id="111"/>
      <w:bookmarkStart w:id="112" w:name="_Toc184314453"/>
      <w:bookmarkEnd w:id="112"/>
      <w:bookmarkStart w:id="113" w:name="_Toc184312133"/>
      <w:bookmarkEnd w:id="113"/>
      <w:bookmarkStart w:id="114" w:name="_Toc184308051"/>
      <w:bookmarkEnd w:id="114"/>
      <w:bookmarkStart w:id="115" w:name="_Toc184313244"/>
      <w:bookmarkEnd w:id="115"/>
      <w:bookmarkStart w:id="116" w:name="_Toc184313273"/>
      <w:bookmarkEnd w:id="116"/>
      <w:bookmarkStart w:id="117" w:name="_Toc184312080"/>
      <w:bookmarkEnd w:id="117"/>
      <w:bookmarkStart w:id="118" w:name="_Toc184312068"/>
      <w:bookmarkEnd w:id="118"/>
      <w:bookmarkStart w:id="119" w:name="_Toc184310317"/>
      <w:bookmarkEnd w:id="119"/>
      <w:bookmarkStart w:id="120" w:name="_Toc184314465"/>
      <w:bookmarkEnd w:id="120"/>
      <w:bookmarkStart w:id="121" w:name="_Toc184313302"/>
      <w:bookmarkEnd w:id="121"/>
      <w:bookmarkStart w:id="122" w:name="_Toc184312130"/>
      <w:bookmarkEnd w:id="122"/>
      <w:bookmarkStart w:id="123" w:name="_Toc184308041"/>
      <w:bookmarkEnd w:id="123"/>
      <w:bookmarkStart w:id="124" w:name="_Toc184310309"/>
      <w:bookmarkEnd w:id="124"/>
      <w:bookmarkStart w:id="125" w:name="_Toc184314472"/>
      <w:bookmarkEnd w:id="125"/>
      <w:bookmarkStart w:id="126" w:name="_Toc184314480"/>
      <w:bookmarkEnd w:id="126"/>
      <w:bookmarkStart w:id="127" w:name="_Toc184314418"/>
      <w:bookmarkEnd w:id="127"/>
      <w:bookmarkStart w:id="128" w:name="_Toc184310343"/>
      <w:bookmarkEnd w:id="128"/>
      <w:bookmarkStart w:id="129" w:name="_Toc184314468"/>
      <w:bookmarkEnd w:id="129"/>
      <w:bookmarkStart w:id="130" w:name="_Toc184310326"/>
      <w:bookmarkEnd w:id="130"/>
      <w:bookmarkStart w:id="131" w:name="_Toc184314419"/>
      <w:bookmarkEnd w:id="131"/>
      <w:bookmarkStart w:id="132" w:name="_Toc184310310"/>
      <w:bookmarkEnd w:id="132"/>
      <w:bookmarkStart w:id="133" w:name="_Toc184313276"/>
      <w:bookmarkEnd w:id="133"/>
      <w:bookmarkStart w:id="134" w:name="_Toc184313268"/>
      <w:bookmarkEnd w:id="134"/>
      <w:bookmarkStart w:id="135" w:name="_Toc184308065"/>
      <w:bookmarkEnd w:id="135"/>
      <w:bookmarkStart w:id="136" w:name="_Toc184313269"/>
      <w:bookmarkEnd w:id="136"/>
      <w:bookmarkStart w:id="137" w:name="_Toc184314479"/>
      <w:bookmarkEnd w:id="137"/>
      <w:bookmarkStart w:id="138" w:name="_Toc184314473"/>
      <w:bookmarkEnd w:id="138"/>
      <w:bookmarkStart w:id="139" w:name="_Toc184312092"/>
      <w:bookmarkEnd w:id="139"/>
      <w:bookmarkStart w:id="140" w:name="_Toc184312102"/>
      <w:bookmarkEnd w:id="140"/>
      <w:bookmarkStart w:id="141" w:name="_Toc184310332"/>
      <w:bookmarkEnd w:id="141"/>
      <w:bookmarkStart w:id="142" w:name="_Toc184314424"/>
      <w:bookmarkEnd w:id="142"/>
      <w:bookmarkStart w:id="143" w:name="_Toc184310339"/>
      <w:bookmarkEnd w:id="143"/>
      <w:bookmarkStart w:id="144" w:name="_Toc184308080"/>
      <w:bookmarkEnd w:id="144"/>
      <w:bookmarkStart w:id="145" w:name="_Toc184314429"/>
      <w:bookmarkEnd w:id="145"/>
      <w:bookmarkStart w:id="146" w:name="_Toc184314423"/>
      <w:bookmarkEnd w:id="146"/>
      <w:bookmarkStart w:id="147" w:name="_Toc184314439"/>
      <w:bookmarkEnd w:id="147"/>
      <w:bookmarkStart w:id="148" w:name="_Toc184312070"/>
      <w:bookmarkEnd w:id="148"/>
      <w:bookmarkStart w:id="149" w:name="_Toc184310306"/>
      <w:bookmarkEnd w:id="149"/>
      <w:bookmarkStart w:id="150" w:name="_Toc184312119"/>
      <w:bookmarkEnd w:id="150"/>
      <w:bookmarkStart w:id="151" w:name="_Toc184308107"/>
      <w:bookmarkEnd w:id="151"/>
      <w:bookmarkStart w:id="152" w:name="_Toc184313266"/>
      <w:bookmarkEnd w:id="152"/>
      <w:bookmarkStart w:id="153" w:name="_Toc184312110"/>
      <w:bookmarkEnd w:id="153"/>
      <w:bookmarkStart w:id="154" w:name="_Toc184313292"/>
      <w:bookmarkEnd w:id="154"/>
      <w:bookmarkStart w:id="155" w:name="_Toc184312131"/>
      <w:bookmarkEnd w:id="155"/>
      <w:bookmarkStart w:id="156" w:name="_Toc184310300"/>
      <w:bookmarkEnd w:id="156"/>
      <w:bookmarkStart w:id="157" w:name="_Toc184312088"/>
      <w:bookmarkEnd w:id="157"/>
      <w:bookmarkStart w:id="158" w:name="_Toc184312067"/>
      <w:bookmarkEnd w:id="158"/>
      <w:bookmarkStart w:id="159" w:name="_Toc184314467"/>
      <w:bookmarkEnd w:id="159"/>
      <w:bookmarkStart w:id="160" w:name="_Toc184312127"/>
      <w:bookmarkEnd w:id="160"/>
      <w:bookmarkStart w:id="161" w:name="_Toc184314471"/>
      <w:bookmarkEnd w:id="161"/>
      <w:bookmarkStart w:id="162" w:name="_Toc184312082"/>
      <w:bookmarkEnd w:id="162"/>
      <w:bookmarkStart w:id="163" w:name="_Toc184310288"/>
      <w:bookmarkEnd w:id="163"/>
      <w:bookmarkStart w:id="164" w:name="_Toc184310277"/>
      <w:bookmarkEnd w:id="164"/>
      <w:bookmarkStart w:id="165" w:name="_Toc184313242"/>
      <w:bookmarkEnd w:id="165"/>
      <w:bookmarkStart w:id="166" w:name="_Toc184310274"/>
      <w:bookmarkEnd w:id="166"/>
      <w:bookmarkStart w:id="167" w:name="_Toc184312091"/>
      <w:bookmarkEnd w:id="167"/>
      <w:bookmarkStart w:id="168" w:name="_Toc184312071"/>
      <w:bookmarkEnd w:id="168"/>
      <w:bookmarkStart w:id="169" w:name="_Toc184314474"/>
      <w:bookmarkEnd w:id="169"/>
      <w:bookmarkStart w:id="170" w:name="_Toc184314416"/>
      <w:bookmarkEnd w:id="170"/>
      <w:bookmarkStart w:id="171" w:name="_Toc184308084"/>
      <w:bookmarkEnd w:id="171"/>
      <w:bookmarkStart w:id="172" w:name="_Toc184310315"/>
      <w:bookmarkEnd w:id="172"/>
      <w:bookmarkStart w:id="173" w:name="_Toc184313299"/>
      <w:bookmarkEnd w:id="173"/>
      <w:bookmarkStart w:id="174" w:name="_Toc184313267"/>
      <w:bookmarkEnd w:id="174"/>
      <w:bookmarkStart w:id="175" w:name="_Toc184308099"/>
      <w:bookmarkEnd w:id="175"/>
      <w:bookmarkStart w:id="176" w:name="_Toc184312134"/>
      <w:bookmarkEnd w:id="176"/>
      <w:bookmarkStart w:id="177" w:name="_Toc184314458"/>
      <w:bookmarkEnd w:id="177"/>
      <w:bookmarkStart w:id="178" w:name="_Toc184310323"/>
      <w:bookmarkEnd w:id="178"/>
      <w:bookmarkStart w:id="179" w:name="_Toc184308070"/>
      <w:bookmarkEnd w:id="179"/>
      <w:bookmarkStart w:id="180" w:name="_Toc184312101"/>
      <w:bookmarkEnd w:id="180"/>
      <w:bookmarkStart w:id="181" w:name="_Toc184308073"/>
      <w:bookmarkEnd w:id="181"/>
      <w:bookmarkStart w:id="182" w:name="_Toc184313251"/>
      <w:bookmarkEnd w:id="182"/>
      <w:bookmarkStart w:id="183" w:name="_Toc184308086"/>
      <w:bookmarkEnd w:id="183"/>
      <w:bookmarkStart w:id="184" w:name="_Toc184308040"/>
      <w:bookmarkEnd w:id="184"/>
      <w:bookmarkStart w:id="185" w:name="_Toc184312114"/>
      <w:bookmarkEnd w:id="185"/>
      <w:bookmarkStart w:id="186" w:name="_Toc184313280"/>
      <w:bookmarkEnd w:id="186"/>
      <w:bookmarkStart w:id="187" w:name="_Toc184308056"/>
      <w:bookmarkEnd w:id="187"/>
      <w:bookmarkStart w:id="188" w:name="_Toc184312073"/>
      <w:bookmarkEnd w:id="188"/>
      <w:bookmarkStart w:id="189" w:name="_Toc184314436"/>
      <w:bookmarkEnd w:id="189"/>
      <w:bookmarkStart w:id="190" w:name="_Toc184312094"/>
      <w:bookmarkEnd w:id="190"/>
      <w:bookmarkStart w:id="191" w:name="_Toc184313263"/>
      <w:bookmarkEnd w:id="191"/>
      <w:bookmarkStart w:id="192" w:name="_Toc184312105"/>
      <w:bookmarkEnd w:id="192"/>
      <w:bookmarkStart w:id="193" w:name="_Toc184310342"/>
      <w:bookmarkEnd w:id="193"/>
      <w:bookmarkStart w:id="194" w:name="_Toc184314470"/>
      <w:bookmarkEnd w:id="194"/>
      <w:bookmarkStart w:id="195" w:name="_Toc184312098"/>
      <w:bookmarkEnd w:id="195"/>
      <w:bookmarkStart w:id="196" w:name="_Toc184314456"/>
      <w:bookmarkEnd w:id="196"/>
      <w:bookmarkStart w:id="197" w:name="_Toc184314457"/>
      <w:bookmarkEnd w:id="197"/>
      <w:bookmarkStart w:id="198" w:name="_Toc184313257"/>
      <w:bookmarkEnd w:id="198"/>
      <w:bookmarkStart w:id="199" w:name="_Toc184308069"/>
      <w:bookmarkEnd w:id="199"/>
      <w:bookmarkStart w:id="200" w:name="_Toc184310325"/>
      <w:bookmarkEnd w:id="200"/>
      <w:bookmarkStart w:id="201" w:name="_Toc184314415"/>
      <w:bookmarkEnd w:id="201"/>
      <w:bookmarkStart w:id="202" w:name="_Toc184313289"/>
      <w:bookmarkEnd w:id="202"/>
      <w:bookmarkStart w:id="203" w:name="_Toc184308079"/>
      <w:bookmarkEnd w:id="203"/>
      <w:bookmarkStart w:id="204" w:name="_Toc184312116"/>
      <w:bookmarkEnd w:id="204"/>
      <w:bookmarkStart w:id="205" w:name="_Toc184308085"/>
      <w:bookmarkEnd w:id="205"/>
      <w:bookmarkStart w:id="206" w:name="_Toc184310331"/>
      <w:bookmarkEnd w:id="206"/>
      <w:bookmarkStart w:id="207" w:name="_Toc184314441"/>
      <w:bookmarkEnd w:id="207"/>
      <w:bookmarkStart w:id="208" w:name="_Toc184310338"/>
      <w:bookmarkEnd w:id="208"/>
      <w:bookmarkStart w:id="209" w:name="_Toc184314437"/>
      <w:bookmarkEnd w:id="209"/>
      <w:bookmarkStart w:id="210" w:name="_Toc184312100"/>
      <w:bookmarkEnd w:id="210"/>
      <w:bookmarkStart w:id="211" w:name="_Toc184313300"/>
      <w:bookmarkEnd w:id="211"/>
      <w:bookmarkStart w:id="212" w:name="_Toc184312069"/>
      <w:bookmarkEnd w:id="212"/>
      <w:bookmarkStart w:id="213" w:name="_Toc184310276"/>
      <w:bookmarkEnd w:id="213"/>
      <w:bookmarkStart w:id="214" w:name="_Toc184314452"/>
      <w:bookmarkEnd w:id="214"/>
      <w:bookmarkStart w:id="215" w:name="_Toc184313282"/>
      <w:bookmarkEnd w:id="215"/>
      <w:bookmarkStart w:id="216" w:name="_Toc184308074"/>
      <w:bookmarkEnd w:id="216"/>
      <w:bookmarkStart w:id="217" w:name="_Toc184308108"/>
      <w:bookmarkEnd w:id="217"/>
      <w:bookmarkStart w:id="218" w:name="_Toc184313247"/>
      <w:bookmarkEnd w:id="218"/>
      <w:bookmarkStart w:id="219" w:name="_Toc184313309"/>
      <w:bookmarkEnd w:id="219"/>
      <w:bookmarkStart w:id="220" w:name="_Toc184310344"/>
      <w:bookmarkEnd w:id="220"/>
      <w:bookmarkStart w:id="221" w:name="_Toc184312093"/>
      <w:bookmarkEnd w:id="221"/>
      <w:bookmarkStart w:id="222" w:name="_Toc184312117"/>
      <w:bookmarkEnd w:id="222"/>
      <w:bookmarkStart w:id="223" w:name="_Toc184308038"/>
      <w:bookmarkEnd w:id="223"/>
      <w:bookmarkStart w:id="224" w:name="_Toc184310318"/>
      <w:bookmarkEnd w:id="224"/>
      <w:bookmarkStart w:id="225" w:name="_Toc184310280"/>
      <w:bookmarkEnd w:id="225"/>
      <w:bookmarkStart w:id="226" w:name="_Toc184312129"/>
      <w:bookmarkEnd w:id="226"/>
      <w:bookmarkStart w:id="227" w:name="_Toc184312074"/>
      <w:bookmarkEnd w:id="227"/>
      <w:bookmarkStart w:id="228" w:name="_Toc184313296"/>
      <w:bookmarkEnd w:id="228"/>
      <w:bookmarkStart w:id="229" w:name="_Toc184312115"/>
      <w:bookmarkEnd w:id="229"/>
      <w:bookmarkStart w:id="230" w:name="_Toc184314449"/>
      <w:bookmarkEnd w:id="230"/>
      <w:bookmarkStart w:id="231" w:name="_Toc184308092"/>
      <w:bookmarkEnd w:id="231"/>
      <w:bookmarkStart w:id="232" w:name="_Toc184314444"/>
      <w:bookmarkEnd w:id="232"/>
      <w:bookmarkStart w:id="233" w:name="_Toc184308057"/>
      <w:bookmarkEnd w:id="233"/>
      <w:bookmarkStart w:id="234" w:name="_Toc184314442"/>
      <w:bookmarkEnd w:id="234"/>
      <w:bookmarkStart w:id="235" w:name="_Toc184308087"/>
      <w:bookmarkEnd w:id="235"/>
      <w:bookmarkStart w:id="236" w:name="_Toc184314411"/>
      <w:bookmarkEnd w:id="236"/>
      <w:bookmarkStart w:id="237" w:name="_Toc184310327"/>
      <w:bookmarkEnd w:id="237"/>
      <w:bookmarkStart w:id="238" w:name="_Toc184313286"/>
      <w:bookmarkEnd w:id="238"/>
      <w:bookmarkStart w:id="239" w:name="_Toc184314445"/>
      <w:bookmarkEnd w:id="239"/>
      <w:bookmarkStart w:id="240" w:name="_Toc184310290"/>
      <w:bookmarkEnd w:id="240"/>
      <w:bookmarkStart w:id="241" w:name="_Toc184308104"/>
      <w:bookmarkEnd w:id="241"/>
      <w:bookmarkStart w:id="242" w:name="_Toc184310335"/>
      <w:bookmarkEnd w:id="242"/>
      <w:bookmarkStart w:id="243" w:name="_Toc184314420"/>
      <w:bookmarkEnd w:id="243"/>
      <w:bookmarkStart w:id="244" w:name="_Toc184313241"/>
      <w:bookmarkEnd w:id="244"/>
      <w:bookmarkStart w:id="245" w:name="_Toc184308100"/>
      <w:bookmarkEnd w:id="245"/>
      <w:bookmarkStart w:id="246" w:name="_Toc184312087"/>
      <w:bookmarkEnd w:id="246"/>
      <w:bookmarkStart w:id="247" w:name="_Toc184308071"/>
      <w:bookmarkEnd w:id="247"/>
      <w:bookmarkStart w:id="248" w:name="_Toc184308043"/>
      <w:bookmarkEnd w:id="248"/>
      <w:bookmarkStart w:id="249" w:name="_Toc184313265"/>
      <w:bookmarkEnd w:id="249"/>
      <w:bookmarkStart w:id="250" w:name="_Toc184313291"/>
      <w:bookmarkEnd w:id="250"/>
      <w:bookmarkStart w:id="251" w:name="_Toc184312126"/>
      <w:bookmarkEnd w:id="251"/>
      <w:bookmarkStart w:id="252" w:name="_Toc184314426"/>
      <w:bookmarkEnd w:id="252"/>
      <w:bookmarkStart w:id="253" w:name="_Toc184308058"/>
      <w:bookmarkEnd w:id="253"/>
      <w:bookmarkStart w:id="254" w:name="_Toc184310304"/>
      <w:bookmarkEnd w:id="254"/>
      <w:bookmarkStart w:id="255" w:name="_Toc184310273"/>
      <w:bookmarkEnd w:id="255"/>
      <w:bookmarkStart w:id="256" w:name="_Toc184310333"/>
      <w:bookmarkEnd w:id="256"/>
      <w:bookmarkStart w:id="257" w:name="_Toc184313285"/>
      <w:bookmarkEnd w:id="257"/>
      <w:bookmarkStart w:id="258" w:name="_Toc184308054"/>
      <w:bookmarkEnd w:id="258"/>
      <w:bookmarkStart w:id="259" w:name="_Toc184313298"/>
      <w:bookmarkEnd w:id="259"/>
      <w:bookmarkStart w:id="260" w:name="_Toc184312083"/>
      <w:bookmarkEnd w:id="260"/>
      <w:bookmarkStart w:id="261" w:name="_Toc184312123"/>
      <w:bookmarkEnd w:id="261"/>
      <w:bookmarkStart w:id="262" w:name="_Toc184308049"/>
      <w:bookmarkEnd w:id="262"/>
      <w:bookmarkStart w:id="263" w:name="_Toc184308042"/>
      <w:bookmarkEnd w:id="263"/>
      <w:bookmarkStart w:id="264" w:name="_Toc184310330"/>
      <w:bookmarkEnd w:id="264"/>
      <w:bookmarkStart w:id="265" w:name="_Toc184310284"/>
      <w:bookmarkEnd w:id="265"/>
      <w:bookmarkStart w:id="266" w:name="_Toc184308067"/>
      <w:bookmarkEnd w:id="266"/>
      <w:bookmarkStart w:id="267" w:name="_Toc184312096"/>
      <w:bookmarkEnd w:id="267"/>
      <w:bookmarkStart w:id="268" w:name="_Toc184313306"/>
      <w:bookmarkEnd w:id="268"/>
      <w:bookmarkStart w:id="269" w:name="_Toc184313290"/>
      <w:bookmarkEnd w:id="269"/>
      <w:bookmarkStart w:id="270" w:name="_Toc184312099"/>
      <w:bookmarkEnd w:id="270"/>
      <w:bookmarkStart w:id="271" w:name="_Toc184313295"/>
      <w:bookmarkEnd w:id="271"/>
      <w:bookmarkStart w:id="272" w:name="_Toc184312108"/>
      <w:bookmarkEnd w:id="272"/>
      <w:bookmarkStart w:id="273" w:name="_Toc184308075"/>
      <w:bookmarkEnd w:id="273"/>
      <w:bookmarkStart w:id="274" w:name="_Toc184310297"/>
      <w:bookmarkEnd w:id="274"/>
      <w:bookmarkStart w:id="275" w:name="_Toc184310285"/>
      <w:bookmarkEnd w:id="275"/>
      <w:bookmarkStart w:id="276" w:name="_Toc184312084"/>
      <w:bookmarkEnd w:id="276"/>
      <w:bookmarkStart w:id="277" w:name="_Toc184313297"/>
      <w:bookmarkEnd w:id="277"/>
      <w:bookmarkStart w:id="278" w:name="_Toc184314443"/>
      <w:bookmarkEnd w:id="278"/>
      <w:bookmarkStart w:id="279" w:name="_Toc184313240"/>
      <w:bookmarkEnd w:id="279"/>
      <w:bookmarkStart w:id="280" w:name="_Toc184308052"/>
      <w:bookmarkEnd w:id="280"/>
      <w:bookmarkStart w:id="281" w:name="_Toc184310328"/>
      <w:bookmarkEnd w:id="281"/>
      <w:bookmarkStart w:id="282" w:name="_Toc184312113"/>
      <w:bookmarkEnd w:id="282"/>
      <w:bookmarkStart w:id="283" w:name="_Toc184312112"/>
      <w:bookmarkEnd w:id="283"/>
      <w:bookmarkStart w:id="284" w:name="_Toc184308060"/>
      <w:bookmarkEnd w:id="284"/>
      <w:bookmarkStart w:id="285" w:name="_Toc184314430"/>
      <w:bookmarkEnd w:id="285"/>
      <w:bookmarkStart w:id="286" w:name="_Toc184312085"/>
      <w:bookmarkEnd w:id="286"/>
      <w:bookmarkStart w:id="287" w:name="_Toc184312124"/>
      <w:bookmarkEnd w:id="287"/>
      <w:bookmarkStart w:id="288" w:name="_Toc184308101"/>
      <w:bookmarkEnd w:id="288"/>
      <w:bookmarkStart w:id="289" w:name="_Toc184308091"/>
      <w:bookmarkEnd w:id="289"/>
      <w:bookmarkStart w:id="290" w:name="_Toc184310282"/>
      <w:bookmarkEnd w:id="290"/>
      <w:bookmarkStart w:id="291" w:name="_Toc184313281"/>
      <w:bookmarkEnd w:id="291"/>
      <w:bookmarkStart w:id="292" w:name="_Toc184314412"/>
      <w:bookmarkEnd w:id="292"/>
      <w:bookmarkStart w:id="293" w:name="_Toc184308076"/>
      <w:bookmarkEnd w:id="293"/>
      <w:bookmarkStart w:id="294" w:name="_Toc184308072"/>
      <w:bookmarkEnd w:id="294"/>
      <w:bookmarkStart w:id="295" w:name="_Toc184308095"/>
      <w:bookmarkEnd w:id="295"/>
      <w:bookmarkStart w:id="296" w:name="_Toc184313262"/>
      <w:bookmarkEnd w:id="296"/>
      <w:bookmarkStart w:id="297" w:name="_Toc184312111"/>
      <w:bookmarkEnd w:id="297"/>
      <w:bookmarkStart w:id="298" w:name="_Toc184314421"/>
      <w:bookmarkEnd w:id="298"/>
      <w:bookmarkStart w:id="299" w:name="_Toc184308097"/>
      <w:bookmarkEnd w:id="299"/>
      <w:bookmarkStart w:id="300" w:name="_Toc184312107"/>
      <w:bookmarkEnd w:id="300"/>
      <w:bookmarkStart w:id="301" w:name="_Toc184314425"/>
      <w:bookmarkEnd w:id="301"/>
      <w:bookmarkStart w:id="302" w:name="_Toc184312075"/>
      <w:bookmarkEnd w:id="302"/>
      <w:bookmarkStart w:id="303" w:name="_Toc184310287"/>
      <w:bookmarkEnd w:id="303"/>
      <w:bookmarkStart w:id="304" w:name="_Toc184312118"/>
      <w:bookmarkEnd w:id="304"/>
      <w:bookmarkStart w:id="305" w:name="_Toc184308047"/>
      <w:bookmarkEnd w:id="305"/>
      <w:bookmarkStart w:id="306" w:name="_Toc184313283"/>
      <w:bookmarkEnd w:id="306"/>
      <w:bookmarkStart w:id="307" w:name="_Toc184313256"/>
      <w:bookmarkEnd w:id="307"/>
      <w:bookmarkStart w:id="308" w:name="_Toc184310337"/>
      <w:bookmarkEnd w:id="308"/>
      <w:bookmarkStart w:id="309" w:name="_Toc184310293"/>
      <w:bookmarkEnd w:id="309"/>
      <w:bookmarkStart w:id="310" w:name="_Toc184313294"/>
      <w:bookmarkEnd w:id="310"/>
      <w:bookmarkStart w:id="311" w:name="_Toc184312106"/>
      <w:bookmarkEnd w:id="311"/>
      <w:bookmarkStart w:id="312" w:name="_Toc184312135"/>
      <w:bookmarkEnd w:id="312"/>
      <w:bookmarkStart w:id="313" w:name="_Toc184314460"/>
      <w:bookmarkEnd w:id="313"/>
      <w:bookmarkStart w:id="314" w:name="_Toc184310341"/>
      <w:bookmarkEnd w:id="314"/>
      <w:bookmarkStart w:id="315" w:name="_Toc184313307"/>
      <w:bookmarkEnd w:id="315"/>
      <w:bookmarkStart w:id="316" w:name="_Toc184310299"/>
      <w:bookmarkEnd w:id="316"/>
      <w:bookmarkStart w:id="317" w:name="_Toc184310313"/>
      <w:bookmarkEnd w:id="317"/>
      <w:bookmarkStart w:id="318" w:name="_Toc184308088"/>
      <w:bookmarkEnd w:id="318"/>
      <w:bookmarkStart w:id="319" w:name="_Toc184312086"/>
      <w:bookmarkEnd w:id="319"/>
      <w:bookmarkStart w:id="320" w:name="_Toc184308045"/>
      <w:bookmarkEnd w:id="320"/>
      <w:bookmarkStart w:id="321" w:name="_Toc184314438"/>
      <w:bookmarkEnd w:id="321"/>
      <w:bookmarkStart w:id="322" w:name="_Toc184308039"/>
      <w:bookmarkEnd w:id="322"/>
      <w:bookmarkStart w:id="323" w:name="_Toc184313252"/>
      <w:bookmarkEnd w:id="323"/>
      <w:bookmarkStart w:id="324" w:name="_Toc184313272"/>
      <w:bookmarkEnd w:id="324"/>
      <w:bookmarkStart w:id="325" w:name="_Toc184313271"/>
      <w:bookmarkEnd w:id="325"/>
      <w:bookmarkStart w:id="326" w:name="_Toc184313243"/>
      <w:bookmarkEnd w:id="326"/>
      <w:bookmarkStart w:id="327" w:name="_Toc184310320"/>
      <w:bookmarkEnd w:id="327"/>
      <w:bookmarkStart w:id="328" w:name="_Toc184308081"/>
      <w:bookmarkEnd w:id="328"/>
      <w:bookmarkStart w:id="329" w:name="_Toc184312104"/>
      <w:bookmarkEnd w:id="329"/>
      <w:bookmarkStart w:id="330" w:name="_Toc184310316"/>
      <w:bookmarkEnd w:id="330"/>
      <w:bookmarkStart w:id="331" w:name="_Toc184314435"/>
      <w:bookmarkEnd w:id="331"/>
      <w:bookmarkStart w:id="332" w:name="_Toc184308094"/>
      <w:bookmarkEnd w:id="332"/>
      <w:bookmarkStart w:id="333" w:name="_Toc184313261"/>
      <w:bookmarkEnd w:id="333"/>
      <w:bookmarkStart w:id="334" w:name="_Toc184313254"/>
      <w:bookmarkEnd w:id="334"/>
      <w:bookmarkStart w:id="335" w:name="_Toc184314462"/>
      <w:bookmarkEnd w:id="335"/>
      <w:bookmarkStart w:id="336" w:name="_Toc184310296"/>
      <w:bookmarkEnd w:id="336"/>
      <w:bookmarkStart w:id="337" w:name="_Toc184312139"/>
      <w:bookmarkEnd w:id="337"/>
      <w:bookmarkStart w:id="338" w:name="_Toc184312138"/>
      <w:bookmarkEnd w:id="338"/>
      <w:bookmarkStart w:id="339" w:name="_Toc184308102"/>
      <w:bookmarkEnd w:id="339"/>
      <w:bookmarkStart w:id="340" w:name="_Toc184312095"/>
      <w:bookmarkEnd w:id="340"/>
      <w:bookmarkStart w:id="341" w:name="_Toc184313303"/>
      <w:bookmarkEnd w:id="341"/>
      <w:bookmarkStart w:id="342" w:name="_Toc184314446"/>
      <w:bookmarkEnd w:id="342"/>
      <w:bookmarkStart w:id="343" w:name="_Toc184308066"/>
      <w:bookmarkEnd w:id="343"/>
      <w:bookmarkStart w:id="344" w:name="_Toc184308083"/>
      <w:bookmarkEnd w:id="344"/>
      <w:bookmarkStart w:id="345" w:name="_Toc184310324"/>
      <w:bookmarkEnd w:id="345"/>
      <w:bookmarkStart w:id="346" w:name="_Toc184310322"/>
      <w:bookmarkEnd w:id="346"/>
      <w:bookmarkStart w:id="347" w:name="_Toc184313279"/>
      <w:bookmarkEnd w:id="347"/>
      <w:bookmarkStart w:id="348" w:name="_Toc184314428"/>
      <w:bookmarkEnd w:id="348"/>
      <w:bookmarkStart w:id="349" w:name="_Toc184314463"/>
      <w:bookmarkEnd w:id="349"/>
      <w:bookmarkStart w:id="350" w:name="_Toc184313277"/>
      <w:bookmarkEnd w:id="350"/>
      <w:bookmarkStart w:id="351" w:name="_Toc184310334"/>
      <w:bookmarkEnd w:id="351"/>
      <w:bookmarkStart w:id="352" w:name="_Toc184308103"/>
      <w:bookmarkEnd w:id="352"/>
      <w:bookmarkStart w:id="353" w:name="_Toc184314410"/>
      <w:bookmarkEnd w:id="353"/>
      <w:bookmarkStart w:id="354" w:name="_Toc184314422"/>
      <w:bookmarkEnd w:id="354"/>
      <w:bookmarkStart w:id="355" w:name="_Toc184310311"/>
      <w:bookmarkEnd w:id="355"/>
      <w:bookmarkStart w:id="356" w:name="_Toc184314450"/>
      <w:bookmarkEnd w:id="356"/>
      <w:bookmarkStart w:id="357" w:name="_Toc184312137"/>
      <w:bookmarkEnd w:id="357"/>
      <w:bookmarkStart w:id="358" w:name="_Toc184313308"/>
      <w:bookmarkEnd w:id="358"/>
      <w:bookmarkStart w:id="359" w:name="_Toc184310295"/>
      <w:bookmarkEnd w:id="359"/>
      <w:bookmarkStart w:id="360" w:name="_Toc184313259"/>
      <w:bookmarkEnd w:id="360"/>
      <w:bookmarkStart w:id="361" w:name="_Toc184312077"/>
      <w:bookmarkEnd w:id="361"/>
      <w:bookmarkStart w:id="362" w:name="_Toc184308093"/>
      <w:bookmarkEnd w:id="362"/>
      <w:bookmarkStart w:id="363" w:name="_Toc184313255"/>
      <w:bookmarkEnd w:id="363"/>
      <w:bookmarkStart w:id="364" w:name="_Toc184312090"/>
      <w:bookmarkEnd w:id="364"/>
      <w:bookmarkStart w:id="365" w:name="_Toc184314476"/>
      <w:bookmarkEnd w:id="365"/>
      <w:bookmarkStart w:id="366" w:name="_Toc184310319"/>
      <w:bookmarkEnd w:id="366"/>
      <w:bookmarkStart w:id="367" w:name="_Toc184308089"/>
      <w:bookmarkEnd w:id="367"/>
      <w:bookmarkStart w:id="368" w:name="_Toc184313284"/>
      <w:bookmarkEnd w:id="368"/>
      <w:bookmarkStart w:id="369" w:name="_Toc184312121"/>
      <w:bookmarkEnd w:id="369"/>
      <w:bookmarkStart w:id="370" w:name="_Toc184314417"/>
      <w:bookmarkEnd w:id="370"/>
      <w:bookmarkStart w:id="371" w:name="_Toc184308096"/>
      <w:bookmarkEnd w:id="371"/>
      <w:bookmarkStart w:id="372" w:name="_Toc184313287"/>
      <w:bookmarkEnd w:id="372"/>
      <w:bookmarkStart w:id="373" w:name="_Toc184308078"/>
      <w:bookmarkEnd w:id="373"/>
      <w:bookmarkStart w:id="374" w:name="_Toc184310321"/>
      <w:bookmarkEnd w:id="374"/>
      <w:bookmarkStart w:id="375" w:name="_Toc184312078"/>
      <w:bookmarkEnd w:id="375"/>
      <w:bookmarkStart w:id="376" w:name="_Toc184308036"/>
      <w:bookmarkEnd w:id="376"/>
      <w:bookmarkStart w:id="377" w:name="_Toc184312081"/>
      <w:bookmarkEnd w:id="377"/>
      <w:bookmarkStart w:id="378" w:name="_Toc184314454"/>
      <w:bookmarkEnd w:id="378"/>
      <w:bookmarkStart w:id="379" w:name="_Toc184310272"/>
      <w:bookmarkEnd w:id="379"/>
      <w:bookmarkStart w:id="380" w:name="_Toc184308105"/>
      <w:bookmarkEnd w:id="380"/>
      <w:bookmarkStart w:id="381" w:name="_Toc184313305"/>
      <w:bookmarkEnd w:id="381"/>
      <w:bookmarkStart w:id="382" w:name="_Toc184312120"/>
      <w:bookmarkEnd w:id="382"/>
      <w:r>
        <w:rPr>
          <w:rFonts w:hint="eastAsia" w:ascii="宋体" w:hAnsi="宋体" w:cs="宋体"/>
          <w:b/>
          <w:color w:val="auto"/>
          <w:sz w:val="36"/>
          <w:szCs w:val="20"/>
          <w:highlight w:val="none"/>
        </w:rPr>
        <w:t xml:space="preserve"> 评审办法</w:t>
      </w:r>
    </w:p>
    <w:p w14:paraId="4A6FAC2E">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评审办法前附表</w:t>
      </w:r>
    </w:p>
    <w:tbl>
      <w:tblPr>
        <w:tblStyle w:val="62"/>
        <w:tblW w:w="1011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912"/>
        <w:gridCol w:w="8325"/>
        <w:gridCol w:w="875"/>
      </w:tblGrid>
      <w:tr w14:paraId="1EE331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3" w:hRule="atLeast"/>
          <w:tblHeader/>
          <w:jc w:val="center"/>
        </w:trPr>
        <w:tc>
          <w:tcPr>
            <w:tcW w:w="912" w:type="dxa"/>
            <w:noWrap w:val="0"/>
            <w:vAlign w:val="center"/>
          </w:tcPr>
          <w:p w14:paraId="58884120">
            <w:pPr>
              <w:widowControl/>
              <w:spacing w:line="276" w:lineRule="auto"/>
              <w:ind w:left="-527" w:firstLine="527"/>
              <w:jc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序号</w:t>
            </w:r>
          </w:p>
        </w:tc>
        <w:tc>
          <w:tcPr>
            <w:tcW w:w="8325" w:type="dxa"/>
            <w:noWrap w:val="0"/>
            <w:vAlign w:val="center"/>
          </w:tcPr>
          <w:p w14:paraId="2841542F">
            <w:pPr>
              <w:widowControl/>
              <w:spacing w:line="276" w:lineRule="auto"/>
              <w:ind w:left="-527" w:firstLine="527"/>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评分标准</w:t>
            </w:r>
          </w:p>
        </w:tc>
        <w:tc>
          <w:tcPr>
            <w:tcW w:w="875" w:type="dxa"/>
            <w:noWrap w:val="0"/>
            <w:vAlign w:val="center"/>
          </w:tcPr>
          <w:p w14:paraId="013E4C41">
            <w:pPr>
              <w:widowControl/>
              <w:spacing w:line="276" w:lineRule="auto"/>
              <w:ind w:left="-29" w:leftChars="-14" w:right="-88" w:rightChars="-42"/>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分值</w:t>
            </w:r>
          </w:p>
        </w:tc>
      </w:tr>
      <w:tr w14:paraId="5A5FCCA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912" w:type="dxa"/>
            <w:tcBorders>
              <w:bottom w:val="single" w:color="auto" w:sz="4" w:space="0"/>
            </w:tcBorders>
            <w:noWrap w:val="0"/>
            <w:vAlign w:val="center"/>
          </w:tcPr>
          <w:p w14:paraId="126BBE1C">
            <w:pPr>
              <w:spacing w:line="276" w:lineRule="auto"/>
              <w:ind w:left="118" w:leftChars="56" w:right="84" w:rightChars="4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c>
          <w:tcPr>
            <w:tcW w:w="8325" w:type="dxa"/>
            <w:tcBorders>
              <w:bottom w:val="single" w:color="auto" w:sz="4" w:space="0"/>
            </w:tcBorders>
            <w:noWrap w:val="0"/>
            <w:vAlign w:val="center"/>
          </w:tcPr>
          <w:p w14:paraId="78016575">
            <w:pPr>
              <w:snapToGrid w:val="0"/>
              <w:outlineLvl w:val="0"/>
              <w:rPr>
                <w:rFonts w:ascii="宋体" w:hAnsi="宋体" w:cs="宋体"/>
                <w:bCs/>
                <w:color w:val="auto"/>
                <w:sz w:val="24"/>
                <w:highlight w:val="none"/>
              </w:rPr>
            </w:pPr>
            <w:r>
              <w:rPr>
                <w:rFonts w:hint="eastAsia" w:ascii="宋体" w:hAnsi="宋体" w:cs="宋体"/>
                <w:bCs/>
                <w:color w:val="auto"/>
                <w:sz w:val="24"/>
                <w:highlight w:val="none"/>
              </w:rPr>
              <w:t>有效最后报价的最低价作为评审基准价，其最低报价为满分；按［最后报价得分=（评审基准价/最后报价）*30］的计算公式计算。</w:t>
            </w:r>
          </w:p>
          <w:p w14:paraId="48176CC1">
            <w:pPr>
              <w:widowControl/>
              <w:shd w:val="clear" w:color="auto" w:fill="FFFFFF"/>
              <w:adjustRightInd/>
              <w:snapToGrid w:val="0"/>
              <w:ind w:firstLine="420"/>
              <w:jc w:val="left"/>
              <w:rPr>
                <w:rFonts w:ascii="宋体" w:hAnsi="宋体" w:cs="宋体"/>
                <w:bCs/>
                <w:color w:val="auto"/>
                <w:sz w:val="24"/>
                <w:highlight w:val="none"/>
              </w:rPr>
            </w:pPr>
            <w:r>
              <w:rPr>
                <w:rFonts w:hint="eastAsia" w:ascii="宋体" w:hAnsi="宋体" w:cs="宋体"/>
                <w:bCs/>
                <w:color w:val="auto"/>
                <w:sz w:val="24"/>
                <w:highlight w:val="none"/>
              </w:rPr>
              <w:t>评审过程中，不得去掉报价中的最高报价和最低报价。</w:t>
            </w:r>
          </w:p>
          <w:p w14:paraId="2B066D62">
            <w:pPr>
              <w:spacing w:line="276" w:lineRule="auto"/>
              <w:ind w:left="118" w:leftChars="56" w:right="84" w:rightChars="40"/>
              <w:rPr>
                <w:rFonts w:hint="eastAsia" w:ascii="宋体" w:hAnsi="宋体" w:cs="宋体"/>
                <w:color w:val="auto"/>
                <w:sz w:val="24"/>
                <w:szCs w:val="24"/>
                <w:highlight w:val="none"/>
              </w:rPr>
            </w:pPr>
            <w:r>
              <w:rPr>
                <w:rFonts w:hint="eastAsia" w:ascii="宋体" w:hAnsi="宋体" w:cs="宋体"/>
                <w:bCs/>
                <w:color w:val="auto"/>
                <w:sz w:val="24"/>
                <w:highlight w:val="none"/>
              </w:rPr>
              <w:t>因落实政府采购政策需要进行价格调整的，以调整后的价格计算评审基准价和最后报价。</w:t>
            </w:r>
          </w:p>
        </w:tc>
        <w:tc>
          <w:tcPr>
            <w:tcW w:w="875" w:type="dxa"/>
            <w:tcBorders>
              <w:bottom w:val="single" w:color="auto" w:sz="4" w:space="0"/>
            </w:tcBorders>
            <w:noWrap w:val="0"/>
            <w:vAlign w:val="center"/>
          </w:tcPr>
          <w:p w14:paraId="123AFBA9">
            <w:pPr>
              <w:widowControl/>
              <w:spacing w:line="276" w:lineRule="auto"/>
              <w:ind w:left="118" w:leftChars="56" w:right="84" w:rightChars="4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30</w:t>
            </w:r>
          </w:p>
        </w:tc>
      </w:tr>
      <w:tr w14:paraId="3C10223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912" w:type="dxa"/>
            <w:tcBorders>
              <w:bottom w:val="single" w:color="auto" w:sz="4" w:space="0"/>
            </w:tcBorders>
            <w:noWrap w:val="0"/>
            <w:vAlign w:val="center"/>
          </w:tcPr>
          <w:p w14:paraId="5EDE05D6">
            <w:pPr>
              <w:spacing w:line="276" w:lineRule="auto"/>
              <w:ind w:left="118" w:leftChars="56" w:right="84" w:rightChars="40"/>
              <w:jc w:val="center"/>
              <w:rPr>
                <w:rFonts w:hint="default" w:ascii="宋体" w:hAnsi="宋体" w:eastAsia="宋体" w:cs="宋体"/>
                <w:snapToGrid w:val="0"/>
                <w:color w:val="auto"/>
                <w:sz w:val="24"/>
                <w:szCs w:val="24"/>
                <w:highlight w:val="none"/>
                <w:lang w:val="en-US" w:eastAsia="zh-CN" w:bidi="ar-SA"/>
              </w:rPr>
            </w:pPr>
            <w:r>
              <w:rPr>
                <w:rFonts w:hint="eastAsia" w:ascii="宋体" w:hAnsi="宋体" w:cs="宋体"/>
                <w:color w:val="auto"/>
                <w:sz w:val="24"/>
                <w:szCs w:val="24"/>
                <w:highlight w:val="none"/>
                <w:lang w:val="en-US" w:eastAsia="zh-CN"/>
              </w:rPr>
              <w:t>1</w:t>
            </w:r>
          </w:p>
        </w:tc>
        <w:tc>
          <w:tcPr>
            <w:tcW w:w="8325" w:type="dxa"/>
            <w:tcBorders>
              <w:bottom w:val="single" w:color="auto" w:sz="4" w:space="0"/>
            </w:tcBorders>
            <w:noWrap w:val="0"/>
            <w:vAlign w:val="center"/>
          </w:tcPr>
          <w:p w14:paraId="0E13F42C">
            <w:pPr>
              <w:spacing w:line="276" w:lineRule="auto"/>
              <w:ind w:left="118" w:leftChars="56" w:right="84" w:rightChars="40"/>
              <w:rPr>
                <w:rFonts w:hint="eastAsia" w:ascii="宋体" w:hAnsi="宋体" w:cs="宋体"/>
                <w:color w:val="auto"/>
                <w:sz w:val="24"/>
                <w:szCs w:val="24"/>
                <w:highlight w:val="none"/>
              </w:rPr>
            </w:pPr>
            <w:r>
              <w:rPr>
                <w:rFonts w:hint="eastAsia" w:ascii="宋体" w:hAnsi="宋体" w:cs="宋体"/>
                <w:color w:val="auto"/>
                <w:sz w:val="24"/>
                <w:szCs w:val="24"/>
                <w:highlight w:val="none"/>
              </w:rPr>
              <w:t>需求分析</w:t>
            </w:r>
          </w:p>
        </w:tc>
        <w:tc>
          <w:tcPr>
            <w:tcW w:w="875" w:type="dxa"/>
            <w:tcBorders>
              <w:bottom w:val="single" w:color="auto" w:sz="4" w:space="0"/>
            </w:tcBorders>
            <w:noWrap w:val="0"/>
            <w:vAlign w:val="center"/>
          </w:tcPr>
          <w:p w14:paraId="60DBEF77">
            <w:pPr>
              <w:widowControl/>
              <w:spacing w:line="276" w:lineRule="auto"/>
              <w:ind w:left="118" w:leftChars="56" w:right="84" w:rightChars="4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w:t>
            </w:r>
          </w:p>
        </w:tc>
      </w:tr>
      <w:tr w14:paraId="330ACE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912" w:type="dxa"/>
            <w:tcBorders>
              <w:top w:val="single" w:color="auto" w:sz="4" w:space="0"/>
              <w:bottom w:val="single" w:color="auto" w:sz="4" w:space="0"/>
            </w:tcBorders>
            <w:noWrap w:val="0"/>
            <w:vAlign w:val="center"/>
          </w:tcPr>
          <w:p w14:paraId="15D7371F">
            <w:pPr>
              <w:spacing w:line="276" w:lineRule="auto"/>
              <w:ind w:left="118" w:leftChars="56" w:right="84" w:rightChars="40"/>
              <w:jc w:val="center"/>
              <w:rPr>
                <w:rFonts w:hint="default" w:ascii="宋体" w:hAnsi="宋体" w:eastAsia="宋体" w:cs="宋体"/>
                <w:snapToGrid w:val="0"/>
                <w:color w:val="auto"/>
                <w:sz w:val="24"/>
                <w:szCs w:val="24"/>
                <w:highlight w:val="none"/>
                <w:lang w:val="en-US" w:eastAsia="zh-CN" w:bidi="ar-SA"/>
              </w:rPr>
            </w:pPr>
            <w:r>
              <w:rPr>
                <w:rFonts w:hint="eastAsia" w:ascii="宋体" w:hAnsi="宋体" w:cs="宋体"/>
                <w:color w:val="auto"/>
                <w:sz w:val="24"/>
                <w:szCs w:val="24"/>
                <w:highlight w:val="none"/>
                <w:lang w:val="en-US" w:eastAsia="zh-CN"/>
              </w:rPr>
              <w:t>1.1</w:t>
            </w:r>
          </w:p>
        </w:tc>
        <w:tc>
          <w:tcPr>
            <w:tcW w:w="8325" w:type="dxa"/>
            <w:tcBorders>
              <w:top w:val="single" w:color="auto" w:sz="4" w:space="0"/>
              <w:bottom w:val="single" w:color="auto" w:sz="4" w:space="0"/>
            </w:tcBorders>
            <w:noWrap w:val="0"/>
            <w:vAlign w:val="center"/>
          </w:tcPr>
          <w:p w14:paraId="636DA32E">
            <w:pPr>
              <w:spacing w:line="276" w:lineRule="auto"/>
              <w:ind w:left="118" w:leftChars="56" w:right="84" w:rightChars="4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根据项目需求、</w:t>
            </w:r>
            <w:r>
              <w:rPr>
                <w:rFonts w:hint="eastAsia" w:ascii="宋体" w:hAnsi="宋体" w:cs="宋体"/>
                <w:color w:val="auto"/>
                <w:sz w:val="24"/>
                <w:szCs w:val="24"/>
                <w:highlight w:val="none"/>
                <w:lang w:val="en-US" w:eastAsia="zh-CN"/>
              </w:rPr>
              <w:t>施工图、</w:t>
            </w:r>
            <w:r>
              <w:rPr>
                <w:rFonts w:hint="eastAsia" w:ascii="宋体" w:hAnsi="宋体" w:cs="宋体"/>
                <w:color w:val="auto"/>
                <w:sz w:val="24"/>
                <w:szCs w:val="24"/>
                <w:highlight w:val="none"/>
              </w:rPr>
              <w:t>清单</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现场情况</w:t>
            </w:r>
            <w:r>
              <w:rPr>
                <w:rFonts w:hint="eastAsia" w:ascii="宋体" w:hAnsi="宋体" w:cs="宋体"/>
                <w:color w:val="auto"/>
                <w:sz w:val="24"/>
                <w:szCs w:val="24"/>
                <w:highlight w:val="none"/>
              </w:rPr>
              <w:t>等，对项目现状是否有充分了解，提供相关说明或佐证材料，充分</w:t>
            </w:r>
            <w:r>
              <w:rPr>
                <w:rFonts w:hint="eastAsia" w:ascii="宋体" w:hAnsi="宋体" w:cs="宋体"/>
                <w:color w:val="auto"/>
                <w:sz w:val="24"/>
                <w:szCs w:val="24"/>
                <w:highlight w:val="none"/>
                <w:lang w:val="en-US" w:eastAsia="zh-CN"/>
              </w:rPr>
              <w:t>了解</w:t>
            </w:r>
            <w:r>
              <w:rPr>
                <w:rFonts w:hint="eastAsia" w:ascii="宋体" w:hAnsi="宋体" w:cs="宋体"/>
                <w:color w:val="auto"/>
                <w:sz w:val="24"/>
                <w:szCs w:val="24"/>
                <w:highlight w:val="none"/>
              </w:rPr>
              <w:t>得</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分，基本了解得</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分，不太了解得1分，不了解不得分</w:t>
            </w:r>
            <w:r>
              <w:rPr>
                <w:rFonts w:hint="eastAsia" w:ascii="宋体" w:hAnsi="宋体" w:cs="宋体"/>
                <w:color w:val="auto"/>
                <w:sz w:val="24"/>
                <w:szCs w:val="24"/>
                <w:highlight w:val="none"/>
                <w:lang w:eastAsia="zh-CN"/>
              </w:rPr>
              <w:t>。</w:t>
            </w:r>
          </w:p>
        </w:tc>
        <w:tc>
          <w:tcPr>
            <w:tcW w:w="875" w:type="dxa"/>
            <w:tcBorders>
              <w:top w:val="single" w:color="auto" w:sz="4" w:space="0"/>
              <w:bottom w:val="single" w:color="auto" w:sz="4" w:space="0"/>
            </w:tcBorders>
            <w:noWrap w:val="0"/>
            <w:vAlign w:val="center"/>
          </w:tcPr>
          <w:p w14:paraId="06724FBC">
            <w:pPr>
              <w:widowControl/>
              <w:spacing w:line="276" w:lineRule="auto"/>
              <w:ind w:left="118" w:leftChars="56" w:right="84" w:rightChars="4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r>
      <w:tr w14:paraId="6F28615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912" w:type="dxa"/>
            <w:tcBorders>
              <w:top w:val="single" w:color="auto" w:sz="4" w:space="0"/>
              <w:bottom w:val="single" w:color="auto" w:sz="4" w:space="0"/>
            </w:tcBorders>
            <w:noWrap w:val="0"/>
            <w:vAlign w:val="center"/>
          </w:tcPr>
          <w:p w14:paraId="0E621ED4">
            <w:pPr>
              <w:spacing w:line="276" w:lineRule="auto"/>
              <w:ind w:left="118" w:leftChars="56" w:right="84" w:rightChars="40"/>
              <w:jc w:val="center"/>
              <w:rPr>
                <w:rFonts w:hint="default" w:ascii="宋体" w:hAnsi="宋体" w:eastAsia="宋体" w:cs="宋体"/>
                <w:snapToGrid w:val="0"/>
                <w:color w:val="auto"/>
                <w:sz w:val="24"/>
                <w:szCs w:val="24"/>
                <w:highlight w:val="none"/>
                <w:lang w:val="en-US" w:eastAsia="zh-CN" w:bidi="ar-SA"/>
              </w:rPr>
            </w:pPr>
            <w:r>
              <w:rPr>
                <w:rFonts w:hint="eastAsia" w:ascii="宋体" w:hAnsi="宋体" w:cs="宋体"/>
                <w:color w:val="auto"/>
                <w:sz w:val="24"/>
                <w:szCs w:val="24"/>
                <w:highlight w:val="none"/>
                <w:lang w:val="en-US" w:eastAsia="zh-CN"/>
              </w:rPr>
              <w:t>1.2</w:t>
            </w:r>
          </w:p>
        </w:tc>
        <w:tc>
          <w:tcPr>
            <w:tcW w:w="8325" w:type="dxa"/>
            <w:tcBorders>
              <w:top w:val="single" w:color="auto" w:sz="4" w:space="0"/>
              <w:bottom w:val="single" w:color="auto" w:sz="4" w:space="0"/>
            </w:tcBorders>
            <w:noWrap w:val="0"/>
            <w:vAlign w:val="center"/>
          </w:tcPr>
          <w:p w14:paraId="5EB742BA">
            <w:pPr>
              <w:spacing w:line="276" w:lineRule="auto"/>
              <w:ind w:left="118" w:leftChars="56" w:right="84" w:rightChars="40"/>
              <w:rPr>
                <w:rFonts w:hint="eastAsia" w:ascii="宋体" w:hAnsi="宋体" w:cs="宋体"/>
                <w:color w:val="auto"/>
                <w:sz w:val="24"/>
                <w:szCs w:val="24"/>
                <w:highlight w:val="none"/>
              </w:rPr>
            </w:pPr>
            <w:r>
              <w:rPr>
                <w:rFonts w:hint="eastAsia" w:ascii="宋体" w:hAnsi="宋体" w:cs="宋体"/>
                <w:color w:val="auto"/>
                <w:sz w:val="24"/>
                <w:szCs w:val="24"/>
                <w:highlight w:val="none"/>
              </w:rPr>
              <w:t>工程施工的重、难点分析是否具有针对性、科学性：具有较强针对性、科学性得</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分，具有</w:t>
            </w:r>
            <w:r>
              <w:rPr>
                <w:rFonts w:hint="eastAsia" w:ascii="宋体" w:hAnsi="宋体" w:cs="宋体"/>
                <w:color w:val="auto"/>
                <w:sz w:val="24"/>
                <w:szCs w:val="24"/>
                <w:highlight w:val="none"/>
                <w:lang w:eastAsia="zh-CN"/>
              </w:rPr>
              <w:t>一定的</w:t>
            </w:r>
            <w:r>
              <w:rPr>
                <w:rFonts w:hint="eastAsia" w:ascii="宋体" w:hAnsi="宋体" w:cs="宋体"/>
                <w:color w:val="auto"/>
                <w:sz w:val="24"/>
                <w:szCs w:val="24"/>
                <w:highlight w:val="none"/>
              </w:rPr>
              <w:t>针对性、科学性得</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分，针对性</w:t>
            </w:r>
            <w:r>
              <w:rPr>
                <w:rFonts w:hint="eastAsia" w:ascii="宋体" w:hAnsi="宋体" w:cs="宋体"/>
                <w:color w:val="auto"/>
                <w:sz w:val="24"/>
                <w:szCs w:val="24"/>
                <w:highlight w:val="none"/>
                <w:lang w:eastAsia="zh-CN"/>
              </w:rPr>
              <w:t>不强</w:t>
            </w:r>
            <w:r>
              <w:rPr>
                <w:rFonts w:hint="eastAsia" w:ascii="宋体" w:hAnsi="宋体" w:cs="宋体"/>
                <w:color w:val="auto"/>
                <w:sz w:val="24"/>
                <w:szCs w:val="24"/>
                <w:highlight w:val="none"/>
              </w:rPr>
              <w:t>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不具有针对性、科学性不得分。</w:t>
            </w:r>
          </w:p>
        </w:tc>
        <w:tc>
          <w:tcPr>
            <w:tcW w:w="875" w:type="dxa"/>
            <w:tcBorders>
              <w:top w:val="single" w:color="auto" w:sz="4" w:space="0"/>
              <w:bottom w:val="single" w:color="auto" w:sz="4" w:space="0"/>
            </w:tcBorders>
            <w:noWrap w:val="0"/>
            <w:vAlign w:val="center"/>
          </w:tcPr>
          <w:p w14:paraId="264CA479">
            <w:pPr>
              <w:widowControl/>
              <w:spacing w:line="276" w:lineRule="auto"/>
              <w:ind w:left="118" w:leftChars="56" w:right="84" w:rightChars="4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r>
      <w:tr w14:paraId="33546E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72" w:hRule="atLeast"/>
          <w:jc w:val="center"/>
        </w:trPr>
        <w:tc>
          <w:tcPr>
            <w:tcW w:w="912" w:type="dxa"/>
            <w:tcBorders>
              <w:top w:val="single" w:color="auto" w:sz="4" w:space="0"/>
              <w:bottom w:val="single" w:color="auto" w:sz="4" w:space="0"/>
            </w:tcBorders>
            <w:noWrap w:val="0"/>
            <w:vAlign w:val="center"/>
          </w:tcPr>
          <w:p w14:paraId="215A1C35">
            <w:pPr>
              <w:spacing w:line="276" w:lineRule="auto"/>
              <w:ind w:left="118" w:leftChars="56" w:right="84" w:rightChars="40"/>
              <w:jc w:val="center"/>
              <w:rPr>
                <w:rFonts w:hint="default" w:ascii="宋体" w:hAnsi="宋体" w:eastAsia="宋体" w:cs="宋体"/>
                <w:snapToGrid w:val="0"/>
                <w:color w:val="auto"/>
                <w:sz w:val="24"/>
                <w:szCs w:val="24"/>
                <w:highlight w:val="none"/>
                <w:lang w:val="en-US" w:eastAsia="zh-CN" w:bidi="ar-SA"/>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.3</w:t>
            </w:r>
          </w:p>
        </w:tc>
        <w:tc>
          <w:tcPr>
            <w:tcW w:w="8325" w:type="dxa"/>
            <w:tcBorders>
              <w:top w:val="single" w:color="auto" w:sz="4" w:space="0"/>
              <w:bottom w:val="single" w:color="auto" w:sz="4" w:space="0"/>
            </w:tcBorders>
            <w:noWrap w:val="0"/>
            <w:vAlign w:val="center"/>
          </w:tcPr>
          <w:p w14:paraId="7754A6B4">
            <w:pPr>
              <w:spacing w:line="276" w:lineRule="auto"/>
              <w:ind w:left="118" w:leftChars="56" w:right="84" w:rightChars="40"/>
              <w:rPr>
                <w:rFonts w:hint="eastAsia" w:ascii="宋体" w:hAnsi="宋体" w:cs="宋体"/>
                <w:color w:val="auto"/>
                <w:sz w:val="24"/>
                <w:szCs w:val="24"/>
                <w:highlight w:val="none"/>
              </w:rPr>
            </w:pPr>
            <w:r>
              <w:rPr>
                <w:rFonts w:hint="eastAsia" w:ascii="宋体" w:hAnsi="宋体" w:cs="宋体"/>
                <w:color w:val="auto"/>
                <w:sz w:val="24"/>
                <w:szCs w:val="24"/>
                <w:highlight w:val="none"/>
              </w:rPr>
              <w:t>针对重难点分析提出解决措施，每条合理建议得1分，最高得4分。</w:t>
            </w:r>
          </w:p>
        </w:tc>
        <w:tc>
          <w:tcPr>
            <w:tcW w:w="875" w:type="dxa"/>
            <w:tcBorders>
              <w:top w:val="single" w:color="auto" w:sz="4" w:space="0"/>
              <w:bottom w:val="single" w:color="auto" w:sz="4" w:space="0"/>
            </w:tcBorders>
            <w:noWrap w:val="0"/>
            <w:vAlign w:val="center"/>
          </w:tcPr>
          <w:p w14:paraId="33EDFAE7">
            <w:pPr>
              <w:widowControl/>
              <w:spacing w:line="276" w:lineRule="auto"/>
              <w:ind w:left="118" w:leftChars="56" w:right="84" w:rightChars="4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r>
      <w:tr w14:paraId="3FB09C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912" w:type="dxa"/>
            <w:tcBorders>
              <w:top w:val="single" w:color="auto" w:sz="4" w:space="0"/>
              <w:bottom w:val="single" w:color="auto" w:sz="4" w:space="0"/>
            </w:tcBorders>
            <w:noWrap w:val="0"/>
            <w:vAlign w:val="center"/>
          </w:tcPr>
          <w:p w14:paraId="5C09BE06">
            <w:pPr>
              <w:spacing w:line="276" w:lineRule="auto"/>
              <w:ind w:right="84" w:rightChars="40"/>
              <w:jc w:val="center"/>
              <w:rPr>
                <w:rFonts w:hint="default" w:ascii="宋体" w:hAnsi="宋体" w:eastAsia="宋体" w:cs="宋体"/>
                <w:snapToGrid w:val="0"/>
                <w:color w:val="auto"/>
                <w:sz w:val="24"/>
                <w:szCs w:val="24"/>
                <w:highlight w:val="none"/>
                <w:lang w:val="en-US" w:eastAsia="zh-CN" w:bidi="ar-SA"/>
              </w:rPr>
            </w:pPr>
            <w:r>
              <w:rPr>
                <w:rFonts w:hint="eastAsia" w:ascii="宋体" w:hAnsi="宋体" w:cs="宋体"/>
                <w:color w:val="auto"/>
                <w:sz w:val="24"/>
                <w:szCs w:val="24"/>
                <w:highlight w:val="none"/>
                <w:lang w:val="en-US" w:eastAsia="zh-CN"/>
              </w:rPr>
              <w:t>2</w:t>
            </w:r>
          </w:p>
        </w:tc>
        <w:tc>
          <w:tcPr>
            <w:tcW w:w="8325" w:type="dxa"/>
            <w:tcBorders>
              <w:top w:val="single" w:color="auto" w:sz="4" w:space="0"/>
              <w:bottom w:val="single" w:color="auto" w:sz="4" w:space="0"/>
            </w:tcBorders>
            <w:noWrap w:val="0"/>
            <w:vAlign w:val="center"/>
          </w:tcPr>
          <w:p w14:paraId="134D3BE5">
            <w:pPr>
              <w:spacing w:line="276" w:lineRule="auto"/>
              <w:ind w:left="118" w:leftChars="56" w:right="84" w:rightChars="40"/>
              <w:rPr>
                <w:rFonts w:hint="eastAsia" w:ascii="宋体" w:hAnsi="宋体" w:cs="宋体"/>
                <w:color w:val="auto"/>
                <w:sz w:val="24"/>
                <w:szCs w:val="24"/>
                <w:highlight w:val="none"/>
              </w:rPr>
            </w:pPr>
            <w:r>
              <w:rPr>
                <w:rFonts w:hint="eastAsia" w:ascii="宋体" w:hAnsi="宋体" w:cs="宋体"/>
                <w:color w:val="auto"/>
                <w:sz w:val="24"/>
                <w:szCs w:val="24"/>
                <w:highlight w:val="none"/>
              </w:rPr>
              <w:t>施工组织设计内容是否全面合理，是否能够结合本项目特点进行整体施工组织计划：全面合理，能够结合本项目特点进行整体施工组织计划得</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分，合理但不全面，能够结合本项目特点进行整体施工组织计划得</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eastAsia="zh-CN"/>
              </w:rPr>
              <w:t>缺陷明显需完善后实施得</w:t>
            </w:r>
            <w:r>
              <w:rPr>
                <w:rFonts w:hint="eastAsia" w:ascii="宋体" w:hAnsi="宋体" w:cs="宋体"/>
                <w:color w:val="auto"/>
                <w:sz w:val="24"/>
                <w:szCs w:val="24"/>
                <w:highlight w:val="none"/>
                <w:lang w:val="en-US" w:eastAsia="zh-CN"/>
              </w:rPr>
              <w:t>1分，</w:t>
            </w:r>
            <w:r>
              <w:rPr>
                <w:rFonts w:hint="eastAsia" w:ascii="宋体" w:hAnsi="宋体" w:cs="宋体"/>
                <w:color w:val="auto"/>
                <w:sz w:val="24"/>
                <w:szCs w:val="24"/>
                <w:highlight w:val="none"/>
              </w:rPr>
              <w:t>不合理不能够结合本项目特点进行整体施工组织计划不得分。</w:t>
            </w:r>
          </w:p>
        </w:tc>
        <w:tc>
          <w:tcPr>
            <w:tcW w:w="875" w:type="dxa"/>
            <w:tcBorders>
              <w:top w:val="single" w:color="auto" w:sz="4" w:space="0"/>
              <w:bottom w:val="single" w:color="auto" w:sz="4" w:space="0"/>
            </w:tcBorders>
            <w:noWrap w:val="0"/>
            <w:vAlign w:val="center"/>
          </w:tcPr>
          <w:p w14:paraId="2F5D26E8">
            <w:pPr>
              <w:spacing w:line="276" w:lineRule="auto"/>
              <w:ind w:left="118" w:leftChars="56" w:right="84" w:rightChars="4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r>
      <w:tr w14:paraId="729D375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553" w:hRule="atLeast"/>
          <w:jc w:val="center"/>
        </w:trPr>
        <w:tc>
          <w:tcPr>
            <w:tcW w:w="912" w:type="dxa"/>
            <w:tcBorders>
              <w:top w:val="single" w:color="auto" w:sz="4" w:space="0"/>
            </w:tcBorders>
            <w:noWrap w:val="0"/>
            <w:vAlign w:val="center"/>
          </w:tcPr>
          <w:p w14:paraId="38B45FC9">
            <w:pPr>
              <w:spacing w:line="276" w:lineRule="auto"/>
              <w:ind w:left="118" w:leftChars="56" w:right="84" w:rightChars="40"/>
              <w:jc w:val="center"/>
              <w:rPr>
                <w:rFonts w:hint="default" w:ascii="宋体" w:hAnsi="宋体" w:eastAsia="宋体" w:cs="宋体"/>
                <w:snapToGrid w:val="0"/>
                <w:color w:val="auto"/>
                <w:sz w:val="24"/>
                <w:szCs w:val="24"/>
                <w:highlight w:val="none"/>
                <w:lang w:val="en-US" w:eastAsia="zh-CN" w:bidi="ar-SA"/>
              </w:rPr>
            </w:pPr>
            <w:r>
              <w:rPr>
                <w:rFonts w:hint="eastAsia" w:ascii="宋体" w:hAnsi="宋体" w:cs="宋体"/>
                <w:color w:val="auto"/>
                <w:sz w:val="24"/>
                <w:szCs w:val="24"/>
                <w:highlight w:val="none"/>
                <w:lang w:val="en-US" w:eastAsia="zh-CN"/>
              </w:rPr>
              <w:t>3</w:t>
            </w:r>
          </w:p>
        </w:tc>
        <w:tc>
          <w:tcPr>
            <w:tcW w:w="8325" w:type="dxa"/>
            <w:tcBorders>
              <w:top w:val="single" w:color="auto" w:sz="4" w:space="0"/>
            </w:tcBorders>
            <w:noWrap w:val="0"/>
            <w:vAlign w:val="center"/>
          </w:tcPr>
          <w:p w14:paraId="5B63204F">
            <w:pPr>
              <w:spacing w:line="276" w:lineRule="auto"/>
              <w:ind w:left="118" w:leftChars="56" w:right="84" w:rightChars="40"/>
              <w:rPr>
                <w:rFonts w:hint="eastAsia" w:ascii="宋体" w:hAnsi="宋体" w:cs="宋体"/>
                <w:color w:val="auto"/>
                <w:sz w:val="24"/>
                <w:szCs w:val="24"/>
                <w:highlight w:val="none"/>
              </w:rPr>
            </w:pPr>
            <w:r>
              <w:rPr>
                <w:rFonts w:hint="eastAsia" w:ascii="宋体" w:hAnsi="宋体" w:cs="宋体"/>
                <w:color w:val="auto"/>
                <w:sz w:val="24"/>
                <w:szCs w:val="24"/>
                <w:highlight w:val="none"/>
              </w:rPr>
              <w:t>主要施工方法（施工方案是否科学、合理、可靠、可实施）：施工方案科学、合理、可靠、可实施性强得</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分，施工方案科学、合理、可靠、可实施性</w:t>
            </w:r>
            <w:r>
              <w:rPr>
                <w:rFonts w:hint="eastAsia" w:ascii="宋体" w:hAnsi="宋体" w:cs="宋体"/>
                <w:color w:val="auto"/>
                <w:sz w:val="24"/>
                <w:szCs w:val="24"/>
                <w:highlight w:val="none"/>
                <w:lang w:eastAsia="zh-CN"/>
              </w:rPr>
              <w:t>较强</w:t>
            </w:r>
            <w:r>
              <w:rPr>
                <w:rFonts w:hint="eastAsia" w:ascii="宋体" w:hAnsi="宋体" w:cs="宋体"/>
                <w:color w:val="auto"/>
                <w:sz w:val="24"/>
                <w:szCs w:val="24"/>
                <w:highlight w:val="none"/>
              </w:rPr>
              <w:t>得</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分，施工方案科学、合理、可靠、可实施性</w:t>
            </w:r>
            <w:r>
              <w:rPr>
                <w:rFonts w:hint="eastAsia" w:ascii="宋体" w:hAnsi="宋体" w:cs="宋体"/>
                <w:color w:val="auto"/>
                <w:sz w:val="24"/>
                <w:szCs w:val="24"/>
                <w:highlight w:val="none"/>
                <w:lang w:eastAsia="zh-CN"/>
              </w:rPr>
              <w:t>一般得</w:t>
            </w:r>
            <w:r>
              <w:rPr>
                <w:rFonts w:hint="eastAsia" w:ascii="宋体" w:hAnsi="宋体" w:cs="宋体"/>
                <w:color w:val="auto"/>
                <w:sz w:val="24"/>
                <w:szCs w:val="24"/>
                <w:highlight w:val="none"/>
                <w:lang w:val="en-US" w:eastAsia="zh-CN"/>
              </w:rPr>
              <w:t>2分，</w:t>
            </w:r>
            <w:r>
              <w:rPr>
                <w:rFonts w:hint="eastAsia" w:ascii="宋体" w:hAnsi="宋体" w:cs="宋体"/>
                <w:color w:val="auto"/>
                <w:sz w:val="24"/>
                <w:szCs w:val="24"/>
                <w:highlight w:val="none"/>
              </w:rPr>
              <w:t>施工方案不合理不可实施不得分。</w:t>
            </w:r>
          </w:p>
        </w:tc>
        <w:tc>
          <w:tcPr>
            <w:tcW w:w="875" w:type="dxa"/>
            <w:tcBorders>
              <w:top w:val="single" w:color="auto" w:sz="4" w:space="0"/>
            </w:tcBorders>
            <w:noWrap w:val="0"/>
            <w:vAlign w:val="center"/>
          </w:tcPr>
          <w:p w14:paraId="133C742B">
            <w:pPr>
              <w:spacing w:line="276" w:lineRule="auto"/>
              <w:ind w:left="118" w:leftChars="56" w:right="84" w:rightChars="4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6</w:t>
            </w:r>
          </w:p>
        </w:tc>
      </w:tr>
      <w:tr w14:paraId="27CA196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245" w:hRule="atLeast"/>
          <w:jc w:val="center"/>
        </w:trPr>
        <w:tc>
          <w:tcPr>
            <w:tcW w:w="912" w:type="dxa"/>
            <w:tcBorders>
              <w:bottom w:val="single" w:color="auto" w:sz="4" w:space="0"/>
            </w:tcBorders>
            <w:noWrap w:val="0"/>
            <w:vAlign w:val="center"/>
          </w:tcPr>
          <w:p w14:paraId="50A5C1D7">
            <w:pPr>
              <w:spacing w:line="276" w:lineRule="auto"/>
              <w:ind w:left="118" w:leftChars="56" w:right="84" w:rightChars="40"/>
              <w:jc w:val="center"/>
              <w:rPr>
                <w:rFonts w:hint="default" w:ascii="宋体" w:hAnsi="宋体" w:eastAsia="宋体" w:cs="宋体"/>
                <w:snapToGrid w:val="0"/>
                <w:color w:val="auto"/>
                <w:sz w:val="24"/>
                <w:szCs w:val="24"/>
                <w:highlight w:val="none"/>
                <w:lang w:val="en-US" w:eastAsia="zh-CN" w:bidi="ar-SA"/>
              </w:rPr>
            </w:pPr>
            <w:r>
              <w:rPr>
                <w:rFonts w:hint="eastAsia" w:ascii="宋体" w:hAnsi="宋体" w:cs="宋体"/>
                <w:color w:val="auto"/>
                <w:sz w:val="24"/>
                <w:szCs w:val="24"/>
                <w:highlight w:val="none"/>
                <w:lang w:val="en-US" w:eastAsia="zh-CN"/>
              </w:rPr>
              <w:t>4</w:t>
            </w:r>
          </w:p>
        </w:tc>
        <w:tc>
          <w:tcPr>
            <w:tcW w:w="8325" w:type="dxa"/>
            <w:tcBorders>
              <w:bottom w:val="single" w:color="auto" w:sz="4" w:space="0"/>
            </w:tcBorders>
            <w:noWrap w:val="0"/>
            <w:vAlign w:val="center"/>
          </w:tcPr>
          <w:p w14:paraId="28DC302B">
            <w:pPr>
              <w:spacing w:line="276" w:lineRule="auto"/>
              <w:ind w:left="118" w:leftChars="56" w:right="84" w:rightChars="4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根据本工程的特点如何实施及目标控制的措施</w:t>
            </w:r>
            <w:r>
              <w:rPr>
                <w:rFonts w:hint="eastAsia" w:ascii="宋体" w:hAnsi="宋体" w:cs="宋体"/>
                <w:color w:val="auto"/>
                <w:sz w:val="24"/>
                <w:szCs w:val="24"/>
                <w:highlight w:val="none"/>
                <w:lang w:eastAsia="zh-CN"/>
              </w:rPr>
              <w:t>：</w:t>
            </w:r>
          </w:p>
          <w:p w14:paraId="71110738">
            <w:pPr>
              <w:spacing w:line="276" w:lineRule="auto"/>
              <w:ind w:left="118" w:leftChars="56" w:right="84" w:rightChars="4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目标正确得</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目标基本正确得1分，不正确不得分</w:t>
            </w:r>
            <w:r>
              <w:rPr>
                <w:rFonts w:hint="eastAsia" w:ascii="宋体" w:hAnsi="宋体" w:cs="宋体"/>
                <w:color w:val="auto"/>
                <w:sz w:val="24"/>
                <w:szCs w:val="24"/>
                <w:highlight w:val="none"/>
                <w:lang w:eastAsia="zh-CN"/>
              </w:rPr>
              <w:t>；</w:t>
            </w:r>
          </w:p>
          <w:p w14:paraId="47530CB0">
            <w:pPr>
              <w:spacing w:line="276" w:lineRule="auto"/>
              <w:ind w:left="118" w:leftChars="56" w:right="84" w:rightChars="40"/>
              <w:rPr>
                <w:rFonts w:hint="eastAsia" w:ascii="宋体" w:hAnsi="宋体" w:cs="宋体"/>
                <w:color w:val="auto"/>
                <w:sz w:val="24"/>
                <w:szCs w:val="24"/>
                <w:highlight w:val="none"/>
              </w:rPr>
            </w:pPr>
            <w:r>
              <w:rPr>
                <w:rFonts w:hint="eastAsia" w:ascii="宋体" w:hAnsi="宋体" w:cs="宋体"/>
                <w:color w:val="auto"/>
                <w:sz w:val="24"/>
                <w:szCs w:val="24"/>
                <w:highlight w:val="none"/>
              </w:rPr>
              <w:t>措施</w:t>
            </w:r>
            <w:r>
              <w:rPr>
                <w:rFonts w:hint="eastAsia" w:ascii="宋体" w:hAnsi="宋体" w:cs="宋体"/>
                <w:color w:val="auto"/>
                <w:sz w:val="24"/>
                <w:szCs w:val="24"/>
                <w:highlight w:val="none"/>
                <w:lang w:val="en-US" w:eastAsia="zh-CN"/>
              </w:rPr>
              <w:t>有效</w:t>
            </w:r>
            <w:r>
              <w:rPr>
                <w:rFonts w:hint="eastAsia" w:ascii="宋体" w:hAnsi="宋体" w:cs="宋体"/>
                <w:color w:val="auto"/>
                <w:sz w:val="24"/>
                <w:szCs w:val="24"/>
                <w:highlight w:val="none"/>
              </w:rPr>
              <w:t>落实得</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措施</w:t>
            </w:r>
            <w:r>
              <w:rPr>
                <w:rFonts w:hint="eastAsia" w:ascii="宋体" w:hAnsi="宋体" w:cs="宋体"/>
                <w:color w:val="auto"/>
                <w:sz w:val="24"/>
                <w:szCs w:val="24"/>
                <w:highlight w:val="none"/>
                <w:lang w:val="en-US" w:eastAsia="zh-CN"/>
              </w:rPr>
              <w:t>部分可</w:t>
            </w:r>
            <w:r>
              <w:rPr>
                <w:rFonts w:hint="eastAsia" w:ascii="宋体" w:hAnsi="宋体" w:cs="宋体"/>
                <w:color w:val="auto"/>
                <w:sz w:val="24"/>
                <w:szCs w:val="24"/>
                <w:highlight w:val="none"/>
              </w:rPr>
              <w:t>落实得</w:t>
            </w:r>
            <w:r>
              <w:rPr>
                <w:rFonts w:hint="eastAsia" w:ascii="宋体" w:hAnsi="宋体" w:cs="宋体"/>
                <w:color w:val="auto"/>
                <w:sz w:val="24"/>
                <w:szCs w:val="24"/>
                <w:highlight w:val="none"/>
                <w:lang w:val="en-US" w:eastAsia="zh-CN"/>
              </w:rPr>
              <w:t>1分，措施不适用不得分</w:t>
            </w:r>
            <w:r>
              <w:rPr>
                <w:rFonts w:hint="eastAsia" w:ascii="宋体" w:hAnsi="宋体" w:cs="宋体"/>
                <w:color w:val="auto"/>
                <w:sz w:val="24"/>
                <w:szCs w:val="24"/>
                <w:highlight w:val="none"/>
              </w:rPr>
              <w:t>；</w:t>
            </w:r>
          </w:p>
          <w:p w14:paraId="7339C44D">
            <w:pPr>
              <w:spacing w:line="276" w:lineRule="auto"/>
              <w:ind w:left="118" w:leftChars="56" w:right="84" w:rightChars="4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针对本项目提出合理化建议，</w:t>
            </w:r>
            <w:r>
              <w:rPr>
                <w:rFonts w:hint="eastAsia" w:ascii="宋体" w:hAnsi="宋体" w:cs="宋体"/>
                <w:color w:val="auto"/>
                <w:sz w:val="24"/>
                <w:szCs w:val="24"/>
                <w:highlight w:val="none"/>
                <w:lang w:val="en-US" w:eastAsia="zh-CN"/>
              </w:rPr>
              <w:t>每条</w:t>
            </w:r>
            <w:r>
              <w:rPr>
                <w:rFonts w:hint="eastAsia" w:ascii="宋体" w:hAnsi="宋体" w:cs="宋体"/>
                <w:color w:val="auto"/>
                <w:sz w:val="24"/>
                <w:szCs w:val="24"/>
                <w:highlight w:val="none"/>
              </w:rPr>
              <w:t>合理有效得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最高得2分</w:t>
            </w:r>
            <w:r>
              <w:rPr>
                <w:rFonts w:hint="eastAsia" w:ascii="宋体" w:hAnsi="宋体" w:cs="宋体"/>
                <w:color w:val="auto"/>
                <w:sz w:val="24"/>
                <w:szCs w:val="24"/>
                <w:highlight w:val="none"/>
              </w:rPr>
              <w:t>。</w:t>
            </w:r>
          </w:p>
        </w:tc>
        <w:tc>
          <w:tcPr>
            <w:tcW w:w="875" w:type="dxa"/>
            <w:tcBorders>
              <w:bottom w:val="single" w:color="auto" w:sz="4" w:space="0"/>
            </w:tcBorders>
            <w:noWrap w:val="0"/>
            <w:vAlign w:val="center"/>
          </w:tcPr>
          <w:p w14:paraId="28AEAE88">
            <w:pPr>
              <w:widowControl/>
              <w:spacing w:line="276" w:lineRule="auto"/>
              <w:ind w:left="118" w:leftChars="56" w:right="84" w:rightChars="4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6</w:t>
            </w:r>
          </w:p>
        </w:tc>
      </w:tr>
      <w:tr w14:paraId="6ABE7C2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844" w:hRule="atLeast"/>
          <w:jc w:val="center"/>
        </w:trPr>
        <w:tc>
          <w:tcPr>
            <w:tcW w:w="912" w:type="dxa"/>
            <w:tcBorders>
              <w:top w:val="single" w:color="auto" w:sz="4" w:space="0"/>
            </w:tcBorders>
            <w:noWrap w:val="0"/>
            <w:vAlign w:val="center"/>
          </w:tcPr>
          <w:p w14:paraId="035767F3">
            <w:pPr>
              <w:spacing w:line="276" w:lineRule="auto"/>
              <w:ind w:left="118" w:leftChars="56" w:right="84" w:rightChars="40"/>
              <w:jc w:val="center"/>
              <w:rPr>
                <w:rFonts w:hint="default" w:ascii="宋体" w:hAnsi="宋体" w:eastAsia="宋体" w:cs="宋体"/>
                <w:snapToGrid w:val="0"/>
                <w:color w:val="auto"/>
                <w:sz w:val="24"/>
                <w:szCs w:val="24"/>
                <w:highlight w:val="none"/>
                <w:lang w:val="en-US" w:eastAsia="zh-CN" w:bidi="ar-SA"/>
              </w:rPr>
            </w:pPr>
            <w:r>
              <w:rPr>
                <w:rFonts w:hint="eastAsia" w:ascii="宋体" w:hAnsi="宋体" w:cs="宋体"/>
                <w:color w:val="auto"/>
                <w:sz w:val="24"/>
                <w:szCs w:val="24"/>
                <w:highlight w:val="none"/>
                <w:lang w:val="en-US" w:eastAsia="zh-CN"/>
              </w:rPr>
              <w:t>5</w:t>
            </w:r>
          </w:p>
        </w:tc>
        <w:tc>
          <w:tcPr>
            <w:tcW w:w="8325" w:type="dxa"/>
            <w:tcBorders>
              <w:top w:val="single" w:color="auto" w:sz="4" w:space="0"/>
            </w:tcBorders>
            <w:noWrap w:val="0"/>
            <w:vAlign w:val="center"/>
          </w:tcPr>
          <w:p w14:paraId="471A3B03">
            <w:pPr>
              <w:spacing w:line="276" w:lineRule="auto"/>
              <w:ind w:left="118" w:leftChars="56" w:right="84" w:rightChars="40"/>
              <w:rPr>
                <w:rFonts w:hint="eastAsia" w:ascii="宋体" w:hAnsi="宋体" w:cs="宋体"/>
                <w:color w:val="auto"/>
                <w:sz w:val="24"/>
                <w:szCs w:val="24"/>
                <w:highlight w:val="none"/>
              </w:rPr>
            </w:pPr>
            <w:r>
              <w:rPr>
                <w:rFonts w:hint="eastAsia" w:ascii="宋体" w:hAnsi="宋体" w:cs="宋体"/>
                <w:color w:val="auto"/>
                <w:sz w:val="24"/>
                <w:szCs w:val="24"/>
                <w:highlight w:val="none"/>
              </w:rPr>
              <w:t>施工质量保证措施是否详细有效：详细</w:t>
            </w:r>
            <w:r>
              <w:rPr>
                <w:rFonts w:hint="eastAsia" w:ascii="宋体" w:hAnsi="宋体" w:cs="宋体"/>
                <w:color w:val="auto"/>
                <w:sz w:val="24"/>
                <w:szCs w:val="24"/>
                <w:highlight w:val="none"/>
                <w:lang w:val="en-US" w:eastAsia="zh-CN"/>
              </w:rPr>
              <w:t>全面</w:t>
            </w:r>
            <w:r>
              <w:rPr>
                <w:rFonts w:hint="eastAsia" w:ascii="宋体" w:hAnsi="宋体" w:cs="宋体"/>
                <w:color w:val="auto"/>
                <w:sz w:val="24"/>
                <w:szCs w:val="24"/>
                <w:highlight w:val="none"/>
              </w:rPr>
              <w:t>有效得</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val="en-US" w:eastAsia="zh-CN"/>
              </w:rPr>
              <w:t>较详细全面得3分，</w:t>
            </w:r>
            <w:r>
              <w:rPr>
                <w:rFonts w:hint="eastAsia" w:ascii="宋体" w:hAnsi="宋体" w:cs="宋体"/>
                <w:color w:val="auto"/>
                <w:sz w:val="24"/>
                <w:szCs w:val="24"/>
                <w:highlight w:val="none"/>
              </w:rPr>
              <w:t>简略有效得</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eastAsia="zh-CN"/>
              </w:rPr>
              <w:t>有缺陷需完善得</w:t>
            </w:r>
            <w:r>
              <w:rPr>
                <w:rFonts w:hint="eastAsia" w:ascii="宋体" w:hAnsi="宋体" w:cs="宋体"/>
                <w:color w:val="auto"/>
                <w:sz w:val="24"/>
                <w:szCs w:val="24"/>
                <w:highlight w:val="none"/>
                <w:lang w:val="en-US" w:eastAsia="zh-CN"/>
              </w:rPr>
              <w:t>1分，</w:t>
            </w:r>
            <w:r>
              <w:rPr>
                <w:rFonts w:hint="eastAsia" w:ascii="宋体" w:hAnsi="宋体" w:cs="宋体"/>
                <w:color w:val="auto"/>
                <w:sz w:val="24"/>
                <w:szCs w:val="24"/>
                <w:highlight w:val="none"/>
              </w:rPr>
              <w:t>无效不得分。</w:t>
            </w:r>
          </w:p>
        </w:tc>
        <w:tc>
          <w:tcPr>
            <w:tcW w:w="875" w:type="dxa"/>
            <w:tcBorders>
              <w:top w:val="single" w:color="auto" w:sz="4" w:space="0"/>
            </w:tcBorders>
            <w:noWrap w:val="0"/>
            <w:vAlign w:val="center"/>
          </w:tcPr>
          <w:p w14:paraId="43260F79">
            <w:pPr>
              <w:spacing w:line="276" w:lineRule="auto"/>
              <w:ind w:left="118" w:leftChars="56" w:right="84" w:rightChars="4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4</w:t>
            </w:r>
          </w:p>
        </w:tc>
      </w:tr>
      <w:tr w14:paraId="3A7EAF5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903" w:hRule="atLeast"/>
          <w:jc w:val="center"/>
        </w:trPr>
        <w:tc>
          <w:tcPr>
            <w:tcW w:w="912" w:type="dxa"/>
            <w:noWrap w:val="0"/>
            <w:vAlign w:val="center"/>
          </w:tcPr>
          <w:p w14:paraId="3902AE98">
            <w:pPr>
              <w:widowControl/>
              <w:spacing w:line="276" w:lineRule="auto"/>
              <w:ind w:left="118" w:leftChars="56" w:right="84" w:rightChars="40"/>
              <w:jc w:val="center"/>
              <w:rPr>
                <w:rFonts w:hint="default" w:ascii="宋体" w:hAnsi="宋体" w:eastAsia="宋体" w:cs="宋体"/>
                <w:snapToGrid w:val="0"/>
                <w:color w:val="auto"/>
                <w:sz w:val="24"/>
                <w:szCs w:val="24"/>
                <w:highlight w:val="none"/>
                <w:lang w:val="en-US" w:eastAsia="zh-CN" w:bidi="ar-SA"/>
              </w:rPr>
            </w:pPr>
            <w:r>
              <w:rPr>
                <w:rFonts w:hint="eastAsia" w:ascii="宋体" w:hAnsi="宋体" w:cs="宋体"/>
                <w:color w:val="auto"/>
                <w:sz w:val="24"/>
                <w:szCs w:val="24"/>
                <w:highlight w:val="none"/>
                <w:lang w:val="en-US" w:eastAsia="zh-CN"/>
              </w:rPr>
              <w:t>6</w:t>
            </w:r>
          </w:p>
        </w:tc>
        <w:tc>
          <w:tcPr>
            <w:tcW w:w="8325" w:type="dxa"/>
            <w:noWrap w:val="0"/>
            <w:vAlign w:val="center"/>
          </w:tcPr>
          <w:p w14:paraId="210C829D">
            <w:pPr>
              <w:widowControl/>
              <w:spacing w:line="276" w:lineRule="auto"/>
              <w:ind w:left="118" w:leftChars="56" w:right="84" w:rightChars="4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项目进度方案：</w:t>
            </w:r>
          </w:p>
          <w:p w14:paraId="0BC0205D">
            <w:pPr>
              <w:widowControl/>
              <w:spacing w:line="276" w:lineRule="auto"/>
              <w:ind w:left="118" w:leftChars="56" w:right="84" w:rightChars="40"/>
              <w:rPr>
                <w:rFonts w:hint="eastAsia" w:ascii="宋体" w:hAnsi="宋体" w:cs="宋体"/>
                <w:color w:val="auto"/>
                <w:sz w:val="24"/>
                <w:szCs w:val="24"/>
                <w:highlight w:val="none"/>
              </w:rPr>
            </w:pPr>
            <w:r>
              <w:rPr>
                <w:rFonts w:hint="eastAsia" w:ascii="宋体" w:hAnsi="宋体" w:cs="宋体"/>
                <w:color w:val="auto"/>
                <w:sz w:val="24"/>
                <w:szCs w:val="24"/>
                <w:highlight w:val="none"/>
              </w:rPr>
              <w:t>施工进度计划安排合理得1分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不合理不得分</w:t>
            </w:r>
            <w:r>
              <w:rPr>
                <w:rFonts w:hint="eastAsia" w:ascii="宋体" w:hAnsi="宋体" w:cs="宋体"/>
                <w:color w:val="auto"/>
                <w:sz w:val="24"/>
                <w:szCs w:val="24"/>
                <w:highlight w:val="none"/>
              </w:rPr>
              <w:t>；</w:t>
            </w:r>
          </w:p>
          <w:p w14:paraId="676AC26D">
            <w:pPr>
              <w:widowControl/>
              <w:spacing w:line="276" w:lineRule="auto"/>
              <w:ind w:left="118" w:leftChars="56" w:right="84" w:rightChars="40"/>
              <w:rPr>
                <w:rFonts w:hint="eastAsia" w:ascii="宋体" w:hAnsi="宋体" w:cs="宋体"/>
                <w:color w:val="auto"/>
                <w:sz w:val="24"/>
                <w:szCs w:val="24"/>
                <w:highlight w:val="none"/>
              </w:rPr>
            </w:pPr>
            <w:r>
              <w:rPr>
                <w:rFonts w:hint="eastAsia" w:ascii="宋体" w:hAnsi="宋体" w:cs="宋体"/>
                <w:color w:val="auto"/>
                <w:sz w:val="24"/>
                <w:szCs w:val="24"/>
                <w:highlight w:val="none"/>
              </w:rPr>
              <w:t>进度保证措施详细有效得1分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不合理不得分</w:t>
            </w:r>
            <w:r>
              <w:rPr>
                <w:rFonts w:hint="eastAsia" w:ascii="宋体" w:hAnsi="宋体" w:cs="宋体"/>
                <w:color w:val="auto"/>
                <w:sz w:val="24"/>
                <w:szCs w:val="24"/>
                <w:highlight w:val="none"/>
              </w:rPr>
              <w:t>；</w:t>
            </w:r>
          </w:p>
          <w:p w14:paraId="6CB0FCDE">
            <w:pPr>
              <w:widowControl/>
              <w:spacing w:line="276" w:lineRule="auto"/>
              <w:ind w:left="118" w:leftChars="56" w:right="84" w:rightChars="40"/>
              <w:rPr>
                <w:rFonts w:hint="eastAsia" w:ascii="宋体" w:hAnsi="宋体" w:cs="宋体"/>
                <w:color w:val="auto"/>
                <w:sz w:val="24"/>
                <w:szCs w:val="24"/>
                <w:highlight w:val="none"/>
              </w:rPr>
            </w:pPr>
            <w:r>
              <w:rPr>
                <w:rFonts w:hint="eastAsia" w:ascii="宋体" w:hAnsi="宋体" w:cs="宋体"/>
                <w:color w:val="auto"/>
                <w:sz w:val="24"/>
                <w:szCs w:val="24"/>
                <w:highlight w:val="none"/>
              </w:rPr>
              <w:t>确保工期的技术组织措施合理、科学得1分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不合理不得分</w:t>
            </w:r>
            <w:r>
              <w:rPr>
                <w:rFonts w:hint="eastAsia" w:ascii="宋体" w:hAnsi="宋体" w:cs="宋体"/>
                <w:color w:val="auto"/>
                <w:sz w:val="24"/>
                <w:szCs w:val="24"/>
                <w:highlight w:val="none"/>
              </w:rPr>
              <w:t>；</w:t>
            </w:r>
          </w:p>
          <w:p w14:paraId="51DA77F3">
            <w:pPr>
              <w:widowControl/>
              <w:spacing w:line="276" w:lineRule="auto"/>
              <w:ind w:left="118" w:leftChars="56" w:right="84" w:rightChars="40"/>
              <w:rPr>
                <w:rFonts w:hint="eastAsia" w:ascii="宋体" w:hAnsi="宋体" w:cs="宋体"/>
                <w:color w:val="auto"/>
                <w:sz w:val="24"/>
                <w:szCs w:val="24"/>
                <w:highlight w:val="none"/>
              </w:rPr>
            </w:pPr>
            <w:r>
              <w:rPr>
                <w:rFonts w:hint="eastAsia" w:ascii="宋体" w:hAnsi="宋体" w:cs="宋体"/>
                <w:color w:val="auto"/>
                <w:sz w:val="24"/>
                <w:szCs w:val="24"/>
                <w:highlight w:val="none"/>
              </w:rPr>
              <w:t>提供施工进度计划提供横道图或网络图</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合理可行</w:t>
            </w:r>
            <w:r>
              <w:rPr>
                <w:rFonts w:hint="eastAsia" w:ascii="宋体" w:hAnsi="宋体" w:cs="宋体"/>
                <w:color w:val="auto"/>
                <w:sz w:val="24"/>
                <w:szCs w:val="24"/>
                <w:highlight w:val="none"/>
              </w:rPr>
              <w:t>得2分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不可行不得分</w:t>
            </w:r>
            <w:r>
              <w:rPr>
                <w:rFonts w:hint="eastAsia" w:ascii="宋体" w:hAnsi="宋体" w:cs="宋体"/>
                <w:color w:val="auto"/>
                <w:sz w:val="24"/>
                <w:szCs w:val="24"/>
                <w:highlight w:val="none"/>
              </w:rPr>
              <w:t>。</w:t>
            </w:r>
          </w:p>
        </w:tc>
        <w:tc>
          <w:tcPr>
            <w:tcW w:w="875" w:type="dxa"/>
            <w:noWrap w:val="0"/>
            <w:vAlign w:val="center"/>
          </w:tcPr>
          <w:p w14:paraId="751491D5">
            <w:pPr>
              <w:widowControl/>
              <w:spacing w:line="276" w:lineRule="auto"/>
              <w:ind w:left="118" w:leftChars="56" w:right="84" w:rightChars="4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5</w:t>
            </w:r>
          </w:p>
        </w:tc>
      </w:tr>
      <w:tr w14:paraId="387A1CF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88" w:hRule="atLeast"/>
          <w:jc w:val="center"/>
        </w:trPr>
        <w:tc>
          <w:tcPr>
            <w:tcW w:w="912" w:type="dxa"/>
            <w:noWrap w:val="0"/>
            <w:vAlign w:val="center"/>
          </w:tcPr>
          <w:p w14:paraId="4EEFF001">
            <w:pPr>
              <w:widowControl/>
              <w:spacing w:line="276" w:lineRule="auto"/>
              <w:ind w:left="118" w:leftChars="56" w:right="84" w:rightChars="40"/>
              <w:jc w:val="center"/>
              <w:rPr>
                <w:rFonts w:hint="default" w:ascii="宋体" w:hAnsi="宋体" w:eastAsia="宋体" w:cs="宋体"/>
                <w:snapToGrid w:val="0"/>
                <w:color w:val="auto"/>
                <w:sz w:val="24"/>
                <w:szCs w:val="24"/>
                <w:highlight w:val="none"/>
                <w:lang w:val="en-US" w:eastAsia="zh-CN" w:bidi="ar-SA"/>
              </w:rPr>
            </w:pPr>
            <w:r>
              <w:rPr>
                <w:rFonts w:hint="eastAsia" w:ascii="宋体" w:hAnsi="宋体" w:cs="宋体"/>
                <w:color w:val="auto"/>
                <w:sz w:val="24"/>
                <w:szCs w:val="24"/>
                <w:highlight w:val="none"/>
                <w:lang w:val="en-US" w:eastAsia="zh-CN"/>
              </w:rPr>
              <w:t>7</w:t>
            </w:r>
          </w:p>
        </w:tc>
        <w:tc>
          <w:tcPr>
            <w:tcW w:w="8325" w:type="dxa"/>
            <w:noWrap w:val="0"/>
            <w:vAlign w:val="center"/>
          </w:tcPr>
          <w:p w14:paraId="7ABC4FE3">
            <w:pPr>
              <w:widowControl/>
              <w:spacing w:line="276" w:lineRule="auto"/>
              <w:ind w:left="118" w:leftChars="56" w:right="84" w:rightChars="40"/>
              <w:rPr>
                <w:rFonts w:hint="eastAsia" w:ascii="宋体" w:hAnsi="宋体" w:cs="宋体"/>
                <w:color w:val="auto"/>
                <w:sz w:val="24"/>
                <w:szCs w:val="24"/>
                <w:highlight w:val="none"/>
              </w:rPr>
            </w:pPr>
            <w:r>
              <w:rPr>
                <w:rFonts w:hint="eastAsia" w:ascii="宋体" w:hAnsi="宋体" w:cs="宋体"/>
                <w:color w:val="auto"/>
                <w:sz w:val="24"/>
                <w:szCs w:val="24"/>
                <w:highlight w:val="none"/>
              </w:rPr>
              <w:t>项目管理班子配备</w:t>
            </w:r>
          </w:p>
        </w:tc>
        <w:tc>
          <w:tcPr>
            <w:tcW w:w="875" w:type="dxa"/>
            <w:noWrap w:val="0"/>
            <w:vAlign w:val="center"/>
          </w:tcPr>
          <w:p w14:paraId="5120E48A">
            <w:pPr>
              <w:widowControl/>
              <w:spacing w:line="276" w:lineRule="auto"/>
              <w:ind w:left="118" w:leftChars="56" w:right="84" w:rightChars="4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r>
      <w:tr w14:paraId="61D404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855" w:hRule="atLeast"/>
          <w:jc w:val="center"/>
        </w:trPr>
        <w:tc>
          <w:tcPr>
            <w:tcW w:w="912" w:type="dxa"/>
            <w:noWrap w:val="0"/>
            <w:vAlign w:val="center"/>
          </w:tcPr>
          <w:p w14:paraId="2DB6031D">
            <w:pPr>
              <w:widowControl/>
              <w:spacing w:line="276" w:lineRule="auto"/>
              <w:ind w:left="118" w:leftChars="56" w:right="84" w:rightChars="40"/>
              <w:jc w:val="center"/>
              <w:rPr>
                <w:rFonts w:hint="default" w:ascii="宋体" w:hAnsi="宋体" w:eastAsia="宋体" w:cs="宋体"/>
                <w:bCs/>
                <w:snapToGrid w:val="0"/>
                <w:color w:val="auto"/>
                <w:sz w:val="24"/>
                <w:szCs w:val="24"/>
                <w:highlight w:val="none"/>
                <w:lang w:val="en-US" w:eastAsia="zh-CN" w:bidi="ar-SA"/>
              </w:rPr>
            </w:pPr>
            <w:r>
              <w:rPr>
                <w:rFonts w:hint="eastAsia" w:ascii="宋体"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lang w:val="en-US" w:eastAsia="zh-CN"/>
              </w:rPr>
              <w:t>.1</w:t>
            </w:r>
          </w:p>
        </w:tc>
        <w:tc>
          <w:tcPr>
            <w:tcW w:w="8325" w:type="dxa"/>
            <w:noWrap w:val="0"/>
            <w:vAlign w:val="center"/>
          </w:tcPr>
          <w:p w14:paraId="15F20A7C">
            <w:pPr>
              <w:widowControl/>
              <w:spacing w:line="276" w:lineRule="auto"/>
              <w:ind w:left="118" w:leftChars="56" w:right="84" w:rightChars="4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【客观分】</w:t>
            </w:r>
            <w:r>
              <w:rPr>
                <w:rFonts w:hint="eastAsia" w:ascii="宋体" w:hAnsi="宋体" w:eastAsia="宋体" w:cs="宋体"/>
                <w:color w:val="auto"/>
                <w:sz w:val="24"/>
                <w:szCs w:val="24"/>
                <w:highlight w:val="none"/>
              </w:rPr>
              <w:t>供应商拟派的项目经理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具有建筑工程二级及以上建造师，建安B证，否则本项不得分</w:t>
            </w:r>
            <w:r>
              <w:rPr>
                <w:rFonts w:hint="eastAsia" w:ascii="宋体" w:hAnsi="宋体" w:cs="宋体"/>
                <w:color w:val="auto"/>
                <w:sz w:val="24"/>
                <w:szCs w:val="24"/>
                <w:highlight w:val="none"/>
                <w:lang w:eastAsia="zh-CN"/>
              </w:rPr>
              <w:t>）：</w:t>
            </w:r>
          </w:p>
          <w:p w14:paraId="71480993">
            <w:pPr>
              <w:widowControl/>
              <w:spacing w:line="276" w:lineRule="auto"/>
              <w:ind w:left="118" w:leftChars="56" w:right="84" w:rightChars="4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项目经理到位率100%得2分，90%以上得1分，80%以上得0.5分，少于80%不得分</w:t>
            </w:r>
            <w:r>
              <w:rPr>
                <w:rFonts w:hint="eastAsia" w:ascii="宋体" w:hAnsi="宋体" w:cs="宋体"/>
                <w:color w:val="auto"/>
                <w:sz w:val="24"/>
                <w:szCs w:val="24"/>
                <w:highlight w:val="none"/>
                <w:lang w:val="en-US" w:eastAsia="zh-CN"/>
              </w:rPr>
              <w:t>；</w:t>
            </w:r>
          </w:p>
          <w:p w14:paraId="74DD61BC">
            <w:pPr>
              <w:widowControl/>
              <w:spacing w:line="276" w:lineRule="auto"/>
              <w:ind w:left="118" w:leftChars="56" w:right="84" w:rightChars="4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（2）具有类似项目实施经验得2分。</w:t>
            </w:r>
          </w:p>
          <w:p w14:paraId="7B9DA0A0">
            <w:pPr>
              <w:widowControl/>
              <w:spacing w:line="276" w:lineRule="auto"/>
              <w:ind w:left="118" w:leftChars="56" w:right="84" w:rightChars="40"/>
              <w:rPr>
                <w:rFonts w:hint="eastAsia" w:ascii="宋体" w:hAnsi="宋体" w:cs="宋体"/>
                <w:color w:val="auto"/>
                <w:sz w:val="24"/>
                <w:szCs w:val="24"/>
                <w:highlight w:val="none"/>
              </w:rPr>
            </w:pPr>
            <w:r>
              <w:rPr>
                <w:rFonts w:hint="eastAsia" w:ascii="宋体" w:hAnsi="宋体" w:cs="宋体"/>
                <w:b w:val="0"/>
                <w:bCs/>
                <w:color w:val="auto"/>
                <w:sz w:val="24"/>
                <w:szCs w:val="24"/>
                <w:highlight w:val="none"/>
              </w:rPr>
              <w:t>（以提供的上述人员证书，近三个月内的单位社保证明（勾选出成员）加盖公章为准。）</w:t>
            </w:r>
          </w:p>
        </w:tc>
        <w:tc>
          <w:tcPr>
            <w:tcW w:w="875" w:type="dxa"/>
            <w:noWrap w:val="0"/>
            <w:vAlign w:val="center"/>
          </w:tcPr>
          <w:p w14:paraId="1FEDD1FB">
            <w:pPr>
              <w:widowControl/>
              <w:spacing w:line="276" w:lineRule="auto"/>
              <w:ind w:left="118" w:leftChars="56" w:right="84" w:rightChars="4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p>
        </w:tc>
      </w:tr>
      <w:tr w14:paraId="792794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912" w:type="dxa"/>
            <w:noWrap w:val="0"/>
            <w:vAlign w:val="center"/>
          </w:tcPr>
          <w:p w14:paraId="5B13B2CB">
            <w:pPr>
              <w:widowControl/>
              <w:spacing w:line="276" w:lineRule="auto"/>
              <w:ind w:left="118" w:leftChars="56" w:right="84" w:rightChars="40"/>
              <w:jc w:val="center"/>
              <w:rPr>
                <w:rFonts w:hint="default" w:ascii="宋体" w:hAnsi="宋体" w:eastAsia="宋体" w:cs="宋体"/>
                <w:bCs/>
                <w:snapToGrid w:val="0"/>
                <w:color w:val="auto"/>
                <w:sz w:val="24"/>
                <w:szCs w:val="24"/>
                <w:highlight w:val="none"/>
                <w:lang w:val="en-US" w:eastAsia="zh-CN" w:bidi="ar-SA"/>
              </w:rPr>
            </w:pPr>
            <w:r>
              <w:rPr>
                <w:rFonts w:hint="eastAsia" w:ascii="宋体"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lang w:val="en-US" w:eastAsia="zh-CN"/>
              </w:rPr>
              <w:t>.2</w:t>
            </w:r>
          </w:p>
        </w:tc>
        <w:tc>
          <w:tcPr>
            <w:tcW w:w="8325" w:type="dxa"/>
            <w:noWrap w:val="0"/>
            <w:vAlign w:val="center"/>
          </w:tcPr>
          <w:p w14:paraId="30EC5C0F">
            <w:pPr>
              <w:widowControl/>
              <w:spacing w:line="276" w:lineRule="auto"/>
              <w:ind w:left="118" w:leftChars="56" w:right="84" w:rightChars="4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施工组织设计中对相应人员的组织分工、专业配置合理得2分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基本合理得1分，不合理不得分</w:t>
            </w:r>
            <w:r>
              <w:rPr>
                <w:rFonts w:hint="eastAsia" w:ascii="宋体" w:hAnsi="宋体" w:cs="宋体"/>
                <w:color w:val="auto"/>
                <w:sz w:val="24"/>
                <w:szCs w:val="24"/>
                <w:highlight w:val="none"/>
                <w:lang w:eastAsia="zh-CN"/>
              </w:rPr>
              <w:t>；</w:t>
            </w:r>
          </w:p>
          <w:p w14:paraId="108D45E7">
            <w:pPr>
              <w:widowControl/>
              <w:spacing w:line="276" w:lineRule="auto"/>
              <w:ind w:left="118" w:leftChars="56" w:right="84" w:rightChars="40"/>
              <w:rPr>
                <w:rFonts w:hint="eastAsia" w:ascii="宋体" w:hAnsi="宋体" w:cs="宋体"/>
                <w:b/>
                <w:color w:val="auto"/>
                <w:sz w:val="24"/>
                <w:szCs w:val="24"/>
                <w:highlight w:val="none"/>
              </w:rPr>
            </w:pPr>
            <w:r>
              <w:rPr>
                <w:rFonts w:hint="eastAsia" w:ascii="宋体" w:hAnsi="宋体" w:cs="宋体"/>
                <w:color w:val="auto"/>
                <w:sz w:val="24"/>
                <w:szCs w:val="24"/>
                <w:highlight w:val="none"/>
              </w:rPr>
              <w:t>拟投入</w:t>
            </w:r>
            <w:r>
              <w:rPr>
                <w:rFonts w:hint="eastAsia" w:ascii="宋体" w:hAnsi="宋体" w:cs="宋体"/>
                <w:color w:val="auto"/>
                <w:sz w:val="24"/>
                <w:szCs w:val="24"/>
                <w:highlight w:val="none"/>
                <w:lang w:eastAsia="zh-CN"/>
              </w:rPr>
              <w:t>施工</w:t>
            </w:r>
            <w:r>
              <w:rPr>
                <w:rFonts w:hint="eastAsia" w:ascii="宋体" w:hAnsi="宋体" w:cs="宋体"/>
                <w:color w:val="auto"/>
                <w:sz w:val="24"/>
                <w:szCs w:val="24"/>
                <w:highlight w:val="none"/>
              </w:rPr>
              <w:t>力量能满足施工工作需要的得2分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部分满足</w:t>
            </w:r>
            <w:r>
              <w:rPr>
                <w:rFonts w:hint="eastAsia" w:ascii="宋体" w:hAnsi="宋体" w:cs="宋体"/>
                <w:color w:val="auto"/>
                <w:sz w:val="24"/>
                <w:szCs w:val="24"/>
                <w:highlight w:val="none"/>
                <w:lang w:eastAsia="zh-CN"/>
              </w:rPr>
              <w:t>不合理不得分</w:t>
            </w:r>
            <w:r>
              <w:rPr>
                <w:rFonts w:hint="eastAsia" w:ascii="宋体" w:hAnsi="宋体" w:cs="宋体"/>
                <w:color w:val="auto"/>
                <w:sz w:val="24"/>
                <w:szCs w:val="24"/>
                <w:highlight w:val="none"/>
              </w:rPr>
              <w:t>。</w:t>
            </w:r>
          </w:p>
        </w:tc>
        <w:tc>
          <w:tcPr>
            <w:tcW w:w="875" w:type="dxa"/>
            <w:noWrap w:val="0"/>
            <w:vAlign w:val="center"/>
          </w:tcPr>
          <w:p w14:paraId="6072AF88">
            <w:pPr>
              <w:widowControl/>
              <w:spacing w:line="276" w:lineRule="auto"/>
              <w:ind w:left="118" w:leftChars="56" w:right="84" w:rightChars="4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r>
      <w:tr w14:paraId="1B2F7C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912" w:type="dxa"/>
            <w:noWrap w:val="0"/>
            <w:vAlign w:val="center"/>
          </w:tcPr>
          <w:p w14:paraId="4271A522">
            <w:pPr>
              <w:widowControl/>
              <w:spacing w:line="276" w:lineRule="auto"/>
              <w:ind w:left="118" w:leftChars="56" w:right="84" w:rightChars="40"/>
              <w:jc w:val="center"/>
              <w:rPr>
                <w:rFonts w:hint="default" w:ascii="宋体" w:hAnsi="宋体" w:eastAsia="宋体" w:cs="宋体"/>
                <w:bCs/>
                <w:snapToGrid w:val="0"/>
                <w:color w:val="auto"/>
                <w:sz w:val="24"/>
                <w:szCs w:val="24"/>
                <w:highlight w:val="none"/>
                <w:lang w:val="en-US" w:eastAsia="zh-CN" w:bidi="ar-SA"/>
              </w:rPr>
            </w:pPr>
            <w:r>
              <w:rPr>
                <w:rFonts w:hint="eastAsia" w:ascii="宋体"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lang w:val="en-US" w:eastAsia="zh-CN"/>
              </w:rPr>
              <w:t>.3</w:t>
            </w:r>
          </w:p>
        </w:tc>
        <w:tc>
          <w:tcPr>
            <w:tcW w:w="8325" w:type="dxa"/>
            <w:noWrap w:val="0"/>
            <w:vAlign w:val="center"/>
          </w:tcPr>
          <w:p w14:paraId="2543804A">
            <w:pPr>
              <w:widowControl/>
              <w:spacing w:line="276" w:lineRule="auto"/>
              <w:ind w:left="118" w:leftChars="56" w:right="84" w:rightChars="40"/>
              <w:rPr>
                <w:rFonts w:hint="eastAsia" w:ascii="宋体" w:hAnsi="宋体" w:cs="宋体"/>
                <w:b/>
                <w:color w:val="auto"/>
                <w:sz w:val="24"/>
                <w:szCs w:val="24"/>
                <w:highlight w:val="none"/>
              </w:rPr>
            </w:pPr>
            <w:r>
              <w:rPr>
                <w:rFonts w:hint="eastAsia" w:ascii="宋体" w:hAnsi="宋体" w:cs="宋体"/>
                <w:color w:val="auto"/>
                <w:sz w:val="24"/>
                <w:szCs w:val="24"/>
                <w:highlight w:val="none"/>
              </w:rPr>
              <w:t>提供合理的劳动力计划表得2分</w:t>
            </w:r>
            <w:r>
              <w:rPr>
                <w:rFonts w:hint="eastAsia" w:ascii="宋体" w:hAnsi="宋体" w:cs="宋体"/>
                <w:color w:val="auto"/>
                <w:sz w:val="24"/>
                <w:szCs w:val="24"/>
                <w:highlight w:val="none"/>
                <w:lang w:eastAsia="zh-CN"/>
              </w:rPr>
              <w:t>，不合理</w:t>
            </w:r>
            <w:r>
              <w:rPr>
                <w:rFonts w:hint="eastAsia" w:ascii="宋体" w:hAnsi="宋体" w:cs="宋体"/>
                <w:color w:val="auto"/>
                <w:sz w:val="24"/>
                <w:szCs w:val="24"/>
                <w:highlight w:val="none"/>
                <w:lang w:val="en-US" w:eastAsia="zh-CN"/>
              </w:rPr>
              <w:t>不得分。</w:t>
            </w:r>
          </w:p>
        </w:tc>
        <w:tc>
          <w:tcPr>
            <w:tcW w:w="875" w:type="dxa"/>
            <w:noWrap w:val="0"/>
            <w:vAlign w:val="center"/>
          </w:tcPr>
          <w:p w14:paraId="053BC6E8">
            <w:pPr>
              <w:widowControl/>
              <w:spacing w:line="276" w:lineRule="auto"/>
              <w:ind w:left="118" w:leftChars="56" w:right="84" w:rightChars="4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r>
      <w:tr w14:paraId="49F5826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912" w:type="dxa"/>
            <w:noWrap w:val="0"/>
            <w:vAlign w:val="center"/>
          </w:tcPr>
          <w:p w14:paraId="4879FD5E">
            <w:pPr>
              <w:widowControl/>
              <w:spacing w:line="276" w:lineRule="auto"/>
              <w:ind w:left="118" w:leftChars="56" w:right="84" w:rightChars="40"/>
              <w:jc w:val="center"/>
              <w:rPr>
                <w:rFonts w:hint="default" w:ascii="宋体" w:hAnsi="宋体" w:eastAsia="宋体" w:cs="宋体"/>
                <w:snapToGrid w:val="0"/>
                <w:color w:val="auto"/>
                <w:sz w:val="24"/>
                <w:szCs w:val="24"/>
                <w:highlight w:val="none"/>
                <w:lang w:val="en-US" w:eastAsia="zh-CN" w:bidi="ar-SA"/>
              </w:rPr>
            </w:pPr>
            <w:r>
              <w:rPr>
                <w:rFonts w:hint="eastAsia" w:ascii="宋体" w:hAnsi="宋体" w:cs="宋体"/>
                <w:color w:val="auto"/>
                <w:sz w:val="24"/>
                <w:szCs w:val="24"/>
                <w:highlight w:val="none"/>
                <w:lang w:val="en-US" w:eastAsia="zh-CN"/>
              </w:rPr>
              <w:t>8</w:t>
            </w:r>
          </w:p>
        </w:tc>
        <w:tc>
          <w:tcPr>
            <w:tcW w:w="8325" w:type="dxa"/>
            <w:noWrap w:val="0"/>
            <w:vAlign w:val="center"/>
          </w:tcPr>
          <w:p w14:paraId="5F1760AE">
            <w:pPr>
              <w:widowControl/>
              <w:spacing w:line="276" w:lineRule="auto"/>
              <w:ind w:left="118" w:leftChars="56" w:right="84" w:rightChars="40"/>
              <w:rPr>
                <w:rFonts w:hint="eastAsia" w:ascii="宋体" w:hAnsi="宋体" w:cs="宋体"/>
                <w:color w:val="auto"/>
                <w:sz w:val="24"/>
                <w:szCs w:val="24"/>
                <w:highlight w:val="none"/>
              </w:rPr>
            </w:pPr>
            <w:r>
              <w:rPr>
                <w:rFonts w:hint="eastAsia" w:ascii="宋体" w:hAnsi="宋体" w:cs="宋体"/>
                <w:color w:val="auto"/>
                <w:sz w:val="24"/>
                <w:szCs w:val="24"/>
                <w:highlight w:val="none"/>
              </w:rPr>
              <w:t>拟投入机械设备：</w:t>
            </w:r>
          </w:p>
          <w:p w14:paraId="6DC82BD3">
            <w:pPr>
              <w:widowControl/>
              <w:spacing w:line="276" w:lineRule="auto"/>
              <w:ind w:left="118" w:leftChars="56" w:right="84" w:rightChars="40"/>
              <w:rPr>
                <w:rFonts w:hint="eastAsia" w:ascii="宋体" w:hAnsi="宋体" w:cs="宋体"/>
                <w:color w:val="auto"/>
                <w:sz w:val="24"/>
                <w:szCs w:val="24"/>
                <w:highlight w:val="none"/>
              </w:rPr>
            </w:pPr>
            <w:r>
              <w:rPr>
                <w:rFonts w:hint="eastAsia" w:ascii="宋体" w:hAnsi="宋体" w:cs="宋体"/>
                <w:color w:val="auto"/>
                <w:sz w:val="24"/>
                <w:szCs w:val="24"/>
                <w:highlight w:val="none"/>
              </w:rPr>
              <w:t>拟投入的主要施工机械设备齐全合理得</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分，基本合理得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分，不合理不得分；</w:t>
            </w:r>
          </w:p>
          <w:p w14:paraId="259EC698">
            <w:pPr>
              <w:widowControl/>
              <w:spacing w:line="276" w:lineRule="auto"/>
              <w:ind w:left="118" w:leftChars="56" w:right="84" w:rightChars="40"/>
              <w:rPr>
                <w:rFonts w:hint="eastAsia" w:ascii="宋体" w:hAnsi="宋体" w:cs="宋体"/>
                <w:color w:val="auto"/>
                <w:sz w:val="24"/>
                <w:szCs w:val="24"/>
                <w:highlight w:val="none"/>
              </w:rPr>
            </w:pPr>
            <w:r>
              <w:rPr>
                <w:rFonts w:hint="eastAsia" w:ascii="宋体" w:hAnsi="宋体" w:cs="宋体"/>
                <w:color w:val="auto"/>
                <w:sz w:val="24"/>
                <w:szCs w:val="24"/>
                <w:highlight w:val="none"/>
              </w:rPr>
              <w:t>主要施工机械进场计划充分考虑进度安排得2分，不合理不得分。</w:t>
            </w:r>
          </w:p>
        </w:tc>
        <w:tc>
          <w:tcPr>
            <w:tcW w:w="875" w:type="dxa"/>
            <w:noWrap w:val="0"/>
            <w:vAlign w:val="center"/>
          </w:tcPr>
          <w:p w14:paraId="73B89ADB">
            <w:pPr>
              <w:widowControl/>
              <w:spacing w:line="276" w:lineRule="auto"/>
              <w:ind w:left="118" w:leftChars="56" w:right="84" w:rightChars="4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r>
      <w:tr w14:paraId="0D9543A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912" w:type="dxa"/>
            <w:noWrap w:val="0"/>
            <w:vAlign w:val="center"/>
          </w:tcPr>
          <w:p w14:paraId="22FCAF26">
            <w:pPr>
              <w:widowControl/>
              <w:spacing w:line="276" w:lineRule="auto"/>
              <w:ind w:left="118" w:leftChars="56" w:right="84" w:rightChars="40"/>
              <w:jc w:val="center"/>
              <w:rPr>
                <w:rFonts w:hint="default" w:ascii="宋体" w:hAnsi="宋体" w:eastAsia="宋体" w:cs="宋体"/>
                <w:snapToGrid w:val="0"/>
                <w:color w:val="auto"/>
                <w:sz w:val="24"/>
                <w:szCs w:val="24"/>
                <w:highlight w:val="none"/>
                <w:lang w:val="en-US" w:eastAsia="zh-CN" w:bidi="ar-SA"/>
              </w:rPr>
            </w:pPr>
            <w:r>
              <w:rPr>
                <w:rFonts w:hint="eastAsia" w:ascii="宋体" w:hAnsi="宋体" w:cs="宋体"/>
                <w:color w:val="auto"/>
                <w:sz w:val="24"/>
                <w:szCs w:val="24"/>
                <w:highlight w:val="none"/>
                <w:lang w:val="en-US" w:eastAsia="zh-CN"/>
              </w:rPr>
              <w:t>9</w:t>
            </w:r>
          </w:p>
        </w:tc>
        <w:tc>
          <w:tcPr>
            <w:tcW w:w="8325" w:type="dxa"/>
            <w:noWrap w:val="0"/>
            <w:vAlign w:val="center"/>
          </w:tcPr>
          <w:p w14:paraId="780AC684">
            <w:pPr>
              <w:widowControl/>
              <w:spacing w:line="276" w:lineRule="auto"/>
              <w:ind w:left="118" w:leftChars="56" w:right="84" w:rightChars="40"/>
              <w:rPr>
                <w:rFonts w:hint="eastAsia" w:ascii="宋体" w:hAnsi="宋体" w:cs="宋体"/>
                <w:color w:val="auto"/>
                <w:sz w:val="24"/>
                <w:szCs w:val="24"/>
                <w:highlight w:val="none"/>
              </w:rPr>
            </w:pPr>
            <w:r>
              <w:rPr>
                <w:rFonts w:hint="eastAsia" w:ascii="宋体" w:hAnsi="宋体" w:cs="宋体"/>
                <w:color w:val="auto"/>
                <w:sz w:val="24"/>
                <w:szCs w:val="24"/>
                <w:highlight w:val="none"/>
              </w:rPr>
              <w:t>投标</w:t>
            </w:r>
            <w:r>
              <w:rPr>
                <w:rFonts w:hint="eastAsia" w:ascii="宋体" w:hAnsi="宋体" w:cs="宋体"/>
                <w:color w:val="auto"/>
                <w:sz w:val="24"/>
                <w:szCs w:val="24"/>
                <w:highlight w:val="none"/>
                <w:lang w:val="en-US" w:eastAsia="zh-CN"/>
              </w:rPr>
              <w:t>主材</w:t>
            </w:r>
            <w:r>
              <w:rPr>
                <w:rFonts w:hint="eastAsia" w:ascii="宋体" w:hAnsi="宋体" w:cs="宋体"/>
                <w:color w:val="auto"/>
                <w:sz w:val="24"/>
                <w:szCs w:val="24"/>
                <w:highlight w:val="none"/>
              </w:rPr>
              <w:t>等品质是否满足项目需求，根据主材品牌型号、品质，档次、环保性能等打分，需提供主材材料表，根据品牌，型号、工艺，品质情况打分</w:t>
            </w:r>
            <w:r>
              <w:rPr>
                <w:rFonts w:hint="eastAsia" w:ascii="宋体" w:hAnsi="宋体" w:cs="宋体"/>
                <w:color w:val="auto"/>
                <w:sz w:val="24"/>
                <w:szCs w:val="24"/>
                <w:highlight w:val="none"/>
                <w:lang w:eastAsia="zh-CN"/>
              </w:rPr>
              <w:t>，主流品牌得</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val="en-US" w:eastAsia="zh-CN"/>
              </w:rPr>
              <w:t>，非主流品牌说明材料档次得3分，</w:t>
            </w:r>
            <w:r>
              <w:rPr>
                <w:rFonts w:hint="eastAsia" w:ascii="宋体" w:hAnsi="宋体" w:cs="宋体"/>
                <w:color w:val="auto"/>
                <w:sz w:val="24"/>
                <w:szCs w:val="24"/>
                <w:highlight w:val="none"/>
              </w:rPr>
              <w:t>未明确品牌型号的主材清单得1分，未明确</w:t>
            </w:r>
            <w:r>
              <w:rPr>
                <w:rFonts w:hint="eastAsia" w:ascii="宋体" w:hAnsi="宋体" w:cs="宋体"/>
                <w:color w:val="auto"/>
                <w:sz w:val="24"/>
                <w:szCs w:val="24"/>
                <w:highlight w:val="none"/>
                <w:lang w:eastAsia="zh-CN"/>
              </w:rPr>
              <w:t>投标材料</w:t>
            </w:r>
            <w:r>
              <w:rPr>
                <w:rFonts w:hint="eastAsia" w:ascii="宋体" w:hAnsi="宋体" w:cs="宋体"/>
                <w:color w:val="auto"/>
                <w:sz w:val="24"/>
                <w:szCs w:val="24"/>
                <w:highlight w:val="none"/>
              </w:rPr>
              <w:t>不得分。</w:t>
            </w:r>
          </w:p>
        </w:tc>
        <w:tc>
          <w:tcPr>
            <w:tcW w:w="875" w:type="dxa"/>
            <w:noWrap w:val="0"/>
            <w:vAlign w:val="center"/>
          </w:tcPr>
          <w:p w14:paraId="1E6A2024">
            <w:pPr>
              <w:widowControl/>
              <w:spacing w:line="276" w:lineRule="auto"/>
              <w:ind w:left="118" w:leftChars="56" w:right="84" w:rightChars="4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r>
      <w:tr w14:paraId="2BFE2E6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912" w:type="dxa"/>
            <w:noWrap w:val="0"/>
            <w:vAlign w:val="center"/>
          </w:tcPr>
          <w:p w14:paraId="58FB245C">
            <w:pPr>
              <w:widowControl/>
              <w:spacing w:line="276" w:lineRule="auto"/>
              <w:ind w:left="118" w:leftChars="56" w:right="84" w:rightChars="40"/>
              <w:jc w:val="center"/>
              <w:rPr>
                <w:rFonts w:hint="default" w:ascii="宋体" w:hAnsi="宋体" w:eastAsia="宋体" w:cs="宋体"/>
                <w:snapToGrid w:val="0"/>
                <w:color w:val="auto"/>
                <w:sz w:val="24"/>
                <w:szCs w:val="24"/>
                <w:highlight w:val="none"/>
                <w:lang w:val="en-US" w:eastAsia="zh-CN" w:bidi="ar-SA"/>
              </w:rPr>
            </w:pPr>
            <w:r>
              <w:rPr>
                <w:rFonts w:hint="eastAsia" w:ascii="宋体" w:hAnsi="宋体" w:cs="宋体"/>
                <w:color w:val="auto"/>
                <w:sz w:val="24"/>
                <w:szCs w:val="24"/>
                <w:highlight w:val="none"/>
                <w:lang w:val="en-US" w:eastAsia="zh-CN"/>
              </w:rPr>
              <w:t>10</w:t>
            </w:r>
          </w:p>
        </w:tc>
        <w:tc>
          <w:tcPr>
            <w:tcW w:w="8325" w:type="dxa"/>
            <w:noWrap w:val="0"/>
            <w:vAlign w:val="center"/>
          </w:tcPr>
          <w:p w14:paraId="2B01459A">
            <w:pPr>
              <w:widowControl/>
              <w:spacing w:line="276" w:lineRule="auto"/>
              <w:ind w:left="118" w:leftChars="56" w:right="84" w:rightChars="40"/>
              <w:rPr>
                <w:rFonts w:hint="eastAsia" w:ascii="宋体" w:hAnsi="宋体" w:cs="宋体"/>
                <w:color w:val="auto"/>
                <w:sz w:val="24"/>
                <w:szCs w:val="24"/>
                <w:highlight w:val="none"/>
              </w:rPr>
            </w:pPr>
            <w:r>
              <w:rPr>
                <w:rFonts w:hint="eastAsia" w:ascii="宋体" w:hAnsi="宋体" w:cs="宋体"/>
                <w:color w:val="auto"/>
                <w:sz w:val="24"/>
                <w:szCs w:val="24"/>
                <w:highlight w:val="none"/>
              </w:rPr>
              <w:t>安全文明保障方案：</w:t>
            </w:r>
          </w:p>
          <w:p w14:paraId="54F7B1AE">
            <w:pPr>
              <w:widowControl/>
              <w:spacing w:line="276" w:lineRule="auto"/>
              <w:ind w:left="118" w:leftChars="56" w:right="84" w:rightChars="40"/>
              <w:rPr>
                <w:rFonts w:hint="eastAsia" w:ascii="宋体" w:hAnsi="宋体" w:cs="宋体"/>
                <w:color w:val="auto"/>
                <w:sz w:val="24"/>
                <w:szCs w:val="24"/>
                <w:highlight w:val="none"/>
              </w:rPr>
            </w:pPr>
            <w:r>
              <w:rPr>
                <w:rFonts w:hint="eastAsia" w:ascii="宋体" w:hAnsi="宋体" w:cs="宋体"/>
                <w:color w:val="auto"/>
                <w:sz w:val="24"/>
                <w:szCs w:val="24"/>
                <w:highlight w:val="none"/>
              </w:rPr>
              <w:t>施工工作过程中减少影响办公等相关措施、安全措施以及与各方的沟通措施是否合理可行，合理可行得3分，基本合理可行得</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eastAsia="zh-CN"/>
              </w:rPr>
              <w:t>有缺陷需完善后实施</w:t>
            </w:r>
            <w:r>
              <w:rPr>
                <w:rFonts w:hint="eastAsia" w:ascii="宋体" w:hAnsi="宋体" w:cs="宋体"/>
                <w:color w:val="auto"/>
                <w:sz w:val="24"/>
                <w:szCs w:val="24"/>
                <w:highlight w:val="none"/>
              </w:rPr>
              <w:t>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不合理不可行不得分。</w:t>
            </w:r>
          </w:p>
        </w:tc>
        <w:tc>
          <w:tcPr>
            <w:tcW w:w="875" w:type="dxa"/>
            <w:noWrap w:val="0"/>
            <w:vAlign w:val="center"/>
          </w:tcPr>
          <w:p w14:paraId="5118B95A">
            <w:pPr>
              <w:widowControl/>
              <w:spacing w:line="276" w:lineRule="auto"/>
              <w:ind w:left="118" w:leftChars="56" w:right="84" w:rightChars="40"/>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p>
        </w:tc>
      </w:tr>
      <w:tr w14:paraId="20A9FC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912" w:type="dxa"/>
            <w:noWrap w:val="0"/>
            <w:vAlign w:val="center"/>
          </w:tcPr>
          <w:p w14:paraId="09AF0932">
            <w:pPr>
              <w:widowControl/>
              <w:spacing w:line="276" w:lineRule="auto"/>
              <w:ind w:left="118" w:leftChars="56" w:right="84" w:rightChars="40"/>
              <w:jc w:val="center"/>
              <w:rPr>
                <w:rFonts w:hint="default" w:ascii="宋体" w:hAnsi="宋体" w:eastAsia="宋体" w:cs="宋体"/>
                <w:snapToGrid w:val="0"/>
                <w:color w:val="auto"/>
                <w:sz w:val="24"/>
                <w:szCs w:val="24"/>
                <w:highlight w:val="none"/>
                <w:lang w:val="en-US" w:eastAsia="zh-CN" w:bidi="ar-SA"/>
              </w:rPr>
            </w:pPr>
            <w:r>
              <w:rPr>
                <w:rFonts w:hint="eastAsia" w:ascii="宋体" w:hAnsi="宋体" w:cs="宋体"/>
                <w:color w:val="auto"/>
                <w:sz w:val="24"/>
                <w:szCs w:val="24"/>
                <w:highlight w:val="none"/>
                <w:lang w:val="en-US" w:eastAsia="zh-CN"/>
              </w:rPr>
              <w:t>11</w:t>
            </w:r>
          </w:p>
        </w:tc>
        <w:tc>
          <w:tcPr>
            <w:tcW w:w="8325" w:type="dxa"/>
            <w:noWrap w:val="0"/>
            <w:vAlign w:val="center"/>
          </w:tcPr>
          <w:p w14:paraId="3373CF5E">
            <w:pPr>
              <w:widowControl/>
              <w:spacing w:line="276" w:lineRule="auto"/>
              <w:ind w:right="84" w:rightChars="4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成品保护措施：</w:t>
            </w:r>
          </w:p>
          <w:p w14:paraId="1DA3B559">
            <w:pPr>
              <w:widowControl/>
              <w:spacing w:line="276" w:lineRule="auto"/>
              <w:ind w:right="84" w:rightChars="4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内容</w:t>
            </w:r>
            <w:r>
              <w:rPr>
                <w:rFonts w:hint="eastAsia" w:ascii="宋体" w:hAnsi="宋体" w:cs="宋体"/>
                <w:color w:val="auto"/>
                <w:sz w:val="24"/>
                <w:szCs w:val="24"/>
                <w:highlight w:val="none"/>
              </w:rPr>
              <w:t>合理可行得3分，基本合理可行得</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eastAsia="zh-CN"/>
              </w:rPr>
              <w:t>有缺陷需完善后实施</w:t>
            </w:r>
            <w:r>
              <w:rPr>
                <w:rFonts w:hint="eastAsia" w:ascii="宋体" w:hAnsi="宋体" w:cs="宋体"/>
                <w:color w:val="auto"/>
                <w:sz w:val="24"/>
                <w:szCs w:val="24"/>
                <w:highlight w:val="none"/>
              </w:rPr>
              <w:t>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不合理不可行不得分。</w:t>
            </w:r>
          </w:p>
        </w:tc>
        <w:tc>
          <w:tcPr>
            <w:tcW w:w="875" w:type="dxa"/>
            <w:noWrap w:val="0"/>
            <w:vAlign w:val="center"/>
          </w:tcPr>
          <w:p w14:paraId="4A207290">
            <w:pPr>
              <w:widowControl/>
              <w:spacing w:line="276" w:lineRule="auto"/>
              <w:ind w:left="118" w:leftChars="56" w:right="84" w:rightChars="4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r>
      <w:tr w14:paraId="07B48E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912" w:type="dxa"/>
            <w:noWrap w:val="0"/>
            <w:vAlign w:val="center"/>
          </w:tcPr>
          <w:p w14:paraId="5A39EC92">
            <w:pPr>
              <w:widowControl/>
              <w:spacing w:line="276" w:lineRule="auto"/>
              <w:ind w:left="118" w:leftChars="56" w:right="84" w:rightChars="40"/>
              <w:jc w:val="center"/>
              <w:rPr>
                <w:rFonts w:hint="default" w:ascii="宋体" w:hAnsi="宋体" w:eastAsia="宋体" w:cs="宋体"/>
                <w:snapToGrid w:val="0"/>
                <w:color w:val="auto"/>
                <w:sz w:val="24"/>
                <w:szCs w:val="24"/>
                <w:highlight w:val="none"/>
                <w:lang w:val="en-US" w:eastAsia="zh-CN" w:bidi="ar-SA"/>
              </w:rPr>
            </w:pPr>
            <w:r>
              <w:rPr>
                <w:rFonts w:hint="eastAsia" w:ascii="宋体" w:hAnsi="宋体" w:cs="宋体"/>
                <w:color w:val="auto"/>
                <w:sz w:val="24"/>
                <w:szCs w:val="24"/>
                <w:highlight w:val="none"/>
                <w:lang w:val="en-US" w:eastAsia="zh-CN"/>
              </w:rPr>
              <w:t>12</w:t>
            </w:r>
          </w:p>
        </w:tc>
        <w:tc>
          <w:tcPr>
            <w:tcW w:w="8325" w:type="dxa"/>
            <w:noWrap w:val="0"/>
            <w:vAlign w:val="center"/>
          </w:tcPr>
          <w:p w14:paraId="5D8B48CB">
            <w:pPr>
              <w:widowControl/>
              <w:spacing w:line="276" w:lineRule="auto"/>
              <w:ind w:left="118" w:leftChars="56" w:right="84" w:rightChars="4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优惠及服务承诺</w:t>
            </w:r>
          </w:p>
          <w:p w14:paraId="718BEB1A">
            <w:pPr>
              <w:widowControl/>
              <w:spacing w:line="276" w:lineRule="auto"/>
              <w:ind w:left="118" w:leftChars="56" w:right="84" w:rightChars="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（1）提出合理可行的服务承诺得2分，部分合理得1分，不合理不得分；</w:t>
            </w:r>
          </w:p>
          <w:p w14:paraId="03FA0B05">
            <w:pPr>
              <w:widowControl/>
              <w:spacing w:line="276" w:lineRule="auto"/>
              <w:ind w:left="118" w:leftChars="56" w:right="84" w:rightChars="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提供有利于项目实施的优惠</w:t>
            </w:r>
            <w:r>
              <w:rPr>
                <w:rFonts w:hint="eastAsia" w:ascii="宋体" w:hAnsi="宋体" w:eastAsia="宋体" w:cs="宋体"/>
                <w:color w:val="auto"/>
                <w:sz w:val="24"/>
                <w:szCs w:val="24"/>
                <w:highlight w:val="none"/>
                <w:lang w:eastAsia="zh-CN"/>
              </w:rPr>
              <w:t>，每条</w:t>
            </w:r>
            <w:r>
              <w:rPr>
                <w:rFonts w:hint="eastAsia" w:ascii="宋体" w:hAnsi="宋体" w:eastAsia="宋体" w:cs="宋体"/>
                <w:color w:val="auto"/>
                <w:sz w:val="24"/>
                <w:szCs w:val="24"/>
                <w:highlight w:val="none"/>
                <w:lang w:val="en-US" w:eastAsia="zh-CN"/>
              </w:rPr>
              <w:t>1分，最高得2分</w:t>
            </w:r>
            <w:r>
              <w:rPr>
                <w:rFonts w:hint="eastAsia" w:ascii="宋体" w:hAnsi="宋体" w:eastAsia="宋体" w:cs="宋体"/>
                <w:color w:val="auto"/>
                <w:sz w:val="24"/>
                <w:szCs w:val="24"/>
                <w:highlight w:val="none"/>
              </w:rPr>
              <w:t>。</w:t>
            </w:r>
          </w:p>
        </w:tc>
        <w:tc>
          <w:tcPr>
            <w:tcW w:w="875" w:type="dxa"/>
            <w:noWrap w:val="0"/>
            <w:vAlign w:val="center"/>
          </w:tcPr>
          <w:p w14:paraId="14A26373">
            <w:pPr>
              <w:widowControl/>
              <w:spacing w:line="276" w:lineRule="auto"/>
              <w:ind w:left="118" w:leftChars="56" w:right="84" w:rightChars="40"/>
              <w:jc w:val="center"/>
              <w:rPr>
                <w:rFonts w:hint="default" w:ascii="宋体" w:hAnsi="宋体" w:cs="宋体"/>
                <w:color w:val="auto"/>
                <w:sz w:val="24"/>
                <w:szCs w:val="24"/>
                <w:highlight w:val="none"/>
                <w:lang w:val="en-US"/>
              </w:rPr>
            </w:pPr>
            <w:r>
              <w:rPr>
                <w:rFonts w:hint="eastAsia" w:ascii="宋体" w:hAnsi="宋体" w:cs="宋体"/>
                <w:color w:val="auto"/>
                <w:sz w:val="24"/>
                <w:szCs w:val="24"/>
                <w:highlight w:val="none"/>
                <w:lang w:val="en-US" w:eastAsia="zh-CN"/>
              </w:rPr>
              <w:t>4</w:t>
            </w:r>
          </w:p>
        </w:tc>
      </w:tr>
      <w:tr w14:paraId="4453132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912" w:type="dxa"/>
            <w:noWrap w:val="0"/>
            <w:vAlign w:val="center"/>
          </w:tcPr>
          <w:p w14:paraId="60C18D59">
            <w:pPr>
              <w:widowControl/>
              <w:spacing w:line="276" w:lineRule="auto"/>
              <w:ind w:left="118" w:leftChars="56" w:right="84" w:rightChars="4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p>
        </w:tc>
        <w:tc>
          <w:tcPr>
            <w:tcW w:w="8325" w:type="dxa"/>
            <w:noWrap w:val="0"/>
            <w:vAlign w:val="center"/>
          </w:tcPr>
          <w:p w14:paraId="6EEF007D">
            <w:pPr>
              <w:widowControl/>
              <w:spacing w:line="276" w:lineRule="auto"/>
              <w:ind w:left="118" w:leftChars="56" w:right="84" w:rightChars="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【客观分】2021年1月1日以来具有类似项目实施，每个有效业绩得0.5分，最高得1分。提供合同复印件加盖公章。</w:t>
            </w:r>
          </w:p>
        </w:tc>
        <w:tc>
          <w:tcPr>
            <w:tcW w:w="875" w:type="dxa"/>
            <w:noWrap w:val="0"/>
            <w:vAlign w:val="center"/>
          </w:tcPr>
          <w:p w14:paraId="20F57D6C">
            <w:pPr>
              <w:widowControl/>
              <w:spacing w:line="276" w:lineRule="auto"/>
              <w:ind w:left="118" w:leftChars="56" w:right="84" w:rightChars="4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r>
    </w:tbl>
    <w:p w14:paraId="55474359">
      <w:pPr>
        <w:snapToGrid w:val="0"/>
        <w:spacing w:line="360" w:lineRule="auto"/>
        <w:rPr>
          <w:rFonts w:ascii="宋体" w:hAnsi="宋体" w:cs="宋体"/>
          <w:color w:val="auto"/>
          <w:sz w:val="20"/>
          <w:szCs w:val="20"/>
          <w:highlight w:val="none"/>
          <w:shd w:val="clear" w:color="auto" w:fill="FFFFFF"/>
        </w:rPr>
      </w:pPr>
    </w:p>
    <w:p w14:paraId="2C3C986E">
      <w:pPr>
        <w:keepNext w:val="0"/>
        <w:keepLines w:val="0"/>
        <w:pageBreakBefore w:val="0"/>
        <w:widowControl w:val="0"/>
        <w:kinsoku/>
        <w:wordWrap/>
        <w:overflowPunct/>
        <w:topLinePunct w:val="0"/>
        <w:autoSpaceDE/>
        <w:autoSpaceDN/>
        <w:bidi w:val="0"/>
        <w:snapToGrid w:val="0"/>
        <w:spacing w:line="360" w:lineRule="auto"/>
        <w:textAlignment w:val="auto"/>
        <w:rPr>
          <w:rFonts w:ascii="宋体" w:hAnsi="宋体" w:cs="宋体"/>
          <w:b/>
          <w:color w:val="auto"/>
          <w:sz w:val="24"/>
          <w:szCs w:val="24"/>
          <w:highlight w:val="none"/>
        </w:rPr>
      </w:pPr>
      <w:r>
        <w:rPr>
          <w:rFonts w:hint="eastAsia" w:ascii="宋体" w:hAnsi="宋体" w:cs="宋体"/>
          <w:color w:val="auto"/>
          <w:sz w:val="24"/>
          <w:szCs w:val="24"/>
          <w:highlight w:val="none"/>
          <w:shd w:val="clear" w:color="auto" w:fill="FFFFFF"/>
        </w:rPr>
        <w:t>*</w:t>
      </w:r>
      <w:r>
        <w:rPr>
          <w:rFonts w:hint="eastAsia" w:ascii="宋体" w:hAnsi="宋体" w:cs="宋体"/>
          <w:b/>
          <w:color w:val="auto"/>
          <w:sz w:val="24"/>
          <w:szCs w:val="24"/>
          <w:highlight w:val="none"/>
        </w:rPr>
        <w:t>备注：</w:t>
      </w:r>
      <w:r>
        <w:rPr>
          <w:rFonts w:hint="eastAsia" w:ascii="宋体" w:hAnsi="宋体" w:cs="宋体"/>
          <w:color w:val="auto"/>
          <w:sz w:val="24"/>
          <w:szCs w:val="24"/>
          <w:highlight w:val="none"/>
        </w:rPr>
        <w:t>供应商编制响应文件（商务技术文件部分）时，建议按此目录（序号和内容）提供评审标准相应的商务技术资料。</w:t>
      </w:r>
    </w:p>
    <w:p w14:paraId="3D2166F0">
      <w:pPr>
        <w:keepNext w:val="0"/>
        <w:keepLines w:val="0"/>
        <w:pageBreakBefore w:val="0"/>
        <w:widowControl w:val="0"/>
        <w:kinsoku/>
        <w:wordWrap/>
        <w:overflowPunct/>
        <w:topLinePunct w:val="0"/>
        <w:autoSpaceDE/>
        <w:autoSpaceDN/>
        <w:bidi w:val="0"/>
        <w:spacing w:line="360" w:lineRule="auto"/>
        <w:jc w:val="left"/>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一、评审方法</w:t>
      </w:r>
    </w:p>
    <w:p w14:paraId="22548AE1">
      <w:pPr>
        <w:keepNext w:val="0"/>
        <w:keepLines w:val="0"/>
        <w:pageBreakBefore w:val="0"/>
        <w:widowControl w:val="0"/>
        <w:kinsoku/>
        <w:wordWrap/>
        <w:overflowPunct/>
        <w:topLinePunct w:val="0"/>
        <w:autoSpaceDE/>
        <w:autoSpaceDN/>
        <w:bidi w:val="0"/>
        <w:adjustRightInd/>
        <w:spacing w:line="360" w:lineRule="auto"/>
        <w:ind w:firstLine="472" w:firstLineChars="196"/>
        <w:textAlignment w:val="auto"/>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1.本项目采用综合评分法。</w:t>
      </w:r>
      <w:r>
        <w:rPr>
          <w:rFonts w:hint="eastAsia" w:ascii="宋体" w:hAnsi="宋体" w:cs="宋体"/>
          <w:color w:val="auto"/>
          <w:kern w:val="0"/>
          <w:sz w:val="24"/>
          <w:szCs w:val="24"/>
          <w:highlight w:val="none"/>
        </w:rPr>
        <w:t>综合评分法，是指响应文件满足磋商文件全部实质性要求且按评审因素的量化指标评审得分最高的供应商为成交候选供应商的评审方法。</w:t>
      </w:r>
    </w:p>
    <w:p w14:paraId="512CB67F">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二、评审标准</w:t>
      </w:r>
    </w:p>
    <w:p w14:paraId="4D67A5B7">
      <w:pPr>
        <w:keepNext w:val="0"/>
        <w:keepLines w:val="0"/>
        <w:pageBreakBefore w:val="0"/>
        <w:widowControl w:val="0"/>
        <w:kinsoku/>
        <w:wordWrap/>
        <w:overflowPunct/>
        <w:topLinePunct w:val="0"/>
        <w:autoSpaceDE/>
        <w:autoSpaceDN/>
        <w:bidi w:val="0"/>
        <w:spacing w:line="360" w:lineRule="auto"/>
        <w:ind w:firstLine="472" w:firstLineChars="196"/>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2.</w:t>
      </w:r>
      <w:r>
        <w:rPr>
          <w:rFonts w:hint="eastAsia" w:ascii="宋体" w:hAnsi="宋体" w:cs="宋体"/>
          <w:color w:val="auto"/>
          <w:sz w:val="24"/>
          <w:szCs w:val="24"/>
          <w:highlight w:val="none"/>
        </w:rPr>
        <w:t xml:space="preserve"> </w:t>
      </w:r>
      <w:r>
        <w:rPr>
          <w:rFonts w:hint="eastAsia" w:ascii="宋体" w:hAnsi="宋体" w:cs="宋体"/>
          <w:b/>
          <w:color w:val="auto"/>
          <w:sz w:val="24"/>
          <w:szCs w:val="24"/>
          <w:highlight w:val="none"/>
        </w:rPr>
        <w:t>评审标准：</w:t>
      </w:r>
      <w:r>
        <w:rPr>
          <w:rFonts w:hint="eastAsia" w:ascii="宋体" w:hAnsi="宋体" w:cs="宋体"/>
          <w:color w:val="auto"/>
          <w:kern w:val="0"/>
          <w:sz w:val="24"/>
          <w:szCs w:val="24"/>
          <w:highlight w:val="none"/>
        </w:rPr>
        <w:t>见评审办法前附表。</w:t>
      </w:r>
    </w:p>
    <w:p w14:paraId="51AA5D27">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三、评审程序</w:t>
      </w:r>
    </w:p>
    <w:p w14:paraId="6A785907">
      <w:pPr>
        <w:keepNext w:val="0"/>
        <w:keepLines w:val="0"/>
        <w:pageBreakBefore w:val="0"/>
        <w:widowControl w:val="0"/>
        <w:kinsoku/>
        <w:wordWrap/>
        <w:overflowPunct/>
        <w:topLinePunct w:val="0"/>
        <w:autoSpaceDE/>
        <w:autoSpaceDN/>
        <w:bidi w:val="0"/>
        <w:spacing w:line="360" w:lineRule="auto"/>
        <w:ind w:firstLine="472" w:firstLineChars="196"/>
        <w:textAlignment w:val="auto"/>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3.1符合性审查。</w:t>
      </w:r>
      <w:r>
        <w:rPr>
          <w:rFonts w:hint="eastAsia" w:ascii="宋体" w:hAnsi="宋体" w:cs="宋体"/>
          <w:color w:val="auto"/>
          <w:kern w:val="0"/>
          <w:sz w:val="24"/>
          <w:szCs w:val="24"/>
          <w:highlight w:val="none"/>
        </w:rPr>
        <w:t>磋商小组应当对符合资格的供应商的响应文件进行符合性审查，以确定其是否满足采购文件的实质性要求。不满足采购文件的实质性要求的，响应文件无效。</w:t>
      </w:r>
    </w:p>
    <w:p w14:paraId="3F03921A">
      <w:pPr>
        <w:keepNext w:val="0"/>
        <w:keepLines w:val="0"/>
        <w:pageBreakBefore w:val="0"/>
        <w:widowControl w:val="0"/>
        <w:kinsoku/>
        <w:wordWrap/>
        <w:overflowPunct/>
        <w:topLinePunct w:val="0"/>
        <w:autoSpaceDE/>
        <w:autoSpaceDN/>
        <w:bidi w:val="0"/>
        <w:spacing w:line="360" w:lineRule="auto"/>
        <w:ind w:firstLine="472" w:firstLineChars="196"/>
        <w:textAlignment w:val="auto"/>
        <w:rPr>
          <w:rFonts w:ascii="宋体" w:hAnsi="宋体" w:cs="宋体"/>
          <w:color w:val="auto"/>
          <w:sz w:val="24"/>
          <w:szCs w:val="24"/>
          <w:highlight w:val="none"/>
        </w:rPr>
      </w:pPr>
      <w:r>
        <w:rPr>
          <w:rFonts w:hint="eastAsia" w:ascii="宋体" w:hAnsi="宋体" w:cs="宋体"/>
          <w:b/>
          <w:color w:val="auto"/>
          <w:kern w:val="0"/>
          <w:sz w:val="24"/>
          <w:szCs w:val="24"/>
          <w:highlight w:val="none"/>
        </w:rPr>
        <w:t>3.2 磋商。</w:t>
      </w:r>
      <w:r>
        <w:rPr>
          <w:rFonts w:hint="eastAsia" w:ascii="宋体" w:hAnsi="宋体" w:cs="宋体"/>
          <w:color w:val="auto"/>
          <w:sz w:val="24"/>
          <w:szCs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auto"/>
          <w:kern w:val="0"/>
          <w:sz w:val="24"/>
          <w:szCs w:val="24"/>
          <w:highlight w:val="none"/>
        </w:rPr>
        <w:t>符合性审查合格的</w:t>
      </w:r>
      <w:r>
        <w:rPr>
          <w:rFonts w:hint="eastAsia" w:ascii="宋体" w:hAnsi="宋体" w:cs="宋体"/>
          <w:color w:val="auto"/>
          <w:sz w:val="24"/>
          <w:szCs w:val="24"/>
          <w:highlight w:val="none"/>
        </w:rPr>
        <w:t>供应商逐一进行磋商。</w:t>
      </w:r>
    </w:p>
    <w:p w14:paraId="6C0F5760">
      <w:pPr>
        <w:keepNext w:val="0"/>
        <w:keepLines w:val="0"/>
        <w:pageBreakBefore w:val="0"/>
        <w:widowControl w:val="0"/>
        <w:kinsoku/>
        <w:wordWrap/>
        <w:overflowPunct/>
        <w:topLinePunct w:val="0"/>
        <w:autoSpaceDE/>
        <w:autoSpaceDN/>
        <w:bidi w:val="0"/>
        <w:spacing w:line="360" w:lineRule="auto"/>
        <w:ind w:firstLine="470" w:firstLineChars="196"/>
        <w:textAlignment w:val="auto"/>
        <w:rPr>
          <w:rFonts w:ascii="宋体" w:hAnsi="宋体" w:cs="宋体"/>
          <w:b/>
          <w:color w:val="auto"/>
          <w:sz w:val="24"/>
          <w:szCs w:val="24"/>
          <w:highlight w:val="none"/>
        </w:rPr>
      </w:pPr>
      <w:r>
        <w:rPr>
          <w:rFonts w:hint="eastAsia" w:ascii="宋体" w:hAnsi="宋体" w:cs="宋体"/>
          <w:bCs/>
          <w:color w:val="auto"/>
          <w:sz w:val="24"/>
          <w:szCs w:val="24"/>
          <w:highlight w:val="none"/>
        </w:rPr>
        <w:t xml:space="preserve">3.2.1 </w:t>
      </w:r>
      <w:r>
        <w:rPr>
          <w:rFonts w:hint="eastAsia" w:ascii="宋体" w:hAnsi="宋体" w:cs="宋体"/>
          <w:color w:val="auto"/>
          <w:sz w:val="24"/>
          <w:szCs w:val="24"/>
          <w:highlight w:val="none"/>
        </w:rPr>
        <w:t>供应商逐家回答磋商小组的提问；</w:t>
      </w:r>
      <w:r>
        <w:rPr>
          <w:rFonts w:hint="eastAsia" w:ascii="宋体" w:hAnsi="宋体" w:cs="宋体"/>
          <w:b/>
          <w:color w:val="auto"/>
          <w:sz w:val="24"/>
          <w:szCs w:val="24"/>
          <w:highlight w:val="none"/>
        </w:rPr>
        <w:t>逐家磋商一次为一个轮次，磋商轮次根据实际情况进行。</w:t>
      </w:r>
    </w:p>
    <w:p w14:paraId="23AC6D4A">
      <w:pPr>
        <w:keepNext w:val="0"/>
        <w:keepLines w:val="0"/>
        <w:pageBreakBefore w:val="0"/>
        <w:widowControl w:val="0"/>
        <w:kinsoku/>
        <w:wordWrap/>
        <w:overflowPunct/>
        <w:topLinePunct w:val="0"/>
        <w:autoSpaceDE/>
        <w:autoSpaceDN/>
        <w:bidi w:val="0"/>
        <w:spacing w:line="360" w:lineRule="auto"/>
        <w:ind w:firstLine="470" w:firstLineChars="196"/>
        <w:textAlignment w:val="auto"/>
        <w:rPr>
          <w:rFonts w:ascii="宋体" w:hAnsi="宋体" w:cs="宋体"/>
          <w:color w:val="auto"/>
          <w:sz w:val="24"/>
          <w:szCs w:val="24"/>
          <w:highlight w:val="none"/>
        </w:rPr>
      </w:pPr>
      <w:r>
        <w:rPr>
          <w:rFonts w:hint="eastAsia" w:ascii="宋体" w:hAnsi="宋体" w:cs="宋体"/>
          <w:bCs/>
          <w:color w:val="auto"/>
          <w:sz w:val="24"/>
          <w:szCs w:val="24"/>
          <w:highlight w:val="none"/>
        </w:rPr>
        <w:t xml:space="preserve">3.2.2 </w:t>
      </w:r>
      <w:r>
        <w:rPr>
          <w:rFonts w:hint="eastAsia" w:ascii="宋体" w:hAnsi="宋体" w:cs="宋体"/>
          <w:color w:val="auto"/>
          <w:sz w:val="24"/>
          <w:szCs w:val="24"/>
          <w:highlight w:val="none"/>
        </w:rPr>
        <w:t>供应商应按磋商小组通知的时间在线或以邮件回复做出承诺或回复，承诺或回复的内容须由供应商法定代表人或授权代表签署，并作为响应文件的补充部分。</w:t>
      </w:r>
    </w:p>
    <w:p w14:paraId="4CFA4DF1">
      <w:pPr>
        <w:keepNext w:val="0"/>
        <w:keepLines w:val="0"/>
        <w:pageBreakBefore w:val="0"/>
        <w:widowControl w:val="0"/>
        <w:kinsoku/>
        <w:wordWrap/>
        <w:overflowPunct/>
        <w:topLinePunct w:val="0"/>
        <w:autoSpaceDE/>
        <w:autoSpaceDN/>
        <w:bidi w:val="0"/>
        <w:spacing w:line="360" w:lineRule="auto"/>
        <w:ind w:firstLine="470" w:firstLineChars="196"/>
        <w:textAlignment w:val="auto"/>
        <w:rPr>
          <w:rFonts w:ascii="宋体" w:hAnsi="宋体" w:cs="宋体"/>
          <w:bCs/>
          <w:color w:val="auto"/>
          <w:kern w:val="0"/>
          <w:sz w:val="24"/>
          <w:szCs w:val="24"/>
          <w:highlight w:val="none"/>
        </w:rPr>
      </w:pPr>
      <w:r>
        <w:rPr>
          <w:rFonts w:hint="eastAsia" w:ascii="宋体" w:hAnsi="宋体" w:cs="宋体"/>
          <w:color w:val="auto"/>
          <w:sz w:val="24"/>
          <w:szCs w:val="24"/>
          <w:highlight w:val="none"/>
        </w:rPr>
        <w:t>3.2.3 在磋商过程中，磋商小组可以根据磋商文件和磋商情况实质性变动采购需求中的“※”号技术、服务要求以及合同草案中的“※”号条款，但不得变动磋商文件中的其他内容。实质性变动的内容，须经采购人代表确认。磋商文件有实质性变动的，磋商小组将以书面形式通知所有</w:t>
      </w:r>
      <w:r>
        <w:rPr>
          <w:rFonts w:hint="eastAsia" w:ascii="宋体" w:hAnsi="宋体" w:cs="宋体"/>
          <w:color w:val="auto"/>
          <w:kern w:val="0"/>
          <w:sz w:val="24"/>
          <w:szCs w:val="24"/>
          <w:highlight w:val="none"/>
        </w:rPr>
        <w:t>符合性审查合格的</w:t>
      </w:r>
      <w:r>
        <w:rPr>
          <w:rFonts w:hint="eastAsia" w:ascii="宋体" w:hAnsi="宋体" w:cs="宋体"/>
          <w:color w:val="auto"/>
          <w:sz w:val="24"/>
          <w:szCs w:val="24"/>
          <w:highlight w:val="none"/>
        </w:rPr>
        <w:t xml:space="preserve">供应商。 </w:t>
      </w:r>
    </w:p>
    <w:p w14:paraId="649383EF">
      <w:pPr>
        <w:keepNext w:val="0"/>
        <w:keepLines w:val="0"/>
        <w:pageBreakBefore w:val="0"/>
        <w:widowControl w:val="0"/>
        <w:kinsoku/>
        <w:wordWrap/>
        <w:overflowPunct/>
        <w:topLinePunct w:val="0"/>
        <w:autoSpaceDE/>
        <w:autoSpaceDN/>
        <w:bidi w:val="0"/>
        <w:spacing w:line="360" w:lineRule="auto"/>
        <w:ind w:firstLine="472" w:firstLineChars="196"/>
        <w:textAlignment w:val="auto"/>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3.3最后报价</w:t>
      </w:r>
    </w:p>
    <w:p w14:paraId="605FD772">
      <w:pPr>
        <w:keepNext w:val="0"/>
        <w:keepLines w:val="0"/>
        <w:pageBreakBefore w:val="0"/>
        <w:widowControl w:val="0"/>
        <w:kinsoku/>
        <w:wordWrap/>
        <w:overflowPunct/>
        <w:topLinePunct w:val="0"/>
        <w:autoSpaceDE/>
        <w:autoSpaceDN/>
        <w:bidi w:val="0"/>
        <w:spacing w:line="360" w:lineRule="auto"/>
        <w:ind w:firstLine="470" w:firstLineChars="196"/>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3.3.1 磋商文件能够详细列明采购标的的技术、服务要求的，磋商结束后，磋商小组应当要求所有符合性审查合格的供应商在规定时间内提交最后报价，提交最后报价的供应商不得少于3家。</w:t>
      </w:r>
    </w:p>
    <w:p w14:paraId="4C0810EB">
      <w:pPr>
        <w:keepNext w:val="0"/>
        <w:keepLines w:val="0"/>
        <w:pageBreakBefore w:val="0"/>
        <w:widowControl w:val="0"/>
        <w:kinsoku/>
        <w:wordWrap/>
        <w:overflowPunct/>
        <w:topLinePunct w:val="0"/>
        <w:autoSpaceDE/>
        <w:autoSpaceDN/>
        <w:bidi w:val="0"/>
        <w:spacing w:line="360" w:lineRule="auto"/>
        <w:ind w:firstLine="470" w:firstLineChars="196"/>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10ED86E4">
      <w:pPr>
        <w:keepNext w:val="0"/>
        <w:keepLines w:val="0"/>
        <w:pageBreakBefore w:val="0"/>
        <w:widowControl w:val="0"/>
        <w:kinsoku/>
        <w:wordWrap/>
        <w:overflowPunct/>
        <w:topLinePunct w:val="0"/>
        <w:autoSpaceDE/>
        <w:autoSpaceDN/>
        <w:bidi w:val="0"/>
        <w:spacing w:line="360" w:lineRule="auto"/>
        <w:ind w:firstLine="470" w:firstLineChars="196"/>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3.3.3 已提交响应文件的供应商，在提交最后报价之前，可以根据磋商情况退出磋商</w:t>
      </w:r>
    </w:p>
    <w:p w14:paraId="3166F09B">
      <w:pPr>
        <w:keepNext w:val="0"/>
        <w:keepLines w:val="0"/>
        <w:pageBreakBefore w:val="0"/>
        <w:widowControl w:val="0"/>
        <w:kinsoku/>
        <w:wordWrap/>
        <w:overflowPunct/>
        <w:topLinePunct w:val="0"/>
        <w:autoSpaceDE/>
        <w:autoSpaceDN/>
        <w:bidi w:val="0"/>
        <w:spacing w:line="360" w:lineRule="auto"/>
        <w:ind w:firstLine="472" w:firstLineChars="196"/>
        <w:textAlignment w:val="auto"/>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3.4 综合评分。</w:t>
      </w:r>
      <w:r>
        <w:rPr>
          <w:rFonts w:hint="eastAsia" w:ascii="宋体" w:hAnsi="宋体" w:cs="宋体"/>
          <w:bCs/>
          <w:color w:val="auto"/>
          <w:kern w:val="0"/>
          <w:sz w:val="24"/>
          <w:szCs w:val="24"/>
          <w:highlight w:val="none"/>
        </w:rPr>
        <w:t>经磋商确定最终采购需求和提交最后报价的供应商后，</w:t>
      </w:r>
      <w:r>
        <w:rPr>
          <w:rFonts w:hint="eastAsia" w:ascii="宋体" w:hAnsi="宋体" w:cs="宋体"/>
          <w:color w:val="auto"/>
          <w:kern w:val="0"/>
          <w:sz w:val="24"/>
          <w:szCs w:val="24"/>
          <w:highlight w:val="none"/>
        </w:rPr>
        <w:t>磋商小组应当按照采购文件中规定的评审标准，对符合性审查合格的响应文件进行综合评分。磋商文件中没有规定的评审标准不得作为评审依据。</w:t>
      </w:r>
    </w:p>
    <w:p w14:paraId="22915E6E">
      <w:pPr>
        <w:keepNext w:val="0"/>
        <w:keepLines w:val="0"/>
        <w:pageBreakBefore w:val="0"/>
        <w:widowControl w:val="0"/>
        <w:kinsoku/>
        <w:wordWrap/>
        <w:overflowPunct/>
        <w:topLinePunct w:val="0"/>
        <w:autoSpaceDE/>
        <w:autoSpaceDN/>
        <w:bidi w:val="0"/>
        <w:spacing w:line="360" w:lineRule="auto"/>
        <w:ind w:firstLine="472" w:firstLineChars="196"/>
        <w:textAlignment w:val="auto"/>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3.5汇总商务技术得分。</w:t>
      </w:r>
      <w:r>
        <w:rPr>
          <w:rFonts w:hint="eastAsia" w:ascii="宋体" w:hAnsi="宋体" w:cs="宋体"/>
          <w:color w:val="auto"/>
          <w:kern w:val="0"/>
          <w:sz w:val="24"/>
          <w:szCs w:val="24"/>
          <w:highlight w:val="none"/>
        </w:rPr>
        <w:t>磋商小组各成员应当独立对每个供应商的商务和技术文件进行评价，并汇总商务技术得分情况。磋商小组成员总评分偏离平均分30%以上的，以及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14:paraId="496F2364">
      <w:pPr>
        <w:keepNext w:val="0"/>
        <w:keepLines w:val="0"/>
        <w:pageBreakBefore w:val="0"/>
        <w:widowControl w:val="0"/>
        <w:kinsoku/>
        <w:wordWrap/>
        <w:overflowPunct/>
        <w:topLinePunct w:val="0"/>
        <w:autoSpaceDE/>
        <w:autoSpaceDN/>
        <w:bidi w:val="0"/>
        <w:spacing w:line="360" w:lineRule="auto"/>
        <w:ind w:firstLine="472" w:firstLineChars="196"/>
        <w:textAlignment w:val="auto"/>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3.6报价评审。</w:t>
      </w:r>
    </w:p>
    <w:p w14:paraId="07D9C430">
      <w:pPr>
        <w:pStyle w:val="132"/>
        <w:keepNext w:val="0"/>
        <w:keepLines w:val="0"/>
        <w:pageBreakBefore w:val="0"/>
        <w:widowControl w:val="0"/>
        <w:kinsoku/>
        <w:wordWrap/>
        <w:overflowPunct/>
        <w:topLinePunct w:val="0"/>
        <w:autoSpaceDE/>
        <w:autoSpaceDN/>
        <w:bidi w:val="0"/>
        <w:spacing w:before="0" w:line="360" w:lineRule="auto"/>
        <w:ind w:firstLine="508" w:firstLineChars="212"/>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3.6.1响应文件报价出现前后不一致的，按照下列规定修正：</w:t>
      </w:r>
    </w:p>
    <w:p w14:paraId="4625EDC5">
      <w:pPr>
        <w:pStyle w:val="132"/>
        <w:keepNext w:val="0"/>
        <w:keepLines w:val="0"/>
        <w:pageBreakBefore w:val="0"/>
        <w:widowControl w:val="0"/>
        <w:kinsoku/>
        <w:wordWrap/>
        <w:overflowPunct/>
        <w:topLinePunct w:val="0"/>
        <w:autoSpaceDE/>
        <w:autoSpaceDN/>
        <w:bidi w:val="0"/>
        <w:spacing w:before="0" w:line="360" w:lineRule="auto"/>
        <w:ind w:firstLine="48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3.6.1.1响应文件中已标价工程量清单内容与响应文件中相应内容不一致的，以已标价工程量清单为准；</w:t>
      </w:r>
    </w:p>
    <w:p w14:paraId="446DA2F6">
      <w:pPr>
        <w:pStyle w:val="132"/>
        <w:keepNext w:val="0"/>
        <w:keepLines w:val="0"/>
        <w:pageBreakBefore w:val="0"/>
        <w:widowControl w:val="0"/>
        <w:kinsoku/>
        <w:wordWrap/>
        <w:overflowPunct/>
        <w:topLinePunct w:val="0"/>
        <w:autoSpaceDE/>
        <w:autoSpaceDN/>
        <w:bidi w:val="0"/>
        <w:spacing w:before="0" w:line="360" w:lineRule="auto"/>
        <w:ind w:firstLine="48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3.6.1.2大写金额和小写金额不一致的，以大写金额为准；</w:t>
      </w:r>
    </w:p>
    <w:p w14:paraId="1DE01BA3">
      <w:pPr>
        <w:pStyle w:val="132"/>
        <w:keepNext w:val="0"/>
        <w:keepLines w:val="0"/>
        <w:pageBreakBefore w:val="0"/>
        <w:widowControl w:val="0"/>
        <w:kinsoku/>
        <w:wordWrap/>
        <w:overflowPunct/>
        <w:topLinePunct w:val="0"/>
        <w:autoSpaceDE/>
        <w:autoSpaceDN/>
        <w:bidi w:val="0"/>
        <w:spacing w:before="0" w:line="360" w:lineRule="auto"/>
        <w:ind w:firstLine="48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3.6.1.3单价金额小数点或者百分比有明显错位的，以已标价工程量清单的总价为准，并修改单价；</w:t>
      </w:r>
    </w:p>
    <w:p w14:paraId="6FA6987D">
      <w:pPr>
        <w:pStyle w:val="132"/>
        <w:keepNext w:val="0"/>
        <w:keepLines w:val="0"/>
        <w:pageBreakBefore w:val="0"/>
        <w:widowControl w:val="0"/>
        <w:kinsoku/>
        <w:wordWrap/>
        <w:overflowPunct/>
        <w:topLinePunct w:val="0"/>
        <w:autoSpaceDE/>
        <w:autoSpaceDN/>
        <w:bidi w:val="0"/>
        <w:spacing w:before="0" w:line="360" w:lineRule="auto"/>
        <w:ind w:firstLine="48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3.6.1.4总价金额与按单价汇总金额不一致的，以单价金额计算结果为准。</w:t>
      </w:r>
    </w:p>
    <w:p w14:paraId="3E35058E">
      <w:pPr>
        <w:pStyle w:val="132"/>
        <w:keepNext w:val="0"/>
        <w:keepLines w:val="0"/>
        <w:pageBreakBefore w:val="0"/>
        <w:widowControl w:val="0"/>
        <w:kinsoku/>
        <w:wordWrap/>
        <w:overflowPunct/>
        <w:topLinePunct w:val="0"/>
        <w:autoSpaceDE/>
        <w:autoSpaceDN/>
        <w:bidi w:val="0"/>
        <w:spacing w:before="0" w:line="360" w:lineRule="auto"/>
        <w:ind w:firstLine="48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3.6.1.5同时出现两种以上不一致的，按照3.6.1规定的顺序修正。修正后的报价经供应商确认后产生约束力。</w:t>
      </w:r>
    </w:p>
    <w:p w14:paraId="22F18543">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3.6.2响应文件出现不是唯一的、有选择性最后报价的，响应文件无效。</w:t>
      </w:r>
    </w:p>
    <w:p w14:paraId="086AD9B4">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3.6.3最后报价超过采购文件中规定的预算金额或者最高限价的，响应文件无效。</w:t>
      </w:r>
    </w:p>
    <w:p w14:paraId="770C159B">
      <w:pPr>
        <w:pStyle w:val="132"/>
        <w:keepNext w:val="0"/>
        <w:keepLines w:val="0"/>
        <w:pageBreakBefore w:val="0"/>
        <w:widowControl w:val="0"/>
        <w:kinsoku/>
        <w:wordWrap/>
        <w:overflowPunct/>
        <w:topLinePunct w:val="0"/>
        <w:autoSpaceDE/>
        <w:autoSpaceDN/>
        <w:bidi w:val="0"/>
        <w:spacing w:before="0" w:line="360" w:lineRule="auto"/>
        <w:ind w:firstLine="48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3.6.4对于未预留份额专门面向中小企业的</w:t>
      </w:r>
      <w:r>
        <w:rPr>
          <w:rFonts w:hint="eastAsia" w:ascii="宋体" w:hAnsi="宋体" w:cs="宋体"/>
          <w:color w:val="auto"/>
          <w:kern w:val="0"/>
          <w:sz w:val="24"/>
          <w:szCs w:val="24"/>
          <w:highlight w:val="none"/>
          <w:lang w:eastAsia="zh-CN"/>
        </w:rPr>
        <w:t>采购</w:t>
      </w:r>
      <w:r>
        <w:rPr>
          <w:rFonts w:hint="eastAsia" w:ascii="宋体" w:hAnsi="宋体" w:cs="宋体"/>
          <w:color w:val="auto"/>
          <w:kern w:val="0"/>
          <w:sz w:val="24"/>
          <w:szCs w:val="24"/>
          <w:highlight w:val="none"/>
        </w:rPr>
        <w:t>工程项目，以及预留份额</w:t>
      </w:r>
      <w:r>
        <w:rPr>
          <w:rFonts w:hint="eastAsia" w:ascii="宋体" w:hAnsi="宋体" w:cs="宋体"/>
          <w:color w:val="auto"/>
          <w:kern w:val="0"/>
          <w:sz w:val="24"/>
          <w:szCs w:val="24"/>
          <w:highlight w:val="none"/>
          <w:lang w:eastAsia="zh-CN"/>
        </w:rPr>
        <w:t>采购</w:t>
      </w:r>
      <w:r>
        <w:rPr>
          <w:rFonts w:hint="eastAsia" w:ascii="宋体" w:hAnsi="宋体" w:cs="宋体"/>
          <w:color w:val="auto"/>
          <w:kern w:val="0"/>
          <w:sz w:val="24"/>
          <w:szCs w:val="24"/>
          <w:highlight w:val="none"/>
        </w:rPr>
        <w:t>工程项目中的非预留部分标项，对小型和微型企业的最后报价给予5%的扣除，用扣除后的价格参与评审。接受大中型企业与小微企业组成联合体或者允许大中型企业向一家或者多家小微企业分包的</w:t>
      </w:r>
      <w:r>
        <w:rPr>
          <w:rFonts w:hint="eastAsia" w:ascii="宋体" w:hAnsi="宋体" w:cs="宋体"/>
          <w:color w:val="auto"/>
          <w:kern w:val="0"/>
          <w:sz w:val="24"/>
          <w:szCs w:val="24"/>
          <w:highlight w:val="none"/>
          <w:lang w:eastAsia="zh-CN"/>
        </w:rPr>
        <w:t>采购</w:t>
      </w:r>
      <w:r>
        <w:rPr>
          <w:rFonts w:hint="eastAsia" w:ascii="宋体" w:hAnsi="宋体" w:cs="宋体"/>
          <w:color w:val="auto"/>
          <w:kern w:val="0"/>
          <w:sz w:val="24"/>
          <w:szCs w:val="24"/>
          <w:highlight w:val="none"/>
        </w:rPr>
        <w:t>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5B172DDE">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3.7排序与推荐。</w:t>
      </w:r>
      <w:r>
        <w:rPr>
          <w:rFonts w:hint="eastAsia" w:ascii="宋体" w:hAnsi="宋体" w:cs="宋体"/>
          <w:color w:val="auto"/>
          <w:kern w:val="0"/>
          <w:sz w:val="24"/>
          <w:szCs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及以上成交候选供应商</w:t>
      </w:r>
    </w:p>
    <w:p w14:paraId="3AD5549C">
      <w:pPr>
        <w:keepNext w:val="0"/>
        <w:keepLines w:val="0"/>
        <w:pageBreakBefore w:val="0"/>
        <w:widowControl w:val="0"/>
        <w:kinsoku/>
        <w:wordWrap/>
        <w:overflowPunct/>
        <w:topLinePunct w:val="0"/>
        <w:autoSpaceDE/>
        <w:autoSpaceDN/>
        <w:bidi w:val="0"/>
        <w:spacing w:line="360" w:lineRule="auto"/>
        <w:ind w:firstLine="472" w:firstLineChars="196"/>
        <w:textAlignment w:val="auto"/>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3.8编写评审报告。</w:t>
      </w:r>
      <w:r>
        <w:rPr>
          <w:rFonts w:hint="eastAsia" w:ascii="宋体" w:hAnsi="宋体" w:cs="宋体"/>
          <w:color w:val="auto"/>
          <w:kern w:val="0"/>
          <w:sz w:val="24"/>
          <w:szCs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0C25A188">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四、评审中的其他事项</w:t>
      </w:r>
    </w:p>
    <w:p w14:paraId="02C7EC5F">
      <w:pPr>
        <w:pStyle w:val="132"/>
        <w:keepNext w:val="0"/>
        <w:keepLines w:val="0"/>
        <w:pageBreakBefore w:val="0"/>
        <w:widowControl w:val="0"/>
        <w:kinsoku/>
        <w:wordWrap/>
        <w:overflowPunct/>
        <w:topLinePunct w:val="0"/>
        <w:autoSpaceDE/>
        <w:autoSpaceDN/>
        <w:bidi w:val="0"/>
        <w:spacing w:before="0" w:line="360" w:lineRule="auto"/>
        <w:ind w:firstLine="472" w:firstLineChars="196"/>
        <w:textAlignment w:val="auto"/>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4.1供应商澄清、说明或者补正。</w:t>
      </w:r>
      <w:r>
        <w:rPr>
          <w:rFonts w:hint="eastAsia" w:ascii="宋体" w:hAnsi="宋体" w:cs="宋体"/>
          <w:color w:val="auto"/>
          <w:kern w:val="0"/>
          <w:sz w:val="24"/>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702D66DF">
      <w:pPr>
        <w:pStyle w:val="24"/>
        <w:keepNext w:val="0"/>
        <w:keepLines w:val="0"/>
        <w:pageBreakBefore w:val="0"/>
        <w:widowControl w:val="0"/>
        <w:kinsoku/>
        <w:wordWrap/>
        <w:overflowPunct/>
        <w:topLinePunct w:val="0"/>
        <w:autoSpaceDE/>
        <w:autoSpaceDN/>
        <w:bidi w:val="0"/>
        <w:spacing w:line="360" w:lineRule="auto"/>
        <w:ind w:left="954" w:leftChars="226" w:hanging="479" w:firstLineChars="0"/>
        <w:textAlignment w:val="auto"/>
        <w:rPr>
          <w:rFonts w:cs="宋体"/>
          <w:color w:val="auto"/>
          <w:sz w:val="24"/>
          <w:szCs w:val="24"/>
          <w:highlight w:val="none"/>
        </w:rPr>
      </w:pPr>
      <w:r>
        <w:rPr>
          <w:rFonts w:hint="eastAsia" w:cs="宋体"/>
          <w:b/>
          <w:color w:val="auto"/>
          <w:kern w:val="0"/>
          <w:sz w:val="24"/>
          <w:szCs w:val="24"/>
          <w:highlight w:val="none"/>
        </w:rPr>
        <w:t>4.2响应文件无效。</w:t>
      </w:r>
      <w:r>
        <w:rPr>
          <w:rFonts w:hint="eastAsia" w:cs="宋体"/>
          <w:color w:val="auto"/>
          <w:sz w:val="24"/>
          <w:szCs w:val="24"/>
          <w:highlight w:val="none"/>
        </w:rPr>
        <w:t>有下列情形之一的，响应文件无效：</w:t>
      </w:r>
    </w:p>
    <w:p w14:paraId="2F830FB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4.2.1供应商不具备采购文件中规定的资格要求的（供应商未提供有效的资格文件的，视为供应商不具备采购文件中规定的资格要求）；</w:t>
      </w:r>
    </w:p>
    <w:p w14:paraId="3554309F">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4.2.2响应文件未按照采购文件要求签署、盖章的；</w:t>
      </w:r>
    </w:p>
    <w:p w14:paraId="74D8BA3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4.2.3采购人拟采购的产品属于政府强制采购的节能产品品目清单范围的，供应商未按采购文件要求提供国家确定的认证机构出具的、处于有效期之内的节能产品认证证书的；</w:t>
      </w:r>
    </w:p>
    <w:p w14:paraId="60B9782A">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4.2.4响应文件含有采购人不能接受的附加条件的；</w:t>
      </w:r>
    </w:p>
    <w:p w14:paraId="2D3BBB02">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4.2.5响应文件中承诺的响应文件有效期少于采购文件中载明的响应文件有效期的；</w:t>
      </w:r>
    </w:p>
    <w:p w14:paraId="0582BBB2">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4.2.6响应文件出现不是唯一的、有选择性最后报价的；</w:t>
      </w:r>
    </w:p>
    <w:p w14:paraId="17664C9E">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4.2.7最后报价超过采购文件中规定的预算金额或者最高限价的；</w:t>
      </w:r>
    </w:p>
    <w:p w14:paraId="2B972BA9">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4.2.8报价明显低于其他通过符合性审查供应商的报价，有可能影响产品质量或者不能诚信履约的，未能按要求提供书面说明或者提交相关证明材料，不能证明其报价合理性的；</w:t>
      </w:r>
    </w:p>
    <w:p w14:paraId="45B333CC">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4.2.9供应商对根据修正原则修正后的报价不确认的；</w:t>
      </w:r>
    </w:p>
    <w:p w14:paraId="592D0844">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4.2.10供应商提供虚假材料响应的；</w:t>
      </w:r>
    </w:p>
    <w:p w14:paraId="2EC76B8E">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4.2.11供应商有恶意串通、妨碍其他供应商的竞争行为、损害采购人或者其他供应商的合法权益情形的；</w:t>
      </w:r>
    </w:p>
    <w:p w14:paraId="6D190730">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4.2.12供应商仅提交备份响应文件，未在电子交易平台传输递交响应文件的，响应文件无效；</w:t>
      </w:r>
    </w:p>
    <w:p w14:paraId="27A193F4">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4.2.13 响应文件不满足采购文件的其它实质性要求的；</w:t>
      </w:r>
    </w:p>
    <w:p w14:paraId="138AF063">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4.2.14法律、法规、规章（适用本市的）及省级以上规范性文件（适用本市的）规定的其他无效情形。</w:t>
      </w:r>
    </w:p>
    <w:p w14:paraId="492C61D7">
      <w:pPr>
        <w:pStyle w:val="24"/>
        <w:keepNext w:val="0"/>
        <w:keepLines w:val="0"/>
        <w:pageBreakBefore w:val="0"/>
        <w:widowControl w:val="0"/>
        <w:kinsoku/>
        <w:wordWrap/>
        <w:overflowPunct/>
        <w:topLinePunct w:val="0"/>
        <w:autoSpaceDE/>
        <w:autoSpaceDN/>
        <w:bidi w:val="0"/>
        <w:snapToGrid w:val="0"/>
        <w:spacing w:line="360" w:lineRule="auto"/>
        <w:ind w:firstLine="472" w:firstLineChars="196"/>
        <w:textAlignment w:val="auto"/>
        <w:rPr>
          <w:rFonts w:cs="宋体"/>
          <w:color w:val="auto"/>
          <w:sz w:val="24"/>
          <w:szCs w:val="24"/>
          <w:highlight w:val="none"/>
        </w:rPr>
      </w:pPr>
      <w:r>
        <w:rPr>
          <w:rFonts w:hint="eastAsia" w:cs="宋体"/>
          <w:b/>
          <w:color w:val="auto"/>
          <w:sz w:val="24"/>
          <w:szCs w:val="24"/>
          <w:highlight w:val="none"/>
        </w:rPr>
        <w:t>5.终止竞争性磋商采购活动。</w:t>
      </w:r>
      <w:r>
        <w:rPr>
          <w:rFonts w:hint="eastAsia" w:cs="宋体"/>
          <w:color w:val="auto"/>
          <w:sz w:val="24"/>
          <w:szCs w:val="24"/>
          <w:highlight w:val="none"/>
        </w:rPr>
        <w:t>出现下列情形之一的，采购人或者采购代理机构应当终止竞争性磋商采购活动，发布项目终止公告并说明原因，重新开展采购活动：</w:t>
      </w:r>
    </w:p>
    <w:p w14:paraId="30608734">
      <w:pPr>
        <w:pStyle w:val="24"/>
        <w:keepNext w:val="0"/>
        <w:keepLines w:val="0"/>
        <w:pageBreakBefore w:val="0"/>
        <w:widowControl w:val="0"/>
        <w:kinsoku/>
        <w:wordWrap/>
        <w:overflowPunct/>
        <w:topLinePunct w:val="0"/>
        <w:autoSpaceDE/>
        <w:autoSpaceDN/>
        <w:bidi w:val="0"/>
        <w:snapToGrid w:val="0"/>
        <w:spacing w:line="360" w:lineRule="auto"/>
        <w:textAlignment w:val="auto"/>
        <w:rPr>
          <w:rFonts w:cs="宋体"/>
          <w:color w:val="auto"/>
          <w:sz w:val="24"/>
          <w:szCs w:val="24"/>
          <w:highlight w:val="none"/>
        </w:rPr>
      </w:pPr>
      <w:r>
        <w:rPr>
          <w:rFonts w:hint="eastAsia" w:cs="宋体"/>
          <w:color w:val="auto"/>
          <w:sz w:val="24"/>
          <w:szCs w:val="24"/>
          <w:highlight w:val="none"/>
        </w:rPr>
        <w:t>5.1因情况变化，不再符合规定的竞争性磋商采购方式适用情形的；</w:t>
      </w:r>
    </w:p>
    <w:p w14:paraId="514D90AE">
      <w:pPr>
        <w:pStyle w:val="24"/>
        <w:keepNext w:val="0"/>
        <w:keepLines w:val="0"/>
        <w:pageBreakBefore w:val="0"/>
        <w:widowControl w:val="0"/>
        <w:kinsoku/>
        <w:wordWrap/>
        <w:overflowPunct/>
        <w:topLinePunct w:val="0"/>
        <w:autoSpaceDE/>
        <w:autoSpaceDN/>
        <w:bidi w:val="0"/>
        <w:snapToGrid w:val="0"/>
        <w:spacing w:line="360" w:lineRule="auto"/>
        <w:textAlignment w:val="auto"/>
        <w:rPr>
          <w:rFonts w:cs="宋体"/>
          <w:color w:val="auto"/>
          <w:sz w:val="24"/>
          <w:szCs w:val="24"/>
          <w:highlight w:val="none"/>
        </w:rPr>
      </w:pPr>
      <w:r>
        <w:rPr>
          <w:rFonts w:hint="eastAsia" w:cs="宋体"/>
          <w:color w:val="auto"/>
          <w:sz w:val="24"/>
          <w:szCs w:val="24"/>
          <w:highlight w:val="none"/>
        </w:rPr>
        <w:t>5.2出现影响采购公正的违法、违规行为的；</w:t>
      </w:r>
    </w:p>
    <w:p w14:paraId="6CB3D4BB">
      <w:pPr>
        <w:pStyle w:val="24"/>
        <w:keepNext w:val="0"/>
        <w:keepLines w:val="0"/>
        <w:pageBreakBefore w:val="0"/>
        <w:widowControl w:val="0"/>
        <w:kinsoku/>
        <w:wordWrap/>
        <w:overflowPunct/>
        <w:topLinePunct w:val="0"/>
        <w:autoSpaceDE/>
        <w:autoSpaceDN/>
        <w:bidi w:val="0"/>
        <w:snapToGrid w:val="0"/>
        <w:spacing w:line="360" w:lineRule="auto"/>
        <w:textAlignment w:val="auto"/>
        <w:rPr>
          <w:rFonts w:cs="宋体"/>
          <w:color w:val="auto"/>
          <w:sz w:val="24"/>
          <w:szCs w:val="24"/>
          <w:highlight w:val="none"/>
        </w:rPr>
      </w:pPr>
      <w:r>
        <w:rPr>
          <w:rFonts w:hint="eastAsia" w:cs="宋体"/>
          <w:color w:val="auto"/>
          <w:sz w:val="24"/>
          <w:szCs w:val="24"/>
          <w:highlight w:val="none"/>
        </w:rPr>
        <w:t>5.3除本办法第二十一条第三款规定的情形外，在采购过程中符合要求的供应商或者报价未超过采购预算的供应商不足3家的。</w:t>
      </w:r>
    </w:p>
    <w:p w14:paraId="3F597D30">
      <w:pPr>
        <w:pStyle w:val="24"/>
        <w:keepNext w:val="0"/>
        <w:keepLines w:val="0"/>
        <w:pageBreakBefore w:val="0"/>
        <w:widowControl w:val="0"/>
        <w:kinsoku/>
        <w:wordWrap/>
        <w:overflowPunct/>
        <w:topLinePunct w:val="0"/>
        <w:autoSpaceDE/>
        <w:autoSpaceDN/>
        <w:bidi w:val="0"/>
        <w:snapToGrid w:val="0"/>
        <w:spacing w:line="360" w:lineRule="auto"/>
        <w:textAlignment w:val="auto"/>
        <w:rPr>
          <w:rFonts w:cs="宋体"/>
          <w:color w:val="auto"/>
          <w:sz w:val="24"/>
          <w:szCs w:val="24"/>
          <w:highlight w:val="none"/>
        </w:rPr>
      </w:pPr>
      <w:r>
        <w:rPr>
          <w:rFonts w:hint="eastAsia" w:cs="宋体"/>
          <w:color w:val="auto"/>
          <w:sz w:val="24"/>
          <w:szCs w:val="24"/>
          <w:highlight w:val="none"/>
        </w:rPr>
        <w:t>5.4在采购活动中因重大变故，采购任务取消的，采购人或者采购代理机构应当终止采购活动，通知所有参加采购活动的供应商，并将项目实施情况和采购任务取消原因报送本级财政部门。</w:t>
      </w:r>
    </w:p>
    <w:p w14:paraId="4164E280">
      <w:pPr>
        <w:pStyle w:val="24"/>
        <w:keepNext w:val="0"/>
        <w:keepLines w:val="0"/>
        <w:pageBreakBefore w:val="0"/>
        <w:widowControl w:val="0"/>
        <w:kinsoku/>
        <w:wordWrap/>
        <w:overflowPunct/>
        <w:topLinePunct w:val="0"/>
        <w:autoSpaceDE/>
        <w:autoSpaceDN/>
        <w:bidi w:val="0"/>
        <w:snapToGrid w:val="0"/>
        <w:spacing w:line="360" w:lineRule="auto"/>
        <w:ind w:firstLine="482"/>
        <w:textAlignment w:val="auto"/>
        <w:rPr>
          <w:rFonts w:cs="宋体"/>
          <w:color w:val="auto"/>
          <w:sz w:val="24"/>
          <w:szCs w:val="24"/>
          <w:highlight w:val="none"/>
        </w:rPr>
      </w:pPr>
      <w:r>
        <w:rPr>
          <w:rFonts w:hint="eastAsia" w:cs="宋体"/>
          <w:b/>
          <w:color w:val="auto"/>
          <w:kern w:val="0"/>
          <w:sz w:val="24"/>
          <w:szCs w:val="24"/>
          <w:highlight w:val="none"/>
        </w:rPr>
        <w:t>6.重新开展采购。</w:t>
      </w:r>
      <w:r>
        <w:rPr>
          <w:rFonts w:hint="eastAsia" w:cs="宋体"/>
          <w:color w:val="auto"/>
          <w:sz w:val="24"/>
          <w:szCs w:val="24"/>
          <w:highlight w:val="none"/>
        </w:rPr>
        <w:t>有</w:t>
      </w:r>
      <w:r>
        <w:rPr>
          <w:rFonts w:hint="eastAsia" w:cs="宋体"/>
          <w:color w:val="auto"/>
          <w:sz w:val="24"/>
          <w:szCs w:val="24"/>
          <w:highlight w:val="none"/>
          <w:lang w:val="en-US" w:eastAsia="zh-CN"/>
        </w:rPr>
        <w:t>以下</w:t>
      </w:r>
      <w:r>
        <w:rPr>
          <w:rFonts w:hint="eastAsia" w:cs="宋体"/>
          <w:color w:val="auto"/>
          <w:sz w:val="24"/>
          <w:szCs w:val="24"/>
          <w:highlight w:val="none"/>
        </w:rPr>
        <w:t>违法行为之一，影响或者可能影响成交结果的，依照下列规定处理：</w:t>
      </w:r>
    </w:p>
    <w:p w14:paraId="1886D931">
      <w:pPr>
        <w:pStyle w:val="24"/>
        <w:keepNext w:val="0"/>
        <w:keepLines w:val="0"/>
        <w:pageBreakBefore w:val="0"/>
        <w:widowControl w:val="0"/>
        <w:kinsoku/>
        <w:wordWrap/>
        <w:overflowPunct/>
        <w:topLinePunct w:val="0"/>
        <w:autoSpaceDE/>
        <w:autoSpaceDN/>
        <w:bidi w:val="0"/>
        <w:snapToGrid w:val="0"/>
        <w:spacing w:line="360" w:lineRule="auto"/>
        <w:textAlignment w:val="auto"/>
        <w:rPr>
          <w:rFonts w:cs="宋体"/>
          <w:color w:val="auto"/>
          <w:sz w:val="24"/>
          <w:szCs w:val="24"/>
          <w:highlight w:val="none"/>
        </w:rPr>
      </w:pPr>
      <w:r>
        <w:rPr>
          <w:rFonts w:hint="eastAsia" w:cs="宋体"/>
          <w:color w:val="auto"/>
          <w:sz w:val="24"/>
          <w:szCs w:val="24"/>
          <w:highlight w:val="none"/>
        </w:rPr>
        <w:t>6.1未确定成交供应商的，终止本次</w:t>
      </w:r>
      <w:r>
        <w:rPr>
          <w:rFonts w:hint="eastAsia" w:cs="宋体"/>
          <w:color w:val="auto"/>
          <w:sz w:val="24"/>
          <w:szCs w:val="24"/>
          <w:highlight w:val="none"/>
          <w:lang w:eastAsia="zh-CN"/>
        </w:rPr>
        <w:t>采购</w:t>
      </w:r>
      <w:r>
        <w:rPr>
          <w:rFonts w:hint="eastAsia" w:cs="宋体"/>
          <w:color w:val="auto"/>
          <w:sz w:val="24"/>
          <w:szCs w:val="24"/>
          <w:highlight w:val="none"/>
        </w:rPr>
        <w:t>活动，重新开展</w:t>
      </w:r>
      <w:r>
        <w:rPr>
          <w:rFonts w:hint="eastAsia" w:cs="宋体"/>
          <w:color w:val="auto"/>
          <w:sz w:val="24"/>
          <w:szCs w:val="24"/>
          <w:highlight w:val="none"/>
          <w:lang w:eastAsia="zh-CN"/>
        </w:rPr>
        <w:t>采购</w:t>
      </w:r>
      <w:r>
        <w:rPr>
          <w:rFonts w:hint="eastAsia" w:cs="宋体"/>
          <w:color w:val="auto"/>
          <w:sz w:val="24"/>
          <w:szCs w:val="24"/>
          <w:highlight w:val="none"/>
        </w:rPr>
        <w:t>活动。</w:t>
      </w:r>
    </w:p>
    <w:p w14:paraId="64EC94CB">
      <w:pPr>
        <w:pStyle w:val="24"/>
        <w:keepNext w:val="0"/>
        <w:keepLines w:val="0"/>
        <w:pageBreakBefore w:val="0"/>
        <w:widowControl w:val="0"/>
        <w:kinsoku/>
        <w:wordWrap/>
        <w:overflowPunct/>
        <w:topLinePunct w:val="0"/>
        <w:autoSpaceDE/>
        <w:autoSpaceDN/>
        <w:bidi w:val="0"/>
        <w:snapToGrid w:val="0"/>
        <w:spacing w:line="360" w:lineRule="auto"/>
        <w:textAlignment w:val="auto"/>
        <w:rPr>
          <w:rFonts w:cs="宋体"/>
          <w:color w:val="auto"/>
          <w:sz w:val="24"/>
          <w:szCs w:val="24"/>
          <w:highlight w:val="none"/>
        </w:rPr>
      </w:pPr>
      <w:r>
        <w:rPr>
          <w:rFonts w:hint="eastAsia" w:cs="宋体"/>
          <w:color w:val="auto"/>
          <w:sz w:val="24"/>
          <w:szCs w:val="24"/>
          <w:highlight w:val="none"/>
        </w:rPr>
        <w:t>6.2已确定成交供应商但尚未签订</w:t>
      </w:r>
      <w:r>
        <w:rPr>
          <w:rFonts w:hint="eastAsia" w:cs="宋体"/>
          <w:color w:val="auto"/>
          <w:sz w:val="24"/>
          <w:szCs w:val="24"/>
          <w:highlight w:val="none"/>
          <w:lang w:eastAsia="zh-CN"/>
        </w:rPr>
        <w:t>采购</w:t>
      </w:r>
      <w:r>
        <w:rPr>
          <w:rFonts w:hint="eastAsia" w:cs="宋体"/>
          <w:color w:val="auto"/>
          <w:sz w:val="24"/>
          <w:szCs w:val="24"/>
          <w:highlight w:val="none"/>
        </w:rPr>
        <w:t>合同的，成交结果无效，从合格的成交候选供应商中另行确定成交供应商；没有合格的成交候选供应商的，重新开展</w:t>
      </w:r>
      <w:r>
        <w:rPr>
          <w:rFonts w:hint="eastAsia" w:cs="宋体"/>
          <w:color w:val="auto"/>
          <w:sz w:val="24"/>
          <w:szCs w:val="24"/>
          <w:highlight w:val="none"/>
          <w:lang w:eastAsia="zh-CN"/>
        </w:rPr>
        <w:t>采购</w:t>
      </w:r>
      <w:r>
        <w:rPr>
          <w:rFonts w:hint="eastAsia" w:cs="宋体"/>
          <w:color w:val="auto"/>
          <w:sz w:val="24"/>
          <w:szCs w:val="24"/>
          <w:highlight w:val="none"/>
        </w:rPr>
        <w:t>活动。</w:t>
      </w:r>
    </w:p>
    <w:p w14:paraId="638BB075">
      <w:pPr>
        <w:pStyle w:val="24"/>
        <w:keepNext w:val="0"/>
        <w:keepLines w:val="0"/>
        <w:pageBreakBefore w:val="0"/>
        <w:widowControl w:val="0"/>
        <w:kinsoku/>
        <w:wordWrap/>
        <w:overflowPunct/>
        <w:topLinePunct w:val="0"/>
        <w:autoSpaceDE/>
        <w:autoSpaceDN/>
        <w:bidi w:val="0"/>
        <w:snapToGrid w:val="0"/>
        <w:spacing w:line="360" w:lineRule="auto"/>
        <w:textAlignment w:val="auto"/>
        <w:rPr>
          <w:rFonts w:cs="宋体"/>
          <w:color w:val="auto"/>
          <w:sz w:val="24"/>
          <w:szCs w:val="24"/>
          <w:highlight w:val="none"/>
        </w:rPr>
      </w:pPr>
      <w:r>
        <w:rPr>
          <w:rFonts w:hint="eastAsia" w:cs="宋体"/>
          <w:color w:val="auto"/>
          <w:sz w:val="24"/>
          <w:szCs w:val="24"/>
          <w:highlight w:val="none"/>
        </w:rPr>
        <w:t>6.3</w:t>
      </w:r>
      <w:r>
        <w:rPr>
          <w:rFonts w:hint="eastAsia" w:cs="宋体"/>
          <w:color w:val="auto"/>
          <w:sz w:val="24"/>
          <w:szCs w:val="24"/>
          <w:highlight w:val="none"/>
          <w:lang w:eastAsia="zh-CN"/>
        </w:rPr>
        <w:t>采购</w:t>
      </w:r>
      <w:r>
        <w:rPr>
          <w:rFonts w:hint="eastAsia" w:cs="宋体"/>
          <w:color w:val="auto"/>
          <w:sz w:val="24"/>
          <w:szCs w:val="24"/>
          <w:highlight w:val="none"/>
        </w:rPr>
        <w:t>合同已签订但尚未履行的，撤销合同，从合格的成交候选供应商中另行确定成交供应商；没有合格的成交候选供应商的，重新开展</w:t>
      </w:r>
      <w:r>
        <w:rPr>
          <w:rFonts w:hint="eastAsia" w:cs="宋体"/>
          <w:color w:val="auto"/>
          <w:sz w:val="24"/>
          <w:szCs w:val="24"/>
          <w:highlight w:val="none"/>
          <w:lang w:eastAsia="zh-CN"/>
        </w:rPr>
        <w:t>采购</w:t>
      </w:r>
      <w:r>
        <w:rPr>
          <w:rFonts w:hint="eastAsia" w:cs="宋体"/>
          <w:color w:val="auto"/>
          <w:sz w:val="24"/>
          <w:szCs w:val="24"/>
          <w:highlight w:val="none"/>
        </w:rPr>
        <w:t>活动。</w:t>
      </w:r>
    </w:p>
    <w:p w14:paraId="3587CE6A">
      <w:pPr>
        <w:pStyle w:val="24"/>
        <w:keepNext w:val="0"/>
        <w:keepLines w:val="0"/>
        <w:pageBreakBefore w:val="0"/>
        <w:widowControl w:val="0"/>
        <w:kinsoku/>
        <w:wordWrap/>
        <w:overflowPunct/>
        <w:topLinePunct w:val="0"/>
        <w:autoSpaceDE/>
        <w:autoSpaceDN/>
        <w:bidi w:val="0"/>
        <w:snapToGrid w:val="0"/>
        <w:spacing w:line="360" w:lineRule="auto"/>
        <w:textAlignment w:val="auto"/>
        <w:rPr>
          <w:rFonts w:cs="宋体"/>
          <w:color w:val="auto"/>
          <w:sz w:val="24"/>
          <w:szCs w:val="24"/>
          <w:highlight w:val="none"/>
        </w:rPr>
      </w:pPr>
      <w:r>
        <w:rPr>
          <w:rFonts w:hint="eastAsia" w:cs="宋体"/>
          <w:color w:val="auto"/>
          <w:sz w:val="24"/>
          <w:szCs w:val="24"/>
          <w:highlight w:val="none"/>
        </w:rPr>
        <w:t>6.4</w:t>
      </w:r>
      <w:r>
        <w:rPr>
          <w:rFonts w:hint="eastAsia" w:cs="宋体"/>
          <w:color w:val="auto"/>
          <w:sz w:val="24"/>
          <w:szCs w:val="24"/>
          <w:highlight w:val="none"/>
          <w:lang w:eastAsia="zh-CN"/>
        </w:rPr>
        <w:t>采购</w:t>
      </w:r>
      <w:r>
        <w:rPr>
          <w:rFonts w:hint="eastAsia" w:cs="宋体"/>
          <w:color w:val="auto"/>
          <w:sz w:val="24"/>
          <w:szCs w:val="24"/>
          <w:highlight w:val="none"/>
        </w:rPr>
        <w:t>合同已经履行，给采购人、供应商造成损失的，由责任人承担赔偿责任。</w:t>
      </w:r>
    </w:p>
    <w:p w14:paraId="0C7BBA3B">
      <w:pPr>
        <w:pStyle w:val="24"/>
        <w:keepNext w:val="0"/>
        <w:keepLines w:val="0"/>
        <w:pageBreakBefore w:val="0"/>
        <w:widowControl w:val="0"/>
        <w:kinsoku/>
        <w:wordWrap/>
        <w:overflowPunct/>
        <w:topLinePunct w:val="0"/>
        <w:autoSpaceDE/>
        <w:autoSpaceDN/>
        <w:bidi w:val="0"/>
        <w:snapToGrid w:val="0"/>
        <w:spacing w:line="360" w:lineRule="auto"/>
        <w:textAlignment w:val="auto"/>
        <w:rPr>
          <w:rFonts w:cs="宋体"/>
          <w:color w:val="auto"/>
          <w:sz w:val="24"/>
          <w:szCs w:val="24"/>
          <w:highlight w:val="none"/>
        </w:rPr>
      </w:pPr>
      <w:r>
        <w:rPr>
          <w:rFonts w:hint="eastAsia" w:cs="宋体"/>
          <w:color w:val="auto"/>
          <w:sz w:val="24"/>
          <w:szCs w:val="24"/>
          <w:highlight w:val="none"/>
        </w:rPr>
        <w:t>6.5</w:t>
      </w:r>
      <w:r>
        <w:rPr>
          <w:rFonts w:hint="eastAsia" w:cs="宋体"/>
          <w:color w:val="auto"/>
          <w:sz w:val="24"/>
          <w:szCs w:val="24"/>
          <w:highlight w:val="none"/>
          <w:lang w:eastAsia="zh-CN"/>
        </w:rPr>
        <w:t>采购</w:t>
      </w:r>
      <w:r>
        <w:rPr>
          <w:rFonts w:hint="eastAsia" w:cs="宋体"/>
          <w:color w:val="auto"/>
          <w:sz w:val="24"/>
          <w:szCs w:val="24"/>
          <w:highlight w:val="none"/>
        </w:rPr>
        <w:t>当事人有其他违反政府采购法或者政府采购法实施条例等法律法规规定的行为，经改正后仍然影响或者可能影响成交结果或者依法被认定为成交无效的，依照6.1-6.4规定处理。</w:t>
      </w:r>
    </w:p>
    <w:p w14:paraId="13D0839A">
      <w:pPr>
        <w:pStyle w:val="24"/>
        <w:snapToGrid w:val="0"/>
        <w:spacing w:line="360" w:lineRule="auto"/>
        <w:ind w:firstLine="0" w:firstLineChars="0"/>
        <w:rPr>
          <w:rFonts w:cs="宋体"/>
          <w:color w:val="auto"/>
          <w:highlight w:val="none"/>
        </w:rPr>
        <w:sectPr>
          <w:pgSz w:w="11907" w:h="16840"/>
          <w:pgMar w:top="1440" w:right="1417" w:bottom="1440" w:left="1417" w:header="851" w:footer="850" w:gutter="0"/>
          <w:cols w:space="0" w:num="1"/>
        </w:sectPr>
      </w:pPr>
    </w:p>
    <w:bookmarkEnd w:id="17"/>
    <w:p w14:paraId="6BC91766">
      <w:pPr>
        <w:spacing w:line="360" w:lineRule="auto"/>
        <w:jc w:val="center"/>
        <w:outlineLvl w:val="0"/>
        <w:rPr>
          <w:rFonts w:ascii="宋体" w:hAnsi="宋体" w:cs="宋体"/>
          <w:b/>
          <w:color w:val="auto"/>
          <w:sz w:val="36"/>
          <w:szCs w:val="36"/>
          <w:highlight w:val="none"/>
        </w:rPr>
      </w:pPr>
      <w:bookmarkStart w:id="383" w:name="第五部分"/>
      <w:bookmarkStart w:id="384" w:name="_Toc86217003"/>
      <w:r>
        <w:rPr>
          <w:rFonts w:hint="eastAsia" w:ascii="宋体" w:hAnsi="宋体" w:cs="宋体"/>
          <w:b/>
          <w:color w:val="auto"/>
          <w:sz w:val="36"/>
          <w:szCs w:val="36"/>
          <w:highlight w:val="none"/>
        </w:rPr>
        <w:t>第五部分 拟签订的合同文本</w:t>
      </w:r>
    </w:p>
    <w:p w14:paraId="4F41884E">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发包人：</w:t>
      </w:r>
      <w:r>
        <w:rPr>
          <w:rFonts w:hint="eastAsia" w:ascii="宋体" w:hAnsi="宋体" w:cs="宋体"/>
          <w:color w:val="auto"/>
          <w:sz w:val="24"/>
          <w:szCs w:val="24"/>
          <w:highlight w:val="none"/>
          <w:u w:val="single"/>
          <w:lang w:eastAsia="zh-CN"/>
        </w:rPr>
        <w:t>杭州高级中学钱塘学校</w:t>
      </w:r>
    </w:p>
    <w:p w14:paraId="105A2216">
      <w:pPr>
        <w:spacing w:line="360" w:lineRule="auto"/>
        <w:ind w:firstLine="480" w:firstLineChars="200"/>
        <w:jc w:val="left"/>
        <w:rPr>
          <w:rFonts w:hint="default"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lang w:val="en-US" w:eastAsia="zh-CN"/>
        </w:rPr>
        <w:t>承包人：</w:t>
      </w:r>
      <w:r>
        <w:rPr>
          <w:rFonts w:hint="eastAsia" w:ascii="宋体" w:hAnsi="宋体" w:cs="宋体"/>
          <w:color w:val="auto"/>
          <w:sz w:val="24"/>
          <w:szCs w:val="24"/>
          <w:highlight w:val="none"/>
          <w:u w:val="single"/>
          <w:lang w:val="en-US" w:eastAsia="zh-CN"/>
        </w:rPr>
        <w:t xml:space="preserve">                         </w:t>
      </w:r>
    </w:p>
    <w:p w14:paraId="37395012">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依据《中华人民共和国民法典》及有关的法律、法规规定，</w:t>
      </w:r>
      <w:r>
        <w:rPr>
          <w:rFonts w:hint="eastAsia" w:ascii="宋体" w:hAnsi="宋体" w:cs="宋体"/>
          <w:color w:val="auto"/>
          <w:sz w:val="24"/>
          <w:szCs w:val="24"/>
          <w:highlight w:val="none"/>
          <w:u w:val="single"/>
          <w:lang w:eastAsia="zh-CN"/>
        </w:rPr>
        <w:t>校舍外墙外立面维修</w:t>
      </w:r>
      <w:r>
        <w:rPr>
          <w:rFonts w:hint="eastAsia" w:ascii="宋体" w:hAnsi="宋体" w:cs="宋体"/>
          <w:color w:val="auto"/>
          <w:sz w:val="24"/>
          <w:szCs w:val="24"/>
          <w:highlight w:val="none"/>
        </w:rPr>
        <w:t>经竞争性磋商（项目编号：</w:t>
      </w:r>
      <w:r>
        <w:rPr>
          <w:rFonts w:hint="eastAsia" w:ascii="宋体" w:hAnsi="宋体" w:cs="宋体"/>
          <w:color w:val="auto"/>
          <w:sz w:val="24"/>
          <w:szCs w:val="24"/>
          <w:highlight w:val="none"/>
          <w:lang w:eastAsia="zh-CN"/>
        </w:rPr>
        <w:t>HGQT-2025-S01</w:t>
      </w:r>
      <w:r>
        <w:rPr>
          <w:rFonts w:hint="eastAsia" w:ascii="宋体" w:hAnsi="宋体" w:cs="宋体"/>
          <w:color w:val="auto"/>
          <w:sz w:val="24"/>
          <w:szCs w:val="24"/>
          <w:highlight w:val="none"/>
        </w:rPr>
        <w:t>），确定</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为施工单位。经双方协商，达成以下条款。具体如下：</w:t>
      </w:r>
    </w:p>
    <w:p w14:paraId="59637774">
      <w:pPr>
        <w:spacing w:line="360" w:lineRule="auto"/>
        <w:ind w:firstLine="482" w:firstLineChars="20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、工程概况</w:t>
      </w:r>
    </w:p>
    <w:p w14:paraId="0B800710">
      <w:pPr>
        <w:spacing w:line="360" w:lineRule="auto"/>
        <w:ind w:left="488" w:leftChars="228" w:right="-306" w:hanging="9" w:hangingChars="4"/>
        <w:rPr>
          <w:rFonts w:ascii="宋体" w:hAnsi="宋体"/>
          <w:color w:val="auto"/>
          <w:sz w:val="24"/>
          <w:highlight w:val="none"/>
          <w:u w:val="single"/>
        </w:rPr>
      </w:pPr>
      <w:r>
        <w:rPr>
          <w:rFonts w:hint="eastAsia" w:ascii="宋体" w:hAnsi="宋体"/>
          <w:color w:val="auto"/>
          <w:sz w:val="24"/>
          <w:highlight w:val="none"/>
        </w:rPr>
        <w:t>工程名称：</w:t>
      </w:r>
      <w:r>
        <w:rPr>
          <w:rFonts w:hint="eastAsia" w:ascii="宋体" w:hAnsi="宋体"/>
          <w:color w:val="auto"/>
          <w:sz w:val="24"/>
          <w:highlight w:val="none"/>
          <w:u w:val="single"/>
        </w:rPr>
        <w:t xml:space="preserve">                    </w:t>
      </w:r>
      <w:r>
        <w:rPr>
          <w:rFonts w:hint="eastAsia" w:ascii="宋体" w:hAnsi="宋体" w:cs="宋体"/>
          <w:color w:val="auto"/>
          <w:sz w:val="24"/>
          <w:szCs w:val="24"/>
          <w:highlight w:val="none"/>
        </w:rPr>
        <w:t>，</w:t>
      </w:r>
      <w:r>
        <w:rPr>
          <w:rFonts w:hint="eastAsia" w:ascii="宋体" w:hAnsi="宋体"/>
          <w:color w:val="auto"/>
          <w:sz w:val="24"/>
          <w:highlight w:val="none"/>
        </w:rPr>
        <w:t>地点：</w:t>
      </w:r>
      <w:r>
        <w:rPr>
          <w:rFonts w:hint="eastAsia" w:ascii="宋体" w:hAnsi="宋体"/>
          <w:color w:val="auto"/>
          <w:sz w:val="24"/>
          <w:highlight w:val="none"/>
          <w:u w:val="single"/>
        </w:rPr>
        <w:t xml:space="preserve">          </w:t>
      </w:r>
    </w:p>
    <w:p w14:paraId="56B87D25">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工程内容：</w:t>
      </w:r>
      <w:r>
        <w:rPr>
          <w:rFonts w:hint="eastAsia" w:ascii="宋体" w:hAnsi="宋体"/>
          <w:color w:val="auto"/>
          <w:sz w:val="24"/>
          <w:highlight w:val="none"/>
          <w:u w:val="single"/>
        </w:rPr>
        <w:t xml:space="preserve">                    </w:t>
      </w:r>
      <w:r>
        <w:rPr>
          <w:rFonts w:hint="eastAsia" w:ascii="宋体" w:hAnsi="宋体"/>
          <w:color w:val="auto"/>
          <w:sz w:val="24"/>
          <w:highlight w:val="none"/>
        </w:rPr>
        <w:t>，</w:t>
      </w:r>
      <w:r>
        <w:rPr>
          <w:rFonts w:hint="eastAsia" w:ascii="宋体" w:hAnsi="宋体"/>
          <w:color w:val="auto"/>
          <w:sz w:val="24"/>
          <w:highlight w:val="none"/>
          <w:u w:val="none"/>
        </w:rPr>
        <w:t>详见：</w:t>
      </w:r>
      <w:r>
        <w:rPr>
          <w:rFonts w:hint="eastAsia" w:ascii="宋体" w:hAnsi="宋体"/>
          <w:color w:val="auto"/>
          <w:sz w:val="24"/>
          <w:highlight w:val="none"/>
          <w:u w:val="single"/>
        </w:rPr>
        <w:t>招标文件。</w:t>
      </w:r>
    </w:p>
    <w:p w14:paraId="4FD1D49A">
      <w:pPr>
        <w:spacing w:line="360" w:lineRule="auto"/>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、合同价</w:t>
      </w:r>
    </w:p>
    <w:p w14:paraId="3DDEC328">
      <w:pPr>
        <w:spacing w:line="360" w:lineRule="auto"/>
        <w:ind w:right="-304" w:firstLine="470" w:firstLineChars="196"/>
        <w:rPr>
          <w:rFonts w:ascii="宋体" w:hAnsi="宋体"/>
          <w:color w:val="auto"/>
          <w:sz w:val="24"/>
          <w:highlight w:val="none"/>
        </w:rPr>
      </w:pPr>
      <w:r>
        <w:rPr>
          <w:rFonts w:hint="eastAsia" w:ascii="宋体" w:hAnsi="宋体"/>
          <w:color w:val="auto"/>
          <w:sz w:val="24"/>
          <w:highlight w:val="none"/>
        </w:rPr>
        <w:t>本工程合同价为人民币</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w:t>
      </w:r>
      <w:r>
        <w:rPr>
          <w:rFonts w:hint="default" w:ascii="Arial" w:hAnsi="Arial" w:cs="Arial"/>
          <w:b/>
          <w:color w:val="auto"/>
          <w:sz w:val="24"/>
          <w:highlight w:val="none"/>
        </w:rPr>
        <w:t>¥</w:t>
      </w:r>
      <w:r>
        <w:rPr>
          <w:rFonts w:hint="eastAsia" w:ascii="宋体" w:hAnsi="宋体"/>
          <w:b/>
          <w:color w:val="auto"/>
          <w:sz w:val="24"/>
          <w:highlight w:val="none"/>
          <w:u w:val="single"/>
          <w:lang w:val="en-US" w:eastAsia="zh-CN"/>
        </w:rPr>
        <w:t xml:space="preserve">      </w:t>
      </w:r>
      <w:r>
        <w:rPr>
          <w:rFonts w:hint="eastAsia" w:ascii="宋体" w:hAnsi="宋体"/>
          <w:color w:val="auto"/>
          <w:sz w:val="24"/>
          <w:highlight w:val="none"/>
        </w:rPr>
        <w:t>）。</w:t>
      </w:r>
    </w:p>
    <w:p w14:paraId="1DAEF76C">
      <w:pPr>
        <w:spacing w:line="360" w:lineRule="auto"/>
        <w:ind w:right="-304"/>
        <w:rPr>
          <w:rFonts w:ascii="宋体" w:hAnsi="宋体"/>
          <w:b/>
          <w:color w:val="auto"/>
          <w:sz w:val="24"/>
          <w:highlight w:val="none"/>
        </w:rPr>
      </w:pPr>
      <w:r>
        <w:rPr>
          <w:rFonts w:hint="eastAsia" w:ascii="宋体" w:hAnsi="宋体"/>
          <w:b/>
          <w:color w:val="auto"/>
          <w:sz w:val="24"/>
          <w:highlight w:val="none"/>
        </w:rPr>
        <w:t xml:space="preserve"> </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 xml:space="preserve"> 3、项目经理</w:t>
      </w:r>
    </w:p>
    <w:p w14:paraId="282209E3">
      <w:pPr>
        <w:spacing w:line="360" w:lineRule="auto"/>
        <w:ind w:right="-306" w:firstLine="470" w:firstLineChars="196"/>
        <w:rPr>
          <w:rFonts w:ascii="宋体" w:hAnsi="宋体"/>
          <w:color w:val="auto"/>
          <w:sz w:val="24"/>
          <w:highlight w:val="none"/>
          <w:u w:val="single"/>
        </w:rPr>
      </w:pPr>
      <w:r>
        <w:rPr>
          <w:rFonts w:hint="eastAsia" w:ascii="宋体" w:hAnsi="宋体"/>
          <w:color w:val="auto"/>
          <w:sz w:val="24"/>
          <w:highlight w:val="none"/>
        </w:rPr>
        <w:t>承包方的项目经理：</w:t>
      </w:r>
      <w:r>
        <w:rPr>
          <w:rFonts w:hint="eastAsia" w:ascii="宋体" w:hAnsi="宋体"/>
          <w:color w:val="auto"/>
          <w:sz w:val="24"/>
          <w:highlight w:val="none"/>
          <w:u w:val="single"/>
        </w:rPr>
        <w:t xml:space="preserve">           </w:t>
      </w:r>
      <w:r>
        <w:rPr>
          <w:rFonts w:hint="eastAsia" w:ascii="宋体" w:hAnsi="宋体"/>
          <w:color w:val="auto"/>
          <w:sz w:val="24"/>
          <w:highlight w:val="none"/>
          <w:u w:val="none"/>
        </w:rPr>
        <w:t>，</w:t>
      </w:r>
      <w:r>
        <w:rPr>
          <w:rFonts w:hint="eastAsia" w:ascii="宋体" w:hAnsi="宋体"/>
          <w:color w:val="auto"/>
          <w:sz w:val="24"/>
          <w:highlight w:val="none"/>
        </w:rPr>
        <w:t>执业证书</w:t>
      </w:r>
      <w:r>
        <w:rPr>
          <w:rFonts w:hint="eastAsia" w:ascii="宋体" w:hAnsi="宋体"/>
          <w:color w:val="auto"/>
          <w:sz w:val="24"/>
          <w:highlight w:val="none"/>
          <w:u w:val="none"/>
        </w:rPr>
        <w:t>：</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01645851">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本合同工程未经业主允许，不得分包和转包。本合同在实施中，如承包人的施工队伍素质、力量、机械配备不符合投标书的承诺，造成现场管理混乱，工程质量和进度明显达不到预定计划时，发包人有权要求其整改并充实施工力量，承包人必须接受，否则作违约处理，直至终止合同。</w:t>
      </w:r>
    </w:p>
    <w:p w14:paraId="04480BE0">
      <w:pPr>
        <w:spacing w:line="360" w:lineRule="auto"/>
        <w:ind w:right="-304" w:firstLine="472" w:firstLineChars="196"/>
        <w:rPr>
          <w:rFonts w:ascii="宋体" w:hAnsi="宋体"/>
          <w:b/>
          <w:color w:val="auto"/>
          <w:sz w:val="24"/>
          <w:highlight w:val="none"/>
        </w:rPr>
      </w:pPr>
      <w:r>
        <w:rPr>
          <w:rFonts w:ascii="宋体" w:hAnsi="宋体"/>
          <w:b/>
          <w:color w:val="auto"/>
          <w:sz w:val="24"/>
          <w:highlight w:val="none"/>
        </w:rPr>
        <w:t>4</w:t>
      </w:r>
      <w:r>
        <w:rPr>
          <w:rFonts w:hint="eastAsia" w:ascii="宋体" w:hAnsi="宋体"/>
          <w:b/>
          <w:color w:val="auto"/>
          <w:sz w:val="24"/>
          <w:highlight w:val="none"/>
        </w:rPr>
        <w:t>、承包方式</w:t>
      </w:r>
    </w:p>
    <w:p w14:paraId="5A75A724">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本合同价款</w:t>
      </w:r>
      <w:r>
        <w:rPr>
          <w:rFonts w:hint="eastAsia" w:ascii="宋体" w:hAnsi="宋体"/>
          <w:color w:val="auto"/>
          <w:sz w:val="24"/>
          <w:highlight w:val="none"/>
          <w:lang w:val="en-US" w:eastAsia="zh-CN"/>
        </w:rPr>
        <w:t>施工范围内</w:t>
      </w:r>
      <w:r>
        <w:rPr>
          <w:rFonts w:hint="eastAsia" w:ascii="宋体" w:hAnsi="宋体"/>
          <w:color w:val="auto"/>
          <w:sz w:val="24"/>
          <w:highlight w:val="none"/>
        </w:rPr>
        <w:t>采用总价包干法</w:t>
      </w:r>
      <w:r>
        <w:rPr>
          <w:rFonts w:ascii="宋体" w:hAnsi="宋体"/>
          <w:color w:val="auto"/>
          <w:sz w:val="24"/>
          <w:highlight w:val="none"/>
        </w:rPr>
        <w:t>。</w:t>
      </w:r>
    </w:p>
    <w:p w14:paraId="5147948D">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合同价款中包括的风险范围：除不可抗力外，其他因素均包括在风险因素之内。</w:t>
      </w:r>
    </w:p>
    <w:p w14:paraId="69E1F6C5">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施工中发包人需对原工程设计进行变更，应提前14天以书面形式向承包人发出变更通知。</w:t>
      </w:r>
    </w:p>
    <w:p w14:paraId="22825EE4">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所有变更需发包人和设计单位认可后方可组织施工，承包人可以根据本工程特点和现场实际情况提出合理化的变更申请，报监理（如有）、审计单位（如有）审核，并报发包人确认。发包人有权对工程提出不受约束的变更，承包人应无条件接受变更。</w:t>
      </w:r>
    </w:p>
    <w:p w14:paraId="54747093">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承包人在工程变更确定后14天内，提出变更工程价款的报告，经监理、发包人或发包人委托的造价机构审核同意后调整合同价款。变更合同价款按下列方法进行：</w:t>
      </w:r>
    </w:p>
    <w:p w14:paraId="160F0373">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（1）合同中已有适用于变更工程的价格，按合同已有的价格变更合同价款；</w:t>
      </w:r>
    </w:p>
    <w:p w14:paraId="56BB59FB">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（2）合同中只有类似于变更工程的价格，可以参照类似价格变更合同价款；</w:t>
      </w:r>
    </w:p>
    <w:p w14:paraId="6B50D7F5">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（3）合同中没有适用或类似于变更工程的价格，由承包人提出适当的变更价格，经监理、发包人委托的造价机构审核，并经发包人确认后变更合同价款。</w:t>
      </w:r>
    </w:p>
    <w:p w14:paraId="22BCD308">
      <w:pPr>
        <w:spacing w:line="360" w:lineRule="auto"/>
        <w:ind w:right="-304" w:firstLine="482" w:firstLineChars="200"/>
        <w:rPr>
          <w:rFonts w:ascii="宋体" w:hAnsi="宋体"/>
          <w:b/>
          <w:color w:val="auto"/>
          <w:sz w:val="24"/>
          <w:highlight w:val="none"/>
        </w:rPr>
      </w:pPr>
      <w:r>
        <w:rPr>
          <w:rFonts w:ascii="宋体" w:hAnsi="宋体"/>
          <w:b/>
          <w:color w:val="auto"/>
          <w:sz w:val="24"/>
          <w:highlight w:val="none"/>
        </w:rPr>
        <w:t>5</w:t>
      </w:r>
      <w:r>
        <w:rPr>
          <w:rFonts w:hint="eastAsia" w:ascii="宋体" w:hAnsi="宋体"/>
          <w:b/>
          <w:color w:val="auto"/>
          <w:sz w:val="24"/>
          <w:highlight w:val="none"/>
        </w:rPr>
        <w:t>、施工场地交接</w:t>
      </w:r>
    </w:p>
    <w:p w14:paraId="60A04A19">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5.1发包人提供工程施工所必须的水源、电源。施工区域范围内的通水、通电由承包人自行解决。</w:t>
      </w:r>
    </w:p>
    <w:p w14:paraId="1C560DCC">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5.2全部工程验收合格，自双方签署工程交工验收证书之日起，7天内承包人的人员、机具、材料必须全部退场，清理好施工现场。若拖延清场，按拖延工期处罚。</w:t>
      </w:r>
    </w:p>
    <w:p w14:paraId="726584CD">
      <w:pPr>
        <w:spacing w:line="360" w:lineRule="auto"/>
        <w:ind w:right="-304" w:firstLine="482" w:firstLineChars="200"/>
        <w:rPr>
          <w:rFonts w:ascii="宋体" w:hAnsi="宋体"/>
          <w:b/>
          <w:color w:val="auto"/>
          <w:sz w:val="24"/>
          <w:highlight w:val="none"/>
        </w:rPr>
      </w:pPr>
      <w:r>
        <w:rPr>
          <w:rFonts w:ascii="宋体" w:hAnsi="宋体"/>
          <w:b/>
          <w:color w:val="auto"/>
          <w:sz w:val="24"/>
          <w:highlight w:val="none"/>
        </w:rPr>
        <w:t>6</w:t>
      </w:r>
      <w:r>
        <w:rPr>
          <w:rFonts w:hint="eastAsia" w:ascii="宋体" w:hAnsi="宋体"/>
          <w:b/>
          <w:color w:val="auto"/>
          <w:sz w:val="24"/>
          <w:highlight w:val="none"/>
        </w:rPr>
        <w:t>、工程质量及其管理</w:t>
      </w:r>
    </w:p>
    <w:p w14:paraId="3115C9CC">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6.1承包人必须严格按发包人要求和双方确认的施工组织设计及国家现行施工验收规范、国家有关工程质量检验评定统一标准等有关规定，精心组织施工、记录和检验，通过健全质量保证体系和质量检查制度，严格把好每道工序的质量关，确保工程质量达到合格等级验收标准。</w:t>
      </w:r>
    </w:p>
    <w:p w14:paraId="7642254E">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6.2承包人应接受和服从发包人和其委托的监理现场工程师（如有）的监督及对承包人的施工质量、进度及现场管理。施工中如发现设计、质量、材料等问题，应及时通知现场监理工程师，其处理办法必须经现场监理工程师签字同意后方能实施。</w:t>
      </w:r>
    </w:p>
    <w:p w14:paraId="5D0C8CC3">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6.3所有隐蔽工程，承包人均应填写隐蔽工程验收单，并提前</w:t>
      </w:r>
      <w:r>
        <w:rPr>
          <w:rFonts w:ascii="宋体" w:hAnsi="宋体"/>
          <w:color w:val="auto"/>
          <w:sz w:val="24"/>
          <w:highlight w:val="none"/>
        </w:rPr>
        <w:t>24</w:t>
      </w:r>
      <w:r>
        <w:rPr>
          <w:rFonts w:hint="eastAsia" w:ascii="宋体" w:hAnsi="宋体"/>
          <w:color w:val="auto"/>
          <w:sz w:val="24"/>
          <w:highlight w:val="none"/>
        </w:rPr>
        <w:t>小时通知现场监理工程师，经现场监理工程师检验合格签证后，方可进行下一道工序施工。</w:t>
      </w:r>
    </w:p>
    <w:p w14:paraId="42768EF5">
      <w:pPr>
        <w:spacing w:line="360" w:lineRule="auto"/>
        <w:ind w:right="-304" w:firstLine="482" w:firstLineChars="200"/>
        <w:rPr>
          <w:rFonts w:ascii="宋体" w:hAnsi="宋体"/>
          <w:b/>
          <w:color w:val="auto"/>
          <w:sz w:val="24"/>
          <w:highlight w:val="none"/>
        </w:rPr>
      </w:pPr>
      <w:r>
        <w:rPr>
          <w:rFonts w:ascii="宋体" w:hAnsi="宋体"/>
          <w:b/>
          <w:color w:val="auto"/>
          <w:sz w:val="24"/>
          <w:highlight w:val="none"/>
        </w:rPr>
        <w:t>7</w:t>
      </w:r>
      <w:r>
        <w:rPr>
          <w:rFonts w:hint="eastAsia" w:ascii="宋体" w:hAnsi="宋体"/>
          <w:b/>
          <w:color w:val="auto"/>
          <w:sz w:val="24"/>
          <w:highlight w:val="none"/>
        </w:rPr>
        <w:t>、工期及开工要求</w:t>
      </w:r>
    </w:p>
    <w:p w14:paraId="7E1F1BA4">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7.1本工程合同工期</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日历天，开工日期以发包人发出的开工令为准。</w:t>
      </w:r>
    </w:p>
    <w:p w14:paraId="636BB45C">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7.2合同工期如遇下列情况，经双方协商，可作相应顺延：</w:t>
      </w:r>
    </w:p>
    <w:p w14:paraId="4F1B23A3">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（1）重大设计变更而确实影响到施工进度。</w:t>
      </w:r>
    </w:p>
    <w:p w14:paraId="5A4E5B0E">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（2）发包人未按合同规定支付工程款并确实影响到施工进度。</w:t>
      </w:r>
    </w:p>
    <w:p w14:paraId="68F3B002">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（3）不可抗力因素。</w:t>
      </w:r>
    </w:p>
    <w:p w14:paraId="24F6B8D1">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上述工期必须在发生后的三天内办理签证，逾期不予认可。</w:t>
      </w:r>
    </w:p>
    <w:p w14:paraId="4DC11AD1">
      <w:pPr>
        <w:spacing w:line="360" w:lineRule="auto"/>
        <w:ind w:right="-304" w:firstLine="482" w:firstLineChars="200"/>
        <w:rPr>
          <w:rFonts w:ascii="宋体" w:hAnsi="宋体"/>
          <w:b/>
          <w:color w:val="auto"/>
          <w:sz w:val="24"/>
          <w:highlight w:val="none"/>
        </w:rPr>
      </w:pPr>
      <w:r>
        <w:rPr>
          <w:rFonts w:ascii="宋体" w:hAnsi="宋体"/>
          <w:b/>
          <w:color w:val="auto"/>
          <w:sz w:val="24"/>
          <w:highlight w:val="none"/>
        </w:rPr>
        <w:t>8</w:t>
      </w:r>
      <w:r>
        <w:rPr>
          <w:rFonts w:hint="eastAsia" w:ascii="宋体" w:hAnsi="宋体"/>
          <w:b/>
          <w:color w:val="auto"/>
          <w:sz w:val="24"/>
          <w:highlight w:val="none"/>
        </w:rPr>
        <w:t>、设计</w:t>
      </w:r>
    </w:p>
    <w:p w14:paraId="78CD8117">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本项目设计由</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w:t>
      </w:r>
      <w:r>
        <w:rPr>
          <w:rFonts w:hint="eastAsia" w:ascii="宋体" w:hAnsi="宋体"/>
          <w:color w:val="auto"/>
          <w:sz w:val="24"/>
          <w:highlight w:val="none"/>
          <w:u w:val="single"/>
        </w:rPr>
        <w:t xml:space="preserve">   </w:t>
      </w:r>
      <w:r>
        <w:rPr>
          <w:rFonts w:hint="eastAsia" w:ascii="宋体" w:hAnsi="宋体"/>
          <w:color w:val="auto"/>
          <w:sz w:val="24"/>
          <w:highlight w:val="none"/>
        </w:rPr>
        <w:t>承担进行深化设计。</w:t>
      </w:r>
    </w:p>
    <w:p w14:paraId="03BA1503">
      <w:pPr>
        <w:spacing w:line="360" w:lineRule="auto"/>
        <w:ind w:right="-304" w:firstLine="482" w:firstLineChars="200"/>
        <w:rPr>
          <w:rFonts w:ascii="宋体" w:hAnsi="宋体"/>
          <w:b/>
          <w:color w:val="auto"/>
          <w:sz w:val="24"/>
          <w:highlight w:val="none"/>
        </w:rPr>
      </w:pPr>
      <w:r>
        <w:rPr>
          <w:rFonts w:ascii="宋体" w:hAnsi="宋体"/>
          <w:b/>
          <w:color w:val="auto"/>
          <w:sz w:val="24"/>
          <w:highlight w:val="none"/>
        </w:rPr>
        <w:t>9</w:t>
      </w:r>
      <w:r>
        <w:rPr>
          <w:rFonts w:hint="eastAsia" w:ascii="宋体" w:hAnsi="宋体"/>
          <w:b/>
          <w:color w:val="auto"/>
          <w:sz w:val="24"/>
          <w:highlight w:val="none"/>
        </w:rPr>
        <w:t>、材料供应</w:t>
      </w:r>
    </w:p>
    <w:p w14:paraId="3A148F95">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（1）本工程发包范围内除甲供材料外的所有材料均由承包人采购。</w:t>
      </w:r>
    </w:p>
    <w:p w14:paraId="61327A4F">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2）材料设备采购应根据招标文件、设计技术文件和国家有关规定的具体要求进行采购，所有材料应选用具有一定生产规模和市场信誉好的生产厂和品牌，所有材料均应有合格证和质保书，符合国家规定的技术标准，并且须经发包人委托的监理单位或具有相应资质的检测机构检测合格后才能使用。当承包人选定的材料质量达不到预期质量目标要求时，发包人保留更换的权利。若使用劣质材料施工，一经发现，发包人或监理有权制止使用，甚至停工、返工或中止合同。无论发包人及监理是否发现和制止，由于使用劣质材料施工所引起的一切责任均由承包人承担。</w:t>
      </w:r>
    </w:p>
    <w:p w14:paraId="24CED2C7">
      <w:pPr>
        <w:spacing w:line="360" w:lineRule="auto"/>
        <w:ind w:right="-304" w:firstLine="482" w:firstLineChars="200"/>
        <w:rPr>
          <w:rFonts w:ascii="宋体" w:hAnsi="宋体"/>
          <w:b/>
          <w:color w:val="auto"/>
          <w:sz w:val="24"/>
          <w:highlight w:val="none"/>
        </w:rPr>
      </w:pPr>
      <w:r>
        <w:rPr>
          <w:rFonts w:ascii="宋体" w:hAnsi="宋体"/>
          <w:b/>
          <w:color w:val="auto"/>
          <w:sz w:val="24"/>
          <w:highlight w:val="none"/>
        </w:rPr>
        <w:t>10</w:t>
      </w:r>
      <w:r>
        <w:rPr>
          <w:rFonts w:hint="eastAsia" w:ascii="宋体" w:hAnsi="宋体"/>
          <w:b/>
          <w:color w:val="auto"/>
          <w:sz w:val="24"/>
          <w:highlight w:val="none"/>
        </w:rPr>
        <w:t>、工程验收与保修</w:t>
      </w:r>
    </w:p>
    <w:p w14:paraId="749F4E51">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10.1承包方必须按照施工验收规范的要求，及时做好有关的工程施工记录，并在现场监理工程师的参与下，做好工程技术资料的整理。</w:t>
      </w:r>
    </w:p>
    <w:p w14:paraId="26452486">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10.2工程交工验收，应以技术交底资料及设计变更联系单、国家和省颁发的施工验收规范和质量检验评定标准为依据。经验收，如有不合格工程，承包人应无条件返工整改，直至验收合格。由此追加的费用和延误的工期由承包人负责。验收产生的相关专家等费用由承包人承担。</w:t>
      </w:r>
    </w:p>
    <w:p w14:paraId="54696F45">
      <w:pPr>
        <w:spacing w:line="360" w:lineRule="auto"/>
        <w:ind w:right="-306" w:firstLine="480"/>
        <w:rPr>
          <w:rFonts w:ascii="宋体" w:hAnsi="宋体"/>
          <w:color w:val="auto"/>
          <w:sz w:val="24"/>
          <w:highlight w:val="none"/>
        </w:rPr>
      </w:pPr>
      <w:r>
        <w:rPr>
          <w:rFonts w:hint="eastAsia" w:ascii="宋体" w:hAnsi="宋体"/>
          <w:color w:val="auto"/>
          <w:sz w:val="24"/>
          <w:highlight w:val="none"/>
        </w:rPr>
        <w:t>10.3竣工日期以通过验收日期为准，工程竣工后，承包人应向发包人提交四套完整的工程竣工资料。</w:t>
      </w:r>
    </w:p>
    <w:p w14:paraId="0707B072">
      <w:pPr>
        <w:spacing w:line="360" w:lineRule="auto"/>
        <w:ind w:right="-304" w:firstLine="480"/>
        <w:rPr>
          <w:rFonts w:ascii="宋体" w:hAnsi="宋体"/>
          <w:b/>
          <w:color w:val="auto"/>
          <w:sz w:val="24"/>
          <w:highlight w:val="none"/>
        </w:rPr>
      </w:pPr>
      <w:r>
        <w:rPr>
          <w:rFonts w:ascii="宋体" w:hAnsi="宋体"/>
          <w:b/>
          <w:color w:val="auto"/>
          <w:sz w:val="24"/>
          <w:highlight w:val="none"/>
        </w:rPr>
        <w:t>11</w:t>
      </w:r>
      <w:r>
        <w:rPr>
          <w:rFonts w:hint="eastAsia" w:ascii="宋体" w:hAnsi="宋体"/>
          <w:b/>
          <w:color w:val="auto"/>
          <w:sz w:val="24"/>
          <w:highlight w:val="none"/>
        </w:rPr>
        <w:t>双方责任</w:t>
      </w:r>
    </w:p>
    <w:p w14:paraId="780D975B">
      <w:pPr>
        <w:spacing w:line="360" w:lineRule="auto"/>
        <w:ind w:right="-306"/>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11.1 </w:t>
      </w:r>
      <w:r>
        <w:rPr>
          <w:rFonts w:hint="eastAsia" w:ascii="宋体" w:hAnsi="宋体"/>
          <w:color w:val="auto"/>
          <w:sz w:val="24"/>
          <w:highlight w:val="none"/>
        </w:rPr>
        <w:t>发包人</w:t>
      </w:r>
    </w:p>
    <w:p w14:paraId="51A3FFFC">
      <w:pPr>
        <w:numPr>
          <w:ilvl w:val="0"/>
          <w:numId w:val="9"/>
        </w:numPr>
        <w:tabs>
          <w:tab w:val="left" w:pos="0"/>
        </w:tabs>
        <w:spacing w:line="360" w:lineRule="auto"/>
        <w:ind w:left="0" w:right="-306" w:firstLine="480"/>
        <w:rPr>
          <w:rFonts w:ascii="宋体" w:hAnsi="宋体"/>
          <w:color w:val="auto"/>
          <w:sz w:val="24"/>
          <w:highlight w:val="none"/>
        </w:rPr>
      </w:pPr>
      <w:r>
        <w:rPr>
          <w:rFonts w:hint="eastAsia" w:ascii="宋体" w:hAnsi="宋体"/>
          <w:color w:val="auto"/>
          <w:sz w:val="24"/>
          <w:highlight w:val="none"/>
        </w:rPr>
        <w:t>合同签订后向承包人提供施工图及有关技术资料</w:t>
      </w:r>
      <w:r>
        <w:rPr>
          <w:rFonts w:ascii="宋体" w:hAnsi="宋体"/>
          <w:color w:val="auto"/>
          <w:sz w:val="24"/>
          <w:highlight w:val="none"/>
        </w:rPr>
        <w:t>5</w:t>
      </w:r>
      <w:r>
        <w:rPr>
          <w:rFonts w:hint="eastAsia" w:ascii="宋体" w:hAnsi="宋体"/>
          <w:color w:val="auto"/>
          <w:sz w:val="24"/>
          <w:highlight w:val="none"/>
        </w:rPr>
        <w:t>套。</w:t>
      </w:r>
    </w:p>
    <w:p w14:paraId="2FA59F0A">
      <w:pPr>
        <w:numPr>
          <w:ilvl w:val="0"/>
          <w:numId w:val="9"/>
        </w:numPr>
        <w:tabs>
          <w:tab w:val="left" w:pos="0"/>
        </w:tabs>
        <w:spacing w:line="360" w:lineRule="auto"/>
        <w:ind w:left="0" w:right="-306" w:firstLine="480"/>
        <w:rPr>
          <w:rFonts w:ascii="宋体" w:hAnsi="宋体"/>
          <w:color w:val="auto"/>
          <w:sz w:val="24"/>
          <w:highlight w:val="none"/>
        </w:rPr>
      </w:pPr>
      <w:r>
        <w:rPr>
          <w:rFonts w:hint="eastAsia" w:ascii="宋体" w:hAnsi="宋体"/>
          <w:color w:val="auto"/>
          <w:sz w:val="24"/>
          <w:highlight w:val="none"/>
        </w:rPr>
        <w:t>提供施工所需水源、电源。</w:t>
      </w:r>
    </w:p>
    <w:p w14:paraId="38CC09C7">
      <w:pPr>
        <w:numPr>
          <w:ilvl w:val="0"/>
          <w:numId w:val="9"/>
        </w:numPr>
        <w:tabs>
          <w:tab w:val="left" w:pos="0"/>
        </w:tabs>
        <w:spacing w:line="360" w:lineRule="auto"/>
        <w:ind w:left="0" w:right="-306" w:firstLine="480"/>
        <w:rPr>
          <w:rFonts w:ascii="宋体" w:hAnsi="宋体"/>
          <w:color w:val="auto"/>
          <w:sz w:val="24"/>
          <w:highlight w:val="none"/>
        </w:rPr>
      </w:pPr>
      <w:r>
        <w:rPr>
          <w:rFonts w:hint="eastAsia" w:ascii="宋体" w:hAnsi="宋体"/>
          <w:color w:val="auto"/>
          <w:sz w:val="24"/>
          <w:highlight w:val="none"/>
        </w:rPr>
        <w:t>组织设计单位进行施工图交底、会审，做好由发包方、承包方、监理三方签署的交底、会审纪要，并在六天内送达有关单位。</w:t>
      </w:r>
    </w:p>
    <w:p w14:paraId="49E4B84B">
      <w:pPr>
        <w:numPr>
          <w:ilvl w:val="0"/>
          <w:numId w:val="9"/>
        </w:numPr>
        <w:tabs>
          <w:tab w:val="left" w:pos="0"/>
        </w:tabs>
        <w:spacing w:line="360" w:lineRule="auto"/>
        <w:ind w:left="0" w:right="-306" w:firstLine="480"/>
        <w:rPr>
          <w:rFonts w:ascii="宋体" w:hAnsi="宋体"/>
          <w:color w:val="auto"/>
          <w:sz w:val="24"/>
          <w:highlight w:val="none"/>
        </w:rPr>
      </w:pPr>
      <w:r>
        <w:rPr>
          <w:rFonts w:hint="eastAsia" w:ascii="宋体" w:hAnsi="宋体"/>
          <w:color w:val="auto"/>
          <w:sz w:val="24"/>
          <w:highlight w:val="none"/>
        </w:rPr>
        <w:t>审核工程进度报表，按合同规定及时向承包方支付工程进度款。</w:t>
      </w:r>
    </w:p>
    <w:p w14:paraId="2CDD6111">
      <w:pPr>
        <w:numPr>
          <w:ilvl w:val="0"/>
          <w:numId w:val="9"/>
        </w:numPr>
        <w:tabs>
          <w:tab w:val="left" w:pos="0"/>
        </w:tabs>
        <w:spacing w:line="360" w:lineRule="auto"/>
        <w:ind w:left="0" w:right="-306" w:firstLine="480"/>
        <w:rPr>
          <w:rFonts w:ascii="宋体" w:hAnsi="宋体"/>
          <w:color w:val="auto"/>
          <w:sz w:val="24"/>
          <w:highlight w:val="none"/>
        </w:rPr>
      </w:pPr>
      <w:r>
        <w:rPr>
          <w:rFonts w:hint="eastAsia" w:ascii="宋体" w:hAnsi="宋体"/>
          <w:color w:val="auto"/>
          <w:sz w:val="24"/>
          <w:highlight w:val="none"/>
        </w:rPr>
        <w:t>派驻现场监理工程师代表，发包人代表，对工程进度、工程质量、工程合同的执行情况进行监督和检查，负责设计变更签证，工程中间验收，工程进度款签证和其它必要的签证。</w:t>
      </w:r>
    </w:p>
    <w:p w14:paraId="29DA92A6">
      <w:pPr>
        <w:numPr>
          <w:ilvl w:val="0"/>
          <w:numId w:val="9"/>
        </w:numPr>
        <w:spacing w:line="360" w:lineRule="auto"/>
        <w:ind w:right="-306"/>
        <w:rPr>
          <w:rFonts w:ascii="宋体" w:hAnsi="宋体"/>
          <w:color w:val="auto"/>
          <w:sz w:val="24"/>
          <w:highlight w:val="none"/>
        </w:rPr>
      </w:pPr>
      <w:r>
        <w:rPr>
          <w:rFonts w:hint="eastAsia" w:ascii="宋体" w:hAnsi="宋体"/>
          <w:color w:val="auto"/>
          <w:sz w:val="24"/>
          <w:highlight w:val="none"/>
        </w:rPr>
        <w:t>组织对工程的交工验收，负责工程结算。</w:t>
      </w:r>
    </w:p>
    <w:p w14:paraId="5F27E771">
      <w:pPr>
        <w:spacing w:line="360" w:lineRule="auto"/>
        <w:ind w:right="-306"/>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11.2 </w:t>
      </w:r>
      <w:r>
        <w:rPr>
          <w:rFonts w:hint="eastAsia" w:ascii="宋体" w:hAnsi="宋体"/>
          <w:color w:val="auto"/>
          <w:sz w:val="24"/>
          <w:highlight w:val="none"/>
        </w:rPr>
        <w:t>承包人</w:t>
      </w:r>
    </w:p>
    <w:p w14:paraId="2630C7FD">
      <w:pPr>
        <w:spacing w:line="360" w:lineRule="auto"/>
        <w:ind w:right="-306" w:firstLine="470" w:firstLineChars="196"/>
        <w:rPr>
          <w:rFonts w:hint="eastAsia" w:ascii="宋体" w:hAnsi="宋体"/>
          <w:color w:val="auto"/>
          <w:sz w:val="24"/>
          <w:highlight w:val="none"/>
          <w:lang w:val="en-US" w:eastAsia="zh-CN"/>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w:t>
      </w:r>
      <w:r>
        <w:rPr>
          <w:rFonts w:hint="eastAsia" w:ascii="宋体" w:hAnsi="宋体"/>
          <w:color w:val="auto"/>
          <w:sz w:val="24"/>
          <w:highlight w:val="none"/>
          <w:lang w:val="en-US" w:eastAsia="zh-CN"/>
        </w:rPr>
        <w:t>履约保证金：</w:t>
      </w:r>
    </w:p>
    <w:p w14:paraId="75DAA2C5">
      <w:pPr>
        <w:spacing w:line="360" w:lineRule="auto"/>
        <w:ind w:right="-306" w:firstLine="470" w:firstLineChars="196"/>
        <w:rPr>
          <w:rFonts w:hint="eastAsia" w:ascii="宋体" w:hAnsi="宋体" w:cs="宋体"/>
          <w:color w:val="auto"/>
          <w:sz w:val="24"/>
          <w:highlight w:val="none"/>
        </w:rPr>
      </w:pPr>
      <w:r>
        <w:rPr>
          <w:rFonts w:hint="eastAsia" w:ascii="宋体" w:hAnsi="宋体" w:cs="宋体"/>
          <w:color w:val="auto"/>
          <w:sz w:val="24"/>
          <w:highlight w:val="none"/>
          <w:lang w:val="en-US" w:eastAsia="zh-CN"/>
        </w:rPr>
        <w:t>√</w:t>
      </w:r>
      <w:r>
        <w:rPr>
          <w:rFonts w:hint="eastAsia" w:ascii="宋体" w:hAnsi="宋体" w:cs="宋体"/>
          <w:color w:val="auto"/>
          <w:sz w:val="24"/>
          <w:highlight w:val="none"/>
        </w:rPr>
        <w:t>本项目不设履约保证金</w:t>
      </w:r>
    </w:p>
    <w:p w14:paraId="67F31B7F">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sym w:font="Wingdings 2" w:char="00A3"/>
      </w:r>
      <w:r>
        <w:rPr>
          <w:rFonts w:hint="eastAsia" w:ascii="宋体" w:hAnsi="宋体"/>
          <w:color w:val="auto"/>
          <w:sz w:val="24"/>
          <w:highlight w:val="none"/>
        </w:rPr>
        <w:t>本合同签订后7个工作日内，承包人必须向发包人交纳</w:t>
      </w:r>
      <w:r>
        <w:rPr>
          <w:rFonts w:hint="eastAsia" w:ascii="宋体" w:hAnsi="宋体"/>
          <w:b/>
          <w:color w:val="auto"/>
          <w:sz w:val="24"/>
          <w:highlight w:val="none"/>
          <w:u w:val="single"/>
        </w:rPr>
        <w:t>合同款</w:t>
      </w:r>
      <w:r>
        <w:rPr>
          <w:rFonts w:hint="eastAsia" w:ascii="宋体" w:hAnsi="宋体"/>
          <w:b/>
          <w:color w:val="auto"/>
          <w:sz w:val="24"/>
          <w:highlight w:val="none"/>
          <w:u w:val="single"/>
          <w:lang w:val="en-US" w:eastAsia="zh-CN"/>
        </w:rPr>
        <w:t xml:space="preserve">  /  </w:t>
      </w:r>
      <w:r>
        <w:rPr>
          <w:rFonts w:hint="eastAsia" w:ascii="宋体" w:hAnsi="宋体"/>
          <w:b/>
          <w:color w:val="auto"/>
          <w:sz w:val="24"/>
          <w:highlight w:val="none"/>
          <w:u w:val="single"/>
        </w:rPr>
        <w:t>%</w:t>
      </w:r>
      <w:r>
        <w:rPr>
          <w:rFonts w:hint="eastAsia" w:ascii="宋体" w:hAnsi="宋体"/>
          <w:color w:val="auto"/>
          <w:sz w:val="24"/>
          <w:highlight w:val="none"/>
        </w:rPr>
        <w:t>履约保证金。缴纳方式：转账支票或电汇或银行汇票或金融机构、担保机构出具的保函等非现金形式；</w:t>
      </w:r>
    </w:p>
    <w:p w14:paraId="4DC118A2">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）承包人按合同工期要求进行施工。</w:t>
      </w:r>
    </w:p>
    <w:p w14:paraId="126E46F6">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）编制施工组织设计和施工方案、施工进度计划、材料等进场计划，用水、用电计划，开工、交工报告书、施工检验资料等，及时送业主、发包人及有关单位。</w:t>
      </w:r>
    </w:p>
    <w:p w14:paraId="111D2916">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）严格按照施工图和相关规范施工，确保工程质量，按合同规定的时间如期完工和交付。</w:t>
      </w:r>
    </w:p>
    <w:p w14:paraId="3F7FC2A5">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）提供竣工验收技术资料，提供完整的竣工资料，提出工程结算资料，参加竣工验收，负责做到工完场清，验收后一周内施工队伍全部撤清。</w:t>
      </w:r>
    </w:p>
    <w:p w14:paraId="42E73E12">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）在工程质保期间，对属于承包方责任的工程质量问题，应负责无偿修理。</w:t>
      </w:r>
    </w:p>
    <w:p w14:paraId="3E36782F">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7</w:t>
      </w:r>
      <w:r>
        <w:rPr>
          <w:rFonts w:hint="eastAsia" w:ascii="宋体" w:hAnsi="宋体"/>
          <w:color w:val="auto"/>
          <w:sz w:val="24"/>
          <w:highlight w:val="none"/>
        </w:rPr>
        <w:t>）本工程不得转包、分包，否则作违约处理。</w:t>
      </w:r>
    </w:p>
    <w:p w14:paraId="4F0FD6C6">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8</w:t>
      </w:r>
      <w:r>
        <w:rPr>
          <w:rFonts w:hint="eastAsia" w:ascii="宋体" w:hAnsi="宋体"/>
          <w:color w:val="auto"/>
          <w:sz w:val="24"/>
          <w:highlight w:val="none"/>
        </w:rPr>
        <w:t>）承包人应精心组织施工，做到文明施工，文明管理，保持现场清洁，强化安全意识，抓好安全生产和杜绝一切事故的发生，施工中发生安全及人身事故责任均由承包人负责处理，全部费用由承包人承担。承包人应购买相关保险并承担费用。</w:t>
      </w:r>
    </w:p>
    <w:p w14:paraId="4066D95C">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（9）承包人施工完成后，必须及时修复由于施工损坏的基础设施，并承担相关费用。</w:t>
      </w:r>
    </w:p>
    <w:p w14:paraId="61E19950">
      <w:pPr>
        <w:spacing w:line="360" w:lineRule="auto"/>
        <w:ind w:right="-304" w:firstLine="482" w:firstLineChars="200"/>
        <w:rPr>
          <w:rFonts w:ascii="宋体" w:hAnsi="宋体"/>
          <w:b/>
          <w:color w:val="auto"/>
          <w:sz w:val="24"/>
          <w:highlight w:val="none"/>
        </w:rPr>
      </w:pPr>
      <w:r>
        <w:rPr>
          <w:rFonts w:ascii="宋体" w:hAnsi="宋体"/>
          <w:b/>
          <w:color w:val="auto"/>
          <w:sz w:val="24"/>
          <w:highlight w:val="none"/>
        </w:rPr>
        <w:t>12</w:t>
      </w:r>
      <w:r>
        <w:rPr>
          <w:rFonts w:hint="eastAsia" w:ascii="宋体" w:hAnsi="宋体"/>
          <w:b/>
          <w:color w:val="auto"/>
          <w:sz w:val="24"/>
          <w:highlight w:val="none"/>
        </w:rPr>
        <w:t>、工程价款的支付与结算</w:t>
      </w:r>
    </w:p>
    <w:p w14:paraId="27427D25">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（1）项目合同签订后</w:t>
      </w:r>
      <w:r>
        <w:rPr>
          <w:rFonts w:hint="eastAsia" w:ascii="宋体" w:hAnsi="宋体"/>
          <w:color w:val="auto"/>
          <w:sz w:val="24"/>
          <w:highlight w:val="none"/>
          <w:lang w:val="en-US" w:eastAsia="zh-CN"/>
        </w:rPr>
        <w:t>具备实施条件7</w:t>
      </w:r>
      <w:r>
        <w:rPr>
          <w:rFonts w:hint="eastAsia" w:ascii="宋体" w:hAnsi="宋体"/>
          <w:color w:val="auto"/>
          <w:sz w:val="24"/>
          <w:highlight w:val="none"/>
        </w:rPr>
        <w:t>个</w:t>
      </w:r>
      <w:r>
        <w:rPr>
          <w:rFonts w:hint="eastAsia" w:ascii="宋体" w:hAnsi="宋体"/>
          <w:color w:val="auto"/>
          <w:sz w:val="24"/>
          <w:highlight w:val="none"/>
          <w:lang w:val="en-US" w:eastAsia="zh-CN"/>
        </w:rPr>
        <w:t>工作日</w:t>
      </w:r>
      <w:r>
        <w:rPr>
          <w:rFonts w:hint="eastAsia" w:ascii="宋体" w:hAnsi="宋体"/>
          <w:color w:val="auto"/>
          <w:sz w:val="24"/>
          <w:highlight w:val="none"/>
        </w:rPr>
        <w:t>内，支付</w:t>
      </w:r>
      <w:r>
        <w:rPr>
          <w:rFonts w:hint="eastAsia" w:ascii="宋体" w:hAnsi="宋体"/>
          <w:color w:val="auto"/>
          <w:sz w:val="24"/>
          <w:highlight w:val="none"/>
          <w:lang w:val="en-US" w:eastAsia="zh-CN"/>
        </w:rPr>
        <w:t>5</w:t>
      </w:r>
      <w:r>
        <w:rPr>
          <w:rFonts w:hint="eastAsia" w:ascii="宋体" w:hAnsi="宋体"/>
          <w:color w:val="auto"/>
          <w:sz w:val="24"/>
          <w:highlight w:val="none"/>
        </w:rPr>
        <w:t>0%首付款，即</w:t>
      </w:r>
      <w:r>
        <w:rPr>
          <w:rFonts w:hint="eastAsia" w:ascii="宋体" w:hAnsi="宋体"/>
          <w:color w:val="auto"/>
          <w:sz w:val="24"/>
          <w:highlight w:val="none"/>
          <w:u w:val="single"/>
        </w:rPr>
        <w:t xml:space="preserve">    </w:t>
      </w:r>
      <w:r>
        <w:rPr>
          <w:rFonts w:hint="eastAsia" w:ascii="宋体" w:hAnsi="宋体"/>
          <w:color w:val="auto"/>
          <w:sz w:val="24"/>
          <w:highlight w:val="none"/>
        </w:rPr>
        <w:t>元；</w:t>
      </w:r>
    </w:p>
    <w:p w14:paraId="0009A6BD">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（2）项目完成交付验收合格</w:t>
      </w:r>
      <w:r>
        <w:rPr>
          <w:rFonts w:hint="eastAsia" w:ascii="宋体" w:hAnsi="宋体"/>
          <w:color w:val="auto"/>
          <w:sz w:val="24"/>
          <w:szCs w:val="24"/>
          <w:highlight w:val="none"/>
        </w:rPr>
        <w:t>经审计</w:t>
      </w:r>
      <w:r>
        <w:rPr>
          <w:rFonts w:hint="eastAsia" w:ascii="宋体" w:hAnsi="宋体"/>
          <w:color w:val="auto"/>
          <w:sz w:val="24"/>
          <w:highlight w:val="none"/>
        </w:rPr>
        <w:t>后，支付剩余合同款项，即</w:t>
      </w:r>
      <w:r>
        <w:rPr>
          <w:rFonts w:hint="eastAsia" w:ascii="宋体" w:hAnsi="宋体"/>
          <w:color w:val="auto"/>
          <w:sz w:val="24"/>
          <w:highlight w:val="none"/>
          <w:u w:val="single"/>
        </w:rPr>
        <w:t xml:space="preserve">    </w:t>
      </w:r>
      <w:r>
        <w:rPr>
          <w:rFonts w:hint="eastAsia" w:ascii="宋体" w:hAnsi="宋体"/>
          <w:color w:val="auto"/>
          <w:sz w:val="24"/>
          <w:highlight w:val="none"/>
        </w:rPr>
        <w:t>元；</w:t>
      </w:r>
    </w:p>
    <w:p w14:paraId="289A26CA">
      <w:pPr>
        <w:spacing w:line="360" w:lineRule="auto"/>
        <w:ind w:right="-304" w:firstLine="482" w:firstLineChars="200"/>
        <w:rPr>
          <w:rFonts w:ascii="宋体" w:hAnsi="宋体"/>
          <w:b/>
          <w:color w:val="auto"/>
          <w:sz w:val="24"/>
          <w:highlight w:val="none"/>
        </w:rPr>
      </w:pPr>
      <w:r>
        <w:rPr>
          <w:rFonts w:ascii="宋体" w:hAnsi="宋体"/>
          <w:b/>
          <w:color w:val="auto"/>
          <w:sz w:val="24"/>
          <w:highlight w:val="none"/>
        </w:rPr>
        <w:t>13</w:t>
      </w:r>
      <w:r>
        <w:rPr>
          <w:rFonts w:hint="eastAsia" w:ascii="宋体" w:hAnsi="宋体"/>
          <w:b/>
          <w:color w:val="auto"/>
          <w:sz w:val="24"/>
          <w:highlight w:val="none"/>
        </w:rPr>
        <w:t>、违约责任</w:t>
      </w:r>
    </w:p>
    <w:p w14:paraId="313630E0">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（1）因承包人原因，工程不能按合同工期获得验收通过，每逾期一天，承包人须向发包人支付按1000元/天的违约金。</w:t>
      </w:r>
    </w:p>
    <w:p w14:paraId="57BFFA65">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（2）工程质量验收不合格，承担返修费用及工期。</w:t>
      </w:r>
    </w:p>
    <w:p w14:paraId="79059EFB">
      <w:pPr>
        <w:spacing w:line="360" w:lineRule="auto"/>
        <w:ind w:right="-304" w:firstLine="482" w:firstLineChars="200"/>
        <w:rPr>
          <w:rFonts w:ascii="宋体" w:hAnsi="宋体"/>
          <w:b/>
          <w:color w:val="auto"/>
          <w:sz w:val="24"/>
          <w:highlight w:val="none"/>
        </w:rPr>
      </w:pPr>
      <w:r>
        <w:rPr>
          <w:rFonts w:hint="eastAsia" w:ascii="宋体" w:hAnsi="宋体"/>
          <w:b/>
          <w:color w:val="auto"/>
          <w:sz w:val="24"/>
          <w:highlight w:val="none"/>
        </w:rPr>
        <w:t>14</w:t>
      </w:r>
      <w:r>
        <w:rPr>
          <w:rFonts w:ascii="宋体" w:hAnsi="宋体"/>
          <w:b/>
          <w:color w:val="auto"/>
          <w:sz w:val="24"/>
          <w:highlight w:val="none"/>
        </w:rPr>
        <w:t>工程</w:t>
      </w:r>
      <w:r>
        <w:rPr>
          <w:rFonts w:hint="eastAsia" w:ascii="宋体" w:hAnsi="宋体"/>
          <w:b/>
          <w:color w:val="auto"/>
          <w:sz w:val="24"/>
          <w:highlight w:val="none"/>
        </w:rPr>
        <w:t>保修期</w:t>
      </w:r>
    </w:p>
    <w:p w14:paraId="082A5D1C">
      <w:pPr>
        <w:pStyle w:val="5"/>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质保期限规定如下：24个月。</w:t>
      </w:r>
    </w:p>
    <w:p w14:paraId="024D5C1B">
      <w:pPr>
        <w:spacing w:line="360" w:lineRule="auto"/>
        <w:ind w:right="-304" w:firstLine="480" w:firstLineChars="200"/>
        <w:rPr>
          <w:rFonts w:ascii="宋体" w:hAnsi="宋体"/>
          <w:b/>
          <w:color w:val="auto"/>
          <w:sz w:val="24"/>
          <w:highlight w:val="none"/>
        </w:rPr>
      </w:pPr>
      <w:r>
        <w:rPr>
          <w:rFonts w:hint="eastAsia" w:ascii="宋体" w:hAnsi="宋体"/>
          <w:color w:val="auto"/>
          <w:sz w:val="24"/>
          <w:highlight w:val="none"/>
        </w:rPr>
        <w:t>不可抗力因素或人为因素造成的损坏不在保修之列。质保期从验收合格之日算起。</w:t>
      </w:r>
    </w:p>
    <w:p w14:paraId="2557FF06">
      <w:pPr>
        <w:spacing w:line="360" w:lineRule="auto"/>
        <w:ind w:right="-304" w:firstLine="482" w:firstLineChars="20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5、附则</w:t>
      </w:r>
    </w:p>
    <w:p w14:paraId="72EE7D50">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15.1本合同包括以下附件：</w:t>
      </w:r>
    </w:p>
    <w:p w14:paraId="17F18DC2">
      <w:pPr>
        <w:spacing w:line="360" w:lineRule="auto"/>
        <w:ind w:right="-306" w:firstLine="590" w:firstLineChars="246"/>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招标文件（包括招标补充文件）；</w:t>
      </w:r>
    </w:p>
    <w:p w14:paraId="51C451AE">
      <w:pPr>
        <w:spacing w:line="360" w:lineRule="auto"/>
        <w:ind w:right="-306" w:firstLine="590" w:firstLineChars="246"/>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投标书（包括投标补充文件）；</w:t>
      </w:r>
    </w:p>
    <w:p w14:paraId="22A88A4B">
      <w:pPr>
        <w:spacing w:line="360" w:lineRule="auto"/>
        <w:ind w:right="-306" w:firstLine="590" w:firstLineChars="246"/>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合同履行中，双方就有关问题协商一致，达成的纪要或协议；</w:t>
      </w:r>
    </w:p>
    <w:p w14:paraId="6F4AAA34">
      <w:pPr>
        <w:spacing w:line="360" w:lineRule="auto"/>
        <w:ind w:right="-306" w:firstLine="590" w:firstLineChars="246"/>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会议纪要、设计变更联系单、签证单及其它有关技术资料；</w:t>
      </w:r>
    </w:p>
    <w:p w14:paraId="473E020D">
      <w:pPr>
        <w:spacing w:line="360" w:lineRule="auto"/>
        <w:ind w:right="-306" w:firstLine="590" w:firstLineChars="246"/>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工程结算资料；</w:t>
      </w:r>
    </w:p>
    <w:p w14:paraId="48B8DD0F">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所有附件与合同正本具有同等的法律效力，但合同签订之前产生的附件与合同正本有矛盾之处应以合同正本为准。</w:t>
      </w:r>
    </w:p>
    <w:p w14:paraId="30775411">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15.2本合同自双方盖章、法定代表人签字后生效，至工程完工、按合同保修期满，全部条款履行完毕后失效。</w:t>
      </w:r>
    </w:p>
    <w:p w14:paraId="486AB272">
      <w:pPr>
        <w:spacing w:line="360" w:lineRule="auto"/>
        <w:ind w:right="-306" w:firstLine="470" w:firstLineChars="196"/>
        <w:rPr>
          <w:rFonts w:ascii="宋体" w:hAnsi="宋体"/>
          <w:color w:val="auto"/>
          <w:sz w:val="24"/>
          <w:highlight w:val="none"/>
        </w:rPr>
      </w:pPr>
      <w:r>
        <w:rPr>
          <w:rFonts w:hint="eastAsia" w:ascii="宋体" w:hAnsi="宋体"/>
          <w:color w:val="auto"/>
          <w:sz w:val="24"/>
          <w:highlight w:val="none"/>
        </w:rPr>
        <w:t>15.3本合同双方如发生争执，双方友好协商，协商无效，可向杭州仲裁委员会提出仲裁。争议解决过程中，甲乙双方应保证工程的正常进行。</w:t>
      </w:r>
    </w:p>
    <w:p w14:paraId="3770140D">
      <w:pPr>
        <w:spacing w:line="360" w:lineRule="auto"/>
        <w:ind w:right="-306" w:firstLine="470" w:firstLineChars="196"/>
        <w:rPr>
          <w:rFonts w:hint="eastAsia" w:ascii="宋体" w:hAnsi="宋体"/>
          <w:color w:val="auto"/>
          <w:sz w:val="24"/>
          <w:highlight w:val="none"/>
        </w:rPr>
      </w:pPr>
      <w:r>
        <w:rPr>
          <w:rFonts w:hint="eastAsia" w:ascii="宋体" w:hAnsi="宋体"/>
          <w:color w:val="auto"/>
          <w:sz w:val="24"/>
          <w:highlight w:val="none"/>
        </w:rPr>
        <w:t>15.4本合同正本</w:t>
      </w:r>
      <w:r>
        <w:rPr>
          <w:rFonts w:hint="eastAsia" w:ascii="宋体" w:hAnsi="宋体"/>
          <w:color w:val="auto"/>
          <w:sz w:val="24"/>
          <w:highlight w:val="none"/>
          <w:u w:val="single"/>
        </w:rPr>
        <w:t xml:space="preserve"> 壹 </w:t>
      </w:r>
      <w:r>
        <w:rPr>
          <w:rFonts w:hint="eastAsia" w:ascii="宋体" w:hAnsi="宋体"/>
          <w:color w:val="auto"/>
          <w:sz w:val="24"/>
          <w:highlight w:val="none"/>
        </w:rPr>
        <w:t>式</w:t>
      </w:r>
      <w:r>
        <w:rPr>
          <w:rFonts w:hint="eastAsia" w:ascii="宋体" w:hAnsi="宋体"/>
          <w:color w:val="auto"/>
          <w:sz w:val="24"/>
          <w:highlight w:val="none"/>
          <w:u w:val="single"/>
        </w:rPr>
        <w:t xml:space="preserve"> 陆 </w:t>
      </w:r>
      <w:r>
        <w:rPr>
          <w:rFonts w:hint="eastAsia" w:ascii="宋体" w:hAnsi="宋体"/>
          <w:color w:val="auto"/>
          <w:sz w:val="24"/>
          <w:highlight w:val="none"/>
        </w:rPr>
        <w:t>份，</w:t>
      </w:r>
      <w:r>
        <w:rPr>
          <w:rFonts w:hint="eastAsia" w:ascii="宋体" w:hAnsi="宋体"/>
          <w:color w:val="auto"/>
          <w:sz w:val="24"/>
          <w:highlight w:val="none"/>
          <w:lang w:eastAsia="zh-CN"/>
        </w:rPr>
        <w:t>发包人</w:t>
      </w:r>
      <w:r>
        <w:rPr>
          <w:rFonts w:hint="eastAsia" w:ascii="宋体" w:hAnsi="宋体"/>
          <w:color w:val="auto"/>
          <w:sz w:val="24"/>
          <w:highlight w:val="none"/>
          <w:u w:val="single"/>
        </w:rPr>
        <w:t xml:space="preserve"> 叁 </w:t>
      </w:r>
      <w:r>
        <w:rPr>
          <w:rFonts w:hint="eastAsia" w:ascii="宋体" w:hAnsi="宋体"/>
          <w:color w:val="auto"/>
          <w:sz w:val="24"/>
          <w:highlight w:val="none"/>
        </w:rPr>
        <w:t>份，</w:t>
      </w:r>
      <w:r>
        <w:rPr>
          <w:rFonts w:hint="eastAsia" w:ascii="宋体" w:hAnsi="宋体"/>
          <w:color w:val="auto"/>
          <w:sz w:val="24"/>
          <w:highlight w:val="none"/>
          <w:lang w:eastAsia="zh-CN"/>
        </w:rPr>
        <w:t>承包人</w:t>
      </w:r>
      <w:r>
        <w:rPr>
          <w:rFonts w:hint="eastAsia" w:ascii="宋体" w:hAnsi="宋体"/>
          <w:color w:val="auto"/>
          <w:sz w:val="24"/>
          <w:highlight w:val="none"/>
          <w:u w:val="single"/>
        </w:rPr>
        <w:t xml:space="preserve"> 叁 </w:t>
      </w:r>
      <w:r>
        <w:rPr>
          <w:rFonts w:hint="eastAsia" w:ascii="宋体" w:hAnsi="宋体"/>
          <w:color w:val="auto"/>
          <w:sz w:val="24"/>
          <w:highlight w:val="none"/>
        </w:rPr>
        <w:t>份。</w:t>
      </w:r>
    </w:p>
    <w:p w14:paraId="36765DE3">
      <w:pPr>
        <w:pageBreakBefore w:val="0"/>
        <w:widowControl w:val="0"/>
        <w:kinsoku/>
        <w:wordWrap/>
        <w:overflowPunct/>
        <w:topLinePunct w:val="0"/>
        <w:bidi w:val="0"/>
        <w:snapToGrid w:val="0"/>
        <w:spacing w:line="360" w:lineRule="auto"/>
        <w:ind w:firstLine="482"/>
        <w:textAlignment w:val="auto"/>
        <w:rPr>
          <w:rFonts w:hint="eastAsia" w:ascii="宋体" w:hAnsi="宋体" w:cs="宋体"/>
          <w:b/>
          <w:color w:val="auto"/>
          <w:sz w:val="22"/>
          <w:szCs w:val="28"/>
          <w:highlight w:val="none"/>
        </w:rPr>
      </w:pPr>
    </w:p>
    <w:p w14:paraId="0A49E3D9">
      <w:pPr>
        <w:pageBreakBefore w:val="0"/>
        <w:widowControl w:val="0"/>
        <w:kinsoku/>
        <w:wordWrap/>
        <w:overflowPunct/>
        <w:topLinePunct w:val="0"/>
        <w:bidi w:val="0"/>
        <w:snapToGrid w:val="0"/>
        <w:spacing w:line="360" w:lineRule="auto"/>
        <w:ind w:firstLine="482"/>
        <w:textAlignment w:val="auto"/>
        <w:rPr>
          <w:rFonts w:ascii="宋体" w:hAnsi="宋体" w:cs="宋体"/>
          <w:color w:val="auto"/>
          <w:sz w:val="22"/>
          <w:szCs w:val="28"/>
          <w:highlight w:val="none"/>
        </w:rPr>
      </w:pPr>
      <w:r>
        <w:rPr>
          <w:rFonts w:hint="eastAsia" w:ascii="宋体" w:hAnsi="宋体" w:cs="宋体"/>
          <w:b/>
          <w:color w:val="auto"/>
          <w:sz w:val="22"/>
          <w:szCs w:val="28"/>
          <w:highlight w:val="none"/>
        </w:rPr>
        <w:t>附件：</w:t>
      </w:r>
    </w:p>
    <w:p w14:paraId="7EACF5E2">
      <w:pPr>
        <w:pageBreakBefore w:val="0"/>
        <w:widowControl w:val="0"/>
        <w:kinsoku/>
        <w:wordWrap/>
        <w:overflowPunct/>
        <w:topLinePunct w:val="0"/>
        <w:bidi w:val="0"/>
        <w:adjustRightInd/>
        <w:snapToGrid w:val="0"/>
        <w:spacing w:line="360" w:lineRule="auto"/>
        <w:ind w:firstLine="424" w:firstLineChars="177"/>
        <w:jc w:val="left"/>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附件1：建筑工程质量保修书</w:t>
      </w:r>
    </w:p>
    <w:p w14:paraId="1F9A6CD2">
      <w:pPr>
        <w:adjustRightInd/>
        <w:ind w:firstLine="371" w:firstLineChars="177"/>
        <w:jc w:val="left"/>
        <w:rPr>
          <w:rFonts w:ascii="宋体" w:hAnsi="宋体" w:cs="宋体"/>
          <w:snapToGrid w:val="0"/>
          <w:color w:val="auto"/>
          <w:kern w:val="0"/>
          <w:szCs w:val="21"/>
          <w:highlight w:val="none"/>
        </w:rPr>
      </w:pPr>
    </w:p>
    <w:p w14:paraId="0543182F">
      <w:pPr>
        <w:adjustRightInd w:val="0"/>
        <w:snapToGrid w:val="0"/>
        <w:spacing w:line="360" w:lineRule="auto"/>
        <w:rPr>
          <w:rFonts w:hint="eastAsia" w:ascii="宋体" w:hAnsi="宋体" w:cs="宋体"/>
          <w:color w:val="auto"/>
          <w:sz w:val="24"/>
          <w:highlight w:val="none"/>
        </w:rPr>
      </w:pPr>
    </w:p>
    <w:tbl>
      <w:tblPr>
        <w:tblStyle w:val="6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81"/>
        <w:gridCol w:w="4981"/>
      </w:tblGrid>
      <w:tr w14:paraId="2FF16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81" w:type="dxa"/>
          </w:tcPr>
          <w:p w14:paraId="6FBA39C2">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发包人（</w:t>
            </w:r>
            <w:r>
              <w:rPr>
                <w:rFonts w:hint="eastAsia" w:ascii="宋体" w:hAnsi="宋体" w:cs="宋体"/>
                <w:color w:val="auto"/>
                <w:sz w:val="24"/>
                <w:highlight w:val="none"/>
                <w:lang w:val="en-US" w:eastAsia="zh-CN"/>
              </w:rPr>
              <w:t>盖</w:t>
            </w:r>
            <w:r>
              <w:rPr>
                <w:rFonts w:hint="eastAsia" w:ascii="宋体" w:hAnsi="宋体" w:cs="宋体"/>
                <w:color w:val="auto"/>
                <w:sz w:val="24"/>
                <w:highlight w:val="none"/>
              </w:rPr>
              <w:t>章）：</w:t>
            </w:r>
          </w:p>
          <w:p w14:paraId="3F33F7E2">
            <w:pPr>
              <w:pStyle w:val="80"/>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法定代表人或受委托人（签字）：</w:t>
            </w:r>
          </w:p>
          <w:p w14:paraId="755FB16F">
            <w:pPr>
              <w:pStyle w:val="80"/>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联系人：</w:t>
            </w:r>
          </w:p>
          <w:p w14:paraId="303424A4">
            <w:pPr>
              <w:pStyle w:val="80"/>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地址：</w:t>
            </w:r>
          </w:p>
          <w:p w14:paraId="2A0C1BB1">
            <w:pPr>
              <w:pStyle w:val="80"/>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电话：</w:t>
            </w:r>
          </w:p>
          <w:p w14:paraId="2C88C51A">
            <w:pPr>
              <w:pStyle w:val="80"/>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传真：</w:t>
            </w:r>
          </w:p>
          <w:p w14:paraId="5F92D1B5">
            <w:pPr>
              <w:pStyle w:val="80"/>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开户银行：</w:t>
            </w:r>
          </w:p>
          <w:p w14:paraId="290CA294">
            <w:pPr>
              <w:pStyle w:val="80"/>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帐号：</w:t>
            </w:r>
          </w:p>
          <w:p w14:paraId="6379CBD4">
            <w:pPr>
              <w:pStyle w:val="80"/>
              <w:spacing w:line="360" w:lineRule="auto"/>
              <w:jc w:val="both"/>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签订时间：</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 年   月   日</w:t>
            </w:r>
          </w:p>
        </w:tc>
        <w:tc>
          <w:tcPr>
            <w:tcW w:w="4981" w:type="dxa"/>
          </w:tcPr>
          <w:p w14:paraId="4ACE53E2">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承包人</w:t>
            </w:r>
            <w:r>
              <w:rPr>
                <w:rFonts w:hint="eastAsia" w:ascii="宋体" w:hAnsi="宋体" w:cs="宋体"/>
                <w:color w:val="auto"/>
                <w:sz w:val="24"/>
                <w:highlight w:val="none"/>
              </w:rPr>
              <w:t>（盖章）：</w:t>
            </w:r>
          </w:p>
          <w:p w14:paraId="392BF485">
            <w:pPr>
              <w:pStyle w:val="80"/>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法定代表人或受委托人（签字）：</w:t>
            </w:r>
          </w:p>
          <w:p w14:paraId="0FE8A430">
            <w:pPr>
              <w:pStyle w:val="80"/>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联系人：</w:t>
            </w:r>
          </w:p>
          <w:p w14:paraId="5A0D68B3">
            <w:pPr>
              <w:pStyle w:val="80"/>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地址：</w:t>
            </w:r>
          </w:p>
          <w:p w14:paraId="1070D8B1">
            <w:pPr>
              <w:pStyle w:val="80"/>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电话：</w:t>
            </w:r>
          </w:p>
          <w:p w14:paraId="40C7162C">
            <w:pPr>
              <w:pStyle w:val="80"/>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传真：</w:t>
            </w:r>
          </w:p>
          <w:p w14:paraId="1303346C">
            <w:pPr>
              <w:pStyle w:val="80"/>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开户银行：</w:t>
            </w:r>
          </w:p>
          <w:p w14:paraId="366D583F">
            <w:pPr>
              <w:pStyle w:val="80"/>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帐号：</w:t>
            </w:r>
          </w:p>
          <w:p w14:paraId="5890FEA4">
            <w:pPr>
              <w:pStyle w:val="80"/>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签订时间：   </w:t>
            </w:r>
            <w:r>
              <w:rPr>
                <w:rFonts w:hint="eastAsia" w:ascii="宋体" w:hAnsi="宋体" w:cs="宋体"/>
                <w:color w:val="auto"/>
                <w:sz w:val="24"/>
                <w:szCs w:val="24"/>
                <w:highlight w:val="none"/>
              </w:rPr>
              <w:t xml:space="preserve"> 年   月   日</w:t>
            </w:r>
          </w:p>
        </w:tc>
      </w:tr>
    </w:tbl>
    <w:p w14:paraId="0B2A1797">
      <w:pPr>
        <w:spacing w:before="162" w:line="440" w:lineRule="exact"/>
        <w:ind w:firstLine="480"/>
        <w:rPr>
          <w:rFonts w:hint="eastAsia" w:ascii="宋体" w:hAnsi="宋体" w:eastAsia="宋体" w:cs="宋体"/>
          <w:b/>
          <w:bCs/>
          <w:color w:val="auto"/>
          <w:sz w:val="24"/>
          <w:highlight w:val="none"/>
          <w:lang w:eastAsia="zh-CN"/>
        </w:rPr>
      </w:pPr>
      <w:r>
        <w:rPr>
          <w:rFonts w:hint="eastAsia" w:ascii="宋体" w:hAnsi="宋体" w:cs="宋体"/>
          <w:color w:val="auto"/>
          <w:sz w:val="24"/>
          <w:highlight w:val="none"/>
          <w:u w:val="single"/>
        </w:rPr>
        <w:br w:type="page"/>
      </w:r>
      <w:bookmarkStart w:id="385" w:name="_Toc534620509"/>
      <w:bookmarkStart w:id="386" w:name="_Toc249091536"/>
      <w:r>
        <w:rPr>
          <w:rFonts w:hint="eastAsia" w:ascii="宋体" w:hAnsi="宋体" w:cs="宋体"/>
          <w:b/>
          <w:bCs/>
          <w:color w:val="auto"/>
          <w:sz w:val="24"/>
          <w:highlight w:val="none"/>
        </w:rPr>
        <w:t>附件1</w:t>
      </w:r>
      <w:r>
        <w:rPr>
          <w:rFonts w:hint="eastAsia" w:ascii="宋体" w:hAnsi="宋体" w:cs="宋体"/>
          <w:b/>
          <w:bCs/>
          <w:color w:val="auto"/>
          <w:sz w:val="24"/>
          <w:highlight w:val="none"/>
          <w:lang w:eastAsia="zh-CN"/>
        </w:rPr>
        <w:t>：</w:t>
      </w:r>
    </w:p>
    <w:bookmarkEnd w:id="385"/>
    <w:bookmarkEnd w:id="386"/>
    <w:p w14:paraId="2024D659">
      <w:pPr>
        <w:adjustRightInd/>
        <w:spacing w:before="120" w:beforeLines="50" w:after="120" w:afterLines="50" w:line="288" w:lineRule="auto"/>
        <w:jc w:val="center"/>
        <w:rPr>
          <w:rFonts w:ascii="宋体" w:hAnsi="宋体" w:cs="宋体"/>
          <w:b/>
          <w:bCs/>
          <w:snapToGrid w:val="0"/>
          <w:color w:val="auto"/>
          <w:kern w:val="0"/>
          <w:sz w:val="28"/>
          <w:szCs w:val="28"/>
          <w:highlight w:val="none"/>
        </w:rPr>
      </w:pPr>
      <w:r>
        <w:rPr>
          <w:rFonts w:hint="eastAsia" w:ascii="宋体" w:hAnsi="宋体" w:cs="宋体"/>
          <w:b/>
          <w:bCs/>
          <w:snapToGrid w:val="0"/>
          <w:color w:val="auto"/>
          <w:kern w:val="0"/>
          <w:sz w:val="28"/>
          <w:szCs w:val="28"/>
          <w:highlight w:val="none"/>
        </w:rPr>
        <w:t>工程质量保修书</w:t>
      </w:r>
    </w:p>
    <w:p w14:paraId="520E282E">
      <w:pPr>
        <w:adjustRightInd/>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发包人（全称）：</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eastAsia="zh-CN"/>
        </w:rPr>
        <w:t>杭州高级中学钱塘学校</w:t>
      </w:r>
      <w:r>
        <w:rPr>
          <w:rFonts w:hint="eastAsia" w:ascii="宋体" w:hAnsi="宋体" w:cs="宋体"/>
          <w:snapToGrid w:val="0"/>
          <w:color w:val="auto"/>
          <w:kern w:val="0"/>
          <w:szCs w:val="21"/>
          <w:highlight w:val="none"/>
          <w:u w:val="single"/>
        </w:rPr>
        <w:t xml:space="preserve"> </w:t>
      </w:r>
    </w:p>
    <w:p w14:paraId="30CF9C6C">
      <w:pPr>
        <w:adjustRightInd/>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承包人（全称）：</w:t>
      </w:r>
      <w:r>
        <w:rPr>
          <w:rFonts w:hint="eastAsia" w:ascii="宋体" w:hAnsi="宋体" w:cs="宋体"/>
          <w:snapToGrid w:val="0"/>
          <w:color w:val="auto"/>
          <w:kern w:val="0"/>
          <w:szCs w:val="21"/>
          <w:highlight w:val="none"/>
          <w:u w:val="single"/>
        </w:rPr>
        <w:t xml:space="preserve">  </w:t>
      </w:r>
      <w:bookmarkStart w:id="387" w:name="SOA_zyht_zlbxcbr"/>
      <w:r>
        <w:rPr>
          <w:rFonts w:hint="eastAsia" w:ascii="宋体" w:hAnsi="宋体" w:cs="宋体"/>
          <w:snapToGrid w:val="0"/>
          <w:color w:val="auto"/>
          <w:kern w:val="0"/>
          <w:szCs w:val="21"/>
          <w:highlight w:val="none"/>
          <w:u w:val="single"/>
        </w:rPr>
        <w:t xml:space="preserve"> </w:t>
      </w:r>
      <w:bookmarkEnd w:id="387"/>
      <w:r>
        <w:rPr>
          <w:rFonts w:hint="eastAsia" w:ascii="宋体" w:hAnsi="宋体" w:cs="宋体"/>
          <w:snapToGrid w:val="0"/>
          <w:color w:val="auto"/>
          <w:kern w:val="0"/>
          <w:szCs w:val="21"/>
          <w:highlight w:val="none"/>
          <w:u w:val="single"/>
        </w:rPr>
        <w:t xml:space="preserve">                     </w:t>
      </w:r>
    </w:p>
    <w:p w14:paraId="643E57C4">
      <w:pPr>
        <w:adjustRightInd/>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发包人和承包人根据《中华人民共和国建筑法》和《建设工程质量管理条例》，经协商一致就</w:t>
      </w:r>
      <w:r>
        <w:rPr>
          <w:rFonts w:hint="eastAsia" w:ascii="宋体" w:hAnsi="宋体" w:cs="宋体"/>
          <w:snapToGrid w:val="0"/>
          <w:color w:val="auto"/>
          <w:kern w:val="0"/>
          <w:szCs w:val="21"/>
          <w:highlight w:val="none"/>
          <w:u w:val="single"/>
        </w:rPr>
        <w:t xml:space="preserve">  </w:t>
      </w:r>
      <w:bookmarkStart w:id="388" w:name="SOA_zyht_gcqc"/>
      <w:r>
        <w:rPr>
          <w:rFonts w:hint="eastAsia" w:ascii="宋体" w:hAnsi="宋体" w:cs="宋体"/>
          <w:snapToGrid w:val="0"/>
          <w:color w:val="auto"/>
          <w:kern w:val="0"/>
          <w:szCs w:val="21"/>
          <w:highlight w:val="none"/>
          <w:u w:val="single"/>
        </w:rPr>
        <w:t xml:space="preserve"> </w:t>
      </w:r>
      <w:r>
        <w:rPr>
          <w:rFonts w:hint="eastAsia" w:ascii="宋体" w:hAnsi="宋体" w:cs="宋体"/>
          <w:b/>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rPr>
        <w:t xml:space="preserve"> </w:t>
      </w:r>
      <w:bookmarkEnd w:id="388"/>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w:t>
      </w:r>
      <w:r>
        <w:rPr>
          <w:rFonts w:hint="eastAsia" w:ascii="宋体" w:hAnsi="宋体" w:cs="宋体"/>
          <w:snapToGrid w:val="0"/>
          <w:color w:val="auto"/>
          <w:kern w:val="0"/>
          <w:szCs w:val="21"/>
          <w:highlight w:val="none"/>
          <w:lang w:eastAsia="zh-CN"/>
        </w:rPr>
        <w:t>杭州高级中学钱塘学校校舍外立面安全隐患改造</w:t>
      </w:r>
      <w:r>
        <w:rPr>
          <w:rFonts w:hint="eastAsia" w:ascii="宋体" w:hAnsi="宋体" w:cs="宋体"/>
          <w:snapToGrid w:val="0"/>
          <w:color w:val="auto"/>
          <w:kern w:val="0"/>
          <w:szCs w:val="21"/>
          <w:highlight w:val="none"/>
        </w:rPr>
        <w:t>）签订工程质量保修书。</w:t>
      </w:r>
    </w:p>
    <w:p w14:paraId="01E51EDC">
      <w:pPr>
        <w:adjustRightInd/>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一、工程质量保修范围和内容</w:t>
      </w:r>
    </w:p>
    <w:p w14:paraId="63FC6EE7">
      <w:pPr>
        <w:adjustRightInd/>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承包人在质量保修期内，按照有关法律规定和合同约定，承担工程质量保修责任。</w:t>
      </w:r>
    </w:p>
    <w:p w14:paraId="0B92CE24">
      <w:pPr>
        <w:adjustRightInd/>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4C5FAD3E">
      <w:pPr>
        <w:adjustRightInd/>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 xml:space="preserve">   </w:t>
      </w:r>
      <w:bookmarkStart w:id="389" w:name="SOA_zyht_gczlbxfw"/>
      <w:r>
        <w:rPr>
          <w:rFonts w:hint="eastAsia" w:ascii="宋体" w:hAnsi="宋体" w:cs="宋体"/>
          <w:snapToGrid w:val="0"/>
          <w:color w:val="auto"/>
          <w:kern w:val="0"/>
          <w:szCs w:val="21"/>
          <w:highlight w:val="none"/>
          <w:u w:val="single"/>
        </w:rPr>
        <w:t xml:space="preserve">   双方约定对施工承包范围内的所有内容实行保修   </w:t>
      </w:r>
      <w:bookmarkEnd w:id="389"/>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w:t>
      </w:r>
    </w:p>
    <w:p w14:paraId="28705A23">
      <w:pPr>
        <w:adjustRightInd/>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二、质量保修期</w:t>
      </w:r>
    </w:p>
    <w:p w14:paraId="46F06EC9">
      <w:pPr>
        <w:adjustRightInd/>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根据《建设工程质量管理条例》及有关规定，工程的质量保修期如下：</w:t>
      </w:r>
    </w:p>
    <w:p w14:paraId="1B251F7C">
      <w:pPr>
        <w:adjustRightInd/>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1．地基基础工程和主体结构工程为设计文件规定的工程合理使用年限；</w:t>
      </w:r>
    </w:p>
    <w:p w14:paraId="5DB36A51">
      <w:pPr>
        <w:adjustRightInd/>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2．屋面防水工程、有防水要求的卫生间、房间和外墙面的防渗为</w:t>
      </w:r>
      <w:r>
        <w:rPr>
          <w:rFonts w:hint="eastAsia" w:ascii="宋体" w:hAnsi="宋体" w:cs="宋体"/>
          <w:snapToGrid w:val="0"/>
          <w:color w:val="auto"/>
          <w:kern w:val="0"/>
          <w:szCs w:val="21"/>
          <w:highlight w:val="none"/>
          <w:u w:val="single"/>
        </w:rPr>
        <w:t xml:space="preserve"> 5 </w:t>
      </w:r>
      <w:r>
        <w:rPr>
          <w:rFonts w:hint="eastAsia" w:ascii="宋体" w:hAnsi="宋体" w:cs="宋体"/>
          <w:snapToGrid w:val="0"/>
          <w:color w:val="auto"/>
          <w:kern w:val="0"/>
          <w:szCs w:val="21"/>
          <w:highlight w:val="none"/>
        </w:rPr>
        <w:t>年；</w:t>
      </w:r>
    </w:p>
    <w:p w14:paraId="1B712987">
      <w:pPr>
        <w:adjustRightInd/>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3．装修工程为</w:t>
      </w:r>
      <w:r>
        <w:rPr>
          <w:rFonts w:hint="eastAsia" w:ascii="宋体" w:hAnsi="宋体" w:cs="宋体"/>
          <w:snapToGrid w:val="0"/>
          <w:color w:val="auto"/>
          <w:kern w:val="0"/>
          <w:szCs w:val="21"/>
          <w:highlight w:val="none"/>
          <w:u w:val="single"/>
        </w:rPr>
        <w:t xml:space="preserve">  2  </w:t>
      </w:r>
      <w:r>
        <w:rPr>
          <w:rFonts w:hint="eastAsia" w:ascii="宋体" w:hAnsi="宋体" w:cs="宋体"/>
          <w:snapToGrid w:val="0"/>
          <w:color w:val="auto"/>
          <w:kern w:val="0"/>
          <w:szCs w:val="21"/>
          <w:highlight w:val="none"/>
        </w:rPr>
        <w:t>年；</w:t>
      </w:r>
    </w:p>
    <w:p w14:paraId="6A254D49">
      <w:pPr>
        <w:adjustRightInd/>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4．电气管线、给排水管道、设备安装工程为</w:t>
      </w:r>
      <w:bookmarkStart w:id="390" w:name="SOA_zyht_azbxnx"/>
      <w:r>
        <w:rPr>
          <w:rFonts w:hint="eastAsia" w:ascii="宋体" w:hAnsi="宋体" w:cs="宋体"/>
          <w:snapToGrid w:val="0"/>
          <w:color w:val="auto"/>
          <w:kern w:val="0"/>
          <w:szCs w:val="21"/>
          <w:highlight w:val="none"/>
          <w:u w:val="single"/>
        </w:rPr>
        <w:t xml:space="preserve"> </w:t>
      </w:r>
      <w:bookmarkEnd w:id="390"/>
      <w:r>
        <w:rPr>
          <w:rFonts w:hint="eastAsia" w:ascii="宋体" w:hAnsi="宋体" w:cs="宋体"/>
          <w:snapToGrid w:val="0"/>
          <w:color w:val="auto"/>
          <w:kern w:val="0"/>
          <w:szCs w:val="21"/>
          <w:highlight w:val="none"/>
          <w:u w:val="single"/>
        </w:rPr>
        <w:t xml:space="preserve">2  </w:t>
      </w:r>
      <w:r>
        <w:rPr>
          <w:rFonts w:hint="eastAsia" w:ascii="宋体" w:hAnsi="宋体" w:cs="宋体"/>
          <w:snapToGrid w:val="0"/>
          <w:color w:val="auto"/>
          <w:kern w:val="0"/>
          <w:szCs w:val="21"/>
          <w:highlight w:val="none"/>
        </w:rPr>
        <w:t>年；</w:t>
      </w:r>
    </w:p>
    <w:p w14:paraId="40F99997">
      <w:pPr>
        <w:adjustRightInd/>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5．供热与供冷系统为</w:t>
      </w:r>
      <w:r>
        <w:rPr>
          <w:rFonts w:hint="eastAsia" w:ascii="宋体" w:hAnsi="宋体" w:cs="宋体"/>
          <w:snapToGrid w:val="0"/>
          <w:color w:val="auto"/>
          <w:kern w:val="0"/>
          <w:szCs w:val="21"/>
          <w:highlight w:val="none"/>
          <w:u w:val="single"/>
        </w:rPr>
        <w:t xml:space="preserve"> 2 </w:t>
      </w:r>
      <w:r>
        <w:rPr>
          <w:rFonts w:hint="eastAsia" w:ascii="宋体" w:hAnsi="宋体" w:cs="宋体"/>
          <w:snapToGrid w:val="0"/>
          <w:color w:val="auto"/>
          <w:kern w:val="0"/>
          <w:szCs w:val="21"/>
          <w:highlight w:val="none"/>
        </w:rPr>
        <w:t>个采暖期、供冷期；</w:t>
      </w:r>
    </w:p>
    <w:p w14:paraId="4FFB2F5E">
      <w:pPr>
        <w:adjustRightInd/>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6．住宅小区内的给排水设施、道路等配套工程为</w:t>
      </w:r>
      <w:r>
        <w:rPr>
          <w:rFonts w:hint="eastAsia" w:ascii="宋体" w:hAnsi="宋体" w:cs="宋体"/>
          <w:snapToGrid w:val="0"/>
          <w:color w:val="auto"/>
          <w:kern w:val="0"/>
          <w:szCs w:val="21"/>
          <w:highlight w:val="none"/>
          <w:u w:val="single"/>
        </w:rPr>
        <w:t xml:space="preserve">2 </w:t>
      </w:r>
      <w:r>
        <w:rPr>
          <w:rFonts w:hint="eastAsia" w:ascii="宋体" w:hAnsi="宋体" w:cs="宋体"/>
          <w:snapToGrid w:val="0"/>
          <w:color w:val="auto"/>
          <w:kern w:val="0"/>
          <w:szCs w:val="21"/>
          <w:highlight w:val="none"/>
        </w:rPr>
        <w:t>年；</w:t>
      </w:r>
    </w:p>
    <w:p w14:paraId="51E2CDFA">
      <w:pPr>
        <w:adjustRightInd/>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7．其他项目保修期限约定如下：</w:t>
      </w:r>
      <w:r>
        <w:rPr>
          <w:rFonts w:hint="eastAsia" w:ascii="宋体" w:hAnsi="宋体" w:cs="宋体"/>
          <w:snapToGrid w:val="0"/>
          <w:color w:val="auto"/>
          <w:kern w:val="0"/>
          <w:szCs w:val="21"/>
          <w:highlight w:val="none"/>
          <w:u w:val="single"/>
        </w:rPr>
        <w:t xml:space="preserve"> 防水不少于5年  </w:t>
      </w:r>
      <w:r>
        <w:rPr>
          <w:rFonts w:hint="eastAsia" w:ascii="宋体" w:hAnsi="宋体" w:cs="宋体"/>
          <w:snapToGrid w:val="0"/>
          <w:color w:val="auto"/>
          <w:kern w:val="0"/>
          <w:szCs w:val="21"/>
          <w:highlight w:val="none"/>
        </w:rPr>
        <w:t>。</w:t>
      </w:r>
    </w:p>
    <w:p w14:paraId="7C24C95D">
      <w:pPr>
        <w:adjustRightInd/>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质量保修期自工程竣工验收合格之日起计算。</w:t>
      </w:r>
    </w:p>
    <w:p w14:paraId="63F8AA11">
      <w:pPr>
        <w:adjustRightInd/>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三、缺陷责任期</w:t>
      </w:r>
    </w:p>
    <w:p w14:paraId="30DF2643">
      <w:pPr>
        <w:adjustRightInd/>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工程缺陷责任期为</w:t>
      </w:r>
      <w:bookmarkStart w:id="391" w:name="SOA_zyht_gcqxq"/>
      <w:r>
        <w:rPr>
          <w:rFonts w:hint="eastAsia" w:ascii="宋体" w:hAnsi="宋体" w:cs="宋体"/>
          <w:snapToGrid w:val="0"/>
          <w:color w:val="auto"/>
          <w:kern w:val="0"/>
          <w:szCs w:val="21"/>
          <w:highlight w:val="none"/>
          <w:u w:val="single"/>
        </w:rPr>
        <w:t xml:space="preserve"> 24 </w:t>
      </w:r>
      <w:bookmarkEnd w:id="391"/>
      <w:r>
        <w:rPr>
          <w:rFonts w:hint="eastAsia" w:ascii="宋体" w:hAnsi="宋体" w:cs="宋体"/>
          <w:snapToGrid w:val="0"/>
          <w:color w:val="auto"/>
          <w:kern w:val="0"/>
          <w:szCs w:val="21"/>
          <w:highlight w:val="none"/>
        </w:rPr>
        <w:t>个月，缺陷责任期自工程通过竣工验收合格之日起计算。单位工程先于全部工程进行验收，单位工程缺陷责任期自单位工程验收合格之日起计算。</w:t>
      </w:r>
    </w:p>
    <w:p w14:paraId="5322EB43">
      <w:pPr>
        <w:adjustRightInd/>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四、质量保修责任</w:t>
      </w:r>
    </w:p>
    <w:p w14:paraId="4E3D51D7">
      <w:pPr>
        <w:adjustRightInd/>
        <w:spacing w:line="360" w:lineRule="auto"/>
        <w:ind w:left="105" w:leftChars="50" w:firstLine="430" w:firstLineChars="205"/>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1．属于保修范围、内容的项目，承包人应当在接到保修通知之日起7天内派人保修。承包人不在约定期限内派人保修的，发包人可以委托他人修理。</w:t>
      </w:r>
    </w:p>
    <w:p w14:paraId="67D68C59">
      <w:pPr>
        <w:adjustRightInd/>
        <w:spacing w:line="360" w:lineRule="auto"/>
        <w:ind w:left="105" w:leftChars="50" w:firstLine="430" w:firstLineChars="205"/>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2．发生紧急事故需抢修的，承包人在接到事故通知后，应当立即到达事故现场抢修。</w:t>
      </w:r>
    </w:p>
    <w:p w14:paraId="4E142780">
      <w:pPr>
        <w:adjustRightInd/>
        <w:spacing w:line="360" w:lineRule="auto"/>
        <w:ind w:left="105" w:leftChars="50" w:firstLine="430" w:firstLineChars="205"/>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CE44AAE">
      <w:pPr>
        <w:adjustRightInd/>
        <w:spacing w:line="360" w:lineRule="auto"/>
        <w:ind w:left="420" w:leftChars="200" w:firstLine="105" w:firstLineChars="5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4．质量保修完成后，由发包人组织验收。</w:t>
      </w:r>
    </w:p>
    <w:p w14:paraId="1DD9A46C">
      <w:pPr>
        <w:adjustRightInd/>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五、保修费用</w:t>
      </w:r>
    </w:p>
    <w:p w14:paraId="3068D496">
      <w:pPr>
        <w:adjustRightInd/>
        <w:spacing w:line="360" w:lineRule="auto"/>
        <w:ind w:firstLine="48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保修费用由造成质量缺陷的责任方承担。</w:t>
      </w:r>
    </w:p>
    <w:p w14:paraId="1C38FB78">
      <w:pPr>
        <w:adjustRightInd/>
        <w:spacing w:line="360" w:lineRule="auto"/>
        <w:jc w:val="left"/>
        <w:rPr>
          <w:rFonts w:ascii="宋体" w:hAnsi="宋体" w:cs="宋体"/>
          <w:snapToGrid w:val="0"/>
          <w:color w:val="auto"/>
          <w:kern w:val="0"/>
          <w:szCs w:val="21"/>
          <w:highlight w:val="none"/>
          <w:u w:val="single"/>
        </w:rPr>
      </w:pPr>
      <w:r>
        <w:rPr>
          <w:rFonts w:hint="eastAsia" w:ascii="宋体" w:hAnsi="宋体" w:cs="宋体"/>
          <w:bCs/>
          <w:snapToGrid w:val="0"/>
          <w:color w:val="auto"/>
          <w:kern w:val="0"/>
          <w:szCs w:val="21"/>
          <w:highlight w:val="none"/>
        </w:rPr>
        <w:t>六</w:t>
      </w:r>
      <w:r>
        <w:rPr>
          <w:rFonts w:hint="eastAsia" w:ascii="宋体" w:hAnsi="宋体" w:cs="宋体"/>
          <w:snapToGrid w:val="0"/>
          <w:color w:val="auto"/>
          <w:kern w:val="0"/>
          <w:szCs w:val="21"/>
          <w:highlight w:val="none"/>
        </w:rPr>
        <w:t>、双方约定的其他工程质量保修事项：</w:t>
      </w:r>
      <w:r>
        <w:rPr>
          <w:rFonts w:hint="eastAsia" w:ascii="宋体" w:hAnsi="宋体" w:cs="宋体"/>
          <w:snapToGrid w:val="0"/>
          <w:color w:val="auto"/>
          <w:kern w:val="0"/>
          <w:szCs w:val="21"/>
          <w:highlight w:val="none"/>
          <w:u w:val="single"/>
          <w:lang w:val="en-US" w:eastAsia="zh-CN"/>
        </w:rPr>
        <w:t xml:space="preserve">                               </w:t>
      </w:r>
      <w:r>
        <w:rPr>
          <w:rFonts w:hint="eastAsia" w:ascii="宋体" w:hAnsi="宋体" w:cs="宋体"/>
          <w:snapToGrid w:val="0"/>
          <w:color w:val="auto"/>
          <w:kern w:val="0"/>
          <w:szCs w:val="21"/>
          <w:highlight w:val="none"/>
          <w:u w:val="single"/>
        </w:rPr>
        <w:t>。</w:t>
      </w:r>
    </w:p>
    <w:p w14:paraId="7FD196E2">
      <w:pPr>
        <w:adjustRightInd/>
        <w:spacing w:line="360" w:lineRule="auto"/>
        <w:ind w:firstLine="6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lang w:eastAsia="zh-CN"/>
        </w:rPr>
        <w:t>发包人</w:t>
      </w:r>
      <w:r>
        <w:rPr>
          <w:rFonts w:hint="eastAsia" w:ascii="宋体" w:hAnsi="宋体" w:cs="宋体"/>
          <w:snapToGrid w:val="0"/>
          <w:color w:val="auto"/>
          <w:kern w:val="0"/>
          <w:szCs w:val="21"/>
          <w:highlight w:val="none"/>
          <w:u w:val="single"/>
        </w:rPr>
        <w:t>在保修期内发现质量问题并通知</w:t>
      </w:r>
      <w:r>
        <w:rPr>
          <w:rFonts w:hint="eastAsia" w:ascii="宋体" w:hAnsi="宋体" w:cs="宋体"/>
          <w:snapToGrid w:val="0"/>
          <w:color w:val="auto"/>
          <w:kern w:val="0"/>
          <w:szCs w:val="21"/>
          <w:highlight w:val="none"/>
          <w:u w:val="single"/>
          <w:lang w:eastAsia="zh-CN"/>
        </w:rPr>
        <w:t>承包人</w:t>
      </w:r>
      <w:r>
        <w:rPr>
          <w:rFonts w:hint="eastAsia" w:ascii="宋体" w:hAnsi="宋体" w:cs="宋体"/>
          <w:snapToGrid w:val="0"/>
          <w:color w:val="auto"/>
          <w:kern w:val="0"/>
          <w:szCs w:val="21"/>
          <w:highlight w:val="none"/>
          <w:u w:val="single"/>
        </w:rPr>
        <w:t>，</w:t>
      </w:r>
      <w:r>
        <w:rPr>
          <w:rFonts w:hint="eastAsia" w:ascii="宋体" w:hAnsi="宋体" w:cs="宋体"/>
          <w:snapToGrid w:val="0"/>
          <w:color w:val="auto"/>
          <w:kern w:val="0"/>
          <w:szCs w:val="21"/>
          <w:highlight w:val="none"/>
          <w:u w:val="single"/>
          <w:lang w:eastAsia="zh-CN"/>
        </w:rPr>
        <w:t>承包人</w:t>
      </w:r>
      <w:r>
        <w:rPr>
          <w:rFonts w:hint="eastAsia" w:ascii="宋体" w:hAnsi="宋体" w:cs="宋体"/>
          <w:snapToGrid w:val="0"/>
          <w:color w:val="auto"/>
          <w:kern w:val="0"/>
          <w:szCs w:val="21"/>
          <w:highlight w:val="none"/>
          <w:u w:val="single"/>
        </w:rPr>
        <w:t>应及时派专业人员进行维修，如</w:t>
      </w:r>
      <w:r>
        <w:rPr>
          <w:rFonts w:hint="eastAsia" w:ascii="宋体" w:hAnsi="宋体" w:cs="宋体"/>
          <w:snapToGrid w:val="0"/>
          <w:color w:val="auto"/>
          <w:kern w:val="0"/>
          <w:szCs w:val="21"/>
          <w:highlight w:val="none"/>
          <w:u w:val="single"/>
          <w:lang w:eastAsia="zh-CN"/>
        </w:rPr>
        <w:t>承包人</w:t>
      </w:r>
      <w:r>
        <w:rPr>
          <w:rFonts w:hint="eastAsia" w:ascii="宋体" w:hAnsi="宋体" w:cs="宋体"/>
          <w:snapToGrid w:val="0"/>
          <w:color w:val="auto"/>
          <w:kern w:val="0"/>
          <w:szCs w:val="21"/>
          <w:highlight w:val="none"/>
          <w:u w:val="single"/>
        </w:rPr>
        <w:t>未及时派专业人员进行维修，</w:t>
      </w:r>
      <w:r>
        <w:rPr>
          <w:rFonts w:hint="eastAsia" w:ascii="宋体" w:hAnsi="宋体" w:cs="宋体"/>
          <w:snapToGrid w:val="0"/>
          <w:color w:val="auto"/>
          <w:kern w:val="0"/>
          <w:szCs w:val="21"/>
          <w:highlight w:val="none"/>
          <w:u w:val="single"/>
          <w:lang w:eastAsia="zh-CN"/>
        </w:rPr>
        <w:t>发包人</w:t>
      </w:r>
      <w:r>
        <w:rPr>
          <w:rFonts w:hint="eastAsia" w:ascii="宋体" w:hAnsi="宋体" w:cs="宋体"/>
          <w:snapToGrid w:val="0"/>
          <w:color w:val="auto"/>
          <w:kern w:val="0"/>
          <w:szCs w:val="21"/>
          <w:highlight w:val="none"/>
          <w:u w:val="single"/>
        </w:rPr>
        <w:t>有权请其它人进行维修，同时</w:t>
      </w:r>
      <w:r>
        <w:rPr>
          <w:rFonts w:hint="eastAsia" w:ascii="宋体" w:hAnsi="宋体" w:cs="宋体"/>
          <w:snapToGrid w:val="0"/>
          <w:color w:val="auto"/>
          <w:kern w:val="0"/>
          <w:szCs w:val="21"/>
          <w:highlight w:val="none"/>
          <w:u w:val="single"/>
          <w:lang w:eastAsia="zh-CN"/>
        </w:rPr>
        <w:t>承包人</w:t>
      </w:r>
      <w:r>
        <w:rPr>
          <w:rFonts w:hint="eastAsia" w:ascii="宋体" w:hAnsi="宋体" w:cs="宋体"/>
          <w:snapToGrid w:val="0"/>
          <w:color w:val="auto"/>
          <w:kern w:val="0"/>
          <w:szCs w:val="21"/>
          <w:highlight w:val="none"/>
          <w:u w:val="single"/>
        </w:rPr>
        <w:t>将承担因维修延误给</w:t>
      </w:r>
      <w:r>
        <w:rPr>
          <w:rFonts w:hint="eastAsia" w:ascii="宋体" w:hAnsi="宋体" w:cs="宋体"/>
          <w:snapToGrid w:val="0"/>
          <w:color w:val="auto"/>
          <w:kern w:val="0"/>
          <w:szCs w:val="21"/>
          <w:highlight w:val="none"/>
          <w:u w:val="single"/>
          <w:lang w:eastAsia="zh-CN"/>
        </w:rPr>
        <w:t>发包人</w:t>
      </w:r>
      <w:r>
        <w:rPr>
          <w:rFonts w:hint="eastAsia" w:ascii="宋体" w:hAnsi="宋体" w:cs="宋体"/>
          <w:snapToGrid w:val="0"/>
          <w:color w:val="auto"/>
          <w:kern w:val="0"/>
          <w:szCs w:val="21"/>
          <w:highlight w:val="none"/>
          <w:u w:val="single"/>
        </w:rPr>
        <w:t>造成的一切损失</w:t>
      </w:r>
      <w:r>
        <w:rPr>
          <w:rFonts w:hint="eastAsia" w:ascii="宋体" w:hAnsi="宋体" w:cs="宋体"/>
          <w:snapToGrid w:val="0"/>
          <w:color w:val="auto"/>
          <w:kern w:val="0"/>
          <w:szCs w:val="21"/>
          <w:highlight w:val="none"/>
        </w:rPr>
        <w:t>。</w:t>
      </w:r>
    </w:p>
    <w:p w14:paraId="38E9549B">
      <w:pPr>
        <w:adjustRightInd/>
        <w:spacing w:line="360" w:lineRule="auto"/>
        <w:ind w:firstLine="399" w:firstLineChars="19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工程质量保修书由发包人、承包人在工程竣工验收前共同签署，作为施工合同附件，其有效期限至保修期满。</w:t>
      </w:r>
    </w:p>
    <w:p w14:paraId="155E8317">
      <w:pPr>
        <w:adjustRightInd/>
        <w:spacing w:line="300" w:lineRule="auto"/>
        <w:rPr>
          <w:rFonts w:hint="eastAsia" w:ascii="宋体" w:hAnsi="宋体" w:cs="宋体"/>
          <w:snapToGrid w:val="0"/>
          <w:color w:val="auto"/>
          <w:kern w:val="0"/>
          <w:szCs w:val="21"/>
          <w:highlight w:val="none"/>
        </w:rPr>
      </w:pPr>
    </w:p>
    <w:tbl>
      <w:tblPr>
        <w:tblStyle w:val="6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81"/>
        <w:gridCol w:w="4981"/>
      </w:tblGrid>
      <w:tr w14:paraId="04E10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81" w:type="dxa"/>
          </w:tcPr>
          <w:p w14:paraId="1BE73542">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发包人（</w:t>
            </w:r>
            <w:r>
              <w:rPr>
                <w:rFonts w:hint="eastAsia" w:ascii="宋体" w:hAnsi="宋体" w:cs="宋体"/>
                <w:color w:val="auto"/>
                <w:sz w:val="24"/>
                <w:highlight w:val="none"/>
                <w:lang w:val="en-US" w:eastAsia="zh-CN"/>
              </w:rPr>
              <w:t>盖</w:t>
            </w:r>
            <w:r>
              <w:rPr>
                <w:rFonts w:hint="eastAsia" w:ascii="宋体" w:hAnsi="宋体" w:cs="宋体"/>
                <w:color w:val="auto"/>
                <w:sz w:val="24"/>
                <w:highlight w:val="none"/>
              </w:rPr>
              <w:t>章）：</w:t>
            </w:r>
          </w:p>
          <w:p w14:paraId="39DC76D5">
            <w:pPr>
              <w:pStyle w:val="80"/>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法定代表人或受委托人（签字）：</w:t>
            </w:r>
          </w:p>
          <w:p w14:paraId="4CABB0AF">
            <w:pPr>
              <w:pStyle w:val="80"/>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联系人：</w:t>
            </w:r>
          </w:p>
          <w:p w14:paraId="28FA6BAC">
            <w:pPr>
              <w:pStyle w:val="80"/>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地址：</w:t>
            </w:r>
          </w:p>
          <w:p w14:paraId="2E00F9F7">
            <w:pPr>
              <w:pStyle w:val="80"/>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电话：</w:t>
            </w:r>
          </w:p>
          <w:p w14:paraId="6282312A">
            <w:pPr>
              <w:pStyle w:val="80"/>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传真：</w:t>
            </w:r>
          </w:p>
          <w:p w14:paraId="40A1FB64">
            <w:pPr>
              <w:pStyle w:val="80"/>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开户银行：</w:t>
            </w:r>
          </w:p>
          <w:p w14:paraId="78B78E22">
            <w:pPr>
              <w:pStyle w:val="80"/>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帐号：</w:t>
            </w:r>
          </w:p>
          <w:p w14:paraId="62B34118">
            <w:pPr>
              <w:pStyle w:val="80"/>
              <w:spacing w:line="360" w:lineRule="auto"/>
              <w:jc w:val="both"/>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签订时间：</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 年   月   日</w:t>
            </w:r>
          </w:p>
        </w:tc>
        <w:tc>
          <w:tcPr>
            <w:tcW w:w="4981" w:type="dxa"/>
          </w:tcPr>
          <w:p w14:paraId="5E8A4D23">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承包人</w:t>
            </w:r>
            <w:r>
              <w:rPr>
                <w:rFonts w:hint="eastAsia" w:ascii="宋体" w:hAnsi="宋体" w:cs="宋体"/>
                <w:color w:val="auto"/>
                <w:sz w:val="24"/>
                <w:highlight w:val="none"/>
              </w:rPr>
              <w:t>（盖章）：</w:t>
            </w:r>
          </w:p>
          <w:p w14:paraId="29CB4AE7">
            <w:pPr>
              <w:pStyle w:val="80"/>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法定代表人或受委托人（签字）：</w:t>
            </w:r>
          </w:p>
          <w:p w14:paraId="1D0D1275">
            <w:pPr>
              <w:pStyle w:val="80"/>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联系人：</w:t>
            </w:r>
          </w:p>
          <w:p w14:paraId="4D4269C5">
            <w:pPr>
              <w:pStyle w:val="80"/>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地址：</w:t>
            </w:r>
          </w:p>
          <w:p w14:paraId="19B11C79">
            <w:pPr>
              <w:pStyle w:val="80"/>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电话：</w:t>
            </w:r>
          </w:p>
          <w:p w14:paraId="1C8EF9ED">
            <w:pPr>
              <w:pStyle w:val="80"/>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传真：</w:t>
            </w:r>
          </w:p>
          <w:p w14:paraId="4249815C">
            <w:pPr>
              <w:pStyle w:val="80"/>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开户银行：</w:t>
            </w:r>
          </w:p>
          <w:p w14:paraId="7C844B81">
            <w:pPr>
              <w:pStyle w:val="80"/>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帐号：</w:t>
            </w:r>
          </w:p>
          <w:p w14:paraId="28CBC619">
            <w:pPr>
              <w:pStyle w:val="80"/>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签订时间：   </w:t>
            </w:r>
            <w:r>
              <w:rPr>
                <w:rFonts w:hint="eastAsia" w:ascii="宋体" w:hAnsi="宋体" w:cs="宋体"/>
                <w:color w:val="auto"/>
                <w:sz w:val="24"/>
                <w:szCs w:val="24"/>
                <w:highlight w:val="none"/>
              </w:rPr>
              <w:t xml:space="preserve"> 年   月   日</w:t>
            </w:r>
          </w:p>
        </w:tc>
      </w:tr>
    </w:tbl>
    <w:p w14:paraId="50867419">
      <w:pPr>
        <w:spacing w:line="360" w:lineRule="auto"/>
        <w:ind w:left="-420" w:leftChars="-200" w:right="-420" w:rightChars="-200" w:firstLine="480" w:firstLineChars="200"/>
        <w:jc w:val="center"/>
        <w:outlineLvl w:val="0"/>
        <w:rPr>
          <w:rFonts w:ascii="宋体" w:hAnsi="宋体" w:cs="宋体"/>
          <w:color w:val="auto"/>
          <w:sz w:val="24"/>
          <w:highlight w:val="none"/>
        </w:rPr>
      </w:pPr>
    </w:p>
    <w:p w14:paraId="3F637CAA">
      <w:pPr>
        <w:spacing w:line="360" w:lineRule="auto"/>
        <w:ind w:left="-420" w:leftChars="-200" w:right="-420" w:rightChars="-200" w:firstLine="480" w:firstLineChars="200"/>
        <w:jc w:val="center"/>
        <w:outlineLvl w:val="0"/>
        <w:rPr>
          <w:rFonts w:ascii="宋体" w:hAnsi="宋体" w:cs="宋体"/>
          <w:color w:val="auto"/>
          <w:sz w:val="24"/>
          <w:highlight w:val="none"/>
        </w:rPr>
        <w:sectPr>
          <w:headerReference r:id="rId8" w:type="first"/>
          <w:footerReference r:id="rId10" w:type="first"/>
          <w:footerReference r:id="rId9" w:type="default"/>
          <w:pgSz w:w="11906" w:h="16838"/>
          <w:pgMar w:top="1440" w:right="1080" w:bottom="1440" w:left="1080" w:header="851" w:footer="992" w:gutter="0"/>
          <w:cols w:space="720" w:num="1"/>
          <w:titlePg/>
          <w:docGrid w:linePitch="312" w:charSpace="0"/>
        </w:sectPr>
      </w:pPr>
    </w:p>
    <w:p w14:paraId="2D1758A9">
      <w:pPr>
        <w:snapToGrid w:val="0"/>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83"/>
      <w:r>
        <w:rPr>
          <w:rFonts w:hint="eastAsia" w:ascii="宋体" w:hAnsi="宋体" w:cs="宋体"/>
          <w:b/>
          <w:color w:val="auto"/>
          <w:sz w:val="36"/>
          <w:szCs w:val="20"/>
          <w:highlight w:val="none"/>
        </w:rPr>
        <w:t xml:space="preserve"> </w:t>
      </w:r>
      <w:bookmarkEnd w:id="384"/>
      <w:r>
        <w:rPr>
          <w:rFonts w:hint="eastAsia" w:ascii="宋体" w:hAnsi="宋体" w:cs="宋体"/>
          <w:b/>
          <w:color w:val="auto"/>
          <w:sz w:val="36"/>
          <w:szCs w:val="20"/>
          <w:highlight w:val="none"/>
        </w:rPr>
        <w:t>应提交的有关格式范例</w:t>
      </w:r>
    </w:p>
    <w:p w14:paraId="7B752FB7">
      <w:pPr>
        <w:spacing w:line="360" w:lineRule="auto"/>
        <w:jc w:val="center"/>
        <w:outlineLvl w:val="0"/>
        <w:rPr>
          <w:rFonts w:ascii="宋体" w:hAnsi="宋体" w:cs="宋体"/>
          <w:b/>
          <w:color w:val="auto"/>
          <w:kern w:val="0"/>
          <w:sz w:val="36"/>
          <w:szCs w:val="36"/>
          <w:highlight w:val="none"/>
        </w:rPr>
      </w:pPr>
    </w:p>
    <w:p w14:paraId="1DD6960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6D1AAC16">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FCEB0C4">
      <w:pPr>
        <w:spacing w:line="360" w:lineRule="auto"/>
        <w:jc w:val="center"/>
        <w:outlineLvl w:val="0"/>
        <w:rPr>
          <w:rFonts w:ascii="宋体" w:hAnsi="宋体" w:cs="宋体"/>
          <w:b/>
          <w:color w:val="auto"/>
          <w:kern w:val="0"/>
          <w:sz w:val="36"/>
          <w:szCs w:val="36"/>
          <w:highlight w:val="none"/>
        </w:rPr>
      </w:pPr>
    </w:p>
    <w:p w14:paraId="00A2C373">
      <w:pPr>
        <w:numPr>
          <w:ilvl w:val="0"/>
          <w:numId w:val="10"/>
        </w:numPr>
        <w:snapToGrid w:val="0"/>
        <w:spacing w:line="360" w:lineRule="auto"/>
        <w:ind w:left="0" w:leftChars="0" w:firstLine="420" w:firstLineChars="0"/>
        <w:rPr>
          <w:rFonts w:ascii="宋体" w:hAnsi="宋体" w:cs="宋体"/>
          <w:color w:val="auto"/>
          <w:sz w:val="24"/>
          <w:highlight w:val="none"/>
        </w:rPr>
      </w:pPr>
      <w:r>
        <w:rPr>
          <w:rFonts w:hint="eastAsia" w:ascii="宋体" w:hAnsi="宋体" w:cs="宋体"/>
          <w:color w:val="auto"/>
          <w:sz w:val="24"/>
          <w:highlight w:val="none"/>
        </w:rPr>
        <w:t>符合参加</w:t>
      </w:r>
      <w:r>
        <w:rPr>
          <w:rFonts w:hint="eastAsia" w:ascii="宋体" w:hAnsi="宋体" w:cs="宋体"/>
          <w:color w:val="auto"/>
          <w:sz w:val="24"/>
          <w:highlight w:val="none"/>
          <w:lang w:eastAsia="zh-CN"/>
        </w:rPr>
        <w:t>采购</w:t>
      </w:r>
      <w:r>
        <w:rPr>
          <w:rFonts w:hint="eastAsia" w:ascii="宋体" w:hAnsi="宋体" w:cs="宋体"/>
          <w:color w:val="auto"/>
          <w:sz w:val="24"/>
          <w:highlight w:val="none"/>
        </w:rPr>
        <w:t>活动应当具备的一般条件的承诺函……………（页码）</w:t>
      </w:r>
    </w:p>
    <w:p w14:paraId="52639AA1">
      <w:pPr>
        <w:numPr>
          <w:ilvl w:val="0"/>
          <w:numId w:val="10"/>
        </w:numPr>
        <w:snapToGrid w:val="0"/>
        <w:spacing w:line="360" w:lineRule="auto"/>
        <w:ind w:left="0" w:leftChars="0" w:firstLine="420" w:firstLineChars="0"/>
        <w:rPr>
          <w:rFonts w:ascii="宋体" w:hAnsi="宋体" w:cs="宋体"/>
          <w:color w:val="auto"/>
          <w:sz w:val="24"/>
          <w:highlight w:val="none"/>
        </w:rPr>
      </w:pPr>
      <w:r>
        <w:rPr>
          <w:rFonts w:hint="eastAsia" w:ascii="宋体" w:hAnsi="宋体" w:cs="宋体"/>
          <w:snapToGrid w:val="0"/>
          <w:color w:val="auto"/>
          <w:kern w:val="28"/>
          <w:sz w:val="24"/>
          <w:szCs w:val="20"/>
          <w:highlight w:val="none"/>
        </w:rPr>
        <w:t>联合协议</w:t>
      </w:r>
      <w:r>
        <w:rPr>
          <w:rFonts w:hint="eastAsia" w:ascii="宋体" w:hAnsi="宋体" w:cs="宋体"/>
          <w:color w:val="auto"/>
          <w:sz w:val="24"/>
          <w:highlight w:val="none"/>
        </w:rPr>
        <w:t>…………………………………………………………（页码）</w:t>
      </w:r>
    </w:p>
    <w:p w14:paraId="410DBFDE">
      <w:pPr>
        <w:numPr>
          <w:ilvl w:val="0"/>
          <w:numId w:val="10"/>
        </w:numPr>
        <w:snapToGrid w:val="0"/>
        <w:spacing w:line="360" w:lineRule="auto"/>
        <w:ind w:left="0" w:leftChars="0" w:firstLine="420" w:firstLineChars="0"/>
        <w:rPr>
          <w:rFonts w:ascii="宋体" w:hAnsi="宋体" w:cs="宋体"/>
          <w:color w:val="auto"/>
          <w:sz w:val="24"/>
          <w:highlight w:val="none"/>
        </w:rPr>
      </w:pPr>
      <w:r>
        <w:rPr>
          <w:rFonts w:hint="eastAsia" w:ascii="宋体" w:hAnsi="宋体" w:cs="宋体"/>
          <w:color w:val="auto"/>
          <w:sz w:val="24"/>
          <w:highlight w:val="none"/>
        </w:rPr>
        <w:t>落实</w:t>
      </w:r>
      <w:r>
        <w:rPr>
          <w:rFonts w:hint="eastAsia" w:ascii="宋体" w:hAnsi="宋体" w:cs="宋体"/>
          <w:color w:val="auto"/>
          <w:sz w:val="24"/>
          <w:highlight w:val="none"/>
          <w:lang w:eastAsia="zh-CN"/>
        </w:rPr>
        <w:t>采购</w:t>
      </w:r>
      <w:r>
        <w:rPr>
          <w:rFonts w:hint="eastAsia" w:ascii="宋体" w:hAnsi="宋体" w:cs="宋体"/>
          <w:color w:val="auto"/>
          <w:sz w:val="24"/>
          <w:highlight w:val="none"/>
        </w:rPr>
        <w:t>政策需满足的资格要求………………………………（页码）</w:t>
      </w:r>
    </w:p>
    <w:p w14:paraId="6085D211">
      <w:pPr>
        <w:numPr>
          <w:ilvl w:val="0"/>
          <w:numId w:val="10"/>
        </w:numPr>
        <w:snapToGrid w:val="0"/>
        <w:spacing w:line="360" w:lineRule="auto"/>
        <w:ind w:left="0" w:leftChars="0" w:firstLine="420" w:firstLineChars="0"/>
        <w:rPr>
          <w:rFonts w:ascii="宋体" w:hAnsi="宋体" w:cs="宋体"/>
          <w:color w:val="auto"/>
          <w:sz w:val="24"/>
          <w:highlight w:val="none"/>
        </w:rPr>
      </w:pPr>
      <w:r>
        <w:rPr>
          <w:rFonts w:hint="eastAsia" w:ascii="宋体" w:hAnsi="宋体" w:cs="宋体"/>
          <w:color w:val="auto"/>
          <w:sz w:val="24"/>
          <w:highlight w:val="none"/>
        </w:rPr>
        <w:t>本项目的特定资格要求…………………………………………（页码）</w:t>
      </w:r>
    </w:p>
    <w:p w14:paraId="3B679A5C">
      <w:pPr>
        <w:snapToGrid w:val="0"/>
        <w:spacing w:line="360" w:lineRule="auto"/>
        <w:ind w:firstLine="480" w:firstLineChars="200"/>
        <w:rPr>
          <w:rFonts w:ascii="宋体" w:hAnsi="宋体" w:cs="宋体"/>
          <w:color w:val="auto"/>
          <w:sz w:val="24"/>
          <w:highlight w:val="none"/>
        </w:rPr>
      </w:pPr>
    </w:p>
    <w:p w14:paraId="3CC34BF0">
      <w:pPr>
        <w:spacing w:line="360" w:lineRule="auto"/>
        <w:ind w:firstLine="480" w:firstLineChars="200"/>
        <w:rPr>
          <w:rFonts w:ascii="宋体" w:hAnsi="宋体" w:cs="宋体"/>
          <w:color w:val="auto"/>
          <w:sz w:val="24"/>
          <w:highlight w:val="none"/>
        </w:rPr>
      </w:pPr>
    </w:p>
    <w:p w14:paraId="21A6301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w:t>
      </w:r>
      <w:r>
        <w:rPr>
          <w:rFonts w:hint="eastAsia" w:ascii="宋体" w:hAnsi="宋体" w:cs="宋体"/>
          <w:b/>
          <w:color w:val="auto"/>
          <w:kern w:val="0"/>
          <w:sz w:val="32"/>
          <w:szCs w:val="32"/>
          <w:highlight w:val="none"/>
          <w:lang w:eastAsia="zh-CN"/>
        </w:rPr>
        <w:t>采购</w:t>
      </w:r>
      <w:r>
        <w:rPr>
          <w:rFonts w:hint="eastAsia" w:ascii="宋体" w:hAnsi="宋体" w:cs="宋体"/>
          <w:b/>
          <w:color w:val="auto"/>
          <w:kern w:val="0"/>
          <w:sz w:val="32"/>
          <w:szCs w:val="32"/>
          <w:highlight w:val="none"/>
        </w:rPr>
        <w:t>活动应当具备的一般条件的承诺函</w:t>
      </w:r>
    </w:p>
    <w:p w14:paraId="755692A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杭州高级中学钱塘学校</w:t>
      </w:r>
      <w:r>
        <w:rPr>
          <w:rFonts w:hint="eastAsia" w:ascii="宋体" w:hAnsi="宋体" w:cs="宋体"/>
          <w:color w:val="auto"/>
          <w:sz w:val="24"/>
          <w:highlight w:val="none"/>
        </w:rPr>
        <w:t>、</w:t>
      </w:r>
      <w:r>
        <w:rPr>
          <w:rFonts w:hint="eastAsia" w:ascii="宋体" w:hAnsi="宋体" w:cs="宋体"/>
          <w:color w:val="auto"/>
          <w:sz w:val="24"/>
          <w:highlight w:val="none"/>
          <w:lang w:eastAsia="zh-CN"/>
        </w:rPr>
        <w:t>浙江五石中正工程咨询有限公司</w:t>
      </w:r>
      <w:r>
        <w:rPr>
          <w:rFonts w:hint="eastAsia" w:ascii="宋体" w:hAnsi="宋体" w:cs="宋体"/>
          <w:color w:val="auto"/>
          <w:sz w:val="24"/>
          <w:highlight w:val="none"/>
        </w:rPr>
        <w:t>：</w:t>
      </w:r>
    </w:p>
    <w:p w14:paraId="35F1A62F">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校舍外墙外立面维修</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HGQT-2025-S01</w:t>
      </w:r>
      <w:r>
        <w:rPr>
          <w:rFonts w:hint="eastAsia" w:ascii="宋体" w:hAnsi="宋体" w:cs="宋体"/>
          <w:color w:val="auto"/>
          <w:sz w:val="24"/>
          <w:highlight w:val="none"/>
        </w:rPr>
        <w:t>】</w:t>
      </w:r>
      <w:r>
        <w:rPr>
          <w:rFonts w:hint="eastAsia" w:ascii="宋体" w:hAnsi="宋体" w:cs="宋体"/>
          <w:color w:val="auto"/>
          <w:sz w:val="24"/>
          <w:highlight w:val="none"/>
          <w:lang w:eastAsia="zh-CN"/>
        </w:rPr>
        <w:t>采购</w:t>
      </w:r>
      <w:r>
        <w:rPr>
          <w:rFonts w:hint="eastAsia" w:ascii="宋体" w:hAnsi="宋体" w:cs="宋体"/>
          <w:color w:val="auto"/>
          <w:sz w:val="24"/>
          <w:highlight w:val="none"/>
        </w:rPr>
        <w:t>活动，郑重承诺：</w:t>
      </w:r>
    </w:p>
    <w:p w14:paraId="3A9731BF">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3E42FD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5DF4B48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21BD665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3D574EC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79683A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66A3E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879CF5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（二）未被“信用中国”（www.creditchina.gov.cn)、中国政府采购网（www.ccgp.gov.cn）列入失信被执行人、重大税收违法失信主体、政府采购严重违法失信行为记录名单。</w:t>
      </w:r>
    </w:p>
    <w:p w14:paraId="4F69D39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730205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w:t>
      </w:r>
      <w:r>
        <w:rPr>
          <w:rFonts w:hint="eastAsia" w:ascii="宋体" w:hAnsi="宋体" w:cs="宋体"/>
          <w:color w:val="auto"/>
          <w:sz w:val="24"/>
          <w:highlight w:val="none"/>
          <w:lang w:eastAsia="zh-CN"/>
        </w:rPr>
        <w:t>采购</w:t>
      </w:r>
      <w:r>
        <w:rPr>
          <w:rFonts w:hint="eastAsia" w:ascii="宋体" w:hAnsi="宋体" w:cs="宋体"/>
          <w:color w:val="auto"/>
          <w:sz w:val="24"/>
          <w:highlight w:val="none"/>
        </w:rPr>
        <w:t>活动的；</w:t>
      </w:r>
    </w:p>
    <w:p w14:paraId="510D593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374A9F55">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4462DA5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D09BDCC">
      <w:pPr>
        <w:snapToGrid w:val="0"/>
        <w:spacing w:line="360" w:lineRule="auto"/>
        <w:ind w:right="480"/>
        <w:jc w:val="left"/>
        <w:rPr>
          <w:rFonts w:ascii="宋体" w:hAnsi="宋体" w:cs="宋体"/>
          <w:b/>
          <w:color w:val="auto"/>
          <w:kern w:val="0"/>
          <w:sz w:val="32"/>
          <w:szCs w:val="32"/>
          <w:highlight w:val="none"/>
        </w:rPr>
      </w:pPr>
    </w:p>
    <w:p w14:paraId="348EAEE3">
      <w:pPr>
        <w:snapToGrid w:val="0"/>
        <w:spacing w:line="360" w:lineRule="auto"/>
        <w:ind w:right="480"/>
        <w:jc w:val="left"/>
        <w:rPr>
          <w:rFonts w:ascii="宋体" w:hAnsi="宋体" w:cs="宋体"/>
          <w:b/>
          <w:color w:val="auto"/>
          <w:kern w:val="0"/>
          <w:sz w:val="32"/>
          <w:szCs w:val="32"/>
          <w:highlight w:val="none"/>
        </w:rPr>
      </w:pPr>
    </w:p>
    <w:p w14:paraId="0C3C0F93">
      <w:pPr>
        <w:snapToGrid w:val="0"/>
        <w:spacing w:line="360" w:lineRule="auto"/>
        <w:ind w:right="480"/>
        <w:jc w:val="left"/>
        <w:rPr>
          <w:rFonts w:ascii="宋体" w:hAnsi="宋体" w:cs="宋体"/>
          <w:b/>
          <w:color w:val="auto"/>
          <w:kern w:val="0"/>
          <w:sz w:val="24"/>
          <w:highlight w:val="none"/>
        </w:rPr>
        <w:sectPr>
          <w:pgSz w:w="11906" w:h="16838"/>
          <w:pgMar w:top="1440" w:right="1080" w:bottom="1440" w:left="1080" w:header="851" w:footer="992" w:gutter="0"/>
          <w:cols w:space="720" w:num="1"/>
          <w:titlePg/>
          <w:docGrid w:linePitch="312" w:charSpace="0"/>
        </w:sectPr>
      </w:pPr>
      <w:r>
        <w:rPr>
          <w:rFonts w:hint="eastAsia" w:ascii="宋体" w:hAnsi="宋体" w:cs="宋体"/>
          <w:b/>
          <w:color w:val="auto"/>
          <w:kern w:val="0"/>
          <w:sz w:val="24"/>
          <w:highlight w:val="none"/>
        </w:rPr>
        <w:t>附</w:t>
      </w:r>
      <w:r>
        <w:rPr>
          <w:rFonts w:hint="eastAsia" w:ascii="宋体" w:hAnsi="宋体" w:cs="宋体"/>
          <w:b/>
          <w:color w:val="auto"/>
          <w:kern w:val="0"/>
          <w:sz w:val="24"/>
          <w:highlight w:val="none"/>
          <w:lang w:eastAsia="zh-CN"/>
        </w:rPr>
        <w:t>：</w:t>
      </w:r>
      <w:r>
        <w:rPr>
          <w:rFonts w:hint="eastAsia" w:ascii="宋体" w:hAnsi="宋体" w:cs="宋体"/>
          <w:b/>
          <w:color w:val="auto"/>
          <w:kern w:val="0"/>
          <w:sz w:val="24"/>
          <w:highlight w:val="none"/>
        </w:rPr>
        <w:t>营业执照</w:t>
      </w:r>
    </w:p>
    <w:p w14:paraId="240851D8">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19234848">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[以联合体形式参与的，提供联合协议（附件5）；本项目不接受联合体或者供应商不以联合体形式投参与的，则不需要提供]</w:t>
      </w:r>
    </w:p>
    <w:p w14:paraId="5F8833AD">
      <w:pPr>
        <w:snapToGrid w:val="0"/>
        <w:spacing w:line="360" w:lineRule="auto"/>
        <w:ind w:right="480"/>
        <w:jc w:val="center"/>
        <w:rPr>
          <w:rFonts w:hint="eastAsia" w:ascii="宋体" w:hAnsi="宋体" w:cs="宋体"/>
          <w:b/>
          <w:color w:val="auto"/>
          <w:kern w:val="0"/>
          <w:sz w:val="32"/>
          <w:szCs w:val="32"/>
          <w:highlight w:val="none"/>
        </w:rPr>
      </w:pPr>
    </w:p>
    <w:p w14:paraId="188EC68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w:t>
      </w:r>
      <w:r>
        <w:rPr>
          <w:rFonts w:hint="eastAsia" w:ascii="宋体" w:hAnsi="宋体" w:cs="宋体"/>
          <w:b/>
          <w:color w:val="auto"/>
          <w:kern w:val="0"/>
          <w:sz w:val="32"/>
          <w:szCs w:val="32"/>
          <w:highlight w:val="none"/>
          <w:lang w:eastAsia="zh-CN"/>
        </w:rPr>
        <w:t>采购</w:t>
      </w:r>
      <w:r>
        <w:rPr>
          <w:rFonts w:hint="eastAsia" w:ascii="宋体" w:hAnsi="宋体" w:cs="宋体"/>
          <w:b/>
          <w:color w:val="auto"/>
          <w:kern w:val="0"/>
          <w:sz w:val="32"/>
          <w:szCs w:val="32"/>
          <w:highlight w:val="none"/>
        </w:rPr>
        <w:t>政策需满足的资格要求</w:t>
      </w:r>
    </w:p>
    <w:p w14:paraId="02780D2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（根据竞争性磋商公告落实</w:t>
      </w:r>
      <w:r>
        <w:rPr>
          <w:rFonts w:hint="eastAsia" w:ascii="宋体" w:hAnsi="宋体" w:cs="宋体"/>
          <w:color w:val="auto"/>
          <w:sz w:val="24"/>
          <w:highlight w:val="none"/>
          <w:lang w:eastAsia="zh-CN"/>
        </w:rPr>
        <w:t>采购</w:t>
      </w:r>
      <w:r>
        <w:rPr>
          <w:rFonts w:hint="eastAsia" w:ascii="宋体" w:hAnsi="宋体" w:cs="宋体"/>
          <w:color w:val="auto"/>
          <w:sz w:val="24"/>
          <w:highlight w:val="none"/>
        </w:rPr>
        <w:t>政策需满足的资格要求选择提供相应的材料）</w:t>
      </w:r>
    </w:p>
    <w:p w14:paraId="748B73C3">
      <w:pPr>
        <w:snapToGrid w:val="0"/>
        <w:spacing w:before="50" w:after="50" w:line="360" w:lineRule="auto"/>
        <w:ind w:left="0" w:leftChars="0" w:firstLine="0" w:firstLineChars="0"/>
        <w:jc w:val="center"/>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lang w:eastAsia="zh-CN"/>
        </w:rPr>
        <w:t>（</w:t>
      </w:r>
      <w:r>
        <w:rPr>
          <w:rFonts w:hint="eastAsia" w:ascii="宋体" w:hAnsi="宋体" w:cs="宋体"/>
          <w:b/>
          <w:color w:val="auto"/>
          <w:sz w:val="28"/>
          <w:szCs w:val="28"/>
          <w:highlight w:val="none"/>
          <w:lang w:val="en-US" w:eastAsia="zh-CN"/>
        </w:rPr>
        <w:t>本项目专门面向小微企业</w:t>
      </w:r>
      <w:r>
        <w:rPr>
          <w:rFonts w:hint="eastAsia" w:ascii="宋体" w:hAnsi="宋体" w:cs="宋体"/>
          <w:b/>
          <w:color w:val="auto"/>
          <w:sz w:val="28"/>
          <w:szCs w:val="28"/>
          <w:highlight w:val="none"/>
          <w:lang w:eastAsia="zh-CN"/>
        </w:rPr>
        <w:t>）</w:t>
      </w:r>
    </w:p>
    <w:p w14:paraId="667ED93E">
      <w:pPr>
        <w:snapToGrid w:val="0"/>
        <w:spacing w:before="50" w:after="50" w:line="360" w:lineRule="auto"/>
        <w:ind w:firstLine="472" w:firstLineChars="196"/>
        <w:jc w:val="left"/>
        <w:rPr>
          <w:rFonts w:hint="eastAsia" w:ascii="宋体" w:hAnsi="宋体" w:cs="宋体"/>
          <w:b/>
          <w:color w:val="auto"/>
          <w:sz w:val="24"/>
          <w:highlight w:val="none"/>
        </w:rPr>
      </w:pPr>
    </w:p>
    <w:p w14:paraId="0BBBEF45">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w:t>
      </w:r>
      <w:r>
        <w:rPr>
          <w:rFonts w:hint="eastAsia" w:ascii="宋体" w:hAnsi="宋体" w:cs="宋体"/>
          <w:color w:val="auto"/>
          <w:sz w:val="24"/>
          <w:highlight w:val="none"/>
          <w:lang w:val="en-US" w:eastAsia="zh-CN"/>
        </w:rPr>
        <w:t>小微</w:t>
      </w:r>
      <w:r>
        <w:rPr>
          <w:rFonts w:hint="eastAsia" w:ascii="宋体" w:hAnsi="宋体" w:cs="宋体"/>
          <w:color w:val="auto"/>
          <w:sz w:val="24"/>
          <w:highlight w:val="none"/>
        </w:rPr>
        <w:t xml:space="preserve">企业，工程全部由符合政策要求的中小企业（或小微企业）承建的，提供相应的中小企业声明函（附件7）。 </w:t>
      </w:r>
    </w:p>
    <w:p w14:paraId="60718C40">
      <w:pPr>
        <w:widowControl/>
        <w:spacing w:line="360" w:lineRule="auto"/>
        <w:ind w:firstLine="480"/>
        <w:jc w:val="left"/>
        <w:rPr>
          <w:rFonts w:ascii="宋体" w:hAnsi="宋体" w:cs="宋体"/>
          <w:color w:val="auto"/>
          <w:sz w:val="24"/>
          <w:highlight w:val="none"/>
        </w:rPr>
      </w:pPr>
    </w:p>
    <w:p w14:paraId="1D2D7F65">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5）和中小企业声明函（附件7），联合协议中中小企业合同金额应当达到竞争性磋商公告载明的比例；如果供应商本身提供所有标的均由中小企业承建的，视同符合了资格条件，无需再与其他中小企业组成联合体参加</w:t>
      </w:r>
      <w:r>
        <w:rPr>
          <w:rFonts w:hint="eastAsia" w:ascii="宋体" w:hAnsi="宋体" w:cs="宋体"/>
          <w:color w:val="auto"/>
          <w:sz w:val="24"/>
          <w:highlight w:val="none"/>
          <w:lang w:eastAsia="zh-CN"/>
        </w:rPr>
        <w:t>采购</w:t>
      </w:r>
      <w:r>
        <w:rPr>
          <w:rFonts w:hint="eastAsia" w:ascii="宋体" w:hAnsi="宋体" w:cs="宋体"/>
          <w:color w:val="auto"/>
          <w:sz w:val="24"/>
          <w:highlight w:val="none"/>
        </w:rPr>
        <w:t>活动，无需提供联合协议。</w:t>
      </w:r>
    </w:p>
    <w:p w14:paraId="63D5EAA5">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7571789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b/>
          <w:color w:val="auto"/>
          <w:sz w:val="24"/>
          <w:highlight w:val="none"/>
          <w:lang w:val="en-US" w:eastAsia="zh-CN"/>
        </w:rPr>
        <w:t>.</w:t>
      </w:r>
      <w:r>
        <w:rPr>
          <w:rFonts w:hint="eastAsia" w:ascii="宋体" w:hAnsi="宋体" w:cs="宋体"/>
          <w:color w:val="auto"/>
          <w:sz w:val="24"/>
          <w:highlight w:val="none"/>
        </w:rPr>
        <w:t>要求合同分包的，提供分包意向协议（附件6）和中小企业声明函（附件7），分包意向协议中中小企业合同金额应当达到竞争性磋商公告载明的比例；如果供应商本身提供所有标的均由中小企业承建，视同符合了资格条件，无需再向中小企业分包，无需提供分包意向协议。</w:t>
      </w:r>
    </w:p>
    <w:p w14:paraId="00163687">
      <w:pPr>
        <w:widowControl/>
        <w:spacing w:line="360" w:lineRule="auto"/>
        <w:ind w:left="150"/>
        <w:jc w:val="center"/>
        <w:rPr>
          <w:rFonts w:ascii="宋体" w:hAnsi="宋体" w:cs="宋体"/>
          <w:b/>
          <w:color w:val="auto"/>
          <w:kern w:val="0"/>
          <w:sz w:val="32"/>
          <w:szCs w:val="32"/>
          <w:highlight w:val="none"/>
        </w:rPr>
      </w:pPr>
    </w:p>
    <w:p w14:paraId="602B0C7A">
      <w:pPr>
        <w:pStyle w:val="61"/>
        <w:ind w:firstLine="420"/>
        <w:rPr>
          <w:color w:val="auto"/>
          <w:highlight w:val="none"/>
        </w:rPr>
      </w:pPr>
    </w:p>
    <w:p w14:paraId="7F019D85">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1ECC865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（根据竞争性磋商公告本项目的特定资格要求提供相应的材料）</w:t>
      </w:r>
    </w:p>
    <w:p w14:paraId="26E101BB">
      <w:pPr>
        <w:rPr>
          <w:rFonts w:ascii="宋体" w:hAnsi="宋体" w:cs="宋体"/>
          <w:color w:val="auto"/>
          <w:highlight w:val="none"/>
        </w:rPr>
      </w:pPr>
    </w:p>
    <w:p w14:paraId="2C5D4B57">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2CAE1D49">
      <w:pPr>
        <w:pStyle w:val="2"/>
        <w:rPr>
          <w:rFonts w:ascii="宋体" w:hAnsi="宋体" w:eastAsia="宋体" w:cs="宋体"/>
          <w:b w:val="0"/>
          <w:color w:val="auto"/>
          <w:kern w:val="0"/>
          <w:sz w:val="36"/>
          <w:szCs w:val="36"/>
          <w:highlight w:val="none"/>
        </w:rPr>
      </w:pPr>
    </w:p>
    <w:p w14:paraId="091AA850">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0C0D3280">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56BF84F1">
      <w:pPr>
        <w:numPr>
          <w:ilvl w:val="0"/>
          <w:numId w:val="11"/>
        </w:numPr>
        <w:snapToGrid w:val="0"/>
        <w:spacing w:line="360" w:lineRule="auto"/>
        <w:ind w:left="0" w:leftChars="0" w:firstLine="420" w:firstLineChars="0"/>
        <w:rPr>
          <w:rFonts w:ascii="宋体" w:hAnsi="宋体" w:cs="宋体"/>
          <w:color w:val="auto"/>
          <w:sz w:val="24"/>
          <w:szCs w:val="24"/>
          <w:highlight w:val="none"/>
        </w:rPr>
      </w:pPr>
      <w:r>
        <w:rPr>
          <w:rFonts w:hint="eastAsia" w:ascii="宋体" w:hAnsi="宋体" w:cs="宋体"/>
          <w:color w:val="auto"/>
          <w:sz w:val="24"/>
          <w:szCs w:val="24"/>
          <w:highlight w:val="none"/>
        </w:rPr>
        <w:t>响应函………………………………………………………………………………（页码）</w:t>
      </w:r>
    </w:p>
    <w:p w14:paraId="3725F707">
      <w:pPr>
        <w:numPr>
          <w:ilvl w:val="0"/>
          <w:numId w:val="11"/>
        </w:numPr>
        <w:snapToGrid w:val="0"/>
        <w:spacing w:line="360" w:lineRule="auto"/>
        <w:ind w:left="0" w:leftChars="0" w:firstLine="420" w:firstLineChars="0"/>
        <w:rPr>
          <w:rFonts w:ascii="宋体" w:hAnsi="宋体" w:cs="宋体"/>
          <w:color w:val="auto"/>
          <w:sz w:val="24"/>
          <w:szCs w:val="24"/>
          <w:highlight w:val="none"/>
        </w:rPr>
      </w:pPr>
      <w:r>
        <w:rPr>
          <w:rFonts w:hint="eastAsia" w:ascii="宋体" w:hAnsi="宋体" w:cs="宋体"/>
          <w:color w:val="auto"/>
          <w:sz w:val="24"/>
          <w:szCs w:val="24"/>
          <w:highlight w:val="none"/>
        </w:rPr>
        <w:t>授权委托书或法定代表人（单位负责人、自然人本人）身份证明……………（页码）</w:t>
      </w:r>
    </w:p>
    <w:p w14:paraId="1931CF48">
      <w:pPr>
        <w:numPr>
          <w:ilvl w:val="0"/>
          <w:numId w:val="11"/>
        </w:numPr>
        <w:snapToGrid w:val="0"/>
        <w:spacing w:line="360" w:lineRule="auto"/>
        <w:ind w:left="0" w:leftChars="0" w:firstLine="420" w:firstLineChars="0"/>
        <w:rPr>
          <w:rFonts w:ascii="宋体" w:hAnsi="宋体" w:cs="宋体"/>
          <w:color w:val="auto"/>
          <w:sz w:val="24"/>
          <w:szCs w:val="24"/>
          <w:highlight w:val="none"/>
        </w:rPr>
      </w:pPr>
      <w:r>
        <w:rPr>
          <w:rFonts w:hint="eastAsia" w:ascii="宋体" w:hAnsi="宋体" w:cs="宋体"/>
          <w:color w:val="auto"/>
          <w:sz w:val="24"/>
          <w:szCs w:val="24"/>
          <w:highlight w:val="none"/>
        </w:rPr>
        <w:t>分包意向协议………………………………………………………………………（页码）</w:t>
      </w:r>
    </w:p>
    <w:p w14:paraId="7173A418">
      <w:pPr>
        <w:numPr>
          <w:ilvl w:val="0"/>
          <w:numId w:val="11"/>
        </w:numPr>
        <w:snapToGrid w:val="0"/>
        <w:spacing w:line="360" w:lineRule="auto"/>
        <w:ind w:left="0" w:leftChars="0" w:firstLine="420" w:firstLineChars="0"/>
        <w:rPr>
          <w:rFonts w:ascii="宋体" w:hAnsi="宋体" w:cs="宋体"/>
          <w:color w:val="auto"/>
          <w:sz w:val="24"/>
          <w:szCs w:val="24"/>
          <w:highlight w:val="none"/>
        </w:rPr>
      </w:pPr>
      <w:r>
        <w:rPr>
          <w:rFonts w:hint="eastAsia" w:ascii="宋体" w:hAnsi="宋体" w:cs="宋体"/>
          <w:color w:val="auto"/>
          <w:sz w:val="24"/>
          <w:szCs w:val="24"/>
          <w:highlight w:val="none"/>
        </w:rPr>
        <w:t>符合性审查资料……………………………………………………………………（页码）</w:t>
      </w:r>
    </w:p>
    <w:p w14:paraId="6959E0C4">
      <w:pPr>
        <w:numPr>
          <w:ilvl w:val="0"/>
          <w:numId w:val="11"/>
        </w:numPr>
        <w:snapToGrid w:val="0"/>
        <w:spacing w:line="360" w:lineRule="auto"/>
        <w:ind w:left="0" w:leftChars="0" w:firstLine="420" w:firstLineChars="0"/>
        <w:rPr>
          <w:rFonts w:ascii="宋体" w:hAnsi="宋体" w:cs="宋体"/>
          <w:color w:val="auto"/>
          <w:sz w:val="24"/>
          <w:szCs w:val="24"/>
          <w:highlight w:val="none"/>
        </w:rPr>
      </w:pPr>
      <w:r>
        <w:rPr>
          <w:rFonts w:hint="eastAsia" w:ascii="宋体" w:hAnsi="宋体" w:cs="宋体"/>
          <w:color w:val="auto"/>
          <w:sz w:val="24"/>
          <w:szCs w:val="24"/>
          <w:highlight w:val="none"/>
        </w:rPr>
        <w:t>评审标准相应的商务技术资料……………………………………………………（页码</w:t>
      </w:r>
      <w:r>
        <w:rPr>
          <w:rFonts w:hint="eastAsia" w:ascii="宋体" w:hAnsi="宋体" w:cs="宋体"/>
          <w:color w:val="auto"/>
          <w:sz w:val="24"/>
          <w:szCs w:val="24"/>
          <w:highlight w:val="none"/>
          <w:lang w:eastAsia="zh-CN"/>
        </w:rPr>
        <w:t>）</w:t>
      </w:r>
    </w:p>
    <w:p w14:paraId="665F40AE">
      <w:pPr>
        <w:numPr>
          <w:ilvl w:val="0"/>
          <w:numId w:val="11"/>
        </w:numPr>
        <w:snapToGrid w:val="0"/>
        <w:spacing w:line="360" w:lineRule="auto"/>
        <w:ind w:left="0" w:leftChars="0" w:firstLine="420" w:firstLineChars="0"/>
        <w:rPr>
          <w:rFonts w:ascii="宋体" w:hAnsi="宋体" w:cs="宋体"/>
          <w:color w:val="auto"/>
          <w:sz w:val="24"/>
          <w:szCs w:val="24"/>
          <w:highlight w:val="none"/>
        </w:rPr>
      </w:pPr>
      <w:r>
        <w:rPr>
          <w:rFonts w:hint="eastAsia" w:ascii="宋体" w:hAnsi="宋体" w:cs="宋体"/>
          <w:color w:val="auto"/>
          <w:sz w:val="24"/>
          <w:szCs w:val="24"/>
          <w:highlight w:val="none"/>
        </w:rPr>
        <w:t>商务技术偏离表……………………………………………………………………（页码）</w:t>
      </w:r>
    </w:p>
    <w:p w14:paraId="011EED01">
      <w:pPr>
        <w:numPr>
          <w:ilvl w:val="0"/>
          <w:numId w:val="11"/>
        </w:numPr>
        <w:snapToGrid w:val="0"/>
        <w:spacing w:line="360" w:lineRule="auto"/>
        <w:ind w:left="0" w:leftChars="0" w:firstLine="420" w:firstLineChars="0"/>
        <w:rPr>
          <w:rFonts w:ascii="宋体" w:hAnsi="宋体" w:cs="宋体"/>
          <w:color w:val="auto"/>
          <w:sz w:val="24"/>
          <w:szCs w:val="24"/>
          <w:highlight w:val="none"/>
        </w:rPr>
      </w:pPr>
      <w:r>
        <w:rPr>
          <w:rFonts w:hint="eastAsia" w:ascii="宋体" w:hAnsi="宋体" w:cs="宋体"/>
          <w:color w:val="auto"/>
          <w:sz w:val="24"/>
          <w:szCs w:val="24"/>
          <w:highlight w:val="none"/>
          <w:lang w:val="zh-CN"/>
        </w:rPr>
        <w:t>采购供应商廉洁自律承诺书</w:t>
      </w:r>
      <w:r>
        <w:rPr>
          <w:rFonts w:hint="eastAsia" w:ascii="宋体" w:hAnsi="宋体" w:cs="宋体"/>
          <w:color w:val="auto"/>
          <w:sz w:val="24"/>
          <w:szCs w:val="24"/>
          <w:highlight w:val="none"/>
        </w:rPr>
        <w:t>………………………………………………………（页码）</w:t>
      </w:r>
    </w:p>
    <w:p w14:paraId="731DD449">
      <w:pPr>
        <w:snapToGrid w:val="0"/>
        <w:spacing w:line="360" w:lineRule="auto"/>
        <w:jc w:val="center"/>
        <w:rPr>
          <w:rFonts w:ascii="宋体" w:hAnsi="宋体" w:cs="宋体"/>
          <w:b/>
          <w:color w:val="auto"/>
          <w:kern w:val="0"/>
          <w:sz w:val="24"/>
          <w:szCs w:val="32"/>
          <w:highlight w:val="none"/>
          <w:lang w:val="zh-CN"/>
        </w:rPr>
        <w:sectPr>
          <w:pgSz w:w="11906" w:h="16838"/>
          <w:pgMar w:top="1440" w:right="1080" w:bottom="1440" w:left="1080" w:header="851" w:footer="992" w:gutter="0"/>
          <w:cols w:space="720" w:num="1"/>
          <w:titlePg/>
          <w:docGrid w:linePitch="312" w:charSpace="0"/>
        </w:sectPr>
      </w:pPr>
    </w:p>
    <w:p w14:paraId="23C88D52">
      <w:pPr>
        <w:snapToGrid w:val="0"/>
        <w:spacing w:line="360" w:lineRule="auto"/>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一、响应函</w:t>
      </w:r>
    </w:p>
    <w:p w14:paraId="51A5FB8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lang w:eastAsia="zh-CN"/>
        </w:rPr>
        <w:t>杭州高级中学钱塘学校</w:t>
      </w:r>
      <w:r>
        <w:rPr>
          <w:rFonts w:hint="eastAsia" w:ascii="宋体" w:hAnsi="宋体" w:cs="宋体"/>
          <w:color w:val="auto"/>
          <w:sz w:val="24"/>
          <w:highlight w:val="none"/>
        </w:rPr>
        <w:t>、</w:t>
      </w:r>
      <w:r>
        <w:rPr>
          <w:rFonts w:hint="eastAsia" w:ascii="宋体" w:hAnsi="宋体" w:cs="宋体"/>
          <w:color w:val="auto"/>
          <w:sz w:val="24"/>
          <w:highlight w:val="none"/>
          <w:lang w:eastAsia="zh-CN"/>
        </w:rPr>
        <w:t>浙江五石中正工程咨询有限公司</w:t>
      </w:r>
      <w:r>
        <w:rPr>
          <w:rFonts w:hint="eastAsia" w:ascii="宋体" w:hAnsi="宋体" w:cs="宋体"/>
          <w:color w:val="auto"/>
          <w:sz w:val="24"/>
          <w:highlight w:val="none"/>
        </w:rPr>
        <w:t>：</w:t>
      </w:r>
    </w:p>
    <w:p w14:paraId="58A5497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校舍外墙外立面维修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HGQT-2025-S01</w:t>
      </w:r>
      <w:r>
        <w:rPr>
          <w:rFonts w:hint="eastAsia" w:ascii="宋体" w:hAnsi="宋体" w:cs="宋体"/>
          <w:color w:val="auto"/>
          <w:sz w:val="24"/>
          <w:highlight w:val="none"/>
        </w:rPr>
        <w:t>】采购的有关活动，并对此项目提交响应文件及报价。为此：</w:t>
      </w:r>
    </w:p>
    <w:p w14:paraId="4863A70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1、我方承诺响应文件有效期从提交响应文件的截止之日起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本响应文件在响应文件有效期满之前均具有约束力。</w:t>
      </w:r>
    </w:p>
    <w:p w14:paraId="243384C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14:paraId="50BA81AE">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2.1资格文件：</w:t>
      </w:r>
    </w:p>
    <w:p w14:paraId="0EEEBE5E">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2.1.1承诺函；</w:t>
      </w:r>
    </w:p>
    <w:p w14:paraId="49DF18A4">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2A279E8D">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2.1.3落实</w:t>
      </w:r>
      <w:r>
        <w:rPr>
          <w:rFonts w:hint="eastAsia" w:ascii="宋体" w:hAnsi="宋体" w:cs="宋体"/>
          <w:color w:val="auto"/>
          <w:sz w:val="24"/>
          <w:highlight w:val="none"/>
          <w:lang w:eastAsia="zh-CN"/>
        </w:rPr>
        <w:t>采购</w:t>
      </w:r>
      <w:r>
        <w:rPr>
          <w:rFonts w:hint="eastAsia" w:ascii="宋体" w:hAnsi="宋体" w:cs="宋体"/>
          <w:color w:val="auto"/>
          <w:sz w:val="24"/>
          <w:highlight w:val="none"/>
        </w:rPr>
        <w:t>政策需满足的资格要求（如果有）；</w:t>
      </w:r>
    </w:p>
    <w:p w14:paraId="6D684E99">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2.1.4本项目的特定资格要求（如果有）。</w:t>
      </w:r>
    </w:p>
    <w:p w14:paraId="4F131C5B">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3D3D3AB">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2.2.1响应函；</w:t>
      </w:r>
      <w:r>
        <w:rPr>
          <w:rFonts w:hint="eastAsia" w:ascii="宋体" w:hAnsi="宋体" w:cs="宋体"/>
          <w:color w:val="auto"/>
          <w:sz w:val="24"/>
          <w:highlight w:val="none"/>
          <w:lang w:val="zh-CN"/>
        </w:rPr>
        <w:t xml:space="preserve"> </w:t>
      </w:r>
    </w:p>
    <w:p w14:paraId="1695E126">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184F25EE">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2.2.3分包意向协议（如果有）；</w:t>
      </w:r>
    </w:p>
    <w:p w14:paraId="3FC15419">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2.2.4符合性审查资料；</w:t>
      </w:r>
    </w:p>
    <w:p w14:paraId="1694947C">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2.2.5评审标准相应的商务技术资料；</w:t>
      </w:r>
    </w:p>
    <w:p w14:paraId="64153A7C">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2.2.6商务技术偏离表；</w:t>
      </w:r>
    </w:p>
    <w:p w14:paraId="507D6917">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采购供应商廉洁自律承诺书；</w:t>
      </w:r>
    </w:p>
    <w:p w14:paraId="343AE0C6">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36F8D38">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2.3.1报价单；</w:t>
      </w:r>
    </w:p>
    <w:p w14:paraId="012A8EFB">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2.3.2</w:t>
      </w:r>
      <w:r>
        <w:rPr>
          <w:rFonts w:hint="eastAsia" w:hAnsi="仿宋_GB2312" w:cs="仿宋_GB2312"/>
          <w:bCs/>
          <w:snapToGrid w:val="0"/>
          <w:color w:val="auto"/>
          <w:sz w:val="24"/>
        </w:rPr>
        <w:t>报价情况说明</w:t>
      </w:r>
      <w:r>
        <w:rPr>
          <w:rFonts w:hint="eastAsia" w:hAnsi="仿宋_GB2312" w:cs="仿宋_GB2312"/>
          <w:bCs/>
          <w:snapToGrid w:val="0"/>
          <w:color w:val="auto"/>
          <w:sz w:val="24"/>
          <w:lang w:eastAsia="zh-CN"/>
        </w:rPr>
        <w:t>（</w:t>
      </w:r>
      <w:r>
        <w:rPr>
          <w:rFonts w:hint="eastAsia" w:hAnsi="仿宋_GB2312" w:cs="仿宋_GB2312"/>
          <w:bCs/>
          <w:snapToGrid w:val="0"/>
          <w:color w:val="auto"/>
          <w:sz w:val="24"/>
          <w:lang w:val="en-US" w:eastAsia="zh-CN"/>
        </w:rPr>
        <w:t>如果有</w:t>
      </w:r>
      <w:r>
        <w:rPr>
          <w:rFonts w:hint="eastAsia" w:hAnsi="仿宋_GB2312" w:cs="仿宋_GB2312"/>
          <w:bCs/>
          <w:snapToGrid w:val="0"/>
          <w:color w:val="auto"/>
          <w:sz w:val="24"/>
          <w:lang w:eastAsia="zh-CN"/>
        </w:rPr>
        <w:t>）</w:t>
      </w:r>
      <w:r>
        <w:rPr>
          <w:rFonts w:hint="eastAsia" w:ascii="宋体" w:hAnsi="宋体" w:eastAsia="宋体" w:cs="宋体"/>
          <w:b w:val="0"/>
          <w:bCs w:val="0"/>
          <w:color w:val="auto"/>
          <w:sz w:val="24"/>
          <w:szCs w:val="24"/>
          <w:lang w:val="en-US"/>
        </w:rPr>
        <w:t>（如供应商报价低于项目预算50%的，应当提交本文档，详细阐述不影响产品质量或者诚信履约的具体原因）</w:t>
      </w:r>
      <w:r>
        <w:rPr>
          <w:rFonts w:hint="eastAsia" w:ascii="宋体" w:hAnsi="宋体" w:cs="宋体"/>
          <w:color w:val="auto"/>
          <w:sz w:val="24"/>
          <w:highlight w:val="none"/>
        </w:rPr>
        <w:t>；</w:t>
      </w:r>
    </w:p>
    <w:p w14:paraId="77615B87">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2.3.3已标价工程量清单</w:t>
      </w:r>
    </w:p>
    <w:p w14:paraId="578D77A3">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2.3.4</w:t>
      </w:r>
      <w:r>
        <w:rPr>
          <w:rFonts w:hint="eastAsia" w:ascii="宋体" w:hAnsi="宋体" w:cs="宋体"/>
          <w:color w:val="auto"/>
          <w:sz w:val="24"/>
          <w:highlight w:val="none"/>
        </w:rPr>
        <w:t>中小企业声明函（如果有）。</w:t>
      </w:r>
    </w:p>
    <w:p w14:paraId="5D383EA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3、我方承诺除商务技术偏离表列出的偏离外，我方响应采购文件的全部要求。</w:t>
      </w:r>
      <w:r>
        <w:rPr>
          <w:rFonts w:hint="eastAsia" w:ascii="宋体" w:hAnsi="宋体" w:cs="宋体"/>
          <w:color w:val="auto"/>
          <w:sz w:val="24"/>
        </w:rPr>
        <w:t>对投标文件中材料的真实性、合法性负责。</w:t>
      </w:r>
    </w:p>
    <w:p w14:paraId="4D6DAA6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4、如我方成交，我方承诺：</w:t>
      </w:r>
    </w:p>
    <w:p w14:paraId="2EDE95E6">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14:paraId="0FB58508">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274F0F6E">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4.3按照采购文件要求提交履约保证金； </w:t>
      </w:r>
    </w:p>
    <w:p w14:paraId="6834BB96">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1EBF1CE">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B8BDC41">
      <w:pPr>
        <w:keepNext w:val="0"/>
        <w:keepLines w:val="0"/>
        <w:pageBreakBefore w:val="0"/>
        <w:widowControl w:val="0"/>
        <w:kinsoku/>
        <w:wordWrap/>
        <w:overflowPunct/>
        <w:topLinePunct w:val="0"/>
        <w:autoSpaceDE/>
        <w:autoSpaceDN/>
        <w:bidi w:val="0"/>
        <w:adjustRightInd w:val="0"/>
        <w:spacing w:line="360" w:lineRule="auto"/>
        <w:ind w:firstLine="3600" w:firstLineChars="1500"/>
        <w:textAlignment w:val="auto"/>
        <w:rPr>
          <w:rFonts w:ascii="宋体" w:hAnsi="宋体" w:cs="宋体"/>
          <w:color w:val="auto"/>
          <w:sz w:val="24"/>
          <w:highlight w:val="none"/>
        </w:rPr>
      </w:pPr>
      <w:r>
        <w:rPr>
          <w:rFonts w:hint="eastAsia" w:ascii="宋体" w:hAnsi="宋体" w:cs="宋体"/>
          <w:color w:val="auto"/>
          <w:sz w:val="24"/>
          <w:highlight w:val="none"/>
        </w:rPr>
        <w:t xml:space="preserve">供应商名称（电子签名）：                          </w:t>
      </w:r>
    </w:p>
    <w:p w14:paraId="3DC62E3F">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9DEDA49">
      <w:pPr>
        <w:keepNext w:val="0"/>
        <w:keepLines w:val="0"/>
        <w:pageBreakBefore w:val="0"/>
        <w:widowControl w:val="0"/>
        <w:kinsoku/>
        <w:wordWrap/>
        <w:overflowPunct/>
        <w:topLinePunct w:val="0"/>
        <w:autoSpaceDE/>
        <w:autoSpaceDN/>
        <w:bidi w:val="0"/>
        <w:adjustRightInd w:val="0"/>
        <w:spacing w:line="360" w:lineRule="auto"/>
        <w:ind w:right="420"/>
        <w:textAlignment w:val="auto"/>
        <w:rPr>
          <w:rFonts w:ascii="宋体" w:hAnsi="宋体" w:cs="宋体"/>
          <w:color w:val="auto"/>
          <w:sz w:val="24"/>
          <w:highlight w:val="none"/>
        </w:rPr>
      </w:pPr>
      <w:r>
        <w:rPr>
          <w:rFonts w:hint="eastAsia" w:ascii="宋体" w:hAnsi="宋体" w:cs="宋体"/>
          <w:color w:val="auto"/>
          <w:sz w:val="24"/>
          <w:highlight w:val="none"/>
        </w:rPr>
        <w:t>注：按本格式和要求提供。</w:t>
      </w:r>
    </w:p>
    <w:p w14:paraId="28CEA70E">
      <w:pPr>
        <w:jc w:val="center"/>
        <w:rPr>
          <w:rFonts w:ascii="宋体" w:hAnsi="宋体" w:cs="宋体"/>
          <w:b/>
          <w:color w:val="auto"/>
          <w:kern w:val="0"/>
          <w:sz w:val="32"/>
          <w:szCs w:val="32"/>
          <w:highlight w:val="none"/>
        </w:rPr>
        <w:sectPr>
          <w:pgSz w:w="11906" w:h="16838"/>
          <w:pgMar w:top="1440" w:right="1080" w:bottom="1440" w:left="1080" w:header="851" w:footer="850" w:gutter="0"/>
          <w:cols w:space="720" w:num="1"/>
          <w:titlePg/>
          <w:docGrid w:linePitch="312" w:charSpace="0"/>
        </w:sectPr>
      </w:pPr>
    </w:p>
    <w:p w14:paraId="22A81321">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二、授权委托书或法定代表人（单位负责人、自然人本人）身份证明</w:t>
      </w:r>
    </w:p>
    <w:p w14:paraId="0A0C03F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ECF9BD6">
      <w:pPr>
        <w:snapToGrid w:val="0"/>
        <w:spacing w:line="360" w:lineRule="auto"/>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授权委托书（适用于非联合体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2C78FDEA">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杭州高级中学钱塘学校</w:t>
      </w:r>
      <w:r>
        <w:rPr>
          <w:rFonts w:hint="eastAsia" w:ascii="宋体" w:hAnsi="宋体" w:cs="宋体"/>
          <w:color w:val="auto"/>
          <w:sz w:val="24"/>
          <w:highlight w:val="none"/>
        </w:rPr>
        <w:t>、</w:t>
      </w:r>
      <w:r>
        <w:rPr>
          <w:rFonts w:hint="eastAsia" w:ascii="宋体" w:hAnsi="宋体" w:cs="宋体"/>
          <w:color w:val="auto"/>
          <w:sz w:val="24"/>
          <w:highlight w:val="none"/>
          <w:lang w:eastAsia="zh-CN"/>
        </w:rPr>
        <w:t>浙江五石中正工程咨询有限公司</w:t>
      </w:r>
      <w:r>
        <w:rPr>
          <w:rFonts w:hint="eastAsia" w:ascii="宋体" w:hAnsi="宋体" w:cs="宋体"/>
          <w:color w:val="auto"/>
          <w:kern w:val="0"/>
          <w:sz w:val="24"/>
          <w:highlight w:val="none"/>
          <w:lang w:val="zh-CN"/>
        </w:rPr>
        <w:t>：</w:t>
      </w:r>
    </w:p>
    <w:p w14:paraId="6631B079">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zh-CN"/>
        </w:rPr>
        <w:t>，</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校舍外墙外立面维修</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HGQT-2025-S01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4FA0C8C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A7F3D0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1D5A818">
      <w:pPr>
        <w:snapToGrid w:val="0"/>
        <w:spacing w:line="360" w:lineRule="auto"/>
        <w:ind w:left="5027" w:leftChars="2394" w:firstLine="0" w:firstLineChars="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sz w:val="24"/>
          <w:highlight w:val="none"/>
        </w:rPr>
        <w:t>供应商名称（电子签名）：</w:t>
      </w:r>
    </w:p>
    <w:p w14:paraId="204CD77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F1D681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日期：  年  月   日</w:t>
      </w:r>
    </w:p>
    <w:p w14:paraId="367A4546">
      <w:pPr>
        <w:snapToGrid w:val="0"/>
        <w:spacing w:line="360" w:lineRule="auto"/>
        <w:rPr>
          <w:rFonts w:ascii="宋体" w:hAnsi="宋体" w:cs="宋体"/>
          <w:color w:val="auto"/>
          <w:sz w:val="24"/>
          <w:highlight w:val="none"/>
        </w:rPr>
      </w:pPr>
    </w:p>
    <w:p w14:paraId="0A0870E8">
      <w:pPr>
        <w:snapToGrid w:val="0"/>
        <w:spacing w:line="360" w:lineRule="auto"/>
        <w:rPr>
          <w:rFonts w:ascii="宋体" w:hAnsi="宋体" w:cs="宋体"/>
          <w:color w:val="auto"/>
          <w:sz w:val="24"/>
          <w:highlight w:val="none"/>
        </w:rPr>
      </w:pPr>
    </w:p>
    <w:p w14:paraId="763DCB92">
      <w:pPr>
        <w:snapToGrid w:val="0"/>
        <w:spacing w:line="360" w:lineRule="auto"/>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485D4F7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杭州高级中学钱塘学校</w:t>
      </w:r>
      <w:r>
        <w:rPr>
          <w:rFonts w:hint="eastAsia" w:ascii="宋体" w:hAnsi="宋体" w:cs="宋体"/>
          <w:color w:val="auto"/>
          <w:sz w:val="24"/>
          <w:highlight w:val="none"/>
        </w:rPr>
        <w:t>、</w:t>
      </w:r>
      <w:r>
        <w:rPr>
          <w:rFonts w:hint="eastAsia" w:ascii="宋体" w:hAnsi="宋体" w:cs="宋体"/>
          <w:color w:val="auto"/>
          <w:sz w:val="24"/>
          <w:highlight w:val="none"/>
          <w:lang w:eastAsia="zh-CN"/>
        </w:rPr>
        <w:t>浙江五石中正工程咨询有限公司</w:t>
      </w:r>
      <w:r>
        <w:rPr>
          <w:rFonts w:hint="eastAsia" w:ascii="宋体" w:hAnsi="宋体" w:cs="宋体"/>
          <w:color w:val="auto"/>
          <w:kern w:val="0"/>
          <w:sz w:val="24"/>
          <w:highlight w:val="none"/>
          <w:lang w:val="zh-CN"/>
        </w:rPr>
        <w:t>：</w:t>
      </w:r>
    </w:p>
    <w:p w14:paraId="4310B36F">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zh-CN"/>
        </w:rPr>
        <w:t>，</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（项目名称）【项目编号：（采购编号）】</w:t>
      </w:r>
      <w:r>
        <w:rPr>
          <w:rFonts w:hint="eastAsia" w:ascii="宋体" w:hAnsi="宋体" w:cs="宋体"/>
          <w:color w:val="auto"/>
          <w:kern w:val="0"/>
          <w:sz w:val="24"/>
          <w:highlight w:val="none"/>
          <w:lang w:val="zh-CN"/>
        </w:rPr>
        <w:t>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56A54F9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F3BBAC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65CD53B">
      <w:pPr>
        <w:jc w:val="both"/>
        <w:rPr>
          <w:rFonts w:ascii="宋体" w:hAnsi="宋体" w:cs="宋体"/>
          <w:b/>
          <w:color w:val="auto"/>
          <w:kern w:val="0"/>
          <w:sz w:val="32"/>
          <w:szCs w:val="32"/>
          <w:highlight w:val="none"/>
        </w:rPr>
      </w:pPr>
    </w:p>
    <w:p w14:paraId="599EF996">
      <w:pPr>
        <w:rPr>
          <w:rFonts w:ascii="宋体" w:hAnsi="宋体" w:cs="宋体"/>
          <w:color w:val="auto"/>
          <w:highlight w:val="none"/>
        </w:rPr>
      </w:pPr>
    </w:p>
    <w:p w14:paraId="6106F0C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F4F1CBA">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F85803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4DC2EFC">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日期：  年  月   日</w:t>
      </w:r>
    </w:p>
    <w:p w14:paraId="55259556">
      <w:pPr>
        <w:snapToGrid w:val="0"/>
        <w:spacing w:line="360" w:lineRule="auto"/>
        <w:rPr>
          <w:rFonts w:ascii="宋体" w:hAnsi="宋体" w:cs="宋体"/>
          <w:color w:val="auto"/>
          <w:sz w:val="24"/>
          <w:highlight w:val="none"/>
        </w:rPr>
      </w:pPr>
    </w:p>
    <w:p w14:paraId="007231B5">
      <w:pP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br w:type="page"/>
      </w:r>
    </w:p>
    <w:p w14:paraId="386209FE">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法定代表人、单位负责人或自然人本人</w:t>
      </w:r>
      <w:r>
        <w:rPr>
          <w:rFonts w:hint="eastAsia" w:ascii="宋体" w:hAnsi="宋体" w:cs="宋体"/>
          <w:b/>
          <w:bCs/>
          <w:color w:val="auto"/>
          <w:sz w:val="32"/>
          <w:szCs w:val="32"/>
          <w:highlight w:val="none"/>
        </w:rPr>
        <w:t>的身份证明（适用于法定代表人、单位负责人或者自然人本人代表供应商参加响应）</w:t>
      </w:r>
    </w:p>
    <w:p w14:paraId="0D92296D">
      <w:pPr>
        <w:pStyle w:val="15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4275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E70403F">
            <w:pPr>
              <w:pStyle w:val="150"/>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104F8976">
            <w:pPr>
              <w:pStyle w:val="150"/>
              <w:adjustRightInd w:val="0"/>
              <w:spacing w:line="360" w:lineRule="auto"/>
              <w:rPr>
                <w:rFonts w:hAnsi="宋体" w:cs="宋体"/>
                <w:bCs/>
                <w:color w:val="auto"/>
                <w:sz w:val="24"/>
                <w:highlight w:val="none"/>
              </w:rPr>
            </w:pPr>
          </w:p>
        </w:tc>
      </w:tr>
    </w:tbl>
    <w:p w14:paraId="73AA6866">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718160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3A500652">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7349CCC">
      <w:pPr>
        <w:jc w:val="center"/>
        <w:rPr>
          <w:rFonts w:ascii="宋体" w:hAnsi="宋体" w:cs="宋体"/>
          <w:b/>
          <w:color w:val="auto"/>
          <w:kern w:val="0"/>
          <w:sz w:val="32"/>
          <w:szCs w:val="32"/>
          <w:highlight w:val="none"/>
        </w:rPr>
      </w:pPr>
    </w:p>
    <w:p w14:paraId="44452F5F">
      <w:pPr>
        <w:jc w:val="center"/>
        <w:rPr>
          <w:rFonts w:ascii="宋体" w:hAnsi="宋体" w:cs="宋体"/>
          <w:b/>
          <w:color w:val="auto"/>
          <w:kern w:val="0"/>
          <w:sz w:val="32"/>
          <w:szCs w:val="32"/>
          <w:highlight w:val="none"/>
        </w:rPr>
      </w:pPr>
    </w:p>
    <w:p w14:paraId="0C57F9CF">
      <w:pPr>
        <w:jc w:val="center"/>
        <w:rPr>
          <w:rFonts w:ascii="宋体" w:hAnsi="宋体" w:cs="宋体"/>
          <w:b/>
          <w:color w:val="auto"/>
          <w:kern w:val="0"/>
          <w:sz w:val="32"/>
          <w:szCs w:val="32"/>
          <w:highlight w:val="none"/>
        </w:rPr>
      </w:pPr>
    </w:p>
    <w:p w14:paraId="71AF624F">
      <w:pPr>
        <w:jc w:val="center"/>
        <w:rPr>
          <w:rFonts w:ascii="宋体" w:hAnsi="宋体" w:cs="宋体"/>
          <w:b/>
          <w:color w:val="auto"/>
          <w:kern w:val="0"/>
          <w:sz w:val="32"/>
          <w:szCs w:val="32"/>
          <w:highlight w:val="none"/>
        </w:rPr>
      </w:pPr>
    </w:p>
    <w:p w14:paraId="6AB7ADDE">
      <w:pPr>
        <w:jc w:val="center"/>
        <w:rPr>
          <w:rFonts w:ascii="宋体" w:hAnsi="宋体" w:cs="宋体"/>
          <w:b/>
          <w:color w:val="auto"/>
          <w:kern w:val="0"/>
          <w:sz w:val="32"/>
          <w:szCs w:val="32"/>
          <w:highlight w:val="none"/>
        </w:rPr>
      </w:pPr>
    </w:p>
    <w:p w14:paraId="15FE92ED">
      <w:pPr>
        <w:jc w:val="center"/>
        <w:rPr>
          <w:rFonts w:ascii="宋体" w:hAnsi="宋体" w:cs="宋体"/>
          <w:b/>
          <w:color w:val="auto"/>
          <w:kern w:val="0"/>
          <w:sz w:val="32"/>
          <w:szCs w:val="32"/>
          <w:highlight w:val="none"/>
        </w:rPr>
      </w:pPr>
    </w:p>
    <w:p w14:paraId="6CE019CB">
      <w:pPr>
        <w:jc w:val="center"/>
        <w:rPr>
          <w:rFonts w:ascii="宋体" w:hAnsi="宋体" w:cs="宋体"/>
          <w:b/>
          <w:color w:val="auto"/>
          <w:kern w:val="0"/>
          <w:sz w:val="32"/>
          <w:szCs w:val="32"/>
          <w:highlight w:val="none"/>
        </w:rPr>
      </w:pPr>
    </w:p>
    <w:p w14:paraId="6315F027">
      <w:pPr>
        <w:jc w:val="center"/>
        <w:rPr>
          <w:rFonts w:ascii="宋体" w:hAnsi="宋体" w:cs="宋体"/>
          <w:b/>
          <w:color w:val="auto"/>
          <w:kern w:val="0"/>
          <w:sz w:val="32"/>
          <w:szCs w:val="32"/>
          <w:highlight w:val="none"/>
        </w:rPr>
      </w:pPr>
    </w:p>
    <w:p w14:paraId="4724CD79">
      <w:pPr>
        <w:jc w:val="center"/>
        <w:rPr>
          <w:rFonts w:ascii="宋体" w:hAnsi="宋体" w:cs="宋体"/>
          <w:b/>
          <w:color w:val="auto"/>
          <w:kern w:val="0"/>
          <w:sz w:val="32"/>
          <w:szCs w:val="32"/>
          <w:highlight w:val="none"/>
        </w:rPr>
      </w:pPr>
    </w:p>
    <w:p w14:paraId="4BC2C8F4">
      <w:pPr>
        <w:jc w:val="center"/>
        <w:rPr>
          <w:rFonts w:ascii="宋体" w:hAnsi="宋体" w:cs="宋体"/>
          <w:b/>
          <w:color w:val="auto"/>
          <w:kern w:val="0"/>
          <w:sz w:val="32"/>
          <w:szCs w:val="32"/>
          <w:highlight w:val="none"/>
        </w:rPr>
      </w:pPr>
    </w:p>
    <w:p w14:paraId="30ADC64D">
      <w:pPr>
        <w:snapToGrid w:val="0"/>
        <w:spacing w:line="360" w:lineRule="auto"/>
        <w:ind w:right="480"/>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067B72EB">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三、分包意向协议</w:t>
      </w:r>
    </w:p>
    <w:p w14:paraId="61719318">
      <w:pPr>
        <w:widowControl/>
        <w:spacing w:line="360" w:lineRule="auto"/>
        <w:ind w:firstLine="120" w:firstLineChars="50"/>
        <w:jc w:val="left"/>
        <w:rPr>
          <w:rFonts w:ascii="宋体" w:hAnsi="宋体" w:cs="宋体"/>
          <w:color w:val="auto"/>
          <w:sz w:val="24"/>
          <w:highlight w:val="none"/>
        </w:rPr>
      </w:pPr>
      <w:bookmarkStart w:id="392" w:name="_Hlk101169080"/>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成交后以分包方式履行合同的，提供分包意向协议(附件6)；采购人不同意分包或者供应商成交后不以分包方式履行合同的，则不需要提供。</w:t>
      </w:r>
      <w:r>
        <w:rPr>
          <w:rFonts w:hint="eastAsia" w:ascii="宋体" w:hAnsi="宋体" w:cs="宋体"/>
          <w:color w:val="auto"/>
          <w:sz w:val="24"/>
          <w:highlight w:val="none"/>
        </w:rPr>
        <w:t>]</w:t>
      </w:r>
    </w:p>
    <w:bookmarkEnd w:id="392"/>
    <w:p w14:paraId="1E584718">
      <w:pPr>
        <w:snapToGrid w:val="0"/>
        <w:spacing w:line="360" w:lineRule="auto"/>
        <w:rPr>
          <w:rFonts w:ascii="宋体" w:hAnsi="宋体" w:cs="宋体"/>
          <w:color w:val="auto"/>
          <w:kern w:val="0"/>
          <w:sz w:val="24"/>
          <w:highlight w:val="none"/>
        </w:rPr>
      </w:pPr>
    </w:p>
    <w:p w14:paraId="758F5283">
      <w:pPr>
        <w:snapToGrid w:val="0"/>
        <w:jc w:val="center"/>
        <w:rPr>
          <w:rFonts w:ascii="宋体" w:hAnsi="宋体" w:cs="宋体"/>
          <w:b/>
          <w:bCs/>
          <w:color w:val="auto"/>
          <w:sz w:val="32"/>
          <w:szCs w:val="32"/>
          <w:highlight w:val="none"/>
        </w:rPr>
      </w:pPr>
    </w:p>
    <w:p w14:paraId="60F95C53">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四、符合性审查资料</w:t>
      </w:r>
    </w:p>
    <w:p w14:paraId="1DBEC117">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1DCD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3646CE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3DCB82E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16289D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A3DCC3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14:paraId="6779C6D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D002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FDED22B">
            <w:pP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56271643">
            <w:pPr>
              <w:spacing w:line="360" w:lineRule="auto"/>
              <w:rPr>
                <w:rFonts w:ascii="宋体" w:hAnsi="宋体" w:cs="宋体"/>
                <w:color w:val="auto"/>
                <w:sz w:val="24"/>
                <w:highlight w:val="none"/>
              </w:rPr>
            </w:pPr>
            <w:r>
              <w:rPr>
                <w:rFonts w:hint="eastAsia" w:ascii="宋体" w:hAnsi="宋体" w:cs="宋体"/>
                <w:color w:val="auto"/>
                <w:sz w:val="24"/>
                <w:highlight w:val="none"/>
              </w:rPr>
              <w:t>响应文件按照采购文件要求签署、盖章。</w:t>
            </w:r>
          </w:p>
        </w:tc>
        <w:tc>
          <w:tcPr>
            <w:tcW w:w="2551" w:type="dxa"/>
            <w:vAlign w:val="center"/>
          </w:tcPr>
          <w:p w14:paraId="01C59E2E">
            <w:pP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vAlign w:val="center"/>
          </w:tcPr>
          <w:p w14:paraId="37238E4E">
            <w:pPr>
              <w:rPr>
                <w:rFonts w:ascii="宋体" w:hAnsi="宋体" w:cs="宋体"/>
                <w:color w:val="auto"/>
                <w:sz w:val="24"/>
                <w:highlight w:val="none"/>
              </w:rPr>
            </w:pPr>
            <w:r>
              <w:rPr>
                <w:rFonts w:hint="eastAsia" w:ascii="宋体" w:hAnsi="宋体" w:cs="宋体"/>
                <w:color w:val="auto"/>
                <w:sz w:val="24"/>
                <w:highlight w:val="none"/>
              </w:rPr>
              <w:t>见响应文件</w:t>
            </w:r>
          </w:p>
          <w:p w14:paraId="767D91A2">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7F83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0EC512F">
            <w:pPr>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14:paraId="669DD3D1">
            <w:pPr>
              <w:spacing w:line="360" w:lineRule="auto"/>
              <w:rPr>
                <w:rFonts w:ascii="宋体" w:hAnsi="宋体" w:cs="宋体"/>
                <w:color w:val="auto"/>
                <w:sz w:val="24"/>
                <w:highlight w:val="none"/>
              </w:rPr>
            </w:pPr>
            <w:r>
              <w:rPr>
                <w:rFonts w:hint="eastAsia" w:ascii="宋体" w:hAnsi="宋体" w:cs="宋体"/>
                <w:color w:val="auto"/>
                <w:sz w:val="24"/>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2533E2F4">
            <w:pPr>
              <w:rPr>
                <w:rFonts w:ascii="宋体" w:hAnsi="宋体" w:cs="宋体"/>
                <w:color w:val="auto"/>
                <w:sz w:val="24"/>
                <w:highlight w:val="none"/>
              </w:rPr>
            </w:pPr>
            <w:r>
              <w:rPr>
                <w:rFonts w:hint="eastAsia" w:ascii="宋体" w:hAnsi="宋体" w:cs="宋体"/>
                <w:color w:val="auto"/>
                <w:sz w:val="24"/>
                <w:highlight w:val="none"/>
              </w:rPr>
              <w:t>节能产品认证证书（本项目拟采购的产品不属于政府强制采购的节能产品品目清单范围的，无需提供）</w:t>
            </w:r>
          </w:p>
        </w:tc>
        <w:tc>
          <w:tcPr>
            <w:tcW w:w="1418" w:type="dxa"/>
            <w:vAlign w:val="center"/>
          </w:tcPr>
          <w:p w14:paraId="631E0EA6">
            <w:pPr>
              <w:rPr>
                <w:rFonts w:ascii="宋体" w:hAnsi="宋体" w:cs="宋体"/>
                <w:color w:val="auto"/>
                <w:sz w:val="24"/>
                <w:highlight w:val="none"/>
              </w:rPr>
            </w:pPr>
            <w:r>
              <w:rPr>
                <w:rFonts w:hint="eastAsia" w:ascii="宋体" w:hAnsi="宋体" w:cs="宋体"/>
                <w:color w:val="auto"/>
                <w:sz w:val="24"/>
                <w:highlight w:val="none"/>
              </w:rPr>
              <w:t>见响应文件</w:t>
            </w:r>
          </w:p>
          <w:p w14:paraId="2BF8946C">
            <w:pPr>
              <w:pStyle w:val="2"/>
              <w:jc w:val="both"/>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p>
        </w:tc>
      </w:tr>
      <w:tr w14:paraId="52C3A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ADCD1C1">
            <w:pP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14:paraId="7983FD5E">
            <w:pPr>
              <w:spacing w:line="360" w:lineRule="auto"/>
              <w:rPr>
                <w:rFonts w:ascii="宋体" w:hAnsi="宋体" w:cs="宋体"/>
                <w:color w:val="auto"/>
                <w:sz w:val="24"/>
                <w:highlight w:val="none"/>
              </w:rPr>
            </w:pPr>
            <w:r>
              <w:rPr>
                <w:rFonts w:hint="eastAsia" w:ascii="宋体" w:hAnsi="宋体" w:cs="宋体"/>
                <w:color w:val="auto"/>
                <w:sz w:val="24"/>
                <w:highlight w:val="none"/>
              </w:rPr>
              <w:t>响应文件中承诺的响应文件有效期不少于采购文件中载明的响应文件有效期。</w:t>
            </w:r>
          </w:p>
        </w:tc>
        <w:tc>
          <w:tcPr>
            <w:tcW w:w="2551" w:type="dxa"/>
            <w:vAlign w:val="center"/>
          </w:tcPr>
          <w:p w14:paraId="0976C0F7">
            <w:pPr>
              <w:rPr>
                <w:rFonts w:ascii="宋体" w:hAnsi="宋体" w:cs="宋体"/>
                <w:color w:val="auto"/>
                <w:sz w:val="24"/>
                <w:highlight w:val="none"/>
              </w:rPr>
            </w:pPr>
            <w:r>
              <w:rPr>
                <w:rFonts w:hint="eastAsia" w:ascii="宋体" w:hAnsi="宋体" w:cs="宋体"/>
                <w:color w:val="auto"/>
                <w:sz w:val="24"/>
                <w:highlight w:val="none"/>
              </w:rPr>
              <w:t>响应函</w:t>
            </w:r>
          </w:p>
        </w:tc>
        <w:tc>
          <w:tcPr>
            <w:tcW w:w="1418" w:type="dxa"/>
            <w:vAlign w:val="center"/>
          </w:tcPr>
          <w:p w14:paraId="6C54E059">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981D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D3B355E">
            <w:pPr>
              <w:rPr>
                <w:rFonts w:ascii="宋体" w:hAnsi="宋体" w:cs="宋体"/>
                <w:color w:val="auto"/>
                <w:sz w:val="24"/>
                <w:highlight w:val="none"/>
              </w:rPr>
            </w:pPr>
            <w:r>
              <w:rPr>
                <w:rFonts w:hint="eastAsia" w:ascii="宋体" w:hAnsi="宋体" w:cs="宋体"/>
                <w:color w:val="auto"/>
                <w:sz w:val="24"/>
                <w:highlight w:val="none"/>
              </w:rPr>
              <w:t>4</w:t>
            </w:r>
          </w:p>
        </w:tc>
        <w:tc>
          <w:tcPr>
            <w:tcW w:w="4991" w:type="dxa"/>
            <w:vAlign w:val="center"/>
          </w:tcPr>
          <w:p w14:paraId="2D1A384E">
            <w:pPr>
              <w:spacing w:line="360" w:lineRule="auto"/>
              <w:rPr>
                <w:rFonts w:ascii="宋体" w:hAnsi="宋体" w:cs="宋体"/>
                <w:color w:val="auto"/>
                <w:sz w:val="24"/>
                <w:highlight w:val="none"/>
              </w:rPr>
            </w:pPr>
            <w:r>
              <w:rPr>
                <w:rFonts w:hint="eastAsia" w:ascii="宋体" w:hAnsi="宋体" w:cs="宋体"/>
                <w:color w:val="auto"/>
                <w:sz w:val="24"/>
                <w:highlight w:val="none"/>
              </w:rPr>
              <w:t>响应文件满足采购文件的其它实质性要求。</w:t>
            </w:r>
          </w:p>
        </w:tc>
        <w:tc>
          <w:tcPr>
            <w:tcW w:w="2551" w:type="dxa"/>
            <w:vAlign w:val="center"/>
          </w:tcPr>
          <w:p w14:paraId="33B50B6C">
            <w:pPr>
              <w:rPr>
                <w:rFonts w:ascii="宋体" w:hAnsi="宋体" w:cs="宋体"/>
                <w:color w:val="auto"/>
                <w:sz w:val="24"/>
                <w:highlight w:val="none"/>
              </w:rPr>
            </w:pPr>
            <w:r>
              <w:rPr>
                <w:rFonts w:hint="eastAsia" w:ascii="宋体" w:hAnsi="宋体" w:cs="宋体"/>
                <w:color w:val="auto"/>
                <w:kern w:val="0"/>
                <w:sz w:val="24"/>
                <w:highlight w:val="none"/>
              </w:rPr>
              <w:t>采购文件其它实质性要求相应的材料（“▲” 系指实质性要求条款，采购文件无其它实质性要求的，无需提供）</w:t>
            </w:r>
          </w:p>
        </w:tc>
        <w:tc>
          <w:tcPr>
            <w:tcW w:w="1418" w:type="dxa"/>
            <w:vAlign w:val="center"/>
          </w:tcPr>
          <w:p w14:paraId="39B8F3AD">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655A642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AF4FB35">
      <w:pPr>
        <w:jc w:val="center"/>
        <w:rPr>
          <w:rFonts w:ascii="宋体" w:hAnsi="宋体" w:cs="宋体"/>
          <w:b/>
          <w:color w:val="auto"/>
          <w:kern w:val="0"/>
          <w:sz w:val="32"/>
          <w:szCs w:val="32"/>
          <w:highlight w:val="none"/>
        </w:rPr>
      </w:pPr>
    </w:p>
    <w:p w14:paraId="5AF96C2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40EC8DF7">
      <w:pPr>
        <w:jc w:val="center"/>
        <w:rPr>
          <w:rFonts w:ascii="宋体" w:hAnsi="宋体" w:cs="宋体"/>
          <w:b/>
          <w:color w:val="auto"/>
          <w:kern w:val="0"/>
          <w:sz w:val="32"/>
          <w:szCs w:val="32"/>
          <w:highlight w:val="none"/>
        </w:rPr>
      </w:pPr>
    </w:p>
    <w:p w14:paraId="57FF1148">
      <w:pPr>
        <w:jc w:val="center"/>
        <w:rPr>
          <w:rFonts w:ascii="宋体" w:hAnsi="宋体" w:cs="宋体"/>
          <w:b/>
          <w:color w:val="auto"/>
          <w:kern w:val="0"/>
          <w:sz w:val="32"/>
          <w:szCs w:val="32"/>
          <w:highlight w:val="none"/>
        </w:rPr>
      </w:pPr>
    </w:p>
    <w:p w14:paraId="45F1D0CC">
      <w:pPr>
        <w:jc w:val="center"/>
        <w:rPr>
          <w:rFonts w:ascii="宋体" w:hAnsi="宋体" w:cs="宋体"/>
          <w:b/>
          <w:color w:val="auto"/>
          <w:kern w:val="0"/>
          <w:sz w:val="32"/>
          <w:szCs w:val="32"/>
          <w:highlight w:val="none"/>
        </w:rPr>
      </w:pPr>
    </w:p>
    <w:p w14:paraId="3C9C1ADF">
      <w:pPr>
        <w:jc w:val="center"/>
        <w:rPr>
          <w:rFonts w:ascii="宋体" w:hAnsi="宋体" w:cs="宋体"/>
          <w:b/>
          <w:color w:val="auto"/>
          <w:kern w:val="0"/>
          <w:sz w:val="32"/>
          <w:szCs w:val="32"/>
          <w:highlight w:val="none"/>
        </w:rPr>
      </w:pPr>
    </w:p>
    <w:p w14:paraId="3AA42E3B">
      <w:pPr>
        <w:jc w:val="center"/>
        <w:rPr>
          <w:rFonts w:ascii="宋体" w:hAnsi="宋体" w:cs="宋体"/>
          <w:b/>
          <w:color w:val="auto"/>
          <w:kern w:val="0"/>
          <w:sz w:val="32"/>
          <w:szCs w:val="32"/>
          <w:highlight w:val="none"/>
        </w:rPr>
      </w:pPr>
    </w:p>
    <w:p w14:paraId="30C9754A">
      <w:pPr>
        <w:jc w:val="center"/>
        <w:rPr>
          <w:rFonts w:ascii="宋体" w:hAnsi="宋体" w:cs="宋体"/>
          <w:b/>
          <w:color w:val="auto"/>
          <w:kern w:val="0"/>
          <w:sz w:val="32"/>
          <w:szCs w:val="32"/>
          <w:highlight w:val="none"/>
        </w:rPr>
      </w:pPr>
    </w:p>
    <w:p w14:paraId="53221F1C">
      <w:pPr>
        <w:jc w:val="center"/>
        <w:rPr>
          <w:rFonts w:ascii="宋体" w:hAnsi="宋体" w:cs="宋体"/>
          <w:b/>
          <w:color w:val="auto"/>
          <w:kern w:val="0"/>
          <w:sz w:val="32"/>
          <w:szCs w:val="32"/>
          <w:highlight w:val="none"/>
        </w:rPr>
      </w:pPr>
    </w:p>
    <w:p w14:paraId="1B837C76">
      <w:pPr>
        <w:jc w:val="center"/>
        <w:rPr>
          <w:rFonts w:ascii="宋体" w:hAnsi="宋体" w:cs="宋体"/>
          <w:b/>
          <w:color w:val="auto"/>
          <w:kern w:val="0"/>
          <w:sz w:val="32"/>
          <w:szCs w:val="32"/>
          <w:highlight w:val="none"/>
        </w:rPr>
      </w:pPr>
    </w:p>
    <w:p w14:paraId="74B659ED">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五、评审标准相应的商务技术资料</w:t>
      </w:r>
    </w:p>
    <w:p w14:paraId="48BAD5FE">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（按采购文件第四部分评审办法前附表中“响应文件中评审标准相应的商务技术资料目录”提供资料。）</w:t>
      </w:r>
    </w:p>
    <w:p w14:paraId="123810B7">
      <w:pPr>
        <w:jc w:val="left"/>
        <w:rPr>
          <w:rFonts w:hint="eastAsia" w:ascii="宋体" w:hAnsi="宋体" w:cs="仿宋_GB2312"/>
          <w:b/>
          <w:color w:val="auto"/>
          <w:sz w:val="24"/>
          <w:highlight w:val="none"/>
          <w:lang w:val="en-US" w:eastAsia="zh-CN"/>
        </w:rPr>
      </w:pPr>
    </w:p>
    <w:p w14:paraId="0604DB30">
      <w:pPr>
        <w:jc w:val="left"/>
        <w:rPr>
          <w:rFonts w:hint="eastAsia" w:ascii="宋体" w:hAnsi="宋体" w:cs="仿宋_GB2312"/>
          <w:b/>
          <w:color w:val="auto"/>
          <w:sz w:val="24"/>
          <w:highlight w:val="none"/>
          <w:lang w:val="en-US" w:eastAsia="zh-CN"/>
        </w:rPr>
      </w:pPr>
    </w:p>
    <w:p w14:paraId="6CD08968">
      <w:pPr>
        <w:jc w:val="left"/>
        <w:rPr>
          <w:rFonts w:ascii="宋体" w:hAnsi="宋体" w:cs="宋体"/>
          <w:b/>
          <w:color w:val="auto"/>
          <w:kern w:val="0"/>
          <w:sz w:val="32"/>
          <w:szCs w:val="32"/>
          <w:highlight w:val="none"/>
        </w:rPr>
      </w:pPr>
      <w:r>
        <w:rPr>
          <w:rFonts w:hint="eastAsia" w:ascii="宋体" w:hAnsi="宋体" w:cs="仿宋_GB2312"/>
          <w:b/>
          <w:color w:val="auto"/>
          <w:sz w:val="24"/>
          <w:highlight w:val="none"/>
          <w:lang w:val="en-US" w:eastAsia="zh-CN"/>
        </w:rPr>
        <w:t>参考格式，可酌情调整；</w:t>
      </w:r>
    </w:p>
    <w:p w14:paraId="080A63D5">
      <w:pPr>
        <w:keepNext/>
        <w:autoSpaceDE w:val="0"/>
        <w:autoSpaceDN w:val="0"/>
        <w:adjustRightInd w:val="0"/>
        <w:spacing w:line="360" w:lineRule="auto"/>
        <w:jc w:val="center"/>
        <w:rPr>
          <w:rFonts w:hint="eastAsia" w:ascii="宋体" w:hAnsi="宋体" w:cs="仿宋_GB2312"/>
          <w:b/>
          <w:color w:val="auto"/>
          <w:sz w:val="24"/>
          <w:highlight w:val="none"/>
        </w:rPr>
      </w:pPr>
      <w:r>
        <w:rPr>
          <w:rFonts w:hint="eastAsia" w:ascii="宋体" w:hAnsi="宋体" w:cs="仿宋_GB2312"/>
          <w:b/>
          <w:color w:val="auto"/>
          <w:sz w:val="24"/>
          <w:highlight w:val="none"/>
        </w:rPr>
        <w:t>附表A</w:t>
      </w:r>
      <w:r>
        <w:rPr>
          <w:rFonts w:hint="eastAsia" w:ascii="宋体" w:hAnsi="宋体" w:cs="仿宋_GB2312"/>
          <w:b/>
          <w:color w:val="auto"/>
          <w:sz w:val="24"/>
          <w:highlight w:val="none"/>
          <w:lang w:eastAsia="zh-CN"/>
        </w:rPr>
        <w:t>：</w:t>
      </w:r>
      <w:r>
        <w:rPr>
          <w:rFonts w:hint="eastAsia" w:ascii="宋体" w:hAnsi="宋体" w:cs="仿宋_GB2312"/>
          <w:b/>
          <w:color w:val="auto"/>
          <w:sz w:val="24"/>
          <w:highlight w:val="none"/>
        </w:rPr>
        <w:t>本项目的项目经理情况表</w:t>
      </w:r>
    </w:p>
    <w:p w14:paraId="20541B25">
      <w:pPr>
        <w:pStyle w:val="80"/>
        <w:rPr>
          <w:rFonts w:hint="eastAsia" w:ascii="宋体" w:hAnsi="宋体" w:cs="仿宋_GB2312"/>
          <w:b/>
          <w:color w:val="auto"/>
          <w:sz w:val="24"/>
          <w:highlight w:val="none"/>
        </w:rPr>
      </w:pPr>
    </w:p>
    <w:tbl>
      <w:tblPr>
        <w:tblStyle w:val="62"/>
        <w:tblW w:w="9878" w:type="dxa"/>
        <w:tblInd w:w="0" w:type="dxa"/>
        <w:tblLayout w:type="fixed"/>
        <w:tblCellMar>
          <w:top w:w="0" w:type="dxa"/>
          <w:left w:w="108" w:type="dxa"/>
          <w:bottom w:w="0" w:type="dxa"/>
          <w:right w:w="108" w:type="dxa"/>
        </w:tblCellMar>
      </w:tblPr>
      <w:tblGrid>
        <w:gridCol w:w="1949"/>
        <w:gridCol w:w="2485"/>
        <w:gridCol w:w="2122"/>
        <w:gridCol w:w="1564"/>
        <w:gridCol w:w="1758"/>
      </w:tblGrid>
      <w:tr w14:paraId="57E318CB">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noWrap w:val="0"/>
            <w:vAlign w:val="center"/>
          </w:tcPr>
          <w:p w14:paraId="3871252D">
            <w:pPr>
              <w:autoSpaceDE w:val="0"/>
              <w:autoSpaceDN w:val="0"/>
              <w:adjustRightInd w:val="0"/>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姓名</w:t>
            </w:r>
          </w:p>
        </w:tc>
        <w:tc>
          <w:tcPr>
            <w:tcW w:w="2485" w:type="dxa"/>
            <w:tcBorders>
              <w:top w:val="single" w:color="auto" w:sz="6" w:space="0"/>
              <w:left w:val="single" w:color="auto" w:sz="6" w:space="0"/>
              <w:bottom w:val="single" w:color="auto" w:sz="6" w:space="0"/>
              <w:right w:val="single" w:color="auto" w:sz="4" w:space="0"/>
            </w:tcBorders>
            <w:noWrap w:val="0"/>
            <w:vAlign w:val="center"/>
          </w:tcPr>
          <w:p w14:paraId="56026B1F">
            <w:pPr>
              <w:autoSpaceDE w:val="0"/>
              <w:autoSpaceDN w:val="0"/>
              <w:adjustRightInd w:val="0"/>
              <w:spacing w:line="360" w:lineRule="auto"/>
              <w:jc w:val="center"/>
              <w:rPr>
                <w:rFonts w:hint="eastAsia"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noWrap w:val="0"/>
            <w:vAlign w:val="center"/>
          </w:tcPr>
          <w:p w14:paraId="73B1139F">
            <w:pPr>
              <w:autoSpaceDE w:val="0"/>
              <w:autoSpaceDN w:val="0"/>
              <w:adjustRightInd w:val="0"/>
              <w:spacing w:line="360" w:lineRule="auto"/>
              <w:jc w:val="center"/>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lang w:val="en-US" w:eastAsia="zh-CN"/>
              </w:rPr>
              <w:t>性别</w:t>
            </w:r>
          </w:p>
        </w:tc>
        <w:tc>
          <w:tcPr>
            <w:tcW w:w="3322" w:type="dxa"/>
            <w:gridSpan w:val="2"/>
            <w:tcBorders>
              <w:top w:val="single" w:color="auto" w:sz="6" w:space="0"/>
              <w:left w:val="single" w:color="auto" w:sz="6" w:space="0"/>
              <w:bottom w:val="single" w:color="auto" w:sz="6" w:space="0"/>
              <w:right w:val="single" w:color="auto" w:sz="6" w:space="0"/>
            </w:tcBorders>
            <w:noWrap w:val="0"/>
            <w:vAlign w:val="center"/>
          </w:tcPr>
          <w:p w14:paraId="39077FD1">
            <w:pPr>
              <w:autoSpaceDE w:val="0"/>
              <w:autoSpaceDN w:val="0"/>
              <w:adjustRightInd w:val="0"/>
              <w:spacing w:line="360" w:lineRule="auto"/>
              <w:jc w:val="center"/>
              <w:rPr>
                <w:rFonts w:hint="eastAsia" w:ascii="宋体" w:hAnsi="宋体" w:cs="仿宋_GB2312"/>
                <w:color w:val="auto"/>
                <w:sz w:val="24"/>
                <w:highlight w:val="none"/>
              </w:rPr>
            </w:pPr>
          </w:p>
        </w:tc>
      </w:tr>
      <w:tr w14:paraId="50029B62">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noWrap w:val="0"/>
            <w:vAlign w:val="center"/>
          </w:tcPr>
          <w:p w14:paraId="3BCECAB2">
            <w:pPr>
              <w:autoSpaceDE w:val="0"/>
              <w:autoSpaceDN w:val="0"/>
              <w:adjustRightInd w:val="0"/>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lang w:val="en-US" w:eastAsia="zh-CN"/>
              </w:rPr>
              <w:t>身份证号码</w:t>
            </w:r>
          </w:p>
        </w:tc>
        <w:tc>
          <w:tcPr>
            <w:tcW w:w="2485" w:type="dxa"/>
            <w:tcBorders>
              <w:top w:val="single" w:color="auto" w:sz="6" w:space="0"/>
              <w:left w:val="single" w:color="auto" w:sz="6" w:space="0"/>
              <w:bottom w:val="single" w:color="auto" w:sz="6" w:space="0"/>
              <w:right w:val="single" w:color="auto" w:sz="4" w:space="0"/>
            </w:tcBorders>
            <w:noWrap w:val="0"/>
            <w:vAlign w:val="center"/>
          </w:tcPr>
          <w:p w14:paraId="63593A5E">
            <w:pPr>
              <w:autoSpaceDE w:val="0"/>
              <w:autoSpaceDN w:val="0"/>
              <w:adjustRightInd w:val="0"/>
              <w:spacing w:line="360" w:lineRule="auto"/>
              <w:jc w:val="center"/>
              <w:rPr>
                <w:rFonts w:hint="eastAsia"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noWrap w:val="0"/>
            <w:vAlign w:val="center"/>
          </w:tcPr>
          <w:p w14:paraId="0BD92BA3">
            <w:pPr>
              <w:autoSpaceDE w:val="0"/>
              <w:autoSpaceDN w:val="0"/>
              <w:adjustRightInd w:val="0"/>
              <w:spacing w:line="360" w:lineRule="auto"/>
              <w:jc w:val="center"/>
              <w:rPr>
                <w:rFonts w:hint="eastAsia" w:ascii="宋体" w:hAnsi="宋体" w:cs="仿宋_GB2312"/>
                <w:color w:val="auto"/>
                <w:sz w:val="24"/>
                <w:highlight w:val="none"/>
                <w:lang w:val="en-US" w:eastAsia="zh-CN"/>
              </w:rPr>
            </w:pPr>
            <w:r>
              <w:rPr>
                <w:rFonts w:hint="eastAsia" w:ascii="宋体" w:hAnsi="宋体" w:cs="仿宋_GB2312"/>
                <w:color w:val="auto"/>
                <w:sz w:val="24"/>
                <w:highlight w:val="none"/>
              </w:rPr>
              <w:t>职称</w:t>
            </w:r>
          </w:p>
        </w:tc>
        <w:tc>
          <w:tcPr>
            <w:tcW w:w="3322" w:type="dxa"/>
            <w:gridSpan w:val="2"/>
            <w:tcBorders>
              <w:top w:val="single" w:color="auto" w:sz="6" w:space="0"/>
              <w:left w:val="single" w:color="auto" w:sz="6" w:space="0"/>
              <w:bottom w:val="single" w:color="auto" w:sz="6" w:space="0"/>
              <w:right w:val="single" w:color="auto" w:sz="6" w:space="0"/>
            </w:tcBorders>
            <w:noWrap w:val="0"/>
            <w:vAlign w:val="center"/>
          </w:tcPr>
          <w:p w14:paraId="7D0B36CE">
            <w:pPr>
              <w:autoSpaceDE w:val="0"/>
              <w:autoSpaceDN w:val="0"/>
              <w:adjustRightInd w:val="0"/>
              <w:spacing w:line="360" w:lineRule="auto"/>
              <w:jc w:val="center"/>
              <w:rPr>
                <w:rFonts w:hint="eastAsia" w:ascii="宋体" w:hAnsi="宋体" w:cs="仿宋_GB2312"/>
                <w:color w:val="auto"/>
                <w:sz w:val="24"/>
                <w:highlight w:val="none"/>
              </w:rPr>
            </w:pPr>
          </w:p>
        </w:tc>
      </w:tr>
      <w:tr w14:paraId="58C16D86">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noWrap w:val="0"/>
            <w:vAlign w:val="center"/>
          </w:tcPr>
          <w:p w14:paraId="00802B7C">
            <w:pPr>
              <w:autoSpaceDE w:val="0"/>
              <w:autoSpaceDN w:val="0"/>
              <w:adjustRightInd w:val="0"/>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所学专业</w:t>
            </w:r>
          </w:p>
        </w:tc>
        <w:tc>
          <w:tcPr>
            <w:tcW w:w="2485" w:type="dxa"/>
            <w:tcBorders>
              <w:top w:val="single" w:color="auto" w:sz="6" w:space="0"/>
              <w:left w:val="single" w:color="auto" w:sz="6" w:space="0"/>
              <w:bottom w:val="single" w:color="auto" w:sz="6" w:space="0"/>
              <w:right w:val="single" w:color="auto" w:sz="4" w:space="0"/>
            </w:tcBorders>
            <w:noWrap w:val="0"/>
            <w:vAlign w:val="center"/>
          </w:tcPr>
          <w:p w14:paraId="55EC4908">
            <w:pPr>
              <w:autoSpaceDE w:val="0"/>
              <w:autoSpaceDN w:val="0"/>
              <w:adjustRightInd w:val="0"/>
              <w:spacing w:line="360" w:lineRule="auto"/>
              <w:jc w:val="center"/>
              <w:rPr>
                <w:rFonts w:hint="eastAsia"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noWrap w:val="0"/>
            <w:vAlign w:val="center"/>
          </w:tcPr>
          <w:p w14:paraId="7E1E6238">
            <w:pPr>
              <w:autoSpaceDE w:val="0"/>
              <w:autoSpaceDN w:val="0"/>
              <w:adjustRightInd w:val="0"/>
              <w:spacing w:line="360" w:lineRule="auto"/>
              <w:jc w:val="center"/>
              <w:rPr>
                <w:rFonts w:hint="eastAsia" w:ascii="宋体" w:hAnsi="宋体" w:cs="仿宋_GB2312"/>
                <w:color w:val="auto"/>
                <w:sz w:val="24"/>
                <w:highlight w:val="none"/>
                <w:lang w:val="en-US" w:eastAsia="zh-CN"/>
              </w:rPr>
            </w:pPr>
            <w:r>
              <w:rPr>
                <w:rFonts w:hint="eastAsia" w:ascii="宋体" w:hAnsi="宋体" w:cs="仿宋_GB2312"/>
                <w:color w:val="auto"/>
                <w:sz w:val="24"/>
                <w:highlight w:val="none"/>
              </w:rPr>
              <w:t>毕业时间</w:t>
            </w:r>
          </w:p>
        </w:tc>
        <w:tc>
          <w:tcPr>
            <w:tcW w:w="3322" w:type="dxa"/>
            <w:gridSpan w:val="2"/>
            <w:tcBorders>
              <w:top w:val="single" w:color="auto" w:sz="6" w:space="0"/>
              <w:left w:val="single" w:color="auto" w:sz="6" w:space="0"/>
              <w:bottom w:val="single" w:color="auto" w:sz="6" w:space="0"/>
              <w:right w:val="single" w:color="auto" w:sz="6" w:space="0"/>
            </w:tcBorders>
            <w:noWrap w:val="0"/>
            <w:vAlign w:val="center"/>
          </w:tcPr>
          <w:p w14:paraId="1E88CCF7">
            <w:pPr>
              <w:autoSpaceDE w:val="0"/>
              <w:autoSpaceDN w:val="0"/>
              <w:adjustRightInd w:val="0"/>
              <w:spacing w:line="360" w:lineRule="auto"/>
              <w:jc w:val="center"/>
              <w:rPr>
                <w:rFonts w:hint="eastAsia" w:ascii="宋体" w:hAnsi="宋体" w:cs="仿宋_GB2312"/>
                <w:color w:val="auto"/>
                <w:sz w:val="24"/>
                <w:highlight w:val="none"/>
              </w:rPr>
            </w:pPr>
          </w:p>
        </w:tc>
      </w:tr>
      <w:tr w14:paraId="1324C2FF">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noWrap w:val="0"/>
            <w:vAlign w:val="center"/>
          </w:tcPr>
          <w:p w14:paraId="320D5BD7">
            <w:pPr>
              <w:autoSpaceDE w:val="0"/>
              <w:autoSpaceDN w:val="0"/>
              <w:adjustRightIn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rPr>
              <w:t>学历</w:t>
            </w:r>
            <w:r>
              <w:rPr>
                <w:rFonts w:hint="eastAsia" w:ascii="宋体" w:hAnsi="宋体" w:cs="仿宋_GB2312"/>
                <w:color w:val="auto"/>
                <w:sz w:val="24"/>
                <w:highlight w:val="none"/>
                <w:lang w:val="en-US" w:eastAsia="zh-CN"/>
              </w:rPr>
              <w:t>/学位</w:t>
            </w:r>
          </w:p>
        </w:tc>
        <w:tc>
          <w:tcPr>
            <w:tcW w:w="2485" w:type="dxa"/>
            <w:tcBorders>
              <w:top w:val="single" w:color="auto" w:sz="6" w:space="0"/>
              <w:left w:val="single" w:color="auto" w:sz="6" w:space="0"/>
              <w:bottom w:val="single" w:color="auto" w:sz="6" w:space="0"/>
              <w:right w:val="single" w:color="auto" w:sz="4" w:space="0"/>
            </w:tcBorders>
            <w:noWrap w:val="0"/>
            <w:vAlign w:val="center"/>
          </w:tcPr>
          <w:p w14:paraId="345180E7">
            <w:pPr>
              <w:autoSpaceDE w:val="0"/>
              <w:autoSpaceDN w:val="0"/>
              <w:adjustRightInd w:val="0"/>
              <w:spacing w:line="360" w:lineRule="auto"/>
              <w:jc w:val="center"/>
              <w:rPr>
                <w:rFonts w:hint="eastAsia"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noWrap w:val="0"/>
            <w:vAlign w:val="center"/>
          </w:tcPr>
          <w:p w14:paraId="77FB79F4">
            <w:pPr>
              <w:autoSpaceDE w:val="0"/>
              <w:autoSpaceDN w:val="0"/>
              <w:adjustRightIn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联系电话</w:t>
            </w:r>
          </w:p>
        </w:tc>
        <w:tc>
          <w:tcPr>
            <w:tcW w:w="3322" w:type="dxa"/>
            <w:gridSpan w:val="2"/>
            <w:tcBorders>
              <w:top w:val="single" w:color="auto" w:sz="6" w:space="0"/>
              <w:left w:val="single" w:color="auto" w:sz="6" w:space="0"/>
              <w:bottom w:val="single" w:color="auto" w:sz="6" w:space="0"/>
              <w:right w:val="single" w:color="auto" w:sz="6" w:space="0"/>
            </w:tcBorders>
            <w:noWrap w:val="0"/>
            <w:vAlign w:val="center"/>
          </w:tcPr>
          <w:p w14:paraId="428B6A68">
            <w:pPr>
              <w:autoSpaceDE w:val="0"/>
              <w:autoSpaceDN w:val="0"/>
              <w:adjustRightInd w:val="0"/>
              <w:spacing w:line="360" w:lineRule="auto"/>
              <w:jc w:val="center"/>
              <w:rPr>
                <w:rFonts w:hint="eastAsia" w:ascii="宋体" w:hAnsi="宋体" w:cs="仿宋_GB2312"/>
                <w:color w:val="auto"/>
                <w:sz w:val="24"/>
                <w:highlight w:val="none"/>
              </w:rPr>
            </w:pPr>
          </w:p>
        </w:tc>
      </w:tr>
      <w:tr w14:paraId="34FD2A94">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noWrap w:val="0"/>
            <w:vAlign w:val="center"/>
          </w:tcPr>
          <w:p w14:paraId="7D1BC690">
            <w:pPr>
              <w:autoSpaceDE w:val="0"/>
              <w:autoSpaceDN w:val="0"/>
              <w:adjustRightIn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邮箱地址</w:t>
            </w:r>
          </w:p>
        </w:tc>
        <w:tc>
          <w:tcPr>
            <w:tcW w:w="2485" w:type="dxa"/>
            <w:tcBorders>
              <w:top w:val="single" w:color="auto" w:sz="6" w:space="0"/>
              <w:left w:val="single" w:color="auto" w:sz="6" w:space="0"/>
              <w:bottom w:val="single" w:color="auto" w:sz="6" w:space="0"/>
              <w:right w:val="single" w:color="auto" w:sz="4" w:space="0"/>
            </w:tcBorders>
            <w:noWrap w:val="0"/>
            <w:vAlign w:val="center"/>
          </w:tcPr>
          <w:p w14:paraId="198B9807">
            <w:pPr>
              <w:autoSpaceDE w:val="0"/>
              <w:autoSpaceDN w:val="0"/>
              <w:adjustRightInd w:val="0"/>
              <w:spacing w:line="360" w:lineRule="auto"/>
              <w:jc w:val="center"/>
              <w:rPr>
                <w:rFonts w:hint="eastAsia"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noWrap w:val="0"/>
            <w:vAlign w:val="center"/>
          </w:tcPr>
          <w:p w14:paraId="53DE4A44">
            <w:pPr>
              <w:autoSpaceDE w:val="0"/>
              <w:autoSpaceDN w:val="0"/>
              <w:adjustRightInd w:val="0"/>
              <w:spacing w:line="360" w:lineRule="auto"/>
              <w:jc w:val="center"/>
              <w:rPr>
                <w:rFonts w:hint="eastAsia" w:ascii="宋体" w:hAnsi="宋体" w:cs="仿宋_GB2312"/>
                <w:color w:val="auto"/>
                <w:sz w:val="24"/>
                <w:highlight w:val="none"/>
                <w:lang w:val="en-US" w:eastAsia="zh-CN"/>
              </w:rPr>
            </w:pPr>
            <w:r>
              <w:rPr>
                <w:rFonts w:hint="eastAsia" w:ascii="宋体" w:hAnsi="宋体" w:cs="仿宋_GB2312"/>
                <w:color w:val="auto"/>
                <w:sz w:val="24"/>
                <w:highlight w:val="none"/>
              </w:rPr>
              <w:t>资质证书编号</w:t>
            </w:r>
          </w:p>
        </w:tc>
        <w:tc>
          <w:tcPr>
            <w:tcW w:w="3322" w:type="dxa"/>
            <w:gridSpan w:val="2"/>
            <w:tcBorders>
              <w:top w:val="single" w:color="auto" w:sz="6" w:space="0"/>
              <w:left w:val="single" w:color="auto" w:sz="6" w:space="0"/>
              <w:bottom w:val="single" w:color="auto" w:sz="6" w:space="0"/>
              <w:right w:val="single" w:color="auto" w:sz="6" w:space="0"/>
            </w:tcBorders>
            <w:noWrap w:val="0"/>
            <w:vAlign w:val="center"/>
          </w:tcPr>
          <w:p w14:paraId="06F1695B">
            <w:pPr>
              <w:autoSpaceDE w:val="0"/>
              <w:autoSpaceDN w:val="0"/>
              <w:adjustRightInd w:val="0"/>
              <w:spacing w:line="360" w:lineRule="auto"/>
              <w:jc w:val="center"/>
              <w:rPr>
                <w:rFonts w:hint="eastAsia" w:ascii="宋体" w:hAnsi="宋体" w:cs="仿宋_GB2312"/>
                <w:color w:val="auto"/>
                <w:sz w:val="24"/>
                <w:highlight w:val="none"/>
              </w:rPr>
            </w:pPr>
          </w:p>
        </w:tc>
      </w:tr>
      <w:tr w14:paraId="365C33ED">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noWrap w:val="0"/>
            <w:vAlign w:val="center"/>
          </w:tcPr>
          <w:p w14:paraId="0942F03C">
            <w:pPr>
              <w:autoSpaceDE w:val="0"/>
              <w:autoSpaceDN w:val="0"/>
              <w:adjustRightIn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执业证书编号</w:t>
            </w:r>
          </w:p>
        </w:tc>
        <w:tc>
          <w:tcPr>
            <w:tcW w:w="2485" w:type="dxa"/>
            <w:tcBorders>
              <w:top w:val="single" w:color="auto" w:sz="6" w:space="0"/>
              <w:left w:val="single" w:color="auto" w:sz="6" w:space="0"/>
              <w:bottom w:val="single" w:color="auto" w:sz="6" w:space="0"/>
              <w:right w:val="single" w:color="auto" w:sz="4" w:space="0"/>
            </w:tcBorders>
            <w:noWrap w:val="0"/>
            <w:vAlign w:val="center"/>
          </w:tcPr>
          <w:p w14:paraId="5B63CA87">
            <w:pPr>
              <w:autoSpaceDE w:val="0"/>
              <w:autoSpaceDN w:val="0"/>
              <w:adjustRightInd w:val="0"/>
              <w:spacing w:line="360" w:lineRule="auto"/>
              <w:jc w:val="center"/>
              <w:rPr>
                <w:rFonts w:hint="eastAsia"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noWrap w:val="0"/>
            <w:vAlign w:val="center"/>
          </w:tcPr>
          <w:p w14:paraId="176A8B83">
            <w:pPr>
              <w:autoSpaceDE w:val="0"/>
              <w:autoSpaceDN w:val="0"/>
              <w:adjustRightInd w:val="0"/>
              <w:spacing w:line="360" w:lineRule="auto"/>
              <w:jc w:val="center"/>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安全生产考核合格证书编号（B证）</w:t>
            </w:r>
          </w:p>
        </w:tc>
        <w:tc>
          <w:tcPr>
            <w:tcW w:w="3322" w:type="dxa"/>
            <w:gridSpan w:val="2"/>
            <w:tcBorders>
              <w:top w:val="single" w:color="auto" w:sz="6" w:space="0"/>
              <w:left w:val="single" w:color="auto" w:sz="6" w:space="0"/>
              <w:bottom w:val="single" w:color="auto" w:sz="6" w:space="0"/>
              <w:right w:val="single" w:color="auto" w:sz="6" w:space="0"/>
            </w:tcBorders>
            <w:noWrap w:val="0"/>
            <w:vAlign w:val="center"/>
          </w:tcPr>
          <w:p w14:paraId="1A67B999">
            <w:pPr>
              <w:autoSpaceDE w:val="0"/>
              <w:autoSpaceDN w:val="0"/>
              <w:adjustRightInd w:val="0"/>
              <w:spacing w:line="360" w:lineRule="auto"/>
              <w:jc w:val="center"/>
              <w:rPr>
                <w:rFonts w:hint="eastAsia" w:ascii="宋体" w:hAnsi="宋体" w:cs="仿宋_GB2312"/>
                <w:color w:val="auto"/>
                <w:sz w:val="24"/>
                <w:highlight w:val="none"/>
              </w:rPr>
            </w:pPr>
          </w:p>
        </w:tc>
      </w:tr>
      <w:tr w14:paraId="4222F173">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noWrap w:val="0"/>
            <w:vAlign w:val="center"/>
          </w:tcPr>
          <w:p w14:paraId="1ACB894E">
            <w:pPr>
              <w:autoSpaceDE w:val="0"/>
              <w:autoSpaceDN w:val="0"/>
              <w:adjustRightInd w:val="0"/>
              <w:spacing w:line="360" w:lineRule="auto"/>
              <w:jc w:val="center"/>
              <w:rPr>
                <w:rFonts w:hint="eastAsia" w:ascii="宋体" w:hAnsi="宋体" w:cs="仿宋_GB2312"/>
                <w:color w:val="auto"/>
                <w:sz w:val="24"/>
                <w:highlight w:val="none"/>
                <w:lang w:val="en-US" w:eastAsia="zh-CN"/>
              </w:rPr>
            </w:pPr>
            <w:r>
              <w:rPr>
                <w:rFonts w:hint="eastAsia" w:ascii="宋体" w:hAnsi="宋体" w:cs="仿宋_GB2312"/>
                <w:color w:val="auto"/>
                <w:sz w:val="24"/>
                <w:highlight w:val="none"/>
              </w:rPr>
              <w:t>其他资质情况</w:t>
            </w:r>
          </w:p>
        </w:tc>
        <w:tc>
          <w:tcPr>
            <w:tcW w:w="2485" w:type="dxa"/>
            <w:tcBorders>
              <w:top w:val="single" w:color="auto" w:sz="6" w:space="0"/>
              <w:left w:val="single" w:color="auto" w:sz="6" w:space="0"/>
              <w:bottom w:val="single" w:color="auto" w:sz="6" w:space="0"/>
              <w:right w:val="single" w:color="auto" w:sz="4" w:space="0"/>
            </w:tcBorders>
            <w:noWrap w:val="0"/>
            <w:vAlign w:val="center"/>
          </w:tcPr>
          <w:p w14:paraId="39419C7F">
            <w:pPr>
              <w:autoSpaceDE w:val="0"/>
              <w:autoSpaceDN w:val="0"/>
              <w:adjustRightInd w:val="0"/>
              <w:spacing w:line="360" w:lineRule="auto"/>
              <w:jc w:val="center"/>
              <w:rPr>
                <w:rFonts w:hint="eastAsia"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noWrap w:val="0"/>
            <w:vAlign w:val="center"/>
          </w:tcPr>
          <w:p w14:paraId="306646AF">
            <w:pPr>
              <w:autoSpaceDE w:val="0"/>
              <w:autoSpaceDN w:val="0"/>
              <w:adjustRightInd w:val="0"/>
              <w:spacing w:line="360" w:lineRule="auto"/>
              <w:jc w:val="center"/>
              <w:rPr>
                <w:rFonts w:hint="eastAsia" w:ascii="宋体" w:hAnsi="宋体" w:cs="仿宋_GB2312"/>
                <w:color w:val="auto"/>
                <w:sz w:val="24"/>
                <w:highlight w:val="none"/>
                <w:lang w:val="en-US" w:eastAsia="zh-CN"/>
              </w:rPr>
            </w:pPr>
            <w:r>
              <w:rPr>
                <w:rFonts w:hint="eastAsia" w:ascii="宋体" w:hAnsi="宋体" w:cs="仿宋_GB2312"/>
                <w:b/>
                <w:bCs/>
                <w:color w:val="auto"/>
                <w:sz w:val="24"/>
                <w:highlight w:val="none"/>
                <w:lang w:val="en-US" w:eastAsia="zh-CN"/>
              </w:rPr>
              <w:t>有无在建项目</w:t>
            </w:r>
          </w:p>
        </w:tc>
        <w:tc>
          <w:tcPr>
            <w:tcW w:w="3322" w:type="dxa"/>
            <w:gridSpan w:val="2"/>
            <w:tcBorders>
              <w:top w:val="single" w:color="auto" w:sz="6" w:space="0"/>
              <w:left w:val="single" w:color="auto" w:sz="6" w:space="0"/>
              <w:bottom w:val="single" w:color="auto" w:sz="6" w:space="0"/>
              <w:right w:val="single" w:color="auto" w:sz="6" w:space="0"/>
            </w:tcBorders>
            <w:noWrap w:val="0"/>
            <w:vAlign w:val="center"/>
          </w:tcPr>
          <w:p w14:paraId="674056D6">
            <w:pPr>
              <w:autoSpaceDE w:val="0"/>
              <w:autoSpaceDN w:val="0"/>
              <w:adjustRightInd w:val="0"/>
              <w:spacing w:line="360" w:lineRule="auto"/>
              <w:jc w:val="left"/>
              <w:rPr>
                <w:rFonts w:hint="default" w:ascii="宋体" w:hAnsi="宋体" w:eastAsia="宋体" w:cs="仿宋_GB2312"/>
                <w:color w:val="auto"/>
                <w:sz w:val="24"/>
                <w:highlight w:val="none"/>
                <w:u w:val="single"/>
                <w:lang w:val="en-US" w:eastAsia="zh-CN"/>
              </w:rPr>
            </w:pPr>
            <w:r>
              <w:rPr>
                <w:rFonts w:hint="eastAsia" w:ascii="宋体" w:hAnsi="宋体" w:cs="仿宋_GB2312"/>
                <w:color w:val="auto"/>
                <w:sz w:val="24"/>
                <w:highlight w:val="none"/>
              </w:rPr>
              <w:sym w:font="Wingdings 2" w:char="00A3"/>
            </w:r>
            <w:r>
              <w:rPr>
                <w:rFonts w:hint="eastAsia" w:ascii="宋体" w:hAnsi="宋体" w:cs="仿宋_GB2312"/>
                <w:color w:val="auto"/>
                <w:sz w:val="24"/>
                <w:highlight w:val="none"/>
                <w:lang w:val="en-US" w:eastAsia="zh-CN"/>
              </w:rPr>
              <w:t>无；</w:t>
            </w:r>
            <w:r>
              <w:rPr>
                <w:rFonts w:hint="eastAsia" w:ascii="宋体" w:hAnsi="宋体" w:cs="仿宋_GB2312"/>
                <w:color w:val="auto"/>
                <w:sz w:val="24"/>
                <w:highlight w:val="none"/>
              </w:rPr>
              <w:sym w:font="Wingdings 2" w:char="00A3"/>
            </w:r>
            <w:r>
              <w:rPr>
                <w:rFonts w:hint="eastAsia" w:ascii="宋体" w:hAnsi="宋体" w:cs="仿宋_GB2312"/>
                <w:color w:val="auto"/>
                <w:sz w:val="24"/>
                <w:highlight w:val="none"/>
                <w:lang w:val="en-US" w:eastAsia="zh-CN"/>
              </w:rPr>
              <w:t>有，</w:t>
            </w:r>
            <w:r>
              <w:rPr>
                <w:rFonts w:hint="eastAsia" w:ascii="宋体" w:hAnsi="宋体" w:cs="仿宋_GB2312"/>
                <w:color w:val="auto"/>
                <w:sz w:val="24"/>
                <w:highlight w:val="none"/>
                <w:u w:val="single"/>
                <w:lang w:val="en-US" w:eastAsia="zh-CN"/>
              </w:rPr>
              <w:t xml:space="preserve">      </w:t>
            </w:r>
          </w:p>
        </w:tc>
      </w:tr>
      <w:tr w14:paraId="5EA653AA">
        <w:tblPrEx>
          <w:tblCellMar>
            <w:top w:w="0" w:type="dxa"/>
            <w:left w:w="108" w:type="dxa"/>
            <w:bottom w:w="0" w:type="dxa"/>
            <w:right w:w="108" w:type="dxa"/>
          </w:tblCellMar>
        </w:tblPrEx>
        <w:trPr>
          <w:trHeight w:val="567" w:hRule="atLeast"/>
        </w:trPr>
        <w:tc>
          <w:tcPr>
            <w:tcW w:w="9878" w:type="dxa"/>
            <w:gridSpan w:val="5"/>
            <w:tcBorders>
              <w:top w:val="single" w:color="auto" w:sz="6" w:space="0"/>
              <w:left w:val="single" w:color="auto" w:sz="6" w:space="0"/>
              <w:bottom w:val="single" w:color="auto" w:sz="6" w:space="0"/>
              <w:right w:val="single" w:color="auto" w:sz="6" w:space="0"/>
            </w:tcBorders>
            <w:noWrap w:val="0"/>
            <w:vAlign w:val="center"/>
          </w:tcPr>
          <w:p w14:paraId="2574923B">
            <w:pPr>
              <w:autoSpaceDE w:val="0"/>
              <w:autoSpaceDN w:val="0"/>
              <w:adjustRightIn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b/>
                <w:bCs/>
                <w:color w:val="auto"/>
                <w:sz w:val="24"/>
                <w:highlight w:val="none"/>
                <w:lang w:val="en-US" w:eastAsia="zh-CN"/>
              </w:rPr>
              <w:t>工作履历</w:t>
            </w:r>
          </w:p>
        </w:tc>
      </w:tr>
      <w:tr w14:paraId="68B87EE3">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noWrap w:val="0"/>
            <w:vAlign w:val="center"/>
          </w:tcPr>
          <w:p w14:paraId="277F374D">
            <w:pPr>
              <w:pStyle w:val="958"/>
              <w:tabs>
                <w:tab w:val="left" w:pos="483"/>
              </w:tabs>
              <w:spacing w:before="104"/>
              <w:jc w:val="center"/>
              <w:rPr>
                <w:rFonts w:hint="eastAsia" w:ascii="宋体" w:hAnsi="宋体" w:cs="仿宋_GB2312"/>
                <w:color w:val="auto"/>
                <w:sz w:val="24"/>
                <w:highlight w:val="none"/>
              </w:rPr>
            </w:pPr>
            <w:r>
              <w:rPr>
                <w:rFonts w:ascii="Times New Roman" w:hAnsi="Times New Roman" w:eastAsiaTheme="minorEastAsia"/>
                <w:sz w:val="24"/>
                <w:shd w:val="clear" w:color="auto" w:fill="FFFFFF" w:themeFill="background1"/>
              </w:rPr>
              <w:t>起止时间</w:t>
            </w:r>
          </w:p>
        </w:tc>
        <w:tc>
          <w:tcPr>
            <w:tcW w:w="2485" w:type="dxa"/>
            <w:tcBorders>
              <w:top w:val="single" w:color="auto" w:sz="6" w:space="0"/>
              <w:left w:val="single" w:color="auto" w:sz="6" w:space="0"/>
              <w:bottom w:val="single" w:color="auto" w:sz="6" w:space="0"/>
              <w:right w:val="single" w:color="auto" w:sz="4" w:space="0"/>
            </w:tcBorders>
            <w:noWrap w:val="0"/>
            <w:vAlign w:val="center"/>
          </w:tcPr>
          <w:p w14:paraId="7D0B21E8">
            <w:pPr>
              <w:pStyle w:val="958"/>
              <w:tabs>
                <w:tab w:val="left" w:pos="483"/>
              </w:tabs>
              <w:spacing w:before="104"/>
              <w:jc w:val="center"/>
              <w:rPr>
                <w:rFonts w:hint="eastAsia" w:ascii="宋体" w:hAnsi="宋体" w:cs="仿宋_GB2312"/>
                <w:color w:val="auto"/>
                <w:sz w:val="24"/>
                <w:highlight w:val="none"/>
              </w:rPr>
            </w:pPr>
            <w:r>
              <w:rPr>
                <w:rFonts w:ascii="Times New Roman" w:hAnsi="Times New Roman" w:eastAsiaTheme="minorEastAsia"/>
                <w:sz w:val="24"/>
                <w:shd w:val="clear" w:color="auto" w:fill="FFFFFF" w:themeFill="background1"/>
              </w:rPr>
              <w:t>任职单位</w:t>
            </w:r>
          </w:p>
        </w:tc>
        <w:tc>
          <w:tcPr>
            <w:tcW w:w="2122" w:type="dxa"/>
            <w:tcBorders>
              <w:top w:val="single" w:color="auto" w:sz="6" w:space="0"/>
              <w:left w:val="single" w:color="auto" w:sz="4" w:space="0"/>
              <w:bottom w:val="single" w:color="auto" w:sz="6" w:space="0"/>
              <w:right w:val="single" w:color="auto" w:sz="6" w:space="0"/>
            </w:tcBorders>
            <w:noWrap w:val="0"/>
            <w:vAlign w:val="center"/>
          </w:tcPr>
          <w:p w14:paraId="6ABD2883">
            <w:pPr>
              <w:pStyle w:val="958"/>
              <w:tabs>
                <w:tab w:val="left" w:pos="483"/>
              </w:tabs>
              <w:spacing w:before="104"/>
              <w:jc w:val="center"/>
              <w:rPr>
                <w:rFonts w:hint="eastAsia" w:ascii="宋体" w:hAnsi="宋体" w:cs="仿宋_GB2312"/>
                <w:color w:val="auto"/>
                <w:sz w:val="24"/>
                <w:highlight w:val="none"/>
                <w:lang w:val="en-US" w:eastAsia="zh-CN"/>
              </w:rPr>
            </w:pPr>
            <w:r>
              <w:rPr>
                <w:rFonts w:ascii="Times New Roman" w:hAnsi="Times New Roman" w:eastAsiaTheme="minorEastAsia"/>
                <w:sz w:val="24"/>
                <w:shd w:val="clear" w:color="auto" w:fill="FFFFFF" w:themeFill="background1"/>
              </w:rPr>
              <w:t>职务</w:t>
            </w:r>
          </w:p>
        </w:tc>
        <w:tc>
          <w:tcPr>
            <w:tcW w:w="3322" w:type="dxa"/>
            <w:gridSpan w:val="2"/>
            <w:tcBorders>
              <w:top w:val="single" w:color="auto" w:sz="6" w:space="0"/>
              <w:left w:val="single" w:color="auto" w:sz="6" w:space="0"/>
              <w:bottom w:val="single" w:color="auto" w:sz="6" w:space="0"/>
              <w:right w:val="single" w:color="auto" w:sz="6" w:space="0"/>
            </w:tcBorders>
            <w:noWrap w:val="0"/>
            <w:vAlign w:val="center"/>
          </w:tcPr>
          <w:p w14:paraId="35CDF26A">
            <w:pPr>
              <w:pStyle w:val="958"/>
              <w:tabs>
                <w:tab w:val="left" w:pos="483"/>
              </w:tabs>
              <w:spacing w:before="104"/>
              <w:jc w:val="center"/>
              <w:rPr>
                <w:rFonts w:hint="eastAsia" w:ascii="宋体" w:hAnsi="宋体" w:cs="仿宋_GB2312"/>
                <w:color w:val="auto"/>
                <w:sz w:val="24"/>
                <w:highlight w:val="none"/>
              </w:rPr>
            </w:pPr>
            <w:r>
              <w:rPr>
                <w:rFonts w:ascii="Times New Roman" w:hAnsi="Times New Roman" w:eastAsiaTheme="minorEastAsia"/>
                <w:sz w:val="24"/>
                <w:shd w:val="clear" w:color="auto" w:fill="FFFFFF" w:themeFill="background1"/>
              </w:rPr>
              <w:t>备注</w:t>
            </w:r>
          </w:p>
        </w:tc>
      </w:tr>
      <w:tr w14:paraId="6808A6CD">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noWrap w:val="0"/>
            <w:vAlign w:val="center"/>
          </w:tcPr>
          <w:p w14:paraId="51492679">
            <w:pPr>
              <w:autoSpaceDE w:val="0"/>
              <w:autoSpaceDN w:val="0"/>
              <w:adjustRightInd w:val="0"/>
              <w:spacing w:line="360" w:lineRule="auto"/>
              <w:jc w:val="center"/>
              <w:rPr>
                <w:rFonts w:hint="eastAsia" w:ascii="宋体" w:hAnsi="宋体" w:cs="仿宋_GB2312"/>
                <w:color w:val="auto"/>
                <w:sz w:val="24"/>
                <w:highlight w:val="none"/>
              </w:rPr>
            </w:pPr>
          </w:p>
        </w:tc>
        <w:tc>
          <w:tcPr>
            <w:tcW w:w="2485" w:type="dxa"/>
            <w:tcBorders>
              <w:top w:val="single" w:color="auto" w:sz="6" w:space="0"/>
              <w:left w:val="single" w:color="auto" w:sz="6" w:space="0"/>
              <w:bottom w:val="single" w:color="auto" w:sz="6" w:space="0"/>
              <w:right w:val="single" w:color="auto" w:sz="4" w:space="0"/>
            </w:tcBorders>
            <w:noWrap w:val="0"/>
            <w:vAlign w:val="center"/>
          </w:tcPr>
          <w:p w14:paraId="797315D3">
            <w:pPr>
              <w:autoSpaceDE w:val="0"/>
              <w:autoSpaceDN w:val="0"/>
              <w:adjustRightInd w:val="0"/>
              <w:spacing w:line="360" w:lineRule="auto"/>
              <w:jc w:val="center"/>
              <w:rPr>
                <w:rFonts w:hint="eastAsia"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noWrap w:val="0"/>
            <w:vAlign w:val="center"/>
          </w:tcPr>
          <w:p w14:paraId="75F8F171">
            <w:pPr>
              <w:autoSpaceDE w:val="0"/>
              <w:autoSpaceDN w:val="0"/>
              <w:adjustRightInd w:val="0"/>
              <w:spacing w:line="360" w:lineRule="auto"/>
              <w:jc w:val="center"/>
              <w:rPr>
                <w:rFonts w:hint="eastAsia" w:ascii="宋体" w:hAnsi="宋体" w:cs="仿宋_GB2312"/>
                <w:color w:val="auto"/>
                <w:sz w:val="24"/>
                <w:highlight w:val="none"/>
                <w:lang w:val="en-US" w:eastAsia="zh-CN"/>
              </w:rPr>
            </w:pPr>
          </w:p>
        </w:tc>
        <w:tc>
          <w:tcPr>
            <w:tcW w:w="3322" w:type="dxa"/>
            <w:gridSpan w:val="2"/>
            <w:tcBorders>
              <w:top w:val="single" w:color="auto" w:sz="6" w:space="0"/>
              <w:left w:val="single" w:color="auto" w:sz="6" w:space="0"/>
              <w:bottom w:val="single" w:color="auto" w:sz="6" w:space="0"/>
              <w:right w:val="single" w:color="auto" w:sz="6" w:space="0"/>
            </w:tcBorders>
            <w:noWrap w:val="0"/>
            <w:vAlign w:val="center"/>
          </w:tcPr>
          <w:p w14:paraId="6069384B">
            <w:pPr>
              <w:autoSpaceDE w:val="0"/>
              <w:autoSpaceDN w:val="0"/>
              <w:adjustRightInd w:val="0"/>
              <w:spacing w:line="360" w:lineRule="auto"/>
              <w:jc w:val="center"/>
              <w:rPr>
                <w:rFonts w:hint="eastAsia" w:ascii="宋体" w:hAnsi="宋体" w:cs="仿宋_GB2312"/>
                <w:color w:val="auto"/>
                <w:sz w:val="24"/>
                <w:highlight w:val="none"/>
              </w:rPr>
            </w:pPr>
          </w:p>
        </w:tc>
      </w:tr>
      <w:tr w14:paraId="131E5B65">
        <w:trPr>
          <w:trHeight w:val="567" w:hRule="atLeast"/>
        </w:trPr>
        <w:tc>
          <w:tcPr>
            <w:tcW w:w="1949" w:type="dxa"/>
            <w:tcBorders>
              <w:top w:val="single" w:color="auto" w:sz="6" w:space="0"/>
              <w:left w:val="single" w:color="auto" w:sz="6" w:space="0"/>
              <w:bottom w:val="single" w:color="auto" w:sz="6" w:space="0"/>
              <w:right w:val="single" w:color="auto" w:sz="6" w:space="0"/>
            </w:tcBorders>
            <w:noWrap w:val="0"/>
            <w:vAlign w:val="center"/>
          </w:tcPr>
          <w:p w14:paraId="50521F4F">
            <w:pPr>
              <w:autoSpaceDE w:val="0"/>
              <w:autoSpaceDN w:val="0"/>
              <w:adjustRightInd w:val="0"/>
              <w:spacing w:line="360" w:lineRule="auto"/>
              <w:jc w:val="center"/>
              <w:rPr>
                <w:rFonts w:hint="eastAsia" w:ascii="宋体" w:hAnsi="宋体" w:cs="仿宋_GB2312"/>
                <w:color w:val="auto"/>
                <w:sz w:val="24"/>
                <w:highlight w:val="none"/>
              </w:rPr>
            </w:pPr>
          </w:p>
        </w:tc>
        <w:tc>
          <w:tcPr>
            <w:tcW w:w="2485" w:type="dxa"/>
            <w:tcBorders>
              <w:top w:val="single" w:color="auto" w:sz="6" w:space="0"/>
              <w:left w:val="single" w:color="auto" w:sz="6" w:space="0"/>
              <w:bottom w:val="single" w:color="auto" w:sz="6" w:space="0"/>
              <w:right w:val="single" w:color="auto" w:sz="4" w:space="0"/>
            </w:tcBorders>
            <w:noWrap w:val="0"/>
            <w:vAlign w:val="center"/>
          </w:tcPr>
          <w:p w14:paraId="268EA1B7">
            <w:pPr>
              <w:autoSpaceDE w:val="0"/>
              <w:autoSpaceDN w:val="0"/>
              <w:adjustRightInd w:val="0"/>
              <w:spacing w:line="360" w:lineRule="auto"/>
              <w:jc w:val="center"/>
              <w:rPr>
                <w:rFonts w:hint="eastAsia"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noWrap w:val="0"/>
            <w:vAlign w:val="center"/>
          </w:tcPr>
          <w:p w14:paraId="0B7BBE82">
            <w:pPr>
              <w:autoSpaceDE w:val="0"/>
              <w:autoSpaceDN w:val="0"/>
              <w:adjustRightInd w:val="0"/>
              <w:spacing w:line="360" w:lineRule="auto"/>
              <w:jc w:val="center"/>
              <w:rPr>
                <w:rFonts w:hint="eastAsia" w:ascii="宋体" w:hAnsi="宋体" w:cs="仿宋_GB2312"/>
                <w:color w:val="auto"/>
                <w:sz w:val="24"/>
                <w:highlight w:val="none"/>
                <w:lang w:val="en-US" w:eastAsia="zh-CN"/>
              </w:rPr>
            </w:pPr>
          </w:p>
        </w:tc>
        <w:tc>
          <w:tcPr>
            <w:tcW w:w="3322" w:type="dxa"/>
            <w:gridSpan w:val="2"/>
            <w:tcBorders>
              <w:top w:val="single" w:color="auto" w:sz="6" w:space="0"/>
              <w:left w:val="single" w:color="auto" w:sz="6" w:space="0"/>
              <w:bottom w:val="single" w:color="auto" w:sz="6" w:space="0"/>
              <w:right w:val="single" w:color="auto" w:sz="6" w:space="0"/>
            </w:tcBorders>
            <w:noWrap w:val="0"/>
            <w:vAlign w:val="center"/>
          </w:tcPr>
          <w:p w14:paraId="0EA135D0">
            <w:pPr>
              <w:autoSpaceDE w:val="0"/>
              <w:autoSpaceDN w:val="0"/>
              <w:adjustRightInd w:val="0"/>
              <w:spacing w:line="360" w:lineRule="auto"/>
              <w:jc w:val="center"/>
              <w:rPr>
                <w:rFonts w:hint="eastAsia" w:ascii="宋体" w:hAnsi="宋体" w:cs="仿宋_GB2312"/>
                <w:color w:val="auto"/>
                <w:sz w:val="24"/>
                <w:highlight w:val="none"/>
              </w:rPr>
            </w:pPr>
          </w:p>
        </w:tc>
      </w:tr>
      <w:tr w14:paraId="7C72AFA2">
        <w:tblPrEx>
          <w:tblCellMar>
            <w:top w:w="0" w:type="dxa"/>
            <w:left w:w="108" w:type="dxa"/>
            <w:bottom w:w="0" w:type="dxa"/>
            <w:right w:w="108" w:type="dxa"/>
          </w:tblCellMar>
        </w:tblPrEx>
        <w:trPr>
          <w:trHeight w:val="567" w:hRule="atLeast"/>
        </w:trPr>
        <w:tc>
          <w:tcPr>
            <w:tcW w:w="9878" w:type="dxa"/>
            <w:gridSpan w:val="5"/>
            <w:tcBorders>
              <w:top w:val="single" w:color="auto" w:sz="6" w:space="0"/>
              <w:left w:val="single" w:color="auto" w:sz="6" w:space="0"/>
              <w:bottom w:val="single" w:color="auto" w:sz="6" w:space="0"/>
              <w:right w:val="single" w:color="auto" w:sz="6" w:space="0"/>
            </w:tcBorders>
            <w:noWrap w:val="0"/>
            <w:vAlign w:val="center"/>
          </w:tcPr>
          <w:p w14:paraId="73FB8486">
            <w:pPr>
              <w:autoSpaceDE w:val="0"/>
              <w:autoSpaceDN w:val="0"/>
              <w:adjustRightIn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b/>
                <w:bCs/>
                <w:color w:val="auto"/>
                <w:sz w:val="24"/>
                <w:highlight w:val="none"/>
                <w:lang w:val="en-US" w:eastAsia="zh-CN"/>
              </w:rPr>
              <w:t>近年来管理实施业绩</w:t>
            </w:r>
          </w:p>
        </w:tc>
      </w:tr>
      <w:tr w14:paraId="718491A3">
        <w:tblPrEx>
          <w:tblCellMar>
            <w:top w:w="0" w:type="dxa"/>
            <w:left w:w="108" w:type="dxa"/>
            <w:bottom w:w="0" w:type="dxa"/>
            <w:right w:w="108" w:type="dxa"/>
          </w:tblCellMar>
        </w:tblPrEx>
        <w:trPr>
          <w:trHeight w:val="567" w:hRule="atLeast"/>
        </w:trPr>
        <w:tc>
          <w:tcPr>
            <w:tcW w:w="4434" w:type="dxa"/>
            <w:gridSpan w:val="2"/>
            <w:tcBorders>
              <w:top w:val="single" w:color="auto" w:sz="6" w:space="0"/>
              <w:left w:val="single" w:color="auto" w:sz="6" w:space="0"/>
              <w:bottom w:val="single" w:color="auto" w:sz="6" w:space="0"/>
              <w:right w:val="single" w:color="auto" w:sz="6" w:space="0"/>
            </w:tcBorders>
            <w:noWrap w:val="0"/>
            <w:vAlign w:val="center"/>
          </w:tcPr>
          <w:p w14:paraId="72A31E15">
            <w:pPr>
              <w:pStyle w:val="958"/>
              <w:tabs>
                <w:tab w:val="left" w:pos="483"/>
              </w:tabs>
              <w:spacing w:before="104"/>
              <w:jc w:val="center"/>
              <w:rPr>
                <w:rFonts w:hint="eastAsia" w:ascii="宋体" w:hAnsi="宋体" w:cs="仿宋_GB2312"/>
                <w:color w:val="auto"/>
                <w:sz w:val="24"/>
                <w:highlight w:val="none"/>
              </w:rPr>
            </w:pPr>
            <w:r>
              <w:rPr>
                <w:rFonts w:ascii="Times New Roman" w:hAnsi="Times New Roman" w:eastAsiaTheme="minorEastAsia"/>
                <w:sz w:val="24"/>
                <w:shd w:val="clear" w:color="auto" w:fill="FFFFFF" w:themeFill="background1"/>
              </w:rPr>
              <w:t>项目名称</w:t>
            </w:r>
          </w:p>
        </w:tc>
        <w:tc>
          <w:tcPr>
            <w:tcW w:w="2122" w:type="dxa"/>
            <w:tcBorders>
              <w:top w:val="single" w:color="auto" w:sz="6" w:space="0"/>
              <w:left w:val="single" w:color="auto" w:sz="6" w:space="0"/>
              <w:bottom w:val="single" w:color="auto" w:sz="6" w:space="0"/>
              <w:right w:val="single" w:color="auto" w:sz="4" w:space="0"/>
            </w:tcBorders>
            <w:noWrap w:val="0"/>
            <w:vAlign w:val="center"/>
          </w:tcPr>
          <w:p w14:paraId="75D2BD82">
            <w:pPr>
              <w:pStyle w:val="958"/>
              <w:tabs>
                <w:tab w:val="left" w:pos="483"/>
              </w:tabs>
              <w:spacing w:before="104"/>
              <w:jc w:val="center"/>
              <w:rPr>
                <w:rFonts w:hint="eastAsia" w:ascii="宋体" w:hAnsi="宋体" w:cs="仿宋_GB2312"/>
                <w:color w:val="auto"/>
                <w:sz w:val="24"/>
                <w:highlight w:val="none"/>
              </w:rPr>
            </w:pPr>
            <w:r>
              <w:rPr>
                <w:rFonts w:ascii="Times New Roman" w:hAnsi="Times New Roman" w:eastAsiaTheme="minorEastAsia"/>
                <w:sz w:val="24"/>
                <w:shd w:val="clear" w:color="auto" w:fill="FFFFFF" w:themeFill="background1"/>
              </w:rPr>
              <w:t>采购人</w:t>
            </w:r>
          </w:p>
        </w:tc>
        <w:tc>
          <w:tcPr>
            <w:tcW w:w="1564" w:type="dxa"/>
            <w:tcBorders>
              <w:top w:val="single" w:color="auto" w:sz="6" w:space="0"/>
              <w:left w:val="single" w:color="auto" w:sz="4" w:space="0"/>
              <w:bottom w:val="single" w:color="auto" w:sz="6" w:space="0"/>
              <w:right w:val="single" w:color="auto" w:sz="6" w:space="0"/>
            </w:tcBorders>
            <w:noWrap w:val="0"/>
            <w:vAlign w:val="center"/>
          </w:tcPr>
          <w:p w14:paraId="45F29A6A">
            <w:pPr>
              <w:pStyle w:val="958"/>
              <w:tabs>
                <w:tab w:val="left" w:pos="483"/>
              </w:tabs>
              <w:spacing w:before="104"/>
              <w:jc w:val="center"/>
              <w:rPr>
                <w:rFonts w:hint="eastAsia" w:ascii="宋体" w:hAnsi="宋体" w:cs="仿宋_GB2312"/>
                <w:color w:val="auto"/>
                <w:sz w:val="24"/>
                <w:highlight w:val="none"/>
                <w:lang w:val="en-US" w:eastAsia="zh-CN"/>
              </w:rPr>
            </w:pPr>
            <w:r>
              <w:rPr>
                <w:rFonts w:ascii="Times New Roman" w:hAnsi="Times New Roman" w:eastAsiaTheme="minorEastAsia"/>
                <w:sz w:val="24"/>
                <w:shd w:val="clear" w:color="auto" w:fill="FFFFFF" w:themeFill="background1"/>
              </w:rPr>
              <w:t>起止年月</w:t>
            </w:r>
          </w:p>
        </w:tc>
        <w:tc>
          <w:tcPr>
            <w:tcW w:w="1758" w:type="dxa"/>
            <w:tcBorders>
              <w:top w:val="single" w:color="auto" w:sz="6" w:space="0"/>
              <w:left w:val="single" w:color="auto" w:sz="6" w:space="0"/>
              <w:bottom w:val="single" w:color="auto" w:sz="6" w:space="0"/>
              <w:right w:val="single" w:color="auto" w:sz="6" w:space="0"/>
            </w:tcBorders>
            <w:noWrap w:val="0"/>
            <w:vAlign w:val="center"/>
          </w:tcPr>
          <w:p w14:paraId="738DDDC6">
            <w:pPr>
              <w:pStyle w:val="958"/>
              <w:tabs>
                <w:tab w:val="left" w:pos="483"/>
              </w:tabs>
              <w:spacing w:before="104"/>
              <w:jc w:val="center"/>
              <w:rPr>
                <w:rFonts w:hint="eastAsia" w:ascii="宋体" w:hAnsi="宋体" w:cs="仿宋_GB2312"/>
                <w:color w:val="auto"/>
                <w:sz w:val="24"/>
                <w:highlight w:val="none"/>
              </w:rPr>
            </w:pPr>
            <w:r>
              <w:rPr>
                <w:rFonts w:ascii="Times New Roman" w:hAnsi="Times New Roman" w:eastAsiaTheme="minorEastAsia"/>
                <w:sz w:val="24"/>
                <w:shd w:val="clear" w:color="auto" w:fill="FFFFFF" w:themeFill="background1"/>
              </w:rPr>
              <w:t>该项目中任职</w:t>
            </w:r>
          </w:p>
        </w:tc>
      </w:tr>
      <w:tr w14:paraId="0E7BC8CB">
        <w:tblPrEx>
          <w:tblCellMar>
            <w:top w:w="0" w:type="dxa"/>
            <w:left w:w="108" w:type="dxa"/>
            <w:bottom w:w="0" w:type="dxa"/>
            <w:right w:w="108" w:type="dxa"/>
          </w:tblCellMar>
        </w:tblPrEx>
        <w:trPr>
          <w:trHeight w:val="567" w:hRule="atLeast"/>
        </w:trPr>
        <w:tc>
          <w:tcPr>
            <w:tcW w:w="4434" w:type="dxa"/>
            <w:gridSpan w:val="2"/>
            <w:tcBorders>
              <w:top w:val="single" w:color="auto" w:sz="6" w:space="0"/>
              <w:left w:val="single" w:color="auto" w:sz="6" w:space="0"/>
              <w:bottom w:val="single" w:color="auto" w:sz="6" w:space="0"/>
              <w:right w:val="single" w:color="auto" w:sz="6" w:space="0"/>
            </w:tcBorders>
            <w:noWrap w:val="0"/>
            <w:vAlign w:val="center"/>
          </w:tcPr>
          <w:p w14:paraId="1840A2F7">
            <w:pPr>
              <w:autoSpaceDE w:val="0"/>
              <w:autoSpaceDN w:val="0"/>
              <w:adjustRightInd w:val="0"/>
              <w:spacing w:line="360" w:lineRule="auto"/>
              <w:jc w:val="center"/>
              <w:rPr>
                <w:rFonts w:hint="eastAsia" w:ascii="宋体" w:hAnsi="宋体" w:cs="仿宋_GB2312"/>
                <w:color w:val="auto"/>
                <w:sz w:val="24"/>
                <w:highlight w:val="none"/>
              </w:rPr>
            </w:pPr>
          </w:p>
        </w:tc>
        <w:tc>
          <w:tcPr>
            <w:tcW w:w="2122" w:type="dxa"/>
            <w:tcBorders>
              <w:top w:val="single" w:color="auto" w:sz="6" w:space="0"/>
              <w:left w:val="single" w:color="auto" w:sz="6" w:space="0"/>
              <w:bottom w:val="single" w:color="auto" w:sz="6" w:space="0"/>
              <w:right w:val="single" w:color="auto" w:sz="4" w:space="0"/>
            </w:tcBorders>
            <w:noWrap w:val="0"/>
            <w:vAlign w:val="center"/>
          </w:tcPr>
          <w:p w14:paraId="1A33980E">
            <w:pPr>
              <w:autoSpaceDE w:val="0"/>
              <w:autoSpaceDN w:val="0"/>
              <w:adjustRightInd w:val="0"/>
              <w:spacing w:line="360" w:lineRule="auto"/>
              <w:jc w:val="center"/>
              <w:rPr>
                <w:rFonts w:hint="eastAsia" w:ascii="宋体" w:hAnsi="宋体" w:cs="仿宋_GB2312"/>
                <w:color w:val="auto"/>
                <w:sz w:val="24"/>
                <w:highlight w:val="none"/>
              </w:rPr>
            </w:pPr>
          </w:p>
        </w:tc>
        <w:tc>
          <w:tcPr>
            <w:tcW w:w="1564" w:type="dxa"/>
            <w:tcBorders>
              <w:top w:val="single" w:color="auto" w:sz="6" w:space="0"/>
              <w:left w:val="single" w:color="auto" w:sz="4" w:space="0"/>
              <w:bottom w:val="single" w:color="auto" w:sz="6" w:space="0"/>
              <w:right w:val="single" w:color="auto" w:sz="6" w:space="0"/>
            </w:tcBorders>
            <w:noWrap w:val="0"/>
            <w:vAlign w:val="center"/>
          </w:tcPr>
          <w:p w14:paraId="6C6368EF">
            <w:pPr>
              <w:autoSpaceDE w:val="0"/>
              <w:autoSpaceDN w:val="0"/>
              <w:adjustRightInd w:val="0"/>
              <w:spacing w:line="360" w:lineRule="auto"/>
              <w:jc w:val="center"/>
              <w:rPr>
                <w:rFonts w:hint="eastAsia" w:ascii="宋体" w:hAnsi="宋体" w:cs="仿宋_GB2312"/>
                <w:color w:val="auto"/>
                <w:sz w:val="24"/>
                <w:highlight w:val="none"/>
                <w:lang w:val="en-US" w:eastAsia="zh-CN"/>
              </w:rPr>
            </w:pPr>
          </w:p>
        </w:tc>
        <w:tc>
          <w:tcPr>
            <w:tcW w:w="1758" w:type="dxa"/>
            <w:tcBorders>
              <w:top w:val="single" w:color="auto" w:sz="6" w:space="0"/>
              <w:left w:val="single" w:color="auto" w:sz="6" w:space="0"/>
              <w:bottom w:val="single" w:color="auto" w:sz="6" w:space="0"/>
              <w:right w:val="single" w:color="auto" w:sz="6" w:space="0"/>
            </w:tcBorders>
            <w:noWrap w:val="0"/>
            <w:vAlign w:val="center"/>
          </w:tcPr>
          <w:p w14:paraId="21AA09F4">
            <w:pPr>
              <w:autoSpaceDE w:val="0"/>
              <w:autoSpaceDN w:val="0"/>
              <w:adjustRightInd w:val="0"/>
              <w:spacing w:line="360" w:lineRule="auto"/>
              <w:jc w:val="center"/>
              <w:rPr>
                <w:rFonts w:hint="eastAsia" w:ascii="宋体" w:hAnsi="宋体" w:cs="仿宋_GB2312"/>
                <w:color w:val="auto"/>
                <w:sz w:val="24"/>
                <w:highlight w:val="none"/>
              </w:rPr>
            </w:pPr>
          </w:p>
        </w:tc>
      </w:tr>
      <w:tr w14:paraId="4D1EA081">
        <w:tblPrEx>
          <w:tblCellMar>
            <w:top w:w="0" w:type="dxa"/>
            <w:left w:w="108" w:type="dxa"/>
            <w:bottom w:w="0" w:type="dxa"/>
            <w:right w:w="108" w:type="dxa"/>
          </w:tblCellMar>
        </w:tblPrEx>
        <w:trPr>
          <w:trHeight w:val="567" w:hRule="atLeast"/>
        </w:trPr>
        <w:tc>
          <w:tcPr>
            <w:tcW w:w="4434" w:type="dxa"/>
            <w:gridSpan w:val="2"/>
            <w:tcBorders>
              <w:top w:val="single" w:color="auto" w:sz="6" w:space="0"/>
              <w:left w:val="single" w:color="auto" w:sz="6" w:space="0"/>
              <w:bottom w:val="single" w:color="auto" w:sz="6" w:space="0"/>
              <w:right w:val="single" w:color="auto" w:sz="6" w:space="0"/>
            </w:tcBorders>
            <w:noWrap w:val="0"/>
            <w:vAlign w:val="center"/>
          </w:tcPr>
          <w:p w14:paraId="21117193">
            <w:pPr>
              <w:autoSpaceDE w:val="0"/>
              <w:autoSpaceDN w:val="0"/>
              <w:adjustRightInd w:val="0"/>
              <w:spacing w:line="360" w:lineRule="auto"/>
              <w:jc w:val="center"/>
              <w:rPr>
                <w:rFonts w:hint="eastAsia" w:ascii="宋体" w:hAnsi="宋体" w:cs="仿宋_GB2312"/>
                <w:color w:val="auto"/>
                <w:sz w:val="24"/>
                <w:highlight w:val="none"/>
              </w:rPr>
            </w:pPr>
          </w:p>
        </w:tc>
        <w:tc>
          <w:tcPr>
            <w:tcW w:w="2122" w:type="dxa"/>
            <w:tcBorders>
              <w:top w:val="single" w:color="auto" w:sz="6" w:space="0"/>
              <w:left w:val="single" w:color="auto" w:sz="6" w:space="0"/>
              <w:bottom w:val="single" w:color="auto" w:sz="6" w:space="0"/>
              <w:right w:val="single" w:color="auto" w:sz="4" w:space="0"/>
            </w:tcBorders>
            <w:noWrap w:val="0"/>
            <w:vAlign w:val="center"/>
          </w:tcPr>
          <w:p w14:paraId="491CB1B0">
            <w:pPr>
              <w:autoSpaceDE w:val="0"/>
              <w:autoSpaceDN w:val="0"/>
              <w:adjustRightInd w:val="0"/>
              <w:spacing w:line="360" w:lineRule="auto"/>
              <w:jc w:val="center"/>
              <w:rPr>
                <w:rFonts w:hint="eastAsia" w:ascii="宋体" w:hAnsi="宋体" w:cs="仿宋_GB2312"/>
                <w:color w:val="auto"/>
                <w:sz w:val="24"/>
                <w:highlight w:val="none"/>
              </w:rPr>
            </w:pPr>
          </w:p>
        </w:tc>
        <w:tc>
          <w:tcPr>
            <w:tcW w:w="1564" w:type="dxa"/>
            <w:tcBorders>
              <w:top w:val="single" w:color="auto" w:sz="6" w:space="0"/>
              <w:left w:val="single" w:color="auto" w:sz="4" w:space="0"/>
              <w:bottom w:val="single" w:color="auto" w:sz="6" w:space="0"/>
              <w:right w:val="single" w:color="auto" w:sz="6" w:space="0"/>
            </w:tcBorders>
            <w:noWrap w:val="0"/>
            <w:vAlign w:val="center"/>
          </w:tcPr>
          <w:p w14:paraId="58D4A653">
            <w:pPr>
              <w:autoSpaceDE w:val="0"/>
              <w:autoSpaceDN w:val="0"/>
              <w:adjustRightInd w:val="0"/>
              <w:spacing w:line="360" w:lineRule="auto"/>
              <w:jc w:val="center"/>
              <w:rPr>
                <w:rFonts w:hint="eastAsia" w:ascii="宋体" w:hAnsi="宋体" w:cs="仿宋_GB2312"/>
                <w:color w:val="auto"/>
                <w:sz w:val="24"/>
                <w:highlight w:val="none"/>
                <w:lang w:val="en-US" w:eastAsia="zh-CN"/>
              </w:rPr>
            </w:pPr>
          </w:p>
        </w:tc>
        <w:tc>
          <w:tcPr>
            <w:tcW w:w="1758" w:type="dxa"/>
            <w:tcBorders>
              <w:top w:val="single" w:color="auto" w:sz="6" w:space="0"/>
              <w:left w:val="single" w:color="auto" w:sz="6" w:space="0"/>
              <w:bottom w:val="single" w:color="auto" w:sz="6" w:space="0"/>
              <w:right w:val="single" w:color="auto" w:sz="6" w:space="0"/>
            </w:tcBorders>
            <w:noWrap w:val="0"/>
            <w:vAlign w:val="center"/>
          </w:tcPr>
          <w:p w14:paraId="26B2F7C1">
            <w:pPr>
              <w:autoSpaceDE w:val="0"/>
              <w:autoSpaceDN w:val="0"/>
              <w:adjustRightInd w:val="0"/>
              <w:spacing w:line="360" w:lineRule="auto"/>
              <w:jc w:val="center"/>
              <w:rPr>
                <w:rFonts w:hint="eastAsia" w:ascii="宋体" w:hAnsi="宋体" w:cs="仿宋_GB2312"/>
                <w:color w:val="auto"/>
                <w:sz w:val="24"/>
                <w:highlight w:val="none"/>
              </w:rPr>
            </w:pPr>
          </w:p>
        </w:tc>
      </w:tr>
    </w:tbl>
    <w:p w14:paraId="606A11FC">
      <w:pPr>
        <w:pStyle w:val="80"/>
        <w:rPr>
          <w:rFonts w:hint="eastAsia" w:ascii="宋体" w:hAnsi="宋体" w:cs="仿宋_GB2312"/>
          <w:b/>
          <w:color w:val="auto"/>
          <w:sz w:val="24"/>
          <w:highlight w:val="none"/>
        </w:rPr>
      </w:pPr>
    </w:p>
    <w:p w14:paraId="09198093">
      <w:pPr>
        <w:autoSpaceDE w:val="0"/>
        <w:autoSpaceDN w:val="0"/>
        <w:adjustRightInd w:val="0"/>
        <w:spacing w:line="360" w:lineRule="auto"/>
        <w:rPr>
          <w:rFonts w:hint="eastAsia" w:ascii="宋体" w:hAnsi="宋体" w:cs="仿宋_GB2312"/>
          <w:b/>
          <w:color w:val="auto"/>
          <w:sz w:val="24"/>
          <w:highlight w:val="none"/>
        </w:rPr>
      </w:pPr>
      <w:r>
        <w:rPr>
          <w:rFonts w:hint="eastAsia" w:ascii="宋体" w:hAnsi="宋体" w:cs="仿宋_GB2312"/>
          <w:b/>
          <w:color w:val="auto"/>
          <w:sz w:val="24"/>
          <w:highlight w:val="none"/>
        </w:rPr>
        <w:t>注：须随表提交相应的证书复印件</w:t>
      </w:r>
      <w:r>
        <w:rPr>
          <w:rFonts w:hint="eastAsia" w:ascii="宋体" w:hAnsi="宋体" w:cs="仿宋_GB2312"/>
          <w:b/>
          <w:color w:val="auto"/>
          <w:sz w:val="24"/>
          <w:highlight w:val="none"/>
          <w:lang w:eastAsia="zh-CN"/>
        </w:rPr>
        <w:t>、</w:t>
      </w:r>
      <w:r>
        <w:rPr>
          <w:rFonts w:hint="eastAsia" w:ascii="宋体" w:hAnsi="宋体" w:cs="仿宋_GB2312"/>
          <w:b/>
          <w:color w:val="auto"/>
          <w:sz w:val="24"/>
          <w:highlight w:val="none"/>
        </w:rPr>
        <w:t>近3个月</w:t>
      </w:r>
      <w:r>
        <w:rPr>
          <w:rFonts w:hint="eastAsia" w:ascii="宋体" w:hAnsi="宋体" w:cs="仿宋_GB2312"/>
          <w:b/>
          <w:color w:val="auto"/>
          <w:sz w:val="24"/>
          <w:highlight w:val="none"/>
          <w:lang w:val="en-US" w:eastAsia="zh-CN"/>
        </w:rPr>
        <w:t>内打印的缴</w:t>
      </w:r>
      <w:r>
        <w:rPr>
          <w:rFonts w:hint="eastAsia" w:ascii="宋体" w:hAnsi="宋体" w:cs="仿宋_GB2312"/>
          <w:b/>
          <w:color w:val="auto"/>
          <w:sz w:val="24"/>
          <w:highlight w:val="none"/>
        </w:rPr>
        <w:t>纳社保记录。</w:t>
      </w:r>
    </w:p>
    <w:p w14:paraId="3E01AFFA">
      <w:pPr>
        <w:autoSpaceDE w:val="0"/>
        <w:autoSpaceDN w:val="0"/>
        <w:adjustRightInd w:val="0"/>
        <w:spacing w:line="360" w:lineRule="auto"/>
        <w:rPr>
          <w:rFonts w:hint="eastAsia" w:ascii="宋体" w:hAnsi="宋体" w:cs="仿宋_GB2312"/>
          <w:b/>
          <w:color w:val="auto"/>
          <w:sz w:val="24"/>
          <w:highlight w:val="none"/>
        </w:rPr>
      </w:pPr>
    </w:p>
    <w:p w14:paraId="292CE5BF">
      <w:pPr>
        <w:keepNext/>
        <w:autoSpaceDE w:val="0"/>
        <w:autoSpaceDN w:val="0"/>
        <w:adjustRightInd w:val="0"/>
        <w:spacing w:line="360" w:lineRule="auto"/>
        <w:jc w:val="center"/>
        <w:rPr>
          <w:rFonts w:ascii="宋体" w:hAnsi="宋体" w:cs="仿宋_GB2312"/>
          <w:b/>
          <w:color w:val="auto"/>
          <w:sz w:val="24"/>
          <w:highlight w:val="none"/>
        </w:rPr>
      </w:pPr>
      <w:r>
        <w:rPr>
          <w:rFonts w:hint="eastAsia" w:ascii="宋体" w:hAnsi="宋体" w:cs="仿宋_GB2312"/>
          <w:b/>
          <w:color w:val="auto"/>
          <w:sz w:val="24"/>
          <w:highlight w:val="none"/>
        </w:rPr>
        <w:t>附表B</w:t>
      </w:r>
      <w:r>
        <w:rPr>
          <w:rFonts w:hint="eastAsia" w:ascii="宋体" w:hAnsi="宋体" w:cs="仿宋_GB2312"/>
          <w:b/>
          <w:color w:val="auto"/>
          <w:sz w:val="24"/>
          <w:highlight w:val="none"/>
          <w:lang w:eastAsia="zh-CN"/>
        </w:rPr>
        <w:t>：</w:t>
      </w:r>
      <w:r>
        <w:rPr>
          <w:rFonts w:ascii="宋体" w:hAnsi="宋体" w:cs="仿宋_GB2312"/>
          <w:b/>
          <w:color w:val="auto"/>
          <w:sz w:val="24"/>
          <w:highlight w:val="none"/>
        </w:rPr>
        <w:t>拟投入本项目的</w:t>
      </w:r>
      <w:r>
        <w:rPr>
          <w:rFonts w:hint="eastAsia" w:ascii="宋体" w:hAnsi="宋体" w:cs="仿宋_GB2312"/>
          <w:b/>
          <w:color w:val="auto"/>
          <w:sz w:val="24"/>
          <w:highlight w:val="none"/>
        </w:rPr>
        <w:t>所有</w:t>
      </w:r>
      <w:r>
        <w:rPr>
          <w:rFonts w:ascii="宋体" w:hAnsi="宋体" w:cs="仿宋_GB2312"/>
          <w:b/>
          <w:color w:val="auto"/>
          <w:sz w:val="24"/>
          <w:highlight w:val="none"/>
        </w:rPr>
        <w:t>人员组成表</w:t>
      </w:r>
    </w:p>
    <w:tbl>
      <w:tblPr>
        <w:tblStyle w:val="62"/>
        <w:tblW w:w="9996"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0" w:type="dxa"/>
          <w:bottom w:w="0" w:type="dxa"/>
          <w:right w:w="0" w:type="dxa"/>
        </w:tblCellMar>
      </w:tblPr>
      <w:tblGrid>
        <w:gridCol w:w="604"/>
        <w:gridCol w:w="1066"/>
        <w:gridCol w:w="834"/>
        <w:gridCol w:w="1169"/>
        <w:gridCol w:w="1296"/>
        <w:gridCol w:w="2399"/>
        <w:gridCol w:w="1314"/>
        <w:gridCol w:w="1314"/>
      </w:tblGrid>
      <w:tr w14:paraId="74E369D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0" w:type="dxa"/>
            <w:bottom w:w="0" w:type="dxa"/>
            <w:right w:w="0" w:type="dxa"/>
          </w:tblCellMar>
        </w:tblPrEx>
        <w:trPr>
          <w:trHeight w:val="669" w:hRule="atLeast"/>
          <w:jc w:val="center"/>
        </w:trPr>
        <w:tc>
          <w:tcPr>
            <w:tcW w:w="604" w:type="dxa"/>
            <w:noWrap w:val="0"/>
            <w:vAlign w:val="center"/>
          </w:tcPr>
          <w:p w14:paraId="4F6E740F">
            <w:pPr>
              <w:spacing w:line="360" w:lineRule="auto"/>
              <w:jc w:val="center"/>
              <w:rPr>
                <w:rFonts w:ascii="宋体" w:hAnsi="宋体"/>
                <w:color w:val="auto"/>
                <w:sz w:val="24"/>
                <w:szCs w:val="24"/>
                <w:highlight w:val="none"/>
              </w:rPr>
            </w:pPr>
            <w:r>
              <w:rPr>
                <w:rFonts w:ascii="宋体" w:hAnsi="宋体"/>
                <w:color w:val="auto"/>
                <w:sz w:val="24"/>
                <w:szCs w:val="24"/>
                <w:highlight w:val="none"/>
              </w:rPr>
              <w:t>序号</w:t>
            </w:r>
          </w:p>
        </w:tc>
        <w:tc>
          <w:tcPr>
            <w:tcW w:w="1066" w:type="dxa"/>
            <w:noWrap w:val="0"/>
            <w:vAlign w:val="center"/>
          </w:tcPr>
          <w:p w14:paraId="5CC4A745">
            <w:pPr>
              <w:spacing w:line="360" w:lineRule="auto"/>
              <w:jc w:val="center"/>
              <w:rPr>
                <w:rFonts w:ascii="宋体" w:hAnsi="宋体"/>
                <w:color w:val="auto"/>
                <w:sz w:val="24"/>
                <w:szCs w:val="24"/>
                <w:highlight w:val="none"/>
              </w:rPr>
            </w:pPr>
            <w:r>
              <w:rPr>
                <w:rFonts w:ascii="宋体" w:hAnsi="宋体"/>
                <w:color w:val="auto"/>
                <w:sz w:val="24"/>
                <w:szCs w:val="24"/>
                <w:highlight w:val="none"/>
              </w:rPr>
              <w:t>姓名</w:t>
            </w:r>
          </w:p>
        </w:tc>
        <w:tc>
          <w:tcPr>
            <w:tcW w:w="834" w:type="dxa"/>
            <w:noWrap w:val="0"/>
            <w:vAlign w:val="center"/>
          </w:tcPr>
          <w:p w14:paraId="32B8F2D7">
            <w:pPr>
              <w:spacing w:line="360" w:lineRule="auto"/>
              <w:jc w:val="center"/>
              <w:rPr>
                <w:rFonts w:ascii="宋体" w:hAnsi="宋体"/>
                <w:color w:val="auto"/>
                <w:sz w:val="24"/>
                <w:szCs w:val="24"/>
                <w:highlight w:val="none"/>
              </w:rPr>
            </w:pPr>
            <w:r>
              <w:rPr>
                <w:rFonts w:ascii="宋体" w:hAnsi="宋体"/>
                <w:color w:val="auto"/>
                <w:sz w:val="24"/>
                <w:szCs w:val="24"/>
                <w:highlight w:val="none"/>
              </w:rPr>
              <w:t>年龄</w:t>
            </w:r>
          </w:p>
        </w:tc>
        <w:tc>
          <w:tcPr>
            <w:tcW w:w="1169" w:type="dxa"/>
            <w:noWrap w:val="0"/>
            <w:vAlign w:val="center"/>
          </w:tcPr>
          <w:p w14:paraId="67E2C659">
            <w:pPr>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性别</w:t>
            </w:r>
          </w:p>
        </w:tc>
        <w:tc>
          <w:tcPr>
            <w:tcW w:w="1296" w:type="dxa"/>
            <w:noWrap w:val="0"/>
            <w:vAlign w:val="center"/>
          </w:tcPr>
          <w:p w14:paraId="1BD6FF32">
            <w:pPr>
              <w:spacing w:line="360" w:lineRule="auto"/>
              <w:jc w:val="center"/>
              <w:rPr>
                <w:rFonts w:ascii="宋体" w:hAnsi="宋体"/>
                <w:color w:val="auto"/>
                <w:sz w:val="24"/>
                <w:szCs w:val="24"/>
                <w:highlight w:val="none"/>
              </w:rPr>
            </w:pPr>
            <w:r>
              <w:rPr>
                <w:rFonts w:ascii="宋体" w:hAnsi="宋体"/>
                <w:color w:val="auto"/>
                <w:sz w:val="24"/>
                <w:szCs w:val="24"/>
                <w:highlight w:val="none"/>
              </w:rPr>
              <w:t>所从事专业</w:t>
            </w:r>
          </w:p>
        </w:tc>
        <w:tc>
          <w:tcPr>
            <w:tcW w:w="2399" w:type="dxa"/>
            <w:noWrap w:val="0"/>
            <w:vAlign w:val="center"/>
          </w:tcPr>
          <w:p w14:paraId="40EDCEDE">
            <w:pPr>
              <w:spacing w:line="360" w:lineRule="auto"/>
              <w:jc w:val="center"/>
              <w:rPr>
                <w:rFonts w:ascii="宋体" w:hAnsi="宋体"/>
                <w:color w:val="auto"/>
                <w:sz w:val="24"/>
                <w:szCs w:val="24"/>
                <w:highlight w:val="none"/>
              </w:rPr>
            </w:pPr>
            <w:r>
              <w:rPr>
                <w:rFonts w:ascii="宋体" w:hAnsi="宋体"/>
                <w:color w:val="auto"/>
                <w:sz w:val="24"/>
                <w:szCs w:val="24"/>
                <w:highlight w:val="none"/>
              </w:rPr>
              <w:t>拟担任何种专业岗位</w:t>
            </w:r>
          </w:p>
        </w:tc>
        <w:tc>
          <w:tcPr>
            <w:tcW w:w="1314" w:type="dxa"/>
            <w:noWrap w:val="0"/>
            <w:vAlign w:val="center"/>
          </w:tcPr>
          <w:p w14:paraId="08F23764">
            <w:pPr>
              <w:spacing w:line="360" w:lineRule="auto"/>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执业证书</w:t>
            </w:r>
          </w:p>
        </w:tc>
        <w:tc>
          <w:tcPr>
            <w:tcW w:w="1314" w:type="dxa"/>
            <w:noWrap w:val="0"/>
            <w:vAlign w:val="center"/>
          </w:tcPr>
          <w:p w14:paraId="18FADC46">
            <w:pPr>
              <w:spacing w:line="360" w:lineRule="auto"/>
              <w:jc w:val="center"/>
              <w:rPr>
                <w:rFonts w:ascii="宋体" w:hAnsi="宋体"/>
                <w:color w:val="auto"/>
                <w:sz w:val="24"/>
                <w:szCs w:val="24"/>
                <w:highlight w:val="none"/>
              </w:rPr>
            </w:pPr>
            <w:r>
              <w:rPr>
                <w:rFonts w:ascii="宋体" w:hAnsi="宋体"/>
                <w:color w:val="auto"/>
                <w:sz w:val="24"/>
                <w:szCs w:val="24"/>
                <w:highlight w:val="none"/>
              </w:rPr>
              <w:t>备注</w:t>
            </w:r>
          </w:p>
        </w:tc>
      </w:tr>
      <w:tr w14:paraId="412A58B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0" w:type="dxa"/>
            <w:bottom w:w="0" w:type="dxa"/>
            <w:right w:w="0" w:type="dxa"/>
          </w:tblCellMar>
        </w:tblPrEx>
        <w:trPr>
          <w:trHeight w:val="630" w:hRule="atLeast"/>
          <w:jc w:val="center"/>
        </w:trPr>
        <w:tc>
          <w:tcPr>
            <w:tcW w:w="604" w:type="dxa"/>
            <w:noWrap w:val="0"/>
            <w:vAlign w:val="center"/>
          </w:tcPr>
          <w:p w14:paraId="09FC56E9">
            <w:pPr>
              <w:spacing w:line="360" w:lineRule="auto"/>
              <w:jc w:val="center"/>
              <w:rPr>
                <w:rFonts w:ascii="宋体" w:hAnsi="宋体"/>
                <w:color w:val="auto"/>
                <w:sz w:val="24"/>
                <w:szCs w:val="24"/>
                <w:highlight w:val="none"/>
              </w:rPr>
            </w:pPr>
          </w:p>
        </w:tc>
        <w:tc>
          <w:tcPr>
            <w:tcW w:w="1066" w:type="dxa"/>
            <w:noWrap w:val="0"/>
            <w:vAlign w:val="center"/>
          </w:tcPr>
          <w:p w14:paraId="5F1B3DB4">
            <w:pPr>
              <w:spacing w:line="360" w:lineRule="auto"/>
              <w:jc w:val="center"/>
              <w:rPr>
                <w:rFonts w:ascii="宋体" w:hAnsi="宋体"/>
                <w:color w:val="auto"/>
                <w:sz w:val="24"/>
                <w:szCs w:val="24"/>
                <w:highlight w:val="none"/>
              </w:rPr>
            </w:pPr>
          </w:p>
        </w:tc>
        <w:tc>
          <w:tcPr>
            <w:tcW w:w="834" w:type="dxa"/>
            <w:noWrap w:val="0"/>
            <w:vAlign w:val="center"/>
          </w:tcPr>
          <w:p w14:paraId="4B15740C">
            <w:pPr>
              <w:spacing w:line="360" w:lineRule="auto"/>
              <w:jc w:val="center"/>
              <w:rPr>
                <w:rFonts w:ascii="宋体" w:hAnsi="宋体"/>
                <w:color w:val="auto"/>
                <w:sz w:val="24"/>
                <w:szCs w:val="24"/>
                <w:highlight w:val="none"/>
              </w:rPr>
            </w:pPr>
          </w:p>
        </w:tc>
        <w:tc>
          <w:tcPr>
            <w:tcW w:w="1169" w:type="dxa"/>
            <w:noWrap w:val="0"/>
            <w:vAlign w:val="center"/>
          </w:tcPr>
          <w:p w14:paraId="7CC7A814">
            <w:pPr>
              <w:spacing w:line="360" w:lineRule="auto"/>
              <w:jc w:val="center"/>
              <w:rPr>
                <w:rFonts w:ascii="宋体" w:hAnsi="宋体"/>
                <w:color w:val="auto"/>
                <w:sz w:val="24"/>
                <w:szCs w:val="24"/>
                <w:highlight w:val="none"/>
              </w:rPr>
            </w:pPr>
          </w:p>
        </w:tc>
        <w:tc>
          <w:tcPr>
            <w:tcW w:w="1296" w:type="dxa"/>
            <w:noWrap w:val="0"/>
            <w:vAlign w:val="center"/>
          </w:tcPr>
          <w:p w14:paraId="4A010EA7">
            <w:pPr>
              <w:spacing w:line="360" w:lineRule="auto"/>
              <w:jc w:val="center"/>
              <w:rPr>
                <w:rFonts w:ascii="宋体" w:hAnsi="宋体"/>
                <w:color w:val="auto"/>
                <w:sz w:val="24"/>
                <w:szCs w:val="24"/>
                <w:highlight w:val="none"/>
              </w:rPr>
            </w:pPr>
          </w:p>
        </w:tc>
        <w:tc>
          <w:tcPr>
            <w:tcW w:w="2399" w:type="dxa"/>
            <w:noWrap w:val="0"/>
            <w:vAlign w:val="center"/>
          </w:tcPr>
          <w:p w14:paraId="5E00D28C">
            <w:pPr>
              <w:spacing w:line="360" w:lineRule="auto"/>
              <w:jc w:val="center"/>
              <w:rPr>
                <w:rFonts w:ascii="宋体" w:hAnsi="宋体"/>
                <w:color w:val="auto"/>
                <w:sz w:val="24"/>
                <w:szCs w:val="24"/>
                <w:highlight w:val="none"/>
              </w:rPr>
            </w:pPr>
          </w:p>
        </w:tc>
        <w:tc>
          <w:tcPr>
            <w:tcW w:w="1314" w:type="dxa"/>
            <w:noWrap w:val="0"/>
            <w:vAlign w:val="center"/>
          </w:tcPr>
          <w:p w14:paraId="26A7C665">
            <w:pPr>
              <w:spacing w:line="360" w:lineRule="auto"/>
              <w:jc w:val="center"/>
              <w:rPr>
                <w:rFonts w:hint="eastAsia" w:ascii="宋体" w:hAnsi="宋体"/>
                <w:color w:val="auto"/>
                <w:sz w:val="24"/>
                <w:szCs w:val="24"/>
                <w:highlight w:val="none"/>
              </w:rPr>
            </w:pPr>
          </w:p>
        </w:tc>
        <w:tc>
          <w:tcPr>
            <w:tcW w:w="1314" w:type="dxa"/>
            <w:noWrap w:val="0"/>
            <w:vAlign w:val="center"/>
          </w:tcPr>
          <w:p w14:paraId="3292A443">
            <w:pPr>
              <w:spacing w:line="360" w:lineRule="auto"/>
              <w:jc w:val="center"/>
              <w:rPr>
                <w:rFonts w:hint="eastAsia" w:ascii="宋体" w:hAnsi="宋体"/>
                <w:color w:val="auto"/>
                <w:sz w:val="24"/>
                <w:szCs w:val="24"/>
                <w:highlight w:val="none"/>
              </w:rPr>
            </w:pPr>
          </w:p>
        </w:tc>
      </w:tr>
      <w:tr w14:paraId="001761B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0" w:type="dxa"/>
            <w:bottom w:w="0" w:type="dxa"/>
            <w:right w:w="0" w:type="dxa"/>
          </w:tblCellMar>
        </w:tblPrEx>
        <w:trPr>
          <w:trHeight w:val="630" w:hRule="atLeast"/>
          <w:jc w:val="center"/>
        </w:trPr>
        <w:tc>
          <w:tcPr>
            <w:tcW w:w="604" w:type="dxa"/>
            <w:noWrap w:val="0"/>
            <w:vAlign w:val="center"/>
          </w:tcPr>
          <w:p w14:paraId="0972CDFF">
            <w:pPr>
              <w:spacing w:line="360" w:lineRule="auto"/>
              <w:jc w:val="center"/>
              <w:rPr>
                <w:rFonts w:ascii="宋体" w:hAnsi="宋体"/>
                <w:color w:val="auto"/>
                <w:sz w:val="24"/>
                <w:szCs w:val="24"/>
                <w:highlight w:val="none"/>
              </w:rPr>
            </w:pPr>
          </w:p>
        </w:tc>
        <w:tc>
          <w:tcPr>
            <w:tcW w:w="1066" w:type="dxa"/>
            <w:noWrap w:val="0"/>
            <w:vAlign w:val="center"/>
          </w:tcPr>
          <w:p w14:paraId="505103A7">
            <w:pPr>
              <w:spacing w:line="360" w:lineRule="auto"/>
              <w:jc w:val="center"/>
              <w:rPr>
                <w:rFonts w:ascii="宋体" w:hAnsi="宋体"/>
                <w:color w:val="auto"/>
                <w:sz w:val="24"/>
                <w:szCs w:val="24"/>
                <w:highlight w:val="none"/>
              </w:rPr>
            </w:pPr>
          </w:p>
        </w:tc>
        <w:tc>
          <w:tcPr>
            <w:tcW w:w="834" w:type="dxa"/>
            <w:noWrap w:val="0"/>
            <w:vAlign w:val="center"/>
          </w:tcPr>
          <w:p w14:paraId="60DAEBE1">
            <w:pPr>
              <w:spacing w:line="360" w:lineRule="auto"/>
              <w:jc w:val="center"/>
              <w:rPr>
                <w:rFonts w:ascii="宋体" w:hAnsi="宋体"/>
                <w:color w:val="auto"/>
                <w:sz w:val="24"/>
                <w:szCs w:val="24"/>
                <w:highlight w:val="none"/>
              </w:rPr>
            </w:pPr>
          </w:p>
        </w:tc>
        <w:tc>
          <w:tcPr>
            <w:tcW w:w="1169" w:type="dxa"/>
            <w:noWrap w:val="0"/>
            <w:vAlign w:val="center"/>
          </w:tcPr>
          <w:p w14:paraId="44319EE5">
            <w:pPr>
              <w:spacing w:line="360" w:lineRule="auto"/>
              <w:jc w:val="center"/>
              <w:rPr>
                <w:rFonts w:ascii="宋体" w:hAnsi="宋体"/>
                <w:color w:val="auto"/>
                <w:sz w:val="24"/>
                <w:szCs w:val="24"/>
                <w:highlight w:val="none"/>
              </w:rPr>
            </w:pPr>
          </w:p>
        </w:tc>
        <w:tc>
          <w:tcPr>
            <w:tcW w:w="1296" w:type="dxa"/>
            <w:noWrap w:val="0"/>
            <w:vAlign w:val="center"/>
          </w:tcPr>
          <w:p w14:paraId="05E205F5">
            <w:pPr>
              <w:spacing w:line="360" w:lineRule="auto"/>
              <w:jc w:val="center"/>
              <w:rPr>
                <w:rFonts w:ascii="宋体" w:hAnsi="宋体"/>
                <w:color w:val="auto"/>
                <w:sz w:val="24"/>
                <w:szCs w:val="24"/>
                <w:highlight w:val="none"/>
              </w:rPr>
            </w:pPr>
          </w:p>
        </w:tc>
        <w:tc>
          <w:tcPr>
            <w:tcW w:w="2399" w:type="dxa"/>
            <w:noWrap w:val="0"/>
            <w:vAlign w:val="center"/>
          </w:tcPr>
          <w:p w14:paraId="36343AC2">
            <w:pPr>
              <w:spacing w:line="360" w:lineRule="auto"/>
              <w:jc w:val="center"/>
              <w:rPr>
                <w:rFonts w:hint="eastAsia" w:ascii="宋体" w:hAnsi="宋体"/>
                <w:color w:val="auto"/>
                <w:sz w:val="24"/>
                <w:szCs w:val="24"/>
                <w:highlight w:val="none"/>
              </w:rPr>
            </w:pPr>
          </w:p>
        </w:tc>
        <w:tc>
          <w:tcPr>
            <w:tcW w:w="1314" w:type="dxa"/>
            <w:noWrap w:val="0"/>
            <w:vAlign w:val="center"/>
          </w:tcPr>
          <w:p w14:paraId="5A18D3F6">
            <w:pPr>
              <w:spacing w:line="360" w:lineRule="auto"/>
              <w:jc w:val="center"/>
              <w:rPr>
                <w:rFonts w:hint="eastAsia" w:ascii="宋体" w:hAnsi="宋体"/>
                <w:color w:val="auto"/>
                <w:sz w:val="24"/>
                <w:szCs w:val="24"/>
                <w:highlight w:val="none"/>
              </w:rPr>
            </w:pPr>
          </w:p>
        </w:tc>
        <w:tc>
          <w:tcPr>
            <w:tcW w:w="1314" w:type="dxa"/>
            <w:noWrap w:val="0"/>
            <w:vAlign w:val="center"/>
          </w:tcPr>
          <w:p w14:paraId="0F16F864">
            <w:pPr>
              <w:spacing w:line="360" w:lineRule="auto"/>
              <w:jc w:val="center"/>
              <w:rPr>
                <w:rFonts w:hint="eastAsia" w:ascii="宋体" w:hAnsi="宋体"/>
                <w:color w:val="auto"/>
                <w:sz w:val="24"/>
                <w:szCs w:val="24"/>
                <w:highlight w:val="none"/>
              </w:rPr>
            </w:pPr>
          </w:p>
        </w:tc>
      </w:tr>
      <w:tr w14:paraId="67001B8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0" w:type="dxa"/>
            <w:bottom w:w="0" w:type="dxa"/>
            <w:right w:w="0" w:type="dxa"/>
          </w:tblCellMar>
        </w:tblPrEx>
        <w:trPr>
          <w:trHeight w:val="630" w:hRule="atLeast"/>
          <w:jc w:val="center"/>
        </w:trPr>
        <w:tc>
          <w:tcPr>
            <w:tcW w:w="604" w:type="dxa"/>
            <w:noWrap w:val="0"/>
            <w:vAlign w:val="center"/>
          </w:tcPr>
          <w:p w14:paraId="164C8EFE">
            <w:pPr>
              <w:spacing w:line="360" w:lineRule="auto"/>
              <w:jc w:val="center"/>
              <w:rPr>
                <w:rFonts w:ascii="宋体" w:hAnsi="宋体"/>
                <w:color w:val="auto"/>
                <w:sz w:val="24"/>
                <w:szCs w:val="24"/>
                <w:highlight w:val="none"/>
              </w:rPr>
            </w:pPr>
          </w:p>
        </w:tc>
        <w:tc>
          <w:tcPr>
            <w:tcW w:w="1066" w:type="dxa"/>
            <w:noWrap w:val="0"/>
            <w:vAlign w:val="center"/>
          </w:tcPr>
          <w:p w14:paraId="5A6E7E69">
            <w:pPr>
              <w:spacing w:line="360" w:lineRule="auto"/>
              <w:jc w:val="center"/>
              <w:rPr>
                <w:rFonts w:ascii="宋体" w:hAnsi="宋体"/>
                <w:color w:val="auto"/>
                <w:sz w:val="24"/>
                <w:szCs w:val="24"/>
                <w:highlight w:val="none"/>
              </w:rPr>
            </w:pPr>
          </w:p>
        </w:tc>
        <w:tc>
          <w:tcPr>
            <w:tcW w:w="834" w:type="dxa"/>
            <w:noWrap w:val="0"/>
            <w:vAlign w:val="center"/>
          </w:tcPr>
          <w:p w14:paraId="7E433917">
            <w:pPr>
              <w:spacing w:line="360" w:lineRule="auto"/>
              <w:jc w:val="center"/>
              <w:rPr>
                <w:rFonts w:ascii="宋体" w:hAnsi="宋体"/>
                <w:color w:val="auto"/>
                <w:sz w:val="24"/>
                <w:szCs w:val="24"/>
                <w:highlight w:val="none"/>
              </w:rPr>
            </w:pPr>
          </w:p>
        </w:tc>
        <w:tc>
          <w:tcPr>
            <w:tcW w:w="1169" w:type="dxa"/>
            <w:noWrap w:val="0"/>
            <w:vAlign w:val="center"/>
          </w:tcPr>
          <w:p w14:paraId="176E7CE0">
            <w:pPr>
              <w:spacing w:line="360" w:lineRule="auto"/>
              <w:jc w:val="center"/>
              <w:rPr>
                <w:rFonts w:ascii="宋体" w:hAnsi="宋体"/>
                <w:color w:val="auto"/>
                <w:sz w:val="24"/>
                <w:szCs w:val="24"/>
                <w:highlight w:val="none"/>
              </w:rPr>
            </w:pPr>
          </w:p>
        </w:tc>
        <w:tc>
          <w:tcPr>
            <w:tcW w:w="1296" w:type="dxa"/>
            <w:noWrap w:val="0"/>
            <w:vAlign w:val="center"/>
          </w:tcPr>
          <w:p w14:paraId="0724DB2C">
            <w:pPr>
              <w:spacing w:line="360" w:lineRule="auto"/>
              <w:jc w:val="center"/>
              <w:rPr>
                <w:rFonts w:ascii="宋体" w:hAnsi="宋体"/>
                <w:color w:val="auto"/>
                <w:sz w:val="24"/>
                <w:szCs w:val="24"/>
                <w:highlight w:val="none"/>
              </w:rPr>
            </w:pPr>
          </w:p>
        </w:tc>
        <w:tc>
          <w:tcPr>
            <w:tcW w:w="2399" w:type="dxa"/>
            <w:noWrap w:val="0"/>
            <w:vAlign w:val="center"/>
          </w:tcPr>
          <w:p w14:paraId="158D4C33">
            <w:pPr>
              <w:spacing w:line="360" w:lineRule="auto"/>
              <w:jc w:val="center"/>
              <w:rPr>
                <w:rFonts w:ascii="宋体" w:hAnsi="宋体"/>
                <w:color w:val="auto"/>
                <w:sz w:val="24"/>
                <w:szCs w:val="24"/>
                <w:highlight w:val="none"/>
              </w:rPr>
            </w:pPr>
          </w:p>
        </w:tc>
        <w:tc>
          <w:tcPr>
            <w:tcW w:w="1314" w:type="dxa"/>
            <w:noWrap w:val="0"/>
            <w:vAlign w:val="center"/>
          </w:tcPr>
          <w:p w14:paraId="393684A1">
            <w:pPr>
              <w:spacing w:line="360" w:lineRule="auto"/>
              <w:jc w:val="center"/>
              <w:rPr>
                <w:rFonts w:ascii="宋体" w:hAnsi="宋体"/>
                <w:color w:val="auto"/>
                <w:sz w:val="24"/>
                <w:szCs w:val="24"/>
                <w:highlight w:val="none"/>
              </w:rPr>
            </w:pPr>
          </w:p>
        </w:tc>
        <w:tc>
          <w:tcPr>
            <w:tcW w:w="1314" w:type="dxa"/>
            <w:noWrap w:val="0"/>
            <w:vAlign w:val="center"/>
          </w:tcPr>
          <w:p w14:paraId="1622FFAE">
            <w:pPr>
              <w:spacing w:line="360" w:lineRule="auto"/>
              <w:jc w:val="center"/>
              <w:rPr>
                <w:rFonts w:ascii="宋体" w:hAnsi="宋体"/>
                <w:color w:val="auto"/>
                <w:sz w:val="24"/>
                <w:szCs w:val="24"/>
                <w:highlight w:val="none"/>
              </w:rPr>
            </w:pPr>
          </w:p>
        </w:tc>
      </w:tr>
      <w:tr w14:paraId="2D28AF7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0" w:type="dxa"/>
            <w:bottom w:w="0" w:type="dxa"/>
            <w:right w:w="0" w:type="dxa"/>
          </w:tblCellMar>
        </w:tblPrEx>
        <w:trPr>
          <w:trHeight w:val="689" w:hRule="atLeast"/>
          <w:jc w:val="center"/>
        </w:trPr>
        <w:tc>
          <w:tcPr>
            <w:tcW w:w="604" w:type="dxa"/>
            <w:noWrap w:val="0"/>
            <w:vAlign w:val="center"/>
          </w:tcPr>
          <w:p w14:paraId="1F6DD50B">
            <w:pPr>
              <w:spacing w:line="360" w:lineRule="auto"/>
              <w:jc w:val="center"/>
              <w:rPr>
                <w:rFonts w:ascii="宋体" w:hAnsi="宋体"/>
                <w:color w:val="auto"/>
                <w:sz w:val="24"/>
                <w:szCs w:val="24"/>
                <w:highlight w:val="none"/>
              </w:rPr>
            </w:pPr>
          </w:p>
        </w:tc>
        <w:tc>
          <w:tcPr>
            <w:tcW w:w="1066" w:type="dxa"/>
            <w:noWrap w:val="0"/>
            <w:vAlign w:val="center"/>
          </w:tcPr>
          <w:p w14:paraId="655CE0A9">
            <w:pPr>
              <w:spacing w:line="360" w:lineRule="auto"/>
              <w:jc w:val="center"/>
              <w:rPr>
                <w:rFonts w:ascii="宋体" w:hAnsi="宋体"/>
                <w:color w:val="auto"/>
                <w:sz w:val="24"/>
                <w:szCs w:val="24"/>
                <w:highlight w:val="none"/>
              </w:rPr>
            </w:pPr>
          </w:p>
        </w:tc>
        <w:tc>
          <w:tcPr>
            <w:tcW w:w="834" w:type="dxa"/>
            <w:noWrap w:val="0"/>
            <w:vAlign w:val="center"/>
          </w:tcPr>
          <w:p w14:paraId="401A0A49">
            <w:pPr>
              <w:spacing w:line="360" w:lineRule="auto"/>
              <w:jc w:val="center"/>
              <w:rPr>
                <w:rFonts w:ascii="宋体" w:hAnsi="宋体"/>
                <w:color w:val="auto"/>
                <w:sz w:val="24"/>
                <w:szCs w:val="24"/>
                <w:highlight w:val="none"/>
              </w:rPr>
            </w:pPr>
          </w:p>
        </w:tc>
        <w:tc>
          <w:tcPr>
            <w:tcW w:w="1169" w:type="dxa"/>
            <w:noWrap w:val="0"/>
            <w:vAlign w:val="center"/>
          </w:tcPr>
          <w:p w14:paraId="1CFAA273">
            <w:pPr>
              <w:spacing w:line="360" w:lineRule="auto"/>
              <w:jc w:val="center"/>
              <w:rPr>
                <w:rFonts w:ascii="宋体" w:hAnsi="宋体"/>
                <w:color w:val="auto"/>
                <w:sz w:val="24"/>
                <w:szCs w:val="24"/>
                <w:highlight w:val="none"/>
              </w:rPr>
            </w:pPr>
          </w:p>
        </w:tc>
        <w:tc>
          <w:tcPr>
            <w:tcW w:w="1296" w:type="dxa"/>
            <w:noWrap w:val="0"/>
            <w:vAlign w:val="center"/>
          </w:tcPr>
          <w:p w14:paraId="5FDDED74">
            <w:pPr>
              <w:spacing w:line="360" w:lineRule="auto"/>
              <w:jc w:val="center"/>
              <w:rPr>
                <w:rFonts w:ascii="宋体" w:hAnsi="宋体"/>
                <w:color w:val="auto"/>
                <w:sz w:val="24"/>
                <w:szCs w:val="24"/>
                <w:highlight w:val="none"/>
              </w:rPr>
            </w:pPr>
          </w:p>
        </w:tc>
        <w:tc>
          <w:tcPr>
            <w:tcW w:w="2399" w:type="dxa"/>
            <w:noWrap w:val="0"/>
            <w:vAlign w:val="center"/>
          </w:tcPr>
          <w:p w14:paraId="392EDB94">
            <w:pPr>
              <w:spacing w:line="360" w:lineRule="auto"/>
              <w:jc w:val="center"/>
              <w:rPr>
                <w:rFonts w:ascii="宋体" w:hAnsi="宋体"/>
                <w:color w:val="auto"/>
                <w:sz w:val="24"/>
                <w:szCs w:val="24"/>
                <w:highlight w:val="none"/>
              </w:rPr>
            </w:pPr>
          </w:p>
        </w:tc>
        <w:tc>
          <w:tcPr>
            <w:tcW w:w="1314" w:type="dxa"/>
            <w:noWrap w:val="0"/>
            <w:vAlign w:val="center"/>
          </w:tcPr>
          <w:p w14:paraId="15AC5FC4">
            <w:pPr>
              <w:spacing w:line="360" w:lineRule="auto"/>
              <w:jc w:val="center"/>
              <w:rPr>
                <w:rFonts w:ascii="宋体" w:hAnsi="宋体"/>
                <w:color w:val="auto"/>
                <w:sz w:val="24"/>
                <w:szCs w:val="24"/>
                <w:highlight w:val="none"/>
              </w:rPr>
            </w:pPr>
          </w:p>
        </w:tc>
        <w:tc>
          <w:tcPr>
            <w:tcW w:w="1314" w:type="dxa"/>
            <w:noWrap w:val="0"/>
            <w:vAlign w:val="center"/>
          </w:tcPr>
          <w:p w14:paraId="230888C1">
            <w:pPr>
              <w:spacing w:line="360" w:lineRule="auto"/>
              <w:jc w:val="center"/>
              <w:rPr>
                <w:rFonts w:ascii="宋体" w:hAnsi="宋体"/>
                <w:color w:val="auto"/>
                <w:sz w:val="24"/>
                <w:szCs w:val="24"/>
                <w:highlight w:val="none"/>
              </w:rPr>
            </w:pPr>
          </w:p>
        </w:tc>
      </w:tr>
    </w:tbl>
    <w:p w14:paraId="2CD16B91">
      <w:pPr>
        <w:autoSpaceDE w:val="0"/>
        <w:autoSpaceDN w:val="0"/>
        <w:adjustRightInd w:val="0"/>
        <w:spacing w:line="360" w:lineRule="auto"/>
        <w:rPr>
          <w:rFonts w:hint="eastAsia" w:ascii="宋体" w:hAnsi="宋体" w:cs="仿宋_GB2312"/>
          <w:b/>
          <w:bCs/>
          <w:color w:val="auto"/>
          <w:sz w:val="30"/>
          <w:szCs w:val="30"/>
          <w:highlight w:val="none"/>
        </w:rPr>
      </w:pPr>
      <w:r>
        <w:rPr>
          <w:rFonts w:hint="eastAsia" w:ascii="宋体" w:hAnsi="宋体" w:cs="仿宋_GB2312"/>
          <w:b/>
          <w:color w:val="auto"/>
          <w:sz w:val="24"/>
          <w:highlight w:val="none"/>
        </w:rPr>
        <w:t>本项目小组人员</w:t>
      </w:r>
      <w:r>
        <w:rPr>
          <w:rFonts w:hint="eastAsia" w:ascii="宋体" w:hAnsi="宋体" w:cs="仿宋_GB2312"/>
          <w:b/>
          <w:color w:val="auto"/>
          <w:sz w:val="24"/>
          <w:highlight w:val="none"/>
          <w:lang w:val="en-US" w:eastAsia="zh-CN"/>
        </w:rPr>
        <w:t>证书，</w:t>
      </w:r>
      <w:r>
        <w:rPr>
          <w:rFonts w:hint="eastAsia" w:ascii="宋体" w:hAnsi="宋体" w:cs="仿宋_GB2312"/>
          <w:b/>
          <w:color w:val="auto"/>
          <w:sz w:val="24"/>
          <w:highlight w:val="none"/>
        </w:rPr>
        <w:t>近3个月</w:t>
      </w:r>
      <w:r>
        <w:rPr>
          <w:rFonts w:hint="eastAsia" w:ascii="宋体" w:hAnsi="宋体" w:cs="仿宋_GB2312"/>
          <w:b/>
          <w:color w:val="auto"/>
          <w:sz w:val="24"/>
          <w:highlight w:val="none"/>
          <w:lang w:val="en-US" w:eastAsia="zh-CN"/>
        </w:rPr>
        <w:t>内打印的缴</w:t>
      </w:r>
      <w:r>
        <w:rPr>
          <w:rFonts w:hint="eastAsia" w:ascii="宋体" w:hAnsi="宋体" w:cs="仿宋_GB2312"/>
          <w:b/>
          <w:color w:val="auto"/>
          <w:sz w:val="24"/>
          <w:highlight w:val="none"/>
        </w:rPr>
        <w:t>纳社保记录情况表</w:t>
      </w:r>
      <w:r>
        <w:rPr>
          <w:rFonts w:hint="eastAsia" w:ascii="宋体" w:hAnsi="宋体" w:cs="仿宋_GB2312"/>
          <w:color w:val="auto"/>
          <w:sz w:val="24"/>
          <w:highlight w:val="none"/>
        </w:rPr>
        <w:t>（以社保缴纳凭证作为附件）</w:t>
      </w:r>
    </w:p>
    <w:p w14:paraId="2D2303A9">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 xml:space="preserve">  供应商名称(电子签名)：                              </w:t>
      </w:r>
    </w:p>
    <w:p w14:paraId="0AAAB3DE">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F438F86">
      <w:pPr>
        <w:jc w:val="left"/>
        <w:rPr>
          <w:rFonts w:ascii="宋体" w:hAnsi="宋体" w:cs="宋体"/>
          <w:b/>
          <w:color w:val="auto"/>
          <w:kern w:val="0"/>
          <w:sz w:val="32"/>
          <w:szCs w:val="32"/>
          <w:highlight w:val="none"/>
        </w:rPr>
      </w:pPr>
    </w:p>
    <w:p w14:paraId="47D88A08">
      <w:pPr>
        <w:jc w:val="center"/>
        <w:rPr>
          <w:rFonts w:ascii="宋体" w:hAnsi="宋体" w:cs="宋体"/>
          <w:b/>
          <w:color w:val="auto"/>
          <w:kern w:val="0"/>
          <w:sz w:val="32"/>
          <w:szCs w:val="32"/>
          <w:highlight w:val="none"/>
        </w:rPr>
      </w:pPr>
    </w:p>
    <w:p w14:paraId="4151DED6">
      <w:pPr>
        <w:jc w:val="center"/>
        <w:rPr>
          <w:rFonts w:ascii="宋体" w:hAnsi="宋体" w:cs="宋体"/>
          <w:b/>
          <w:color w:val="auto"/>
          <w:kern w:val="0"/>
          <w:sz w:val="32"/>
          <w:szCs w:val="32"/>
          <w:highlight w:val="none"/>
        </w:rPr>
      </w:pPr>
    </w:p>
    <w:p w14:paraId="6B2E4224">
      <w:pPr>
        <w:jc w:val="center"/>
        <w:rPr>
          <w:rFonts w:ascii="宋体" w:hAnsi="宋体" w:cs="宋体"/>
          <w:b/>
          <w:color w:val="auto"/>
          <w:kern w:val="0"/>
          <w:sz w:val="32"/>
          <w:szCs w:val="32"/>
          <w:highlight w:val="none"/>
        </w:rPr>
      </w:pPr>
    </w:p>
    <w:p w14:paraId="2B83C98B">
      <w:pPr>
        <w:jc w:val="center"/>
        <w:rPr>
          <w:rFonts w:ascii="宋体" w:hAnsi="宋体" w:cs="宋体"/>
          <w:b/>
          <w:color w:val="auto"/>
          <w:kern w:val="0"/>
          <w:sz w:val="32"/>
          <w:szCs w:val="32"/>
          <w:highlight w:val="none"/>
        </w:rPr>
      </w:pPr>
    </w:p>
    <w:p w14:paraId="2B7CB26B">
      <w:pPr>
        <w:jc w:val="center"/>
        <w:rPr>
          <w:rFonts w:ascii="宋体" w:hAnsi="宋体" w:cs="宋体"/>
          <w:b/>
          <w:color w:val="auto"/>
          <w:kern w:val="0"/>
          <w:sz w:val="32"/>
          <w:szCs w:val="32"/>
          <w:highlight w:val="none"/>
        </w:rPr>
      </w:pPr>
    </w:p>
    <w:p w14:paraId="2714B0AE">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C02A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83E8F7F">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58DA7491">
            <w:pPr>
              <w:jc w:val="center"/>
              <w:rPr>
                <w:rFonts w:ascii="宋体" w:hAnsi="宋体" w:cs="宋体"/>
                <w:b/>
                <w:bCs/>
                <w:color w:val="auto"/>
                <w:sz w:val="24"/>
                <w:highlight w:val="none"/>
              </w:rPr>
            </w:pPr>
            <w:r>
              <w:rPr>
                <w:rFonts w:hint="eastAsia" w:ascii="宋体" w:hAnsi="宋体" w:cs="宋体"/>
                <w:b/>
                <w:bCs/>
                <w:color w:val="auto"/>
                <w:sz w:val="24"/>
                <w:highlight w:val="none"/>
              </w:rPr>
              <w:t>采购文件章节及具体内容</w:t>
            </w:r>
          </w:p>
        </w:tc>
        <w:tc>
          <w:tcPr>
            <w:tcW w:w="3546" w:type="dxa"/>
          </w:tcPr>
          <w:p w14:paraId="3E3C044B">
            <w:pP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14:paraId="3043E19C">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56F69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8875CF4">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38C005E5">
            <w:pPr>
              <w:jc w:val="center"/>
              <w:rPr>
                <w:rFonts w:ascii="宋体" w:hAnsi="宋体" w:cs="宋体"/>
                <w:b/>
                <w:color w:val="auto"/>
                <w:kern w:val="0"/>
                <w:sz w:val="32"/>
                <w:szCs w:val="32"/>
                <w:highlight w:val="none"/>
              </w:rPr>
            </w:pPr>
          </w:p>
        </w:tc>
        <w:tc>
          <w:tcPr>
            <w:tcW w:w="3546" w:type="dxa"/>
          </w:tcPr>
          <w:p w14:paraId="0C3355E7">
            <w:pPr>
              <w:jc w:val="center"/>
              <w:rPr>
                <w:rFonts w:ascii="宋体" w:hAnsi="宋体" w:cs="宋体"/>
                <w:b/>
                <w:color w:val="auto"/>
                <w:kern w:val="0"/>
                <w:sz w:val="32"/>
                <w:szCs w:val="32"/>
                <w:highlight w:val="none"/>
              </w:rPr>
            </w:pPr>
          </w:p>
        </w:tc>
        <w:tc>
          <w:tcPr>
            <w:tcW w:w="1276" w:type="dxa"/>
          </w:tcPr>
          <w:p w14:paraId="192BBB01">
            <w:pPr>
              <w:jc w:val="center"/>
              <w:rPr>
                <w:rFonts w:ascii="宋体" w:hAnsi="宋体" w:cs="宋体"/>
                <w:b/>
                <w:color w:val="auto"/>
                <w:kern w:val="0"/>
                <w:sz w:val="32"/>
                <w:szCs w:val="32"/>
                <w:highlight w:val="none"/>
              </w:rPr>
            </w:pPr>
          </w:p>
        </w:tc>
      </w:tr>
      <w:tr w14:paraId="1738C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F0A156D">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3A59CA45">
            <w:pPr>
              <w:jc w:val="center"/>
              <w:rPr>
                <w:rFonts w:ascii="宋体" w:hAnsi="宋体" w:cs="宋体"/>
                <w:b/>
                <w:color w:val="auto"/>
                <w:kern w:val="0"/>
                <w:sz w:val="32"/>
                <w:szCs w:val="32"/>
                <w:highlight w:val="none"/>
              </w:rPr>
            </w:pPr>
          </w:p>
        </w:tc>
        <w:tc>
          <w:tcPr>
            <w:tcW w:w="3546" w:type="dxa"/>
          </w:tcPr>
          <w:p w14:paraId="39AE6174">
            <w:pPr>
              <w:jc w:val="center"/>
              <w:rPr>
                <w:rFonts w:ascii="宋体" w:hAnsi="宋体" w:cs="宋体"/>
                <w:b/>
                <w:color w:val="auto"/>
                <w:kern w:val="0"/>
                <w:sz w:val="32"/>
                <w:szCs w:val="32"/>
                <w:highlight w:val="none"/>
              </w:rPr>
            </w:pPr>
          </w:p>
        </w:tc>
        <w:tc>
          <w:tcPr>
            <w:tcW w:w="1276" w:type="dxa"/>
          </w:tcPr>
          <w:p w14:paraId="080FF2F4">
            <w:pPr>
              <w:jc w:val="center"/>
              <w:rPr>
                <w:rFonts w:ascii="宋体" w:hAnsi="宋体" w:cs="宋体"/>
                <w:b/>
                <w:color w:val="auto"/>
                <w:kern w:val="0"/>
                <w:sz w:val="32"/>
                <w:szCs w:val="32"/>
                <w:highlight w:val="none"/>
              </w:rPr>
            </w:pPr>
          </w:p>
        </w:tc>
      </w:tr>
      <w:tr w14:paraId="79C1B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1C78D9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43508CDA">
            <w:pPr>
              <w:jc w:val="center"/>
              <w:rPr>
                <w:rFonts w:ascii="宋体" w:hAnsi="宋体" w:cs="宋体"/>
                <w:b/>
                <w:color w:val="auto"/>
                <w:kern w:val="0"/>
                <w:sz w:val="32"/>
                <w:szCs w:val="32"/>
                <w:highlight w:val="none"/>
              </w:rPr>
            </w:pPr>
          </w:p>
        </w:tc>
        <w:tc>
          <w:tcPr>
            <w:tcW w:w="3546" w:type="dxa"/>
          </w:tcPr>
          <w:p w14:paraId="2DCBF095">
            <w:pPr>
              <w:jc w:val="center"/>
              <w:rPr>
                <w:rFonts w:ascii="宋体" w:hAnsi="宋体" w:cs="宋体"/>
                <w:b/>
                <w:color w:val="auto"/>
                <w:kern w:val="0"/>
                <w:sz w:val="32"/>
                <w:szCs w:val="32"/>
                <w:highlight w:val="none"/>
              </w:rPr>
            </w:pPr>
          </w:p>
        </w:tc>
        <w:tc>
          <w:tcPr>
            <w:tcW w:w="1276" w:type="dxa"/>
          </w:tcPr>
          <w:p w14:paraId="4B28C1EB">
            <w:pPr>
              <w:jc w:val="center"/>
              <w:rPr>
                <w:rFonts w:ascii="宋体" w:hAnsi="宋体" w:cs="宋体"/>
                <w:b/>
                <w:color w:val="auto"/>
                <w:kern w:val="0"/>
                <w:sz w:val="32"/>
                <w:szCs w:val="32"/>
                <w:highlight w:val="none"/>
              </w:rPr>
            </w:pPr>
          </w:p>
        </w:tc>
      </w:tr>
    </w:tbl>
    <w:p w14:paraId="7ECC9471">
      <w:pPr>
        <w:jc w:val="left"/>
        <w:rPr>
          <w:rFonts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供应商保证：除商务技术偏离表列出的偏离外，供应商响应采购文件的全部要求</w:t>
      </w:r>
    </w:p>
    <w:p w14:paraId="48DA4B62">
      <w:pPr>
        <w:jc w:val="center"/>
        <w:rPr>
          <w:rFonts w:ascii="宋体" w:hAnsi="宋体" w:cs="宋体"/>
          <w:b/>
          <w:color w:val="auto"/>
          <w:kern w:val="0"/>
          <w:sz w:val="32"/>
          <w:szCs w:val="32"/>
          <w:highlight w:val="none"/>
        </w:rPr>
      </w:pPr>
    </w:p>
    <w:p w14:paraId="5946DF1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E735276">
      <w:pPr>
        <w:ind w:firstLine="1911" w:firstLineChars="595"/>
        <w:rPr>
          <w:rFonts w:ascii="宋体" w:hAnsi="宋体" w:cs="宋体"/>
          <w:b/>
          <w:bCs/>
          <w:color w:val="auto"/>
          <w:sz w:val="32"/>
          <w:szCs w:val="32"/>
          <w:highlight w:val="none"/>
        </w:rPr>
        <w:sectPr>
          <w:footerReference r:id="rId12" w:type="first"/>
          <w:footerReference r:id="rId11" w:type="default"/>
          <w:pgSz w:w="11906" w:h="16838"/>
          <w:pgMar w:top="1440" w:right="1080" w:bottom="1440" w:left="1080" w:header="851" w:footer="992" w:gutter="0"/>
          <w:cols w:space="720" w:num="1"/>
          <w:titlePg/>
          <w:docGrid w:linePitch="312" w:charSpace="0"/>
        </w:sectPr>
      </w:pPr>
    </w:p>
    <w:p w14:paraId="5BB4C229">
      <w:pPr>
        <w:snapToGrid w:val="0"/>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采购供应商廉洁自律承诺书</w:t>
      </w:r>
    </w:p>
    <w:p w14:paraId="3A8BFA1B">
      <w:pPr>
        <w:snapToGrid w:val="0"/>
        <w:spacing w:line="360" w:lineRule="auto"/>
        <w:rPr>
          <w:rFonts w:ascii="宋体" w:hAnsi="宋体" w:cs="宋体"/>
          <w:color w:val="auto"/>
          <w:sz w:val="24"/>
          <w:highlight w:val="none"/>
        </w:rPr>
      </w:pPr>
    </w:p>
    <w:p w14:paraId="341100C2">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杭州高级中学钱塘学校</w:t>
      </w:r>
      <w:r>
        <w:rPr>
          <w:rFonts w:hint="eastAsia" w:ascii="宋体" w:hAnsi="宋体" w:cs="宋体"/>
          <w:color w:val="auto"/>
          <w:sz w:val="24"/>
          <w:highlight w:val="none"/>
        </w:rPr>
        <w:t>、</w:t>
      </w:r>
      <w:r>
        <w:rPr>
          <w:rFonts w:hint="eastAsia" w:ascii="宋体" w:hAnsi="宋体" w:cs="宋体"/>
          <w:color w:val="auto"/>
          <w:sz w:val="24"/>
          <w:highlight w:val="none"/>
          <w:lang w:eastAsia="zh-CN"/>
        </w:rPr>
        <w:t>浙江五石中正工程咨询有限公司</w:t>
      </w:r>
      <w:r>
        <w:rPr>
          <w:rFonts w:hint="eastAsia" w:ascii="宋体" w:hAnsi="宋体" w:cs="宋体"/>
          <w:color w:val="auto"/>
          <w:kern w:val="0"/>
          <w:sz w:val="24"/>
          <w:highlight w:val="none"/>
          <w:lang w:val="zh-CN"/>
        </w:rPr>
        <w:t>：</w:t>
      </w:r>
    </w:p>
    <w:p w14:paraId="2027945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3B30FD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D750A0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157139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0F356C2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36BB6A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14:paraId="5A9FA9D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0135A3D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78FDF6B0">
      <w:pPr>
        <w:autoSpaceDE w:val="0"/>
        <w:autoSpaceDN w:val="0"/>
        <w:spacing w:line="360" w:lineRule="auto"/>
        <w:ind w:left="2"/>
        <w:jc w:val="left"/>
        <w:rPr>
          <w:rFonts w:ascii="宋体" w:hAnsi="宋体" w:cs="宋体"/>
          <w:color w:val="auto"/>
          <w:kern w:val="0"/>
          <w:sz w:val="24"/>
          <w:highlight w:val="none"/>
          <w:lang w:val="zh-CN"/>
        </w:rPr>
      </w:pPr>
    </w:p>
    <w:p w14:paraId="15E5ADE1">
      <w:pPr>
        <w:autoSpaceDE w:val="0"/>
        <w:autoSpaceDN w:val="0"/>
        <w:spacing w:line="360" w:lineRule="auto"/>
        <w:ind w:left="2"/>
        <w:jc w:val="left"/>
        <w:rPr>
          <w:rFonts w:ascii="宋体" w:hAnsi="宋体" w:cs="宋体"/>
          <w:color w:val="auto"/>
          <w:kern w:val="0"/>
          <w:sz w:val="24"/>
          <w:highlight w:val="none"/>
          <w:lang w:val="zh-CN"/>
        </w:rPr>
      </w:pPr>
    </w:p>
    <w:p w14:paraId="0E068FC5">
      <w:pPr>
        <w:autoSpaceDE w:val="0"/>
        <w:autoSpaceDN w:val="0"/>
        <w:spacing w:line="360" w:lineRule="auto"/>
        <w:ind w:left="2"/>
        <w:jc w:val="left"/>
        <w:rPr>
          <w:rFonts w:ascii="宋体" w:hAnsi="宋体" w:cs="宋体"/>
          <w:color w:val="auto"/>
          <w:kern w:val="0"/>
          <w:sz w:val="24"/>
          <w:highlight w:val="none"/>
          <w:lang w:val="zh-CN"/>
        </w:rPr>
      </w:pPr>
    </w:p>
    <w:p w14:paraId="39B29950">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59221AD0">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E6B4E7A">
      <w:pPr>
        <w:spacing w:line="360" w:lineRule="auto"/>
        <w:jc w:val="center"/>
        <w:rPr>
          <w:rFonts w:ascii="宋体" w:hAnsi="宋体" w:cs="宋体"/>
          <w:b/>
          <w:bCs/>
          <w:color w:val="auto"/>
          <w:sz w:val="24"/>
          <w:highlight w:val="none"/>
        </w:rPr>
      </w:pPr>
    </w:p>
    <w:p w14:paraId="0434504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F9A28D9">
      <w:pPr>
        <w:spacing w:line="360" w:lineRule="auto"/>
        <w:jc w:val="center"/>
        <w:rPr>
          <w:rFonts w:ascii="宋体" w:hAnsi="宋体" w:cs="宋体"/>
          <w:b/>
          <w:bCs/>
          <w:color w:val="auto"/>
          <w:sz w:val="24"/>
          <w:highlight w:val="none"/>
        </w:rPr>
        <w:sectPr>
          <w:pgSz w:w="11906" w:h="16838"/>
          <w:pgMar w:top="1440" w:right="1080" w:bottom="1440" w:left="1080" w:header="851" w:footer="992" w:gutter="0"/>
          <w:cols w:space="720" w:num="1"/>
          <w:titlePg/>
          <w:docGrid w:linePitch="312" w:charSpace="0"/>
        </w:sectPr>
      </w:pPr>
    </w:p>
    <w:p w14:paraId="4AD6FCAB">
      <w:pPr>
        <w:spacing w:line="360" w:lineRule="auto"/>
        <w:jc w:val="center"/>
        <w:outlineLvl w:val="0"/>
        <w:rPr>
          <w:rFonts w:hint="eastAsia" w:ascii="宋体" w:hAnsi="宋体" w:cs="宋体"/>
          <w:b/>
          <w:color w:val="auto"/>
          <w:kern w:val="0"/>
          <w:sz w:val="36"/>
          <w:szCs w:val="36"/>
          <w:highlight w:val="none"/>
        </w:rPr>
      </w:pPr>
    </w:p>
    <w:p w14:paraId="6D5CD95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4C4A0806">
      <w:pPr>
        <w:spacing w:line="360" w:lineRule="auto"/>
        <w:jc w:val="center"/>
        <w:outlineLvl w:val="0"/>
        <w:rPr>
          <w:rFonts w:hint="eastAsia" w:ascii="宋体" w:hAnsi="宋体" w:cs="宋体"/>
          <w:b/>
          <w:color w:val="auto"/>
          <w:kern w:val="0"/>
          <w:sz w:val="36"/>
          <w:szCs w:val="36"/>
          <w:highlight w:val="none"/>
        </w:rPr>
      </w:pPr>
    </w:p>
    <w:p w14:paraId="71E2A2C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515AF1F">
      <w:pPr>
        <w:spacing w:line="360" w:lineRule="auto"/>
        <w:jc w:val="center"/>
        <w:outlineLvl w:val="0"/>
        <w:rPr>
          <w:rFonts w:ascii="宋体" w:hAnsi="宋体" w:cs="宋体"/>
          <w:b/>
          <w:color w:val="auto"/>
          <w:kern w:val="0"/>
          <w:sz w:val="36"/>
          <w:szCs w:val="36"/>
          <w:highlight w:val="none"/>
        </w:rPr>
      </w:pPr>
    </w:p>
    <w:p w14:paraId="7F9D390B">
      <w:pPr>
        <w:numPr>
          <w:ilvl w:val="0"/>
          <w:numId w:val="12"/>
        </w:numPr>
        <w:snapToGrid w:val="0"/>
        <w:spacing w:line="360" w:lineRule="auto"/>
        <w:ind w:left="0" w:leftChars="0" w:firstLine="420" w:firstLineChars="0"/>
        <w:rPr>
          <w:rFonts w:ascii="宋体" w:hAnsi="宋体" w:cs="宋体"/>
          <w:color w:val="auto"/>
          <w:sz w:val="24"/>
          <w:highlight w:val="none"/>
        </w:rPr>
      </w:pPr>
      <w:r>
        <w:rPr>
          <w:rFonts w:hint="eastAsia" w:ascii="宋体" w:hAnsi="宋体" w:cs="宋体"/>
          <w:color w:val="auto"/>
          <w:sz w:val="24"/>
          <w:highlight w:val="none"/>
        </w:rPr>
        <w:t>报价单…………………………………………………………………………（页码）</w:t>
      </w:r>
    </w:p>
    <w:p w14:paraId="6A16CF26">
      <w:pPr>
        <w:numPr>
          <w:ilvl w:val="0"/>
          <w:numId w:val="12"/>
        </w:numPr>
        <w:snapToGrid w:val="0"/>
        <w:spacing w:line="360" w:lineRule="auto"/>
        <w:ind w:left="0" w:leftChars="0" w:firstLine="420" w:firstLineChars="0"/>
        <w:rPr>
          <w:rFonts w:ascii="宋体" w:hAnsi="宋体" w:cs="宋体"/>
          <w:color w:val="auto"/>
          <w:sz w:val="24"/>
          <w:highlight w:val="none"/>
        </w:rPr>
      </w:pPr>
      <w:r>
        <w:rPr>
          <w:rFonts w:hint="eastAsia" w:ascii="宋体" w:hAnsi="宋体" w:cs="宋体"/>
          <w:color w:val="auto"/>
          <w:sz w:val="24"/>
          <w:highlight w:val="none"/>
        </w:rPr>
        <w:t>报价情况说明</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3EB59C64">
      <w:pPr>
        <w:numPr>
          <w:ilvl w:val="0"/>
          <w:numId w:val="12"/>
        </w:numPr>
        <w:snapToGrid w:val="0"/>
        <w:spacing w:line="360" w:lineRule="auto"/>
        <w:ind w:left="0" w:leftChars="0" w:firstLine="420" w:firstLineChars="0"/>
        <w:rPr>
          <w:rFonts w:ascii="宋体" w:hAnsi="宋体" w:cs="宋体"/>
          <w:color w:val="auto"/>
          <w:sz w:val="24"/>
          <w:highlight w:val="none"/>
        </w:rPr>
      </w:pPr>
      <w:r>
        <w:rPr>
          <w:rFonts w:hint="eastAsia" w:ascii="宋体" w:hAnsi="宋体" w:cs="宋体"/>
          <w:color w:val="auto"/>
          <w:sz w:val="24"/>
          <w:highlight w:val="none"/>
        </w:rPr>
        <w:t>已标价工程量清单……………………………………………………………（页码）</w:t>
      </w:r>
    </w:p>
    <w:p w14:paraId="00DFA208">
      <w:pPr>
        <w:numPr>
          <w:ilvl w:val="0"/>
          <w:numId w:val="12"/>
        </w:numPr>
        <w:snapToGrid w:val="0"/>
        <w:spacing w:line="360" w:lineRule="auto"/>
        <w:ind w:left="0" w:leftChars="0" w:firstLine="420" w:firstLineChars="0"/>
        <w:rPr>
          <w:rFonts w:ascii="宋体" w:hAnsi="宋体" w:cs="宋体"/>
          <w:color w:val="auto"/>
          <w:sz w:val="24"/>
          <w:highlight w:val="none"/>
        </w:rPr>
      </w:pPr>
      <w:r>
        <w:rPr>
          <w:rFonts w:hint="eastAsia" w:ascii="宋体" w:hAnsi="宋体" w:cs="宋体"/>
          <w:color w:val="auto"/>
          <w:sz w:val="24"/>
          <w:highlight w:val="none"/>
          <w:lang w:val="en-US" w:eastAsia="zh-CN"/>
        </w:rPr>
        <w:t>中小企业声明函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64548499">
      <w:pPr>
        <w:numPr>
          <w:ilvl w:val="0"/>
          <w:numId w:val="0"/>
        </w:numPr>
        <w:snapToGrid w:val="0"/>
        <w:spacing w:line="360" w:lineRule="auto"/>
        <w:ind w:left="420" w:leftChars="0"/>
        <w:rPr>
          <w:rFonts w:ascii="宋体" w:hAnsi="宋体" w:cs="宋体"/>
          <w:color w:val="auto"/>
          <w:sz w:val="24"/>
          <w:highlight w:val="none"/>
        </w:rPr>
      </w:pPr>
    </w:p>
    <w:p w14:paraId="38A5DEE0">
      <w:pPr>
        <w:snapToGrid w:val="0"/>
        <w:spacing w:line="360" w:lineRule="auto"/>
        <w:ind w:right="480"/>
        <w:jc w:val="center"/>
        <w:rPr>
          <w:rFonts w:ascii="宋体" w:hAnsi="宋体" w:cs="宋体"/>
          <w:b/>
          <w:color w:val="auto"/>
          <w:kern w:val="0"/>
          <w:sz w:val="32"/>
          <w:szCs w:val="32"/>
          <w:highlight w:val="none"/>
        </w:rPr>
      </w:pPr>
    </w:p>
    <w:p w14:paraId="4250A365">
      <w:pPr>
        <w:snapToGrid w:val="0"/>
        <w:spacing w:line="360" w:lineRule="auto"/>
        <w:ind w:right="480"/>
        <w:jc w:val="center"/>
        <w:rPr>
          <w:rFonts w:ascii="宋体" w:hAnsi="宋体" w:cs="宋体"/>
          <w:b/>
          <w:color w:val="auto"/>
          <w:kern w:val="0"/>
          <w:sz w:val="32"/>
          <w:szCs w:val="32"/>
          <w:highlight w:val="none"/>
        </w:rPr>
      </w:pPr>
    </w:p>
    <w:p w14:paraId="39EEC995">
      <w:pPr>
        <w:snapToGrid w:val="0"/>
        <w:spacing w:line="360" w:lineRule="auto"/>
        <w:ind w:right="480"/>
        <w:jc w:val="center"/>
        <w:rPr>
          <w:rFonts w:ascii="宋体" w:hAnsi="宋体" w:cs="宋体"/>
          <w:b/>
          <w:color w:val="auto"/>
          <w:kern w:val="0"/>
          <w:sz w:val="32"/>
          <w:szCs w:val="32"/>
          <w:highlight w:val="none"/>
        </w:rPr>
      </w:pPr>
    </w:p>
    <w:p w14:paraId="57A7DEDE">
      <w:pPr>
        <w:snapToGrid w:val="0"/>
        <w:spacing w:line="360" w:lineRule="auto"/>
        <w:ind w:right="480"/>
        <w:jc w:val="center"/>
        <w:rPr>
          <w:rFonts w:ascii="宋体" w:hAnsi="宋体" w:cs="宋体"/>
          <w:b/>
          <w:color w:val="auto"/>
          <w:kern w:val="0"/>
          <w:sz w:val="32"/>
          <w:szCs w:val="32"/>
          <w:highlight w:val="none"/>
        </w:rPr>
      </w:pPr>
    </w:p>
    <w:p w14:paraId="2170199E">
      <w:pPr>
        <w:snapToGrid w:val="0"/>
        <w:spacing w:line="360" w:lineRule="auto"/>
        <w:ind w:right="480"/>
        <w:jc w:val="center"/>
        <w:rPr>
          <w:rFonts w:ascii="宋体" w:hAnsi="宋体" w:cs="宋体"/>
          <w:b/>
          <w:color w:val="auto"/>
          <w:kern w:val="0"/>
          <w:sz w:val="32"/>
          <w:szCs w:val="32"/>
          <w:highlight w:val="none"/>
        </w:rPr>
      </w:pPr>
    </w:p>
    <w:p w14:paraId="46CD620A">
      <w:pPr>
        <w:snapToGrid w:val="0"/>
        <w:spacing w:line="360" w:lineRule="auto"/>
        <w:ind w:right="480"/>
        <w:jc w:val="center"/>
        <w:rPr>
          <w:rFonts w:ascii="宋体" w:hAnsi="宋体" w:cs="宋体"/>
          <w:b/>
          <w:color w:val="auto"/>
          <w:kern w:val="0"/>
          <w:sz w:val="32"/>
          <w:szCs w:val="32"/>
          <w:highlight w:val="none"/>
        </w:rPr>
      </w:pPr>
    </w:p>
    <w:p w14:paraId="499EABE1">
      <w:pPr>
        <w:snapToGrid w:val="0"/>
        <w:spacing w:line="360" w:lineRule="auto"/>
        <w:ind w:right="480"/>
        <w:jc w:val="center"/>
        <w:rPr>
          <w:rFonts w:ascii="宋体" w:hAnsi="宋体" w:cs="宋体"/>
          <w:b/>
          <w:color w:val="auto"/>
          <w:kern w:val="0"/>
          <w:sz w:val="32"/>
          <w:szCs w:val="32"/>
          <w:highlight w:val="none"/>
        </w:rPr>
      </w:pPr>
    </w:p>
    <w:p w14:paraId="5D388461">
      <w:pPr>
        <w:snapToGrid w:val="0"/>
        <w:spacing w:line="360" w:lineRule="auto"/>
        <w:ind w:right="480"/>
        <w:jc w:val="center"/>
        <w:rPr>
          <w:rFonts w:ascii="宋体" w:hAnsi="宋体" w:cs="宋体"/>
          <w:b/>
          <w:color w:val="auto"/>
          <w:kern w:val="0"/>
          <w:sz w:val="32"/>
          <w:szCs w:val="32"/>
          <w:highlight w:val="none"/>
        </w:rPr>
      </w:pPr>
    </w:p>
    <w:p w14:paraId="2A9A62B5">
      <w:pPr>
        <w:snapToGrid w:val="0"/>
        <w:spacing w:line="360" w:lineRule="auto"/>
        <w:ind w:right="480"/>
        <w:jc w:val="center"/>
        <w:rPr>
          <w:rFonts w:ascii="宋体" w:hAnsi="宋体" w:cs="宋体"/>
          <w:b/>
          <w:color w:val="auto"/>
          <w:kern w:val="0"/>
          <w:sz w:val="32"/>
          <w:szCs w:val="32"/>
          <w:highlight w:val="none"/>
        </w:rPr>
      </w:pPr>
    </w:p>
    <w:p w14:paraId="571C2A4F">
      <w:pPr>
        <w:snapToGrid w:val="0"/>
        <w:spacing w:line="360" w:lineRule="auto"/>
        <w:ind w:right="480"/>
        <w:jc w:val="center"/>
        <w:rPr>
          <w:rFonts w:ascii="宋体" w:hAnsi="宋体" w:cs="宋体"/>
          <w:b/>
          <w:color w:val="auto"/>
          <w:kern w:val="0"/>
          <w:sz w:val="32"/>
          <w:szCs w:val="32"/>
          <w:highlight w:val="none"/>
        </w:rPr>
      </w:pPr>
    </w:p>
    <w:p w14:paraId="4DC3779C">
      <w:pPr>
        <w:snapToGrid w:val="0"/>
        <w:spacing w:line="360" w:lineRule="auto"/>
        <w:ind w:right="480"/>
        <w:jc w:val="center"/>
        <w:rPr>
          <w:rFonts w:ascii="宋体" w:hAnsi="宋体" w:cs="宋体"/>
          <w:b/>
          <w:color w:val="auto"/>
          <w:kern w:val="0"/>
          <w:sz w:val="32"/>
          <w:szCs w:val="32"/>
          <w:highlight w:val="none"/>
        </w:rPr>
      </w:pPr>
    </w:p>
    <w:p w14:paraId="4DC653F3">
      <w:pPr>
        <w:snapToGrid w:val="0"/>
        <w:spacing w:line="360" w:lineRule="auto"/>
        <w:ind w:right="480"/>
        <w:jc w:val="center"/>
        <w:rPr>
          <w:rFonts w:ascii="宋体" w:hAnsi="宋体" w:cs="宋体"/>
          <w:b/>
          <w:color w:val="auto"/>
          <w:kern w:val="0"/>
          <w:sz w:val="32"/>
          <w:szCs w:val="32"/>
          <w:highlight w:val="none"/>
        </w:rPr>
      </w:pPr>
    </w:p>
    <w:p w14:paraId="7EA34574">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footerReference r:id="rId15" w:type="first"/>
          <w:headerReference r:id="rId13" w:type="default"/>
          <w:footerReference r:id="rId14" w:type="default"/>
          <w:pgSz w:w="11906" w:h="16838"/>
          <w:pgMar w:top="1440" w:right="1080" w:bottom="1440" w:left="1080" w:header="851" w:footer="992" w:gutter="0"/>
          <w:cols w:space="720" w:num="1"/>
          <w:titlePg/>
          <w:docGrid w:linePitch="312" w:charSpace="0"/>
        </w:sectPr>
      </w:pPr>
    </w:p>
    <w:p w14:paraId="426908A1">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一、报价单</w:t>
      </w:r>
    </w:p>
    <w:p w14:paraId="1A975A76">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杭州高级中学钱塘学校</w:t>
      </w:r>
      <w:r>
        <w:rPr>
          <w:rFonts w:hint="eastAsia" w:ascii="宋体" w:hAnsi="宋体" w:cs="宋体"/>
          <w:color w:val="auto"/>
          <w:sz w:val="24"/>
          <w:highlight w:val="none"/>
        </w:rPr>
        <w:t>、</w:t>
      </w:r>
      <w:r>
        <w:rPr>
          <w:rFonts w:hint="eastAsia" w:ascii="宋体" w:hAnsi="宋体" w:cs="宋体"/>
          <w:color w:val="auto"/>
          <w:sz w:val="24"/>
          <w:highlight w:val="none"/>
          <w:lang w:eastAsia="zh-CN"/>
        </w:rPr>
        <w:t>浙江五石中正工程咨询有限公司</w:t>
      </w:r>
      <w:r>
        <w:rPr>
          <w:rFonts w:hint="eastAsia" w:ascii="宋体" w:hAnsi="宋体" w:cs="宋体"/>
          <w:color w:val="auto"/>
          <w:kern w:val="0"/>
          <w:sz w:val="24"/>
          <w:highlight w:val="none"/>
          <w:lang w:val="zh-CN"/>
        </w:rPr>
        <w:t>：</w:t>
      </w:r>
    </w:p>
    <w:p w14:paraId="0CF6AC26">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按你方采购文件要求，我们</w:t>
      </w:r>
      <w:r>
        <w:rPr>
          <w:rFonts w:hint="eastAsia" w:ascii="宋体" w:hAnsi="宋体" w:cs="宋体"/>
          <w:color w:val="auto"/>
          <w:kern w:val="0"/>
          <w:sz w:val="24"/>
          <w:highlight w:val="none"/>
          <w:u w:val="single"/>
          <w:lang w:val="zh-CN"/>
        </w:rPr>
        <w:t>本响应文件签字方</w:t>
      </w:r>
      <w:r>
        <w:rPr>
          <w:rFonts w:hint="eastAsia" w:ascii="宋体" w:hAnsi="宋体" w:cs="宋体"/>
          <w:color w:val="auto"/>
          <w:kern w:val="0"/>
          <w:sz w:val="24"/>
          <w:highlight w:val="none"/>
          <w:lang w:val="zh-CN"/>
        </w:rPr>
        <w:t>，谨此向你方发出要约如下：如你方接受本投标，我方承诺按照如下报价单的价格完成</w:t>
      </w:r>
      <w:r>
        <w:rPr>
          <w:rFonts w:hint="eastAsia" w:ascii="宋体" w:hAnsi="宋体" w:cs="宋体"/>
          <w:color w:val="auto"/>
          <w:sz w:val="24"/>
          <w:highlight w:val="none"/>
          <w:lang w:eastAsia="zh-CN"/>
        </w:rPr>
        <w:t>校舍外墙外立面维修</w:t>
      </w:r>
      <w:r>
        <w:rPr>
          <w:rFonts w:hint="eastAsia" w:ascii="宋体" w:hAnsi="宋体" w:cs="宋体"/>
          <w:color w:val="auto"/>
          <w:kern w:val="0"/>
          <w:sz w:val="24"/>
          <w:highlight w:val="none"/>
          <w:lang w:val="zh-CN"/>
        </w:rPr>
        <w:t>【项目编号：</w:t>
      </w:r>
      <w:r>
        <w:rPr>
          <w:rFonts w:hint="eastAsia" w:ascii="宋体" w:hAnsi="宋体" w:cs="宋体"/>
          <w:color w:val="auto"/>
          <w:sz w:val="24"/>
          <w:highlight w:val="none"/>
          <w:lang w:eastAsia="zh-CN"/>
        </w:rPr>
        <w:t>HGQT-2025-S01</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5FAC9C46">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报价单(单位均为人民币元)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1393"/>
        <w:gridCol w:w="1726"/>
      </w:tblGrid>
      <w:tr w14:paraId="60D57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14:paraId="2468C4B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项目名称</w:t>
            </w:r>
          </w:p>
        </w:tc>
        <w:tc>
          <w:tcPr>
            <w:tcW w:w="1843" w:type="dxa"/>
          </w:tcPr>
          <w:p w14:paraId="609DFDB7">
            <w:pPr>
              <w:spacing w:line="360" w:lineRule="auto"/>
              <w:jc w:val="center"/>
              <w:rPr>
                <w:rFonts w:ascii="宋体" w:hAnsi="宋体" w:cs="宋体"/>
                <w:b/>
                <w:color w:val="auto"/>
                <w:sz w:val="24"/>
                <w:highlight w:val="none"/>
              </w:rPr>
            </w:pPr>
          </w:p>
          <w:p w14:paraId="7C60BB9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施工范围</w:t>
            </w:r>
          </w:p>
        </w:tc>
        <w:tc>
          <w:tcPr>
            <w:tcW w:w="3118" w:type="dxa"/>
            <w:vAlign w:val="center"/>
          </w:tcPr>
          <w:p w14:paraId="2A835E03">
            <w:pPr>
              <w:spacing w:line="360" w:lineRule="auto"/>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工期</w:t>
            </w:r>
          </w:p>
        </w:tc>
        <w:tc>
          <w:tcPr>
            <w:tcW w:w="2552" w:type="dxa"/>
            <w:vAlign w:val="center"/>
          </w:tcPr>
          <w:p w14:paraId="2D8198B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项目经理</w:t>
            </w:r>
          </w:p>
        </w:tc>
        <w:tc>
          <w:tcPr>
            <w:tcW w:w="1984" w:type="dxa"/>
            <w:vAlign w:val="center"/>
          </w:tcPr>
          <w:p w14:paraId="2AB2A5E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执业证书信息</w:t>
            </w:r>
          </w:p>
        </w:tc>
        <w:tc>
          <w:tcPr>
            <w:tcW w:w="1393" w:type="dxa"/>
            <w:vAlign w:val="center"/>
          </w:tcPr>
          <w:p w14:paraId="41C8C1F4">
            <w:pPr>
              <w:spacing w:line="360" w:lineRule="auto"/>
              <w:jc w:val="both"/>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质量标准</w:t>
            </w:r>
          </w:p>
        </w:tc>
        <w:tc>
          <w:tcPr>
            <w:tcW w:w="1726" w:type="dxa"/>
            <w:vAlign w:val="center"/>
          </w:tcPr>
          <w:p w14:paraId="4460F27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tc>
      </w:tr>
      <w:tr w14:paraId="5EA3B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76BBFF33">
            <w:pPr>
              <w:snapToGrid w:val="0"/>
              <w:spacing w:line="360" w:lineRule="auto"/>
              <w:jc w:val="center"/>
              <w:rPr>
                <w:rFonts w:ascii="宋体" w:hAnsi="宋体" w:cs="宋体"/>
                <w:color w:val="auto"/>
                <w:sz w:val="24"/>
                <w:highlight w:val="none"/>
              </w:rPr>
            </w:pPr>
          </w:p>
        </w:tc>
        <w:tc>
          <w:tcPr>
            <w:tcW w:w="1843" w:type="dxa"/>
            <w:vAlign w:val="center"/>
          </w:tcPr>
          <w:p w14:paraId="42B80009">
            <w:pPr>
              <w:snapToGrid w:val="0"/>
              <w:spacing w:line="360" w:lineRule="auto"/>
              <w:jc w:val="center"/>
              <w:rPr>
                <w:rFonts w:ascii="宋体" w:hAnsi="宋体" w:cs="宋体"/>
                <w:color w:val="auto"/>
                <w:sz w:val="24"/>
                <w:highlight w:val="none"/>
              </w:rPr>
            </w:pPr>
          </w:p>
        </w:tc>
        <w:tc>
          <w:tcPr>
            <w:tcW w:w="3118" w:type="dxa"/>
            <w:vAlign w:val="center"/>
          </w:tcPr>
          <w:p w14:paraId="6CEF72FC">
            <w:pPr>
              <w:snapToGrid w:val="0"/>
              <w:spacing w:line="360" w:lineRule="auto"/>
              <w:jc w:val="center"/>
              <w:rPr>
                <w:rFonts w:ascii="宋体" w:hAnsi="宋体" w:cs="宋体"/>
                <w:color w:val="auto"/>
                <w:sz w:val="24"/>
                <w:highlight w:val="none"/>
              </w:rPr>
            </w:pPr>
          </w:p>
        </w:tc>
        <w:tc>
          <w:tcPr>
            <w:tcW w:w="2552" w:type="dxa"/>
            <w:vAlign w:val="center"/>
          </w:tcPr>
          <w:p w14:paraId="1CDFBEF6">
            <w:pPr>
              <w:spacing w:line="360" w:lineRule="auto"/>
              <w:jc w:val="center"/>
              <w:rPr>
                <w:rFonts w:ascii="宋体" w:hAnsi="宋体" w:cs="宋体"/>
                <w:color w:val="auto"/>
                <w:sz w:val="24"/>
                <w:highlight w:val="none"/>
              </w:rPr>
            </w:pPr>
          </w:p>
        </w:tc>
        <w:tc>
          <w:tcPr>
            <w:tcW w:w="1984" w:type="dxa"/>
            <w:vAlign w:val="center"/>
          </w:tcPr>
          <w:p w14:paraId="54FAF3FB">
            <w:pPr>
              <w:spacing w:line="360" w:lineRule="auto"/>
              <w:jc w:val="center"/>
              <w:rPr>
                <w:rFonts w:ascii="宋体" w:hAnsi="宋体" w:cs="宋体"/>
                <w:color w:val="auto"/>
                <w:sz w:val="24"/>
                <w:highlight w:val="none"/>
              </w:rPr>
            </w:pPr>
          </w:p>
        </w:tc>
        <w:tc>
          <w:tcPr>
            <w:tcW w:w="1393" w:type="dxa"/>
            <w:vAlign w:val="center"/>
          </w:tcPr>
          <w:p w14:paraId="2E8FA5C8">
            <w:pPr>
              <w:spacing w:line="360" w:lineRule="auto"/>
              <w:jc w:val="center"/>
              <w:rPr>
                <w:rFonts w:ascii="宋体" w:hAnsi="宋体" w:cs="宋体"/>
                <w:color w:val="auto"/>
                <w:sz w:val="24"/>
                <w:highlight w:val="none"/>
              </w:rPr>
            </w:pPr>
          </w:p>
        </w:tc>
        <w:tc>
          <w:tcPr>
            <w:tcW w:w="1726" w:type="dxa"/>
            <w:vAlign w:val="center"/>
          </w:tcPr>
          <w:p w14:paraId="02B118DA">
            <w:pPr>
              <w:spacing w:line="360" w:lineRule="auto"/>
              <w:jc w:val="center"/>
              <w:rPr>
                <w:rFonts w:ascii="宋体" w:hAnsi="宋体" w:cs="宋体"/>
                <w:color w:val="auto"/>
                <w:sz w:val="24"/>
                <w:highlight w:val="none"/>
              </w:rPr>
            </w:pPr>
          </w:p>
        </w:tc>
      </w:tr>
      <w:tr w14:paraId="0BCAB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361010F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磋商报价（小写）</w:t>
            </w:r>
          </w:p>
        </w:tc>
        <w:tc>
          <w:tcPr>
            <w:tcW w:w="7655" w:type="dxa"/>
            <w:gridSpan w:val="4"/>
            <w:vAlign w:val="center"/>
          </w:tcPr>
          <w:p w14:paraId="3580C665">
            <w:pPr>
              <w:spacing w:line="360" w:lineRule="auto"/>
              <w:jc w:val="center"/>
              <w:rPr>
                <w:rFonts w:ascii="宋体" w:hAnsi="宋体" w:cs="宋体"/>
                <w:color w:val="auto"/>
                <w:sz w:val="24"/>
                <w:highlight w:val="none"/>
              </w:rPr>
            </w:pPr>
          </w:p>
        </w:tc>
      </w:tr>
      <w:tr w14:paraId="5EF05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5E46573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磋商报价（大写）</w:t>
            </w:r>
          </w:p>
        </w:tc>
        <w:tc>
          <w:tcPr>
            <w:tcW w:w="7655" w:type="dxa"/>
            <w:gridSpan w:val="4"/>
            <w:vAlign w:val="center"/>
          </w:tcPr>
          <w:p w14:paraId="414C6584">
            <w:pPr>
              <w:spacing w:line="360" w:lineRule="auto"/>
              <w:jc w:val="center"/>
              <w:rPr>
                <w:rFonts w:ascii="宋体" w:hAnsi="宋体" w:cs="宋体"/>
                <w:color w:val="auto"/>
                <w:sz w:val="24"/>
                <w:highlight w:val="none"/>
              </w:rPr>
            </w:pPr>
          </w:p>
        </w:tc>
      </w:tr>
    </w:tbl>
    <w:p w14:paraId="4B0F4F07">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3C98604">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响应文件含有采购人不能接受的附加条件，响应文件无效</w:t>
      </w:r>
      <w:r>
        <w:rPr>
          <w:rFonts w:hint="eastAsia" w:ascii="宋体" w:hAnsi="宋体" w:cs="宋体"/>
          <w:b/>
          <w:color w:val="auto"/>
          <w:kern w:val="0"/>
          <w:sz w:val="24"/>
          <w:highlight w:val="none"/>
          <w:lang w:val="zh-CN"/>
        </w:rPr>
        <w:t>；</w:t>
      </w:r>
    </w:p>
    <w:p w14:paraId="3173375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bCs/>
          <w:color w:val="auto"/>
          <w:kern w:val="0"/>
          <w:sz w:val="24"/>
          <w:lang w:val="zh-CN"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cs="宋体"/>
          <w:b/>
          <w:bCs/>
          <w:color w:val="auto"/>
          <w:kern w:val="0"/>
          <w:sz w:val="24"/>
          <w:lang w:val="zh-CN"/>
        </w:rPr>
        <w:t>总价</w:t>
      </w:r>
      <w:r>
        <w:rPr>
          <w:rFonts w:hint="eastAsia" w:ascii="宋体" w:hAnsi="宋体" w:cs="宋体"/>
          <w:b/>
          <w:bCs/>
          <w:color w:val="auto"/>
          <w:kern w:val="0"/>
          <w:sz w:val="24"/>
          <w:lang w:val="zh-CN" w:eastAsia="zh-CN"/>
        </w:rPr>
        <w:t>不为零</w:t>
      </w:r>
      <w:r>
        <w:rPr>
          <w:rFonts w:hint="eastAsia" w:ascii="宋体" w:hAnsi="宋体" w:cs="宋体"/>
          <w:b/>
          <w:bCs/>
          <w:color w:val="auto"/>
          <w:kern w:val="0"/>
          <w:sz w:val="24"/>
          <w:lang w:val="zh-CN"/>
        </w:rPr>
        <w:t>，报价明细表中</w:t>
      </w:r>
      <w:r>
        <w:rPr>
          <w:rFonts w:hint="eastAsia" w:ascii="宋体" w:hAnsi="宋体" w:cs="宋体"/>
          <w:b/>
          <w:bCs/>
          <w:color w:val="auto"/>
          <w:kern w:val="0"/>
          <w:sz w:val="24"/>
          <w:lang w:val="zh-CN" w:eastAsia="zh-CN"/>
        </w:rPr>
        <w:t>部分</w:t>
      </w:r>
      <w:r>
        <w:rPr>
          <w:rFonts w:hint="eastAsia" w:ascii="宋体" w:hAnsi="宋体" w:cs="宋体"/>
          <w:b/>
          <w:bCs/>
          <w:color w:val="auto"/>
          <w:kern w:val="0"/>
          <w:sz w:val="24"/>
          <w:lang w:val="zh-CN"/>
        </w:rPr>
        <w:t>产品、服务单价为零的，视作已包含在总价中</w:t>
      </w:r>
      <w:r>
        <w:rPr>
          <w:rFonts w:hint="eastAsia" w:ascii="宋体" w:hAnsi="宋体" w:cs="宋体"/>
          <w:b/>
          <w:bCs/>
          <w:color w:val="auto"/>
          <w:kern w:val="0"/>
          <w:sz w:val="24"/>
          <w:lang w:val="zh-CN" w:eastAsia="zh-CN"/>
        </w:rPr>
        <w:t>。</w:t>
      </w:r>
      <w:r>
        <w:rPr>
          <w:rFonts w:hint="eastAsia" w:ascii="宋体" w:hAnsi="宋体" w:cs="宋体"/>
          <w:b/>
          <w:color w:val="auto"/>
          <w:kern w:val="0"/>
          <w:sz w:val="24"/>
          <w:highlight w:val="none"/>
          <w:lang w:val="zh-CN"/>
        </w:rPr>
        <w:t>采购内容未包含在《报价单》名称栏中，供应商不能作出合理解释的，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响应文件含有采购人不能接受的附加条件的，响应文件无效。</w:t>
      </w:r>
    </w:p>
    <w:p w14:paraId="25261E21">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3、特别提示：采购代理机构将对项目名称和项目编号，成交供应商名称、地址和成交金额、施工范围、施工工期、项目经理、执业证书信息、品牌（如果有）、规格型号、数量、单价等予以公示。</w:t>
      </w:r>
    </w:p>
    <w:p w14:paraId="6B811FE5">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szCs w:val="22"/>
          <w:highlight w:val="none"/>
          <w:lang w:val="zh-CN"/>
        </w:rPr>
        <w:t>4、</w:t>
      </w:r>
      <w:r>
        <w:rPr>
          <w:rFonts w:hint="eastAsia" w:ascii="宋体" w:hAnsi="宋体" w:cs="宋体"/>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23E7D15B">
      <w:pPr>
        <w:spacing w:line="360" w:lineRule="auto"/>
        <w:ind w:firstLine="482" w:firstLineChars="200"/>
        <w:rPr>
          <w:rFonts w:ascii="宋体" w:hAnsi="宋体" w:cs="宋体"/>
          <w:b/>
          <w:color w:val="auto"/>
          <w:kern w:val="0"/>
          <w:sz w:val="24"/>
          <w:highlight w:val="none"/>
        </w:rPr>
      </w:pPr>
    </w:p>
    <w:p w14:paraId="47E093F6">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208F4FAD">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40" w:right="1080" w:bottom="1440" w:left="1080" w:header="851" w:footer="992" w:gutter="0"/>
          <w:cols w:space="720" w:num="1"/>
          <w:titlePg/>
          <w:docGrid w:linePitch="312" w:charSpace="0"/>
        </w:sectPr>
      </w:pPr>
    </w:p>
    <w:p w14:paraId="3F226395">
      <w:pPr>
        <w:pStyle w:val="694"/>
        <w:keepNext w:val="0"/>
        <w:tabs>
          <w:tab w:val="clear" w:pos="720"/>
        </w:tabs>
        <w:snapToGrid w:val="0"/>
        <w:spacing w:before="120" w:after="120"/>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highlight w:val="none"/>
        </w:rPr>
        <w:t>二、</w:t>
      </w:r>
      <w:r>
        <w:rPr>
          <w:rFonts w:hint="eastAsia" w:ascii="宋体" w:hAnsi="宋体" w:eastAsia="宋体" w:cs="宋体"/>
          <w:kern w:val="2"/>
          <w:sz w:val="32"/>
          <w:szCs w:val="32"/>
        </w:rPr>
        <w:t>报价情</w:t>
      </w:r>
      <w:r>
        <w:rPr>
          <w:rFonts w:hint="eastAsia" w:ascii="宋体" w:hAnsi="宋体" w:eastAsia="宋体" w:cs="宋体"/>
          <w:color w:val="auto"/>
          <w:kern w:val="2"/>
          <w:sz w:val="32"/>
          <w:szCs w:val="32"/>
        </w:rPr>
        <w:t>况说明（如果有）</w:t>
      </w:r>
    </w:p>
    <w:p w14:paraId="3A37563C">
      <w:pPr>
        <w:snapToGrid w:val="0"/>
        <w:spacing w:before="120" w:after="120"/>
        <w:rPr>
          <w:color w:val="auto"/>
        </w:rPr>
      </w:pPr>
    </w:p>
    <w:p w14:paraId="19A81394">
      <w:pPr>
        <w:tabs>
          <w:tab w:val="left" w:pos="1313"/>
        </w:tabs>
        <w:snapToGrid w:val="0"/>
        <w:spacing w:before="120" w:after="120" w:line="360" w:lineRule="auto"/>
        <w:jc w:val="center"/>
        <w:rPr>
          <w:rFonts w:ascii="宋体" w:hAnsi="宋体" w:cs="宋体"/>
          <w:color w:val="auto"/>
          <w:sz w:val="24"/>
        </w:rPr>
      </w:pPr>
      <w:r>
        <w:rPr>
          <w:rFonts w:hint="eastAsia" w:ascii="宋体" w:hAnsi="宋体" w:cs="宋体"/>
          <w:color w:val="auto"/>
          <w:sz w:val="24"/>
        </w:rPr>
        <w:t>（如供应商报价低于项目预算</w:t>
      </w:r>
      <w:r>
        <w:rPr>
          <w:rFonts w:ascii="宋体" w:hAnsi="宋体" w:cs="宋体"/>
          <w:color w:val="auto"/>
          <w:sz w:val="24"/>
        </w:rPr>
        <w:t>50%的，应当提交本文档，详细阐述不影响产品质量或者诚信履约的具体原因</w:t>
      </w:r>
      <w:r>
        <w:rPr>
          <w:rFonts w:hint="eastAsia" w:ascii="宋体" w:hAnsi="宋体" w:cs="宋体"/>
          <w:color w:val="auto"/>
          <w:sz w:val="24"/>
        </w:rPr>
        <w:t>）</w:t>
      </w:r>
    </w:p>
    <w:p w14:paraId="00FB6611">
      <w:pPr>
        <w:pStyle w:val="694"/>
        <w:keepNext w:val="0"/>
        <w:pageBreakBefore w:val="0"/>
        <w:tabs>
          <w:tab w:val="clear" w:pos="720"/>
        </w:tabs>
        <w:snapToGrid w:val="0"/>
        <w:spacing w:before="120" w:after="120"/>
        <w:outlineLvl w:val="9"/>
        <w:rPr>
          <w:rFonts w:hint="eastAsia" w:ascii="宋体" w:hAnsi="宋体" w:eastAsia="宋体" w:cs="宋体"/>
          <w:color w:val="auto"/>
          <w:kern w:val="2"/>
          <w:sz w:val="32"/>
          <w:szCs w:val="32"/>
          <w:highlight w:val="none"/>
        </w:rPr>
      </w:pPr>
    </w:p>
    <w:p w14:paraId="3C898A9D">
      <w:pPr>
        <w:pStyle w:val="694"/>
        <w:keepNext w:val="0"/>
        <w:pageBreakBefore w:val="0"/>
        <w:tabs>
          <w:tab w:val="clear" w:pos="720"/>
        </w:tabs>
        <w:snapToGrid w:val="0"/>
        <w:spacing w:before="120" w:after="120"/>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已标价工程量清单</w:t>
      </w:r>
    </w:p>
    <w:p w14:paraId="43FF0F50">
      <w:pPr>
        <w:keepNext w:val="0"/>
        <w:keepLines w:val="0"/>
        <w:pageBreakBefore w:val="0"/>
        <w:widowControl w:val="0"/>
        <w:kinsoku/>
        <w:wordWrap/>
        <w:overflowPunct/>
        <w:topLinePunct w:val="0"/>
        <w:autoSpaceDE/>
        <w:autoSpaceDN/>
        <w:bidi w:val="0"/>
        <w:snapToGrid/>
        <w:spacing w:line="360" w:lineRule="auto"/>
        <w:ind w:right="420"/>
        <w:jc w:val="center"/>
        <w:textAlignment w:val="auto"/>
        <w:rPr>
          <w:rFonts w:ascii="宋体" w:hAnsi="宋体" w:cs="宋体"/>
          <w:color w:val="auto"/>
          <w:sz w:val="24"/>
          <w:highlight w:val="none"/>
        </w:rPr>
      </w:pPr>
      <w:r>
        <w:rPr>
          <w:rFonts w:hint="eastAsia" w:ascii="宋体" w:hAnsi="宋体" w:cs="宋体"/>
          <w:color w:val="auto"/>
          <w:sz w:val="24"/>
          <w:highlight w:val="none"/>
        </w:rPr>
        <w:t>注：按采购文件工程量清单编制</w:t>
      </w:r>
    </w:p>
    <w:p w14:paraId="773F77A8">
      <w:pPr>
        <w:pStyle w:val="61"/>
        <w:keepNext w:val="0"/>
        <w:keepLines w:val="0"/>
        <w:pageBreakBefore w:val="0"/>
        <w:widowControl w:val="0"/>
        <w:kinsoku/>
        <w:wordWrap/>
        <w:overflowPunct/>
        <w:topLinePunct w:val="0"/>
        <w:autoSpaceDE/>
        <w:autoSpaceDN/>
        <w:bidi w:val="0"/>
        <w:snapToGrid/>
        <w:spacing w:line="360" w:lineRule="auto"/>
        <w:ind w:firstLine="480"/>
        <w:textAlignment w:val="auto"/>
        <w:rPr>
          <w:rFonts w:cs="宋体"/>
          <w:color w:val="auto"/>
          <w:sz w:val="24"/>
          <w:highlight w:val="none"/>
        </w:rPr>
      </w:pPr>
    </w:p>
    <w:p w14:paraId="7C08775E">
      <w:pPr>
        <w:pStyle w:val="61"/>
        <w:keepNext w:val="0"/>
        <w:keepLines w:val="0"/>
        <w:pageBreakBefore w:val="0"/>
        <w:widowControl w:val="0"/>
        <w:kinsoku/>
        <w:wordWrap/>
        <w:overflowPunct/>
        <w:topLinePunct w:val="0"/>
        <w:autoSpaceDE/>
        <w:autoSpaceDN/>
        <w:bidi w:val="0"/>
        <w:snapToGrid/>
        <w:spacing w:line="360" w:lineRule="auto"/>
        <w:ind w:firstLine="480"/>
        <w:textAlignment w:val="auto"/>
        <w:rPr>
          <w:rFonts w:cs="宋体"/>
          <w:color w:val="auto"/>
          <w:sz w:val="24"/>
          <w:highlight w:val="none"/>
        </w:rPr>
      </w:pPr>
    </w:p>
    <w:p w14:paraId="291D4CA5">
      <w:pPr>
        <w:pStyle w:val="61"/>
        <w:keepNext w:val="0"/>
        <w:keepLines w:val="0"/>
        <w:pageBreakBefore w:val="0"/>
        <w:widowControl w:val="0"/>
        <w:kinsoku/>
        <w:wordWrap/>
        <w:overflowPunct/>
        <w:topLinePunct w:val="0"/>
        <w:autoSpaceDE/>
        <w:autoSpaceDN/>
        <w:bidi w:val="0"/>
        <w:snapToGrid/>
        <w:spacing w:line="360" w:lineRule="auto"/>
        <w:ind w:left="0" w:leftChars="0" w:firstLine="0" w:firstLineChars="0"/>
        <w:textAlignment w:val="auto"/>
        <w:rPr>
          <w:rFonts w:ascii="宋体" w:hAnsi="宋体" w:cs="宋体"/>
          <w:b/>
          <w:color w:val="auto"/>
          <w:kern w:val="0"/>
          <w:sz w:val="36"/>
          <w:szCs w:val="36"/>
          <w:highlight w:val="none"/>
        </w:rPr>
      </w:pPr>
      <w:r>
        <w:rPr>
          <w:rFonts w:hint="eastAsia" w:cs="宋体"/>
          <w:b/>
          <w:bCs/>
          <w:color w:val="auto"/>
          <w:sz w:val="32"/>
          <w:szCs w:val="32"/>
          <w:highlight w:val="none"/>
        </w:rPr>
        <w:t>注：按封面格式要求签章，投标报价封面须体现投标报价编制人员的执业章并本人签字</w:t>
      </w:r>
    </w:p>
    <w:p w14:paraId="0532D688">
      <w:pPr>
        <w:spacing w:line="360" w:lineRule="auto"/>
        <w:ind w:right="420" w:firstLine="3614" w:firstLineChars="1000"/>
        <w:rPr>
          <w:rFonts w:ascii="宋体" w:hAnsi="宋体" w:cs="宋体"/>
          <w:b/>
          <w:color w:val="auto"/>
          <w:kern w:val="0"/>
          <w:sz w:val="36"/>
          <w:szCs w:val="36"/>
          <w:highlight w:val="none"/>
        </w:rPr>
      </w:pPr>
    </w:p>
    <w:p w14:paraId="721C8DBA">
      <w:pPr>
        <w:pStyle w:val="694"/>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四、</w:t>
      </w:r>
      <w:r>
        <w:rPr>
          <w:rFonts w:hint="eastAsia" w:ascii="宋体" w:hAnsi="宋体" w:eastAsia="宋体" w:cs="宋体"/>
          <w:sz w:val="32"/>
          <w:szCs w:val="32"/>
        </w:rPr>
        <w:t>中小企业声明函</w:t>
      </w:r>
      <w:bookmarkStart w:id="393" w:name="_Hlk101259491"/>
      <w:r>
        <w:rPr>
          <w:rFonts w:hint="eastAsia" w:ascii="宋体" w:hAnsi="宋体" w:eastAsia="宋体" w:cs="宋体"/>
          <w:sz w:val="32"/>
          <w:szCs w:val="32"/>
        </w:rPr>
        <w:t>（如果有）</w:t>
      </w:r>
      <w:bookmarkEnd w:id="393"/>
    </w:p>
    <w:p w14:paraId="37E9A6A5">
      <w:pPr>
        <w:widowControl/>
        <w:spacing w:line="360" w:lineRule="auto"/>
        <w:ind w:firstLine="120" w:firstLineChars="50"/>
        <w:jc w:val="left"/>
        <w:rPr>
          <w:rFonts w:ascii="宋体" w:hAnsi="宋体" w:cs="宋体"/>
          <w:b/>
          <w:sz w:val="24"/>
        </w:rPr>
      </w:pPr>
      <w:r>
        <w:rPr>
          <w:rFonts w:hint="eastAsia" w:ascii="宋体" w:hAnsi="宋体" w:cs="宋体"/>
          <w:b/>
          <w:sz w:val="24"/>
        </w:rPr>
        <w:t>[竞争性磋商公告落实</w:t>
      </w:r>
      <w:r>
        <w:rPr>
          <w:rFonts w:hint="eastAsia" w:ascii="宋体" w:hAnsi="宋体" w:cs="宋体"/>
          <w:b/>
          <w:sz w:val="24"/>
          <w:lang w:eastAsia="zh-CN"/>
        </w:rPr>
        <w:t>采购</w:t>
      </w:r>
      <w:r>
        <w:rPr>
          <w:rFonts w:hint="eastAsia" w:ascii="宋体" w:hAnsi="宋体" w:cs="宋体"/>
          <w:b/>
          <w:sz w:val="24"/>
        </w:rPr>
        <w:t>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6E0B935E">
      <w:pPr>
        <w:spacing w:line="360" w:lineRule="auto"/>
        <w:ind w:right="420" w:firstLine="3614" w:firstLineChars="1000"/>
        <w:rPr>
          <w:rFonts w:ascii="宋体" w:hAnsi="宋体" w:cs="宋体"/>
          <w:b/>
          <w:color w:val="auto"/>
          <w:kern w:val="0"/>
          <w:sz w:val="36"/>
          <w:szCs w:val="36"/>
          <w:highlight w:val="none"/>
        </w:rPr>
      </w:pPr>
    </w:p>
    <w:p w14:paraId="3D7CFF61">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394" w:name="_Toc465665161"/>
      <w:r>
        <w:rPr>
          <w:rFonts w:hint="eastAsia" w:ascii="宋体" w:hAnsi="宋体" w:cs="宋体"/>
          <w:color w:val="auto"/>
          <w:highlight w:val="none"/>
        </w:rPr>
        <w:t>附件</w:t>
      </w:r>
      <w:bookmarkEnd w:id="394"/>
    </w:p>
    <w:p w14:paraId="44A9C549">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7FAB481E">
      <w:pPr>
        <w:spacing w:line="360" w:lineRule="auto"/>
        <w:jc w:val="center"/>
        <w:rPr>
          <w:rFonts w:ascii="宋体" w:hAnsi="宋体" w:cs="宋体"/>
          <w:b/>
          <w:color w:val="auto"/>
          <w:spacing w:val="6"/>
          <w:sz w:val="32"/>
          <w:szCs w:val="32"/>
          <w:highlight w:val="none"/>
        </w:rPr>
      </w:pPr>
      <w:bookmarkStart w:id="395" w:name="OLE_LINK13"/>
      <w:bookmarkStart w:id="396" w:name="OLE_LINK14"/>
      <w:r>
        <w:rPr>
          <w:rFonts w:hint="eastAsia" w:ascii="宋体" w:hAnsi="宋体" w:cs="宋体"/>
          <w:b/>
          <w:color w:val="auto"/>
          <w:spacing w:val="6"/>
          <w:sz w:val="32"/>
          <w:szCs w:val="32"/>
          <w:highlight w:val="none"/>
        </w:rPr>
        <w:t>残疾人福利性单位声明函</w:t>
      </w:r>
    </w:p>
    <w:bookmarkEnd w:id="395"/>
    <w:bookmarkEnd w:id="396"/>
    <w:p w14:paraId="3C3E190B">
      <w:pPr>
        <w:spacing w:line="360" w:lineRule="auto"/>
        <w:rPr>
          <w:rFonts w:ascii="宋体" w:hAnsi="宋体" w:cs="宋体"/>
          <w:b/>
          <w:color w:val="auto"/>
          <w:spacing w:val="6"/>
          <w:sz w:val="30"/>
          <w:szCs w:val="30"/>
          <w:highlight w:val="none"/>
        </w:rPr>
      </w:pPr>
    </w:p>
    <w:p w14:paraId="76D56E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__单位的______项目采购活动提供本单位制造的货物（由本单位承担工程/提供服务），或者提供其他残疾人福利性单位制造的货物（不包括使用非残疾人福利性单位注册商标的货物）。</w:t>
      </w:r>
    </w:p>
    <w:p w14:paraId="2807BF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F2762A0">
      <w:pPr>
        <w:spacing w:line="360" w:lineRule="auto"/>
        <w:ind w:firstLine="480" w:firstLineChars="200"/>
        <w:rPr>
          <w:rFonts w:ascii="宋体" w:hAnsi="宋体" w:cs="宋体"/>
          <w:color w:val="auto"/>
          <w:sz w:val="24"/>
          <w:highlight w:val="none"/>
        </w:rPr>
      </w:pPr>
    </w:p>
    <w:p w14:paraId="0D7EDBBD">
      <w:pPr>
        <w:spacing w:line="360" w:lineRule="auto"/>
        <w:ind w:firstLine="480" w:firstLineChars="200"/>
        <w:rPr>
          <w:rFonts w:ascii="宋体" w:hAnsi="宋体" w:cs="宋体"/>
          <w:color w:val="auto"/>
          <w:sz w:val="24"/>
          <w:highlight w:val="none"/>
        </w:rPr>
      </w:pPr>
    </w:p>
    <w:p w14:paraId="1BDEF6AD">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14:paraId="52E48136">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01EE83F4">
      <w:pPr>
        <w:spacing w:line="360" w:lineRule="auto"/>
        <w:ind w:firstLine="480" w:firstLineChars="200"/>
        <w:rPr>
          <w:rFonts w:ascii="宋体" w:hAnsi="宋体" w:cs="宋体"/>
          <w:color w:val="auto"/>
          <w:sz w:val="24"/>
          <w:highlight w:val="none"/>
        </w:rPr>
      </w:pPr>
    </w:p>
    <w:p w14:paraId="288143FA">
      <w:pPr>
        <w:spacing w:line="360" w:lineRule="auto"/>
        <w:ind w:firstLine="420" w:firstLineChars="200"/>
        <w:rPr>
          <w:rFonts w:ascii="宋体" w:hAnsi="宋体" w:cs="宋体"/>
          <w:color w:val="auto"/>
          <w:highlight w:val="none"/>
        </w:rPr>
      </w:pPr>
    </w:p>
    <w:p w14:paraId="27240FE9">
      <w:pPr>
        <w:spacing w:line="360" w:lineRule="auto"/>
        <w:ind w:firstLine="420" w:firstLineChars="200"/>
        <w:rPr>
          <w:rFonts w:ascii="宋体" w:hAnsi="宋体" w:cs="宋体"/>
          <w:color w:val="auto"/>
          <w:highlight w:val="none"/>
        </w:rPr>
      </w:pPr>
    </w:p>
    <w:p w14:paraId="1C2FAF63">
      <w:pPr>
        <w:spacing w:line="360" w:lineRule="auto"/>
        <w:ind w:firstLine="420" w:firstLineChars="200"/>
        <w:rPr>
          <w:rFonts w:ascii="宋体" w:hAnsi="宋体" w:cs="宋体"/>
          <w:color w:val="auto"/>
          <w:highlight w:val="none"/>
        </w:rPr>
      </w:pPr>
    </w:p>
    <w:p w14:paraId="123873F7">
      <w:pPr>
        <w:spacing w:line="360" w:lineRule="auto"/>
        <w:ind w:firstLine="420" w:firstLineChars="200"/>
        <w:rPr>
          <w:rFonts w:ascii="宋体" w:hAnsi="宋体" w:cs="宋体"/>
          <w:color w:val="auto"/>
          <w:highlight w:val="none"/>
        </w:rPr>
      </w:pPr>
    </w:p>
    <w:p w14:paraId="3BE3773B">
      <w:pPr>
        <w:spacing w:line="360" w:lineRule="auto"/>
        <w:rPr>
          <w:rFonts w:ascii="宋体" w:hAnsi="宋体" w:cs="宋体"/>
          <w:b/>
          <w:color w:val="auto"/>
          <w:sz w:val="24"/>
          <w:highlight w:val="none"/>
        </w:rPr>
      </w:pPr>
    </w:p>
    <w:p w14:paraId="796E3FD3">
      <w:pPr>
        <w:spacing w:line="360" w:lineRule="auto"/>
        <w:rPr>
          <w:rFonts w:ascii="宋体" w:hAnsi="宋体" w:cs="宋体"/>
          <w:b/>
          <w:color w:val="auto"/>
          <w:sz w:val="24"/>
          <w:highlight w:val="none"/>
        </w:rPr>
      </w:pPr>
    </w:p>
    <w:p w14:paraId="1E7B4C81">
      <w:pPr>
        <w:spacing w:line="360" w:lineRule="auto"/>
        <w:rPr>
          <w:rFonts w:ascii="宋体" w:hAnsi="宋体" w:cs="宋体"/>
          <w:b/>
          <w:color w:val="auto"/>
          <w:sz w:val="24"/>
          <w:highlight w:val="none"/>
        </w:rPr>
      </w:pPr>
    </w:p>
    <w:p w14:paraId="2C163CD5">
      <w:pPr>
        <w:spacing w:line="360" w:lineRule="auto"/>
        <w:rPr>
          <w:rFonts w:ascii="宋体" w:hAnsi="宋体" w:cs="宋体"/>
          <w:b/>
          <w:color w:val="auto"/>
          <w:sz w:val="24"/>
          <w:highlight w:val="none"/>
        </w:rPr>
      </w:pPr>
    </w:p>
    <w:p w14:paraId="0D1FAE2E">
      <w:pPr>
        <w:spacing w:line="360" w:lineRule="auto"/>
        <w:rPr>
          <w:rFonts w:ascii="宋体" w:hAnsi="宋体" w:cs="宋体"/>
          <w:b/>
          <w:color w:val="auto"/>
          <w:sz w:val="24"/>
          <w:highlight w:val="none"/>
        </w:rPr>
      </w:pPr>
    </w:p>
    <w:p w14:paraId="769D0930">
      <w:pPr>
        <w:spacing w:line="360" w:lineRule="auto"/>
        <w:rPr>
          <w:rFonts w:ascii="宋体" w:hAnsi="宋体" w:cs="宋体"/>
          <w:b/>
          <w:color w:val="auto"/>
          <w:sz w:val="24"/>
          <w:highlight w:val="none"/>
        </w:rPr>
      </w:pPr>
    </w:p>
    <w:p w14:paraId="5E2FD326">
      <w:pPr>
        <w:spacing w:line="360" w:lineRule="auto"/>
        <w:rPr>
          <w:rFonts w:ascii="宋体" w:hAnsi="宋体" w:cs="宋体"/>
          <w:b/>
          <w:color w:val="auto"/>
          <w:sz w:val="24"/>
          <w:highlight w:val="none"/>
        </w:rPr>
      </w:pPr>
    </w:p>
    <w:p w14:paraId="0FCFCD3F">
      <w:pPr>
        <w:spacing w:line="360" w:lineRule="auto"/>
        <w:rPr>
          <w:rFonts w:ascii="宋体" w:hAnsi="宋体" w:cs="宋体"/>
          <w:b/>
          <w:color w:val="auto"/>
          <w:sz w:val="24"/>
          <w:highlight w:val="none"/>
        </w:rPr>
      </w:pPr>
    </w:p>
    <w:p w14:paraId="2A9E6239">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2055EB58">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3DB6C19B">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376588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6F03036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0EA379D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06A06D8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59B5F72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858205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3F488A5">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423A924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349F66D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03CA9E4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54A5AA6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2158309A">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DA55CA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4DCD09D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7104BBFF">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626B0D2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0DDD373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4FB0BC6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186C38D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68551B38">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800AC0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48C8DAA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C0B586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5D0E1B2">
      <w:pPr>
        <w:spacing w:line="360" w:lineRule="auto"/>
        <w:jc w:val="center"/>
        <w:rPr>
          <w:rFonts w:ascii="宋体" w:hAnsi="宋体" w:cs="宋体"/>
          <w:b/>
          <w:bCs/>
          <w:color w:val="auto"/>
          <w:sz w:val="24"/>
          <w:highlight w:val="none"/>
        </w:rPr>
      </w:pPr>
    </w:p>
    <w:p w14:paraId="629A51D2">
      <w:pPr>
        <w:spacing w:line="360" w:lineRule="auto"/>
        <w:rPr>
          <w:rFonts w:ascii="宋体" w:hAnsi="宋体" w:cs="宋体"/>
          <w:b/>
          <w:color w:val="auto"/>
          <w:sz w:val="24"/>
          <w:highlight w:val="none"/>
        </w:rPr>
      </w:pPr>
    </w:p>
    <w:p w14:paraId="7D50A259">
      <w:pPr>
        <w:spacing w:line="360" w:lineRule="auto"/>
        <w:rPr>
          <w:rFonts w:ascii="宋体" w:hAnsi="宋体" w:cs="宋体"/>
          <w:b/>
          <w:color w:val="auto"/>
          <w:sz w:val="24"/>
          <w:highlight w:val="none"/>
        </w:rPr>
      </w:pPr>
    </w:p>
    <w:p w14:paraId="16BBC8DA">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5E51FD5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3CC2BAE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F67087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74F0396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676B7A9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473ECC1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42D0C75C">
      <w:pPr>
        <w:widowControl/>
        <w:spacing w:line="360" w:lineRule="auto"/>
        <w:ind w:firstLine="600" w:firstLineChars="200"/>
        <w:jc w:val="left"/>
        <w:rPr>
          <w:rFonts w:ascii="宋体" w:hAnsi="宋体" w:cs="宋体"/>
          <w:color w:val="auto"/>
          <w:sz w:val="30"/>
          <w:szCs w:val="30"/>
          <w:highlight w:val="none"/>
        </w:rPr>
      </w:pPr>
    </w:p>
    <w:p w14:paraId="472A78E0">
      <w:pPr>
        <w:spacing w:line="360" w:lineRule="auto"/>
        <w:jc w:val="center"/>
        <w:rPr>
          <w:rFonts w:ascii="宋体" w:hAnsi="宋体" w:cs="宋体"/>
          <w:b/>
          <w:color w:val="auto"/>
          <w:spacing w:val="6"/>
          <w:sz w:val="32"/>
          <w:szCs w:val="32"/>
          <w:highlight w:val="none"/>
        </w:rPr>
      </w:pPr>
    </w:p>
    <w:p w14:paraId="6B647AF4">
      <w:pPr>
        <w:spacing w:line="360" w:lineRule="auto"/>
        <w:jc w:val="center"/>
        <w:rPr>
          <w:rFonts w:ascii="宋体" w:hAnsi="宋体" w:cs="宋体"/>
          <w:b/>
          <w:color w:val="auto"/>
          <w:spacing w:val="6"/>
          <w:sz w:val="32"/>
          <w:szCs w:val="32"/>
          <w:highlight w:val="none"/>
        </w:rPr>
      </w:pPr>
    </w:p>
    <w:p w14:paraId="5712AB11">
      <w:pPr>
        <w:spacing w:line="360" w:lineRule="auto"/>
        <w:jc w:val="center"/>
        <w:rPr>
          <w:rFonts w:ascii="宋体" w:hAnsi="宋体" w:cs="宋体"/>
          <w:b/>
          <w:color w:val="auto"/>
          <w:spacing w:val="6"/>
          <w:sz w:val="32"/>
          <w:szCs w:val="32"/>
          <w:highlight w:val="none"/>
        </w:rPr>
      </w:pPr>
    </w:p>
    <w:p w14:paraId="15D5E7AA">
      <w:pPr>
        <w:spacing w:line="360" w:lineRule="auto"/>
        <w:jc w:val="center"/>
        <w:rPr>
          <w:rFonts w:ascii="宋体" w:hAnsi="宋体" w:cs="宋体"/>
          <w:b/>
          <w:color w:val="auto"/>
          <w:spacing w:val="6"/>
          <w:sz w:val="32"/>
          <w:szCs w:val="32"/>
          <w:highlight w:val="none"/>
        </w:rPr>
      </w:pPr>
    </w:p>
    <w:p w14:paraId="02343C92">
      <w:pPr>
        <w:spacing w:line="360" w:lineRule="auto"/>
        <w:jc w:val="center"/>
        <w:rPr>
          <w:rFonts w:ascii="宋体" w:hAnsi="宋体" w:cs="宋体"/>
          <w:b/>
          <w:color w:val="auto"/>
          <w:spacing w:val="6"/>
          <w:sz w:val="32"/>
          <w:szCs w:val="32"/>
          <w:highlight w:val="none"/>
        </w:rPr>
      </w:pPr>
    </w:p>
    <w:p w14:paraId="44969D64">
      <w:pPr>
        <w:spacing w:line="360" w:lineRule="auto"/>
        <w:jc w:val="center"/>
        <w:rPr>
          <w:rFonts w:ascii="宋体" w:hAnsi="宋体" w:cs="宋体"/>
          <w:b/>
          <w:color w:val="auto"/>
          <w:spacing w:val="6"/>
          <w:sz w:val="32"/>
          <w:szCs w:val="32"/>
          <w:highlight w:val="none"/>
        </w:rPr>
      </w:pPr>
    </w:p>
    <w:p w14:paraId="552804C5">
      <w:pPr>
        <w:spacing w:line="360" w:lineRule="auto"/>
        <w:jc w:val="center"/>
        <w:rPr>
          <w:rFonts w:ascii="宋体" w:hAnsi="宋体" w:cs="宋体"/>
          <w:b/>
          <w:color w:val="auto"/>
          <w:spacing w:val="6"/>
          <w:sz w:val="32"/>
          <w:szCs w:val="32"/>
          <w:highlight w:val="none"/>
        </w:rPr>
      </w:pPr>
    </w:p>
    <w:p w14:paraId="3318D3D6">
      <w:pPr>
        <w:spacing w:line="360" w:lineRule="auto"/>
        <w:jc w:val="center"/>
        <w:rPr>
          <w:rFonts w:ascii="宋体" w:hAnsi="宋体" w:cs="宋体"/>
          <w:b/>
          <w:color w:val="auto"/>
          <w:spacing w:val="6"/>
          <w:sz w:val="32"/>
          <w:szCs w:val="32"/>
          <w:highlight w:val="none"/>
        </w:rPr>
      </w:pPr>
    </w:p>
    <w:p w14:paraId="05EE9A9C">
      <w:pPr>
        <w:spacing w:line="360" w:lineRule="auto"/>
        <w:jc w:val="center"/>
        <w:rPr>
          <w:rFonts w:ascii="宋体" w:hAnsi="宋体" w:cs="宋体"/>
          <w:b/>
          <w:color w:val="auto"/>
          <w:spacing w:val="6"/>
          <w:sz w:val="32"/>
          <w:szCs w:val="32"/>
          <w:highlight w:val="none"/>
        </w:rPr>
      </w:pPr>
    </w:p>
    <w:p w14:paraId="42B09DD9">
      <w:pPr>
        <w:spacing w:line="360" w:lineRule="auto"/>
        <w:jc w:val="center"/>
        <w:rPr>
          <w:rFonts w:ascii="宋体" w:hAnsi="宋体" w:cs="宋体"/>
          <w:b/>
          <w:color w:val="auto"/>
          <w:spacing w:val="6"/>
          <w:sz w:val="32"/>
          <w:szCs w:val="32"/>
          <w:highlight w:val="none"/>
        </w:rPr>
      </w:pPr>
    </w:p>
    <w:p w14:paraId="5E00653B">
      <w:pPr>
        <w:spacing w:line="360" w:lineRule="auto"/>
        <w:jc w:val="center"/>
        <w:rPr>
          <w:rFonts w:ascii="宋体" w:hAnsi="宋体" w:cs="宋体"/>
          <w:b/>
          <w:color w:val="auto"/>
          <w:spacing w:val="6"/>
          <w:sz w:val="32"/>
          <w:szCs w:val="32"/>
          <w:highlight w:val="none"/>
        </w:rPr>
      </w:pPr>
    </w:p>
    <w:p w14:paraId="2B865E22">
      <w:pPr>
        <w:spacing w:line="360" w:lineRule="auto"/>
        <w:jc w:val="center"/>
        <w:rPr>
          <w:rFonts w:ascii="宋体" w:hAnsi="宋体" w:cs="宋体"/>
          <w:b/>
          <w:color w:val="auto"/>
          <w:spacing w:val="6"/>
          <w:sz w:val="32"/>
          <w:szCs w:val="32"/>
          <w:highlight w:val="none"/>
        </w:rPr>
      </w:pPr>
    </w:p>
    <w:p w14:paraId="7B40DED6">
      <w:pPr>
        <w:spacing w:line="360" w:lineRule="auto"/>
        <w:jc w:val="left"/>
        <w:rPr>
          <w:rFonts w:ascii="宋体" w:hAnsi="宋体" w:cs="宋体"/>
          <w:b/>
          <w:color w:val="auto"/>
          <w:spacing w:val="6"/>
          <w:sz w:val="32"/>
          <w:szCs w:val="32"/>
          <w:highlight w:val="none"/>
        </w:rPr>
      </w:pPr>
    </w:p>
    <w:p w14:paraId="55816ED8">
      <w:pPr>
        <w:spacing w:line="360" w:lineRule="auto"/>
        <w:jc w:val="left"/>
        <w:rPr>
          <w:rFonts w:ascii="宋体" w:hAnsi="宋体" w:cs="宋体"/>
          <w:b/>
          <w:color w:val="auto"/>
          <w:spacing w:val="6"/>
          <w:sz w:val="32"/>
          <w:szCs w:val="32"/>
          <w:highlight w:val="none"/>
        </w:rPr>
      </w:pPr>
    </w:p>
    <w:p w14:paraId="26439D3F">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49EF0818">
      <w:pPr>
        <w:spacing w:line="360" w:lineRule="auto"/>
        <w:jc w:val="center"/>
        <w:rPr>
          <w:rFonts w:ascii="宋体" w:hAnsi="宋体" w:cs="宋体"/>
          <w:b/>
          <w:color w:val="auto"/>
          <w:sz w:val="24"/>
          <w:highlight w:val="none"/>
        </w:rPr>
      </w:pPr>
    </w:p>
    <w:p w14:paraId="11A5DED4">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25396DD7">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09369A55">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4134E3FB">
      <w:pPr>
        <w:spacing w:line="360" w:lineRule="auto"/>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p>
    <w:p w14:paraId="66E4832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86399E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7501B515">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6F397FC9">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079F8174">
      <w:pPr>
        <w:spacing w:line="360" w:lineRule="auto"/>
        <w:rPr>
          <w:rFonts w:hint="eastAsia" w:ascii="宋体" w:hAnsi="宋体" w:eastAsia="宋体" w:cs="宋体"/>
          <w:color w:val="auto"/>
          <w:sz w:val="24"/>
          <w:highlight w:val="none"/>
          <w:u w:val="single"/>
          <w:lang w:val="en-US" w:eastAsia="zh-CN"/>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p>
    <w:p w14:paraId="790D7887">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76DB1F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514C3C7">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765D0478">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9F68A76">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59C7A42B">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p>
    <w:p w14:paraId="4598FE2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694A241B">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62FE9A1E">
      <w:pPr>
        <w:spacing w:line="360" w:lineRule="auto"/>
        <w:rPr>
          <w:rFonts w:ascii="宋体" w:hAnsi="宋体" w:cs="宋体"/>
          <w:b/>
          <w:bCs/>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77AD49E4">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68AA0402">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1088BAB0">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21631DDC">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60217CE5">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7AF7088C">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705EFBAD">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6109894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DD12D11">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331798A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139620E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53308B4D">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7FBF1CD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7BEBFC2C">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61DD7F2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48291DED">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4096823B">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F7994CF">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41099A5C">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4FA8F32">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16C7423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D7E9CB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00DD728">
      <w:pPr>
        <w:spacing w:line="360" w:lineRule="auto"/>
        <w:rPr>
          <w:rFonts w:ascii="宋体" w:hAnsi="宋体" w:cs="宋体"/>
          <w:b/>
          <w:color w:val="auto"/>
          <w:sz w:val="24"/>
          <w:highlight w:val="none"/>
        </w:rPr>
      </w:pPr>
    </w:p>
    <w:p w14:paraId="7A6F2A79">
      <w:pPr>
        <w:spacing w:line="360" w:lineRule="auto"/>
        <w:rPr>
          <w:rFonts w:ascii="宋体" w:hAnsi="宋体" w:cs="宋体"/>
          <w:b/>
          <w:color w:val="auto"/>
          <w:sz w:val="24"/>
          <w:highlight w:val="none"/>
        </w:rPr>
      </w:pPr>
    </w:p>
    <w:p w14:paraId="3DA213AF">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6E13B66C">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32F08618">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273629E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5194D61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606FA7E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5FAC829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5E0D187D">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0A33ADC3">
      <w:pPr>
        <w:spacing w:line="360" w:lineRule="auto"/>
        <w:rPr>
          <w:rFonts w:ascii="宋体" w:hAnsi="宋体" w:cs="宋体"/>
          <w:b/>
          <w:color w:val="auto"/>
          <w:sz w:val="24"/>
          <w:highlight w:val="none"/>
        </w:rPr>
      </w:pPr>
    </w:p>
    <w:p w14:paraId="3DCD6C29">
      <w:pPr>
        <w:autoSpaceDE w:val="0"/>
        <w:autoSpaceDN w:val="0"/>
        <w:jc w:val="center"/>
        <w:rPr>
          <w:rFonts w:ascii="宋体" w:hAnsi="宋体" w:cs="宋体"/>
          <w:b/>
          <w:color w:val="auto"/>
          <w:spacing w:val="6"/>
          <w:sz w:val="32"/>
          <w:szCs w:val="32"/>
          <w:highlight w:val="none"/>
        </w:rPr>
      </w:pPr>
    </w:p>
    <w:p w14:paraId="395417E8">
      <w:pPr>
        <w:autoSpaceDE w:val="0"/>
        <w:autoSpaceDN w:val="0"/>
        <w:jc w:val="center"/>
        <w:rPr>
          <w:rFonts w:ascii="宋体" w:hAnsi="宋体" w:cs="宋体"/>
          <w:b/>
          <w:color w:val="auto"/>
          <w:spacing w:val="6"/>
          <w:sz w:val="32"/>
          <w:szCs w:val="32"/>
          <w:highlight w:val="none"/>
        </w:rPr>
      </w:pPr>
    </w:p>
    <w:p w14:paraId="28BD145A">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23C242D8">
      <w:pPr>
        <w:spacing w:line="360" w:lineRule="auto"/>
        <w:rPr>
          <w:rFonts w:ascii="宋体" w:hAnsi="宋体" w:cs="宋体"/>
          <w:color w:val="auto"/>
          <w:sz w:val="24"/>
          <w:highlight w:val="none"/>
          <w:u w:val="single"/>
        </w:rPr>
      </w:pPr>
    </w:p>
    <w:p w14:paraId="17E30656">
      <w:pPr>
        <w:spacing w:line="360" w:lineRule="auto"/>
        <w:rPr>
          <w:rFonts w:hint="eastAsia" w:ascii="宋体" w:hAnsi="宋体" w:eastAsia="宋体" w:cs="宋体"/>
          <w:color w:val="auto"/>
          <w:sz w:val="24"/>
          <w:highlight w:val="none"/>
          <w:u w:val="none"/>
          <w:lang w:eastAsia="zh-CN"/>
        </w:rPr>
      </w:pPr>
      <w:r>
        <w:rPr>
          <w:rFonts w:hint="eastAsia" w:ascii="宋体" w:hAnsi="宋体" w:cs="宋体"/>
          <w:color w:val="auto"/>
          <w:sz w:val="24"/>
          <w:highlight w:val="none"/>
          <w:u w:val="none"/>
          <w:lang w:eastAsia="zh-CN"/>
        </w:rPr>
        <w:t>杭州高级中学钱塘学校</w:t>
      </w:r>
      <w:r>
        <w:rPr>
          <w:rFonts w:hint="eastAsia" w:ascii="宋体" w:hAnsi="宋体" w:cs="宋体"/>
          <w:color w:val="auto"/>
          <w:sz w:val="24"/>
          <w:highlight w:val="none"/>
          <w:u w:val="none"/>
        </w:rPr>
        <w:t>、</w:t>
      </w:r>
      <w:r>
        <w:rPr>
          <w:rFonts w:hint="eastAsia" w:ascii="宋体" w:hAnsi="宋体" w:cs="宋体"/>
          <w:color w:val="auto"/>
          <w:sz w:val="24"/>
          <w:highlight w:val="none"/>
          <w:u w:val="none"/>
          <w:lang w:eastAsia="zh-CN"/>
        </w:rPr>
        <w:t>浙江五石中正工程咨询有限公司：</w:t>
      </w:r>
    </w:p>
    <w:p w14:paraId="030360BA">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校舍外墙外立面维修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HGQT-2025-S01</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0748EF0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48827831">
      <w:pPr>
        <w:spacing w:line="360" w:lineRule="auto"/>
        <w:ind w:firstLine="494"/>
        <w:rPr>
          <w:rFonts w:ascii="宋体" w:hAnsi="宋体" w:cs="宋体"/>
          <w:color w:val="auto"/>
          <w:sz w:val="24"/>
          <w:highlight w:val="none"/>
        </w:rPr>
      </w:pPr>
    </w:p>
    <w:p w14:paraId="3952A6B0">
      <w:pPr>
        <w:spacing w:line="360" w:lineRule="auto"/>
        <w:ind w:firstLine="494"/>
        <w:rPr>
          <w:rFonts w:ascii="宋体" w:hAnsi="宋体" w:cs="宋体"/>
          <w:color w:val="auto"/>
          <w:sz w:val="24"/>
          <w:highlight w:val="none"/>
        </w:rPr>
      </w:pPr>
    </w:p>
    <w:p w14:paraId="18BCFA8E">
      <w:pPr>
        <w:spacing w:line="360" w:lineRule="auto"/>
        <w:ind w:firstLine="494"/>
        <w:rPr>
          <w:rFonts w:ascii="宋体" w:hAnsi="宋体" w:cs="宋体"/>
          <w:color w:val="auto"/>
          <w:sz w:val="24"/>
          <w:highlight w:val="none"/>
        </w:rPr>
      </w:pPr>
    </w:p>
    <w:p w14:paraId="40750D56">
      <w:pPr>
        <w:spacing w:line="360" w:lineRule="auto"/>
        <w:ind w:firstLine="494"/>
        <w:rPr>
          <w:rFonts w:ascii="宋体" w:hAnsi="宋体" w:cs="宋体"/>
          <w:color w:val="auto"/>
          <w:sz w:val="24"/>
          <w:highlight w:val="none"/>
        </w:rPr>
      </w:pPr>
    </w:p>
    <w:p w14:paraId="4C64E901">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供应商（法定名称章）：</w:t>
      </w:r>
    </w:p>
    <w:p w14:paraId="5EEE913E">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9D65634">
      <w:pPr>
        <w:rPr>
          <w:rFonts w:ascii="宋体" w:hAnsi="宋体" w:cs="宋体"/>
          <w:color w:val="auto"/>
          <w:sz w:val="24"/>
          <w:highlight w:val="none"/>
        </w:rPr>
      </w:pPr>
      <w:r>
        <w:rPr>
          <w:rFonts w:hint="eastAsia" w:ascii="宋体" w:hAnsi="宋体" w:cs="宋体"/>
          <w:b/>
          <w:bCs/>
          <w:color w:val="auto"/>
          <w:sz w:val="24"/>
          <w:highlight w:val="none"/>
        </w:rPr>
        <w:t>附：</w:t>
      </w:r>
    </w:p>
    <w:p w14:paraId="2BE9F08E">
      <w:pPr>
        <w:spacing w:line="360" w:lineRule="auto"/>
        <w:rPr>
          <w:rFonts w:ascii="宋体" w:hAnsi="宋体" w:cs="宋体"/>
          <w:bCs/>
          <w:color w:val="auto"/>
          <w:sz w:val="24"/>
          <w:highlight w:val="none"/>
        </w:rPr>
      </w:pPr>
      <w:r>
        <w:rPr>
          <w:rFonts w:hint="eastAsia" w:ascii="宋体" w:hAnsi="宋体" w:cs="宋体"/>
          <w:b w:val="0"/>
          <w:bCs w:val="0"/>
          <w:color w:val="auto"/>
          <w:sz w:val="24"/>
          <w:highlight w:val="none"/>
        </w:rPr>
        <mc:AlternateContent>
          <mc:Choice Requires="wps">
            <w:drawing>
              <wp:anchor distT="0" distB="0" distL="0" distR="0" simplePos="0" relativeHeight="251663360"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7" o:spid="_x0000_s1026" o:spt="1" style="position:absolute;left:0pt;margin-left:238.9pt;margin-top:28.05pt;height:177.45pt;width:212.95pt;z-index:-251653120;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&#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xz/jB2AAAAAoBAAAPAAAAAAAAAAEAIAAAACIAAABk&#10;cnMvZG93bnJldi54bWxQSwECFAAUAAAACACHTuJAC9UheM0BAADGAwAADgAAAAAAAAABACAAAAAn&#10;AQAAZHJzL2Uyb0RvYy54bWxQSwUGAAAAAAYABgBZAQAAZgUAAAAA&#10;">
                <v:fill on="t" focussize="0,0"/>
                <v:stroke color="#000000" joinstyle="miter"/>
                <v:imagedata o:title=""/>
                <o:lock v:ext="edit" aspectratio="f"/>
              </v:rect>
            </w:pict>
          </mc:Fallback>
        </mc:AlternateContent>
      </w:r>
      <w:r>
        <w:rPr>
          <w:rFonts w:hint="eastAsia" w:ascii="宋体" w:hAnsi="宋体" w:cs="宋体"/>
          <w:b w:val="0"/>
          <w:bCs w:val="0"/>
          <w:color w:val="auto"/>
          <w:sz w:val="24"/>
          <w:highlight w:val="none"/>
        </w:rPr>
        <mc:AlternateContent>
          <mc:Choice Requires="wps">
            <w:drawing>
              <wp:anchor distT="0" distB="0" distL="0" distR="0" simplePos="0" relativeHeight="251664384"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6" o:spid="_x0000_s1026" o:spt="1" style="position:absolute;left:0pt;margin-left:-7.2pt;margin-top:30.3pt;height:177.45pt;width:208.5pt;z-index:-251652096;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d07BY2AAAAAoBAAAPAAAAAAAAAAEAIAAAACIAAABk&#10;cnMvZG93bnJldi54bWxQSwECFAAUAAAACACHTuJAD8HNp80BAADGAwAADgAAAAAAAAABACAAAAAn&#10;AQAAZHJzL2Uyb0RvYy54bWxQSwUGAAAAAAYABgBZAQAAZgUAAAAA&#10;">
                <v:fill on="t" focussize="0,0"/>
                <v:stroke color="#000000" joinstyle="miter"/>
                <v:imagedata o:title=""/>
                <o:lock v:ext="edit" aspectratio="f"/>
              </v:rect>
            </w:pict>
          </mc:Fallback>
        </mc:AlternateContent>
      </w:r>
      <w:r>
        <w:rPr>
          <w:rFonts w:hint="eastAsia" w:ascii="宋体" w:hAnsi="宋体" w:cs="宋体"/>
          <w:b w:val="0"/>
          <w:bCs w:val="0"/>
          <w:color w:val="auto"/>
          <w:sz w:val="24"/>
          <w:highlight w:val="none"/>
        </w:rPr>
        <w:t xml:space="preserve">供应商法定名称章（印模）        </w:t>
      </w:r>
      <w:r>
        <w:rPr>
          <w:rFonts w:hint="eastAsia" w:ascii="宋体" w:hAnsi="宋体" w:cs="宋体"/>
          <w:color w:val="auto"/>
          <w:sz w:val="24"/>
          <w:highlight w:val="none"/>
        </w:rPr>
        <w:t xml:space="preserve">        供应商“XX专用章”（印模）</w:t>
      </w:r>
    </w:p>
    <w:p w14:paraId="0A450275">
      <w:pPr>
        <w:autoSpaceDE w:val="0"/>
        <w:autoSpaceDN w:val="0"/>
        <w:jc w:val="center"/>
        <w:rPr>
          <w:rFonts w:ascii="宋体" w:hAnsi="宋体" w:cs="宋体"/>
          <w:b/>
          <w:color w:val="auto"/>
          <w:spacing w:val="6"/>
          <w:sz w:val="32"/>
          <w:szCs w:val="32"/>
          <w:highlight w:val="none"/>
        </w:rPr>
      </w:pPr>
    </w:p>
    <w:p w14:paraId="7F94F880">
      <w:pPr>
        <w:autoSpaceDE w:val="0"/>
        <w:autoSpaceDN w:val="0"/>
        <w:jc w:val="center"/>
        <w:rPr>
          <w:rFonts w:ascii="宋体" w:hAnsi="宋体" w:cs="宋体"/>
          <w:b/>
          <w:color w:val="auto"/>
          <w:spacing w:val="6"/>
          <w:sz w:val="32"/>
          <w:szCs w:val="32"/>
          <w:highlight w:val="none"/>
        </w:rPr>
      </w:pPr>
    </w:p>
    <w:p w14:paraId="63649A63">
      <w:pPr>
        <w:autoSpaceDE w:val="0"/>
        <w:autoSpaceDN w:val="0"/>
        <w:jc w:val="center"/>
        <w:rPr>
          <w:rFonts w:ascii="宋体" w:hAnsi="宋体" w:cs="宋体"/>
          <w:b/>
          <w:color w:val="auto"/>
          <w:spacing w:val="6"/>
          <w:sz w:val="32"/>
          <w:szCs w:val="32"/>
          <w:highlight w:val="none"/>
        </w:rPr>
      </w:pPr>
    </w:p>
    <w:p w14:paraId="6CC6ED09">
      <w:pPr>
        <w:autoSpaceDE w:val="0"/>
        <w:autoSpaceDN w:val="0"/>
        <w:jc w:val="center"/>
        <w:rPr>
          <w:rFonts w:ascii="宋体" w:hAnsi="宋体" w:cs="宋体"/>
          <w:b/>
          <w:color w:val="auto"/>
          <w:spacing w:val="6"/>
          <w:sz w:val="32"/>
          <w:szCs w:val="32"/>
          <w:highlight w:val="none"/>
        </w:rPr>
      </w:pPr>
    </w:p>
    <w:p w14:paraId="5D9BD672">
      <w:pPr>
        <w:autoSpaceDE w:val="0"/>
        <w:autoSpaceDN w:val="0"/>
        <w:jc w:val="center"/>
        <w:rPr>
          <w:rFonts w:ascii="宋体" w:hAnsi="宋体" w:cs="宋体"/>
          <w:b/>
          <w:color w:val="auto"/>
          <w:spacing w:val="6"/>
          <w:sz w:val="32"/>
          <w:szCs w:val="32"/>
          <w:highlight w:val="none"/>
        </w:rPr>
      </w:pPr>
    </w:p>
    <w:p w14:paraId="618B1062">
      <w:pPr>
        <w:autoSpaceDE w:val="0"/>
        <w:autoSpaceDN w:val="0"/>
        <w:jc w:val="center"/>
        <w:rPr>
          <w:rFonts w:ascii="宋体" w:hAnsi="宋体" w:cs="宋体"/>
          <w:b/>
          <w:color w:val="auto"/>
          <w:spacing w:val="6"/>
          <w:sz w:val="32"/>
          <w:szCs w:val="32"/>
          <w:highlight w:val="none"/>
        </w:rPr>
      </w:pPr>
    </w:p>
    <w:p w14:paraId="69EB4209">
      <w:pPr>
        <w:autoSpaceDE w:val="0"/>
        <w:autoSpaceDN w:val="0"/>
        <w:jc w:val="center"/>
        <w:rPr>
          <w:rFonts w:ascii="宋体" w:hAnsi="宋体" w:cs="宋体"/>
          <w:b/>
          <w:color w:val="auto"/>
          <w:spacing w:val="6"/>
          <w:sz w:val="32"/>
          <w:szCs w:val="32"/>
          <w:highlight w:val="none"/>
        </w:rPr>
      </w:pPr>
    </w:p>
    <w:p w14:paraId="301DAB38">
      <w:pPr>
        <w:autoSpaceDE w:val="0"/>
        <w:autoSpaceDN w:val="0"/>
        <w:jc w:val="center"/>
        <w:rPr>
          <w:rFonts w:ascii="宋体" w:hAnsi="宋体" w:cs="宋体"/>
          <w:b/>
          <w:color w:val="auto"/>
          <w:spacing w:val="6"/>
          <w:sz w:val="32"/>
          <w:szCs w:val="32"/>
          <w:highlight w:val="none"/>
        </w:rPr>
      </w:pPr>
    </w:p>
    <w:p w14:paraId="19C129F1">
      <w:pPr>
        <w:autoSpaceDE w:val="0"/>
        <w:autoSpaceDN w:val="0"/>
        <w:jc w:val="center"/>
        <w:rPr>
          <w:rFonts w:ascii="宋体" w:hAnsi="宋体" w:cs="宋体"/>
          <w:b/>
          <w:color w:val="auto"/>
          <w:spacing w:val="6"/>
          <w:sz w:val="32"/>
          <w:szCs w:val="32"/>
          <w:highlight w:val="none"/>
        </w:rPr>
      </w:pPr>
    </w:p>
    <w:p w14:paraId="5D7F0985">
      <w:pPr>
        <w:autoSpaceDE w:val="0"/>
        <w:autoSpaceDN w:val="0"/>
        <w:jc w:val="center"/>
        <w:rPr>
          <w:rFonts w:ascii="宋体" w:hAnsi="宋体" w:cs="宋体"/>
          <w:b/>
          <w:color w:val="auto"/>
          <w:spacing w:val="6"/>
          <w:sz w:val="32"/>
          <w:szCs w:val="32"/>
          <w:highlight w:val="none"/>
        </w:rPr>
      </w:pPr>
    </w:p>
    <w:p w14:paraId="636FF215">
      <w:pPr>
        <w:autoSpaceDE w:val="0"/>
        <w:autoSpaceDN w:val="0"/>
        <w:jc w:val="center"/>
        <w:rPr>
          <w:rFonts w:ascii="宋体" w:hAnsi="宋体" w:cs="宋体"/>
          <w:b/>
          <w:color w:val="auto"/>
          <w:spacing w:val="6"/>
          <w:sz w:val="32"/>
          <w:szCs w:val="32"/>
          <w:highlight w:val="none"/>
        </w:rPr>
      </w:pPr>
    </w:p>
    <w:p w14:paraId="7AC0AFD0">
      <w:pPr>
        <w:autoSpaceDE w:val="0"/>
        <w:autoSpaceDN w:val="0"/>
        <w:jc w:val="center"/>
        <w:rPr>
          <w:rFonts w:ascii="宋体" w:hAnsi="宋体" w:cs="宋体"/>
          <w:b/>
          <w:color w:val="auto"/>
          <w:spacing w:val="6"/>
          <w:sz w:val="32"/>
          <w:szCs w:val="32"/>
          <w:highlight w:val="none"/>
        </w:rPr>
      </w:pPr>
    </w:p>
    <w:p w14:paraId="591080C2">
      <w:pPr>
        <w:autoSpaceDE w:val="0"/>
        <w:autoSpaceDN w:val="0"/>
        <w:jc w:val="center"/>
        <w:rPr>
          <w:rFonts w:ascii="宋体" w:hAnsi="宋体" w:cs="宋体"/>
          <w:b/>
          <w:color w:val="auto"/>
          <w:spacing w:val="6"/>
          <w:sz w:val="32"/>
          <w:szCs w:val="32"/>
          <w:highlight w:val="none"/>
        </w:rPr>
      </w:pPr>
    </w:p>
    <w:p w14:paraId="709B4081">
      <w:pPr>
        <w:autoSpaceDE w:val="0"/>
        <w:autoSpaceDN w:val="0"/>
        <w:jc w:val="center"/>
        <w:rPr>
          <w:rFonts w:ascii="宋体" w:hAnsi="宋体" w:cs="宋体"/>
          <w:b/>
          <w:color w:val="auto"/>
          <w:spacing w:val="6"/>
          <w:sz w:val="32"/>
          <w:szCs w:val="32"/>
          <w:highlight w:val="none"/>
        </w:rPr>
      </w:pPr>
    </w:p>
    <w:p w14:paraId="4A303CC6">
      <w:pPr>
        <w:autoSpaceDE w:val="0"/>
        <w:autoSpaceDN w:val="0"/>
        <w:jc w:val="center"/>
        <w:rPr>
          <w:rFonts w:ascii="宋体" w:hAnsi="宋体" w:cs="宋体"/>
          <w:b/>
          <w:color w:val="auto"/>
          <w:spacing w:val="6"/>
          <w:sz w:val="32"/>
          <w:szCs w:val="32"/>
          <w:highlight w:val="none"/>
        </w:rPr>
      </w:pPr>
    </w:p>
    <w:p w14:paraId="587D89DC">
      <w:pPr>
        <w:autoSpaceDE w:val="0"/>
        <w:autoSpaceDN w:val="0"/>
        <w:jc w:val="center"/>
        <w:rPr>
          <w:rFonts w:ascii="宋体" w:hAnsi="宋体" w:cs="宋体"/>
          <w:b/>
          <w:color w:val="auto"/>
          <w:spacing w:val="6"/>
          <w:sz w:val="32"/>
          <w:szCs w:val="32"/>
          <w:highlight w:val="none"/>
        </w:rPr>
      </w:pPr>
    </w:p>
    <w:p w14:paraId="7EEF5D44">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附件5：</w:t>
      </w:r>
      <w:r>
        <w:rPr>
          <w:rFonts w:hint="eastAsia" w:ascii="宋体" w:hAnsi="宋体" w:cs="宋体"/>
          <w:b/>
          <w:color w:val="auto"/>
          <w:kern w:val="0"/>
          <w:sz w:val="32"/>
          <w:szCs w:val="32"/>
          <w:highlight w:val="none"/>
          <w:lang w:val="zh-CN"/>
        </w:rPr>
        <w:t>联合协议</w:t>
      </w:r>
    </w:p>
    <w:p w14:paraId="48C1F0E7">
      <w:pPr>
        <w:keepNext w:val="0"/>
        <w:keepLines w:val="0"/>
        <w:pageBreakBefore w:val="0"/>
        <w:widowControl/>
        <w:kinsoku/>
        <w:wordWrap/>
        <w:overflowPunct/>
        <w:topLinePunct w:val="0"/>
        <w:autoSpaceDE/>
        <w:autoSpaceDN/>
        <w:bidi w:val="0"/>
        <w:adjustRightInd w:val="0"/>
        <w:spacing w:line="312" w:lineRule="auto"/>
        <w:ind w:firstLine="482" w:firstLineChars="200"/>
        <w:jc w:val="left"/>
        <w:textAlignment w:val="auto"/>
        <w:rPr>
          <w:rFonts w:ascii="宋体" w:hAnsi="宋体" w:cs="宋体"/>
          <w:b/>
          <w:color w:val="auto"/>
          <w:sz w:val="24"/>
          <w:highlight w:val="none"/>
        </w:rPr>
      </w:pPr>
      <w:r>
        <w:rPr>
          <w:rFonts w:hint="eastAsia" w:ascii="宋体" w:hAnsi="宋体" w:cs="宋体"/>
          <w:b/>
          <w:color w:val="auto"/>
          <w:sz w:val="24"/>
          <w:highlight w:val="none"/>
        </w:rPr>
        <w:t>（以联合体形式参与的，提供联合协议；本项目不接受联合体或者供应商不以联合体形式参与的，则不需要提供）</w:t>
      </w:r>
    </w:p>
    <w:p w14:paraId="403C2D5B">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校舍外墙外立面维修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HGQT-2025-S01</w:t>
      </w:r>
      <w:r>
        <w:rPr>
          <w:rFonts w:hint="eastAsia" w:ascii="宋体" w:hAnsi="宋体" w:cs="宋体"/>
          <w:color w:val="auto"/>
          <w:sz w:val="24"/>
          <w:highlight w:val="none"/>
        </w:rPr>
        <w:t>】</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 xml:space="preserve">。 </w:t>
      </w:r>
    </w:p>
    <w:p w14:paraId="795BEDB8">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466B62D3">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授权代表根据采购文件规定及</w:t>
      </w:r>
      <w:r>
        <w:rPr>
          <w:rFonts w:hint="eastAsia" w:ascii="宋体" w:hAnsi="宋体" w:cs="宋体"/>
          <w:color w:val="auto"/>
          <w:kern w:val="0"/>
          <w:sz w:val="24"/>
          <w:highlight w:val="none"/>
        </w:rPr>
        <w:t>响应内容</w:t>
      </w:r>
      <w:r>
        <w:rPr>
          <w:rFonts w:hint="eastAsia" w:ascii="宋体" w:hAnsi="宋体" w:cs="宋体"/>
          <w:color w:val="auto"/>
          <w:kern w:val="0"/>
          <w:sz w:val="24"/>
          <w:highlight w:val="none"/>
          <w:lang w:val="zh-CN"/>
        </w:rPr>
        <w:t>而对采购人、采购代理机构所作的任何合法承诺，包括书面澄清及相应等均对联合投标各方产生约束力。</w:t>
      </w:r>
    </w:p>
    <w:p w14:paraId="7709264A">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中，分工如下：</w:t>
      </w:r>
    </w:p>
    <w:p w14:paraId="58B358E8">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ascii="宋体" w:hAnsi="宋体" w:cs="宋体"/>
          <w:color w:val="auto"/>
          <w:kern w:val="0"/>
          <w:sz w:val="24"/>
          <w:highlight w:val="none"/>
          <w:lang w:val="zh-CN"/>
        </w:rPr>
      </w:pPr>
      <w:bookmarkStart w:id="397"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6355610">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（联合体成员2）</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98B8648">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397"/>
    <w:p w14:paraId="1CF9BA1B">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763E54AE">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（联合体成员X,……）</w:t>
      </w:r>
      <w:r>
        <w:rPr>
          <w:rFonts w:hint="eastAsia" w:ascii="宋体" w:hAnsi="宋体" w:cs="宋体"/>
          <w:color w:val="auto"/>
          <w:kern w:val="0"/>
          <w:sz w:val="24"/>
          <w:highlight w:val="none"/>
        </w:rPr>
        <w:t>提供的全部工程由小微企业承建，其合同份额占到合同总金额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w:t>
      </w:r>
      <w:r>
        <w:rPr>
          <w:rFonts w:hint="eastAsia" w:ascii="宋体" w:hAnsi="宋体" w:cs="宋体"/>
          <w:b/>
          <w:color w:val="auto"/>
          <w:kern w:val="0"/>
          <w:sz w:val="24"/>
          <w:highlight w:val="none"/>
        </w:rPr>
        <w:t>磋商</w:t>
      </w:r>
      <w:r>
        <w:rPr>
          <w:rFonts w:hint="eastAsia" w:ascii="宋体" w:hAnsi="宋体" w:cs="宋体"/>
          <w:b/>
          <w:color w:val="auto"/>
          <w:kern w:val="0"/>
          <w:sz w:val="24"/>
          <w:highlight w:val="none"/>
          <w:lang w:val="zh-CN"/>
        </w:rPr>
        <w:t>的，联合协议约定小微企业的合同份额占到合同总金额30%以上的，对联合体报价给予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0DDA230">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734EFDD9">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五、如果成交，</w:t>
      </w:r>
      <w:r>
        <w:rPr>
          <w:rFonts w:hint="eastAsia" w:ascii="宋体" w:hAnsi="宋体" w:cs="宋体"/>
          <w:color w:val="auto"/>
          <w:sz w:val="24"/>
          <w:highlight w:val="none"/>
        </w:rPr>
        <w:t>联合体各成员方共同与采购人签订合同，并就采购合同约定的事项对采购人承担连带责任。</w:t>
      </w:r>
    </w:p>
    <w:p w14:paraId="24A298F7">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的其他事宜：</w:t>
      </w:r>
    </w:p>
    <w:p w14:paraId="5AB965C9">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1、联合体各方不再单独参加或者与其他供应商另外组成联合体参加同一合同项下的采购活动。</w:t>
      </w:r>
    </w:p>
    <w:p w14:paraId="00E8BCC1">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6ABF1365">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1C56F562">
      <w:pPr>
        <w:keepNext w:val="0"/>
        <w:keepLines w:val="0"/>
        <w:pageBreakBefore w:val="0"/>
        <w:kinsoku/>
        <w:wordWrap/>
        <w:overflowPunct/>
        <w:topLinePunct w:val="0"/>
        <w:autoSpaceDE/>
        <w:autoSpaceDN/>
        <w:bidi w:val="0"/>
        <w:adjustRightInd w:val="0"/>
        <w:snapToGrid w:val="0"/>
        <w:spacing w:line="312" w:lineRule="auto"/>
        <w:ind w:firstLine="5040" w:firstLineChars="2100"/>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DAC6BC0">
      <w:pPr>
        <w:keepNext w:val="0"/>
        <w:keepLines w:val="0"/>
        <w:pageBreakBefore w:val="0"/>
        <w:kinsoku/>
        <w:wordWrap/>
        <w:overflowPunct/>
        <w:topLinePunct w:val="0"/>
        <w:autoSpaceDE/>
        <w:autoSpaceDN/>
        <w:bidi w:val="0"/>
        <w:adjustRightInd w:val="0"/>
        <w:snapToGrid w:val="0"/>
        <w:spacing w:line="312" w:lineRule="auto"/>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sz w:val="24"/>
          <w:highlight w:val="none"/>
        </w:rPr>
        <w:t>注：按本格式和要求提供。</w:t>
      </w:r>
      <w:r>
        <w:rPr>
          <w:rFonts w:hint="eastAsia" w:ascii="宋体" w:hAnsi="宋体" w:cs="宋体"/>
          <w:color w:val="auto"/>
          <w:sz w:val="24"/>
          <w:highlight w:val="none"/>
          <w:lang w:val="en-US" w:eastAsia="zh-CN"/>
        </w:rPr>
        <w:t xml:space="preserve">               </w:t>
      </w:r>
      <w:r>
        <w:rPr>
          <w:rFonts w:hint="eastAsia" w:ascii="宋体" w:hAnsi="宋体" w:cs="宋体"/>
          <w:color w:val="auto"/>
          <w:kern w:val="0"/>
          <w:sz w:val="24"/>
          <w:highlight w:val="none"/>
          <w:lang w:val="zh-CN"/>
        </w:rPr>
        <w:t xml:space="preserve">日期：  年  月   日                                          </w:t>
      </w:r>
    </w:p>
    <w:p w14:paraId="1CE07EE3">
      <w:pPr>
        <w:autoSpaceDE w:val="0"/>
        <w:autoSpaceDN w:val="0"/>
        <w:jc w:val="center"/>
        <w:rPr>
          <w:rFonts w:ascii="宋体" w:hAnsi="宋体" w:cs="宋体"/>
          <w:b/>
          <w:color w:val="auto"/>
          <w:spacing w:val="6"/>
          <w:sz w:val="32"/>
          <w:szCs w:val="32"/>
          <w:highlight w:val="none"/>
        </w:rPr>
        <w:sectPr>
          <w:footerReference r:id="rId18" w:type="first"/>
          <w:headerReference r:id="rId16" w:type="default"/>
          <w:footerReference r:id="rId17" w:type="default"/>
          <w:pgSz w:w="11906" w:h="16838"/>
          <w:pgMar w:top="1440" w:right="1080" w:bottom="1440" w:left="1080" w:header="851" w:footer="992" w:gutter="0"/>
          <w:cols w:space="720" w:num="1"/>
          <w:titlePg/>
          <w:docGrid w:linePitch="312" w:charSpace="0"/>
        </w:sectPr>
      </w:pPr>
    </w:p>
    <w:p w14:paraId="43C7E748">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附件6：</w:t>
      </w:r>
      <w:r>
        <w:rPr>
          <w:rFonts w:hint="eastAsia" w:ascii="宋体" w:hAnsi="宋体" w:cs="宋体"/>
          <w:b/>
          <w:color w:val="auto"/>
          <w:kern w:val="0"/>
          <w:sz w:val="32"/>
          <w:szCs w:val="32"/>
          <w:highlight w:val="none"/>
        </w:rPr>
        <w:t>分包意向协议</w:t>
      </w:r>
    </w:p>
    <w:p w14:paraId="0719BFAA">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cs="宋体"/>
          <w:color w:val="auto"/>
          <w:sz w:val="24"/>
          <w:highlight w:val="none"/>
        </w:rPr>
        <w:t>）</w:t>
      </w:r>
    </w:p>
    <w:p w14:paraId="1CCC93A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校舍外墙外立面维修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HGQT-2025-S01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的成交供应商，将依法采取分包方式履行合同。</w:t>
      </w: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51555D4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519BA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hint="eastAsia"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A074408">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7C5D6B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40E2C69">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rPr>
        <w:t>1、</w:t>
      </w:r>
      <w:r>
        <w:rPr>
          <w:rFonts w:hint="eastAsia" w:ascii="宋体" w:hAnsi="宋体" w:cs="宋体"/>
          <w:color w:val="auto"/>
          <w:kern w:val="0"/>
          <w:sz w:val="24"/>
          <w:highlight w:val="none"/>
          <w:u w:val="single"/>
        </w:rPr>
        <w:t>（分包供应商X,……）提供的工程全部由小微企业承建，</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A5821CE">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398"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要求合同分包形式参加的项目或采购包，供应商按采购文件第一部分竞争性磋商公告申请人的资格要求中规定的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398"/>
    </w:p>
    <w:p w14:paraId="11913A4D">
      <w:pPr>
        <w:snapToGrid w:val="0"/>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5BA259E1">
      <w:pPr>
        <w:snapToGrid w:val="0"/>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F52183B">
      <w:pPr>
        <w:snapToGrid w:val="0"/>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9521103">
      <w:pPr>
        <w:snapToGrid w:val="0"/>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E5D720D">
      <w:pPr>
        <w:snapToGrid w:val="0"/>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6DCF3689">
      <w:pPr>
        <w:snapToGrid w:val="0"/>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86CFCBF">
      <w:pPr>
        <w:snapToGrid w:val="0"/>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2A895B59">
      <w:pPr>
        <w:snapToGrid w:val="0"/>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7A01325">
      <w:pPr>
        <w:snapToGrid w:val="0"/>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273604E9">
      <w:pPr>
        <w:snapToGrid w:val="0"/>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FE973BB">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14:paraId="1B8EFC71">
      <w:pPr>
        <w:snapToGrid w:val="0"/>
        <w:spacing w:line="360" w:lineRule="auto"/>
        <w:ind w:firstLine="5640" w:firstLineChars="23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14:paraId="71050F6C">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97BC082">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5224FAD">
      <w:pPr>
        <w:autoSpaceDE w:val="0"/>
        <w:autoSpaceDN w:val="0"/>
        <w:jc w:val="center"/>
        <w:rPr>
          <w:rFonts w:ascii="宋体" w:hAnsi="宋体" w:cs="宋体"/>
          <w:b/>
          <w:color w:val="auto"/>
          <w:spacing w:val="6"/>
          <w:sz w:val="32"/>
          <w:szCs w:val="32"/>
          <w:highlight w:val="none"/>
        </w:rPr>
      </w:pPr>
    </w:p>
    <w:p w14:paraId="56BF9983">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55885138">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附件7：</w:t>
      </w:r>
      <w:r>
        <w:rPr>
          <w:rFonts w:hint="eastAsia" w:ascii="宋体" w:hAnsi="宋体" w:cs="宋体"/>
          <w:b/>
          <w:color w:val="auto"/>
          <w:sz w:val="32"/>
          <w:szCs w:val="32"/>
          <w:highlight w:val="none"/>
        </w:rPr>
        <w:t>中小企业声明函</w:t>
      </w:r>
    </w:p>
    <w:p w14:paraId="03E0BEF0">
      <w:pPr>
        <w:spacing w:line="360" w:lineRule="auto"/>
        <w:jc w:val="center"/>
        <w:rPr>
          <w:rFonts w:ascii="宋体" w:hAnsi="宋体" w:cs="宋体"/>
          <w:color w:val="auto"/>
          <w:sz w:val="24"/>
          <w:highlight w:val="none"/>
          <w:u w:val="single"/>
        </w:rPr>
      </w:pPr>
    </w:p>
    <w:p w14:paraId="20C03780">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中小企业声明函（工程）</w:t>
      </w:r>
    </w:p>
    <w:p w14:paraId="1C369CBD">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杭州高级中学钱塘学校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校舍外墙外立面维修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采购活动，工程的施工单位全部为符合政策要求的中小企业。相关企业（含联合体中的中小企业、签订分包意向协议的中小企业）的具体情况如下：</w:t>
      </w:r>
    </w:p>
    <w:p w14:paraId="651F37F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59ADE9B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BF52A4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57278E9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7D892E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403942EA">
      <w:pPr>
        <w:spacing w:line="360" w:lineRule="auto"/>
        <w:ind w:firstLine="480" w:firstLineChars="200"/>
        <w:rPr>
          <w:rFonts w:ascii="宋体" w:hAnsi="宋体" w:cs="宋体"/>
          <w:color w:val="auto"/>
          <w:sz w:val="24"/>
          <w:highlight w:val="none"/>
        </w:rPr>
      </w:pPr>
    </w:p>
    <w:p w14:paraId="1E0D162A">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7E318DE5">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E87949E">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从业人员、营业收入、资产总额填报上一年度数据，无上一年度数据的新成立企业可不填报。</w:t>
      </w:r>
    </w:p>
    <w:p w14:paraId="5F959C05">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5933FBE8">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01CD297D">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65566364">
      <w:pPr>
        <w:spacing w:line="360" w:lineRule="auto"/>
        <w:jc w:val="center"/>
        <w:rPr>
          <w:rFonts w:ascii="宋体" w:hAnsi="宋体" w:cs="宋体"/>
          <w:b/>
          <w:color w:val="auto"/>
          <w:sz w:val="32"/>
          <w:szCs w:val="32"/>
          <w:highlight w:val="none"/>
        </w:rPr>
      </w:pPr>
    </w:p>
    <w:p w14:paraId="6AAE4C37">
      <w:pPr>
        <w:spacing w:line="360" w:lineRule="auto"/>
        <w:jc w:val="center"/>
        <w:rPr>
          <w:rFonts w:ascii="宋体" w:hAnsi="宋体" w:cs="宋体"/>
          <w:b/>
          <w:color w:val="auto"/>
          <w:sz w:val="32"/>
          <w:szCs w:val="32"/>
          <w:highlight w:val="none"/>
        </w:rPr>
      </w:pPr>
    </w:p>
    <w:p w14:paraId="2DFF6BEB">
      <w:pPr>
        <w:spacing w:line="360" w:lineRule="auto"/>
        <w:jc w:val="center"/>
        <w:rPr>
          <w:rFonts w:ascii="宋体" w:hAnsi="宋体" w:cs="宋体"/>
          <w:b/>
          <w:color w:val="auto"/>
          <w:sz w:val="32"/>
          <w:szCs w:val="32"/>
          <w:highlight w:val="none"/>
        </w:rPr>
      </w:pPr>
    </w:p>
    <w:p w14:paraId="2CE69941">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附件8：工程量清单（另附）</w:t>
      </w:r>
    </w:p>
    <w:p w14:paraId="1E9C5D49">
      <w:pPr>
        <w:pStyle w:val="24"/>
        <w:rPr>
          <w:rFonts w:cs="宋体"/>
          <w:color w:val="auto"/>
          <w:highlight w:val="none"/>
        </w:rPr>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Wingdings 2">
    <w:panose1 w:val="05020102010507070707"/>
    <w:charset w:val="00"/>
    <w:family w:val="auto"/>
    <w:pitch w:val="default"/>
    <w:sig w:usb0="00000000" w:usb1="00000000" w:usb2="00000000" w:usb3="00000000" w:csb0="8000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86703">
    <w:pPr>
      <w:pStyle w:val="39"/>
      <w:rPr>
        <w:rFonts w:ascii="仿宋_GB2312" w:eastAsia="仿宋_GB2312"/>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20447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2044700" cy="1828800"/>
                      </a:xfrm>
                      <a:prstGeom prst="rect">
                        <a:avLst/>
                      </a:prstGeom>
                      <a:ln>
                        <a:noFill/>
                      </a:ln>
                    </wps:spPr>
                    <wps:txbx>
                      <w:txbxContent>
                        <w:p w14:paraId="14C97E70">
                          <w:pPr>
                            <w:pStyle w:val="39"/>
                            <w:jc w:val="center"/>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94</w:t>
                          </w:r>
                          <w:r>
                            <w:fldChar w:fldCharType="end"/>
                          </w:r>
                        </w:p>
                      </w:txbxContent>
                    </wps:txbx>
                    <wps:bodyPr lIns="0" tIns="0" rIns="0" bIns="0">
                      <a:spAutoFit/>
                    </wps:bodyPr>
                  </wps:wsp>
                </a:graphicData>
              </a:graphic>
            </wp:anchor>
          </w:drawing>
        </mc:Choice>
        <mc:Fallback>
          <w:pict>
            <v:rect id="文本框 1" o:spid="_x0000_s1026" o:spt="1" style="position:absolute;left:0pt;margin-top:0pt;height:144pt;width:161pt;mso-position-horizontal:center;mso-position-horizontal-relative:margin;z-index:251659264;mso-width-relative:page;mso-height-relative:page;" filled="f" stroked="f" coordsize="21600,21600" o:gfxdata="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gZCC3UAAAABQEAAA8AAAAAAAAAAQAgAAAAIgAAAGRycy9kb3ducmV2LnhtbFBLAQIUABQAAAAI&#10;AIdO4kC6LvXQuAEAAG8DAAAOAAAAAAAAAAEAIAAAACMBAABkcnMvZTJvRG9jLnhtbFBLBQYAAAAA&#10;BgAGAFkBAABNBQAAAAA=&#10;">
              <v:fill on="f" focussize="0,0"/>
              <v:stroke on="f"/>
              <v:imagedata o:title=""/>
              <o:lock v:ext="edit" aspectratio="f"/>
              <v:textbox inset="0mm,0mm,0mm,0mm" style="mso-fit-shape-to-text:t;">
                <w:txbxContent>
                  <w:p w14:paraId="14C97E70">
                    <w:pPr>
                      <w:pStyle w:val="39"/>
                      <w:jc w:val="center"/>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94</w:t>
                    </w:r>
                    <w:r>
                      <w:fldChar w:fldCharType="end"/>
                    </w:r>
                  </w:p>
                </w:txbxContent>
              </v:textbox>
            </v:rect>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5BA9B">
    <w:pPr>
      <w:pStyle w:val="39"/>
      <w:rPr>
        <w:rFonts w:ascii="仿宋_GB2312" w:eastAsia="仿宋_GB2312"/>
        <w:szCs w:val="24"/>
      </w:rPr>
    </w:pPr>
    <w:r>
      <mc:AlternateContent>
        <mc:Choice Requires="wps">
          <w:drawing>
            <wp:anchor distT="0" distB="0" distL="0" distR="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5"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E162D94">
                          <w:pPr>
                            <w:pStyle w:val="39"/>
                          </w:pPr>
                          <w:r>
                            <w:fldChar w:fldCharType="begin"/>
                          </w:r>
                          <w:r>
                            <w:instrText xml:space="preserve"> PAGE  \* MERGEFORMAT </w:instrText>
                          </w:r>
                          <w:r>
                            <w:fldChar w:fldCharType="separate"/>
                          </w:r>
                          <w:r>
                            <w:t>80</w:t>
                          </w:r>
                          <w:r>
                            <w:fldChar w:fldCharType="end"/>
                          </w:r>
                          <w:r>
                            <w:t xml:space="preserve"> / </w:t>
                          </w:r>
                          <w:r>
                            <w:fldChar w:fldCharType="begin"/>
                          </w:r>
                          <w:r>
                            <w:instrText xml:space="preserve"> NUMPAGES  \* MERGEFORMAT </w:instrText>
                          </w:r>
                          <w:r>
                            <w:fldChar w:fldCharType="separate"/>
                          </w:r>
                          <w:r>
                            <w:t>94</w:t>
                          </w:r>
                          <w:r>
                            <w:fldChar w:fldCharType="end"/>
                          </w:r>
                        </w:p>
                      </w:txbxContent>
                    </wps:txbx>
                    <wps:bodyPr wrap="none" lIns="0" tIns="0" rIns="0" bIns="0">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5dblS0AAAAAUBAAAPAAAAAAAAAAEAIAAAACIAAABkcnMvZG93bnJldi54bWxQSwECFAAUAAAA&#10;CACHTuJAbCllnL0BAAB7AwAADgAAAAAAAAABACAAAAAfAQAAZHJzL2Uyb0RvYy54bWxQSwUGAAAA&#10;AAYABgBZAQAATgUAAAAA&#10;">
              <v:fill on="f" focussize="0,0"/>
              <v:stroke on="f"/>
              <v:imagedata o:title=""/>
              <o:lock v:ext="edit" aspectratio="f"/>
              <v:textbox inset="0mm,0mm,0mm,0mm" style="mso-fit-shape-to-text:t;">
                <w:txbxContent>
                  <w:p w14:paraId="6E162D94">
                    <w:pPr>
                      <w:pStyle w:val="39"/>
                    </w:pPr>
                    <w:r>
                      <w:fldChar w:fldCharType="begin"/>
                    </w:r>
                    <w:r>
                      <w:instrText xml:space="preserve"> PAGE  \* MERGEFORMAT </w:instrText>
                    </w:r>
                    <w:r>
                      <w:fldChar w:fldCharType="separate"/>
                    </w:r>
                    <w:r>
                      <w:t>80</w:t>
                    </w:r>
                    <w:r>
                      <w:fldChar w:fldCharType="end"/>
                    </w:r>
                    <w:r>
                      <w:t xml:space="preserve"> / </w:t>
                    </w:r>
                    <w:r>
                      <w:fldChar w:fldCharType="begin"/>
                    </w:r>
                    <w:r>
                      <w:instrText xml:space="preserve"> NUMPAGES  \* MERGEFORMAT </w:instrText>
                    </w:r>
                    <w:r>
                      <w:fldChar w:fldCharType="separate"/>
                    </w:r>
                    <w:r>
                      <w:t>94</w:t>
                    </w:r>
                    <w:r>
                      <w:fldChar w:fldCharType="end"/>
                    </w:r>
                  </w:p>
                </w:txbxContent>
              </v:textbox>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61200">
    <w:pPr>
      <w:pStyle w:val="39"/>
      <w:rPr>
        <w:rFonts w:ascii="仿宋_GB2312" w:eastAsia="仿宋_GB2312"/>
      </w:rPr>
    </w:pPr>
    <w:r>
      <mc:AlternateContent>
        <mc:Choice Requires="wps">
          <w:drawing>
            <wp:anchor distT="0" distB="0" distL="0" distR="0" simplePos="0" relativeHeight="251668480" behindDoc="0" locked="0" layoutInCell="1" allowOverlap="1">
              <wp:simplePos x="0" y="0"/>
              <wp:positionH relativeFrom="margin">
                <wp:align>center</wp:align>
              </wp:positionH>
              <wp:positionV relativeFrom="paragraph">
                <wp:posOffset>0</wp:posOffset>
              </wp:positionV>
              <wp:extent cx="2184400" cy="1828800"/>
              <wp:effectExtent l="0" t="0" r="0" b="0"/>
              <wp:wrapNone/>
              <wp:docPr id="4106" name="文本框 10"/>
              <wp:cNvGraphicFramePr/>
              <a:graphic xmlns:a="http://schemas.openxmlformats.org/drawingml/2006/main">
                <a:graphicData uri="http://schemas.microsoft.com/office/word/2010/wordprocessingShape">
                  <wps:wsp>
                    <wps:cNvSpPr/>
                    <wps:spPr>
                      <a:xfrm>
                        <a:off x="0" y="0"/>
                        <a:ext cx="2184400" cy="1828800"/>
                      </a:xfrm>
                      <a:prstGeom prst="rect">
                        <a:avLst/>
                      </a:prstGeom>
                      <a:ln>
                        <a:noFill/>
                      </a:ln>
                    </wps:spPr>
                    <wps:txbx>
                      <w:txbxContent>
                        <w:p w14:paraId="7B467688">
                          <w:pPr>
                            <w:pStyle w:val="39"/>
                            <w:jc w:val="center"/>
                          </w:pPr>
                          <w:r>
                            <w:fldChar w:fldCharType="begin"/>
                          </w:r>
                          <w:r>
                            <w:instrText xml:space="preserve"> PAGE  \* MERGEFORMAT </w:instrText>
                          </w:r>
                          <w:r>
                            <w:fldChar w:fldCharType="separate"/>
                          </w:r>
                          <w:r>
                            <w:t>78</w:t>
                          </w:r>
                          <w:r>
                            <w:fldChar w:fldCharType="end"/>
                          </w:r>
                          <w:r>
                            <w:t xml:space="preserve"> / </w:t>
                          </w:r>
                          <w:r>
                            <w:fldChar w:fldCharType="begin"/>
                          </w:r>
                          <w:r>
                            <w:instrText xml:space="preserve"> NUMPAGES  \* MERGEFORMAT </w:instrText>
                          </w:r>
                          <w:r>
                            <w:fldChar w:fldCharType="separate"/>
                          </w:r>
                          <w:r>
                            <w:t>94</w:t>
                          </w:r>
                          <w:r>
                            <w:fldChar w:fldCharType="end"/>
                          </w:r>
                        </w:p>
                      </w:txbxContent>
                    </wps:txbx>
                    <wps:bodyPr lIns="0" tIns="0" rIns="0" bIns="0">
                      <a:spAutoFit/>
                    </wps:bodyPr>
                  </wps:wsp>
                </a:graphicData>
              </a:graphic>
            </wp:anchor>
          </w:drawing>
        </mc:Choice>
        <mc:Fallback>
          <w:pict>
            <v:rect id="文本框 10" o:spid="_x0000_s1026" o:spt="1" style="position:absolute;left:0pt;margin-top:0pt;height:144pt;width:172pt;mso-position-horizontal:center;mso-position-horizontal-relative:margin;z-index:251668480;mso-width-relative:page;mso-height-relative:page;" filled="f" stroked="f" coordsize="21600,21600" o:gfxdata="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GDKzXVAAAABQEAAA8AAAAAAAAAAQAgAAAAIgAAAGRycy9kb3ducmV2LnhtbFBLAQIUABQAAAAI&#10;AIdO4kCYLAGotwEAAHADAAAOAAAAAAAAAAEAIAAAACQBAABkcnMvZTJvRG9jLnhtbFBLBQYAAAAA&#10;BgAGAFkBAABNBQAAAAA=&#10;">
              <v:fill on="f" focussize="0,0"/>
              <v:stroke on="f"/>
              <v:imagedata o:title=""/>
              <o:lock v:ext="edit" aspectratio="f"/>
              <v:textbox inset="0mm,0mm,0mm,0mm" style="mso-fit-shape-to-text:t;">
                <w:txbxContent>
                  <w:p w14:paraId="7B467688">
                    <w:pPr>
                      <w:pStyle w:val="39"/>
                      <w:jc w:val="center"/>
                    </w:pPr>
                    <w:r>
                      <w:fldChar w:fldCharType="begin"/>
                    </w:r>
                    <w:r>
                      <w:instrText xml:space="preserve"> PAGE  \* MERGEFORMAT </w:instrText>
                    </w:r>
                    <w:r>
                      <w:fldChar w:fldCharType="separate"/>
                    </w:r>
                    <w:r>
                      <w:t>78</w:t>
                    </w:r>
                    <w:r>
                      <w:fldChar w:fldCharType="end"/>
                    </w:r>
                    <w:r>
                      <w:t xml:space="preserve"> / </w:t>
                    </w:r>
                    <w:r>
                      <w:fldChar w:fldCharType="begin"/>
                    </w:r>
                    <w:r>
                      <w:instrText xml:space="preserve"> NUMPAGES  \* MERGEFORMAT </w:instrText>
                    </w:r>
                    <w:r>
                      <w:fldChar w:fldCharType="separate"/>
                    </w:r>
                    <w:r>
                      <w:t>94</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FB102">
    <w:pPr>
      <w:pStyle w:val="39"/>
      <w:framePr w:wrap="around" w:vAnchor="text" w:hAnchor="margin" w:xAlign="right" w:y="1"/>
      <w:rPr>
        <w:rStyle w:val="72"/>
      </w:rPr>
    </w:pPr>
    <w:r>
      <w:fldChar w:fldCharType="begin"/>
    </w:r>
    <w:r>
      <w:rPr>
        <w:rStyle w:val="72"/>
      </w:rPr>
      <w:instrText xml:space="preserve">PAGE  </w:instrText>
    </w:r>
    <w:r>
      <w:fldChar w:fldCharType="end"/>
    </w:r>
  </w:p>
  <w:p w14:paraId="72F81013">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96ED0">
    <w:pPr>
      <w:pStyle w:val="39"/>
      <w:rPr>
        <w:rFonts w:ascii="仿宋_GB2312" w:eastAsia="仿宋_GB2312"/>
      </w:rP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533400" cy="1828800"/>
              <wp:effectExtent l="0" t="0" r="0" b="0"/>
              <wp:wrapNone/>
              <wp:docPr id="4098" name="文本框 2"/>
              <wp:cNvGraphicFramePr/>
              <a:graphic xmlns:a="http://schemas.openxmlformats.org/drawingml/2006/main">
                <a:graphicData uri="http://schemas.microsoft.com/office/word/2010/wordprocessingShape">
                  <wps:wsp>
                    <wps:cNvSpPr/>
                    <wps:spPr>
                      <a:xfrm>
                        <a:off x="0" y="0"/>
                        <a:ext cx="533400" cy="1828800"/>
                      </a:xfrm>
                      <a:prstGeom prst="rect">
                        <a:avLst/>
                      </a:prstGeom>
                      <a:ln>
                        <a:noFill/>
                      </a:ln>
                    </wps:spPr>
                    <wps:txbx>
                      <w:txbxContent>
                        <w:p w14:paraId="44CC40D5">
                          <w:pPr>
                            <w:pStyle w:val="39"/>
                            <w:jc w:val="center"/>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94</w:t>
                          </w:r>
                          <w:r>
                            <w:fldChar w:fldCharType="end"/>
                          </w:r>
                        </w:p>
                      </w:txbxContent>
                    </wps:txbx>
                    <wps:bodyPr lIns="0" tIns="0" rIns="0" bIns="0">
                      <a:spAutoFit/>
                    </wps:bodyPr>
                  </wps:wsp>
                </a:graphicData>
              </a:graphic>
            </wp:anchor>
          </w:drawing>
        </mc:Choice>
        <mc:Fallback>
          <w:pict>
            <v:rect id="文本框 2" o:spid="_x0000_s1026" o:spt="1" style="position:absolute;left:0pt;margin-top:0pt;height:144pt;width:42pt;mso-position-horizontal:center;mso-position-horizontal-relative:margin;z-index:251660288;mso-width-relative:page;mso-height-relative:page;" filled="f" stroked="f" coordsize="21600,21600" o:gfxdata="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xPZDHdMAAAAEAQAADwAAAAAAAAABACAAAAAiAAAAZHJzL2Rvd25yZXYueG1sUEsBAhQAFAAAAAgA&#10;h07iQFW6nZi4AQAAbgMAAA4AAAAAAAAAAQAgAAAAIgEAAGRycy9lMm9Eb2MueG1sUEsFBgAAAAAG&#10;AAYAWQEAAEwFAAAAAA==&#10;">
              <v:fill on="f" focussize="0,0"/>
              <v:stroke on="f"/>
              <v:imagedata o:title=""/>
              <o:lock v:ext="edit" aspectratio="f"/>
              <v:textbox inset="0mm,0mm,0mm,0mm" style="mso-fit-shape-to-text:t;">
                <w:txbxContent>
                  <w:p w14:paraId="44CC40D5">
                    <w:pPr>
                      <w:pStyle w:val="39"/>
                      <w:jc w:val="center"/>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94</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C3CD9">
    <w:pPr>
      <w:rPr>
        <w:rFonts w:ascii="仿宋_GB2312" w:eastAsia="仿宋_GB2312"/>
      </w:rPr>
    </w:pP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2184400" cy="1828800"/>
              <wp:effectExtent l="0" t="0" r="0" b="0"/>
              <wp:wrapNone/>
              <wp:docPr id="4099" name="文本框 3"/>
              <wp:cNvGraphicFramePr/>
              <a:graphic xmlns:a="http://schemas.openxmlformats.org/drawingml/2006/main">
                <a:graphicData uri="http://schemas.microsoft.com/office/word/2010/wordprocessingShape">
                  <wps:wsp>
                    <wps:cNvSpPr/>
                    <wps:spPr>
                      <a:xfrm>
                        <a:off x="0" y="0"/>
                        <a:ext cx="2184400" cy="1828800"/>
                      </a:xfrm>
                      <a:prstGeom prst="rect">
                        <a:avLst/>
                      </a:prstGeom>
                      <a:ln>
                        <a:noFill/>
                      </a:ln>
                    </wps:spPr>
                    <wps:txbx>
                      <w:txbxContent>
                        <w:p w14:paraId="679C09D1">
                          <w:pPr>
                            <w:pStyle w:val="39"/>
                            <w:jc w:val="center"/>
                          </w:pPr>
                          <w:r>
                            <w:fldChar w:fldCharType="begin"/>
                          </w:r>
                          <w:r>
                            <w:instrText xml:space="preserve"> PAGE  \* MERGEFORMAT </w:instrText>
                          </w:r>
                          <w:r>
                            <w:fldChar w:fldCharType="separate"/>
                          </w:r>
                          <w:r>
                            <w:t>38</w:t>
                          </w:r>
                          <w:r>
                            <w:fldChar w:fldCharType="end"/>
                          </w:r>
                          <w:r>
                            <w:t xml:space="preserve"> / </w:t>
                          </w:r>
                          <w:r>
                            <w:fldChar w:fldCharType="begin"/>
                          </w:r>
                          <w:r>
                            <w:instrText xml:space="preserve"> NUMPAGES  \* MERGEFORMAT </w:instrText>
                          </w:r>
                          <w:r>
                            <w:fldChar w:fldCharType="separate"/>
                          </w:r>
                          <w:r>
                            <w:t>94</w:t>
                          </w:r>
                          <w:r>
                            <w:fldChar w:fldCharType="end"/>
                          </w:r>
                        </w:p>
                      </w:txbxContent>
                    </wps:txbx>
                    <wps:bodyPr lIns="0" tIns="0" rIns="0" bIns="0">
                      <a:spAutoFit/>
                    </wps:bodyPr>
                  </wps:wsp>
                </a:graphicData>
              </a:graphic>
            </wp:anchor>
          </w:drawing>
        </mc:Choice>
        <mc:Fallback>
          <w:pict>
            <v:rect id="文本框 3" o:spid="_x0000_s1026" o:spt="1" style="position:absolute;left:0pt;margin-top:0pt;height:144pt;width:172pt;mso-position-horizontal:center;mso-position-horizontal-relative:margin;z-index:251661312;mso-width-relative:page;mso-height-relative:page;" filled="f" stroked="f" coordsize="21600,21600" o:gfxdata="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0YMrNdUAAAAFAQAADwAAAAAAAAABACAAAAAiAAAAZHJzL2Rvd25yZXYueG1sUEsBAhQAFAAA&#10;AAgAh07iQGP7Nee5AQAAbwMAAA4AAAAAAAAAAQAgAAAAJAEAAGRycy9lMm9Eb2MueG1sUEsFBgAA&#10;AAAGAAYAWQEAAE8FAAAAAA==&#10;">
              <v:fill on="f" focussize="0,0"/>
              <v:stroke on="f"/>
              <v:imagedata o:title=""/>
              <o:lock v:ext="edit" aspectratio="f"/>
              <v:textbox inset="0mm,0mm,0mm,0mm" style="mso-fit-shape-to-text:t;">
                <w:txbxContent>
                  <w:p w14:paraId="679C09D1">
                    <w:pPr>
                      <w:pStyle w:val="39"/>
                      <w:jc w:val="center"/>
                    </w:pPr>
                    <w:r>
                      <w:fldChar w:fldCharType="begin"/>
                    </w:r>
                    <w:r>
                      <w:instrText xml:space="preserve"> PAGE  \* MERGEFORMAT </w:instrText>
                    </w:r>
                    <w:r>
                      <w:fldChar w:fldCharType="separate"/>
                    </w:r>
                    <w:r>
                      <w:t>38</w:t>
                    </w:r>
                    <w:r>
                      <w:fldChar w:fldCharType="end"/>
                    </w:r>
                    <w:r>
                      <w:t xml:space="preserve"> / </w:t>
                    </w:r>
                    <w:r>
                      <w:fldChar w:fldCharType="begin"/>
                    </w:r>
                    <w:r>
                      <w:instrText xml:space="preserve"> NUMPAGES  \* MERGEFORMAT </w:instrText>
                    </w:r>
                    <w:r>
                      <w:fldChar w:fldCharType="separate"/>
                    </w:r>
                    <w:r>
                      <w:t>94</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6ECA1">
    <w:pPr>
      <w:rPr>
        <w:rFonts w:ascii="仿宋_GB2312" w:eastAsia="仿宋_GB2312"/>
      </w:rPr>
    </w:pPr>
    <w: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79216EF">
                          <w:pPr>
                            <w:pStyle w:val="39"/>
                          </w:pPr>
                          <w:r>
                            <w:fldChar w:fldCharType="begin"/>
                          </w:r>
                          <w:r>
                            <w:instrText xml:space="preserve"> PAGE  \* MERGEFORMAT </w:instrText>
                          </w:r>
                          <w:r>
                            <w:fldChar w:fldCharType="separate"/>
                          </w:r>
                          <w:r>
                            <w:t>37</w:t>
                          </w:r>
                          <w:r>
                            <w:fldChar w:fldCharType="end"/>
                          </w:r>
                          <w:r>
                            <w:t xml:space="preserve"> / </w:t>
                          </w:r>
                          <w:r>
                            <w:fldChar w:fldCharType="begin"/>
                          </w:r>
                          <w:r>
                            <w:instrText xml:space="preserve"> NUMPAGES  \* MERGEFORMAT </w:instrText>
                          </w:r>
                          <w:r>
                            <w:fldChar w:fldCharType="separate"/>
                          </w:r>
                          <w:r>
                            <w:t>94</w:t>
                          </w:r>
                          <w:r>
                            <w:fldChar w:fldCharType="end"/>
                          </w:r>
                        </w:p>
                      </w:txbxContent>
                    </wps:txbx>
                    <wps:bodyPr wrap="none" lIns="0" tIns="0" rIns="0" bIns="0">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uXW5UtAAAAAFAQAADwAAAAAAAAABACAAAAAiAAAAZHJzL2Rvd25yZXYueG1sUEsBAhQAFAAAAAgA&#10;h07iQGRKQbW7AQAAewMAAA4AAAAAAAAAAQAgAAAAHwEAAGRycy9lMm9Eb2MueG1sUEsFBgAAAAAG&#10;AAYAWQEAAEwFAAAAAA==&#10;">
              <v:fill on="f" focussize="0,0"/>
              <v:stroke on="f"/>
              <v:imagedata o:title=""/>
              <o:lock v:ext="edit" aspectratio="f"/>
              <v:textbox inset="0mm,0mm,0mm,0mm" style="mso-fit-shape-to-text:t;">
                <w:txbxContent>
                  <w:p w14:paraId="779216EF">
                    <w:pPr>
                      <w:pStyle w:val="39"/>
                    </w:pPr>
                    <w:r>
                      <w:fldChar w:fldCharType="begin"/>
                    </w:r>
                    <w:r>
                      <w:instrText xml:space="preserve"> PAGE  \* MERGEFORMAT </w:instrText>
                    </w:r>
                    <w:r>
                      <w:fldChar w:fldCharType="separate"/>
                    </w:r>
                    <w:r>
                      <w:t>37</w:t>
                    </w:r>
                    <w:r>
                      <w:fldChar w:fldCharType="end"/>
                    </w:r>
                    <w:r>
                      <w:t xml:space="preserve"> / </w:t>
                    </w:r>
                    <w:r>
                      <w:fldChar w:fldCharType="begin"/>
                    </w:r>
                    <w:r>
                      <w:instrText xml:space="preserve"> NUMPAGES  \* MERGEFORMAT </w:instrText>
                    </w:r>
                    <w:r>
                      <w:fldChar w:fldCharType="separate"/>
                    </w:r>
                    <w:r>
                      <w:t>94</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FA967">
    <w:pPr>
      <w:rPr>
        <w:rFonts w:ascii="仿宋_GB2312" w:eastAsia="仿宋_GB2312"/>
      </w:rPr>
    </w:pPr>
    <w:r>
      <mc:AlternateContent>
        <mc:Choice Requires="wps">
          <w:drawing>
            <wp:anchor distT="0" distB="0" distL="0" distR="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C119A1F">
                          <w:pPr>
                            <w:pStyle w:val="39"/>
                          </w:pPr>
                          <w:r>
                            <w:fldChar w:fldCharType="begin"/>
                          </w:r>
                          <w:r>
                            <w:instrText xml:space="preserve"> PAGE  \* MERGEFORMAT </w:instrText>
                          </w:r>
                          <w:r>
                            <w:fldChar w:fldCharType="separate"/>
                          </w:r>
                          <w:r>
                            <w:t>73</w:t>
                          </w:r>
                          <w:r>
                            <w:fldChar w:fldCharType="end"/>
                          </w:r>
                          <w:r>
                            <w:t xml:space="preserve"> / </w:t>
                          </w:r>
                          <w:r>
                            <w:fldChar w:fldCharType="begin"/>
                          </w:r>
                          <w:r>
                            <w:instrText xml:space="preserve"> NUMPAGES  \* MERGEFORMAT </w:instrText>
                          </w:r>
                          <w:r>
                            <w:fldChar w:fldCharType="separate"/>
                          </w:r>
                          <w:r>
                            <w:t>94</w:t>
                          </w:r>
                          <w:r>
                            <w:fldChar w:fldCharType="end"/>
                          </w:r>
                        </w:p>
                      </w:txbxContent>
                    </wps:txbx>
                    <wps:bodyPr wrap="none" lIns="0" tIns="0" rIns="0" bIns="0">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l1uVLQAAAABQEAAA8AAAAAAAAAAQAgAAAAIgAAAGRycy9kb3ducmV2LnhtbFBLAQIUABQAAAAI&#10;AIdO4kA4bsbOvAEAAHsDAAAOAAAAAAAAAAEAIAAAAB8BAABkcnMvZTJvRG9jLnhtbFBLBQYAAAAA&#10;BgAGAFkBAABNBQAAAAA=&#10;">
              <v:fill on="f" focussize="0,0"/>
              <v:stroke on="f"/>
              <v:imagedata o:title=""/>
              <o:lock v:ext="edit" aspectratio="f"/>
              <v:textbox inset="0mm,0mm,0mm,0mm" style="mso-fit-shape-to-text:t;">
                <w:txbxContent>
                  <w:p w14:paraId="3C119A1F">
                    <w:pPr>
                      <w:pStyle w:val="39"/>
                    </w:pPr>
                    <w:r>
                      <w:fldChar w:fldCharType="begin"/>
                    </w:r>
                    <w:r>
                      <w:instrText xml:space="preserve"> PAGE  \* MERGEFORMAT </w:instrText>
                    </w:r>
                    <w:r>
                      <w:fldChar w:fldCharType="separate"/>
                    </w:r>
                    <w:r>
                      <w:t>73</w:t>
                    </w:r>
                    <w:r>
                      <w:fldChar w:fldCharType="end"/>
                    </w:r>
                    <w:r>
                      <w:t xml:space="preserve"> / </w:t>
                    </w:r>
                    <w:r>
                      <w:fldChar w:fldCharType="begin"/>
                    </w:r>
                    <w:r>
                      <w:instrText xml:space="preserve"> NUMPAGES  \* MERGEFORMAT </w:instrText>
                    </w:r>
                    <w:r>
                      <w:fldChar w:fldCharType="separate"/>
                    </w:r>
                    <w:r>
                      <w:t>94</w:t>
                    </w:r>
                    <w: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B10F6">
    <w:pPr>
      <w:rPr>
        <w:rFonts w:ascii="仿宋_GB2312" w:eastAsia="仿宋_GB2312"/>
      </w:rPr>
    </w:pPr>
    <w:r>
      <mc:AlternateContent>
        <mc:Choice Requires="wps">
          <w:drawing>
            <wp:anchor distT="0" distB="0" distL="0" distR="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85C9EAE">
                          <w:pPr>
                            <w:pStyle w:val="39"/>
                          </w:pPr>
                          <w:r>
                            <w:fldChar w:fldCharType="begin"/>
                          </w:r>
                          <w:r>
                            <w:instrText xml:space="preserve"> PAGE  \* MERGEFORMAT </w:instrText>
                          </w:r>
                          <w:r>
                            <w:fldChar w:fldCharType="separate"/>
                          </w:r>
                          <w:r>
                            <w:t>72</w:t>
                          </w:r>
                          <w:r>
                            <w:fldChar w:fldCharType="end"/>
                          </w:r>
                          <w:r>
                            <w:t xml:space="preserve"> / </w:t>
                          </w:r>
                          <w:r>
                            <w:fldChar w:fldCharType="begin"/>
                          </w:r>
                          <w:r>
                            <w:instrText xml:space="preserve"> NUMPAGES  \* MERGEFORMAT </w:instrText>
                          </w:r>
                          <w:r>
                            <w:fldChar w:fldCharType="separate"/>
                          </w:r>
                          <w:r>
                            <w:t>94</w:t>
                          </w:r>
                          <w:r>
                            <w:fldChar w:fldCharType="end"/>
                          </w:r>
                        </w:p>
                      </w:txbxContent>
                    </wps:txbx>
                    <wps:bodyPr wrap="none" lIns="0" tIns="0" rIns="0" bIns="0">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l1uVLQAAAABQEAAA8AAAAAAAAAAQAgAAAAIgAAAGRycy9kb3ducmV2LnhtbFBLAQIUABQAAAAI&#10;AIdO4kDcAk9CvAEAAHsDAAAOAAAAAAAAAAEAIAAAAB8BAABkcnMvZTJvRG9jLnhtbFBLBQYAAAAA&#10;BgAGAFkBAABNBQAAAAA=&#10;">
              <v:fill on="f" focussize="0,0"/>
              <v:stroke on="f"/>
              <v:imagedata o:title=""/>
              <o:lock v:ext="edit" aspectratio="f"/>
              <v:textbox inset="0mm,0mm,0mm,0mm" style="mso-fit-shape-to-text:t;">
                <w:txbxContent>
                  <w:p w14:paraId="685C9EAE">
                    <w:pPr>
                      <w:pStyle w:val="39"/>
                    </w:pPr>
                    <w:r>
                      <w:fldChar w:fldCharType="begin"/>
                    </w:r>
                    <w:r>
                      <w:instrText xml:space="preserve"> PAGE  \* MERGEFORMAT </w:instrText>
                    </w:r>
                    <w:r>
                      <w:fldChar w:fldCharType="separate"/>
                    </w:r>
                    <w:r>
                      <w:t>72</w:t>
                    </w:r>
                    <w:r>
                      <w:fldChar w:fldCharType="end"/>
                    </w:r>
                    <w:r>
                      <w:t xml:space="preserve"> / </w:t>
                    </w:r>
                    <w:r>
                      <w:fldChar w:fldCharType="begin"/>
                    </w:r>
                    <w:r>
                      <w:instrText xml:space="preserve"> NUMPAGES  \* MERGEFORMAT </w:instrText>
                    </w:r>
                    <w:r>
                      <w:fldChar w:fldCharType="separate"/>
                    </w:r>
                    <w:r>
                      <w:t>94</w:t>
                    </w:r>
                    <w: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D3437">
    <w:pPr>
      <w:rPr>
        <w:rFonts w:ascii="仿宋_GB2312" w:eastAsia="仿宋_GB2312"/>
      </w:rPr>
    </w:pPr>
    <w:r>
      <mc:AlternateContent>
        <mc:Choice Requires="wps">
          <w:drawing>
            <wp:anchor distT="0" distB="0" distL="0" distR="0" simplePos="0" relativeHeight="251665408" behindDoc="0" locked="0" layoutInCell="1" allowOverlap="1">
              <wp:simplePos x="0" y="0"/>
              <wp:positionH relativeFrom="margin">
                <wp:posOffset>4501515</wp:posOffset>
              </wp:positionH>
              <wp:positionV relativeFrom="paragraph">
                <wp:posOffset>0</wp:posOffset>
              </wp:positionV>
              <wp:extent cx="422910" cy="120650"/>
              <wp:effectExtent l="0" t="0" r="0" b="0"/>
              <wp:wrapNone/>
              <wp:docPr id="4103" name="文本框 7"/>
              <wp:cNvGraphicFramePr/>
              <a:graphic xmlns:a="http://schemas.openxmlformats.org/drawingml/2006/main">
                <a:graphicData uri="http://schemas.microsoft.com/office/word/2010/wordprocessingShape">
                  <wps:wsp>
                    <wps:cNvSpPr/>
                    <wps:spPr>
                      <a:xfrm>
                        <a:off x="0" y="0"/>
                        <a:ext cx="422910" cy="120650"/>
                      </a:xfrm>
                      <a:prstGeom prst="rect">
                        <a:avLst/>
                      </a:prstGeom>
                      <a:ln>
                        <a:noFill/>
                      </a:ln>
                    </wps:spPr>
                    <wps:txbx>
                      <w:txbxContent>
                        <w:p w14:paraId="099A753F">
                          <w:pPr>
                            <w:pStyle w:val="39"/>
                          </w:pPr>
                          <w:r>
                            <w:fldChar w:fldCharType="begin"/>
                          </w:r>
                          <w:r>
                            <w:instrText xml:space="preserve"> PAGE  \* MERGEFORMAT </w:instrText>
                          </w:r>
                          <w:r>
                            <w:fldChar w:fldCharType="separate"/>
                          </w:r>
                          <w:r>
                            <w:t>77</w:t>
                          </w:r>
                          <w:r>
                            <w:fldChar w:fldCharType="end"/>
                          </w:r>
                          <w:r>
                            <w:t xml:space="preserve"> / </w:t>
                          </w:r>
                          <w:r>
                            <w:fldChar w:fldCharType="begin"/>
                          </w:r>
                          <w:r>
                            <w:instrText xml:space="preserve"> NUMPAGES  \* MERGEFORMAT </w:instrText>
                          </w:r>
                          <w:r>
                            <w:fldChar w:fldCharType="separate"/>
                          </w:r>
                          <w:r>
                            <w:t>94</w:t>
                          </w:r>
                          <w:r>
                            <w:fldChar w:fldCharType="end"/>
                          </w:r>
                        </w:p>
                      </w:txbxContent>
                    </wps:txbx>
                    <wps:bodyPr wrap="square" lIns="0" tIns="0" rIns="0" bIns="0">
                      <a:noAutofit/>
                    </wps:bodyPr>
                  </wps:wsp>
                </a:graphicData>
              </a:graphic>
            </wp:anchor>
          </w:drawing>
        </mc:Choice>
        <mc:Fallback>
          <w:pict>
            <v:rect id="文本框 7" o:spid="_x0000_s1026" o:spt="1" style="position:absolute;left:0pt;margin-left:354.45pt;margin-top:0pt;height:9.5pt;width:33.3pt;mso-position-horizontal-relative:margin;z-index:251665408;mso-width-relative:page;mso-height-relative:page;" filled="f" stroked="f" coordsize="21600,21600" o:gfxdata="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x5SErXAAAABwEAAA8AAAAAAAAAAQAgAAAAIgAAAGRycy9kb3ducmV2Lnht&#10;bFBLAQIUABQAAAAIAIdO4kCR1IFcwQEAAHsDAAAOAAAAAAAAAAEAIAAAACYBAABkcnMvZTJvRG9j&#10;LnhtbFBLBQYAAAAABgAGAFkBAABZBQAAAAA=&#10;">
              <v:fill on="f" focussize="0,0"/>
              <v:stroke on="f"/>
              <v:imagedata o:title=""/>
              <o:lock v:ext="edit" aspectratio="f"/>
              <v:textbox inset="0mm,0mm,0mm,0mm">
                <w:txbxContent>
                  <w:p w14:paraId="099A753F">
                    <w:pPr>
                      <w:pStyle w:val="39"/>
                    </w:pPr>
                    <w:r>
                      <w:fldChar w:fldCharType="begin"/>
                    </w:r>
                    <w:r>
                      <w:instrText xml:space="preserve"> PAGE  \* MERGEFORMAT </w:instrText>
                    </w:r>
                    <w:r>
                      <w:fldChar w:fldCharType="separate"/>
                    </w:r>
                    <w:r>
                      <w:t>77</w:t>
                    </w:r>
                    <w:r>
                      <w:fldChar w:fldCharType="end"/>
                    </w:r>
                    <w:r>
                      <w:t xml:space="preserve"> / </w:t>
                    </w:r>
                    <w:r>
                      <w:fldChar w:fldCharType="begin"/>
                    </w:r>
                    <w:r>
                      <w:instrText xml:space="preserve"> NUMPAGES  \* MERGEFORMAT </w:instrText>
                    </w:r>
                    <w:r>
                      <w:fldChar w:fldCharType="separate"/>
                    </w:r>
                    <w:r>
                      <w:t>94</w:t>
                    </w:r>
                    <w:r>
                      <w:fldChar w:fldCharType="end"/>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85FD6">
    <w:pPr>
      <w:rPr>
        <w:rFonts w:ascii="仿宋_GB2312" w:eastAsia="仿宋_GB2312"/>
      </w:rPr>
    </w:pPr>
    <w:r>
      <mc:AlternateContent>
        <mc:Choice Requires="wps">
          <w:drawing>
            <wp:anchor distT="0" distB="0" distL="0" distR="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4"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8F39134">
                          <w:pPr>
                            <w:pStyle w:val="39"/>
                          </w:pPr>
                          <w:r>
                            <w:fldChar w:fldCharType="begin"/>
                          </w:r>
                          <w:r>
                            <w:instrText xml:space="preserve"> PAGE  \* MERGEFORMAT </w:instrText>
                          </w:r>
                          <w:r>
                            <w:fldChar w:fldCharType="separate"/>
                          </w:r>
                          <w:r>
                            <w:t>75</w:t>
                          </w:r>
                          <w:r>
                            <w:fldChar w:fldCharType="end"/>
                          </w:r>
                          <w:r>
                            <w:t xml:space="preserve"> / </w:t>
                          </w:r>
                          <w:r>
                            <w:fldChar w:fldCharType="begin"/>
                          </w:r>
                          <w:r>
                            <w:instrText xml:space="preserve"> NUMPAGES  \* MERGEFORMAT </w:instrText>
                          </w:r>
                          <w:r>
                            <w:fldChar w:fldCharType="separate"/>
                          </w:r>
                          <w:r>
                            <w:t>94</w:t>
                          </w:r>
                          <w:r>
                            <w:fldChar w:fldCharType="end"/>
                          </w:r>
                        </w:p>
                      </w:txbxContent>
                    </wps:txbx>
                    <wps:bodyPr wrap="none" lIns="0" tIns="0" rIns="0" bIns="0">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l1uVLQAAAABQEAAA8AAAAAAAAAAQAgAAAAIgAAAGRycy9kb3ducmV2LnhtbFBLAQIUABQAAAAI&#10;AIdO4kAwDeLnvAEAAHsDAAAOAAAAAAAAAAEAIAAAAB8BAABkcnMvZTJvRG9jLnhtbFBLBQYAAAAA&#10;BgAGAFkBAABNBQAAAAA=&#10;">
              <v:fill on="f" focussize="0,0"/>
              <v:stroke on="f"/>
              <v:imagedata o:title=""/>
              <o:lock v:ext="edit" aspectratio="f"/>
              <v:textbox inset="0mm,0mm,0mm,0mm" style="mso-fit-shape-to-text:t;">
                <w:txbxContent>
                  <w:p w14:paraId="08F39134">
                    <w:pPr>
                      <w:pStyle w:val="39"/>
                    </w:pPr>
                    <w:r>
                      <w:fldChar w:fldCharType="begin"/>
                    </w:r>
                    <w:r>
                      <w:instrText xml:space="preserve"> PAGE  \* MERGEFORMAT </w:instrText>
                    </w:r>
                    <w:r>
                      <w:fldChar w:fldCharType="separate"/>
                    </w:r>
                    <w:r>
                      <w:t>75</w:t>
                    </w:r>
                    <w:r>
                      <w:fldChar w:fldCharType="end"/>
                    </w:r>
                    <w:r>
                      <w:t xml:space="preserve"> / </w:t>
                    </w:r>
                    <w:r>
                      <w:fldChar w:fldCharType="begin"/>
                    </w:r>
                    <w:r>
                      <w:instrText xml:space="preserve"> NUMPAGES  \* MERGEFORMAT </w:instrText>
                    </w:r>
                    <w:r>
                      <w:fldChar w:fldCharType="separate"/>
                    </w:r>
                    <w:r>
                      <w:t>94</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E01BA">
    <w:pPr>
      <w:pStyle w:val="40"/>
      <w:pBdr>
        <w:bottom w:val="single" w:color="auto" w:sz="6" w:space="0"/>
      </w:pBdr>
      <w:tabs>
        <w:tab w:val="clear" w:pos="4153"/>
        <w:tab w:val="clear" w:pos="8306"/>
      </w:tabs>
      <w:jc w:val="right"/>
    </w:pP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F0A05">
    <w:pPr>
      <w:pStyle w:val="40"/>
      <w:pBdr>
        <w:bottom w:val="single" w:color="auto" w:sz="6" w:space="0"/>
      </w:pBdr>
      <w:tabs>
        <w:tab w:val="clear" w:pos="4153"/>
        <w:tab w:val="clear" w:pos="8306"/>
      </w:tabs>
      <w:jc w:val="right"/>
    </w:pP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7EB2A">
    <w:pPr>
      <w:pStyle w:val="40"/>
      <w:pBdr>
        <w:bottom w:val="single" w:color="auto" w:sz="6" w:space="0"/>
      </w:pBdr>
      <w:tabs>
        <w:tab w:val="clear" w:pos="4153"/>
        <w:tab w:val="clear" w:pos="8306"/>
      </w:tabs>
      <w:jc w:val="right"/>
    </w:pP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B4EC6">
    <w:pPr>
      <w:pStyle w:val="40"/>
      <w:pBdr>
        <w:bottom w:val="single" w:color="auto" w:sz="6" w:space="0"/>
      </w:pBdr>
      <w:tabs>
        <w:tab w:val="clear" w:pos="4153"/>
        <w:tab w:val="clear" w:pos="8306"/>
      </w:tabs>
      <w:jc w:val="right"/>
      <w:rPr>
        <w:rFonts w:ascii="仿宋_GB2312" w:eastAsia="仿宋_GB2312"/>
        <w:b/>
        <w:i/>
        <w:u w:val="single"/>
      </w:rPr>
    </w:pP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93DD9">
    <w:pPr>
      <w:pStyle w:val="40"/>
      <w:pBdr>
        <w:bottom w:val="single" w:color="auto" w:sz="6" w:space="0"/>
      </w:pBdr>
      <w:tabs>
        <w:tab w:val="clear" w:pos="4153"/>
        <w:tab w:val="clear" w:pos="8306"/>
      </w:tabs>
      <w:jc w:val="right"/>
      <w:rPr>
        <w:rFonts w:ascii="仿宋_GB2312"/>
        <w:b/>
        <w:i/>
        <w:iCs/>
        <w:u w:val="single"/>
      </w:rPr>
    </w:pP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B3ECFB"/>
    <w:multiLevelType w:val="singleLevel"/>
    <w:tmpl w:val="8AB3ECFB"/>
    <w:lvl w:ilvl="0" w:tentative="0">
      <w:start w:val="1"/>
      <w:numFmt w:val="decimal"/>
      <w:suff w:val="nothing"/>
      <w:lvlText w:val="%1、"/>
      <w:lvlJc w:val="left"/>
    </w:lvl>
  </w:abstractNum>
  <w:abstractNum w:abstractNumId="1">
    <w:nsid w:val="D9A795E6"/>
    <w:multiLevelType w:val="singleLevel"/>
    <w:tmpl w:val="D9A795E6"/>
    <w:lvl w:ilvl="0" w:tentative="0">
      <w:start w:val="1"/>
      <w:numFmt w:val="chineseCounting"/>
      <w:suff w:val="nothing"/>
      <w:lvlText w:val="%1、"/>
      <w:lvlJc w:val="left"/>
      <w:pPr>
        <w:ind w:left="0" w:firstLine="420"/>
      </w:pPr>
      <w:rPr>
        <w:rFonts w:hint="eastAsia"/>
      </w:rPr>
    </w:lvl>
  </w:abstractNum>
  <w:abstractNum w:abstractNumId="2">
    <w:nsid w:val="00000001"/>
    <w:multiLevelType w:val="singleLevel"/>
    <w:tmpl w:val="00000001"/>
    <w:lvl w:ilvl="0" w:tentative="0">
      <w:start w:val="1"/>
      <w:numFmt w:val="decimalEnclosedCircleChinese"/>
      <w:suff w:val="nothing"/>
      <w:lvlText w:val="%1　"/>
      <w:lvlJc w:val="left"/>
      <w:pPr>
        <w:ind w:left="0" w:firstLine="400"/>
      </w:pPr>
      <w:rPr>
        <w:rFonts w:hint="eastAsia" w:ascii="宋体" w:hAnsi="宋体" w:eastAsia="宋体" w:cs="宋体"/>
      </w:rPr>
    </w:lvl>
  </w:abstractNum>
  <w:abstractNum w:abstractNumId="3">
    <w:nsid w:val="00000002"/>
    <w:multiLevelType w:val="singleLevel"/>
    <w:tmpl w:val="00000002"/>
    <w:lvl w:ilvl="0" w:tentative="0">
      <w:start w:val="1"/>
      <w:numFmt w:val="decimalEnclosedCircleChinese"/>
      <w:suff w:val="nothing"/>
      <w:lvlText w:val="%1　"/>
      <w:lvlJc w:val="left"/>
      <w:pPr>
        <w:ind w:left="26" w:firstLine="400"/>
      </w:pPr>
      <w:rPr>
        <w:rFonts w:hint="eastAsia" w:ascii="宋体" w:hAnsi="宋体" w:eastAsia="宋体" w:cs="宋体"/>
        <w:lang w:val="en-US"/>
      </w:rPr>
    </w:lvl>
  </w:abstractNum>
  <w:abstractNum w:abstractNumId="4">
    <w:nsid w:val="00000003"/>
    <w:multiLevelType w:val="multilevel"/>
    <w:tmpl w:val="00000003"/>
    <w:lvl w:ilvl="0" w:tentative="0">
      <w:start w:val="1"/>
      <w:numFmt w:val="decimal"/>
      <w:suff w:val="nothing"/>
      <w:lvlText w:val="（%1）"/>
      <w:lvlJc w:val="left"/>
      <w:rPr>
        <w:rFonts w:hint="default"/>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4"/>
    <w:multiLevelType w:val="multilevel"/>
    <w:tmpl w:val="00000004"/>
    <w:lvl w:ilvl="0" w:tentative="0">
      <w:start w:val="1"/>
      <w:numFmt w:val="decimal"/>
      <w:suff w:val="nothing"/>
      <w:lvlText w:val="（%1）"/>
      <w:lvlJc w:val="left"/>
      <w:pPr>
        <w:ind w:left="840" w:hanging="420"/>
      </w:pPr>
      <w:rPr>
        <w:rFonts w:hint="default"/>
        <w:b w:val="0"/>
        <w:bCs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00000006"/>
    <w:multiLevelType w:val="singleLevel"/>
    <w:tmpl w:val="00000006"/>
    <w:lvl w:ilvl="0" w:tentative="0">
      <w:start w:val="1"/>
      <w:numFmt w:val="decimal"/>
      <w:suff w:val="nothing"/>
      <w:lvlText w:val="（%1）"/>
      <w:lvlJc w:val="left"/>
      <w:pPr>
        <w:tabs>
          <w:tab w:val="left" w:pos="0"/>
        </w:tabs>
      </w:pPr>
      <w:rPr>
        <w:rFonts w:hint="default"/>
      </w:rPr>
    </w:lvl>
  </w:abstractNum>
  <w:abstractNum w:abstractNumId="7">
    <w:nsid w:val="00000007"/>
    <w:multiLevelType w:val="singleLevel"/>
    <w:tmpl w:val="00000007"/>
    <w:lvl w:ilvl="0" w:tentative="0">
      <w:start w:val="1"/>
      <w:numFmt w:val="decimalEnclosedCircleChinese"/>
      <w:suff w:val="nothing"/>
      <w:lvlText w:val="%1　"/>
      <w:lvlJc w:val="left"/>
      <w:pPr>
        <w:ind w:left="0" w:firstLine="400"/>
      </w:pPr>
      <w:rPr>
        <w:rFonts w:hint="eastAsia" w:ascii="宋体" w:hAnsi="宋体" w:eastAsia="宋体" w:cs="宋体"/>
      </w:rPr>
    </w:lvl>
  </w:abstractNum>
  <w:abstractNum w:abstractNumId="8">
    <w:nsid w:val="0000000B"/>
    <w:multiLevelType w:val="multilevel"/>
    <w:tmpl w:val="0000000B"/>
    <w:lvl w:ilvl="0" w:tentative="0">
      <w:start w:val="1"/>
      <w:numFmt w:val="decimal"/>
      <w:lvlText w:val="（%1）"/>
      <w:lvlJc w:val="left"/>
      <w:pPr>
        <w:tabs>
          <w:tab w:val="left" w:pos="1200"/>
        </w:tabs>
        <w:ind w:left="1200" w:hanging="7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9">
    <w:nsid w:val="0053208E"/>
    <w:multiLevelType w:val="singleLevel"/>
    <w:tmpl w:val="0053208E"/>
    <w:lvl w:ilvl="0" w:tentative="0">
      <w:start w:val="1"/>
      <w:numFmt w:val="decimal"/>
      <w:suff w:val="nothing"/>
      <w:lvlText w:val="（%1）"/>
      <w:lvlJc w:val="left"/>
      <w:pPr>
        <w:tabs>
          <w:tab w:val="left" w:pos="0"/>
        </w:tabs>
      </w:pPr>
      <w:rPr>
        <w:rFonts w:hint="default"/>
      </w:rPr>
    </w:lvl>
  </w:abstractNum>
  <w:abstractNum w:abstractNumId="10">
    <w:nsid w:val="0BB7923E"/>
    <w:multiLevelType w:val="singleLevel"/>
    <w:tmpl w:val="0BB7923E"/>
    <w:lvl w:ilvl="0" w:tentative="0">
      <w:start w:val="1"/>
      <w:numFmt w:val="chineseCounting"/>
      <w:suff w:val="nothing"/>
      <w:lvlText w:val="%1、"/>
      <w:lvlJc w:val="left"/>
      <w:pPr>
        <w:ind w:left="0" w:firstLine="420"/>
      </w:pPr>
      <w:rPr>
        <w:rFonts w:hint="eastAsia"/>
      </w:rPr>
    </w:lvl>
  </w:abstractNum>
  <w:abstractNum w:abstractNumId="11">
    <w:nsid w:val="139CE472"/>
    <w:multiLevelType w:val="singleLevel"/>
    <w:tmpl w:val="139CE472"/>
    <w:lvl w:ilvl="0" w:tentative="0">
      <w:start w:val="1"/>
      <w:numFmt w:val="chineseCounting"/>
      <w:suff w:val="nothing"/>
      <w:lvlText w:val="%1、"/>
      <w:lvlJc w:val="left"/>
      <w:pPr>
        <w:ind w:left="0" w:firstLine="420"/>
      </w:pPr>
      <w:rPr>
        <w:rFonts w:hint="eastAsia"/>
      </w:rPr>
    </w:lvl>
  </w:abstractNum>
  <w:num w:numId="1">
    <w:abstractNumId w:val="4"/>
  </w:num>
  <w:num w:numId="2">
    <w:abstractNumId w:val="9"/>
  </w:num>
  <w:num w:numId="3">
    <w:abstractNumId w:val="7"/>
  </w:num>
  <w:num w:numId="4">
    <w:abstractNumId w:val="2"/>
  </w:num>
  <w:num w:numId="5">
    <w:abstractNumId w:val="6"/>
  </w:num>
  <w:num w:numId="6">
    <w:abstractNumId w:val="5"/>
  </w:num>
  <w:num w:numId="7">
    <w:abstractNumId w:val="0"/>
  </w:num>
  <w:num w:numId="8">
    <w:abstractNumId w:val="3"/>
  </w:num>
  <w:num w:numId="9">
    <w:abstractNumId w:val="8"/>
  </w:num>
  <w:num w:numId="10">
    <w:abstractNumId w:val="1"/>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jZGQ3ZjZkZGNiZmVlYjc2YzkxZWFiMjMyOTNkMjUifQ=="/>
  </w:docVars>
  <w:rsids>
    <w:rsidRoot w:val="00F56326"/>
    <w:rsid w:val="000838B2"/>
    <w:rsid w:val="004B2B21"/>
    <w:rsid w:val="005361CA"/>
    <w:rsid w:val="005674B3"/>
    <w:rsid w:val="00647380"/>
    <w:rsid w:val="00691113"/>
    <w:rsid w:val="007C0E0B"/>
    <w:rsid w:val="00902C2A"/>
    <w:rsid w:val="00F56326"/>
    <w:rsid w:val="012670EA"/>
    <w:rsid w:val="02EF2307"/>
    <w:rsid w:val="03DE3CAC"/>
    <w:rsid w:val="03E816AD"/>
    <w:rsid w:val="05D463B4"/>
    <w:rsid w:val="06035D9B"/>
    <w:rsid w:val="06043D3F"/>
    <w:rsid w:val="079C56C2"/>
    <w:rsid w:val="09B26C75"/>
    <w:rsid w:val="0A40135B"/>
    <w:rsid w:val="0A551517"/>
    <w:rsid w:val="0D527755"/>
    <w:rsid w:val="0DA970D9"/>
    <w:rsid w:val="0EA248A7"/>
    <w:rsid w:val="0F2E7521"/>
    <w:rsid w:val="0F764327"/>
    <w:rsid w:val="10AA179B"/>
    <w:rsid w:val="11162836"/>
    <w:rsid w:val="11893B3C"/>
    <w:rsid w:val="132918D9"/>
    <w:rsid w:val="13347445"/>
    <w:rsid w:val="13526141"/>
    <w:rsid w:val="137237EA"/>
    <w:rsid w:val="140E1E1C"/>
    <w:rsid w:val="14284D66"/>
    <w:rsid w:val="15267EF7"/>
    <w:rsid w:val="166A1338"/>
    <w:rsid w:val="17A53C94"/>
    <w:rsid w:val="17E03104"/>
    <w:rsid w:val="18FC27B3"/>
    <w:rsid w:val="1A510037"/>
    <w:rsid w:val="1AAF27C6"/>
    <w:rsid w:val="1AB75623"/>
    <w:rsid w:val="1AD437B7"/>
    <w:rsid w:val="1B09565B"/>
    <w:rsid w:val="1B214388"/>
    <w:rsid w:val="1BDB2B53"/>
    <w:rsid w:val="1D6A3EF2"/>
    <w:rsid w:val="1DBE78CF"/>
    <w:rsid w:val="1E3A3AFB"/>
    <w:rsid w:val="1E7C2157"/>
    <w:rsid w:val="1E9A15CA"/>
    <w:rsid w:val="1ED579B0"/>
    <w:rsid w:val="1F4D1FBA"/>
    <w:rsid w:val="1F8706E3"/>
    <w:rsid w:val="1FF91E11"/>
    <w:rsid w:val="20430BA7"/>
    <w:rsid w:val="20AC6059"/>
    <w:rsid w:val="20D504B9"/>
    <w:rsid w:val="20F848F5"/>
    <w:rsid w:val="22577B9F"/>
    <w:rsid w:val="23D5257E"/>
    <w:rsid w:val="24256B7B"/>
    <w:rsid w:val="2491398A"/>
    <w:rsid w:val="25611689"/>
    <w:rsid w:val="25EB64DA"/>
    <w:rsid w:val="2652435A"/>
    <w:rsid w:val="26A22DE9"/>
    <w:rsid w:val="26DC3B3F"/>
    <w:rsid w:val="27675BE3"/>
    <w:rsid w:val="2791483A"/>
    <w:rsid w:val="279F232A"/>
    <w:rsid w:val="28B64659"/>
    <w:rsid w:val="28FE168D"/>
    <w:rsid w:val="2B5B47EE"/>
    <w:rsid w:val="2B6D334E"/>
    <w:rsid w:val="2BD51A79"/>
    <w:rsid w:val="2C174955"/>
    <w:rsid w:val="2C471B3F"/>
    <w:rsid w:val="2CDF390C"/>
    <w:rsid w:val="2D3D2C71"/>
    <w:rsid w:val="2DC93154"/>
    <w:rsid w:val="2E187C37"/>
    <w:rsid w:val="2E8E1FD9"/>
    <w:rsid w:val="2EA63088"/>
    <w:rsid w:val="2F4962BE"/>
    <w:rsid w:val="2F8D29E4"/>
    <w:rsid w:val="30B33C47"/>
    <w:rsid w:val="31526B07"/>
    <w:rsid w:val="33603F7E"/>
    <w:rsid w:val="33B2468A"/>
    <w:rsid w:val="33B757FC"/>
    <w:rsid w:val="34EE5C6F"/>
    <w:rsid w:val="3550415A"/>
    <w:rsid w:val="366A124C"/>
    <w:rsid w:val="366B28CE"/>
    <w:rsid w:val="36CA07CF"/>
    <w:rsid w:val="389C0221"/>
    <w:rsid w:val="394A06CE"/>
    <w:rsid w:val="39630382"/>
    <w:rsid w:val="39804AC5"/>
    <w:rsid w:val="39BF39F7"/>
    <w:rsid w:val="3AA35841"/>
    <w:rsid w:val="3AC626CB"/>
    <w:rsid w:val="3B5D2CA1"/>
    <w:rsid w:val="3C97441D"/>
    <w:rsid w:val="3CAE49A5"/>
    <w:rsid w:val="3D290D07"/>
    <w:rsid w:val="3F377AF8"/>
    <w:rsid w:val="3F5601A9"/>
    <w:rsid w:val="402406BD"/>
    <w:rsid w:val="408E01BE"/>
    <w:rsid w:val="427D5E63"/>
    <w:rsid w:val="429E4757"/>
    <w:rsid w:val="42DF22D7"/>
    <w:rsid w:val="431A017F"/>
    <w:rsid w:val="455E0778"/>
    <w:rsid w:val="462E594E"/>
    <w:rsid w:val="47503B46"/>
    <w:rsid w:val="47655F00"/>
    <w:rsid w:val="47B364CA"/>
    <w:rsid w:val="47F15329"/>
    <w:rsid w:val="47F71CFF"/>
    <w:rsid w:val="48374534"/>
    <w:rsid w:val="483A5C59"/>
    <w:rsid w:val="48570C2D"/>
    <w:rsid w:val="49840258"/>
    <w:rsid w:val="4A7F2E19"/>
    <w:rsid w:val="4C364951"/>
    <w:rsid w:val="4D4458DA"/>
    <w:rsid w:val="4DA2238C"/>
    <w:rsid w:val="4E6E0E13"/>
    <w:rsid w:val="4E7F4E51"/>
    <w:rsid w:val="4E971E79"/>
    <w:rsid w:val="4EBC30A0"/>
    <w:rsid w:val="4F6765B7"/>
    <w:rsid w:val="4FAD7F37"/>
    <w:rsid w:val="50060252"/>
    <w:rsid w:val="50210776"/>
    <w:rsid w:val="50852AB2"/>
    <w:rsid w:val="50A552DB"/>
    <w:rsid w:val="50E977FF"/>
    <w:rsid w:val="515A3F3F"/>
    <w:rsid w:val="52345E12"/>
    <w:rsid w:val="527254DE"/>
    <w:rsid w:val="52C51B2E"/>
    <w:rsid w:val="530103EA"/>
    <w:rsid w:val="533B38D3"/>
    <w:rsid w:val="53545055"/>
    <w:rsid w:val="5455090C"/>
    <w:rsid w:val="547372DB"/>
    <w:rsid w:val="54B22733"/>
    <w:rsid w:val="54E11C16"/>
    <w:rsid w:val="5560182B"/>
    <w:rsid w:val="55B670AB"/>
    <w:rsid w:val="56CE4A87"/>
    <w:rsid w:val="57560774"/>
    <w:rsid w:val="57853108"/>
    <w:rsid w:val="58297DCC"/>
    <w:rsid w:val="589A2E73"/>
    <w:rsid w:val="5939465C"/>
    <w:rsid w:val="59DE57A5"/>
    <w:rsid w:val="5A1804F3"/>
    <w:rsid w:val="5A225816"/>
    <w:rsid w:val="5A302B55"/>
    <w:rsid w:val="5A9459B6"/>
    <w:rsid w:val="5B235D59"/>
    <w:rsid w:val="5B2B06FA"/>
    <w:rsid w:val="5C61170D"/>
    <w:rsid w:val="5CDB4954"/>
    <w:rsid w:val="5D041203"/>
    <w:rsid w:val="5D090655"/>
    <w:rsid w:val="5DBC7771"/>
    <w:rsid w:val="5EE0003A"/>
    <w:rsid w:val="5FA47637"/>
    <w:rsid w:val="5FB5191A"/>
    <w:rsid w:val="60AF6C6A"/>
    <w:rsid w:val="60F35816"/>
    <w:rsid w:val="611D6D37"/>
    <w:rsid w:val="61FB6DFD"/>
    <w:rsid w:val="622301A1"/>
    <w:rsid w:val="62BE3C02"/>
    <w:rsid w:val="6334218D"/>
    <w:rsid w:val="6367429A"/>
    <w:rsid w:val="63687FA9"/>
    <w:rsid w:val="63A44595"/>
    <w:rsid w:val="63FD1194"/>
    <w:rsid w:val="6443137A"/>
    <w:rsid w:val="648F64D0"/>
    <w:rsid w:val="65080952"/>
    <w:rsid w:val="65C854C3"/>
    <w:rsid w:val="66AD10D3"/>
    <w:rsid w:val="674A1F08"/>
    <w:rsid w:val="675447FA"/>
    <w:rsid w:val="67D70473"/>
    <w:rsid w:val="680C1EE1"/>
    <w:rsid w:val="68A5554E"/>
    <w:rsid w:val="694729C8"/>
    <w:rsid w:val="69945A0D"/>
    <w:rsid w:val="6AB23459"/>
    <w:rsid w:val="6CD22B83"/>
    <w:rsid w:val="6CFD1171"/>
    <w:rsid w:val="6D0112BB"/>
    <w:rsid w:val="6EA3753C"/>
    <w:rsid w:val="6EAD542B"/>
    <w:rsid w:val="6EBE093D"/>
    <w:rsid w:val="6F4240ED"/>
    <w:rsid w:val="6FCE10E6"/>
    <w:rsid w:val="706758D9"/>
    <w:rsid w:val="71761CBC"/>
    <w:rsid w:val="71EB73EE"/>
    <w:rsid w:val="721A70CF"/>
    <w:rsid w:val="7229553C"/>
    <w:rsid w:val="72ED0F3E"/>
    <w:rsid w:val="7443665D"/>
    <w:rsid w:val="74EB068B"/>
    <w:rsid w:val="7554713D"/>
    <w:rsid w:val="76141C2A"/>
    <w:rsid w:val="764C4802"/>
    <w:rsid w:val="7757167F"/>
    <w:rsid w:val="780115C3"/>
    <w:rsid w:val="786818F3"/>
    <w:rsid w:val="78C21DB8"/>
    <w:rsid w:val="795E51BB"/>
    <w:rsid w:val="7AB46A9E"/>
    <w:rsid w:val="7AF3148F"/>
    <w:rsid w:val="7B8476F2"/>
    <w:rsid w:val="7C7B2E38"/>
    <w:rsid w:val="7D0E2112"/>
    <w:rsid w:val="7E2C00F9"/>
    <w:rsid w:val="7E5621D7"/>
    <w:rsid w:val="7E945D07"/>
    <w:rsid w:val="7EEA3BB2"/>
    <w:rsid w:val="7F2428C7"/>
    <w:rsid w:val="7FB15C5A"/>
    <w:rsid w:val="7FC63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5"/>
    <w:qFormat/>
    <w:uiPriority w:val="99"/>
    <w:pPr>
      <w:jc w:val="left"/>
    </w:pPr>
  </w:style>
  <w:style w:type="paragraph" w:styleId="20">
    <w:name w:val="Salutation"/>
    <w:basedOn w:val="1"/>
    <w:next w:val="1"/>
    <w:link w:val="299"/>
    <w:qFormat/>
    <w:uiPriority w:val="0"/>
    <w:rPr>
      <w:rFonts w:ascii="仿宋_GB2312" w:eastAsia="仿宋_GB2312"/>
      <w:sz w:val="28"/>
      <w:szCs w:val="20"/>
    </w:rPr>
  </w:style>
  <w:style w:type="paragraph" w:styleId="21">
    <w:name w:val="Body Text 3"/>
    <w:basedOn w:val="1"/>
    <w:link w:val="331"/>
    <w:qFormat/>
    <w:uiPriority w:val="0"/>
    <w:pPr>
      <w:jc w:val="center"/>
    </w:pPr>
    <w:rPr>
      <w:szCs w:val="20"/>
    </w:rPr>
  </w:style>
  <w:style w:type="paragraph" w:styleId="22">
    <w:name w:val="List Bullet 3"/>
    <w:basedOn w:val="1"/>
    <w:qFormat/>
    <w:uiPriority w:val="0"/>
    <w:pPr>
      <w:snapToGrid w:val="0"/>
      <w:spacing w:line="360" w:lineRule="auto"/>
      <w:ind w:left="360" w:right="238" w:hanging="360"/>
      <w:contextualSpacing/>
    </w:pPr>
    <w:rPr>
      <w:sz w:val="24"/>
    </w:rPr>
  </w:style>
  <w:style w:type="paragraph" w:styleId="23">
    <w:name w:val="Body Text"/>
    <w:basedOn w:val="1"/>
    <w:next w:val="1"/>
    <w:link w:val="431"/>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6"/>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6"/>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2"/>
    <w:qFormat/>
    <w:uiPriority w:val="0"/>
    <w:pPr>
      <w:ind w:left="100" w:leftChars="2500"/>
    </w:pPr>
    <w:rPr>
      <w:rFonts w:ascii="宋体"/>
      <w:sz w:val="24"/>
      <w:szCs w:val="21"/>
      <w:lang w:val="zh-CN"/>
    </w:rPr>
  </w:style>
  <w:style w:type="paragraph" w:styleId="36">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7">
    <w:name w:val="endnote text"/>
    <w:basedOn w:val="1"/>
    <w:link w:val="933"/>
    <w:qFormat/>
    <w:uiPriority w:val="0"/>
    <w:rPr>
      <w:lang w:val="zh-CN"/>
    </w:rPr>
  </w:style>
  <w:style w:type="paragraph" w:styleId="38">
    <w:name w:val="Balloon Text"/>
    <w:basedOn w:val="1"/>
    <w:link w:val="189"/>
    <w:qFormat/>
    <w:uiPriority w:val="0"/>
    <w:rPr>
      <w:sz w:val="18"/>
      <w:szCs w:val="18"/>
    </w:rPr>
  </w:style>
  <w:style w:type="paragraph" w:styleId="39">
    <w:name w:val="footer"/>
    <w:basedOn w:val="1"/>
    <w:link w:val="384"/>
    <w:qFormat/>
    <w:uiPriority w:val="99"/>
    <w:pPr>
      <w:tabs>
        <w:tab w:val="center" w:pos="4153"/>
        <w:tab w:val="right" w:pos="8306"/>
      </w:tabs>
      <w:snapToGrid w:val="0"/>
      <w:jc w:val="left"/>
    </w:pPr>
    <w:rPr>
      <w:sz w:val="18"/>
      <w:szCs w:val="18"/>
    </w:rPr>
  </w:style>
  <w:style w:type="paragraph" w:styleId="40">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11"/>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6"/>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3"/>
    <w:qFormat/>
    <w:uiPriority w:val="0"/>
    <w:pPr>
      <w:spacing w:after="120" w:line="480" w:lineRule="auto"/>
    </w:pPr>
  </w:style>
  <w:style w:type="paragraph" w:styleId="56">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7"/>
    <w:qFormat/>
    <w:uiPriority w:val="0"/>
    <w:rPr>
      <w:b/>
      <w:bCs/>
    </w:rPr>
  </w:style>
  <w:style w:type="paragraph" w:styleId="60">
    <w:name w:val="Body Text First Indent"/>
    <w:basedOn w:val="23"/>
    <w:next w:val="50"/>
    <w:link w:val="322"/>
    <w:qFormat/>
    <w:uiPriority w:val="0"/>
    <w:pPr>
      <w:ind w:firstLine="420"/>
    </w:pPr>
    <w:rPr>
      <w:rFonts w:hAnsi="Calibri" w:cs="Times New Roman"/>
      <w:snapToGrid/>
      <w:szCs w:val="20"/>
    </w:rPr>
  </w:style>
  <w:style w:type="paragraph" w:styleId="61">
    <w:name w:val="Body Text First Indent 2"/>
    <w:basedOn w:val="24"/>
    <w:link w:val="12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styleId="79">
    <w:name w:val="HTML Sample"/>
    <w:basedOn w:val="69"/>
    <w:qFormat/>
    <w:uiPriority w:val="0"/>
    <w:rPr>
      <w:rFonts w:ascii="Courier New" w:hAnsi="Courier New"/>
    </w:rPr>
  </w:style>
  <w:style w:type="paragraph" w:customStyle="1" w:styleId="80">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_b01b611a-4f85-46e2-b9f3-680bff01b964"/>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字符"/>
    <w:link w:val="59"/>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_03b4b916-3f77-4daa-a81b-11c1b038b137"/>
    <w:qFormat/>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文本首行缩进 2 字符"/>
    <w:link w:val="61"/>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9"/>
    <w:qFormat/>
    <w:uiPriority w:val="0"/>
    <w:rPr>
      <w:rFonts w:ascii="Arial" w:hAnsi="Arial" w:eastAsia="黑体" w:cs="Arial"/>
      <w:snapToGrid w:val="0"/>
      <w:kern w:val="0"/>
      <w:szCs w:val="21"/>
    </w:rPr>
  </w:style>
  <w:style w:type="character" w:customStyle="1" w:styleId="126">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字符"/>
    <w:link w:val="46"/>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字符"/>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2"/>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字符"/>
    <w:link w:val="35"/>
    <w:qFormat/>
    <w:uiPriority w:val="0"/>
    <w:rPr>
      <w:rFonts w:ascii="宋体"/>
      <w:kern w:val="2"/>
      <w:sz w:val="24"/>
      <w:szCs w:val="21"/>
      <w:lang w:val="zh-CN"/>
    </w:rPr>
  </w:style>
  <w:style w:type="character" w:customStyle="1" w:styleId="183">
    <w:name w:val="标题 9 字符"/>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qFormat/>
    <w:uiPriority w:val="99"/>
    <w:rPr>
      <w:rFonts w:ascii="Times New Roman" w:hAnsi="Times New Roman" w:eastAsia="宋体" w:cs="Times New Roman"/>
      <w:szCs w:val="24"/>
    </w:rPr>
  </w:style>
  <w:style w:type="character" w:customStyle="1" w:styleId="189">
    <w:name w:val="批注框文本 字符1"/>
    <w:link w:val="38"/>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字符2"/>
    <w:link w:val="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字符"/>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字符"/>
    <w:link w:val="29"/>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_ecce25d3-ee21-4084-af77-8a1793f0d566"/>
    <w:qFormat/>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字符"/>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列出段落1"/>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字符1"/>
    <w:link w:val="24"/>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_edb755db-592d-458a-8cb1-d9dede147a49"/>
    <w:qFormat/>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字符1"/>
    <w:link w:val="3"/>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字符"/>
    <w:link w:val="58"/>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字符"/>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字符"/>
    <w:link w:val="20"/>
    <w:qFormat/>
    <w:uiPriority w:val="0"/>
    <w:rPr>
      <w:rFonts w:ascii="仿宋_GB2312" w:eastAsia="仿宋_GB2312"/>
      <w:kern w:val="2"/>
      <w:sz w:val="28"/>
    </w:rPr>
  </w:style>
  <w:style w:type="character" w:customStyle="1" w:styleId="300">
    <w:name w:val="文本正文 Char Char"/>
    <w:qFormat/>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字符"/>
    <w:link w:val="56"/>
    <w:qFormat/>
    <w:uiPriority w:val="0"/>
    <w:rPr>
      <w:rFonts w:ascii="黑体" w:hAnsi="Courier New" w:eastAsia="黑体"/>
    </w:rPr>
  </w:style>
  <w:style w:type="character" w:customStyle="1" w:styleId="303">
    <w:name w:val="正文文本 2 字符1"/>
    <w:link w:val="55"/>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4"/>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字符"/>
    <w:link w:val="9"/>
    <w:qFormat/>
    <w:uiPriority w:val="0"/>
    <w:rPr>
      <w:b/>
      <w:bCs/>
      <w:kern w:val="2"/>
      <w:sz w:val="24"/>
      <w:szCs w:val="24"/>
    </w:rPr>
  </w:style>
  <w:style w:type="character" w:customStyle="1" w:styleId="309">
    <w:name w:val="正文文本缩进 2 字符"/>
    <w:link w:val="36"/>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字符"/>
    <w:link w:val="49"/>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文本首行缩进 字符"/>
    <w:link w:val="60"/>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字符1"/>
    <w:link w:val="6"/>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字符"/>
    <w:link w:val="21"/>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字符1"/>
    <w:link w:val="19"/>
    <w:qFormat/>
    <w:uiPriority w:val="0"/>
    <w:rPr>
      <w:kern w:val="2"/>
      <w:sz w:val="21"/>
      <w:szCs w:val="24"/>
    </w:rPr>
  </w:style>
  <w:style w:type="character" w:customStyle="1" w:styleId="346">
    <w:name w:val="签名 字符"/>
    <w:link w:val="41"/>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字符"/>
    <w:link w:val="52"/>
    <w:qFormat/>
    <w:uiPriority w:val="0"/>
    <w:rPr>
      <w:kern w:val="2"/>
      <w:sz w:val="24"/>
    </w:rPr>
  </w:style>
  <w:style w:type="character" w:customStyle="1" w:styleId="377">
    <w:name w:val="日期 Char1"/>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字符2"/>
    <w:link w:val="39"/>
    <w:qFormat/>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字符2"/>
    <w:link w:val="40"/>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2"/>
    <w:qFormat/>
    <w:uiPriority w:val="0"/>
    <w:pPr>
      <w:keepLines w:val="0"/>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outlineLvl w:val="5"/>
    </w:pPr>
  </w:style>
  <w:style w:type="paragraph" w:customStyle="1" w:styleId="475">
    <w:name w:val="5级标题"/>
    <w:basedOn w:val="476"/>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无间隔2"/>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2"/>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Lines="50"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2"/>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2"/>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5"/>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ind w:left="1680"/>
      <w:outlineLvl w:val="2"/>
    </w:pPr>
  </w:style>
  <w:style w:type="paragraph" w:customStyle="1" w:styleId="659">
    <w:name w:val="章标题"/>
    <w:next w:val="64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Lines="50"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6"/>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37"/>
    <w:qFormat/>
    <w:uiPriority w:val="0"/>
    <w:rPr>
      <w:kern w:val="2"/>
      <w:sz w:val="21"/>
      <w:szCs w:val="24"/>
      <w:lang w:val="zh-CN"/>
    </w:rPr>
  </w:style>
  <w:style w:type="character" w:customStyle="1" w:styleId="934">
    <w:name w:val="无间隔 字符"/>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样式 标题 2 + Times New Roman 四号 非加粗 段前: 5 磅 段后: 0 磅 行距: 固定值 20..."/>
    <w:basedOn w:val="2"/>
    <w:qFormat/>
    <w:uiPriority w:val="0"/>
    <w:pPr>
      <w:tabs>
        <w:tab w:val="clear" w:pos="432"/>
      </w:tabs>
      <w:spacing w:before="100" w:line="400" w:lineRule="exact"/>
    </w:pPr>
    <w:rPr>
      <w:rFonts w:ascii="Times New Roman" w:hAnsi="Times New Roman" w:eastAsia="黑体" w:cs="宋体"/>
      <w:b w:val="0"/>
      <w:sz w:val="28"/>
      <w:szCs w:val="20"/>
    </w:rPr>
  </w:style>
  <w:style w:type="paragraph" w:customStyle="1" w:styleId="966">
    <w:name w:val="p16"/>
    <w:basedOn w:val="1"/>
    <w:qFormat/>
    <w:uiPriority w:val="0"/>
    <w:pPr>
      <w:widowControl/>
      <w:spacing w:before="100" w:after="100"/>
      <w:jc w:val="left"/>
    </w:pPr>
    <w:rPr>
      <w:rFonts w:ascii="宋体" w:hAnsi="宋体" w:cs="宋体"/>
      <w:color w:val="000000"/>
      <w:kern w:val="0"/>
      <w:sz w:val="24"/>
    </w:rPr>
  </w:style>
  <w:style w:type="paragraph" w:customStyle="1" w:styleId="967">
    <w:name w:val="修订4"/>
    <w:qFormat/>
    <w:uiPriority w:val="99"/>
    <w:rPr>
      <w:rFonts w:ascii="Times New Roman" w:hAnsi="Times New Roman" w:eastAsia="宋体" w:cs="Times New Roman"/>
      <w:kern w:val="2"/>
      <w:sz w:val="21"/>
      <w:szCs w:val="24"/>
      <w:lang w:val="en-US" w:eastAsia="zh-CN" w:bidi="ar-SA"/>
    </w:rPr>
  </w:style>
  <w:style w:type="paragraph" w:customStyle="1" w:styleId="968">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9">
    <w:name w:val="List Paragraph_41d0cc91-dce1-4733-b767-3adef058dad0"/>
    <w:basedOn w:val="1"/>
    <w:qFormat/>
    <w:uiPriority w:val="34"/>
    <w:pPr>
      <w:ind w:firstLine="420" w:firstLineChars="200"/>
    </w:pPr>
  </w:style>
  <w:style w:type="paragraph" w:styleId="970">
    <w:name w:val="List Paragraph"/>
    <w:basedOn w:val="1"/>
    <w:qFormat/>
    <w:uiPriority w:val="0"/>
    <w:pPr>
      <w:ind w:firstLine="420" w:firstLineChars="200"/>
    </w:pPr>
  </w:style>
  <w:style w:type="paragraph" w:customStyle="1" w:styleId="971">
    <w:name w:val="Revision_fbf35bdd-e3e5-4dd9-843f-3df11653d3cf"/>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customXml" Target="../customXml/item10.xml"/><Relationship Id="rId3" Type="http://schemas.openxmlformats.org/officeDocument/2006/relationships/header" Target="header1.xml"/><Relationship Id="rId29" Type="http://schemas.openxmlformats.org/officeDocument/2006/relationships/customXml" Target="../customXml/item9.xml"/><Relationship Id="rId28" Type="http://schemas.openxmlformats.org/officeDocument/2006/relationships/customXml" Target="../customXml/item8.xml"/><Relationship Id="rId27" Type="http://schemas.openxmlformats.org/officeDocument/2006/relationships/customXml" Target="../customXml/item7.xml"/><Relationship Id="rId26" Type="http://schemas.openxmlformats.org/officeDocument/2006/relationships/customXml" Target="../customXml/item6.xml"/><Relationship Id="rId25" Type="http://schemas.openxmlformats.org/officeDocument/2006/relationships/customXml" Target="../customXml/item5.xml"/><Relationship Id="rId24" Type="http://schemas.openxmlformats.org/officeDocument/2006/relationships/customXml" Target="../customXml/item4.xml"/><Relationship Id="rId23" Type="http://schemas.openxmlformats.org/officeDocument/2006/relationships/customXml" Target="../customXml/item3.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F437C461-3A7E-417E-BFBA-4E0E9CE8EFCD}">
  <ds:schemaRefs/>
</ds:datastoreItem>
</file>

<file path=customXml/itemProps2.xml><?xml version="1.0" encoding="utf-8"?>
<ds:datastoreItem xmlns:ds="http://schemas.openxmlformats.org/officeDocument/2006/customXml" ds:itemID="{2AFE4B50-4541-4C0A-8826-E5F6785E6F95}">
  <ds:schemaRefs/>
</ds:datastoreItem>
</file>

<file path=customXml/itemProps3.xml><?xml version="1.0" encoding="utf-8"?>
<ds:datastoreItem xmlns:ds="http://schemas.openxmlformats.org/officeDocument/2006/customXml" ds:itemID="{11B7DEF0-68A3-4D5A-B95E-711ED6C818D9}">
  <ds:schemaRefs/>
</ds:datastoreItem>
</file>

<file path=customXml/itemProps4.xml><?xml version="1.0" encoding="utf-8"?>
<ds:datastoreItem xmlns:ds="http://schemas.openxmlformats.org/officeDocument/2006/customXml" ds:itemID="{A0AEC046-4569-43C6-AE55-1C6E4B51ED35}">
  <ds:schemaRefs/>
</ds:datastoreItem>
</file>

<file path=customXml/itemProps5.xml><?xml version="1.0" encoding="utf-8"?>
<ds:datastoreItem xmlns:ds="http://schemas.openxmlformats.org/officeDocument/2006/customXml" ds:itemID="{AF0CF2AC-8989-4966-97B7-7A30421FEC48}">
  <ds:schemaRefs/>
</ds:datastoreItem>
</file>

<file path=customXml/itemProps6.xml><?xml version="1.0" encoding="utf-8"?>
<ds:datastoreItem xmlns:ds="http://schemas.openxmlformats.org/officeDocument/2006/customXml" ds:itemID="{58AB4CF5-A766-496D-BCB2-7836FD1EB665}">
  <ds:schemaRefs/>
</ds:datastoreItem>
</file>

<file path=customXml/itemProps7.xml><?xml version="1.0" encoding="utf-8"?>
<ds:datastoreItem xmlns:ds="http://schemas.openxmlformats.org/officeDocument/2006/customXml" ds:itemID="{7493D0BD-35E5-41E9-B0EE-10C81A904C52}">
  <ds:schemaRefs/>
</ds:datastoreItem>
</file>

<file path=customXml/itemProps8.xml><?xml version="1.0" encoding="utf-8"?>
<ds:datastoreItem xmlns:ds="http://schemas.openxmlformats.org/officeDocument/2006/customXml" ds:itemID="{2D58BC97-5977-49F3-AEDB-8959EF655D4F}">
  <ds:schemaRefs/>
</ds:datastoreItem>
</file>

<file path=customXml/itemProps9.xml><?xml version="1.0" encoding="utf-8"?>
<ds:datastoreItem xmlns:ds="http://schemas.openxmlformats.org/officeDocument/2006/customXml" ds:itemID="{D292A61C-0A86-408F-A48A-6A68DD3E150B}">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69</Pages>
  <Words>25200</Words>
  <Characters>26631</Characters>
  <Lines>456</Lines>
  <Paragraphs>128</Paragraphs>
  <TotalTime>0</TotalTime>
  <ScaleCrop>false</ScaleCrop>
  <LinksUpToDate>false</LinksUpToDate>
  <CharactersWithSpaces>27040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2022-05-06T23:35:00Z</dcterms:created>
  <dc:creator>玥</dc:creator>
  <cp:lastModifiedBy>周小虾</cp:lastModifiedBy>
  <cp:lastPrinted>2021-12-27T03:06:00Z</cp:lastPrinted>
  <dcterms:modified xsi:type="dcterms:W3CDTF">2025-05-22T01:57:59Z</dcterms:modified>
  <dc:title>杭州市市民卡扩大发卡工程</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6D88A309854F4C65AC400FD744F92930_13</vt:lpwstr>
  </property>
  <property fmtid="{D5CDD505-2E9C-101B-9397-08002B2CF9AE}" pid="5" name="commondata">
    <vt:lpwstr>eyJoZGlkIjoiNGNlMmFkMDQ1NDY0ZmRiM2Q0NjY4NTFjN2IwMTllYjMifQ==</vt:lpwstr>
  </property>
  <property fmtid="{D5CDD505-2E9C-101B-9397-08002B2CF9AE}" pid="6" name="KSOTemplateDocerSaveRecord">
    <vt:lpwstr>eyJoZGlkIjoiZGM2NWE0MmRkZjNiNTNkMGNhZWYxNTFlOTc0YzY5NjUiLCJ1c2VySWQiOiI0ODU3MTg2MzEifQ==</vt:lpwstr>
  </property>
</Properties>
</file>