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4D407">
      <w:pPr>
        <w:spacing w:line="360" w:lineRule="auto"/>
        <w:jc w:val="center"/>
        <w:rPr>
          <w:rFonts w:ascii="宋体" w:hAnsi="宋体" w:cs="宋体"/>
          <w:b/>
          <w:color w:val="auto"/>
          <w:sz w:val="24"/>
        </w:rPr>
      </w:pPr>
    </w:p>
    <w:p w14:paraId="4FF9F237">
      <w:pPr>
        <w:pStyle w:val="24"/>
        <w:rPr>
          <w:rFonts w:hAnsi="宋体" w:cs="宋体"/>
          <w:color w:val="auto"/>
          <w:sz w:val="44"/>
          <w:szCs w:val="44"/>
        </w:rPr>
      </w:pPr>
    </w:p>
    <w:p w14:paraId="1AA73360">
      <w:pPr>
        <w:adjustRightInd/>
        <w:spacing w:line="360" w:lineRule="auto"/>
        <w:jc w:val="center"/>
        <w:rPr>
          <w:rFonts w:hint="eastAsia" w:ascii="宋体" w:hAnsi="宋体" w:cs="宋体"/>
          <w:b/>
          <w:bCs/>
          <w:color w:val="auto"/>
          <w:sz w:val="48"/>
          <w:szCs w:val="48"/>
        </w:rPr>
      </w:pPr>
      <w:r>
        <w:rPr>
          <w:rFonts w:hint="eastAsia" w:ascii="宋体" w:hAnsi="宋体" w:cs="宋体"/>
          <w:b/>
          <w:bCs/>
          <w:color w:val="auto"/>
          <w:sz w:val="48"/>
          <w:szCs w:val="48"/>
        </w:rPr>
        <w:t>2025年北干街道机关工会疗休养服务采购项目</w:t>
      </w:r>
    </w:p>
    <w:p w14:paraId="147AD3E2">
      <w:pPr>
        <w:adjustRightInd/>
        <w:spacing w:line="360" w:lineRule="auto"/>
        <w:jc w:val="center"/>
        <w:rPr>
          <w:rFonts w:hint="eastAsia" w:ascii="宋体" w:hAnsi="宋体" w:cs="宋体"/>
          <w:b/>
          <w:bCs/>
          <w:color w:val="auto"/>
          <w:sz w:val="48"/>
          <w:szCs w:val="48"/>
        </w:rPr>
      </w:pPr>
    </w:p>
    <w:p w14:paraId="4D91D298">
      <w:pPr>
        <w:adjustRightInd/>
        <w:spacing w:line="360" w:lineRule="auto"/>
        <w:jc w:val="center"/>
        <w:rPr>
          <w:rFonts w:ascii="宋体" w:hAnsi="宋体" w:cs="宋体"/>
          <w:b/>
          <w:bCs/>
          <w:color w:val="auto"/>
          <w:sz w:val="48"/>
          <w:szCs w:val="48"/>
        </w:rPr>
      </w:pPr>
      <w:r>
        <w:rPr>
          <w:rFonts w:hint="eastAsia" w:ascii="宋体" w:hAnsi="宋体" w:cs="宋体"/>
          <w:b/>
          <w:bCs/>
          <w:color w:val="auto"/>
          <w:sz w:val="48"/>
          <w:szCs w:val="48"/>
        </w:rPr>
        <w:t>交易文件</w:t>
      </w:r>
    </w:p>
    <w:p w14:paraId="20876DAE">
      <w:pPr>
        <w:adjustRightInd/>
        <w:spacing w:line="360" w:lineRule="auto"/>
        <w:jc w:val="center"/>
        <w:rPr>
          <w:rFonts w:hint="eastAsia" w:ascii="宋体" w:hAnsi="宋体" w:cs="宋体"/>
          <w:b/>
          <w:color w:val="auto"/>
          <w:sz w:val="44"/>
          <w:szCs w:val="44"/>
        </w:rPr>
      </w:pPr>
    </w:p>
    <w:p w14:paraId="1A28470E">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w:t>
      </w:r>
      <w:r>
        <w:rPr>
          <w:rFonts w:hint="eastAsia" w:ascii="宋体" w:hAnsi="宋体" w:cs="宋体"/>
          <w:b/>
          <w:bCs/>
          <w:color w:val="auto"/>
          <w:sz w:val="48"/>
          <w:szCs w:val="48"/>
        </w:rPr>
        <w:t>电子交易</w:t>
      </w:r>
      <w:r>
        <w:rPr>
          <w:rFonts w:hint="eastAsia" w:ascii="宋体" w:hAnsi="宋体" w:cs="宋体"/>
          <w:b/>
          <w:color w:val="auto"/>
          <w:sz w:val="44"/>
          <w:szCs w:val="44"/>
        </w:rPr>
        <w:t>）</w:t>
      </w:r>
    </w:p>
    <w:p w14:paraId="4BB22E73">
      <w:pPr>
        <w:adjustRightInd/>
        <w:spacing w:line="360" w:lineRule="auto"/>
        <w:jc w:val="center"/>
        <w:rPr>
          <w:rFonts w:ascii="宋体" w:hAnsi="宋体" w:cs="宋体"/>
          <w:b/>
          <w:color w:val="auto"/>
          <w:sz w:val="48"/>
          <w:szCs w:val="52"/>
        </w:rPr>
      </w:pPr>
      <w:r>
        <w:rPr>
          <w:rFonts w:hint="eastAsia" w:ascii="宋体" w:hAnsi="宋体" w:cs="宋体"/>
          <w:b/>
          <w:color w:val="auto"/>
          <w:sz w:val="32"/>
          <w:szCs w:val="16"/>
        </w:rPr>
        <w:t>编号：北干2025-10</w:t>
      </w:r>
    </w:p>
    <w:p w14:paraId="1E76BB39">
      <w:pPr>
        <w:spacing w:line="360" w:lineRule="auto"/>
        <w:jc w:val="center"/>
        <w:rPr>
          <w:rFonts w:ascii="宋体" w:hAnsi="宋体" w:cs="宋体"/>
          <w:b/>
          <w:color w:val="auto"/>
          <w:sz w:val="44"/>
          <w:szCs w:val="44"/>
        </w:rPr>
      </w:pPr>
    </w:p>
    <w:p w14:paraId="21F10B67">
      <w:pPr>
        <w:spacing w:line="360" w:lineRule="auto"/>
        <w:jc w:val="both"/>
        <w:rPr>
          <w:rFonts w:ascii="宋体" w:hAnsi="宋体" w:cs="宋体"/>
          <w:b/>
          <w:color w:val="auto"/>
          <w:sz w:val="44"/>
          <w:szCs w:val="44"/>
        </w:rPr>
      </w:pPr>
    </w:p>
    <w:p w14:paraId="530F79F6">
      <w:pPr>
        <w:spacing w:line="360" w:lineRule="auto"/>
        <w:jc w:val="center"/>
        <w:rPr>
          <w:rFonts w:ascii="宋体" w:hAnsi="宋体" w:cs="宋体"/>
          <w:color w:val="auto"/>
          <w:sz w:val="24"/>
        </w:rPr>
      </w:pPr>
    </w:p>
    <w:p w14:paraId="46E41919">
      <w:pPr>
        <w:spacing w:line="360" w:lineRule="auto"/>
        <w:rPr>
          <w:rFonts w:ascii="宋体" w:hAnsi="宋体" w:cs="宋体"/>
          <w:color w:val="auto"/>
          <w:sz w:val="32"/>
          <w:szCs w:val="32"/>
        </w:rPr>
      </w:pPr>
    </w:p>
    <w:p w14:paraId="35B2AAFF">
      <w:pPr>
        <w:spacing w:line="360" w:lineRule="auto"/>
        <w:jc w:val="center"/>
        <w:rPr>
          <w:rFonts w:hint="eastAsia" w:ascii="宋体" w:hAnsi="宋体" w:cs="宋体"/>
          <w:b/>
          <w:color w:val="auto"/>
          <w:sz w:val="32"/>
          <w:szCs w:val="30"/>
          <w:lang w:eastAsia="zh-CN"/>
        </w:rPr>
      </w:pPr>
      <w:r>
        <w:rPr>
          <w:rFonts w:hint="eastAsia" w:ascii="宋体" w:hAnsi="宋体" w:cs="宋体"/>
          <w:b/>
          <w:color w:val="auto"/>
          <w:sz w:val="32"/>
          <w:szCs w:val="30"/>
          <w:lang w:eastAsia="zh-CN"/>
        </w:rPr>
        <w:t>杭州市萧山区人民政府北干街道办事处</w:t>
      </w:r>
    </w:p>
    <w:p w14:paraId="0F8687CF">
      <w:pPr>
        <w:snapToGrid w:val="0"/>
        <w:spacing w:line="360" w:lineRule="auto"/>
        <w:jc w:val="center"/>
        <w:rPr>
          <w:rFonts w:hint="eastAsia" w:ascii="宋体" w:hAnsi="宋体" w:cs="宋体"/>
          <w:b/>
          <w:color w:val="auto"/>
          <w:sz w:val="32"/>
          <w:szCs w:val="30"/>
          <w:lang w:eastAsia="zh-CN"/>
        </w:rPr>
      </w:pPr>
      <w:r>
        <w:rPr>
          <w:rFonts w:hint="eastAsia" w:ascii="宋体" w:hAnsi="宋体" w:cs="宋体"/>
          <w:b/>
          <w:color w:val="auto"/>
          <w:sz w:val="32"/>
          <w:szCs w:val="30"/>
          <w:lang w:eastAsia="zh-CN"/>
        </w:rPr>
        <w:t>德威工程管理咨询有限公司</w:t>
      </w:r>
    </w:p>
    <w:p w14:paraId="178675B7">
      <w:pPr>
        <w:snapToGrid w:val="0"/>
        <w:spacing w:line="360" w:lineRule="auto"/>
        <w:jc w:val="center"/>
        <w:rPr>
          <w:rFonts w:ascii="宋体" w:hAnsi="宋体" w:cs="宋体"/>
          <w:b/>
          <w:color w:val="auto"/>
          <w:sz w:val="32"/>
          <w:szCs w:val="32"/>
        </w:rPr>
      </w:pPr>
      <w:r>
        <w:rPr>
          <w:rFonts w:hint="eastAsia" w:ascii="宋体" w:hAnsi="宋体" w:cs="宋体"/>
          <w:b/>
          <w:color w:val="auto"/>
          <w:sz w:val="32"/>
          <w:szCs w:val="32"/>
        </w:rPr>
        <w:t>二〇二五年</w:t>
      </w:r>
      <w:r>
        <w:rPr>
          <w:rFonts w:hint="eastAsia" w:ascii="宋体" w:hAnsi="宋体" w:cs="宋体"/>
          <w:b/>
          <w:color w:val="auto"/>
          <w:sz w:val="32"/>
          <w:szCs w:val="32"/>
          <w:lang w:val="en-US" w:eastAsia="zh-CN"/>
        </w:rPr>
        <w:t>6</w:t>
      </w:r>
      <w:r>
        <w:rPr>
          <w:rFonts w:hint="eastAsia" w:ascii="宋体" w:hAnsi="宋体" w:cs="宋体"/>
          <w:b/>
          <w:color w:val="auto"/>
          <w:sz w:val="32"/>
          <w:szCs w:val="32"/>
        </w:rPr>
        <w:t>月</w:t>
      </w:r>
      <w:r>
        <w:rPr>
          <w:rFonts w:hint="eastAsia" w:ascii="宋体" w:hAnsi="宋体" w:cs="宋体"/>
          <w:b/>
          <w:color w:val="auto"/>
          <w:sz w:val="32"/>
          <w:szCs w:val="32"/>
          <w:lang w:val="en-US" w:eastAsia="zh-CN"/>
        </w:rPr>
        <w:t>10</w:t>
      </w:r>
      <w:r>
        <w:rPr>
          <w:rFonts w:hint="eastAsia" w:ascii="宋体" w:hAnsi="宋体" w:cs="宋体"/>
          <w:b/>
          <w:color w:val="auto"/>
          <w:sz w:val="32"/>
          <w:szCs w:val="32"/>
        </w:rPr>
        <w:t>日</w:t>
      </w:r>
    </w:p>
    <w:p w14:paraId="39818766">
      <w:pPr>
        <w:pStyle w:val="24"/>
        <w:rPr>
          <w:rFonts w:hAnsi="宋体" w:cs="宋体"/>
          <w:color w:val="auto"/>
        </w:rPr>
      </w:pPr>
    </w:p>
    <w:p w14:paraId="13B42DD0">
      <w:pPr>
        <w:pStyle w:val="25"/>
        <w:rPr>
          <w:rFonts w:hAnsi="宋体" w:cs="宋体"/>
          <w:color w:val="auto"/>
        </w:rPr>
      </w:pPr>
    </w:p>
    <w:p w14:paraId="57232B83">
      <w:pPr>
        <w:pStyle w:val="26"/>
        <w:rPr>
          <w:rFonts w:ascii="宋体" w:hAnsi="宋体" w:cs="宋体"/>
          <w:color w:val="auto"/>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0" w:num="1"/>
          <w:docGrid w:linePitch="312" w:charSpace="0"/>
        </w:sectPr>
      </w:pPr>
    </w:p>
    <w:p w14:paraId="57679995"/>
    <w:p w14:paraId="20487F6D">
      <w:pPr>
        <w:rPr>
          <w:rFonts w:ascii="宋体" w:hAnsi="宋体" w:cs="宋体"/>
          <w:color w:val="auto"/>
        </w:rPr>
      </w:pPr>
    </w:p>
    <w:p w14:paraId="00DEA19B">
      <w:pPr>
        <w:rPr>
          <w:rFonts w:ascii="宋体" w:hAnsi="宋体" w:cs="宋体"/>
          <w:color w:val="auto"/>
        </w:rPr>
      </w:pPr>
    </w:p>
    <w:p w14:paraId="5AFC6660">
      <w:pPr>
        <w:pStyle w:val="26"/>
        <w:rPr>
          <w:rFonts w:ascii="宋体" w:hAnsi="宋体" w:cs="宋体"/>
          <w:color w:val="auto"/>
        </w:rPr>
      </w:pPr>
    </w:p>
    <w:p w14:paraId="2BF912BE">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0CB8041A">
      <w:pPr>
        <w:spacing w:line="360" w:lineRule="auto"/>
        <w:rPr>
          <w:rFonts w:ascii="宋体" w:hAnsi="宋体" w:cs="宋体"/>
          <w:color w:val="auto"/>
          <w:sz w:val="32"/>
          <w:szCs w:val="32"/>
        </w:rPr>
      </w:pPr>
    </w:p>
    <w:p w14:paraId="3269C8A4">
      <w:pPr>
        <w:spacing w:line="360" w:lineRule="auto"/>
        <w:rPr>
          <w:rFonts w:ascii="宋体" w:hAnsi="宋体" w:cs="宋体"/>
          <w:color w:val="auto"/>
          <w:sz w:val="32"/>
          <w:szCs w:val="32"/>
        </w:rPr>
      </w:pPr>
    </w:p>
    <w:p w14:paraId="31551D39">
      <w:pPr>
        <w:spacing w:line="360" w:lineRule="auto"/>
        <w:ind w:firstLine="1280" w:firstLineChars="400"/>
        <w:rPr>
          <w:rFonts w:ascii="宋体" w:hAnsi="宋体" w:cs="宋体"/>
          <w:color w:val="auto"/>
          <w:sz w:val="32"/>
          <w:szCs w:val="32"/>
        </w:rPr>
      </w:pPr>
      <w:bookmarkStart w:id="0" w:name="_Hlt91233176"/>
      <w:bookmarkEnd w:id="0"/>
      <w:bookmarkStart w:id="1" w:name="_Toc91899869"/>
      <w:r>
        <w:rPr>
          <w:rFonts w:hint="eastAsia" w:ascii="宋体" w:hAnsi="宋体" w:cs="宋体"/>
          <w:color w:val="auto"/>
          <w:sz w:val="32"/>
          <w:szCs w:val="32"/>
        </w:rPr>
        <w:t>第一部分      交易公告</w:t>
      </w:r>
    </w:p>
    <w:p w14:paraId="1C2D26F7">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响应人须知</w:t>
      </w:r>
    </w:p>
    <w:p w14:paraId="16CD419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交易需求</w:t>
      </w:r>
    </w:p>
    <w:p w14:paraId="1CC9000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评审办法</w:t>
      </w:r>
    </w:p>
    <w:p w14:paraId="38414FF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5415675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3CCDE10D">
      <w:pPr>
        <w:spacing w:line="360" w:lineRule="auto"/>
        <w:ind w:firstLine="549" w:firstLineChars="229"/>
        <w:rPr>
          <w:rFonts w:ascii="宋体" w:hAnsi="宋体" w:cs="宋体"/>
          <w:color w:val="auto"/>
          <w:sz w:val="24"/>
        </w:rPr>
      </w:pPr>
    </w:p>
    <w:p w14:paraId="1CAC80C8">
      <w:pPr>
        <w:spacing w:line="360" w:lineRule="auto"/>
        <w:ind w:firstLine="549" w:firstLineChars="229"/>
        <w:rPr>
          <w:rFonts w:ascii="宋体" w:hAnsi="宋体" w:cs="宋体"/>
          <w:color w:val="auto"/>
          <w:sz w:val="24"/>
        </w:rPr>
      </w:pPr>
    </w:p>
    <w:p w14:paraId="55D0749C">
      <w:pPr>
        <w:spacing w:line="360" w:lineRule="auto"/>
        <w:ind w:firstLine="549" w:firstLineChars="229"/>
        <w:rPr>
          <w:rFonts w:ascii="宋体" w:hAnsi="宋体" w:cs="宋体"/>
          <w:color w:val="auto"/>
          <w:sz w:val="24"/>
        </w:rPr>
      </w:pPr>
    </w:p>
    <w:p w14:paraId="176382E1">
      <w:pPr>
        <w:spacing w:line="360" w:lineRule="auto"/>
        <w:ind w:firstLine="549" w:firstLineChars="229"/>
        <w:rPr>
          <w:rFonts w:ascii="宋体" w:hAnsi="宋体" w:cs="宋体"/>
          <w:color w:val="auto"/>
          <w:sz w:val="24"/>
        </w:rPr>
      </w:pPr>
    </w:p>
    <w:p w14:paraId="7060D31A">
      <w:pPr>
        <w:spacing w:line="360" w:lineRule="auto"/>
        <w:ind w:firstLine="549" w:firstLineChars="229"/>
        <w:rPr>
          <w:rFonts w:ascii="宋体" w:hAnsi="宋体" w:cs="宋体"/>
          <w:color w:val="auto"/>
          <w:sz w:val="24"/>
        </w:rPr>
      </w:pPr>
    </w:p>
    <w:p w14:paraId="61C6BCD8">
      <w:pPr>
        <w:spacing w:line="360" w:lineRule="auto"/>
        <w:ind w:firstLine="549" w:firstLineChars="229"/>
        <w:rPr>
          <w:rFonts w:ascii="宋体" w:hAnsi="宋体" w:cs="宋体"/>
          <w:color w:val="auto"/>
          <w:sz w:val="24"/>
        </w:rPr>
      </w:pPr>
    </w:p>
    <w:p w14:paraId="2602A9AE">
      <w:pPr>
        <w:spacing w:line="360" w:lineRule="auto"/>
        <w:ind w:firstLine="549" w:firstLineChars="229"/>
        <w:rPr>
          <w:rFonts w:ascii="宋体" w:hAnsi="宋体" w:cs="宋体"/>
          <w:color w:val="auto"/>
          <w:sz w:val="24"/>
        </w:rPr>
      </w:pPr>
    </w:p>
    <w:p w14:paraId="3AA0DFF3">
      <w:pPr>
        <w:spacing w:line="360" w:lineRule="auto"/>
        <w:ind w:firstLine="549" w:firstLineChars="229"/>
        <w:rPr>
          <w:rFonts w:ascii="宋体" w:hAnsi="宋体" w:cs="宋体"/>
          <w:color w:val="auto"/>
          <w:sz w:val="24"/>
        </w:rPr>
      </w:pPr>
    </w:p>
    <w:p w14:paraId="0C266AF9">
      <w:pPr>
        <w:spacing w:line="360" w:lineRule="auto"/>
        <w:ind w:firstLine="549" w:firstLineChars="229"/>
        <w:rPr>
          <w:rFonts w:ascii="宋体" w:hAnsi="宋体" w:cs="宋体"/>
          <w:color w:val="auto"/>
          <w:sz w:val="24"/>
        </w:rPr>
      </w:pPr>
    </w:p>
    <w:p w14:paraId="0CFB9B9C">
      <w:pPr>
        <w:spacing w:line="360" w:lineRule="auto"/>
        <w:ind w:firstLine="549" w:firstLineChars="229"/>
        <w:rPr>
          <w:rFonts w:ascii="宋体" w:hAnsi="宋体" w:cs="宋体"/>
          <w:color w:val="auto"/>
          <w:sz w:val="24"/>
        </w:rPr>
      </w:pPr>
    </w:p>
    <w:p w14:paraId="08086DEE">
      <w:pPr>
        <w:spacing w:line="360" w:lineRule="auto"/>
        <w:ind w:firstLine="549" w:firstLineChars="229"/>
        <w:rPr>
          <w:rFonts w:ascii="宋体" w:hAnsi="宋体" w:cs="宋体"/>
          <w:color w:val="auto"/>
          <w:sz w:val="24"/>
        </w:rPr>
      </w:pPr>
    </w:p>
    <w:p w14:paraId="3A7C122C">
      <w:pPr>
        <w:adjustRightInd/>
        <w:spacing w:line="360" w:lineRule="auto"/>
        <w:jc w:val="center"/>
        <w:outlineLvl w:val="0"/>
        <w:rPr>
          <w:rFonts w:ascii="宋体" w:hAnsi="宋体" w:cs="宋体"/>
          <w:b/>
          <w:color w:val="auto"/>
          <w:sz w:val="24"/>
        </w:rPr>
      </w:pPr>
      <w:bookmarkStart w:id="2" w:name="第一部分"/>
      <w:r>
        <w:rPr>
          <w:rFonts w:hint="eastAsia" w:ascii="宋体" w:hAnsi="宋体" w:cs="宋体"/>
          <w:b/>
          <w:color w:val="auto"/>
          <w:sz w:val="36"/>
          <w:szCs w:val="36"/>
        </w:rPr>
        <w:br w:type="page"/>
      </w:r>
      <w:bookmarkEnd w:id="1"/>
      <w:bookmarkEnd w:id="2"/>
      <w:bookmarkStart w:id="3" w:name="_Hlt74649545"/>
      <w:bookmarkEnd w:id="3"/>
      <w:bookmarkStart w:id="4" w:name="_Hlt74707423"/>
      <w:bookmarkEnd w:id="4"/>
      <w:bookmarkStart w:id="5" w:name="_Hlt74729822"/>
      <w:bookmarkEnd w:id="5"/>
      <w:bookmarkStart w:id="6" w:name="_Hlt74728647"/>
      <w:bookmarkEnd w:id="6"/>
      <w:bookmarkStart w:id="7" w:name="_Toc91899870"/>
      <w:bookmarkStart w:id="8" w:name="第二部分"/>
      <w:bookmarkStart w:id="9" w:name="_Toc91899871"/>
      <w:r>
        <w:rPr>
          <w:rFonts w:hint="eastAsia" w:ascii="宋体" w:hAnsi="宋体" w:cs="宋体"/>
          <w:b/>
          <w:color w:val="auto"/>
          <w:sz w:val="36"/>
          <w:szCs w:val="20"/>
        </w:rPr>
        <w:t>第一部分 交易公告</w:t>
      </w:r>
    </w:p>
    <w:p w14:paraId="7DECA377">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rPr>
      </w:pPr>
      <w:r>
        <w:rPr>
          <w:rFonts w:hint="eastAsia" w:ascii="宋体" w:hAnsi="宋体" w:cs="宋体"/>
          <w:color w:val="auto"/>
          <w:sz w:val="24"/>
        </w:rPr>
        <w:t>项目概况</w:t>
      </w:r>
    </w:p>
    <w:p w14:paraId="1A30E00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2025年北干街道机关工会疗休养服务采购项目</w:t>
      </w:r>
      <w:r>
        <w:rPr>
          <w:rFonts w:hint="eastAsia" w:ascii="宋体" w:hAnsi="宋体" w:cs="宋体"/>
          <w:color w:val="auto"/>
          <w:sz w:val="24"/>
        </w:rPr>
        <w:t>的潜在响应人应在乐采云平台（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Fonts w:hint="eastAsia" w:ascii="宋体" w:hAnsi="宋体" w:cs="宋体"/>
          <w:bCs/>
          <w:color w:val="auto"/>
          <w:sz w:val="24"/>
        </w:rPr>
        <w:t>https://www.lecaiyun.com/</w:t>
      </w:r>
      <w:r>
        <w:rPr>
          <w:rStyle w:val="77"/>
          <w:rFonts w:hint="eastAsia" w:ascii="宋体" w:hAnsi="宋体" w:eastAsia="宋体" w:cs="宋体"/>
          <w:snapToGrid/>
          <w:color w:val="auto"/>
          <w:kern w:val="2"/>
          <w:sz w:val="24"/>
          <w:szCs w:val="24"/>
        </w:rPr>
        <w:t>）获取（下载）交易文件，并于</w:t>
      </w:r>
      <w:r>
        <w:rPr>
          <w:rFonts w:hint="eastAsia" w:ascii="宋体" w:hAnsi="宋体" w:cs="宋体"/>
          <w:color w:val="auto"/>
          <w:sz w:val="24"/>
          <w:u w:val="single"/>
          <w:lang w:eastAsia="zh-CN"/>
        </w:rPr>
        <w:t>2025年6月19日09点30分00秒</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递交（上传）响应文件。</w:t>
      </w:r>
    </w:p>
    <w:p w14:paraId="319B564B">
      <w:pPr>
        <w:spacing w:line="360" w:lineRule="auto"/>
        <w:rPr>
          <w:rFonts w:ascii="宋体" w:hAnsi="宋体" w:cs="宋体"/>
          <w:b/>
          <w:color w:val="auto"/>
          <w:sz w:val="24"/>
        </w:rPr>
      </w:pPr>
      <w:r>
        <w:rPr>
          <w:rFonts w:hint="eastAsia" w:ascii="宋体" w:hAnsi="宋体" w:cs="宋体"/>
          <w:b/>
          <w:color w:val="auto"/>
          <w:sz w:val="24"/>
        </w:rPr>
        <w:t>一、项目基本情况</w:t>
      </w:r>
    </w:p>
    <w:p w14:paraId="58F049EB">
      <w:pPr>
        <w:spacing w:line="360" w:lineRule="auto"/>
        <w:ind w:firstLine="482" w:firstLineChars="200"/>
        <w:rPr>
          <w:rFonts w:hint="default" w:ascii="宋体" w:hAnsi="宋体" w:eastAsia="宋体" w:cs="宋体"/>
          <w:bCs/>
          <w:color w:val="auto"/>
          <w:sz w:val="24"/>
          <w:lang w:val="en-US" w:eastAsia="zh-CN"/>
        </w:rPr>
      </w:pPr>
      <w:r>
        <w:rPr>
          <w:rFonts w:hint="eastAsia" w:ascii="宋体" w:hAnsi="宋体" w:cs="宋体"/>
          <w:b/>
          <w:color w:val="auto"/>
          <w:sz w:val="24"/>
        </w:rPr>
        <w:t>项目编号：北干2025-10</w:t>
      </w:r>
    </w:p>
    <w:p w14:paraId="40772828">
      <w:pPr>
        <w:spacing w:line="360" w:lineRule="auto"/>
        <w:ind w:firstLine="482" w:firstLineChars="200"/>
        <w:rPr>
          <w:rFonts w:hint="eastAsia" w:ascii="宋体" w:hAnsi="宋体" w:eastAsia="宋体" w:cs="宋体"/>
          <w:bCs/>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b w:val="0"/>
          <w:bCs/>
          <w:color w:val="auto"/>
          <w:sz w:val="24"/>
          <w:highlight w:val="none"/>
          <w:lang w:eastAsia="zh-CN"/>
        </w:rPr>
        <w:t>2025年北干街道机关工会疗休养服务采购项目</w:t>
      </w:r>
    </w:p>
    <w:p w14:paraId="5662E3EA">
      <w:pPr>
        <w:spacing w:line="360" w:lineRule="auto"/>
        <w:ind w:firstLine="480"/>
        <w:rPr>
          <w:rFonts w:hint="eastAsia" w:ascii="宋体" w:hAnsi="宋体" w:eastAsia="宋体" w:cs="宋体"/>
          <w:bCs/>
          <w:color w:val="auto"/>
          <w:sz w:val="24"/>
          <w:highlight w:val="none"/>
          <w:lang w:eastAsia="zh-CN"/>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460000</w:t>
      </w:r>
      <w:r>
        <w:rPr>
          <w:rFonts w:hint="eastAsia" w:ascii="宋体" w:hAnsi="宋体" w:cs="宋体"/>
          <w:bCs/>
          <w:color w:val="auto"/>
          <w:sz w:val="24"/>
          <w:highlight w:val="none"/>
        </w:rPr>
        <w:t>元</w:t>
      </w:r>
    </w:p>
    <w:p w14:paraId="6F35E938">
      <w:pPr>
        <w:spacing w:line="360" w:lineRule="auto"/>
        <w:ind w:firstLine="480"/>
        <w:rPr>
          <w:rFonts w:hint="eastAsia" w:ascii="宋体" w:hAnsi="宋体" w:eastAsia="宋体" w:cs="宋体"/>
          <w:bCs/>
          <w:color w:val="auto"/>
          <w:sz w:val="24"/>
          <w:highlight w:val="none"/>
          <w:lang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460000</w:t>
      </w:r>
      <w:r>
        <w:rPr>
          <w:rFonts w:hint="eastAsia" w:ascii="宋体" w:hAnsi="宋体" w:cs="宋体"/>
          <w:bCs/>
          <w:color w:val="auto"/>
          <w:sz w:val="24"/>
          <w:highlight w:val="none"/>
        </w:rPr>
        <w:t>元</w:t>
      </w:r>
      <w:r>
        <w:rPr>
          <w:rFonts w:hint="eastAsia" w:ascii="宋体" w:hAnsi="宋体" w:cs="宋体"/>
          <w:bCs/>
          <w:color w:val="auto"/>
          <w:sz w:val="24"/>
          <w:highlight w:val="none"/>
          <w:lang w:eastAsia="zh-CN"/>
        </w:rPr>
        <w:t>，3000元/人。</w:t>
      </w:r>
    </w:p>
    <w:p w14:paraId="037CF390">
      <w:pPr>
        <w:spacing w:line="360" w:lineRule="auto"/>
        <w:ind w:firstLine="482" w:firstLineChars="200"/>
        <w:rPr>
          <w:rFonts w:ascii="宋体" w:hAnsi="宋体" w:cs="宋体"/>
          <w:color w:val="auto"/>
          <w:sz w:val="24"/>
          <w:u w:val="single"/>
        </w:rPr>
      </w:pPr>
      <w:r>
        <w:rPr>
          <w:rFonts w:hint="eastAsia" w:ascii="宋体" w:hAnsi="宋体" w:cs="宋体"/>
          <w:b/>
          <w:color w:val="auto"/>
          <w:sz w:val="24"/>
          <w:highlight w:val="none"/>
        </w:rPr>
        <w:t>交易需求：</w:t>
      </w:r>
      <w:r>
        <w:rPr>
          <w:rFonts w:hint="eastAsia" w:ascii="宋体" w:hAnsi="宋体" w:cs="宋体"/>
          <w:b w:val="0"/>
          <w:bCs/>
          <w:color w:val="auto"/>
          <w:sz w:val="24"/>
          <w:highlight w:val="none"/>
          <w:lang w:eastAsia="zh-CN"/>
        </w:rPr>
        <w:t>2025年北</w:t>
      </w:r>
      <w:r>
        <w:rPr>
          <w:rFonts w:hint="eastAsia" w:ascii="宋体" w:hAnsi="宋体" w:cs="宋体"/>
          <w:b w:val="0"/>
          <w:bCs/>
          <w:color w:val="auto"/>
          <w:sz w:val="24"/>
          <w:lang w:eastAsia="zh-CN"/>
        </w:rPr>
        <w:t>干街道机关工会疗休养服务采购项目</w:t>
      </w:r>
      <w:r>
        <w:rPr>
          <w:rFonts w:hint="eastAsia" w:ascii="宋体" w:hAnsi="宋体" w:cs="宋体"/>
          <w:bCs/>
          <w:color w:val="auto"/>
          <w:sz w:val="24"/>
        </w:rPr>
        <w:t>，详见第三部分交易需求。</w:t>
      </w:r>
    </w:p>
    <w:p w14:paraId="1D31B795">
      <w:pPr>
        <w:spacing w:line="360" w:lineRule="auto"/>
        <w:ind w:firstLine="482" w:firstLineChars="200"/>
        <w:rPr>
          <w:rFonts w:ascii="宋体" w:hAnsi="宋体" w:cs="宋体"/>
          <w:bCs/>
          <w:color w:val="auto"/>
          <w:sz w:val="24"/>
        </w:rPr>
      </w:pPr>
      <w:r>
        <w:rPr>
          <w:rFonts w:hint="eastAsia" w:ascii="宋体" w:hAnsi="宋体" w:cs="宋体"/>
          <w:b/>
          <w:color w:val="auto"/>
          <w:sz w:val="24"/>
        </w:rPr>
        <w:t>主要内容：</w:t>
      </w:r>
      <w:r>
        <w:rPr>
          <w:rFonts w:hint="eastAsia" w:ascii="宋体" w:hAnsi="宋体" w:cs="宋体"/>
          <w:b w:val="0"/>
          <w:bCs/>
          <w:color w:val="auto"/>
          <w:sz w:val="24"/>
          <w:lang w:eastAsia="zh-CN"/>
        </w:rPr>
        <w:t>2025年北干街道机关工会疗休养服务采购项目</w:t>
      </w:r>
      <w:r>
        <w:rPr>
          <w:rFonts w:hint="eastAsia" w:ascii="宋体" w:hAnsi="宋体" w:cs="宋体"/>
          <w:bCs/>
          <w:color w:val="auto"/>
          <w:sz w:val="24"/>
        </w:rPr>
        <w:t>，详见第三部分交易需求。</w:t>
      </w:r>
    </w:p>
    <w:p w14:paraId="48562C97">
      <w:pPr>
        <w:spacing w:line="360" w:lineRule="auto"/>
        <w:ind w:firstLine="480"/>
        <w:rPr>
          <w:rFonts w:ascii="宋体" w:hAnsi="宋体" w:cs="宋体"/>
          <w:bCs/>
          <w:color w:val="auto"/>
          <w:sz w:val="24"/>
        </w:rPr>
      </w:pPr>
      <w:r>
        <w:rPr>
          <w:rFonts w:hint="eastAsia" w:ascii="宋体" w:hAnsi="宋体" w:cs="宋体"/>
          <w:b/>
          <w:color w:val="auto"/>
          <w:sz w:val="24"/>
        </w:rPr>
        <w:t>合同履约期限：</w:t>
      </w:r>
      <w:r>
        <w:rPr>
          <w:rFonts w:hint="eastAsia" w:ascii="宋体" w:hAnsi="宋体" w:cs="宋体"/>
          <w:color w:val="auto"/>
          <w:sz w:val="24"/>
        </w:rPr>
        <w:t>详见第三部分交易需求</w:t>
      </w:r>
    </w:p>
    <w:p w14:paraId="1A8A9FF1">
      <w:pPr>
        <w:spacing w:line="360" w:lineRule="auto"/>
        <w:ind w:firstLine="480"/>
        <w:rPr>
          <w:rFonts w:ascii="宋体" w:hAnsi="宋体" w:cs="宋体"/>
          <w:b/>
          <w:color w:val="auto"/>
          <w:sz w:val="24"/>
        </w:rPr>
      </w:pPr>
      <w:r>
        <w:rPr>
          <w:rFonts w:hint="eastAsia" w:ascii="宋体" w:hAnsi="宋体" w:cs="宋体"/>
          <w:b/>
          <w:color w:val="auto"/>
          <w:sz w:val="24"/>
        </w:rPr>
        <w:t>本项目接受联合体：（√）</w:t>
      </w:r>
      <w:r>
        <w:rPr>
          <w:rFonts w:hint="eastAsia" w:ascii="宋体" w:hAnsi="宋体" w:cs="宋体"/>
          <w:b/>
          <w:color w:val="auto"/>
          <w:sz w:val="24"/>
          <w:lang w:val="en-US" w:eastAsia="zh-CN"/>
        </w:rPr>
        <w:t>否</w:t>
      </w:r>
      <w:r>
        <w:rPr>
          <w:rFonts w:hint="eastAsia" w:ascii="宋体" w:hAnsi="宋体" w:cs="宋体"/>
          <w:b/>
          <w:color w:val="auto"/>
          <w:sz w:val="24"/>
        </w:rPr>
        <w:t>。</w:t>
      </w:r>
    </w:p>
    <w:p w14:paraId="7A1583AE">
      <w:pPr>
        <w:spacing w:line="360" w:lineRule="auto"/>
        <w:rPr>
          <w:rFonts w:ascii="宋体" w:hAnsi="宋体" w:cs="宋体"/>
          <w:b/>
          <w:color w:val="auto"/>
          <w:sz w:val="24"/>
        </w:rPr>
      </w:pPr>
      <w:r>
        <w:rPr>
          <w:rFonts w:hint="eastAsia" w:ascii="宋体" w:hAnsi="宋体" w:cs="宋体"/>
          <w:b/>
          <w:color w:val="auto"/>
          <w:sz w:val="24"/>
        </w:rPr>
        <w:t>二、申请人的资格要求：</w:t>
      </w:r>
    </w:p>
    <w:p w14:paraId="1378F58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307577C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2、具有良好的商业信誉和健全的财务会计制度；</w:t>
      </w:r>
    </w:p>
    <w:p w14:paraId="0E129CF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13F93F4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5609FB7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5、参加交易活动前三年内，在经营活动中没有重大违法记录；</w:t>
      </w:r>
    </w:p>
    <w:p w14:paraId="734B56A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6、法律、行政法规规定的其他条件；</w:t>
      </w:r>
    </w:p>
    <w:p w14:paraId="2B99D3DE">
      <w:pPr>
        <w:pStyle w:val="25"/>
        <w:ind w:firstLine="480" w:firstLineChars="200"/>
        <w:rPr>
          <w:rFonts w:hint="eastAsia" w:asciiTheme="minorEastAsia" w:hAnsiTheme="minorEastAsia" w:eastAsiaTheme="minorEastAsia" w:cstheme="minorEastAsia"/>
          <w:color w:val="auto"/>
          <w:szCs w:val="24"/>
          <w:highlight w:val="none"/>
          <w:lang w:val="en-US"/>
        </w:rPr>
      </w:pPr>
      <w:r>
        <w:rPr>
          <w:rFonts w:hint="eastAsia" w:asciiTheme="minorEastAsia" w:hAnsiTheme="minorEastAsia" w:eastAsiaTheme="minorEastAsia" w:cstheme="minorEastAsia"/>
          <w:color w:val="auto"/>
          <w:szCs w:val="24"/>
          <w:highlight w:val="none"/>
        </w:rPr>
        <w:t>7、本项目的特定资格要求：</w:t>
      </w:r>
      <w:r>
        <w:rPr>
          <w:rFonts w:hint="eastAsia" w:asciiTheme="minorEastAsia" w:hAnsiTheme="minorEastAsia" w:eastAsiaTheme="minorEastAsia" w:cstheme="minorEastAsia"/>
          <w:color w:val="auto"/>
          <w:szCs w:val="24"/>
          <w:highlight w:val="none"/>
          <w:lang w:val="en-US"/>
        </w:rPr>
        <w:t>具备《旅行社业务经营许可证》；</w:t>
      </w:r>
    </w:p>
    <w:p w14:paraId="61356FDE">
      <w:pPr>
        <w:spacing w:line="360" w:lineRule="auto"/>
        <w:ind w:firstLine="480"/>
        <w:rPr>
          <w:rFonts w:hint="eastAsia" w:ascii="宋体" w:hAnsi="宋体" w:cs="宋体"/>
          <w:b/>
          <w:color w:val="auto"/>
          <w:sz w:val="24"/>
        </w:rPr>
      </w:pPr>
      <w:r>
        <w:rPr>
          <w:rFonts w:hint="eastAsia" w:asciiTheme="minorEastAsia" w:hAnsiTheme="minorEastAsia" w:eastAsiaTheme="minorEastAsia" w:cstheme="minorEastAsia"/>
          <w:color w:val="auto"/>
          <w:sz w:val="24"/>
          <w:highlight w:val="none"/>
          <w:lang w:val="en-US"/>
        </w:rPr>
        <w:t>8、</w:t>
      </w:r>
      <w:r>
        <w:rPr>
          <w:rFonts w:hint="eastAsia" w:asciiTheme="minorEastAsia" w:hAnsiTheme="minorEastAsia" w:eastAsiaTheme="minorEastAsia" w:cstheme="minorEastAsia"/>
          <w:color w:val="auto"/>
          <w:sz w:val="24"/>
          <w:highlight w:val="none"/>
        </w:rPr>
        <w:t>本项目不接受联合体参与（潜在响应人能独立完成本项目）</w:t>
      </w:r>
    </w:p>
    <w:p w14:paraId="323829B4">
      <w:pPr>
        <w:spacing w:line="360" w:lineRule="auto"/>
        <w:ind w:firstLine="480"/>
        <w:rPr>
          <w:rFonts w:ascii="宋体" w:hAnsi="宋体" w:cs="宋体"/>
          <w:b/>
          <w:color w:val="auto"/>
          <w:sz w:val="24"/>
        </w:rPr>
      </w:pPr>
      <w:r>
        <w:rPr>
          <w:rFonts w:hint="eastAsia" w:ascii="宋体" w:hAnsi="宋体" w:cs="宋体"/>
          <w:b/>
          <w:color w:val="auto"/>
          <w:sz w:val="24"/>
        </w:rPr>
        <w:t xml:space="preserve">三、获取交易文件 </w:t>
      </w:r>
    </w:p>
    <w:p w14:paraId="1E7696E8">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2025年6月19日</w:t>
      </w:r>
      <w:r>
        <w:rPr>
          <w:rFonts w:hint="eastAsia" w:ascii="宋体" w:hAnsi="宋体" w:cs="宋体"/>
          <w:color w:val="auto"/>
          <w:sz w:val="24"/>
        </w:rPr>
        <w:t>，每天上午00:00至12:00 ，下午12:00至23:59（北京时间，线上获取法定节假日均可，线下获取文件法定节假日除外）</w:t>
      </w:r>
    </w:p>
    <w:p w14:paraId="26F387E3">
      <w:pPr>
        <w:spacing w:line="360" w:lineRule="auto"/>
        <w:ind w:firstLine="482" w:firstLineChars="200"/>
        <w:rPr>
          <w:rFonts w:ascii="宋体" w:hAnsi="宋体" w:cs="宋体"/>
          <w:bCs/>
          <w:color w:val="auto"/>
          <w:sz w:val="24"/>
        </w:rPr>
      </w:pPr>
      <w:r>
        <w:rPr>
          <w:rFonts w:hint="eastAsia" w:ascii="宋体" w:hAnsi="宋体" w:cs="宋体"/>
          <w:b/>
          <w:color w:val="auto"/>
          <w:sz w:val="24"/>
        </w:rPr>
        <w:t>地点（网址）：</w:t>
      </w:r>
      <w:r>
        <w:rPr>
          <w:rFonts w:hint="eastAsia" w:ascii="宋体" w:hAnsi="宋体" w:cs="宋体"/>
          <w:color w:val="auto"/>
          <w:sz w:val="24"/>
        </w:rPr>
        <w:t>乐</w:t>
      </w:r>
      <w:r>
        <w:rPr>
          <w:rFonts w:hint="eastAsia" w:ascii="宋体" w:hAnsi="宋体" w:cs="宋体"/>
          <w:bCs/>
          <w:color w:val="auto"/>
          <w:sz w:val="24"/>
        </w:rPr>
        <w:t>采云平台（https://www.lecaiyun.com/）</w:t>
      </w:r>
    </w:p>
    <w:p w14:paraId="34941F64">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供应商登录乐采云平台</w:t>
      </w:r>
      <w:r>
        <w:rPr>
          <w:rFonts w:hint="eastAsia" w:ascii="宋体" w:hAnsi="宋体" w:cs="宋体"/>
          <w:bCs/>
          <w:color w:val="auto"/>
          <w:sz w:val="24"/>
        </w:rPr>
        <w:t>https://www.lecaiyun.com/</w:t>
      </w:r>
      <w:r>
        <w:rPr>
          <w:rFonts w:hint="eastAsia" w:ascii="宋体" w:hAnsi="宋体" w:cs="宋体"/>
          <w:color w:val="auto"/>
          <w:sz w:val="24"/>
        </w:rPr>
        <w:t>在线申请获取交易文件（进入“采购公告”应用，在获取采购文件菜单中选择项目，申请获取采购文件）。</w:t>
      </w:r>
    </w:p>
    <w:p w14:paraId="55F148F9">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01393DAC">
      <w:pPr>
        <w:spacing w:line="360" w:lineRule="auto"/>
        <w:rPr>
          <w:rFonts w:ascii="宋体" w:hAnsi="宋体" w:cs="宋体"/>
          <w:b/>
          <w:color w:val="auto"/>
          <w:sz w:val="24"/>
        </w:rPr>
      </w:pPr>
      <w:r>
        <w:rPr>
          <w:rFonts w:hint="eastAsia" w:ascii="宋体" w:hAnsi="宋体" w:cs="宋体"/>
          <w:b/>
          <w:color w:val="auto"/>
          <w:sz w:val="24"/>
        </w:rPr>
        <w:t>四、提交响应文件截止时间、交易时间和地点</w:t>
      </w:r>
    </w:p>
    <w:p w14:paraId="4D4185AE">
      <w:pPr>
        <w:spacing w:line="360" w:lineRule="auto"/>
        <w:ind w:firstLine="482" w:firstLineChars="200"/>
        <w:rPr>
          <w:rFonts w:ascii="宋体" w:hAnsi="宋体" w:cs="宋体"/>
          <w:color w:val="auto"/>
          <w:sz w:val="24"/>
        </w:rPr>
      </w:pPr>
      <w:r>
        <w:rPr>
          <w:rFonts w:hint="eastAsia" w:ascii="宋体" w:hAnsi="宋体" w:cs="宋体"/>
          <w:b/>
          <w:color w:val="auto"/>
          <w:sz w:val="24"/>
        </w:rPr>
        <w:t>提交响应文件截止时间：</w:t>
      </w:r>
      <w:r>
        <w:rPr>
          <w:rFonts w:hint="eastAsia" w:ascii="宋体" w:hAnsi="宋体" w:cs="宋体"/>
          <w:color w:val="auto"/>
          <w:sz w:val="24"/>
          <w:u w:val="single"/>
        </w:rPr>
        <w:t>2025年6月19日09点30分00秒</w:t>
      </w:r>
      <w:r>
        <w:rPr>
          <w:rFonts w:hint="eastAsia" w:ascii="宋体" w:hAnsi="宋体" w:cs="宋体"/>
          <w:color w:val="auto"/>
          <w:sz w:val="24"/>
        </w:rPr>
        <w:t>（北京时间）</w:t>
      </w:r>
    </w:p>
    <w:p w14:paraId="433B6B10">
      <w:pPr>
        <w:spacing w:line="360" w:lineRule="auto"/>
        <w:ind w:firstLine="482" w:firstLineChars="200"/>
        <w:rPr>
          <w:rFonts w:ascii="宋体" w:hAnsi="宋体" w:cs="宋体"/>
          <w:b/>
          <w:color w:val="auto"/>
          <w:sz w:val="24"/>
        </w:rPr>
      </w:pPr>
      <w:r>
        <w:rPr>
          <w:rFonts w:hint="eastAsia" w:ascii="宋体" w:hAnsi="宋体" w:cs="宋体"/>
          <w:b/>
          <w:color w:val="auto"/>
          <w:sz w:val="24"/>
        </w:rPr>
        <w:t>交易地点（网址）：</w:t>
      </w:r>
      <w:r>
        <w:rPr>
          <w:rFonts w:hint="eastAsia" w:ascii="宋体" w:hAnsi="宋体" w:cs="宋体"/>
          <w:bCs/>
          <w:color w:val="auto"/>
          <w:sz w:val="24"/>
        </w:rPr>
        <w:t>乐采云平台（https://www.lecaiyun.com/</w:t>
      </w:r>
      <w:r>
        <w:rPr>
          <w:rFonts w:hint="eastAsia" w:ascii="宋体" w:hAnsi="宋体" w:cs="宋体"/>
          <w:color w:val="auto"/>
          <w:sz w:val="24"/>
        </w:rPr>
        <w:t>）</w:t>
      </w:r>
    </w:p>
    <w:p w14:paraId="7F608A53">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交易时间：</w:t>
      </w:r>
      <w:r>
        <w:rPr>
          <w:rFonts w:hint="eastAsia" w:ascii="宋体" w:hAnsi="宋体" w:cs="宋体"/>
          <w:color w:val="auto"/>
          <w:sz w:val="24"/>
          <w:u w:val="single"/>
        </w:rPr>
        <w:t>2025年6月19日09点30分00秒</w:t>
      </w:r>
    </w:p>
    <w:p w14:paraId="519A67A9">
      <w:pPr>
        <w:spacing w:line="360" w:lineRule="auto"/>
        <w:ind w:firstLine="482" w:firstLineChars="200"/>
        <w:rPr>
          <w:rFonts w:ascii="宋体" w:hAnsi="宋体" w:cs="宋体"/>
          <w:color w:val="auto"/>
          <w:sz w:val="24"/>
        </w:rPr>
      </w:pPr>
      <w:r>
        <w:rPr>
          <w:rFonts w:hint="eastAsia" w:ascii="宋体" w:hAnsi="宋体" w:cs="宋体"/>
          <w:b/>
          <w:color w:val="auto"/>
          <w:sz w:val="24"/>
        </w:rPr>
        <w:t>交易地点（网址）：</w:t>
      </w:r>
      <w:r>
        <w:rPr>
          <w:rFonts w:hint="eastAsia" w:ascii="宋体" w:hAnsi="宋体" w:cs="宋体"/>
          <w:bCs/>
          <w:color w:val="auto"/>
          <w:sz w:val="24"/>
        </w:rPr>
        <w:t>乐采云平台（https://www.lecaiyun.com/</w:t>
      </w:r>
      <w:r>
        <w:rPr>
          <w:rFonts w:hint="eastAsia" w:ascii="宋体" w:hAnsi="宋体" w:cs="宋体"/>
          <w:color w:val="auto"/>
          <w:sz w:val="24"/>
        </w:rPr>
        <w:t>）</w:t>
      </w:r>
    </w:p>
    <w:p w14:paraId="3A030CA6">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43072BB5">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5E238FA9">
      <w:pPr>
        <w:spacing w:line="360" w:lineRule="auto"/>
        <w:rPr>
          <w:rFonts w:ascii="宋体" w:hAnsi="宋体" w:cs="宋体"/>
          <w:b/>
          <w:color w:val="auto"/>
          <w:sz w:val="24"/>
        </w:rPr>
      </w:pPr>
      <w:r>
        <w:rPr>
          <w:rFonts w:hint="eastAsia" w:ascii="宋体" w:hAnsi="宋体" w:cs="宋体"/>
          <w:b/>
          <w:color w:val="auto"/>
          <w:sz w:val="24"/>
        </w:rPr>
        <w:t>六、其他补充事宜</w:t>
      </w:r>
    </w:p>
    <w:p w14:paraId="6DC900A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1、响应人认为</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文件使自己的权益受到损害的，可以自获取</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501807B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其他事项：电子招投标的说明：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的获取：使用账号登录或者使用CA登录乐采云平台；进入“项目采购”应用，在获取采购文件菜单中选择项目，获取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文件的响应人进行投标活动； ⑥对未按上述方式获取</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文件的响应人对该文件提出的异议，交易发起人或代理机构将不予处理；⑦不提供</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文件纸质版；⑧响应文件的传输递交：响应人在响应截止时间前将加密的响应文件上传至乐采云平台；⑨响应文件的解密：响应人按照平台提示和</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p>
    <w:p w14:paraId="278CCFBF">
      <w:pPr>
        <w:spacing w:line="360" w:lineRule="auto"/>
        <w:rPr>
          <w:rFonts w:ascii="宋体" w:hAnsi="宋体" w:cs="宋体"/>
          <w:b/>
          <w:color w:val="auto"/>
          <w:sz w:val="24"/>
        </w:rPr>
      </w:pPr>
      <w:r>
        <w:rPr>
          <w:rFonts w:hint="eastAsia" w:ascii="宋体" w:hAnsi="宋体" w:cs="宋体"/>
          <w:b/>
          <w:color w:val="auto"/>
          <w:sz w:val="24"/>
        </w:rPr>
        <w:t>七、对本次交易提出询问、异议、投诉，请按以下方式联系</w:t>
      </w:r>
    </w:p>
    <w:p w14:paraId="06A044A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1.交易发起人信息</w:t>
      </w:r>
    </w:p>
    <w:p w14:paraId="3D51819C">
      <w:pPr>
        <w:spacing w:line="360" w:lineRule="auto"/>
        <w:ind w:firstLine="480" w:firstLineChars="200"/>
        <w:jc w:val="left"/>
        <w:rPr>
          <w:rFonts w:ascii="宋体" w:hAnsi="宋体" w:cs="宋体"/>
          <w:color w:val="auto"/>
          <w:sz w:val="24"/>
        </w:rPr>
      </w:pPr>
      <w:r>
        <w:rPr>
          <w:rFonts w:hint="eastAsia" w:ascii="宋体" w:hAnsi="宋体" w:cs="宋体"/>
          <w:color w:val="auto"/>
          <w:sz w:val="24"/>
        </w:rPr>
        <w:t>名称：</w:t>
      </w:r>
      <w:r>
        <w:rPr>
          <w:rFonts w:hint="eastAsia" w:ascii="宋体" w:hAnsi="宋体" w:cs="宋体"/>
          <w:color w:val="auto"/>
          <w:sz w:val="24"/>
          <w:lang w:eastAsia="zh-CN"/>
        </w:rPr>
        <w:t>杭州市萧山区人民政府北干街道办事处</w:t>
      </w:r>
      <w:r>
        <w:rPr>
          <w:rFonts w:hint="eastAsia" w:ascii="宋体" w:hAnsi="宋体" w:cs="宋体"/>
          <w:color w:val="auto"/>
          <w:sz w:val="24"/>
        </w:rPr>
        <w:t xml:space="preserve"> </w:t>
      </w:r>
    </w:p>
    <w:p w14:paraId="01E52EFC">
      <w:pPr>
        <w:spacing w:line="360" w:lineRule="auto"/>
        <w:ind w:firstLine="480" w:firstLineChars="200"/>
        <w:jc w:val="left"/>
        <w:rPr>
          <w:rFonts w:ascii="宋体" w:hAnsi="宋体" w:cs="宋体"/>
          <w:color w:val="auto"/>
          <w:sz w:val="24"/>
        </w:rPr>
      </w:pPr>
      <w:r>
        <w:rPr>
          <w:rFonts w:hint="eastAsia" w:ascii="宋体" w:hAnsi="宋体" w:cs="宋体"/>
          <w:color w:val="auto"/>
          <w:sz w:val="24"/>
        </w:rPr>
        <w:t xml:space="preserve">地址：萧山区金城路1269号       </w:t>
      </w:r>
    </w:p>
    <w:p w14:paraId="580EB8BD">
      <w:pPr>
        <w:spacing w:line="360" w:lineRule="auto"/>
        <w:ind w:firstLine="480" w:firstLineChars="200"/>
        <w:jc w:val="left"/>
        <w:rPr>
          <w:rFonts w:ascii="宋体" w:hAnsi="宋体" w:cs="宋体"/>
          <w:color w:val="auto"/>
          <w:sz w:val="24"/>
        </w:rPr>
      </w:pPr>
      <w:r>
        <w:rPr>
          <w:rFonts w:hint="eastAsia" w:ascii="宋体" w:hAnsi="宋体" w:cs="宋体"/>
          <w:color w:val="auto"/>
          <w:sz w:val="24"/>
        </w:rPr>
        <w:t>传真： /</w:t>
      </w:r>
    </w:p>
    <w:p w14:paraId="36DC41AB">
      <w:pPr>
        <w:spacing w:line="360" w:lineRule="auto"/>
        <w:ind w:firstLine="480" w:firstLineChars="200"/>
        <w:jc w:val="left"/>
        <w:rPr>
          <w:rFonts w:ascii="宋体" w:hAnsi="宋体" w:cs="宋体"/>
          <w:color w:val="auto"/>
          <w:sz w:val="24"/>
        </w:rPr>
      </w:pPr>
      <w:r>
        <w:rPr>
          <w:rFonts w:hint="eastAsia" w:ascii="宋体" w:hAnsi="宋体" w:cs="宋体"/>
          <w:color w:val="auto"/>
          <w:sz w:val="24"/>
        </w:rPr>
        <w:t>项目联系人（询问）：于尧平</w:t>
      </w:r>
    </w:p>
    <w:p w14:paraId="0FF87636">
      <w:pPr>
        <w:spacing w:line="360" w:lineRule="auto"/>
        <w:ind w:firstLine="480" w:firstLineChars="200"/>
        <w:jc w:val="left"/>
        <w:rPr>
          <w:rFonts w:ascii="宋体" w:hAnsi="宋体" w:cs="宋体"/>
          <w:color w:val="auto"/>
          <w:sz w:val="24"/>
        </w:rPr>
      </w:pPr>
      <w:r>
        <w:rPr>
          <w:rFonts w:hint="eastAsia" w:ascii="宋体" w:hAnsi="宋体" w:cs="宋体"/>
          <w:color w:val="auto"/>
          <w:sz w:val="24"/>
        </w:rPr>
        <w:t>项目联系方式（询问）：0571</w:t>
      </w:r>
      <w:r>
        <w:rPr>
          <w:rFonts w:hint="eastAsia" w:ascii="宋体" w:hAnsi="宋体" w:cs="宋体"/>
          <w:color w:val="auto"/>
          <w:sz w:val="24"/>
          <w:lang w:val="en-US" w:eastAsia="zh-CN"/>
        </w:rPr>
        <w:t>-</w:t>
      </w:r>
      <w:r>
        <w:rPr>
          <w:rFonts w:hint="eastAsia" w:ascii="宋体" w:hAnsi="宋体" w:cs="宋体"/>
          <w:color w:val="auto"/>
          <w:sz w:val="24"/>
        </w:rPr>
        <w:t>83526087</w:t>
      </w:r>
    </w:p>
    <w:p w14:paraId="7ADA9929">
      <w:pPr>
        <w:spacing w:line="360" w:lineRule="auto"/>
        <w:ind w:firstLine="480" w:firstLineChars="200"/>
        <w:jc w:val="left"/>
        <w:rPr>
          <w:rFonts w:ascii="宋体" w:hAnsi="宋体" w:cs="宋体"/>
          <w:color w:val="auto"/>
          <w:sz w:val="24"/>
        </w:rPr>
      </w:pPr>
      <w:r>
        <w:rPr>
          <w:rFonts w:hint="eastAsia" w:ascii="宋体" w:hAnsi="宋体" w:cs="宋体"/>
          <w:color w:val="auto"/>
          <w:sz w:val="24"/>
        </w:rPr>
        <w:t>2.代理机构信息</w:t>
      </w:r>
    </w:p>
    <w:p w14:paraId="351DC819">
      <w:pPr>
        <w:spacing w:line="360" w:lineRule="auto"/>
        <w:ind w:firstLine="480" w:firstLineChars="200"/>
        <w:jc w:val="left"/>
        <w:rPr>
          <w:rFonts w:hint="eastAsia" w:ascii="宋体" w:hAnsi="宋体" w:cs="宋体"/>
          <w:color w:val="auto"/>
          <w:sz w:val="24"/>
          <w:lang w:eastAsia="zh-CN"/>
        </w:rPr>
      </w:pPr>
      <w:r>
        <w:rPr>
          <w:rFonts w:hint="eastAsia" w:ascii="宋体" w:hAnsi="宋体" w:cs="宋体"/>
          <w:color w:val="auto"/>
          <w:sz w:val="24"/>
        </w:rPr>
        <w:t>名称：</w:t>
      </w:r>
      <w:r>
        <w:rPr>
          <w:rFonts w:hint="eastAsia" w:ascii="宋体" w:hAnsi="宋体" w:cs="宋体"/>
          <w:color w:val="auto"/>
          <w:sz w:val="24"/>
          <w:lang w:eastAsia="zh-CN"/>
        </w:rPr>
        <w:t>德威工程管理咨询有限公司</w:t>
      </w:r>
    </w:p>
    <w:p w14:paraId="45D8CBD8">
      <w:pPr>
        <w:spacing w:line="360" w:lineRule="auto"/>
        <w:ind w:firstLine="480" w:firstLineChars="200"/>
        <w:jc w:val="left"/>
        <w:rPr>
          <w:rFonts w:ascii="宋体" w:hAnsi="宋体" w:cs="宋体"/>
          <w:color w:val="auto"/>
          <w:sz w:val="24"/>
        </w:rPr>
      </w:pPr>
      <w:r>
        <w:rPr>
          <w:rFonts w:hint="eastAsia" w:ascii="宋体" w:hAnsi="宋体" w:cs="宋体"/>
          <w:color w:val="auto"/>
          <w:sz w:val="24"/>
        </w:rPr>
        <w:t>地址：萧山区通惠南路782号憬天国际5幢23楼</w:t>
      </w:r>
    </w:p>
    <w:p w14:paraId="2A3782D4">
      <w:pPr>
        <w:topLinePunct/>
        <w:snapToGrid w:val="0"/>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eastAsia="宋体" w:cs="宋体"/>
          <w:kern w:val="0"/>
          <w:sz w:val="24"/>
          <w:szCs w:val="28"/>
          <w:highlight w:val="none"/>
        </w:rPr>
        <w:t>项目联系人（询问）：</w:t>
      </w:r>
      <w:r>
        <w:rPr>
          <w:rFonts w:hint="eastAsia" w:ascii="宋体" w:hAnsi="宋体" w:cs="宋体"/>
          <w:kern w:val="0"/>
          <w:sz w:val="24"/>
          <w:szCs w:val="28"/>
          <w:highlight w:val="none"/>
          <w:lang w:val="en-US" w:eastAsia="zh-CN"/>
        </w:rPr>
        <w:t>胡松华</w:t>
      </w:r>
      <w:r>
        <w:rPr>
          <w:rFonts w:hint="eastAsia" w:ascii="宋体" w:hAnsi="宋体" w:cs="宋体"/>
          <w:kern w:val="0"/>
          <w:sz w:val="24"/>
          <w:szCs w:val="28"/>
          <w:highlight w:val="none"/>
          <w:lang w:val="en-US" w:eastAsia="zh-CN"/>
        </w:rPr>
        <w:tab/>
      </w:r>
      <w:r>
        <w:rPr>
          <w:rFonts w:hint="eastAsia" w:ascii="宋体" w:hAnsi="宋体" w:eastAsia="宋体" w:cs="宋体"/>
          <w:kern w:val="0"/>
          <w:sz w:val="24"/>
          <w:highlight w:val="none"/>
          <w:lang w:val="en-US" w:eastAsia="zh-CN"/>
        </w:rPr>
        <w:t xml:space="preserve"> </w:t>
      </w:r>
    </w:p>
    <w:p w14:paraId="73FE1110">
      <w:pPr>
        <w:spacing w:line="360" w:lineRule="auto"/>
        <w:ind w:firstLine="480" w:firstLineChars="200"/>
        <w:jc w:val="left"/>
        <w:rPr>
          <w:rFonts w:hint="eastAsia" w:ascii="宋体" w:hAnsi="宋体" w:cs="宋体"/>
          <w:bCs/>
          <w:snapToGrid w:val="0"/>
          <w:color w:val="auto"/>
          <w:kern w:val="28"/>
          <w:sz w:val="24"/>
        </w:rPr>
      </w:pPr>
      <w:r>
        <w:rPr>
          <w:rFonts w:hint="eastAsia" w:ascii="宋体" w:hAnsi="宋体" w:eastAsia="宋体" w:cs="宋体"/>
          <w:kern w:val="0"/>
          <w:sz w:val="24"/>
          <w:szCs w:val="28"/>
          <w:highlight w:val="none"/>
        </w:rPr>
        <w:t>项目联系方式（询问）：</w:t>
      </w:r>
      <w:r>
        <w:rPr>
          <w:rFonts w:hint="eastAsia" w:ascii="宋体" w:hAnsi="宋体" w:cs="宋体"/>
          <w:kern w:val="0"/>
          <w:sz w:val="24"/>
          <w:szCs w:val="28"/>
          <w:highlight w:val="none"/>
          <w:lang w:val="en-US" w:eastAsia="zh-CN"/>
        </w:rPr>
        <w:t>15397030968</w:t>
      </w:r>
      <w:r>
        <w:rPr>
          <w:rFonts w:hint="eastAsia" w:ascii="宋体" w:hAnsi="宋体" w:cs="宋体"/>
          <w:bCs/>
          <w:snapToGrid w:val="0"/>
          <w:color w:val="auto"/>
          <w:kern w:val="28"/>
          <w:sz w:val="24"/>
        </w:rPr>
        <w:t xml:space="preserve"> </w:t>
      </w:r>
    </w:p>
    <w:p w14:paraId="7BDF17EB">
      <w:pPr>
        <w:spacing w:line="360" w:lineRule="auto"/>
        <w:ind w:firstLine="480" w:firstLineChars="200"/>
        <w:rPr>
          <w:rFonts w:ascii="宋体" w:hAnsi="宋体" w:cs="宋体"/>
          <w:color w:val="auto"/>
          <w:sz w:val="24"/>
        </w:rPr>
      </w:pPr>
      <w:r>
        <w:rPr>
          <w:rFonts w:hint="eastAsia" w:ascii="宋体" w:hAnsi="宋体" w:cs="宋体"/>
          <w:color w:val="auto"/>
          <w:sz w:val="24"/>
        </w:rPr>
        <w:t>若对项目、电子交易系统操作有疑问，可登录乐采云</w:t>
      </w:r>
      <w:r>
        <w:rPr>
          <w:rFonts w:hint="eastAsia" w:ascii="宋体" w:hAnsi="宋体" w:cs="宋体"/>
          <w:bCs/>
          <w:color w:val="auto"/>
          <w:sz w:val="24"/>
        </w:rPr>
        <w:t>（https://www.lecaiyun.com/</w:t>
      </w:r>
      <w:r>
        <w:rPr>
          <w:rFonts w:hint="eastAsia" w:ascii="宋体" w:hAnsi="宋体" w:cs="宋体"/>
          <w:color w:val="auto"/>
          <w:sz w:val="24"/>
        </w:rPr>
        <w:t>），点击右侧咨询小采，获取采小蜜智能服务管家帮助，或拨打乐采云服务热线95763获取热线服务帮助。</w:t>
      </w:r>
    </w:p>
    <w:p w14:paraId="1610D4B3">
      <w:pPr>
        <w:spacing w:line="360" w:lineRule="auto"/>
        <w:ind w:firstLine="480" w:firstLineChars="200"/>
        <w:jc w:val="center"/>
        <w:rPr>
          <w:rFonts w:ascii="宋体" w:hAnsi="宋体" w:cs="宋体"/>
          <w:color w:val="auto"/>
          <w:sz w:val="24"/>
        </w:rPr>
      </w:pPr>
    </w:p>
    <w:p w14:paraId="3B4E3EED">
      <w:pPr>
        <w:pStyle w:val="24"/>
        <w:rPr>
          <w:rFonts w:ascii="宋体" w:hAnsi="宋体" w:cs="宋体"/>
          <w:color w:val="auto"/>
          <w:sz w:val="24"/>
        </w:rPr>
      </w:pPr>
    </w:p>
    <w:p w14:paraId="440792EA">
      <w:pPr>
        <w:pStyle w:val="25"/>
      </w:pPr>
    </w:p>
    <w:p w14:paraId="62B8860A"/>
    <w:p w14:paraId="6AB7B880">
      <w:pPr>
        <w:pStyle w:val="2"/>
      </w:pPr>
    </w:p>
    <w:p w14:paraId="4DB3E89C"/>
    <w:p w14:paraId="0F8C1246">
      <w:pPr>
        <w:pStyle w:val="2"/>
      </w:pPr>
    </w:p>
    <w:p w14:paraId="32FC5B36"/>
    <w:p w14:paraId="5EEA1466">
      <w:pPr>
        <w:pStyle w:val="2"/>
      </w:pPr>
    </w:p>
    <w:p w14:paraId="6565B658"/>
    <w:p w14:paraId="2E8D0A70">
      <w:pPr>
        <w:spacing w:line="360" w:lineRule="auto"/>
        <w:ind w:firstLine="480" w:firstLineChars="200"/>
        <w:jc w:val="center"/>
        <w:rPr>
          <w:rFonts w:ascii="宋体" w:hAnsi="宋体" w:cs="宋体"/>
          <w:color w:val="auto"/>
          <w:sz w:val="24"/>
        </w:rPr>
      </w:pPr>
    </w:p>
    <w:p w14:paraId="200B67BE">
      <w:pPr>
        <w:spacing w:line="360" w:lineRule="auto"/>
        <w:ind w:firstLine="723" w:firstLineChars="200"/>
        <w:jc w:val="center"/>
        <w:rPr>
          <w:rFonts w:ascii="宋体" w:hAnsi="宋体" w:cs="宋体"/>
          <w:b/>
          <w:color w:val="auto"/>
          <w:sz w:val="36"/>
          <w:szCs w:val="20"/>
        </w:rPr>
      </w:pPr>
      <w:r>
        <w:rPr>
          <w:rFonts w:hint="eastAsia" w:ascii="宋体" w:hAnsi="宋体" w:cs="宋体"/>
          <w:b/>
          <w:color w:val="auto"/>
          <w:sz w:val="36"/>
          <w:szCs w:val="20"/>
        </w:rPr>
        <w:t>第二部分 响应人须知</w:t>
      </w:r>
    </w:p>
    <w:p w14:paraId="0F286D4C">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前附表</w:t>
      </w:r>
    </w:p>
    <w:tbl>
      <w:tblPr>
        <w:tblStyle w:val="63"/>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706"/>
      </w:tblGrid>
      <w:tr w14:paraId="564E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4E6E182C">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843" w:type="dxa"/>
            <w:vAlign w:val="center"/>
          </w:tcPr>
          <w:p w14:paraId="5A19EF1F">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706" w:type="dxa"/>
            <w:vAlign w:val="center"/>
          </w:tcPr>
          <w:p w14:paraId="7C784135">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14:paraId="6735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4" w:hRule="atLeast"/>
          <w:tblHeader/>
          <w:jc w:val="center"/>
        </w:trPr>
        <w:tc>
          <w:tcPr>
            <w:tcW w:w="629" w:type="dxa"/>
            <w:vAlign w:val="center"/>
          </w:tcPr>
          <w:p w14:paraId="751BA46B">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43" w:type="dxa"/>
            <w:vAlign w:val="center"/>
          </w:tcPr>
          <w:p w14:paraId="317176DE">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6706" w:type="dxa"/>
            <w:vAlign w:val="center"/>
          </w:tcPr>
          <w:p w14:paraId="7C1A74CF">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lang w:val="en-US" w:eastAsia="zh-CN"/>
              </w:rPr>
              <w:t xml:space="preserve">  </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A货物类</w:t>
            </w:r>
            <w:r>
              <w:rPr>
                <w:rFonts w:hint="eastAsia" w:asciiTheme="minorEastAsia" w:hAnsiTheme="minorEastAsia" w:eastAsiaTheme="minorEastAsia" w:cstheme="minorEastAsia"/>
                <w:color w:val="auto"/>
                <w:sz w:val="24"/>
                <w:highlight w:val="none"/>
              </w:rPr>
              <w:t>。</w:t>
            </w:r>
          </w:p>
          <w:p w14:paraId="1D62DAA2">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B服务类</w:t>
            </w:r>
            <w:r>
              <w:rPr>
                <w:rFonts w:hint="eastAsia" w:asciiTheme="minorEastAsia" w:hAnsiTheme="minorEastAsia" w:eastAsiaTheme="minorEastAsia" w:cstheme="minorEastAsia"/>
                <w:color w:val="auto"/>
                <w:sz w:val="24"/>
                <w:highlight w:val="none"/>
              </w:rPr>
              <w:t>。</w:t>
            </w:r>
          </w:p>
        </w:tc>
      </w:tr>
      <w:tr w14:paraId="22DE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1" w:hRule="atLeast"/>
          <w:tblHeader/>
          <w:jc w:val="center"/>
        </w:trPr>
        <w:tc>
          <w:tcPr>
            <w:tcW w:w="629" w:type="dxa"/>
          </w:tcPr>
          <w:p w14:paraId="4C551FBA">
            <w:pPr>
              <w:snapToGrid w:val="0"/>
              <w:spacing w:line="400" w:lineRule="exact"/>
              <w:jc w:val="center"/>
              <w:rPr>
                <w:rFonts w:hint="eastAsia" w:asciiTheme="minorEastAsia" w:hAnsiTheme="minorEastAsia" w:eastAsiaTheme="minorEastAsia" w:cstheme="minorEastAsia"/>
                <w:color w:val="auto"/>
                <w:sz w:val="24"/>
                <w:highlight w:val="none"/>
              </w:rPr>
            </w:pPr>
          </w:p>
          <w:p w14:paraId="5971C1AF">
            <w:pPr>
              <w:snapToGrid w:val="0"/>
              <w:spacing w:line="400" w:lineRule="exact"/>
              <w:jc w:val="center"/>
              <w:rPr>
                <w:rFonts w:hint="eastAsia" w:asciiTheme="minorEastAsia" w:hAnsiTheme="minorEastAsia" w:eastAsiaTheme="minorEastAsia" w:cstheme="minorEastAsia"/>
                <w:color w:val="auto"/>
                <w:sz w:val="24"/>
                <w:highlight w:val="none"/>
              </w:rPr>
            </w:pPr>
          </w:p>
          <w:p w14:paraId="1BB7DFDD">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43" w:type="dxa"/>
            <w:vAlign w:val="center"/>
          </w:tcPr>
          <w:p w14:paraId="3D763C02">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采购标的对应的中小企业划分标准所属行业</w:t>
            </w:r>
          </w:p>
        </w:tc>
        <w:tc>
          <w:tcPr>
            <w:tcW w:w="6706" w:type="dxa"/>
            <w:vAlign w:val="center"/>
          </w:tcPr>
          <w:p w14:paraId="513F3D55">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  ）</w:t>
            </w:r>
            <w:r>
              <w:rPr>
                <w:rFonts w:hint="eastAsia" w:asciiTheme="minorEastAsia" w:hAnsiTheme="minorEastAsia" w:eastAsiaTheme="minorEastAsia" w:cstheme="minorEastAsia"/>
                <w:color w:val="auto"/>
                <w:kern w:val="0"/>
                <w:sz w:val="24"/>
                <w:highlight w:val="none"/>
              </w:rPr>
              <w:t>A适用</w:t>
            </w:r>
            <w:r>
              <w:rPr>
                <w:rFonts w:hint="eastAsia" w:asciiTheme="minorEastAsia" w:hAnsiTheme="minorEastAsia" w:eastAsiaTheme="minorEastAsia" w:cstheme="minorEastAsia"/>
                <w:color w:val="auto"/>
                <w:sz w:val="24"/>
                <w:highlight w:val="none"/>
              </w:rPr>
              <w:t>。</w:t>
            </w:r>
          </w:p>
          <w:p w14:paraId="06BAFE3A">
            <w:pPr>
              <w:spacing w:line="40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B不适用</w:t>
            </w:r>
            <w:r>
              <w:rPr>
                <w:rFonts w:hint="eastAsia" w:asciiTheme="minorEastAsia" w:hAnsiTheme="minorEastAsia" w:eastAsiaTheme="minorEastAsia" w:cstheme="minorEastAsia"/>
                <w:color w:val="auto"/>
                <w:sz w:val="24"/>
                <w:highlight w:val="none"/>
              </w:rPr>
              <w:t>。</w:t>
            </w:r>
          </w:p>
        </w:tc>
      </w:tr>
      <w:tr w14:paraId="17B1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blHeader/>
          <w:jc w:val="center"/>
        </w:trPr>
        <w:tc>
          <w:tcPr>
            <w:tcW w:w="629" w:type="dxa"/>
            <w:vAlign w:val="center"/>
          </w:tcPr>
          <w:p w14:paraId="798870D7">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43" w:type="dxa"/>
            <w:vAlign w:val="center"/>
          </w:tcPr>
          <w:p w14:paraId="3985D5BF">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6706" w:type="dxa"/>
            <w:vAlign w:val="center"/>
          </w:tcPr>
          <w:p w14:paraId="7750B4F2">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szCs w:val="32"/>
                <w:highlight w:val="none"/>
              </w:rPr>
              <w:t>本项目不允许采购进口产品。</w:t>
            </w:r>
          </w:p>
        </w:tc>
      </w:tr>
      <w:tr w14:paraId="4BCF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3" w:hRule="atLeast"/>
          <w:tblHeader/>
          <w:jc w:val="center"/>
        </w:trPr>
        <w:tc>
          <w:tcPr>
            <w:tcW w:w="629" w:type="dxa"/>
            <w:vAlign w:val="center"/>
          </w:tcPr>
          <w:p w14:paraId="3B9CFF68">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43" w:type="dxa"/>
            <w:vAlign w:val="center"/>
          </w:tcPr>
          <w:p w14:paraId="4EB65C1C">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6706" w:type="dxa"/>
            <w:vAlign w:val="center"/>
          </w:tcPr>
          <w:p w14:paraId="363F9FC2">
            <w:pPr>
              <w:spacing w:line="400" w:lineRule="exac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B</w:t>
            </w:r>
            <w:r>
              <w:rPr>
                <w:rFonts w:hint="eastAsia" w:asciiTheme="minorEastAsia" w:hAnsiTheme="minorEastAsia" w:eastAsiaTheme="minorEastAsia" w:cstheme="minorEastAsia"/>
                <w:bCs/>
                <w:color w:val="auto"/>
                <w:sz w:val="24"/>
                <w:highlight w:val="none"/>
              </w:rPr>
              <w:t>不同意分包。</w:t>
            </w:r>
          </w:p>
        </w:tc>
      </w:tr>
      <w:tr w14:paraId="49F0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tblHeader/>
          <w:jc w:val="center"/>
        </w:trPr>
        <w:tc>
          <w:tcPr>
            <w:tcW w:w="629" w:type="dxa"/>
            <w:vAlign w:val="center"/>
          </w:tcPr>
          <w:p w14:paraId="40917F77">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843" w:type="dxa"/>
            <w:vAlign w:val="center"/>
          </w:tcPr>
          <w:p w14:paraId="6ED1FC98">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6706" w:type="dxa"/>
            <w:vAlign w:val="center"/>
          </w:tcPr>
          <w:p w14:paraId="29ABF28F">
            <w:pPr>
              <w:spacing w:line="400" w:lineRule="exact"/>
              <w:rPr>
                <w:rFonts w:hint="eastAsia" w:asciiTheme="minorEastAsia" w:hAnsiTheme="minorEastAsia" w:eastAsiaTheme="minorEastAsia" w:cstheme="minorEastAsia"/>
                <w:bCs/>
                <w:color w:val="auto"/>
                <w:sz w:val="24"/>
                <w:szCs w:val="20"/>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A</w:t>
            </w:r>
            <w:r>
              <w:rPr>
                <w:rFonts w:hint="eastAsia" w:asciiTheme="minorEastAsia" w:hAnsiTheme="minorEastAsia" w:eastAsiaTheme="minorEastAsia" w:cstheme="minorEastAsia"/>
                <w:bCs/>
                <w:color w:val="auto"/>
                <w:sz w:val="24"/>
                <w:highlight w:val="none"/>
              </w:rPr>
              <w:t>不组织。</w:t>
            </w:r>
          </w:p>
        </w:tc>
      </w:tr>
      <w:tr w14:paraId="2474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blHeader/>
          <w:jc w:val="center"/>
        </w:trPr>
        <w:tc>
          <w:tcPr>
            <w:tcW w:w="629" w:type="dxa"/>
            <w:vAlign w:val="center"/>
          </w:tcPr>
          <w:p w14:paraId="343FB7A5">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843" w:type="dxa"/>
            <w:vAlign w:val="center"/>
          </w:tcPr>
          <w:p w14:paraId="70512901">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706" w:type="dxa"/>
            <w:vAlign w:val="center"/>
          </w:tcPr>
          <w:p w14:paraId="332BE89C">
            <w:pPr>
              <w:spacing w:line="400" w:lineRule="exac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（√）A不要求提供。</w:t>
            </w:r>
          </w:p>
        </w:tc>
      </w:tr>
      <w:tr w14:paraId="6AFF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blHeader/>
          <w:jc w:val="center"/>
        </w:trPr>
        <w:tc>
          <w:tcPr>
            <w:tcW w:w="629" w:type="dxa"/>
            <w:vAlign w:val="center"/>
          </w:tcPr>
          <w:p w14:paraId="1F96D9D4">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843" w:type="dxa"/>
            <w:vAlign w:val="center"/>
          </w:tcPr>
          <w:p w14:paraId="7F6F38F6">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现场讲解</w:t>
            </w:r>
          </w:p>
        </w:tc>
        <w:tc>
          <w:tcPr>
            <w:tcW w:w="6706" w:type="dxa"/>
            <w:vAlign w:val="center"/>
          </w:tcPr>
          <w:p w14:paraId="5B83678D">
            <w:pPr>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（√）A不组织。</w:t>
            </w:r>
          </w:p>
          <w:p w14:paraId="0A1AFCC2">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  ）B组织。</w:t>
            </w:r>
          </w:p>
        </w:tc>
      </w:tr>
      <w:tr w14:paraId="5B5D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278BFF4D">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843" w:type="dxa"/>
            <w:vAlign w:val="center"/>
          </w:tcPr>
          <w:p w14:paraId="1AF805AD">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响应人应当提供的资格证明文件</w:t>
            </w:r>
          </w:p>
        </w:tc>
        <w:tc>
          <w:tcPr>
            <w:tcW w:w="6706" w:type="dxa"/>
            <w:vAlign w:val="center"/>
          </w:tcPr>
          <w:p w14:paraId="65B42AF9">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文件第二部分10.1。</w:t>
            </w:r>
          </w:p>
          <w:p w14:paraId="2F22D8A4">
            <w:pPr>
              <w:spacing w:line="400" w:lineRule="exact"/>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kern w:val="0"/>
                <w:sz w:val="24"/>
                <w:highlight w:val="none"/>
                <w:lang w:val="zh-CN"/>
              </w:rPr>
              <w:t>响应人未提供有效的资格证明文件的，视为响应人不具备</w:t>
            </w:r>
            <w:r>
              <w:rPr>
                <w:rFonts w:hint="eastAsia" w:asciiTheme="minorEastAsia" w:hAnsiTheme="minorEastAsia" w:eastAsiaTheme="minorEastAsia" w:cstheme="minorEastAsia"/>
                <w:color w:val="auto"/>
                <w:kern w:val="0"/>
                <w:sz w:val="24"/>
                <w:highlight w:val="none"/>
                <w:lang w:val="en-US" w:eastAsia="zh-CN"/>
              </w:rPr>
              <w:t>交易</w:t>
            </w:r>
            <w:r>
              <w:rPr>
                <w:rFonts w:hint="eastAsia" w:asciiTheme="minorEastAsia" w:hAnsiTheme="minorEastAsia" w:eastAsiaTheme="minorEastAsia" w:cstheme="minorEastAsia"/>
                <w:color w:val="auto"/>
                <w:kern w:val="0"/>
                <w:sz w:val="24"/>
                <w:highlight w:val="none"/>
                <w:lang w:val="zh-CN"/>
              </w:rPr>
              <w:t>文件中规定的资格要求，交易无效。</w:t>
            </w:r>
          </w:p>
        </w:tc>
      </w:tr>
      <w:tr w14:paraId="6511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4785FBA4">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843" w:type="dxa"/>
            <w:vAlign w:val="center"/>
          </w:tcPr>
          <w:p w14:paraId="1DA9A123">
            <w:pPr>
              <w:snapToGrid w:val="0"/>
              <w:spacing w:line="40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6706" w:type="dxa"/>
            <w:vAlign w:val="center"/>
          </w:tcPr>
          <w:p w14:paraId="244E507D">
            <w:pPr>
              <w:spacing w:line="400" w:lineRule="exact"/>
              <w:ind w:firstLine="480" w:firstLineChars="200"/>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Cs/>
                <w:color w:val="auto"/>
                <w:kern w:val="0"/>
                <w:sz w:val="24"/>
                <w:highlight w:val="none"/>
              </w:rPr>
              <w:t>交易一览表（报价表）是报价的唯一载体</w:t>
            </w:r>
            <w:r>
              <w:rPr>
                <w:rFonts w:hint="eastAsia" w:asciiTheme="minorEastAsia" w:hAnsiTheme="minorEastAsia" w:eastAsiaTheme="minorEastAsia" w:cstheme="minorEastAsia"/>
                <w:bCs/>
                <w:color w:val="auto"/>
                <w:kern w:val="0"/>
                <w:sz w:val="24"/>
                <w:highlight w:val="none"/>
                <w:lang w:val="zh-CN"/>
              </w:rPr>
              <w:t>。响应文件中价格全部采用人民币报价。交易文件未列明，而响应人认为必需的费用也需列入报价。</w:t>
            </w:r>
          </w:p>
          <w:p w14:paraId="15DD722D">
            <w:pPr>
              <w:spacing w:line="400" w:lineRule="exact"/>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交易报价出现下列情形的，交易无效：</w:t>
            </w:r>
          </w:p>
          <w:p w14:paraId="116D71E7">
            <w:pPr>
              <w:spacing w:line="400" w:lineRule="exact"/>
              <w:ind w:firstLine="480" w:firstLineChars="200"/>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响应文件出现不是唯一的、有选择性交易报价的；</w:t>
            </w:r>
          </w:p>
          <w:p w14:paraId="4EED42CE">
            <w:pPr>
              <w:spacing w:line="400" w:lineRule="exact"/>
              <w:ind w:firstLine="480" w:firstLineChars="200"/>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交易报价超过</w:t>
            </w:r>
            <w:r>
              <w:rPr>
                <w:rFonts w:hint="eastAsia" w:asciiTheme="minorEastAsia" w:hAnsiTheme="minorEastAsia" w:eastAsiaTheme="minorEastAsia" w:cstheme="minorEastAsia"/>
                <w:bCs/>
                <w:color w:val="auto"/>
                <w:kern w:val="0"/>
                <w:sz w:val="24"/>
                <w:highlight w:val="none"/>
                <w:lang w:val="en-US" w:eastAsia="zh-CN"/>
              </w:rPr>
              <w:t>交易</w:t>
            </w:r>
            <w:r>
              <w:rPr>
                <w:rFonts w:hint="eastAsia" w:asciiTheme="minorEastAsia" w:hAnsiTheme="minorEastAsia" w:eastAsiaTheme="minorEastAsia" w:cstheme="minorEastAsia"/>
                <w:bCs/>
                <w:color w:val="auto"/>
                <w:kern w:val="0"/>
                <w:sz w:val="24"/>
                <w:highlight w:val="none"/>
                <w:lang w:val="zh-CN"/>
              </w:rPr>
              <w:t>文件中规定的预算金额或者最高限价的；</w:t>
            </w:r>
          </w:p>
          <w:p w14:paraId="0DD247A1">
            <w:pPr>
              <w:spacing w:line="400" w:lineRule="exact"/>
              <w:ind w:firstLine="480" w:firstLineChars="200"/>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37D95389">
            <w:pPr>
              <w:spacing w:line="40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rPr>
              <w:t>响应人对根据修正原则修正后的报价不确认的。</w:t>
            </w:r>
          </w:p>
        </w:tc>
      </w:tr>
      <w:tr w14:paraId="1A65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9" w:hRule="atLeast"/>
          <w:tblHeader/>
          <w:jc w:val="center"/>
        </w:trPr>
        <w:tc>
          <w:tcPr>
            <w:tcW w:w="629" w:type="dxa"/>
            <w:vAlign w:val="center"/>
          </w:tcPr>
          <w:p w14:paraId="78A09560">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843" w:type="dxa"/>
            <w:vAlign w:val="center"/>
          </w:tcPr>
          <w:p w14:paraId="5E40673A">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备份响应文件</w:t>
            </w:r>
          </w:p>
        </w:tc>
        <w:tc>
          <w:tcPr>
            <w:tcW w:w="6706" w:type="dxa"/>
            <w:vAlign w:val="center"/>
          </w:tcPr>
          <w:p w14:paraId="5598676C">
            <w:pPr>
              <w:pStyle w:val="6"/>
              <w:spacing w:line="400" w:lineRule="exact"/>
              <w:ind w:hanging="4"/>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color w:val="auto"/>
                <w:kern w:val="28"/>
                <w:sz w:val="24"/>
                <w:szCs w:val="24"/>
                <w:highlight w:val="none"/>
              </w:rPr>
              <w:t>备份文件是否收取：不收取。</w:t>
            </w:r>
          </w:p>
        </w:tc>
      </w:tr>
      <w:tr w14:paraId="09A8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blHeader/>
          <w:jc w:val="center"/>
        </w:trPr>
        <w:tc>
          <w:tcPr>
            <w:tcW w:w="629" w:type="dxa"/>
            <w:vAlign w:val="center"/>
          </w:tcPr>
          <w:p w14:paraId="0BB0E79F">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843" w:type="dxa"/>
            <w:vAlign w:val="center"/>
          </w:tcPr>
          <w:p w14:paraId="06D781CD">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代理机构代理费用</w:t>
            </w:r>
          </w:p>
        </w:tc>
        <w:tc>
          <w:tcPr>
            <w:tcW w:w="6706" w:type="dxa"/>
            <w:vAlign w:val="center"/>
          </w:tcPr>
          <w:p w14:paraId="63A7FD12">
            <w:pPr>
              <w:snapToGrid w:val="0"/>
              <w:spacing w:line="400" w:lineRule="exact"/>
              <w:rPr>
                <w:rFonts w:hint="eastAsia" w:asciiTheme="minorEastAsia" w:hAnsiTheme="minorEastAsia" w:eastAsiaTheme="minorEastAsia" w:cstheme="minorEastAsia"/>
                <w:bCs/>
                <w:color w:val="auto"/>
                <w:kern w:val="0"/>
                <w:sz w:val="24"/>
                <w:highlight w:val="none"/>
                <w:lang w:val="en-US" w:eastAsia="zh-CN"/>
              </w:rPr>
            </w:pPr>
            <w:r>
              <w:rPr>
                <w:rFonts w:hint="eastAsia" w:asciiTheme="minorEastAsia" w:hAnsiTheme="minorEastAsia" w:eastAsiaTheme="minorEastAsia" w:cstheme="minorEastAsia"/>
                <w:bCs/>
                <w:color w:val="auto"/>
                <w:kern w:val="0"/>
                <w:sz w:val="24"/>
                <w:highlight w:val="none"/>
                <w:lang w:val="en-US" w:eastAsia="zh-CN"/>
              </w:rPr>
              <w:t>无。</w:t>
            </w:r>
          </w:p>
        </w:tc>
      </w:tr>
      <w:tr w14:paraId="43A5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2" w:hRule="atLeast"/>
          <w:tblHeader/>
          <w:jc w:val="center"/>
        </w:trPr>
        <w:tc>
          <w:tcPr>
            <w:tcW w:w="629" w:type="dxa"/>
            <w:vAlign w:val="center"/>
          </w:tcPr>
          <w:p w14:paraId="222D4854">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highlight w:val="none"/>
              </w:rPr>
              <w:t>12</w:t>
            </w:r>
          </w:p>
        </w:tc>
        <w:tc>
          <w:tcPr>
            <w:tcW w:w="1843" w:type="dxa"/>
            <w:vAlign w:val="center"/>
          </w:tcPr>
          <w:p w14:paraId="3184F39E">
            <w:pPr>
              <w:snapToGrid w:val="0"/>
              <w:spacing w:line="400" w:lineRule="exact"/>
              <w:jc w:val="center"/>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质量保证金</w:t>
            </w:r>
          </w:p>
          <w:p w14:paraId="3AEB6211">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履约保证金</w:t>
            </w:r>
          </w:p>
        </w:tc>
        <w:tc>
          <w:tcPr>
            <w:tcW w:w="6706" w:type="dxa"/>
            <w:vAlign w:val="center"/>
          </w:tcPr>
          <w:p w14:paraId="69FE33D6">
            <w:pPr>
              <w:snapToGrid w:val="0"/>
              <w:spacing w:line="400" w:lineRule="exact"/>
              <w:rPr>
                <w:rFonts w:hint="eastAsia" w:asciiTheme="minorEastAsia" w:hAnsiTheme="minorEastAsia" w:eastAsiaTheme="minorEastAsia" w:cstheme="minorEastAsia"/>
                <w:bCs/>
                <w:color w:val="auto"/>
                <w:kern w:val="0"/>
                <w:sz w:val="24"/>
                <w:highlight w:val="none"/>
                <w:lang w:eastAsia="zh-CN"/>
              </w:rPr>
            </w:pPr>
            <w:r>
              <w:rPr>
                <w:rFonts w:hint="eastAsia" w:asciiTheme="minorEastAsia" w:hAnsiTheme="minorEastAsia" w:eastAsiaTheme="minorEastAsia" w:cstheme="minorEastAsia"/>
                <w:bCs/>
                <w:color w:val="auto"/>
                <w:kern w:val="0"/>
                <w:sz w:val="24"/>
                <w:highlight w:val="none"/>
              </w:rPr>
              <w:t>质量保证金</w:t>
            </w:r>
            <w:r>
              <w:rPr>
                <w:rFonts w:hint="eastAsia" w:asciiTheme="minorEastAsia" w:hAnsiTheme="minorEastAsia" w:eastAsiaTheme="minorEastAsia" w:cstheme="minorEastAsia"/>
                <w:bCs/>
                <w:color w:val="auto"/>
                <w:kern w:val="0"/>
                <w:sz w:val="24"/>
                <w:highlight w:val="none"/>
                <w:lang w:eastAsia="zh-CN"/>
              </w:rPr>
              <w:t>：</w:t>
            </w:r>
            <w:r>
              <w:rPr>
                <w:rFonts w:hint="eastAsia" w:asciiTheme="minorEastAsia" w:hAnsiTheme="minorEastAsia" w:eastAsiaTheme="minorEastAsia" w:cstheme="minorEastAsia"/>
                <w:bCs/>
                <w:color w:val="auto"/>
                <w:kern w:val="0"/>
                <w:sz w:val="24"/>
                <w:highlight w:val="none"/>
              </w:rPr>
              <w:t>不收取。</w:t>
            </w:r>
          </w:p>
          <w:p w14:paraId="3997C862">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履约保证金：不收取。</w:t>
            </w:r>
          </w:p>
        </w:tc>
      </w:tr>
      <w:tr w14:paraId="1147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3" w:hRule="atLeast"/>
          <w:tblHeader/>
          <w:jc w:val="center"/>
        </w:trPr>
        <w:tc>
          <w:tcPr>
            <w:tcW w:w="629" w:type="dxa"/>
            <w:vAlign w:val="center"/>
          </w:tcPr>
          <w:p w14:paraId="2A08EAD6">
            <w:pPr>
              <w:snapToGrid w:val="0"/>
              <w:spacing w:line="40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13</w:t>
            </w:r>
          </w:p>
        </w:tc>
        <w:tc>
          <w:tcPr>
            <w:tcW w:w="1843" w:type="dxa"/>
            <w:vAlign w:val="center"/>
          </w:tcPr>
          <w:p w14:paraId="7196ADA9">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资格审查和信用信息审查</w:t>
            </w:r>
          </w:p>
        </w:tc>
        <w:tc>
          <w:tcPr>
            <w:tcW w:w="6706" w:type="dxa"/>
            <w:vAlign w:val="center"/>
          </w:tcPr>
          <w:p w14:paraId="04E9C79C">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本项目由交易发起人进行资格文件及信用信息查询。</w:t>
            </w:r>
          </w:p>
        </w:tc>
      </w:tr>
      <w:tr w14:paraId="614D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295A1035">
            <w:pPr>
              <w:snapToGrid w:val="0"/>
              <w:spacing w:line="40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14</w:t>
            </w:r>
          </w:p>
        </w:tc>
        <w:tc>
          <w:tcPr>
            <w:tcW w:w="1843" w:type="dxa"/>
            <w:vAlign w:val="center"/>
          </w:tcPr>
          <w:p w14:paraId="5E187985">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异议接收人及答复</w:t>
            </w:r>
          </w:p>
        </w:tc>
        <w:tc>
          <w:tcPr>
            <w:tcW w:w="6706" w:type="dxa"/>
            <w:vAlign w:val="center"/>
          </w:tcPr>
          <w:p w14:paraId="794285C3">
            <w:pPr>
              <w:topLinePunct/>
              <w:snapToGrid w:val="0"/>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采购机构质疑接收人：</w:t>
            </w:r>
            <w:r>
              <w:rPr>
                <w:rFonts w:hint="eastAsia" w:ascii="宋体" w:hAnsi="宋体" w:cs="宋体"/>
                <w:kern w:val="0"/>
                <w:sz w:val="24"/>
                <w:highlight w:val="none"/>
                <w:lang w:val="en-US" w:eastAsia="zh-CN"/>
              </w:rPr>
              <w:t>史飞燕</w:t>
            </w:r>
            <w:r>
              <w:rPr>
                <w:rFonts w:hint="eastAsia" w:ascii="宋体" w:hAnsi="宋体" w:eastAsia="宋体" w:cs="宋体"/>
                <w:kern w:val="0"/>
                <w:sz w:val="24"/>
                <w:highlight w:val="none"/>
              </w:rPr>
              <w:t>，联系方式：</w:t>
            </w:r>
            <w:r>
              <w:rPr>
                <w:rFonts w:hint="eastAsia" w:ascii="宋体" w:hAnsi="宋体" w:cs="宋体"/>
                <w:kern w:val="0"/>
                <w:sz w:val="24"/>
                <w:highlight w:val="none"/>
                <w:lang w:val="en-US" w:eastAsia="zh-CN"/>
              </w:rPr>
              <w:t>13758108230</w:t>
            </w:r>
            <w:r>
              <w:rPr>
                <w:rFonts w:hint="eastAsia" w:ascii="宋体" w:hAnsi="宋体" w:eastAsia="宋体" w:cs="宋体"/>
                <w:kern w:val="0"/>
                <w:sz w:val="24"/>
                <w:highlight w:val="none"/>
                <w:lang w:val="en-US" w:eastAsia="zh-CN"/>
              </w:rPr>
              <w:t xml:space="preserve"> </w:t>
            </w:r>
          </w:p>
          <w:p w14:paraId="05B979CA">
            <w:pPr>
              <w:topLinePunct/>
              <w:snapToGrid w:val="0"/>
              <w:rPr>
                <w:rFonts w:hint="eastAsia" w:ascii="宋体" w:hAnsi="宋体" w:eastAsia="宋体" w:cs="宋体"/>
                <w:kern w:val="0"/>
                <w:sz w:val="24"/>
                <w:szCs w:val="28"/>
                <w:highlight w:val="none"/>
                <w:lang w:eastAsia="zh-CN"/>
              </w:rPr>
            </w:pPr>
            <w:r>
              <w:rPr>
                <w:rFonts w:hint="eastAsia" w:ascii="宋体" w:hAnsi="宋体" w:eastAsia="宋体" w:cs="宋体"/>
                <w:kern w:val="0"/>
                <w:sz w:val="24"/>
                <w:highlight w:val="none"/>
              </w:rPr>
              <w:t>地址：</w:t>
            </w:r>
            <w:r>
              <w:rPr>
                <w:rFonts w:hint="eastAsia" w:ascii="宋体" w:hAnsi="宋体" w:eastAsia="宋体" w:cs="宋体"/>
                <w:kern w:val="0"/>
                <w:sz w:val="24"/>
                <w:szCs w:val="28"/>
                <w:highlight w:val="none"/>
              </w:rPr>
              <w:t>萧山区通惠南路782号憬天国际5幢23楼</w:t>
            </w:r>
            <w:r>
              <w:rPr>
                <w:rFonts w:hint="eastAsia" w:ascii="宋体" w:hAnsi="宋体" w:eastAsia="宋体" w:cs="宋体"/>
                <w:kern w:val="0"/>
                <w:sz w:val="24"/>
                <w:szCs w:val="28"/>
                <w:highlight w:val="none"/>
                <w:lang w:val="en-US" w:eastAsia="zh-CN"/>
              </w:rPr>
              <w:t xml:space="preserve"> </w:t>
            </w:r>
          </w:p>
          <w:p w14:paraId="7B53B29F">
            <w:pPr>
              <w:topLinePunct/>
              <w:snapToGrid w:val="0"/>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邮箱：</w:t>
            </w:r>
            <w:r>
              <w:rPr>
                <w:rFonts w:hint="eastAsia" w:ascii="宋体" w:hAnsi="宋体" w:cs="宋体"/>
                <w:kern w:val="0"/>
                <w:sz w:val="24"/>
                <w:highlight w:val="none"/>
                <w:lang w:val="en-US" w:eastAsia="zh-CN"/>
              </w:rPr>
              <w:t>308647670@qq.com</w:t>
            </w:r>
            <w:r>
              <w:rPr>
                <w:rFonts w:hint="eastAsia" w:ascii="宋体" w:hAnsi="宋体" w:eastAsia="宋体" w:cs="宋体"/>
                <w:kern w:val="0"/>
                <w:sz w:val="24"/>
                <w:highlight w:val="none"/>
                <w:lang w:val="en-US" w:eastAsia="zh-CN"/>
              </w:rPr>
              <w:t xml:space="preserve"> </w:t>
            </w:r>
          </w:p>
          <w:p w14:paraId="6EC09CB1">
            <w:pPr>
              <w:snapToGrid w:val="0"/>
              <w:spacing w:line="40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如通过邮箱方式发送异议，须提交符合法规及</w:t>
            </w:r>
            <w:r>
              <w:rPr>
                <w:rFonts w:hint="eastAsia" w:asciiTheme="minorEastAsia" w:hAnsiTheme="minorEastAsia" w:eastAsiaTheme="minorEastAsia" w:cstheme="minorEastAsia"/>
                <w:b/>
                <w:color w:val="auto"/>
                <w:sz w:val="24"/>
                <w:highlight w:val="none"/>
                <w:lang w:val="en-US" w:eastAsia="zh-CN"/>
              </w:rPr>
              <w:t>交易</w:t>
            </w:r>
            <w:r>
              <w:rPr>
                <w:rFonts w:hint="eastAsia" w:asciiTheme="minorEastAsia" w:hAnsiTheme="minorEastAsia" w:eastAsiaTheme="minorEastAsia" w:cstheme="minorEastAsia"/>
                <w:b/>
                <w:color w:val="auto"/>
                <w:sz w:val="24"/>
                <w:highlight w:val="none"/>
              </w:rPr>
              <w:t>文件要求的异议文件（参考附件1），盖章扫描后发送，异议的受理按答复主体划分以交易发起人或代理机构邮箱回复确认受理为准。</w:t>
            </w:r>
          </w:p>
          <w:p w14:paraId="62C86208">
            <w:pPr>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本项目涉及资格条件、交易需求、评分办法及交易过程中有关现场考察或开标前答疑会事项由交易发起人进行答复。</w:t>
            </w:r>
          </w:p>
          <w:p w14:paraId="086F15E2">
            <w:pPr>
              <w:pStyle w:val="6"/>
              <w:spacing w:line="400" w:lineRule="exact"/>
              <w:ind w:hanging="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涉及流程组织等相关事项，由代理机构进行答复。</w:t>
            </w:r>
          </w:p>
        </w:tc>
      </w:tr>
      <w:tr w14:paraId="059B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2" w:hRule="atLeast"/>
          <w:tblHeader/>
          <w:jc w:val="center"/>
        </w:trPr>
        <w:tc>
          <w:tcPr>
            <w:tcW w:w="629" w:type="dxa"/>
            <w:vAlign w:val="center"/>
          </w:tcPr>
          <w:p w14:paraId="7A8F8548">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843" w:type="dxa"/>
            <w:vAlign w:val="center"/>
          </w:tcPr>
          <w:p w14:paraId="6DAE08C2">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6706" w:type="dxa"/>
            <w:vAlign w:val="center"/>
          </w:tcPr>
          <w:p w14:paraId="7F4EEACD">
            <w:pPr>
              <w:spacing w:line="400" w:lineRule="exact"/>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color w:val="auto"/>
                <w:sz w:val="24"/>
                <w:highlight w:val="none"/>
              </w:rPr>
              <w:t>本项目通用总则条款与前附表等专用特别规定有冲突之处，以专用条款（特别规定）为准。</w:t>
            </w:r>
          </w:p>
        </w:tc>
      </w:tr>
    </w:tbl>
    <w:p w14:paraId="6E1EEA39">
      <w:pPr>
        <w:snapToGrid w:val="0"/>
        <w:spacing w:line="360" w:lineRule="auto"/>
        <w:jc w:val="center"/>
        <w:rPr>
          <w:rFonts w:ascii="宋体" w:hAnsi="宋体" w:cs="宋体"/>
          <w:b/>
          <w:color w:val="auto"/>
          <w:sz w:val="32"/>
          <w:szCs w:val="20"/>
        </w:rPr>
      </w:pPr>
    </w:p>
    <w:bookmarkEnd w:id="7"/>
    <w:bookmarkEnd w:id="8"/>
    <w:bookmarkEnd w:id="9"/>
    <w:p w14:paraId="4E2D661A">
      <w:pPr>
        <w:rPr>
          <w:rFonts w:ascii="宋体" w:hAnsi="宋体" w:cs="宋体"/>
          <w:color w:val="auto"/>
        </w:rPr>
      </w:pPr>
      <w:bookmarkStart w:id="10" w:name="_Toc164416483"/>
      <w:bookmarkStart w:id="11" w:name="第三部分"/>
    </w:p>
    <w:p w14:paraId="38BB6E71">
      <w:pPr>
        <w:pStyle w:val="3"/>
        <w:rPr>
          <w:rFonts w:ascii="宋体" w:hAnsi="宋体" w:cs="宋体"/>
          <w:color w:val="auto"/>
        </w:rPr>
      </w:pPr>
    </w:p>
    <w:p w14:paraId="612288BF">
      <w:pPr>
        <w:rPr>
          <w:rFonts w:ascii="宋体" w:hAnsi="宋体" w:cs="宋体"/>
          <w:color w:val="auto"/>
        </w:rPr>
      </w:pPr>
    </w:p>
    <w:p w14:paraId="2E78CB6A">
      <w:pPr>
        <w:pStyle w:val="3"/>
        <w:rPr>
          <w:rFonts w:ascii="宋体" w:hAnsi="宋体" w:cs="宋体"/>
          <w:color w:val="auto"/>
        </w:rPr>
      </w:pPr>
    </w:p>
    <w:p w14:paraId="358237CD">
      <w:pPr>
        <w:rPr>
          <w:rFonts w:ascii="宋体" w:hAnsi="宋体" w:cs="宋体"/>
          <w:color w:val="auto"/>
        </w:rPr>
      </w:pPr>
    </w:p>
    <w:p w14:paraId="36E21B61">
      <w:pPr>
        <w:pStyle w:val="2"/>
      </w:pPr>
    </w:p>
    <w:p w14:paraId="38E09775">
      <w:pPr>
        <w:rPr>
          <w:rFonts w:ascii="宋体" w:hAnsi="宋体" w:cs="宋体"/>
          <w:color w:val="auto"/>
        </w:rPr>
      </w:pPr>
    </w:p>
    <w:bookmarkEnd w:id="10"/>
    <w:bookmarkEnd w:id="11"/>
    <w:p w14:paraId="1D20E8CB">
      <w:pPr>
        <w:adjustRightInd/>
        <w:spacing w:line="360" w:lineRule="auto"/>
        <w:outlineLvl w:val="0"/>
        <w:rPr>
          <w:rFonts w:ascii="宋体" w:hAnsi="宋体" w:cs="宋体"/>
          <w:b/>
          <w:color w:val="auto"/>
          <w:sz w:val="32"/>
          <w:szCs w:val="20"/>
        </w:rPr>
      </w:pPr>
      <w:bookmarkStart w:id="12" w:name="第四部分"/>
    </w:p>
    <w:p w14:paraId="4D347868">
      <w:pPr>
        <w:adjustRightInd/>
        <w:spacing w:line="440" w:lineRule="exact"/>
        <w:ind w:firstLine="0" w:firstLineChars="0"/>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14:paraId="4907CAE1">
      <w:pPr>
        <w:snapToGrid w:val="0"/>
        <w:spacing w:line="440" w:lineRule="exact"/>
        <w:jc w:val="left"/>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1.适用范围</w:t>
      </w:r>
    </w:p>
    <w:p w14:paraId="782520B0">
      <w:pPr>
        <w:snapToGrid w:val="0"/>
        <w:spacing w:line="440" w:lineRule="exact"/>
        <w:ind w:firstLine="420" w:firstLineChars="175"/>
        <w:jc w:val="left"/>
        <w:rPr>
          <w:rFonts w:hint="eastAsia" w:asciiTheme="minorEastAsia" w:hAnsiTheme="minorEastAsia" w:eastAsiaTheme="minorEastAsia" w:cstheme="minorEastAsia"/>
          <w:color w:val="auto"/>
          <w:sz w:val="24"/>
          <w:highlight w:val="none"/>
        </w:rPr>
      </w:pPr>
      <w:r>
        <w:rPr>
          <w:rFonts w:hint="eastAsia" w:ascii="宋体" w:hAnsi="宋体" w:cs="宋体"/>
          <w:sz w:val="24"/>
        </w:rPr>
        <w:t>本项目以公开竞争方式进行公开交易</w:t>
      </w:r>
      <w:r>
        <w:rPr>
          <w:rFonts w:hint="eastAsia" w:ascii="宋体" w:hAnsi="宋体" w:cs="宋体"/>
          <w:sz w:val="24"/>
          <w:lang w:eastAsia="zh-CN"/>
        </w:rPr>
        <w:t>。</w:t>
      </w:r>
      <w:r>
        <w:rPr>
          <w:rFonts w:hint="eastAsia" w:asciiTheme="minorEastAsia" w:hAnsiTheme="minorEastAsia" w:eastAsiaTheme="minorEastAsia" w:cstheme="minorEastAsia"/>
          <w:color w:val="auto"/>
          <w:sz w:val="24"/>
          <w:highlight w:val="none"/>
        </w:rPr>
        <w:t>本</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文件适用于该项目的交易、响应、评审、资格审查及信用信息查询、评审、定标、合同、验收等行为（法律、法规另有规定的，从其规定）。</w:t>
      </w:r>
    </w:p>
    <w:p w14:paraId="295E4D91">
      <w:pPr>
        <w:adjustRightInd/>
        <w:spacing w:line="440" w:lineRule="exact"/>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2.定义</w:t>
      </w:r>
    </w:p>
    <w:p w14:paraId="0106BEF9">
      <w:pPr>
        <w:spacing w:line="44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2.1“交易发起人”系指交易公告中载明的本项目的交易发起人。</w:t>
      </w:r>
    </w:p>
    <w:p w14:paraId="4304A598">
      <w:pPr>
        <w:spacing w:line="44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2.2“代理机构”系指交易公告中载明的本项目的代理机构。</w:t>
      </w:r>
    </w:p>
    <w:p w14:paraId="20503EFA">
      <w:pPr>
        <w:spacing w:line="44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2.3“响应人”系指响应招标、参加投标竞争的法人、其他组织或者自然人。</w:t>
      </w:r>
    </w:p>
    <w:p w14:paraId="224D92D2">
      <w:pPr>
        <w:spacing w:line="44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2.4“负责人”系指法人企业的法定负责人，或其他组织为法律、行政法规规定代表单位行使职权的主要负责人，或自然人本人。</w:t>
      </w:r>
    </w:p>
    <w:p w14:paraId="4CEB9A6F">
      <w:pPr>
        <w:spacing w:line="44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4A98762E">
      <w:pPr>
        <w:spacing w:line="440" w:lineRule="exact"/>
        <w:ind w:firstLine="420" w:firstLineChars="17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2.6“电子交易平台”是指本项目交易活动所依托的乐采云平台（www.lecaiyun.com）。</w:t>
      </w:r>
    </w:p>
    <w:p w14:paraId="6C5FDAC3">
      <w:pPr>
        <w:spacing w:line="44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系指实质性要求条款，“（</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rPr>
        <w:t>）” 系指适用本项目的要求，“（  ）”系指不适用本项目的要求。</w:t>
      </w:r>
    </w:p>
    <w:p w14:paraId="394003AB">
      <w:pPr>
        <w:spacing w:line="44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3.异议、投诉</w:t>
      </w:r>
    </w:p>
    <w:p w14:paraId="154C826E">
      <w:pPr>
        <w:autoSpaceDE/>
        <w:autoSpaceDN/>
        <w:spacing w:line="44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.1响应人异议</w:t>
      </w:r>
    </w:p>
    <w:p w14:paraId="457D19E9">
      <w:pPr>
        <w:autoSpaceDE/>
        <w:autoSpaceDN/>
        <w:spacing w:line="44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响应人对</w:t>
      </w:r>
      <w:r>
        <w:rPr>
          <w:rFonts w:hint="eastAsia" w:asciiTheme="minorEastAsia" w:hAnsiTheme="minorEastAsia" w:eastAsiaTheme="minorEastAsia" w:cstheme="minorEastAsia"/>
          <w:color w:val="auto"/>
          <w:kern w:val="0"/>
          <w:sz w:val="24"/>
          <w:highlight w:val="none"/>
        </w:rPr>
        <w:t>交易</w:t>
      </w:r>
      <w:r>
        <w:rPr>
          <w:rFonts w:hint="eastAsia" w:asciiTheme="minorEastAsia" w:hAnsiTheme="minorEastAsia" w:eastAsiaTheme="minorEastAsia" w:cstheme="minorEastAsia"/>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1950AFFA">
      <w:pPr>
        <w:autoSpaceDE/>
        <w:autoSpaceDN/>
        <w:spacing w:line="44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.2响应人异议</w:t>
      </w:r>
    </w:p>
    <w:p w14:paraId="0D0048CE">
      <w:pPr>
        <w:pStyle w:val="6"/>
        <w:spacing w:line="44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w:t>
      </w:r>
      <w:r>
        <w:rPr>
          <w:rFonts w:hint="eastAsia" w:asciiTheme="minorEastAsia" w:hAnsiTheme="minorEastAsia" w:eastAsiaTheme="minorEastAsia" w:cstheme="minorEastAsia"/>
          <w:color w:val="auto"/>
          <w:sz w:val="24"/>
          <w:highlight w:val="none"/>
        </w:rPr>
        <w:t>.1提出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的响应人应当是参与所质</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项目交易活动的响应人。潜在响应人已依法获取其可</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的，可以对该文件提出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w:t>
      </w:r>
    </w:p>
    <w:p w14:paraId="32FAB199">
      <w:pPr>
        <w:pStyle w:val="6"/>
        <w:spacing w:line="44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w:t>
      </w:r>
      <w:r>
        <w:rPr>
          <w:rFonts w:hint="eastAsia" w:asciiTheme="minorEastAsia" w:hAnsiTheme="minorEastAsia" w:eastAsiaTheme="minorEastAsia" w:cstheme="minorEastAsia"/>
          <w:color w:val="auto"/>
          <w:sz w:val="24"/>
          <w:highlight w:val="none"/>
        </w:rPr>
        <w:t>.2响应人认为</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、交易过程和成交结果使自己的权益受到损害的，可以在知道或者应知其权益受到损害之日起3日内，以书面形式向交易发起人或者代理机构提出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，否则，交易发起人或者代理机构不予受理：</w:t>
      </w:r>
    </w:p>
    <w:p w14:paraId="2AF368F5">
      <w:pPr>
        <w:pStyle w:val="6"/>
        <w:spacing w:line="44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3.2.2.1对交易过程提出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期限为各交易程序环节结束之日起计算。对同一交易程序环节的</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，响应人须一次性提出。</w:t>
      </w:r>
    </w:p>
    <w:p w14:paraId="1383281F">
      <w:pPr>
        <w:pStyle w:val="6"/>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w:t>
      </w:r>
      <w:r>
        <w:rPr>
          <w:rFonts w:hint="eastAsia" w:asciiTheme="minorEastAsia" w:hAnsiTheme="minorEastAsia" w:eastAsiaTheme="minorEastAsia" w:cstheme="minorEastAsia"/>
          <w:color w:val="auto"/>
          <w:sz w:val="24"/>
          <w:highlight w:val="none"/>
        </w:rPr>
        <w:t>响应人提出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应当提交</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函和必要的证明材料。</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函应当包括下列内容：</w:t>
      </w:r>
    </w:p>
    <w:p w14:paraId="19292009">
      <w:pPr>
        <w:pStyle w:val="6"/>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.2.3.1响应人的姓名或者名称、地址、邮编、联系人及联系电话；</w:t>
      </w:r>
    </w:p>
    <w:p w14:paraId="4EDF41F8">
      <w:pPr>
        <w:pStyle w:val="6"/>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.2.3.2异议项目的名称、编号；</w:t>
      </w:r>
    </w:p>
    <w:p w14:paraId="49D9C144">
      <w:pPr>
        <w:pStyle w:val="6"/>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.2.3.3具体、明确的异议事项和与异议事项相关的请求；</w:t>
      </w:r>
    </w:p>
    <w:p w14:paraId="7B264093">
      <w:pPr>
        <w:pStyle w:val="6"/>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.2.3.4事实依据；</w:t>
      </w:r>
    </w:p>
    <w:p w14:paraId="37EE6703">
      <w:pPr>
        <w:pStyle w:val="6"/>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.2.3.5必要的法律依据；</w:t>
      </w:r>
    </w:p>
    <w:p w14:paraId="38635262">
      <w:pPr>
        <w:pStyle w:val="6"/>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.2.3.6提出异议的日期。</w:t>
      </w:r>
    </w:p>
    <w:p w14:paraId="0076E523">
      <w:pPr>
        <w:pStyle w:val="6"/>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6C48CB67">
      <w:pPr>
        <w:pStyle w:val="6"/>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异议函范本及制作说明详见附件</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w:t>
      </w:r>
    </w:p>
    <w:p w14:paraId="10C55E6C">
      <w:pPr>
        <w:pStyle w:val="6"/>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.2.4交易发起人或者代理机构应当在收到响应人的书面异议后</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日内作出答复，并以书面形式通知异议响应人和其他与异议处理结果有利害关系的交易当事人，但答复的内容不得涉及商业秘密。</w:t>
      </w:r>
    </w:p>
    <w:p w14:paraId="2C89EF2F">
      <w:pPr>
        <w:pStyle w:val="6"/>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.2.5询问或者异议事项可能影响</w:t>
      </w:r>
      <w:r>
        <w:rPr>
          <w:rFonts w:hint="eastAsia" w:asciiTheme="minorEastAsia" w:hAnsiTheme="minorEastAsia" w:eastAsiaTheme="minorEastAsia" w:cstheme="minorEastAsia"/>
          <w:color w:val="auto"/>
          <w:kern w:val="0"/>
          <w:sz w:val="24"/>
          <w:highlight w:val="none"/>
        </w:rPr>
        <w:t>交易</w:t>
      </w:r>
      <w:r>
        <w:rPr>
          <w:rFonts w:hint="eastAsia" w:asciiTheme="minorEastAsia" w:hAnsiTheme="minorEastAsia" w:eastAsiaTheme="minorEastAsia" w:cstheme="minorEastAsia"/>
          <w:color w:val="auto"/>
          <w:kern w:val="0"/>
          <w:sz w:val="24"/>
          <w:highlight w:val="none"/>
          <w:lang w:val="zh-CN"/>
        </w:rPr>
        <w:t>结果的，交易发起人应当暂停签订合同，已经签订合同的，应当中止履行合同。</w:t>
      </w:r>
    </w:p>
    <w:p w14:paraId="043757C2">
      <w:pPr>
        <w:pStyle w:val="6"/>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.3响应人投诉</w:t>
      </w:r>
    </w:p>
    <w:p w14:paraId="7F62DD72">
      <w:pPr>
        <w:pStyle w:val="6"/>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Theme="minorEastAsia" w:hAnsiTheme="minorEastAsia" w:eastAsiaTheme="minorEastAsia" w:cstheme="minorEastAsia"/>
          <w:color w:val="auto"/>
          <w:kern w:val="0"/>
          <w:sz w:val="24"/>
          <w:highlight w:val="none"/>
        </w:rPr>
        <w:t>10</w:t>
      </w:r>
      <w:r>
        <w:rPr>
          <w:rFonts w:hint="eastAsia" w:asciiTheme="minorEastAsia" w:hAnsiTheme="minorEastAsia" w:eastAsiaTheme="minorEastAsia" w:cstheme="minorEastAsia"/>
          <w:color w:val="auto"/>
          <w:kern w:val="0"/>
          <w:sz w:val="24"/>
          <w:highlight w:val="none"/>
          <w:lang w:val="zh-CN"/>
        </w:rPr>
        <w:t>日内向基层监督机构部门提出投诉。</w:t>
      </w:r>
    </w:p>
    <w:p w14:paraId="19ED39A5">
      <w:pPr>
        <w:pStyle w:val="6"/>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.3.2响应人投诉的事项不得超出已异议事项的范围，基于异议答复内容提出的投诉事项除外。</w:t>
      </w:r>
    </w:p>
    <w:p w14:paraId="138BC6E7">
      <w:pPr>
        <w:pStyle w:val="6"/>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.3.3响应人投诉应当有明确的请求和必要的证明材料。</w:t>
      </w:r>
    </w:p>
    <w:p w14:paraId="3B4F41E2">
      <w:pPr>
        <w:pStyle w:val="6"/>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w:t>
      </w: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kern w:val="0"/>
          <w:sz w:val="24"/>
          <w:highlight w:val="none"/>
          <w:lang w:val="zh-CN"/>
        </w:rPr>
        <w:t>以联合体形式参加交易活动的，其投诉应当由组成联合体的所有响应人共同提出。</w:t>
      </w:r>
    </w:p>
    <w:p w14:paraId="072DFCE1">
      <w:pPr>
        <w:pStyle w:val="6"/>
        <w:spacing w:line="44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投诉书范本及制作说明详见附件</w:t>
      </w: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zh-CN"/>
        </w:rPr>
        <w:t>。</w:t>
      </w:r>
    </w:p>
    <w:p w14:paraId="61FCBF47">
      <w:pPr>
        <w:pStyle w:val="132"/>
        <w:snapToGrid w:val="0"/>
        <w:spacing w:before="0" w:line="440" w:lineRule="exact"/>
        <w:ind w:firstLine="360"/>
        <w:rPr>
          <w:rFonts w:hint="eastAsia" w:asciiTheme="minorEastAsia" w:hAnsiTheme="minorEastAsia" w:eastAsiaTheme="minorEastAsia" w:cstheme="minorEastAsia"/>
          <w:color w:val="auto"/>
          <w:sz w:val="18"/>
          <w:szCs w:val="18"/>
          <w:highlight w:val="none"/>
        </w:rPr>
      </w:pPr>
    </w:p>
    <w:p w14:paraId="761C8BD9">
      <w:pPr>
        <w:adjustRightInd/>
        <w:spacing w:line="440" w:lineRule="exact"/>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二、</w:t>
      </w:r>
      <w:r>
        <w:rPr>
          <w:rFonts w:hint="eastAsia" w:asciiTheme="minorEastAsia" w:hAnsiTheme="minorEastAsia" w:eastAsiaTheme="minorEastAsia" w:cstheme="minorEastAsia"/>
          <w:b/>
          <w:color w:val="auto"/>
          <w:sz w:val="32"/>
          <w:szCs w:val="20"/>
          <w:highlight w:val="none"/>
          <w:lang w:eastAsia="zh-CN"/>
        </w:rPr>
        <w:t>交易文件</w:t>
      </w:r>
      <w:r>
        <w:rPr>
          <w:rFonts w:hint="eastAsia" w:asciiTheme="minorEastAsia" w:hAnsiTheme="minorEastAsia" w:eastAsiaTheme="minorEastAsia" w:cstheme="minorEastAsia"/>
          <w:b/>
          <w:color w:val="auto"/>
          <w:sz w:val="32"/>
          <w:szCs w:val="20"/>
          <w:highlight w:val="none"/>
        </w:rPr>
        <w:t>的构成、澄清、修改</w:t>
      </w:r>
    </w:p>
    <w:p w14:paraId="31DA7C6D">
      <w:pPr>
        <w:pStyle w:val="6"/>
        <w:spacing w:line="44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w:t>
      </w:r>
      <w:r>
        <w:rPr>
          <w:rFonts w:hint="eastAsia" w:asciiTheme="minorEastAsia" w:hAnsiTheme="minorEastAsia" w:eastAsiaTheme="minorEastAsia" w:cstheme="minorEastAsia"/>
          <w:b/>
          <w:color w:val="auto"/>
          <w:sz w:val="24"/>
          <w:szCs w:val="24"/>
          <w:highlight w:val="none"/>
          <w:lang w:eastAsia="zh-CN"/>
        </w:rPr>
        <w:t>交易文件</w:t>
      </w:r>
      <w:r>
        <w:rPr>
          <w:rFonts w:hint="eastAsia" w:asciiTheme="minorEastAsia" w:hAnsiTheme="minorEastAsia" w:eastAsiaTheme="minorEastAsia" w:cstheme="minorEastAsia"/>
          <w:b/>
          <w:color w:val="auto"/>
          <w:sz w:val="24"/>
          <w:szCs w:val="24"/>
          <w:highlight w:val="none"/>
        </w:rPr>
        <w:t>的构成</w:t>
      </w:r>
    </w:p>
    <w:p w14:paraId="00B5CEEB">
      <w:pPr>
        <w:pStyle w:val="6"/>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w:t>
      </w:r>
      <w:r>
        <w:rPr>
          <w:rFonts w:hint="eastAsia" w:asciiTheme="minorEastAsia" w:hAnsiTheme="minorEastAsia" w:eastAsiaTheme="minorEastAsia" w:cstheme="minorEastAsia"/>
          <w:color w:val="auto"/>
          <w:sz w:val="24"/>
          <w:szCs w:val="24"/>
          <w:highlight w:val="none"/>
          <w:lang w:eastAsia="zh-CN"/>
        </w:rPr>
        <w:t>交易文件</w:t>
      </w:r>
      <w:r>
        <w:rPr>
          <w:rFonts w:hint="eastAsia" w:asciiTheme="minorEastAsia" w:hAnsiTheme="minorEastAsia" w:eastAsiaTheme="minorEastAsia" w:cstheme="minorEastAsia"/>
          <w:color w:val="auto"/>
          <w:sz w:val="24"/>
          <w:szCs w:val="24"/>
          <w:highlight w:val="none"/>
        </w:rPr>
        <w:t>包括下列文件及附件：</w:t>
      </w:r>
    </w:p>
    <w:p w14:paraId="39B3B752">
      <w:pPr>
        <w:pStyle w:val="6"/>
        <w:tabs>
          <w:tab w:val="left" w:pos="840"/>
        </w:tabs>
        <w:spacing w:line="44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4.1.1交易公告；</w:t>
      </w:r>
    </w:p>
    <w:p w14:paraId="05FB621A">
      <w:pPr>
        <w:pStyle w:val="6"/>
        <w:tabs>
          <w:tab w:val="left" w:pos="840"/>
        </w:tabs>
        <w:spacing w:line="44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4.1.2响应人须知；</w:t>
      </w:r>
    </w:p>
    <w:p w14:paraId="6529F33C">
      <w:pPr>
        <w:pStyle w:val="6"/>
        <w:tabs>
          <w:tab w:val="left" w:pos="840"/>
        </w:tabs>
        <w:spacing w:line="44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4.1.3交易需求；</w:t>
      </w:r>
    </w:p>
    <w:p w14:paraId="2C147F14">
      <w:pPr>
        <w:pStyle w:val="6"/>
        <w:tabs>
          <w:tab w:val="left" w:pos="840"/>
        </w:tabs>
        <w:spacing w:line="44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4.1.4交易办法；</w:t>
      </w:r>
    </w:p>
    <w:p w14:paraId="4BAEC6F9">
      <w:pPr>
        <w:pStyle w:val="6"/>
        <w:tabs>
          <w:tab w:val="left" w:pos="840"/>
        </w:tabs>
        <w:spacing w:line="44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4.1.5拟签订的合同文本；</w:t>
      </w:r>
    </w:p>
    <w:p w14:paraId="7B754955">
      <w:pPr>
        <w:pStyle w:val="6"/>
        <w:tabs>
          <w:tab w:val="left" w:pos="840"/>
        </w:tabs>
        <w:spacing w:line="44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4.1.6</w:t>
      </w:r>
      <w:r>
        <w:rPr>
          <w:rFonts w:hint="eastAsia" w:asciiTheme="minorEastAsia" w:hAnsiTheme="minorEastAsia" w:eastAsiaTheme="minorEastAsia" w:cstheme="minorEastAsia"/>
          <w:color w:val="auto"/>
          <w:sz w:val="24"/>
          <w:szCs w:val="24"/>
          <w:highlight w:val="none"/>
        </w:rPr>
        <w:t>应提交的有关格式范例。</w:t>
      </w:r>
    </w:p>
    <w:p w14:paraId="19AA5DE6">
      <w:pP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4.2与本项目有关的</w:t>
      </w:r>
      <w:r>
        <w:rPr>
          <w:rFonts w:hint="eastAsia" w:asciiTheme="minorEastAsia" w:hAnsiTheme="minorEastAsia" w:eastAsiaTheme="minorEastAsia" w:cstheme="minorEastAsia"/>
          <w:bCs/>
          <w:color w:val="auto"/>
          <w:sz w:val="24"/>
          <w:highlight w:val="none"/>
        </w:rPr>
        <w:t>澄清或者修改的内容为</w:t>
      </w:r>
      <w:r>
        <w:rPr>
          <w:rFonts w:hint="eastAsia" w:asciiTheme="minorEastAsia" w:hAnsiTheme="minorEastAsia" w:eastAsiaTheme="minorEastAsia" w:cstheme="minorEastAsia"/>
          <w:bCs/>
          <w:color w:val="auto"/>
          <w:sz w:val="24"/>
          <w:highlight w:val="none"/>
          <w:lang w:eastAsia="zh-CN"/>
        </w:rPr>
        <w:t>交易文件</w:t>
      </w:r>
      <w:r>
        <w:rPr>
          <w:rFonts w:hint="eastAsia" w:asciiTheme="minorEastAsia" w:hAnsiTheme="minorEastAsia" w:eastAsiaTheme="minorEastAsia" w:cstheme="minorEastAsia"/>
          <w:bCs/>
          <w:color w:val="auto"/>
          <w:sz w:val="24"/>
          <w:highlight w:val="none"/>
        </w:rPr>
        <w:t>的组成部分</w:t>
      </w:r>
      <w:r>
        <w:rPr>
          <w:rFonts w:hint="eastAsia" w:asciiTheme="minorEastAsia" w:hAnsiTheme="minorEastAsia" w:eastAsiaTheme="minorEastAsia" w:cstheme="minorEastAsia"/>
          <w:color w:val="auto"/>
          <w:sz w:val="24"/>
          <w:highlight w:val="none"/>
        </w:rPr>
        <w:t>。</w:t>
      </w:r>
    </w:p>
    <w:p w14:paraId="28F594F0">
      <w:pPr>
        <w:pStyle w:val="6"/>
        <w:spacing w:line="44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w:t>
      </w:r>
      <w:r>
        <w:rPr>
          <w:rFonts w:hint="eastAsia" w:asciiTheme="minorEastAsia" w:hAnsiTheme="minorEastAsia" w:eastAsiaTheme="minorEastAsia" w:cstheme="minorEastAsia"/>
          <w:b/>
          <w:color w:val="auto"/>
          <w:sz w:val="24"/>
          <w:szCs w:val="24"/>
          <w:highlight w:val="none"/>
          <w:lang w:eastAsia="zh-CN"/>
        </w:rPr>
        <w:t>交易文件</w:t>
      </w:r>
      <w:r>
        <w:rPr>
          <w:rFonts w:hint="eastAsia" w:asciiTheme="minorEastAsia" w:hAnsiTheme="minorEastAsia" w:eastAsiaTheme="minorEastAsia" w:cstheme="minorEastAsia"/>
          <w:b/>
          <w:color w:val="auto"/>
          <w:sz w:val="24"/>
          <w:szCs w:val="24"/>
          <w:highlight w:val="none"/>
        </w:rPr>
        <w:t>的澄清、修改</w:t>
      </w:r>
    </w:p>
    <w:p w14:paraId="55314EC4">
      <w:pPr>
        <w:pStyle w:val="132"/>
        <w:snapToGrid w:val="0"/>
        <w:spacing w:before="0"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5.1已获取</w:t>
      </w:r>
      <w:r>
        <w:rPr>
          <w:rFonts w:hint="eastAsia" w:asciiTheme="minorEastAsia" w:hAnsiTheme="minorEastAsia" w:eastAsiaTheme="minorEastAsia" w:cstheme="minorEastAsia"/>
          <w:color w:val="auto"/>
          <w:highlight w:val="none"/>
          <w:lang w:eastAsia="zh-CN"/>
        </w:rPr>
        <w:t>交易文件</w:t>
      </w:r>
      <w:r>
        <w:rPr>
          <w:rFonts w:hint="eastAsia" w:asciiTheme="minorEastAsia" w:hAnsiTheme="minorEastAsia" w:eastAsiaTheme="minorEastAsia" w:cstheme="minorEastAsia"/>
          <w:color w:val="auto"/>
          <w:highlight w:val="none"/>
        </w:rPr>
        <w:t>的潜在响应人，若有问题需要澄清，应于响应截止时间前，以书面形式向代理机构提出。</w:t>
      </w:r>
    </w:p>
    <w:p w14:paraId="7638E7C1">
      <w:pPr>
        <w:pStyle w:val="132"/>
        <w:snapToGrid w:val="0"/>
        <w:spacing w:before="0"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 代理机构对</w:t>
      </w:r>
      <w:r>
        <w:rPr>
          <w:rFonts w:hint="eastAsia" w:asciiTheme="minorEastAsia" w:hAnsiTheme="minorEastAsia" w:eastAsiaTheme="minorEastAsia" w:cstheme="minorEastAsia"/>
          <w:color w:val="auto"/>
          <w:highlight w:val="none"/>
          <w:lang w:eastAsia="zh-CN"/>
        </w:rPr>
        <w:t>交易文件</w:t>
      </w:r>
      <w:r>
        <w:rPr>
          <w:rFonts w:hint="eastAsia" w:asciiTheme="minorEastAsia" w:hAnsiTheme="minorEastAsia" w:eastAsiaTheme="minorEastAsia" w:cstheme="minorEastAsia"/>
          <w:color w:val="auto"/>
          <w:highlight w:val="none"/>
        </w:rPr>
        <w:t>进行澄清或修改的，将同时通过电子交易平台通知已获取</w:t>
      </w:r>
      <w:r>
        <w:rPr>
          <w:rFonts w:hint="eastAsia" w:asciiTheme="minorEastAsia" w:hAnsiTheme="minorEastAsia" w:eastAsiaTheme="minorEastAsia" w:cstheme="minorEastAsia"/>
          <w:color w:val="auto"/>
          <w:highlight w:val="none"/>
          <w:lang w:eastAsia="zh-CN"/>
        </w:rPr>
        <w:t>交易文件</w:t>
      </w:r>
      <w:r>
        <w:rPr>
          <w:rFonts w:hint="eastAsia" w:asciiTheme="minorEastAsia" w:hAnsiTheme="minorEastAsia" w:eastAsiaTheme="minorEastAsia" w:cstheme="minorEastAsia"/>
          <w:color w:val="auto"/>
          <w:highlight w:val="none"/>
        </w:rPr>
        <w:t>的潜在响应人。依法应当公告的，将按规定公告，同时视情况延长响应截止时间和交易时间。该澄清或者修改的内容为</w:t>
      </w:r>
      <w:r>
        <w:rPr>
          <w:rFonts w:hint="eastAsia" w:asciiTheme="minorEastAsia" w:hAnsiTheme="minorEastAsia" w:eastAsiaTheme="minorEastAsia" w:cstheme="minorEastAsia"/>
          <w:color w:val="auto"/>
          <w:highlight w:val="none"/>
          <w:lang w:eastAsia="zh-CN"/>
        </w:rPr>
        <w:t>交易文件</w:t>
      </w:r>
      <w:r>
        <w:rPr>
          <w:rFonts w:hint="eastAsia" w:asciiTheme="minorEastAsia" w:hAnsiTheme="minorEastAsia" w:eastAsiaTheme="minorEastAsia" w:cstheme="minorEastAsia"/>
          <w:color w:val="auto"/>
          <w:highlight w:val="none"/>
        </w:rPr>
        <w:t>的组成部分。</w:t>
      </w:r>
    </w:p>
    <w:p w14:paraId="79504139">
      <w:pPr>
        <w:adjustRightInd/>
        <w:spacing w:line="440" w:lineRule="exact"/>
        <w:jc w:val="center"/>
        <w:outlineLvl w:val="0"/>
        <w:rPr>
          <w:rFonts w:hint="eastAsia" w:asciiTheme="minorEastAsia" w:hAnsiTheme="minorEastAsia" w:eastAsiaTheme="minorEastAsia" w:cstheme="minorEastAsia"/>
          <w:b/>
          <w:color w:val="auto"/>
          <w:sz w:val="30"/>
          <w:szCs w:val="20"/>
          <w:highlight w:val="none"/>
        </w:rPr>
      </w:pPr>
    </w:p>
    <w:p w14:paraId="2A4DBD71">
      <w:pPr>
        <w:adjustRightInd/>
        <w:spacing w:line="440" w:lineRule="exact"/>
        <w:jc w:val="center"/>
        <w:outlineLvl w:val="0"/>
        <w:rPr>
          <w:rFonts w:hint="eastAsia" w:asciiTheme="minorEastAsia" w:hAnsiTheme="minorEastAsia" w:eastAsiaTheme="minorEastAsia" w:cstheme="minorEastAsia"/>
          <w:b/>
          <w:color w:val="auto"/>
          <w:sz w:val="30"/>
          <w:szCs w:val="20"/>
          <w:highlight w:val="none"/>
        </w:rPr>
      </w:pPr>
      <w:r>
        <w:rPr>
          <w:rFonts w:hint="eastAsia" w:asciiTheme="minorEastAsia" w:hAnsiTheme="minorEastAsia" w:eastAsiaTheme="minorEastAsia" w:cstheme="minorEastAsia"/>
          <w:b/>
          <w:color w:val="auto"/>
          <w:sz w:val="30"/>
          <w:szCs w:val="20"/>
          <w:highlight w:val="none"/>
        </w:rPr>
        <w:t>三、响应</w:t>
      </w:r>
    </w:p>
    <w:p w14:paraId="0C655E55">
      <w:pPr>
        <w:pStyle w:val="6"/>
        <w:spacing w:line="44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w:t>
      </w:r>
      <w:r>
        <w:rPr>
          <w:rFonts w:hint="eastAsia" w:asciiTheme="minorEastAsia" w:hAnsiTheme="minorEastAsia" w:eastAsiaTheme="minorEastAsia" w:cstheme="minorEastAsia"/>
          <w:b/>
          <w:color w:val="auto"/>
          <w:sz w:val="24"/>
          <w:szCs w:val="24"/>
          <w:highlight w:val="none"/>
          <w:lang w:eastAsia="zh-CN"/>
        </w:rPr>
        <w:t>交易文件</w:t>
      </w:r>
      <w:r>
        <w:rPr>
          <w:rFonts w:hint="eastAsia" w:asciiTheme="minorEastAsia" w:hAnsiTheme="minorEastAsia" w:eastAsiaTheme="minorEastAsia" w:cstheme="minorEastAsia"/>
          <w:b/>
          <w:color w:val="auto"/>
          <w:sz w:val="24"/>
          <w:szCs w:val="24"/>
          <w:highlight w:val="none"/>
        </w:rPr>
        <w:t>的获取</w:t>
      </w:r>
    </w:p>
    <w:p w14:paraId="7B5AF0BC">
      <w:pPr>
        <w:spacing w:line="440" w:lineRule="exact"/>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详见交易公告中获取</w:t>
      </w:r>
      <w:r>
        <w:rPr>
          <w:rFonts w:hint="eastAsia" w:asciiTheme="minorEastAsia" w:hAnsiTheme="minorEastAsia" w:eastAsiaTheme="minorEastAsia" w:cstheme="minorEastAsia"/>
          <w:snapToGrid w:val="0"/>
          <w:color w:val="auto"/>
          <w:kern w:val="28"/>
          <w:sz w:val="24"/>
          <w:highlight w:val="none"/>
          <w:lang w:eastAsia="zh-CN"/>
        </w:rPr>
        <w:t>交易文件</w:t>
      </w:r>
      <w:r>
        <w:rPr>
          <w:rFonts w:hint="eastAsia" w:asciiTheme="minorEastAsia" w:hAnsiTheme="minorEastAsia" w:eastAsiaTheme="minorEastAsia" w:cstheme="minorEastAsia"/>
          <w:snapToGrid w:val="0"/>
          <w:color w:val="auto"/>
          <w:kern w:val="28"/>
          <w:sz w:val="24"/>
          <w:highlight w:val="none"/>
        </w:rPr>
        <w:t>的时间期限、地点、方式及</w:t>
      </w:r>
      <w:r>
        <w:rPr>
          <w:rFonts w:hint="eastAsia" w:asciiTheme="minorEastAsia" w:hAnsiTheme="minorEastAsia" w:eastAsiaTheme="minorEastAsia" w:cstheme="minorEastAsia"/>
          <w:snapToGrid w:val="0"/>
          <w:color w:val="auto"/>
          <w:kern w:val="28"/>
          <w:sz w:val="24"/>
          <w:highlight w:val="none"/>
          <w:lang w:eastAsia="zh-CN"/>
        </w:rPr>
        <w:t>交易文件</w:t>
      </w:r>
      <w:r>
        <w:rPr>
          <w:rFonts w:hint="eastAsia" w:asciiTheme="minorEastAsia" w:hAnsiTheme="minorEastAsia" w:eastAsiaTheme="minorEastAsia" w:cstheme="minorEastAsia"/>
          <w:snapToGrid w:val="0"/>
          <w:color w:val="auto"/>
          <w:kern w:val="28"/>
          <w:sz w:val="24"/>
          <w:highlight w:val="none"/>
        </w:rPr>
        <w:t>售价。</w:t>
      </w:r>
    </w:p>
    <w:p w14:paraId="21F7B7B9">
      <w:pPr>
        <w:pStyle w:val="6"/>
        <w:spacing w:line="44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7.交易前答疑会或现场考察</w:t>
      </w:r>
    </w:p>
    <w:p w14:paraId="700A4745">
      <w:pPr>
        <w:pStyle w:val="6"/>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本项目不组织交易前答疑会或现场考察。</w:t>
      </w:r>
    </w:p>
    <w:p w14:paraId="50CA1CA0">
      <w:pPr>
        <w:pStyle w:val="6"/>
        <w:spacing w:line="440" w:lineRule="exact"/>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8.交易保证金</w:t>
      </w:r>
    </w:p>
    <w:p w14:paraId="467E178C">
      <w:pPr>
        <w:pStyle w:val="16"/>
        <w:spacing w:line="440" w:lineRule="exact"/>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本项目不需缴纳交易保证金。</w:t>
      </w:r>
    </w:p>
    <w:p w14:paraId="1C0D0C4C">
      <w:pPr>
        <w:pStyle w:val="6"/>
        <w:spacing w:line="44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9.响应文件的语言</w:t>
      </w:r>
    </w:p>
    <w:p w14:paraId="310F72A9">
      <w:pPr>
        <w:autoSpaceDE/>
        <w:autoSpaceDN/>
        <w:spacing w:line="440" w:lineRule="exact"/>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响应文件及响应人与交易有关的来往通知、函件和文件均应使用中文。</w:t>
      </w:r>
    </w:p>
    <w:p w14:paraId="2F2611FF">
      <w:pPr>
        <w:pStyle w:val="6"/>
        <w:spacing w:line="44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10.响应文件的组成</w:t>
      </w:r>
    </w:p>
    <w:p w14:paraId="1C9208BC">
      <w:pPr>
        <w:snapToGrid w:val="0"/>
        <w:spacing w:line="440" w:lineRule="exact"/>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10.1资格文件：</w:t>
      </w:r>
    </w:p>
    <w:p w14:paraId="61DE0944">
      <w:pPr>
        <w:snapToGrid w:val="0"/>
        <w:spacing w:line="44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10.1.1符合参加交易活动应当具备的一般条件的承诺函；</w:t>
      </w:r>
    </w:p>
    <w:p w14:paraId="55AA781D">
      <w:pPr>
        <w:snapToGrid w:val="0"/>
        <w:spacing w:line="44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10.1.2本项目的特定资格要求。</w:t>
      </w:r>
    </w:p>
    <w:p w14:paraId="26F4A507">
      <w:pPr>
        <w:snapToGrid w:val="0"/>
        <w:spacing w:line="440" w:lineRule="exact"/>
        <w:ind w:firstLine="482" w:firstLineChars="200"/>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1</w:t>
      </w:r>
      <w:r>
        <w:rPr>
          <w:rFonts w:hint="eastAsia" w:asciiTheme="minorEastAsia" w:hAnsiTheme="minorEastAsia" w:eastAsiaTheme="minorEastAsia" w:cstheme="minorEastAsia"/>
          <w:b/>
          <w:bCs/>
          <w:color w:val="auto"/>
          <w:sz w:val="24"/>
          <w:highlight w:val="none"/>
        </w:rPr>
        <w:t>0</w:t>
      </w:r>
      <w:r>
        <w:rPr>
          <w:rFonts w:hint="eastAsia" w:asciiTheme="minorEastAsia" w:hAnsiTheme="minorEastAsia" w:eastAsiaTheme="minorEastAsia" w:cstheme="minorEastAsia"/>
          <w:b/>
          <w:bCs/>
          <w:color w:val="auto"/>
          <w:sz w:val="24"/>
          <w:highlight w:val="none"/>
          <w:lang w:val="zh-CN"/>
        </w:rPr>
        <w:t>.</w:t>
      </w:r>
      <w:r>
        <w:rPr>
          <w:rFonts w:hint="eastAsia" w:asciiTheme="minorEastAsia" w:hAnsiTheme="minorEastAsia" w:eastAsiaTheme="minorEastAsia" w:cstheme="minorEastAsia"/>
          <w:b/>
          <w:bCs/>
          <w:color w:val="auto"/>
          <w:sz w:val="24"/>
          <w:highlight w:val="none"/>
        </w:rPr>
        <w:t>2商务技术</w:t>
      </w:r>
      <w:r>
        <w:rPr>
          <w:rFonts w:hint="eastAsia" w:asciiTheme="minorEastAsia" w:hAnsiTheme="minorEastAsia" w:eastAsiaTheme="minorEastAsia" w:cstheme="minorEastAsia"/>
          <w:b/>
          <w:bCs/>
          <w:color w:val="auto"/>
          <w:sz w:val="24"/>
          <w:highlight w:val="none"/>
          <w:lang w:val="zh-CN"/>
        </w:rPr>
        <w:t>文件：</w:t>
      </w:r>
    </w:p>
    <w:p w14:paraId="4DD68D8D">
      <w:pPr>
        <w:snapToGrid w:val="0"/>
        <w:spacing w:line="44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10.2.1交易函；</w:t>
      </w:r>
    </w:p>
    <w:p w14:paraId="3C23FD92">
      <w:pPr>
        <w:snapToGrid w:val="0"/>
        <w:spacing w:line="44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10.2.2授权委托书或法定代表人（单位负责人、自然人本人）身份证明；</w:t>
      </w:r>
    </w:p>
    <w:p w14:paraId="260BDF4D">
      <w:pPr>
        <w:snapToGrid w:val="0"/>
        <w:spacing w:line="44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10.2.3营业执照；</w:t>
      </w:r>
    </w:p>
    <w:p w14:paraId="794E9A5C">
      <w:pPr>
        <w:snapToGrid w:val="0"/>
        <w:spacing w:line="44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10.2.4符合性审查资料；</w:t>
      </w:r>
    </w:p>
    <w:p w14:paraId="0DB5F64B">
      <w:pPr>
        <w:snapToGrid w:val="0"/>
        <w:spacing w:line="44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10.2.5评审标准相应的商务技术资料；</w:t>
      </w:r>
    </w:p>
    <w:p w14:paraId="1A6474C8">
      <w:pPr>
        <w:snapToGrid w:val="0"/>
        <w:spacing w:line="44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10.2.6商务技术偏离表；</w:t>
      </w:r>
    </w:p>
    <w:p w14:paraId="723F4980">
      <w:pPr>
        <w:snapToGrid w:val="0"/>
        <w:spacing w:line="44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10.2.7</w:t>
      </w:r>
      <w:r>
        <w:rPr>
          <w:rFonts w:hint="eastAsia" w:asciiTheme="minorEastAsia" w:hAnsiTheme="minorEastAsia" w:eastAsiaTheme="minorEastAsia" w:cstheme="minorEastAsia"/>
          <w:color w:val="auto"/>
          <w:sz w:val="24"/>
          <w:highlight w:val="none"/>
          <w:lang w:val="zh-CN"/>
        </w:rPr>
        <w:t>响应人廉洁自律承诺书。</w:t>
      </w:r>
    </w:p>
    <w:p w14:paraId="11055022">
      <w:pPr>
        <w:snapToGrid w:val="0"/>
        <w:spacing w:line="440" w:lineRule="exact"/>
        <w:ind w:firstLine="482" w:firstLineChars="200"/>
        <w:rPr>
          <w:rFonts w:hint="eastAsia" w:asciiTheme="minorEastAsia" w:hAnsiTheme="minorEastAsia" w:eastAsiaTheme="minorEastAsia" w:cstheme="minorEastAsia"/>
          <w:b/>
          <w:bCs/>
          <w:color w:val="auto"/>
          <w:sz w:val="24"/>
          <w:highlight w:val="none"/>
          <w:u w:val="single"/>
          <w:lang w:val="zh-CN"/>
        </w:rPr>
      </w:pPr>
      <w:r>
        <w:rPr>
          <w:rFonts w:hint="eastAsia" w:asciiTheme="minorEastAsia" w:hAnsiTheme="minorEastAsia" w:eastAsiaTheme="minorEastAsia" w:cstheme="minorEastAsia"/>
          <w:b/>
          <w:bCs/>
          <w:color w:val="auto"/>
          <w:kern w:val="0"/>
          <w:sz w:val="24"/>
          <w:highlight w:val="none"/>
          <w:lang w:val="zh-CN"/>
        </w:rPr>
        <w:t>1</w:t>
      </w:r>
      <w:r>
        <w:rPr>
          <w:rFonts w:hint="eastAsia" w:asciiTheme="minorEastAsia" w:hAnsiTheme="minorEastAsia" w:eastAsiaTheme="minorEastAsia" w:cstheme="minorEastAsia"/>
          <w:b/>
          <w:bCs/>
          <w:color w:val="auto"/>
          <w:kern w:val="0"/>
          <w:sz w:val="24"/>
          <w:highlight w:val="none"/>
        </w:rPr>
        <w:t>0</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rPr>
        <w:t>3</w:t>
      </w:r>
      <w:r>
        <w:rPr>
          <w:rFonts w:hint="eastAsia" w:asciiTheme="minorEastAsia" w:hAnsiTheme="minorEastAsia" w:eastAsiaTheme="minorEastAsia" w:cstheme="minorEastAsia"/>
          <w:b/>
          <w:bCs/>
          <w:color w:val="auto"/>
          <w:sz w:val="24"/>
          <w:highlight w:val="none"/>
        </w:rPr>
        <w:t>报价文件：</w:t>
      </w:r>
    </w:p>
    <w:p w14:paraId="64306A66">
      <w:pPr>
        <w:snapToGrid w:val="0"/>
        <w:spacing w:line="44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10.3.1交易一览表（报价表）。</w:t>
      </w:r>
    </w:p>
    <w:p w14:paraId="5EF527B9">
      <w:pPr>
        <w:spacing w:line="440" w:lineRule="exact"/>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响应文件含有交易发起人不能接受的附加条件的，交易无效；</w:t>
      </w:r>
    </w:p>
    <w:p w14:paraId="3D82C15E">
      <w:pPr>
        <w:spacing w:line="440" w:lineRule="exact"/>
        <w:ind w:firstLine="723" w:firstLineChars="3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响应人提供虚假材料投标的，交易无效。</w:t>
      </w:r>
    </w:p>
    <w:p w14:paraId="61D5F244">
      <w:pPr>
        <w:pStyle w:val="132"/>
        <w:snapToGrid w:val="0"/>
        <w:spacing w:before="0" w:line="440" w:lineRule="exact"/>
        <w:ind w:firstLine="0" w:firstLineChars="0"/>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11</w:t>
      </w:r>
      <w:r>
        <w:rPr>
          <w:rFonts w:hint="eastAsia" w:asciiTheme="minorEastAsia" w:hAnsiTheme="minorEastAsia" w:eastAsiaTheme="minorEastAsia" w:cstheme="minorEastAsia"/>
          <w:b/>
          <w:color w:val="auto"/>
          <w:kern w:val="0"/>
          <w:szCs w:val="24"/>
          <w:highlight w:val="none"/>
          <w:lang w:val="zh-CN"/>
        </w:rPr>
        <w:t>.</w:t>
      </w:r>
      <w:r>
        <w:rPr>
          <w:rFonts w:hint="eastAsia" w:asciiTheme="minorEastAsia" w:hAnsiTheme="minorEastAsia" w:eastAsiaTheme="minorEastAsia" w:cstheme="minorEastAsia"/>
          <w:b/>
          <w:color w:val="auto"/>
          <w:szCs w:val="24"/>
          <w:highlight w:val="none"/>
        </w:rPr>
        <w:t>响应文件的编制</w:t>
      </w:r>
    </w:p>
    <w:p w14:paraId="2C610698">
      <w:pPr>
        <w:spacing w:line="44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1响应文件分为资格文件、商务技术文件、报价文件三部分。各响应人在编制响应文件时请按照交易文件第六部分规定的格式进行，混乱的编排导致响应文件被误读或评审委员会查找不到有效文件是响应人的风险。</w:t>
      </w:r>
    </w:p>
    <w:p w14:paraId="7F482D6A">
      <w:pPr>
        <w:spacing w:line="44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.2响应人进行电子投标应安装客户端软件—“</w:t>
      </w:r>
      <w:r>
        <w:rPr>
          <w:rFonts w:hint="eastAsia" w:asciiTheme="minorEastAsia" w:hAnsiTheme="minorEastAsia" w:eastAsiaTheme="minorEastAsia" w:cstheme="minorEastAsia"/>
          <w:color w:val="auto"/>
          <w:kern w:val="0"/>
          <w:sz w:val="24"/>
          <w:highlight w:val="none"/>
        </w:rPr>
        <w:t>乐采</w:t>
      </w:r>
      <w:r>
        <w:rPr>
          <w:rFonts w:hint="eastAsia" w:asciiTheme="minorEastAsia" w:hAnsiTheme="minorEastAsia" w:eastAsiaTheme="minorEastAsia" w:cstheme="minorEastAsia"/>
          <w:color w:val="auto"/>
          <w:kern w:val="0"/>
          <w:sz w:val="24"/>
          <w:highlight w:val="none"/>
          <w:lang w:val="zh-CN"/>
        </w:rPr>
        <w:t>云电子交易客户端”，并按照交易文件和电子交易平台的要求编制并加密响应文件。响应人未按规定加密的响应文件，电子交易平台将拒收并提示。</w:t>
      </w:r>
    </w:p>
    <w:p w14:paraId="78A4F850">
      <w:pPr>
        <w:spacing w:line="44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.3使用“</w:t>
      </w:r>
      <w:r>
        <w:rPr>
          <w:rFonts w:hint="eastAsia" w:asciiTheme="minorEastAsia" w:hAnsiTheme="minorEastAsia" w:eastAsiaTheme="minorEastAsia" w:cstheme="minorEastAsia"/>
          <w:color w:val="auto"/>
          <w:kern w:val="0"/>
          <w:sz w:val="24"/>
          <w:highlight w:val="none"/>
        </w:rPr>
        <w:t>乐采</w:t>
      </w:r>
      <w:r>
        <w:rPr>
          <w:rFonts w:hint="eastAsia" w:asciiTheme="minorEastAsia" w:hAnsiTheme="minorEastAsia" w:eastAsiaTheme="minorEastAsia" w:cstheme="minorEastAsia"/>
          <w:color w:val="auto"/>
          <w:kern w:val="0"/>
          <w:sz w:val="24"/>
          <w:highlight w:val="none"/>
          <w:lang w:val="zh-CN"/>
        </w:rPr>
        <w:t>云电子交易客户端”需要提前申领CA数字证书，申领流程请自行前往“</w:t>
      </w:r>
      <w:r>
        <w:rPr>
          <w:rFonts w:hint="eastAsia" w:asciiTheme="minorEastAsia" w:hAnsiTheme="minorEastAsia" w:eastAsiaTheme="minorEastAsia" w:cstheme="minorEastAsia"/>
          <w:color w:val="auto"/>
          <w:sz w:val="24"/>
          <w:highlight w:val="none"/>
        </w:rPr>
        <w:t>浙江企业采购信息服务网-下载专区-电子交易客户端</w:t>
      </w:r>
      <w:r>
        <w:rPr>
          <w:rFonts w:hint="eastAsia" w:asciiTheme="minorEastAsia" w:hAnsiTheme="minorEastAsia" w:eastAsiaTheme="minorEastAsia" w:cstheme="minorEastAsia"/>
          <w:color w:val="auto"/>
          <w:kern w:val="0"/>
          <w:sz w:val="24"/>
          <w:highlight w:val="none"/>
          <w:lang w:val="zh-CN"/>
        </w:rPr>
        <w:t>-CA驱动和申领流程”进行查阅。</w:t>
      </w:r>
    </w:p>
    <w:p w14:paraId="497609E8">
      <w:pPr>
        <w:snapToGrid w:val="0"/>
        <w:spacing w:line="44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12.响应文件的签署、盖章</w:t>
      </w:r>
    </w:p>
    <w:p w14:paraId="1A7EEF8A">
      <w:pPr>
        <w:pStyle w:val="132"/>
        <w:snapToGrid w:val="0"/>
        <w:spacing w:before="0" w:line="440" w:lineRule="exact"/>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12.1响应文件按照</w:t>
      </w:r>
      <w:r>
        <w:rPr>
          <w:rFonts w:hint="eastAsia" w:asciiTheme="minorEastAsia" w:hAnsiTheme="minorEastAsia" w:eastAsiaTheme="minorEastAsia" w:cstheme="minorEastAsia"/>
          <w:color w:val="auto"/>
          <w:szCs w:val="24"/>
          <w:highlight w:val="none"/>
          <w:lang w:eastAsia="zh-CN"/>
        </w:rPr>
        <w:t>交易文件</w:t>
      </w:r>
      <w:r>
        <w:rPr>
          <w:rFonts w:hint="eastAsia" w:asciiTheme="minorEastAsia" w:hAnsiTheme="minorEastAsia" w:eastAsiaTheme="minorEastAsia" w:cstheme="minorEastAsia"/>
          <w:color w:val="auto"/>
          <w:szCs w:val="24"/>
          <w:highlight w:val="none"/>
        </w:rPr>
        <w:t>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▲响应人的响应文件未按照</w:t>
      </w:r>
      <w:r>
        <w:rPr>
          <w:rFonts w:hint="eastAsia" w:asciiTheme="minorEastAsia" w:hAnsiTheme="minorEastAsia" w:eastAsiaTheme="minorEastAsia" w:cstheme="minorEastAsia"/>
          <w:b/>
          <w:color w:val="auto"/>
          <w:highlight w:val="none"/>
          <w:lang w:eastAsia="zh-CN"/>
        </w:rPr>
        <w:t>交易文件</w:t>
      </w:r>
      <w:r>
        <w:rPr>
          <w:rFonts w:hint="eastAsia" w:asciiTheme="minorEastAsia" w:hAnsiTheme="minorEastAsia" w:eastAsiaTheme="minorEastAsia" w:cstheme="minorEastAsia"/>
          <w:b/>
          <w:color w:val="auto"/>
          <w:highlight w:val="none"/>
        </w:rPr>
        <w:t>要求签署、盖章的，其交易无效</w:t>
      </w:r>
      <w:r>
        <w:rPr>
          <w:rFonts w:hint="eastAsia" w:asciiTheme="minorEastAsia" w:hAnsiTheme="minorEastAsia" w:eastAsiaTheme="minorEastAsia" w:cstheme="minorEastAsia"/>
          <w:color w:val="auto"/>
          <w:szCs w:val="24"/>
          <w:highlight w:val="none"/>
        </w:rPr>
        <w:t>。</w:t>
      </w:r>
    </w:p>
    <w:p w14:paraId="1DF6B009">
      <w:pPr>
        <w:pStyle w:val="132"/>
        <w:snapToGrid w:val="0"/>
        <w:spacing w:before="0"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12.2为确保网上操作合法、有效和安全，响应人应当在响应截止时间前完成在“乐采云平台”的身份认证，确保在电子投标过程中能够对相关数据电文进行加密和使用电子签名。</w:t>
      </w:r>
    </w:p>
    <w:p w14:paraId="2B572625">
      <w:pPr>
        <w:pStyle w:val="132"/>
        <w:snapToGrid w:val="0"/>
        <w:spacing w:before="0" w:line="44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12.3</w:t>
      </w:r>
      <w:r>
        <w:rPr>
          <w:rFonts w:hint="eastAsia" w:asciiTheme="minorEastAsia" w:hAnsiTheme="minorEastAsia" w:eastAsiaTheme="minorEastAsia" w:cstheme="minorEastAsia"/>
          <w:color w:val="auto"/>
          <w:highlight w:val="none"/>
          <w:lang w:eastAsia="zh-CN"/>
        </w:rPr>
        <w:t>交易文件</w:t>
      </w:r>
      <w:r>
        <w:rPr>
          <w:rFonts w:hint="eastAsia" w:asciiTheme="minorEastAsia" w:hAnsiTheme="minorEastAsia" w:eastAsiaTheme="minorEastAsia" w:cstheme="minorEastAsia"/>
          <w:color w:val="auto"/>
          <w:highlight w:val="none"/>
        </w:rPr>
        <w:t>对响应文件签署、盖章的要求适用于电子签名。</w:t>
      </w:r>
    </w:p>
    <w:p w14:paraId="21E3E46C">
      <w:pPr>
        <w:pStyle w:val="132"/>
        <w:spacing w:before="0" w:line="44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13.响应文件的提交、补充、修改、撤回</w:t>
      </w:r>
    </w:p>
    <w:p w14:paraId="272C702B">
      <w:pPr>
        <w:pStyle w:val="132"/>
        <w:spacing w:before="0" w:line="44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06FF0BAB">
      <w:pPr>
        <w:pStyle w:val="132"/>
        <w:spacing w:before="0" w:line="44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5E154779">
      <w:pPr>
        <w:pStyle w:val="132"/>
        <w:spacing w:before="0" w:line="44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3FC71800">
      <w:pPr>
        <w:pStyle w:val="6"/>
        <w:numPr>
          <w:ilvl w:val="0"/>
          <w:numId w:val="1"/>
        </w:numPr>
        <w:spacing w:line="44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备份响应文件</w:t>
      </w:r>
    </w:p>
    <w:p w14:paraId="05695D2C">
      <w:pPr>
        <w:pStyle w:val="6"/>
        <w:spacing w:line="440" w:lineRule="exact"/>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28"/>
          <w:sz w:val="24"/>
          <w:szCs w:val="24"/>
          <w:highlight w:val="none"/>
        </w:rPr>
        <w:t>不收取备份响应文件。</w:t>
      </w:r>
    </w:p>
    <w:p w14:paraId="0C98F1F5">
      <w:pPr>
        <w:pStyle w:val="132"/>
        <w:spacing w:before="0" w:line="44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15.响应文件的无效处理</w:t>
      </w:r>
    </w:p>
    <w:p w14:paraId="019F5554">
      <w:pPr>
        <w:pStyle w:val="27"/>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w:t>
      </w:r>
      <w:r>
        <w:rPr>
          <w:rFonts w:hint="eastAsia" w:asciiTheme="minorEastAsia" w:hAnsiTheme="minorEastAsia" w:eastAsiaTheme="minorEastAsia" w:cstheme="minorEastAsia"/>
          <w:color w:val="auto"/>
          <w:szCs w:val="21"/>
          <w:highlight w:val="none"/>
          <w:lang w:eastAsia="zh-CN"/>
        </w:rPr>
        <w:t>交易文件</w:t>
      </w:r>
      <w:r>
        <w:rPr>
          <w:rFonts w:hint="eastAsia" w:asciiTheme="minorEastAsia" w:hAnsiTheme="minorEastAsia" w:eastAsiaTheme="minorEastAsia" w:cstheme="minorEastAsia"/>
          <w:color w:val="auto"/>
          <w:szCs w:val="21"/>
          <w:highlight w:val="none"/>
        </w:rPr>
        <w:t>第四部分</w:t>
      </w:r>
      <w:r>
        <w:rPr>
          <w:rFonts w:hint="eastAsia" w:asciiTheme="minorEastAsia" w:hAnsiTheme="minorEastAsia" w:eastAsiaTheme="minorEastAsia" w:cstheme="minorEastAsia"/>
          <w:color w:val="auto"/>
          <w:highlight w:val="none"/>
        </w:rPr>
        <w:t>4.2规定</w:t>
      </w:r>
      <w:r>
        <w:rPr>
          <w:rFonts w:hint="eastAsia" w:asciiTheme="minorEastAsia" w:hAnsiTheme="minorEastAsia" w:eastAsiaTheme="minorEastAsia" w:cstheme="minorEastAsia"/>
          <w:color w:val="auto"/>
          <w:szCs w:val="21"/>
          <w:highlight w:val="none"/>
        </w:rPr>
        <w:t>的情形之一的，交易无效：</w:t>
      </w:r>
    </w:p>
    <w:p w14:paraId="1B06EA8D">
      <w:pPr>
        <w:pStyle w:val="132"/>
        <w:spacing w:before="0" w:line="44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16.交易有效期</w:t>
      </w:r>
    </w:p>
    <w:p w14:paraId="265D77FE">
      <w:pPr>
        <w:spacing w:line="440" w:lineRule="exact"/>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16.1交易有效期为从提交响应文件的截止之日起90天。▲</w:t>
      </w:r>
      <w:r>
        <w:rPr>
          <w:rFonts w:hint="eastAsia" w:asciiTheme="minorEastAsia" w:hAnsiTheme="minorEastAsia" w:eastAsiaTheme="minorEastAsia" w:cstheme="minorEastAsia"/>
          <w:b/>
          <w:color w:val="auto"/>
          <w:sz w:val="24"/>
          <w:szCs w:val="20"/>
          <w:highlight w:val="none"/>
        </w:rPr>
        <w:t>响应人的响应文件中承</w:t>
      </w:r>
      <w:r>
        <w:rPr>
          <w:rFonts w:hint="eastAsia" w:asciiTheme="minorEastAsia" w:hAnsiTheme="minorEastAsia" w:eastAsiaTheme="minorEastAsia" w:cstheme="minorEastAsia"/>
          <w:b/>
          <w:color w:val="auto"/>
          <w:sz w:val="24"/>
          <w:szCs w:val="21"/>
          <w:highlight w:val="none"/>
        </w:rPr>
        <w:t>诺的交易有效期少于</w:t>
      </w:r>
      <w:r>
        <w:rPr>
          <w:rFonts w:hint="eastAsia" w:asciiTheme="minorEastAsia" w:hAnsiTheme="minorEastAsia" w:eastAsiaTheme="minorEastAsia" w:cstheme="minorEastAsia"/>
          <w:b/>
          <w:color w:val="auto"/>
          <w:sz w:val="24"/>
          <w:szCs w:val="21"/>
          <w:highlight w:val="none"/>
          <w:lang w:eastAsia="zh-CN"/>
        </w:rPr>
        <w:t>交易文件</w:t>
      </w:r>
      <w:r>
        <w:rPr>
          <w:rFonts w:hint="eastAsia" w:asciiTheme="minorEastAsia" w:hAnsiTheme="minorEastAsia" w:eastAsiaTheme="minorEastAsia" w:cstheme="minorEastAsia"/>
          <w:b/>
          <w:color w:val="auto"/>
          <w:sz w:val="24"/>
          <w:szCs w:val="21"/>
          <w:highlight w:val="none"/>
        </w:rPr>
        <w:t>中载明的交易有效期的，交易无效。</w:t>
      </w:r>
    </w:p>
    <w:p w14:paraId="33AECC50">
      <w:pPr>
        <w:pStyle w:val="132"/>
        <w:spacing w:before="0"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16.2响应文件合格投递后，自投标截止日期起，在交易有效期内有效。</w:t>
      </w:r>
    </w:p>
    <w:p w14:paraId="467E4FDA">
      <w:pPr>
        <w:pStyle w:val="132"/>
        <w:spacing w:before="0"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1BE1D681">
      <w:pPr>
        <w:pStyle w:val="132"/>
        <w:spacing w:before="0" w:line="440" w:lineRule="exact"/>
        <w:ind w:firstLine="643"/>
        <w:rPr>
          <w:rFonts w:hint="eastAsia" w:asciiTheme="minorEastAsia" w:hAnsiTheme="minorEastAsia" w:eastAsiaTheme="minorEastAsia" w:cstheme="minorEastAsia"/>
          <w:b/>
          <w:color w:val="auto"/>
          <w:sz w:val="32"/>
          <w:highlight w:val="none"/>
        </w:rPr>
      </w:pPr>
    </w:p>
    <w:p w14:paraId="1560CD10">
      <w:pPr>
        <w:pStyle w:val="132"/>
        <w:spacing w:before="0" w:line="440" w:lineRule="exact"/>
        <w:ind w:firstLine="0" w:firstLineChars="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四、交易、资格审查</w:t>
      </w:r>
    </w:p>
    <w:p w14:paraId="720B7A73">
      <w:pPr>
        <w:pStyle w:val="558"/>
        <w:autoSpaceDE/>
        <w:autoSpaceDN/>
        <w:spacing w:before="0" w:line="440" w:lineRule="exact"/>
        <w:ind w:left="0" w:firstLine="0"/>
        <w:contextualSpacing/>
        <w:rPr>
          <w:rFonts w:hint="eastAsia"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 xml:space="preserve">17.交易 </w:t>
      </w:r>
    </w:p>
    <w:p w14:paraId="5E3983EF">
      <w:pPr>
        <w:pStyle w:val="558"/>
        <w:autoSpaceDE/>
        <w:autoSpaceDN/>
        <w:spacing w:before="0" w:line="44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17.1代理机构按照</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规定的时间通过电子交易平台组织开标，所有响应人均应当准时在线参加。响应人不足3家的，不得开标。</w:t>
      </w:r>
    </w:p>
    <w:p w14:paraId="271B5583">
      <w:pPr>
        <w:pStyle w:val="558"/>
        <w:autoSpaceDE/>
        <w:autoSpaceDN/>
        <w:spacing w:before="0" w:line="44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17.2交易时，电子交易平台按交易时间自动提取所有响应文件。代理机构依托电子交易平台发起开始解密指令，响应人按照平台提示和</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的规定在半小时内完成在线解密。</w:t>
      </w:r>
    </w:p>
    <w:p w14:paraId="415A83DE">
      <w:pPr>
        <w:pStyle w:val="558"/>
        <w:autoSpaceDE/>
        <w:autoSpaceDN/>
        <w:spacing w:before="0" w:line="44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17.3响应文件未按时解密，视为响应文件撤回。</w:t>
      </w:r>
    </w:p>
    <w:p w14:paraId="25E09655">
      <w:pPr>
        <w:pStyle w:val="27"/>
        <w:spacing w:line="440" w:lineRule="exact"/>
        <w:ind w:left="0"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18、资格审查</w:t>
      </w:r>
    </w:p>
    <w:p w14:paraId="6FCCFA89">
      <w:pPr>
        <w:pStyle w:val="132"/>
        <w:spacing w:before="0" w:line="44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18.1交易后，交易发起人或代理机构将依法对响应人的资格进行审查。</w:t>
      </w:r>
    </w:p>
    <w:p w14:paraId="65FA5C8B">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18.2</w:t>
      </w:r>
      <w:r>
        <w:rPr>
          <w:rFonts w:hint="eastAsia" w:asciiTheme="minorEastAsia" w:hAnsiTheme="minorEastAsia" w:eastAsiaTheme="minorEastAsia" w:cstheme="minorEastAsia"/>
          <w:color w:val="auto"/>
          <w:sz w:val="24"/>
          <w:highlight w:val="none"/>
        </w:rPr>
        <w:t>交易发起人或代理机构依据法律法规和</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的规定，对响应人的基本资格条件、特定资格条件进行审查。</w:t>
      </w:r>
    </w:p>
    <w:p w14:paraId="1278EC65">
      <w:pPr>
        <w:pStyle w:val="132"/>
        <w:spacing w:before="0"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18.3响应人未按照</w:t>
      </w:r>
      <w:r>
        <w:rPr>
          <w:rFonts w:hint="eastAsia" w:asciiTheme="minorEastAsia" w:hAnsiTheme="minorEastAsia" w:eastAsiaTheme="minorEastAsia" w:cstheme="minorEastAsia"/>
          <w:color w:val="auto"/>
          <w:kern w:val="0"/>
          <w:szCs w:val="24"/>
          <w:highlight w:val="none"/>
          <w:lang w:eastAsia="zh-CN"/>
        </w:rPr>
        <w:t>交易文件</w:t>
      </w:r>
      <w:r>
        <w:rPr>
          <w:rFonts w:hint="eastAsia" w:asciiTheme="minorEastAsia" w:hAnsiTheme="minorEastAsia" w:eastAsiaTheme="minorEastAsia" w:cstheme="minorEastAsia"/>
          <w:color w:val="auto"/>
          <w:kern w:val="0"/>
          <w:szCs w:val="24"/>
          <w:highlight w:val="none"/>
        </w:rPr>
        <w:t>要求提供与</w:t>
      </w:r>
      <w:r>
        <w:rPr>
          <w:rFonts w:hint="eastAsia" w:asciiTheme="minorEastAsia" w:hAnsiTheme="minorEastAsia" w:eastAsiaTheme="minorEastAsia" w:cstheme="minorEastAsia"/>
          <w:color w:val="auto"/>
          <w:highlight w:val="none"/>
        </w:rPr>
        <w:t>基本资格条件、特定资格条件相应的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响应人不具备</w:t>
      </w:r>
      <w:r>
        <w:rPr>
          <w:rFonts w:hint="eastAsia" w:asciiTheme="minorEastAsia" w:hAnsiTheme="minorEastAsia" w:eastAsiaTheme="minorEastAsia" w:cstheme="minorEastAsia"/>
          <w:color w:val="auto"/>
          <w:highlight w:val="none"/>
          <w:lang w:eastAsia="zh-CN"/>
        </w:rPr>
        <w:t>交易文件</w:t>
      </w:r>
      <w:r>
        <w:rPr>
          <w:rFonts w:hint="eastAsia" w:asciiTheme="minorEastAsia" w:hAnsiTheme="minorEastAsia" w:eastAsiaTheme="minorEastAsia" w:cstheme="minorEastAsia"/>
          <w:color w:val="auto"/>
          <w:highlight w:val="none"/>
        </w:rPr>
        <w:t>中规定的资格要求，其交易无效。</w:t>
      </w:r>
    </w:p>
    <w:p w14:paraId="1812C682">
      <w:pPr>
        <w:pStyle w:val="132"/>
        <w:spacing w:before="0"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w:t>
      </w:r>
      <w:r>
        <w:rPr>
          <w:rFonts w:hint="eastAsia" w:asciiTheme="minorEastAsia" w:hAnsiTheme="minorEastAsia" w:eastAsiaTheme="minorEastAsia" w:cstheme="minorEastAsia"/>
          <w:color w:val="auto"/>
          <w:highlight w:val="none"/>
        </w:rPr>
        <w:t>4对未通过资格审查的响应人，交易发起人或代理机构告知其未通过的原因。</w:t>
      </w:r>
    </w:p>
    <w:p w14:paraId="085A1AA7">
      <w:pPr>
        <w:pStyle w:val="132"/>
        <w:spacing w:before="0"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w:t>
      </w:r>
      <w:r>
        <w:rPr>
          <w:rFonts w:hint="eastAsia" w:asciiTheme="minorEastAsia" w:hAnsiTheme="minorEastAsia" w:eastAsiaTheme="minorEastAsia" w:cstheme="minorEastAsia"/>
          <w:color w:val="auto"/>
          <w:highlight w:val="none"/>
        </w:rPr>
        <w:t>5合格响应人不足3家的，不再评标。</w:t>
      </w:r>
    </w:p>
    <w:p w14:paraId="349EDB5C">
      <w:pPr>
        <w:pStyle w:val="132"/>
        <w:spacing w:before="0" w:line="440" w:lineRule="exact"/>
        <w:ind w:firstLine="0" w:firstLineChars="0"/>
        <w:rPr>
          <w:rFonts w:hint="eastAsia" w:asciiTheme="minorEastAsia" w:hAnsiTheme="minorEastAsia" w:eastAsiaTheme="minorEastAsia" w:cstheme="minorEastAsia"/>
          <w:color w:val="auto"/>
          <w:kern w:val="0"/>
          <w:szCs w:val="24"/>
          <w:highlight w:val="none"/>
        </w:rPr>
      </w:pPr>
    </w:p>
    <w:p w14:paraId="5543AB03">
      <w:pPr>
        <w:snapToGrid w:val="0"/>
        <w:spacing w:line="440" w:lineRule="exact"/>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五、评审</w:t>
      </w:r>
    </w:p>
    <w:p w14:paraId="260B4019">
      <w:pPr>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19.</w:t>
      </w:r>
      <w:r>
        <w:rPr>
          <w:rFonts w:hint="eastAsia" w:asciiTheme="minorEastAsia" w:hAnsiTheme="minorEastAsia" w:eastAsiaTheme="minorEastAsia" w:cstheme="minorEastAsia"/>
          <w:color w:val="auto"/>
          <w:sz w:val="24"/>
          <w:highlight w:val="none"/>
        </w:rPr>
        <w:t>评审委员会将根据</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和有关规定，履行评标工作职责，并按照评标方法及评分标准，全面衡量各响应人对</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的响应情况。对实质上响应</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的响应人，按照评审因素的量化指标排出推荐成交的响应人的先后顺序，并按顺序提出授标建议。</w:t>
      </w:r>
    </w:p>
    <w:p w14:paraId="2C491C16">
      <w:pPr>
        <w:spacing w:line="44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详见</w:t>
      </w:r>
      <w:r>
        <w:rPr>
          <w:rFonts w:hint="eastAsia" w:asciiTheme="minorEastAsia" w:hAnsiTheme="minorEastAsia" w:eastAsiaTheme="minorEastAsia" w:cstheme="minorEastAsia"/>
          <w:b/>
          <w:color w:val="auto"/>
          <w:sz w:val="24"/>
          <w:highlight w:val="none"/>
          <w:lang w:eastAsia="zh-CN"/>
        </w:rPr>
        <w:t>交易文件</w:t>
      </w:r>
      <w:r>
        <w:rPr>
          <w:rFonts w:hint="eastAsia" w:asciiTheme="minorEastAsia" w:hAnsiTheme="minorEastAsia" w:eastAsiaTheme="minorEastAsia" w:cstheme="minorEastAsia"/>
          <w:b/>
          <w:color w:val="auto"/>
          <w:sz w:val="24"/>
          <w:highlight w:val="none"/>
        </w:rPr>
        <w:t>第四部分交易办法。</w:t>
      </w:r>
    </w:p>
    <w:p w14:paraId="7E15A76D">
      <w:pPr>
        <w:spacing w:line="440" w:lineRule="exact"/>
        <w:rPr>
          <w:rFonts w:hint="eastAsia" w:asciiTheme="minorEastAsia" w:hAnsiTheme="minorEastAsia" w:eastAsiaTheme="minorEastAsia" w:cstheme="minorEastAsia"/>
          <w:b/>
          <w:color w:val="auto"/>
          <w:sz w:val="24"/>
          <w:highlight w:val="none"/>
        </w:rPr>
      </w:pPr>
    </w:p>
    <w:p w14:paraId="1839DA2D">
      <w:pPr>
        <w:snapToGrid w:val="0"/>
        <w:spacing w:line="440" w:lineRule="exact"/>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六、定标</w:t>
      </w:r>
    </w:p>
    <w:p w14:paraId="54306D92">
      <w:pPr>
        <w:pStyle w:val="27"/>
        <w:spacing w:line="440" w:lineRule="exact"/>
        <w:ind w:left="0"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20.确定成交响应人</w:t>
      </w:r>
    </w:p>
    <w:p w14:paraId="6CFB6CB3">
      <w:pPr>
        <w:pStyle w:val="132"/>
        <w:snapToGrid w:val="0"/>
        <w:spacing w:before="0" w:line="440" w:lineRule="exact"/>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交易发起人将自收到评审报告之日起5个工作日内通过电子交易平台在评审报告推荐的成交候选人中按顺序确定成交响应人。</w:t>
      </w:r>
    </w:p>
    <w:p w14:paraId="0C64E2A1">
      <w:pPr>
        <w:pStyle w:val="132"/>
        <w:snapToGrid w:val="0"/>
        <w:spacing w:before="0" w:line="44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21.成交通知与成交结果公告</w:t>
      </w:r>
    </w:p>
    <w:p w14:paraId="078987F0">
      <w:pPr>
        <w:pStyle w:val="132"/>
        <w:snapToGrid w:val="0"/>
        <w:spacing w:before="0"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21.1自成交人确定之日起3天内，代理机构通过电子交易平台向成交人发出成交通知书，同时编制发布成交结果公告。代理机构也可以以纸质形式进行成交通知。</w:t>
      </w:r>
    </w:p>
    <w:p w14:paraId="448A0C5E">
      <w:pPr>
        <w:pStyle w:val="132"/>
        <w:snapToGrid w:val="0"/>
        <w:spacing w:before="0"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21.2成交结果公告内容包括交易发起人及其委托的代理机构的名称、地址、联系方式，项目名称和交易编号，成交人名称、地址和成交金额。</w:t>
      </w:r>
    </w:p>
    <w:p w14:paraId="4399A378">
      <w:pPr>
        <w:snapToGrid w:val="0"/>
        <w:spacing w:line="440" w:lineRule="exact"/>
        <w:ind w:left="0" w:leftChars="0" w:firstLine="482" w:firstLineChars="150"/>
        <w:jc w:val="center"/>
        <w:rPr>
          <w:rFonts w:hint="eastAsia" w:asciiTheme="minorEastAsia" w:hAnsiTheme="minorEastAsia" w:eastAsiaTheme="minorEastAsia" w:cstheme="minorEastAsia"/>
          <w:b/>
          <w:color w:val="auto"/>
          <w:sz w:val="32"/>
          <w:highlight w:val="none"/>
        </w:rPr>
      </w:pPr>
    </w:p>
    <w:p w14:paraId="31BE4B74">
      <w:pPr>
        <w:snapToGrid w:val="0"/>
        <w:spacing w:line="440" w:lineRule="exact"/>
        <w:ind w:left="0" w:leftChars="0"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023A947B">
      <w:pPr>
        <w:pStyle w:val="27"/>
        <w:spacing w:line="440" w:lineRule="exact"/>
        <w:ind w:left="0"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w:t>
      </w:r>
      <w:r>
        <w:rPr>
          <w:rFonts w:hint="eastAsia" w:asciiTheme="minorEastAsia" w:hAnsiTheme="minorEastAsia" w:eastAsiaTheme="minorEastAsia" w:cstheme="minorEastAsia"/>
          <w:color w:val="auto"/>
          <w:highlight w:val="none"/>
        </w:rPr>
        <w:t>合同主要条款详见第五部分拟签订的合同文本。</w:t>
      </w:r>
    </w:p>
    <w:p w14:paraId="003F073F">
      <w:pPr>
        <w:pStyle w:val="27"/>
        <w:spacing w:line="440" w:lineRule="exact"/>
        <w:ind w:left="0"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23.合同的签订</w:t>
      </w:r>
    </w:p>
    <w:p w14:paraId="3C00CBE0">
      <w:pPr>
        <w:pStyle w:val="27"/>
        <w:spacing w:line="440" w:lineRule="exact"/>
        <w:ind w:firstLine="480" w:firstLineChars="200"/>
        <w:rPr>
          <w:rFonts w:hint="eastAsia" w:asciiTheme="minorEastAsia" w:hAnsiTheme="minorEastAsia" w:eastAsiaTheme="minorEastAsia" w:cstheme="minorEastAsia"/>
          <w:color w:val="auto"/>
          <w:kern w:val="2"/>
          <w:sz w:val="24"/>
          <w:highlight w:val="none"/>
        </w:rPr>
      </w:pPr>
      <w:r>
        <w:rPr>
          <w:rFonts w:hint="eastAsia" w:asciiTheme="minorEastAsia" w:hAnsiTheme="minorEastAsia" w:eastAsiaTheme="minorEastAsia" w:cstheme="minorEastAsia"/>
          <w:color w:val="auto"/>
          <w:sz w:val="24"/>
          <w:highlight w:val="none"/>
        </w:rPr>
        <w:t>23.1</w:t>
      </w:r>
      <w:r>
        <w:rPr>
          <w:rFonts w:hint="eastAsia" w:asciiTheme="minorEastAsia" w:hAnsiTheme="minorEastAsia" w:eastAsiaTheme="minorEastAsia" w:cstheme="minorEastAsia"/>
          <w:color w:val="auto"/>
          <w:kern w:val="2"/>
          <w:sz w:val="24"/>
          <w:highlight w:val="none"/>
        </w:rPr>
        <w:t>交易发起人与成交人应当通过电子交易平台在成交通知书发出之日起三十日内，按照</w:t>
      </w:r>
      <w:r>
        <w:rPr>
          <w:rFonts w:hint="eastAsia" w:asciiTheme="minorEastAsia" w:hAnsiTheme="minorEastAsia" w:eastAsiaTheme="minorEastAsia" w:cstheme="minorEastAsia"/>
          <w:color w:val="auto"/>
          <w:kern w:val="2"/>
          <w:sz w:val="24"/>
          <w:highlight w:val="none"/>
          <w:lang w:eastAsia="zh-CN"/>
        </w:rPr>
        <w:t>交易文件</w:t>
      </w:r>
      <w:r>
        <w:rPr>
          <w:rFonts w:hint="eastAsia" w:asciiTheme="minorEastAsia" w:hAnsiTheme="minorEastAsia" w:eastAsiaTheme="minorEastAsia" w:cstheme="minorEastAsia"/>
          <w:color w:val="auto"/>
          <w:kern w:val="2"/>
          <w:sz w:val="24"/>
          <w:highlight w:val="none"/>
        </w:rPr>
        <w:t>确定的事项签订书面合同。</w:t>
      </w:r>
    </w:p>
    <w:p w14:paraId="100DC60A">
      <w:pPr>
        <w:pStyle w:val="132"/>
        <w:snapToGrid w:val="0"/>
        <w:spacing w:before="0" w:line="44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2DA75C47">
      <w:pPr>
        <w:pStyle w:val="132"/>
        <w:snapToGrid w:val="0"/>
        <w:spacing w:before="0"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23.3如签订合同并生效后，响应人无故拒绝或延期，除按照合同条款处理外，列入不良行为记录一次，并给予通报。</w:t>
      </w:r>
    </w:p>
    <w:p w14:paraId="42687DBC">
      <w:pPr>
        <w:pStyle w:val="132"/>
        <w:snapToGrid w:val="0"/>
        <w:spacing w:before="0"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23.4成交响应人拒绝与交易发起人签订合同的，交易发起人可以按照评审报告推荐的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或者成交候选人名单排序，确定下一候选人为成交响应人，也可以重新开展交易活动。</w:t>
      </w:r>
    </w:p>
    <w:p w14:paraId="0478ED15">
      <w:pPr>
        <w:pStyle w:val="132"/>
        <w:snapToGrid w:val="0"/>
        <w:spacing w:before="0" w:after="0"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23.5书面合同由交易发起人与成交响应人根据</w:t>
      </w:r>
      <w:r>
        <w:rPr>
          <w:rFonts w:hint="eastAsia" w:asciiTheme="minorEastAsia" w:hAnsiTheme="minorEastAsia" w:eastAsiaTheme="minorEastAsia" w:cstheme="minorEastAsia"/>
          <w:color w:val="auto"/>
          <w:highlight w:val="none"/>
          <w:lang w:eastAsia="zh-CN"/>
        </w:rPr>
        <w:t>交易文件</w:t>
      </w:r>
      <w:r>
        <w:rPr>
          <w:rFonts w:hint="eastAsia" w:asciiTheme="minorEastAsia" w:hAnsiTheme="minorEastAsia" w:eastAsiaTheme="minorEastAsia" w:cstheme="minorEastAsia"/>
          <w:color w:val="auto"/>
          <w:highlight w:val="none"/>
        </w:rPr>
        <w:t>、响应文件等内容签订合同。</w:t>
      </w:r>
    </w:p>
    <w:p w14:paraId="5119274D">
      <w:pPr>
        <w:pStyle w:val="27"/>
        <w:spacing w:line="440" w:lineRule="exact"/>
        <w:ind w:left="0"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24.履约保证金：</w:t>
      </w:r>
      <w:r>
        <w:rPr>
          <w:rFonts w:hint="eastAsia" w:asciiTheme="minorEastAsia" w:hAnsiTheme="minorEastAsia" w:eastAsiaTheme="minorEastAsia" w:cstheme="minorEastAsia"/>
          <w:bCs/>
          <w:color w:val="auto"/>
          <w:highlight w:val="none"/>
        </w:rPr>
        <w:t>详见前附表。</w:t>
      </w:r>
    </w:p>
    <w:p w14:paraId="72488291">
      <w:pPr>
        <w:snapToGrid w:val="0"/>
        <w:spacing w:line="440" w:lineRule="exact"/>
        <w:ind w:firstLine="3357" w:firstLineChars="1045"/>
        <w:rPr>
          <w:rFonts w:hint="eastAsia" w:asciiTheme="minorEastAsia" w:hAnsiTheme="minorEastAsia" w:eastAsiaTheme="minorEastAsia" w:cstheme="minorEastAsia"/>
          <w:b/>
          <w:color w:val="auto"/>
          <w:sz w:val="32"/>
          <w:highlight w:val="none"/>
        </w:rPr>
      </w:pPr>
    </w:p>
    <w:p w14:paraId="120FDE0E">
      <w:pPr>
        <w:snapToGrid w:val="0"/>
        <w:spacing w:line="440" w:lineRule="exact"/>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7407A083">
      <w:pPr>
        <w:pStyle w:val="132"/>
        <w:snapToGrid w:val="0"/>
        <w:spacing w:before="0" w:line="44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color w:val="auto"/>
          <w:szCs w:val="24"/>
          <w:highlight w:val="none"/>
        </w:rPr>
        <w:t>5.电子交易活动的中止。</w:t>
      </w:r>
      <w:r>
        <w:rPr>
          <w:rFonts w:hint="eastAsia" w:asciiTheme="minorEastAsia" w:hAnsiTheme="minorEastAsia" w:eastAsiaTheme="minorEastAsia" w:cstheme="minorEastAsia"/>
          <w:bCs/>
          <w:color w:val="auto"/>
          <w:szCs w:val="24"/>
          <w:highlight w:val="none"/>
        </w:rPr>
        <w:t>交易</w:t>
      </w:r>
      <w:r>
        <w:rPr>
          <w:rFonts w:hint="eastAsia" w:asciiTheme="minorEastAsia" w:hAnsiTheme="minorEastAsia" w:eastAsiaTheme="minorEastAsia" w:cstheme="minorEastAsia"/>
          <w:color w:val="auto"/>
          <w:highlight w:val="none"/>
        </w:rPr>
        <w:t>过程中出现以下情形，导致电子交易平台无法正常运行，或者无法保证电子交易的公平、公正和安全时，代理机构可中止电子交易活动：</w:t>
      </w:r>
    </w:p>
    <w:p w14:paraId="033AA952">
      <w:pPr>
        <w:pStyle w:val="132"/>
        <w:snapToGrid w:val="0"/>
        <w:spacing w:before="0"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25.1电子交易平台发生故障而无法登录访问的； </w:t>
      </w:r>
    </w:p>
    <w:p w14:paraId="52F0F5D1">
      <w:pPr>
        <w:pStyle w:val="132"/>
        <w:snapToGrid w:val="0"/>
        <w:spacing w:before="0"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25.2电子交易平台应用或数据库出现错误，不能进行正常操作的；</w:t>
      </w:r>
    </w:p>
    <w:p w14:paraId="48D2F8E7">
      <w:pPr>
        <w:pStyle w:val="132"/>
        <w:snapToGrid w:val="0"/>
        <w:spacing w:before="0"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25.3电子交易平台发现严重安全漏洞，有潜在泄密危险的；</w:t>
      </w:r>
    </w:p>
    <w:p w14:paraId="1960D5C7">
      <w:pPr>
        <w:pStyle w:val="132"/>
        <w:snapToGrid w:val="0"/>
        <w:spacing w:before="0"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25.4病毒发作导致不能进行正常操作的； </w:t>
      </w:r>
    </w:p>
    <w:p w14:paraId="7189DC25">
      <w:pPr>
        <w:pStyle w:val="132"/>
        <w:snapToGrid w:val="0"/>
        <w:spacing w:before="0"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25.5其他无法保证电子交易的公平、公正和安全的情况。</w:t>
      </w:r>
    </w:p>
    <w:p w14:paraId="2C31DB6B">
      <w:pPr>
        <w:pStyle w:val="132"/>
        <w:snapToGrid w:val="0"/>
        <w:spacing w:before="0" w:line="44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26.</w:t>
      </w:r>
      <w:r>
        <w:rPr>
          <w:rFonts w:hint="eastAsia" w:asciiTheme="minorEastAsia" w:hAnsiTheme="minorEastAsia" w:eastAsiaTheme="minorEastAsia" w:cstheme="minorEastAsia"/>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3A19FCE1">
      <w:pPr>
        <w:snapToGrid w:val="0"/>
        <w:spacing w:line="440" w:lineRule="exact"/>
        <w:ind w:left="0" w:leftChars="0"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688A3BB0">
      <w:pPr>
        <w:pStyle w:val="27"/>
        <w:spacing w:line="440" w:lineRule="exact"/>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27.验收</w:t>
      </w:r>
    </w:p>
    <w:p w14:paraId="2FA25C33">
      <w:pPr>
        <w:tabs>
          <w:tab w:val="left" w:pos="0"/>
        </w:tabs>
        <w:spacing w:line="440" w:lineRule="exac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27.1交易发起人应当组织对响应人履约的验收。</w:t>
      </w:r>
    </w:p>
    <w:p w14:paraId="59974CCA">
      <w:pPr>
        <w:spacing w:line="440" w:lineRule="exact"/>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3074E7E7">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第三部分   交易需求</w:t>
      </w:r>
    </w:p>
    <w:p w14:paraId="1F8D047C">
      <w:pPr>
        <w:snapToGrid w:val="0"/>
        <w:spacing w:line="360" w:lineRule="auto"/>
        <w:jc w:val="center"/>
        <w:rPr>
          <w:rFonts w:ascii="宋体" w:hAnsi="宋体" w:cs="宋体"/>
          <w:color w:val="auto"/>
          <w:sz w:val="24"/>
        </w:rPr>
      </w:pPr>
      <w:r>
        <w:rPr>
          <w:rFonts w:hint="eastAsia" w:ascii="宋体" w:hAnsi="宋体" w:cs="宋体"/>
          <w:color w:val="auto"/>
          <w:sz w:val="24"/>
        </w:rPr>
        <w:t>属于实质性要求条款的，请用符号“▲”标明，否则属于非实质性要求。</w:t>
      </w:r>
    </w:p>
    <w:p w14:paraId="4509399F">
      <w:pPr>
        <w:numPr>
          <w:ilvl w:val="0"/>
          <w:numId w:val="2"/>
        </w:numPr>
        <w:spacing w:line="360" w:lineRule="auto"/>
        <w:jc w:val="center"/>
        <w:rPr>
          <w:rFonts w:ascii="宋体" w:hAnsi="宋体" w:cs="宋体"/>
          <w:b/>
          <w:color w:val="auto"/>
          <w:sz w:val="28"/>
          <w:szCs w:val="28"/>
        </w:rPr>
      </w:pPr>
      <w:r>
        <w:rPr>
          <w:rFonts w:hint="eastAsia" w:ascii="宋体" w:hAnsi="宋体" w:cs="宋体"/>
          <w:b/>
          <w:color w:val="auto"/>
          <w:sz w:val="28"/>
          <w:szCs w:val="28"/>
        </w:rPr>
        <w:t>交易一览表</w:t>
      </w:r>
    </w:p>
    <w:p w14:paraId="48C14D42">
      <w:pPr>
        <w:ind w:firstLine="590" w:firstLineChars="245"/>
        <w:rPr>
          <w:rFonts w:ascii="宋体" w:hAnsi="宋体"/>
          <w:b/>
          <w:color w:val="auto"/>
          <w:sz w:val="24"/>
        </w:rPr>
      </w:pPr>
      <w:r>
        <w:rPr>
          <w:rFonts w:hint="eastAsia" w:ascii="宋体" w:hAnsi="宋体"/>
          <w:b/>
          <w:color w:val="auto"/>
          <w:sz w:val="24"/>
        </w:rPr>
        <w:t>标项：1</w:t>
      </w:r>
    </w:p>
    <w:tbl>
      <w:tblPr>
        <w:tblStyle w:val="63"/>
        <w:tblW w:w="8814" w:type="dxa"/>
        <w:jc w:val="center"/>
        <w:tblLayout w:type="fixed"/>
        <w:tblCellMar>
          <w:top w:w="0" w:type="dxa"/>
          <w:left w:w="0" w:type="dxa"/>
          <w:bottom w:w="0" w:type="dxa"/>
          <w:right w:w="0" w:type="dxa"/>
        </w:tblCellMar>
      </w:tblPr>
      <w:tblGrid>
        <w:gridCol w:w="705"/>
        <w:gridCol w:w="3237"/>
        <w:gridCol w:w="1966"/>
        <w:gridCol w:w="950"/>
        <w:gridCol w:w="1000"/>
        <w:gridCol w:w="956"/>
      </w:tblGrid>
      <w:tr w14:paraId="11AEABC0">
        <w:tblPrEx>
          <w:tblCellMar>
            <w:top w:w="0" w:type="dxa"/>
            <w:left w:w="0" w:type="dxa"/>
            <w:bottom w:w="0" w:type="dxa"/>
            <w:right w:w="0" w:type="dxa"/>
          </w:tblCellMar>
        </w:tblPrEx>
        <w:trPr>
          <w:cantSplit/>
          <w:trHeight w:val="663" w:hRule="atLeast"/>
          <w:jc w:val="center"/>
        </w:trPr>
        <w:tc>
          <w:tcPr>
            <w:tcW w:w="7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CA378F2">
            <w:pPr>
              <w:jc w:val="center"/>
              <w:rPr>
                <w:rFonts w:ascii="宋体" w:hAnsi="宋体"/>
                <w:bCs/>
                <w:color w:val="auto"/>
                <w:sz w:val="24"/>
              </w:rPr>
            </w:pPr>
            <w:r>
              <w:rPr>
                <w:rFonts w:hint="eastAsia" w:ascii="宋体" w:hAnsi="宋体"/>
                <w:bCs/>
                <w:color w:val="auto"/>
                <w:sz w:val="24"/>
              </w:rPr>
              <w:t>序号</w:t>
            </w:r>
          </w:p>
        </w:tc>
        <w:tc>
          <w:tcPr>
            <w:tcW w:w="323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81FBA8C">
            <w:pPr>
              <w:jc w:val="center"/>
              <w:rPr>
                <w:rFonts w:ascii="宋体" w:hAnsi="宋体"/>
                <w:bCs/>
                <w:color w:val="auto"/>
                <w:sz w:val="24"/>
              </w:rPr>
            </w:pPr>
            <w:r>
              <w:rPr>
                <w:rFonts w:hint="eastAsia" w:ascii="宋体" w:hAnsi="宋体"/>
                <w:bCs/>
                <w:color w:val="auto"/>
                <w:sz w:val="24"/>
              </w:rPr>
              <w:t>名称</w:t>
            </w:r>
          </w:p>
        </w:tc>
        <w:tc>
          <w:tcPr>
            <w:tcW w:w="196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D2C12BE">
            <w:pPr>
              <w:jc w:val="center"/>
              <w:rPr>
                <w:rFonts w:ascii="宋体" w:hAnsi="宋体"/>
                <w:bCs/>
                <w:color w:val="auto"/>
                <w:sz w:val="24"/>
              </w:rPr>
            </w:pPr>
            <w:r>
              <w:rPr>
                <w:rFonts w:hint="eastAsia" w:ascii="宋体" w:hAnsi="宋体"/>
                <w:bCs/>
                <w:color w:val="auto"/>
                <w:sz w:val="24"/>
              </w:rPr>
              <w:t>规格型号与参数</w:t>
            </w:r>
          </w:p>
        </w:tc>
        <w:tc>
          <w:tcPr>
            <w:tcW w:w="9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9477A5">
            <w:pPr>
              <w:jc w:val="center"/>
              <w:rPr>
                <w:rFonts w:ascii="宋体" w:hAnsi="宋体"/>
                <w:bCs/>
                <w:color w:val="auto"/>
                <w:sz w:val="24"/>
              </w:rPr>
            </w:pPr>
            <w:r>
              <w:rPr>
                <w:rFonts w:hint="eastAsia" w:ascii="宋体" w:hAnsi="宋体"/>
                <w:bCs/>
                <w:color w:val="auto"/>
                <w:sz w:val="24"/>
              </w:rPr>
              <w:t>单位</w:t>
            </w:r>
          </w:p>
        </w:tc>
        <w:tc>
          <w:tcPr>
            <w:tcW w:w="100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5AEA32F">
            <w:pPr>
              <w:jc w:val="center"/>
              <w:rPr>
                <w:rFonts w:ascii="宋体" w:hAnsi="宋体"/>
                <w:bCs/>
                <w:color w:val="auto"/>
                <w:sz w:val="24"/>
              </w:rPr>
            </w:pPr>
            <w:r>
              <w:rPr>
                <w:rFonts w:hint="eastAsia" w:ascii="宋体" w:hAnsi="宋体"/>
                <w:bCs/>
                <w:color w:val="auto"/>
                <w:sz w:val="24"/>
              </w:rPr>
              <w:t>数量</w:t>
            </w:r>
          </w:p>
        </w:tc>
        <w:tc>
          <w:tcPr>
            <w:tcW w:w="956" w:type="dxa"/>
            <w:tcBorders>
              <w:top w:val="single" w:color="auto" w:sz="4" w:space="0"/>
              <w:left w:val="nil"/>
              <w:bottom w:val="single" w:color="auto" w:sz="4" w:space="0"/>
              <w:right w:val="single" w:color="auto" w:sz="4" w:space="0"/>
            </w:tcBorders>
            <w:noWrap/>
            <w:vAlign w:val="center"/>
          </w:tcPr>
          <w:p w14:paraId="01159CC1">
            <w:pPr>
              <w:jc w:val="center"/>
              <w:rPr>
                <w:rFonts w:ascii="宋体" w:hAnsi="宋体"/>
                <w:bCs/>
                <w:color w:val="auto"/>
                <w:sz w:val="24"/>
              </w:rPr>
            </w:pPr>
            <w:r>
              <w:rPr>
                <w:rFonts w:hint="eastAsia" w:ascii="宋体" w:hAnsi="宋体"/>
                <w:bCs/>
                <w:color w:val="auto"/>
                <w:sz w:val="24"/>
              </w:rPr>
              <w:t>备注</w:t>
            </w:r>
          </w:p>
        </w:tc>
      </w:tr>
      <w:tr w14:paraId="567C26E4">
        <w:tblPrEx>
          <w:tblCellMar>
            <w:top w:w="0" w:type="dxa"/>
            <w:left w:w="0" w:type="dxa"/>
            <w:bottom w:w="0" w:type="dxa"/>
            <w:right w:w="0" w:type="dxa"/>
          </w:tblCellMar>
        </w:tblPrEx>
        <w:trPr>
          <w:cantSplit/>
          <w:trHeight w:val="927" w:hRule="atLeast"/>
          <w:jc w:val="center"/>
        </w:trPr>
        <w:tc>
          <w:tcPr>
            <w:tcW w:w="7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FF7E505">
            <w:pPr>
              <w:jc w:val="center"/>
              <w:rPr>
                <w:rFonts w:ascii="宋体" w:hAnsi="宋体"/>
                <w:color w:val="auto"/>
                <w:sz w:val="24"/>
              </w:rPr>
            </w:pPr>
            <w:r>
              <w:rPr>
                <w:rFonts w:hint="eastAsia" w:ascii="宋体" w:hAnsi="宋体"/>
                <w:color w:val="auto"/>
                <w:sz w:val="24"/>
              </w:rPr>
              <w:t>1</w:t>
            </w:r>
          </w:p>
        </w:tc>
        <w:tc>
          <w:tcPr>
            <w:tcW w:w="323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658492D">
            <w:pPr>
              <w:jc w:val="center"/>
              <w:rPr>
                <w:rFonts w:hint="eastAsia" w:ascii="宋体" w:hAnsi="宋体" w:eastAsia="宋体"/>
                <w:color w:val="auto"/>
                <w:sz w:val="24"/>
                <w:lang w:eastAsia="zh-CN"/>
              </w:rPr>
            </w:pPr>
            <w:r>
              <w:rPr>
                <w:rFonts w:hint="eastAsia" w:ascii="宋体" w:hAnsi="宋体"/>
                <w:color w:val="auto"/>
                <w:sz w:val="24"/>
                <w:lang w:eastAsia="zh-CN"/>
              </w:rPr>
              <w:t>2025年北干街道机关工会疗休养服务采购项目</w:t>
            </w:r>
          </w:p>
        </w:tc>
        <w:tc>
          <w:tcPr>
            <w:tcW w:w="196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4F5028F">
            <w:pPr>
              <w:jc w:val="center"/>
              <w:rPr>
                <w:rFonts w:ascii="宋体" w:hAnsi="宋体"/>
                <w:color w:val="auto"/>
                <w:sz w:val="24"/>
              </w:rPr>
            </w:pPr>
            <w:r>
              <w:rPr>
                <w:rFonts w:hint="eastAsia" w:ascii="宋体" w:hAnsi="宋体"/>
                <w:color w:val="auto"/>
                <w:sz w:val="24"/>
              </w:rPr>
              <w:t>详见交易需求</w:t>
            </w:r>
          </w:p>
        </w:tc>
        <w:tc>
          <w:tcPr>
            <w:tcW w:w="9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7D92E9">
            <w:pPr>
              <w:jc w:val="center"/>
              <w:rPr>
                <w:rFonts w:ascii="宋体" w:hAnsi="宋体"/>
                <w:color w:val="auto"/>
                <w:sz w:val="24"/>
              </w:rPr>
            </w:pPr>
            <w:r>
              <w:rPr>
                <w:rFonts w:hint="eastAsia" w:ascii="宋体" w:hAnsi="宋体"/>
                <w:color w:val="auto"/>
                <w:sz w:val="24"/>
              </w:rPr>
              <w:t>项</w:t>
            </w:r>
          </w:p>
        </w:tc>
        <w:tc>
          <w:tcPr>
            <w:tcW w:w="100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683F32D">
            <w:pPr>
              <w:jc w:val="center"/>
              <w:rPr>
                <w:rFonts w:ascii="宋体" w:hAnsi="宋体"/>
                <w:color w:val="auto"/>
                <w:sz w:val="24"/>
              </w:rPr>
            </w:pPr>
            <w:r>
              <w:rPr>
                <w:rFonts w:hint="eastAsia" w:ascii="宋体" w:hAnsi="宋体"/>
                <w:color w:val="auto"/>
                <w:sz w:val="24"/>
              </w:rPr>
              <w:t>1</w:t>
            </w:r>
          </w:p>
        </w:tc>
        <w:tc>
          <w:tcPr>
            <w:tcW w:w="956" w:type="dxa"/>
            <w:tcBorders>
              <w:top w:val="single" w:color="auto" w:sz="4" w:space="0"/>
              <w:left w:val="nil"/>
              <w:bottom w:val="single" w:color="auto" w:sz="4" w:space="0"/>
              <w:right w:val="single" w:color="auto" w:sz="4" w:space="0"/>
            </w:tcBorders>
            <w:noWrap/>
            <w:vAlign w:val="center"/>
          </w:tcPr>
          <w:p w14:paraId="4F0BD77B">
            <w:pPr>
              <w:jc w:val="center"/>
              <w:rPr>
                <w:rFonts w:ascii="宋体" w:hAnsi="宋体"/>
                <w:color w:val="auto"/>
                <w:sz w:val="24"/>
              </w:rPr>
            </w:pPr>
            <w:r>
              <w:rPr>
                <w:rFonts w:hint="eastAsia" w:ascii="宋体" w:hAnsi="宋体"/>
                <w:color w:val="auto"/>
                <w:sz w:val="24"/>
              </w:rPr>
              <w:t>详见交易需求</w:t>
            </w:r>
          </w:p>
        </w:tc>
      </w:tr>
    </w:tbl>
    <w:p w14:paraId="67E165C1">
      <w:pPr>
        <w:numPr>
          <w:ilvl w:val="0"/>
          <w:numId w:val="0"/>
        </w:numPr>
        <w:spacing w:line="360" w:lineRule="auto"/>
        <w:ind w:leftChars="0"/>
        <w:jc w:val="center"/>
        <w:rPr>
          <w:rFonts w:hint="eastAsia" w:ascii="宋体" w:hAnsi="宋体" w:eastAsia="宋体" w:cs="宋体"/>
          <w:b/>
          <w:color w:val="auto"/>
          <w:sz w:val="28"/>
          <w:szCs w:val="28"/>
          <w:highlight w:val="none"/>
          <w:lang w:val="en-US" w:eastAsia="zh-CN"/>
        </w:rPr>
      </w:pPr>
    </w:p>
    <w:p w14:paraId="7B8BEA1F">
      <w:pPr>
        <w:numPr>
          <w:ilvl w:val="0"/>
          <w:numId w:val="0"/>
        </w:numPr>
        <w:spacing w:line="360" w:lineRule="auto"/>
        <w:ind w:left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二、交易</w:t>
      </w:r>
      <w:r>
        <w:rPr>
          <w:rFonts w:hint="eastAsia" w:ascii="宋体" w:hAnsi="宋体" w:eastAsia="宋体" w:cs="宋体"/>
          <w:b/>
          <w:color w:val="auto"/>
          <w:sz w:val="28"/>
          <w:szCs w:val="28"/>
          <w:highlight w:val="none"/>
        </w:rPr>
        <w:t>需求</w:t>
      </w:r>
    </w:p>
    <w:p w14:paraId="65E3DE49">
      <w:pPr>
        <w:keepNext w:val="0"/>
        <w:keepLines w:val="0"/>
        <w:pageBreakBefore w:val="0"/>
        <w:widowControl w:val="0"/>
        <w:kinsoku/>
        <w:wordWrap/>
        <w:overflowPunct/>
        <w:topLinePunct w:val="0"/>
        <w:autoSpaceDE/>
        <w:autoSpaceDN/>
        <w:bidi w:val="0"/>
        <w:adjustRightInd/>
        <w:snapToGrid/>
        <w:spacing w:after="0" w:line="360" w:lineRule="auto"/>
        <w:ind w:left="0" w:right="0" w:firstLine="13"/>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pacing w:val="-2"/>
          <w:sz w:val="24"/>
          <w:szCs w:val="24"/>
          <w:lang w:val="en-US" w:eastAsia="zh-CN"/>
        </w:rPr>
        <w:t>1</w:t>
      </w:r>
      <w:r>
        <w:rPr>
          <w:rFonts w:hint="eastAsia" w:ascii="宋体" w:hAnsi="宋体" w:eastAsia="宋体" w:cs="宋体"/>
          <w:b/>
          <w:bCs/>
          <w:color w:val="000000"/>
          <w:spacing w:val="-2"/>
          <w:sz w:val="24"/>
          <w:szCs w:val="24"/>
        </w:rPr>
        <w:t>、</w:t>
      </w:r>
      <w:r>
        <w:rPr>
          <w:rFonts w:hint="eastAsia" w:ascii="宋体" w:hAnsi="宋体" w:eastAsia="宋体" w:cs="宋体"/>
          <w:b/>
          <w:bCs/>
          <w:color w:val="000000"/>
          <w:spacing w:val="-2"/>
          <w:sz w:val="24"/>
          <w:szCs w:val="24"/>
          <w:lang w:val="en-US" w:eastAsia="zh-CN"/>
        </w:rPr>
        <w:t>项目服务要求</w:t>
      </w:r>
    </w:p>
    <w:p w14:paraId="723B8A0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供应商需在响应文件中提供具体行程、出行方式、就餐标准等具体明细，响应报价根据要求提供每人次的单价。响应单价为供应商综合考虑后的统一单价，不得再有淡季、旺季的价格区别。无论交易人在何时出团，均以响应单价为结算依据。供应商应允许成交后任何线路因报名人数不足或者不可抗力因素的不成团，不成团线路交易人不承担责任。</w:t>
      </w:r>
    </w:p>
    <w:p w14:paraId="2AAEC0C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1、线路安排（具体出行线路由交易人确定，以下线路仅供本次响应报价参考，若遇本次交易参考线路之外的线路方案，由交易人与成交供应商根据疗休养有关规定、实际出行天数、市场价自行协商确定）： </w:t>
      </w:r>
    </w:p>
    <w:p w14:paraId="4381CB86">
      <w:pPr>
        <w:keepNext w:val="0"/>
        <w:keepLines w:val="0"/>
        <w:pageBreakBefore w:val="0"/>
        <w:widowControl/>
        <w:suppressLineNumbers w:val="0"/>
        <w:kinsoku/>
        <w:overflowPunct/>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线路一</w:t>
      </w:r>
      <w:r>
        <w:rPr>
          <w:rFonts w:hint="eastAsia" w:ascii="宋体" w:hAnsi="宋体" w:eastAsia="宋体" w:cs="宋体"/>
          <w:color w:val="000000"/>
          <w:kern w:val="0"/>
          <w:sz w:val="24"/>
          <w:szCs w:val="24"/>
          <w:lang w:val="en-US" w:eastAsia="zh-CN" w:bidi="ar"/>
        </w:rPr>
        <w:t>：新疆阿克苏往返5日疗休养行程</w:t>
      </w:r>
      <w:r>
        <w:rPr>
          <w:rFonts w:hint="eastAsia" w:ascii="宋体" w:hAnsi="宋体" w:eastAsia="宋体" w:cs="宋体"/>
          <w:b/>
          <w:bCs/>
          <w:color w:val="000000"/>
          <w:kern w:val="0"/>
          <w:sz w:val="24"/>
          <w:szCs w:val="24"/>
          <w:lang w:val="en-US" w:eastAsia="zh-CN" w:bidi="ar"/>
        </w:rPr>
        <w:t xml:space="preserve">（费用 3000.00元/人次，不含大交通（火车或飞机）费用） </w:t>
      </w:r>
    </w:p>
    <w:p w14:paraId="3FBB65A2">
      <w:pPr>
        <w:keepNext w:val="0"/>
        <w:keepLines w:val="0"/>
        <w:pageBreakBefore w:val="0"/>
        <w:widowControl/>
        <w:suppressLineNumbers w:val="0"/>
        <w:kinsoku/>
        <w:overflowPunct/>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线路二</w:t>
      </w:r>
      <w:r>
        <w:rPr>
          <w:rFonts w:hint="eastAsia" w:ascii="宋体" w:hAnsi="宋体" w:eastAsia="宋体" w:cs="宋体"/>
          <w:color w:val="000000"/>
          <w:kern w:val="0"/>
          <w:sz w:val="24"/>
          <w:szCs w:val="24"/>
          <w:lang w:val="en-US" w:eastAsia="zh-CN" w:bidi="ar"/>
        </w:rPr>
        <w:t>：金华往返5日疗休养行程</w:t>
      </w:r>
      <w:r>
        <w:rPr>
          <w:rFonts w:hint="eastAsia" w:ascii="宋体" w:hAnsi="宋体" w:eastAsia="宋体" w:cs="宋体"/>
          <w:b/>
          <w:bCs/>
          <w:color w:val="000000"/>
          <w:kern w:val="0"/>
          <w:sz w:val="24"/>
          <w:szCs w:val="24"/>
          <w:lang w:val="en-US" w:eastAsia="zh-CN" w:bidi="ar"/>
        </w:rPr>
        <w:t xml:space="preserve">（费用 3000.00 元/人次） </w:t>
      </w:r>
    </w:p>
    <w:p w14:paraId="391E2AE7">
      <w:pPr>
        <w:keepNext w:val="0"/>
        <w:keepLines w:val="0"/>
        <w:pageBreakBefore w:val="0"/>
        <w:widowControl/>
        <w:suppressLineNumbers w:val="0"/>
        <w:kinsoku/>
        <w:overflowPunct/>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线路三</w:t>
      </w:r>
      <w:r>
        <w:rPr>
          <w:rFonts w:hint="eastAsia" w:ascii="宋体" w:hAnsi="宋体" w:eastAsia="宋体" w:cs="宋体"/>
          <w:color w:val="000000"/>
          <w:kern w:val="0"/>
          <w:sz w:val="24"/>
          <w:szCs w:val="24"/>
          <w:lang w:val="en-US" w:eastAsia="zh-CN" w:bidi="ar"/>
        </w:rPr>
        <w:t>：嵊泗往返5日疗休养行程</w:t>
      </w:r>
      <w:r>
        <w:rPr>
          <w:rFonts w:hint="eastAsia" w:ascii="宋体" w:hAnsi="宋体" w:eastAsia="宋体" w:cs="宋体"/>
          <w:b/>
          <w:bCs/>
          <w:color w:val="000000"/>
          <w:kern w:val="0"/>
          <w:sz w:val="24"/>
          <w:szCs w:val="24"/>
          <w:lang w:val="en-US" w:eastAsia="zh-CN" w:bidi="ar"/>
        </w:rPr>
        <w:t xml:space="preserve">（费用 3000.00 元/人次） </w:t>
      </w:r>
    </w:p>
    <w:p w14:paraId="13E2C7C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行程自拟，安排能够体验各区域的名胜及民俗风情。 </w:t>
      </w:r>
    </w:p>
    <w:p w14:paraId="2EFBB03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大交通费用说明：浙江省外新疆阿克苏为除往返目的地大交通费即飞机、火车外，票管理网站购买，若通过其他购买途径，则需低于政府采购机票管理网站的当日价格信息，报销时附政府采购机票管理网站当天机票截图价格信息）。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响应报价包括供应商完成本项目所需的一切费用，包括但不限于：交通费（含燃油费、过路费、景点交通费等）、购买交通车票服务费、住宿费、伙食费、景点门票、导游费、保险费及涉及的其他所有费用、税金。要求不进任何购物店,不组织任何自费项目。为保障疗休养服务品质，供应商在报价时需考虑安排省外 100 元/人，省内 200 元/人作为临时零星小额服务经费（主要用来购买水果、应对高原反应药品用具、临时 加餐等），此项费用包含在响应报价内，供应商自行考虑相关报价风险。本项目各供应商按照以上线路报价，最终服务过程包括但不仅限于以上线路，各供应商自行承担报价风险。 </w:t>
      </w:r>
    </w:p>
    <w:p w14:paraId="6D1F283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3、出行安排，根据批准的时间为准，每批次人数根据报名情况确定批次。出行日期以实际为准。 </w:t>
      </w:r>
    </w:p>
    <w:p w14:paraId="2FF99D1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4、用车要求：汽车统一为全程空调旅游车（3 年内购置），必须保证每人一正座（座位按人数 1：1.2 比例配备）要求车况好，冷暖空调效果好，车内整洁、明亮，司机必须安全行车 5 年或以上且无重大安全事故和严重交通违规记录，车上需配备晕车药和一次性塑料袋。 </w:t>
      </w:r>
    </w:p>
    <w:p w14:paraId="571922B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5、住宿：住宿综合环境好，要求挂牌四星或网评四钻以上（含）且设施较好的5年内开业或新装修的酒店（一般标准 2 人间，每批次 5-6 个单间，单间不补差）。要求标注每天住宿酒店的名称、星级和具体地址，不得出现同级酒店字样，如实际接待中，响应的指定酒店无法安排，需要安排高一级酒店。 </w:t>
      </w:r>
    </w:p>
    <w:p w14:paraId="7013D23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6、餐饮：早餐为酒店早餐，中餐不低于 </w:t>
      </w:r>
      <w:r>
        <w:rPr>
          <w:rFonts w:hint="eastAsia" w:ascii="宋体" w:hAnsi="宋体" w:cs="宋体"/>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0 元/人，晚餐不低于</w:t>
      </w:r>
      <w:r>
        <w:rPr>
          <w:rFonts w:hint="eastAsia" w:ascii="宋体" w:hAnsi="宋体" w:cs="宋体"/>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 xml:space="preserve">0 元/人，餐厅必须有接待资质、环境好的饭店就餐，允许团队等额退餐，自己点菜。中晚餐每桌提供一瓶可乐一瓶雪碧（均为 5 升）。 </w:t>
      </w:r>
    </w:p>
    <w:p w14:paraId="02E142D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7、要求全程提供持证全陪导游服务（全陪导游须持有导游证 3 年以上，出团前 1周提交疗休养方审核），专职景区讲解服务。 </w:t>
      </w:r>
    </w:p>
    <w:p w14:paraId="74A25BB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8、要求为参加休养职工提供每人每天 2 瓶矿泉水、每晚提供水果。 </w:t>
      </w:r>
    </w:p>
    <w:p w14:paraId="5D0D65A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9、保险：购买疗休养过程中的各类保险（包括：旅行社责任险，旅游意外伤害保险、交通意外险等），做到应保则保，响应文件中应说明具体险种和单人保额。其中，旅行社责任险不少于 100 万元/人、旅游安全人身意外伤害保险不少于 100 万元/人。实际实施过程中，旅行社必须提供每批休养人员购买保险的原始凭证的复印件给交易人。 </w:t>
      </w:r>
    </w:p>
    <w:p w14:paraId="5D01A37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10、出发前，每人一个背包，其中内含疗养行程 1 份、注意事项 1 份、口罩、小点心等。 </w:t>
      </w:r>
    </w:p>
    <w:p w14:paraId="4D38E05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11、针对疗休养活动中可能发生的突发状况、意外情况等（如：投诉、纠纷、安全事故等），供应商须制定周密、可靠的安全保障和突发事件应急预案，确保在各种情况下参团人员的人身及财产安全，供应商应在响应文件中提供详细说明。</w:t>
      </w:r>
    </w:p>
    <w:p w14:paraId="56E857C3">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13" w:leftChars="0" w:right="0" w:rightChars="0" w:firstLine="474" w:firstLineChars="200"/>
        <w:textAlignment w:val="auto"/>
        <w:rPr>
          <w:rFonts w:hint="eastAsia" w:ascii="宋体" w:hAnsi="宋体" w:eastAsia="宋体" w:cs="宋体"/>
          <w:b/>
          <w:bCs/>
          <w:color w:val="000000"/>
          <w:spacing w:val="-2"/>
          <w:sz w:val="24"/>
          <w:szCs w:val="24"/>
          <w:lang w:eastAsia="zh-CN"/>
        </w:rPr>
      </w:pPr>
      <w:r>
        <w:rPr>
          <w:rFonts w:hint="eastAsia" w:ascii="宋体" w:hAnsi="宋体" w:eastAsia="宋体" w:cs="宋体"/>
          <w:b/>
          <w:bCs/>
          <w:color w:val="000000"/>
          <w:spacing w:val="-2"/>
          <w:sz w:val="24"/>
          <w:szCs w:val="24"/>
          <w:lang w:val="en-US" w:eastAsia="zh-CN"/>
        </w:rPr>
        <w:t>2、商务需求</w:t>
      </w:r>
    </w:p>
    <w:p w14:paraId="53FB572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rPr>
        <w:t>▲</w:t>
      </w:r>
      <w:r>
        <w:rPr>
          <w:rFonts w:hint="eastAsia" w:ascii="宋体" w:hAnsi="宋体" w:eastAsia="宋体" w:cs="宋体"/>
          <w:color w:val="000000"/>
          <w:kern w:val="0"/>
          <w:sz w:val="24"/>
          <w:szCs w:val="24"/>
          <w:lang w:val="en-US" w:eastAsia="zh-CN" w:bidi="ar"/>
        </w:rPr>
        <w:t>2.1 服务期限：具体以交易人实际通知为准。</w:t>
      </w:r>
    </w:p>
    <w:p w14:paraId="2E8DA0B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rPr>
        <w:t>▲</w:t>
      </w:r>
      <w:r>
        <w:rPr>
          <w:rFonts w:hint="eastAsia" w:ascii="宋体" w:hAnsi="宋体" w:eastAsia="宋体" w:cs="宋体"/>
          <w:color w:val="000000"/>
          <w:kern w:val="0"/>
          <w:sz w:val="24"/>
          <w:szCs w:val="24"/>
          <w:lang w:val="en-US" w:eastAsia="zh-CN" w:bidi="ar"/>
        </w:rPr>
        <w:t>2.2 服务质量承诺：</w:t>
      </w:r>
    </w:p>
    <w:p w14:paraId="417E820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（1）为确保服务质量及与交易人沟通联络，成交供应商须设置兼职主管，负责对承包项目、范围、服务质量的检查监督及与交易人日常业务联系；</w:t>
      </w:r>
    </w:p>
    <w:p w14:paraId="2CF87EE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（2）成交供应商需提供员工管理服务规范要求及确保服务质量达标的具体措施；</w:t>
      </w:r>
    </w:p>
    <w:p w14:paraId="7DD4221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（3）成交供应商须主动接受交易人的指导、检查、监督及协调；</w:t>
      </w:r>
    </w:p>
    <w:p w14:paraId="4BB1D69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（4）现有服务范围内，由于调整而增加的工作量，不再增加费用；</w:t>
      </w:r>
    </w:p>
    <w:p w14:paraId="1ECF44A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（5）因成交供应商工作人员的失误造成的损失由成交供应商负责。</w:t>
      </w:r>
    </w:p>
    <w:p w14:paraId="0EF9CF7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（6）成交供应商员工在工作及服务期间发生的一切安全事故由成交供应商负责，与交易人无关。</w:t>
      </w:r>
    </w:p>
    <w:p w14:paraId="30EB53E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w:t>
      </w:r>
      <w:r>
        <w:rPr>
          <w:rFonts w:hint="eastAsia" w:ascii="宋体" w:hAnsi="宋体" w:eastAsia="宋体" w:cs="宋体"/>
          <w:color w:val="000000"/>
          <w:kern w:val="0"/>
          <w:sz w:val="24"/>
          <w:szCs w:val="24"/>
          <w:highlight w:val="none"/>
          <w:lang w:val="en-US" w:eastAsia="zh-CN" w:bidi="ar"/>
        </w:rPr>
        <w:t>2.3 付款方式</w:t>
      </w:r>
    </w:p>
    <w:p w14:paraId="1A2FE06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每批疗休养结束前进行满意度测评，满意度85%(好)及以上的全额支付</w:t>
      </w:r>
      <w:r>
        <w:rPr>
          <w:rFonts w:hint="eastAsia" w:ascii="宋体" w:hAnsi="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低于85%(一般)的，扣当批疗养费用的10%</w:t>
      </w:r>
      <w:r>
        <w:rPr>
          <w:rFonts w:hint="eastAsia" w:ascii="宋体" w:hAnsi="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低于75%(差)的，扣当批疗养费用的20%，低于65%(很差)的，扣当批疗养费用的30%。</w:t>
      </w:r>
    </w:p>
    <w:p w14:paraId="12685CF7">
      <w:pPr>
        <w:keepNext w:val="0"/>
        <w:keepLines w:val="0"/>
        <w:pageBreakBefore w:val="0"/>
        <w:kinsoku/>
        <w:wordWrap/>
        <w:overflowPunct/>
        <w:topLinePunct w:val="0"/>
        <w:autoSpaceDE/>
        <w:autoSpaceDN/>
        <w:bidi w:val="0"/>
        <w:snapToGrid w:val="0"/>
        <w:spacing w:line="360" w:lineRule="auto"/>
        <w:ind w:left="0" w:leftChars="0" w:firstLine="241" w:firstLineChars="100"/>
        <w:jc w:val="left"/>
        <w:textAlignment w:val="auto"/>
        <w:rPr>
          <w:rFonts w:hint="eastAsia" w:ascii="宋体" w:hAnsi="宋体" w:cs="宋体"/>
          <w:b/>
          <w:color w:val="auto"/>
          <w:sz w:val="24"/>
        </w:rPr>
      </w:pPr>
      <w:r>
        <w:rPr>
          <w:rFonts w:hint="eastAsia" w:ascii="宋体" w:hAnsi="宋体" w:cs="宋体"/>
          <w:b/>
          <w:color w:val="auto"/>
          <w:sz w:val="24"/>
        </w:rPr>
        <w:t>注：交易文件中打▲内容为实质性要求，不允许有负偏离，否则将以涉及无效响应条款作无效响应。</w:t>
      </w:r>
      <w:bookmarkStart w:id="13" w:name="_Toc310443605"/>
      <w:bookmarkEnd w:id="13"/>
      <w:bookmarkStart w:id="14" w:name="_Toc471471971"/>
      <w:bookmarkEnd w:id="14"/>
      <w:bookmarkStart w:id="15" w:name="_Toc40893860"/>
      <w:bookmarkEnd w:id="15"/>
      <w:bookmarkStart w:id="16" w:name="_Toc456339248"/>
      <w:bookmarkEnd w:id="16"/>
      <w:bookmarkStart w:id="17" w:name="_Toc448429858"/>
      <w:bookmarkEnd w:id="17"/>
      <w:bookmarkStart w:id="18" w:name="_Toc13021"/>
      <w:bookmarkEnd w:id="18"/>
      <w:bookmarkStart w:id="19" w:name="_Toc310424142"/>
      <w:bookmarkEnd w:id="19"/>
      <w:bookmarkStart w:id="20" w:name="_Toc310782778"/>
      <w:bookmarkEnd w:id="20"/>
      <w:bookmarkStart w:id="21" w:name="_Toc456339246"/>
      <w:bookmarkEnd w:id="21"/>
      <w:bookmarkStart w:id="22" w:name="_Toc359011861"/>
      <w:bookmarkEnd w:id="22"/>
      <w:bookmarkStart w:id="23" w:name="_Toc40893862"/>
      <w:bookmarkEnd w:id="23"/>
      <w:bookmarkStart w:id="24" w:name="_Toc310522583"/>
      <w:bookmarkEnd w:id="24"/>
      <w:bookmarkStart w:id="25" w:name="_Toc359011859"/>
      <w:bookmarkEnd w:id="25"/>
      <w:bookmarkStart w:id="26" w:name="_Toc310624257"/>
      <w:bookmarkEnd w:id="26"/>
      <w:bookmarkStart w:id="27" w:name="_Toc309222184"/>
      <w:bookmarkEnd w:id="27"/>
      <w:bookmarkStart w:id="28" w:name="_Toc483036495"/>
      <w:bookmarkEnd w:id="28"/>
      <w:bookmarkStart w:id="29" w:name="_Toc354344586"/>
      <w:bookmarkEnd w:id="29"/>
      <w:bookmarkStart w:id="30" w:name="_Toc448429856"/>
      <w:bookmarkEnd w:id="30"/>
      <w:bookmarkStart w:id="31" w:name="_Toc355460780"/>
      <w:bookmarkEnd w:id="31"/>
    </w:p>
    <w:p w14:paraId="2C9EC7A5">
      <w:pPr>
        <w:snapToGrid w:val="0"/>
        <w:spacing w:line="440" w:lineRule="exact"/>
        <w:ind w:left="0" w:leftChars="0" w:firstLine="241" w:firstLineChars="100"/>
        <w:jc w:val="left"/>
        <w:rPr>
          <w:rFonts w:hint="eastAsia" w:ascii="宋体" w:hAnsi="宋体" w:cs="宋体"/>
          <w:b/>
          <w:color w:val="auto"/>
          <w:sz w:val="24"/>
          <w:szCs w:val="24"/>
        </w:rPr>
      </w:pPr>
    </w:p>
    <w:p w14:paraId="3C0D4481">
      <w:pPr>
        <w:jc w:val="center"/>
        <w:rPr>
          <w:rFonts w:hint="eastAsia" w:ascii="宋体" w:hAnsi="宋体" w:cs="宋体"/>
          <w:b/>
          <w:color w:val="auto"/>
          <w:sz w:val="36"/>
          <w:szCs w:val="36"/>
        </w:rPr>
      </w:pPr>
    </w:p>
    <w:p w14:paraId="58821B6F">
      <w:pPr>
        <w:jc w:val="center"/>
        <w:rPr>
          <w:rFonts w:hint="eastAsia" w:ascii="宋体" w:hAnsi="宋体" w:cs="宋体"/>
          <w:b/>
          <w:color w:val="auto"/>
          <w:sz w:val="36"/>
          <w:szCs w:val="36"/>
        </w:rPr>
      </w:pPr>
    </w:p>
    <w:p w14:paraId="61CF4346">
      <w:pPr>
        <w:jc w:val="center"/>
        <w:rPr>
          <w:rFonts w:hint="eastAsia" w:ascii="宋体" w:hAnsi="宋体" w:cs="宋体"/>
          <w:b/>
          <w:color w:val="auto"/>
          <w:sz w:val="36"/>
          <w:szCs w:val="36"/>
        </w:rPr>
      </w:pPr>
    </w:p>
    <w:p w14:paraId="11BC1529">
      <w:pPr>
        <w:jc w:val="center"/>
        <w:rPr>
          <w:rFonts w:hint="eastAsia" w:ascii="宋体" w:hAnsi="宋体" w:cs="宋体"/>
          <w:b/>
          <w:color w:val="auto"/>
          <w:sz w:val="36"/>
          <w:szCs w:val="36"/>
        </w:rPr>
      </w:pPr>
    </w:p>
    <w:p w14:paraId="22784B2E">
      <w:pPr>
        <w:jc w:val="center"/>
        <w:rPr>
          <w:rFonts w:hint="eastAsia" w:ascii="宋体" w:hAnsi="宋体" w:cs="宋体"/>
          <w:b/>
          <w:color w:val="auto"/>
          <w:sz w:val="36"/>
          <w:szCs w:val="36"/>
        </w:rPr>
      </w:pPr>
    </w:p>
    <w:p w14:paraId="4D7E845F">
      <w:pPr>
        <w:jc w:val="center"/>
        <w:rPr>
          <w:rFonts w:hint="eastAsia" w:ascii="宋体" w:hAnsi="宋体" w:cs="宋体"/>
          <w:b/>
          <w:color w:val="auto"/>
          <w:sz w:val="36"/>
          <w:szCs w:val="36"/>
        </w:rPr>
      </w:pPr>
    </w:p>
    <w:p w14:paraId="477B231C">
      <w:pPr>
        <w:jc w:val="center"/>
        <w:rPr>
          <w:rFonts w:hint="eastAsia" w:ascii="宋体" w:hAnsi="宋体" w:cs="宋体"/>
          <w:b/>
          <w:color w:val="auto"/>
          <w:sz w:val="36"/>
          <w:szCs w:val="36"/>
        </w:rPr>
      </w:pPr>
    </w:p>
    <w:p w14:paraId="6BC11D09">
      <w:pPr>
        <w:rPr>
          <w:rFonts w:hint="eastAsia" w:ascii="宋体" w:hAnsi="宋体" w:cs="宋体"/>
          <w:b/>
          <w:color w:val="auto"/>
          <w:sz w:val="36"/>
          <w:szCs w:val="36"/>
        </w:rPr>
      </w:pPr>
      <w:r>
        <w:rPr>
          <w:rFonts w:hint="eastAsia" w:ascii="宋体" w:hAnsi="宋体" w:cs="宋体"/>
          <w:b/>
          <w:color w:val="auto"/>
          <w:sz w:val="36"/>
          <w:szCs w:val="36"/>
        </w:rPr>
        <w:br w:type="page"/>
      </w:r>
    </w:p>
    <w:p w14:paraId="5F68C87B">
      <w:pPr>
        <w:jc w:val="center"/>
        <w:rPr>
          <w:rFonts w:ascii="宋体" w:hAnsi="宋体" w:cs="宋体"/>
          <w:b/>
          <w:color w:val="auto"/>
          <w:sz w:val="36"/>
          <w:szCs w:val="36"/>
        </w:rPr>
      </w:pPr>
      <w:r>
        <w:rPr>
          <w:rFonts w:hint="eastAsia" w:ascii="宋体" w:hAnsi="宋体" w:cs="宋体"/>
          <w:b/>
          <w:color w:val="auto"/>
          <w:sz w:val="36"/>
          <w:szCs w:val="36"/>
        </w:rPr>
        <w:t xml:space="preserve">第四部分   </w:t>
      </w:r>
      <w:bookmarkStart w:id="32" w:name="_Toc184308043"/>
      <w:bookmarkEnd w:id="32"/>
      <w:bookmarkStart w:id="33" w:name="_Toc184310322"/>
      <w:bookmarkEnd w:id="33"/>
      <w:bookmarkStart w:id="34" w:name="_Toc184312123"/>
      <w:bookmarkEnd w:id="34"/>
      <w:bookmarkStart w:id="35" w:name="_Toc184308087"/>
      <w:bookmarkEnd w:id="35"/>
      <w:bookmarkStart w:id="36" w:name="_Toc184308039"/>
      <w:bookmarkEnd w:id="36"/>
      <w:bookmarkStart w:id="37" w:name="_Toc184310344"/>
      <w:bookmarkEnd w:id="37"/>
      <w:bookmarkStart w:id="38" w:name="_Toc184308049"/>
      <w:bookmarkEnd w:id="38"/>
      <w:bookmarkStart w:id="39" w:name="_Toc184308103"/>
      <w:bookmarkEnd w:id="39"/>
      <w:bookmarkStart w:id="40" w:name="_Toc184310336"/>
      <w:bookmarkEnd w:id="40"/>
      <w:bookmarkStart w:id="41" w:name="_Toc184314454"/>
      <w:bookmarkEnd w:id="41"/>
      <w:bookmarkStart w:id="42" w:name="_Toc184312132"/>
      <w:bookmarkEnd w:id="42"/>
      <w:bookmarkStart w:id="43" w:name="_Toc184313269"/>
      <w:bookmarkEnd w:id="43"/>
      <w:bookmarkStart w:id="44" w:name="_Toc184313294"/>
      <w:bookmarkEnd w:id="44"/>
      <w:bookmarkStart w:id="45" w:name="_Toc184312116"/>
      <w:bookmarkEnd w:id="45"/>
      <w:bookmarkStart w:id="46" w:name="_Toc184314421"/>
      <w:bookmarkEnd w:id="46"/>
      <w:bookmarkStart w:id="47" w:name="_Toc184312109"/>
      <w:bookmarkEnd w:id="47"/>
      <w:bookmarkStart w:id="48" w:name="_Toc184314411"/>
      <w:bookmarkEnd w:id="48"/>
      <w:bookmarkStart w:id="49" w:name="_Toc184313292"/>
      <w:bookmarkEnd w:id="49"/>
      <w:bookmarkStart w:id="50" w:name="_Toc184312124"/>
      <w:bookmarkEnd w:id="50"/>
      <w:bookmarkStart w:id="51" w:name="_Toc184312080"/>
      <w:bookmarkEnd w:id="51"/>
      <w:bookmarkStart w:id="52" w:name="_Toc184313278"/>
      <w:bookmarkEnd w:id="52"/>
      <w:bookmarkStart w:id="53" w:name="_Toc184312073"/>
      <w:bookmarkEnd w:id="53"/>
      <w:bookmarkStart w:id="54" w:name="_Toc184312101"/>
      <w:bookmarkEnd w:id="54"/>
      <w:bookmarkStart w:id="55" w:name="_Toc184313252"/>
      <w:bookmarkEnd w:id="55"/>
      <w:bookmarkStart w:id="56" w:name="_Toc184313290"/>
      <w:bookmarkEnd w:id="56"/>
      <w:bookmarkStart w:id="57" w:name="_Toc184313298"/>
      <w:bookmarkEnd w:id="57"/>
      <w:bookmarkStart w:id="58" w:name="_Toc184314451"/>
      <w:bookmarkEnd w:id="58"/>
      <w:bookmarkStart w:id="59" w:name="_Toc184312090"/>
      <w:bookmarkEnd w:id="59"/>
      <w:bookmarkStart w:id="60" w:name="_Toc184312099"/>
      <w:bookmarkEnd w:id="60"/>
      <w:bookmarkStart w:id="61" w:name="_Toc184313288"/>
      <w:bookmarkEnd w:id="61"/>
      <w:bookmarkStart w:id="62" w:name="_Toc184310340"/>
      <w:bookmarkEnd w:id="62"/>
      <w:bookmarkStart w:id="63" w:name="_Toc184314466"/>
      <w:bookmarkEnd w:id="63"/>
      <w:bookmarkStart w:id="64" w:name="_Toc184312072"/>
      <w:bookmarkEnd w:id="64"/>
      <w:bookmarkStart w:id="65" w:name="_Toc184312100"/>
      <w:bookmarkEnd w:id="65"/>
      <w:bookmarkStart w:id="66" w:name="_Toc184314427"/>
      <w:bookmarkEnd w:id="66"/>
      <w:bookmarkStart w:id="67" w:name="_Toc184308064"/>
      <w:bookmarkEnd w:id="67"/>
      <w:bookmarkStart w:id="68" w:name="_Toc184308056"/>
      <w:bookmarkEnd w:id="68"/>
      <w:bookmarkStart w:id="69" w:name="_Toc184313249"/>
      <w:bookmarkEnd w:id="69"/>
      <w:bookmarkStart w:id="70" w:name="_Toc184312111"/>
      <w:bookmarkEnd w:id="70"/>
      <w:bookmarkStart w:id="71" w:name="_Toc184313305"/>
      <w:bookmarkEnd w:id="71"/>
      <w:bookmarkStart w:id="72" w:name="_Toc184312089"/>
      <w:bookmarkEnd w:id="72"/>
      <w:bookmarkStart w:id="73" w:name="_Toc184308104"/>
      <w:bookmarkEnd w:id="73"/>
      <w:bookmarkStart w:id="74" w:name="_Toc184313286"/>
      <w:bookmarkEnd w:id="74"/>
      <w:bookmarkStart w:id="75" w:name="_Toc184314430"/>
      <w:bookmarkEnd w:id="75"/>
      <w:bookmarkStart w:id="76" w:name="_Toc184313250"/>
      <w:bookmarkEnd w:id="76"/>
      <w:bookmarkStart w:id="77" w:name="_Toc184314442"/>
      <w:bookmarkEnd w:id="77"/>
      <w:bookmarkStart w:id="78" w:name="_Toc184313246"/>
      <w:bookmarkEnd w:id="78"/>
      <w:bookmarkStart w:id="79" w:name="_Toc184310273"/>
      <w:bookmarkEnd w:id="79"/>
      <w:bookmarkStart w:id="80" w:name="_Toc184310285"/>
      <w:bookmarkEnd w:id="80"/>
      <w:bookmarkStart w:id="81" w:name="_Toc184308053"/>
      <w:bookmarkEnd w:id="81"/>
      <w:bookmarkStart w:id="82" w:name="_Toc184312081"/>
      <w:bookmarkEnd w:id="82"/>
      <w:bookmarkStart w:id="83" w:name="_Toc184308036"/>
      <w:bookmarkEnd w:id="83"/>
      <w:bookmarkStart w:id="84" w:name="_Toc184313263"/>
      <w:bookmarkEnd w:id="84"/>
      <w:bookmarkStart w:id="85" w:name="_Toc184312136"/>
      <w:bookmarkEnd w:id="85"/>
      <w:bookmarkStart w:id="86" w:name="_Toc184308100"/>
      <w:bookmarkEnd w:id="86"/>
      <w:bookmarkStart w:id="87" w:name="_Toc184312088"/>
      <w:bookmarkEnd w:id="87"/>
      <w:bookmarkStart w:id="88" w:name="_Toc184310335"/>
      <w:bookmarkEnd w:id="88"/>
      <w:bookmarkStart w:id="89" w:name="_Toc184313273"/>
      <w:bookmarkEnd w:id="89"/>
      <w:bookmarkStart w:id="90" w:name="_Toc184314410"/>
      <w:bookmarkEnd w:id="90"/>
      <w:bookmarkStart w:id="91" w:name="_Toc184312096"/>
      <w:bookmarkEnd w:id="91"/>
      <w:bookmarkStart w:id="92" w:name="_Toc184308061"/>
      <w:bookmarkEnd w:id="92"/>
      <w:bookmarkStart w:id="93" w:name="_Toc184314450"/>
      <w:bookmarkEnd w:id="93"/>
      <w:bookmarkStart w:id="94" w:name="_Toc184308047"/>
      <w:bookmarkEnd w:id="94"/>
      <w:bookmarkStart w:id="95" w:name="_Toc184310280"/>
      <w:bookmarkEnd w:id="95"/>
      <w:bookmarkStart w:id="96" w:name="_Toc184314414"/>
      <w:bookmarkEnd w:id="96"/>
      <w:bookmarkStart w:id="97" w:name="_Toc184313306"/>
      <w:bookmarkEnd w:id="97"/>
      <w:bookmarkStart w:id="98" w:name="_Toc184314447"/>
      <w:bookmarkEnd w:id="98"/>
      <w:bookmarkStart w:id="99" w:name="_Toc184313287"/>
      <w:bookmarkEnd w:id="99"/>
      <w:bookmarkStart w:id="100" w:name="_Toc184312082"/>
      <w:bookmarkEnd w:id="100"/>
      <w:bookmarkStart w:id="101" w:name="_Toc184313280"/>
      <w:bookmarkEnd w:id="101"/>
      <w:bookmarkStart w:id="102" w:name="_Toc184312113"/>
      <w:bookmarkEnd w:id="102"/>
      <w:bookmarkStart w:id="103" w:name="_Toc184313251"/>
      <w:bookmarkEnd w:id="103"/>
      <w:bookmarkStart w:id="104" w:name="_Toc184313240"/>
      <w:bookmarkEnd w:id="104"/>
      <w:bookmarkStart w:id="105" w:name="_Toc184308048"/>
      <w:bookmarkEnd w:id="105"/>
      <w:bookmarkStart w:id="106" w:name="_Toc184308081"/>
      <w:bookmarkEnd w:id="106"/>
      <w:bookmarkStart w:id="107" w:name="_Toc184314455"/>
      <w:bookmarkEnd w:id="107"/>
      <w:bookmarkStart w:id="108" w:name="_Toc184308084"/>
      <w:bookmarkEnd w:id="108"/>
      <w:bookmarkStart w:id="109" w:name="_Toc184310304"/>
      <w:bookmarkEnd w:id="109"/>
      <w:bookmarkStart w:id="110" w:name="_Toc184314431"/>
      <w:bookmarkEnd w:id="110"/>
      <w:bookmarkStart w:id="111" w:name="_Toc184310342"/>
      <w:bookmarkEnd w:id="111"/>
      <w:bookmarkStart w:id="112" w:name="_Toc184313260"/>
      <w:bookmarkEnd w:id="112"/>
      <w:bookmarkStart w:id="113" w:name="_Toc184313307"/>
      <w:bookmarkEnd w:id="113"/>
      <w:bookmarkStart w:id="114" w:name="_Toc184314428"/>
      <w:bookmarkEnd w:id="114"/>
      <w:bookmarkStart w:id="115" w:name="_Toc184314476"/>
      <w:bookmarkEnd w:id="115"/>
      <w:bookmarkStart w:id="116" w:name="_Toc184312125"/>
      <w:bookmarkEnd w:id="116"/>
      <w:bookmarkStart w:id="117" w:name="_Toc184313279"/>
      <w:bookmarkEnd w:id="117"/>
      <w:bookmarkStart w:id="118" w:name="_Toc184314446"/>
      <w:bookmarkEnd w:id="118"/>
      <w:bookmarkStart w:id="119" w:name="_Toc184314425"/>
      <w:bookmarkEnd w:id="119"/>
      <w:bookmarkStart w:id="120" w:name="_Toc184310276"/>
      <w:bookmarkEnd w:id="120"/>
      <w:bookmarkStart w:id="121" w:name="_Toc184310299"/>
      <w:bookmarkEnd w:id="121"/>
      <w:bookmarkStart w:id="122" w:name="_Toc184314457"/>
      <w:bookmarkEnd w:id="122"/>
      <w:bookmarkStart w:id="123" w:name="_Toc184314456"/>
      <w:bookmarkEnd w:id="123"/>
      <w:bookmarkStart w:id="124" w:name="_Toc184310278"/>
      <w:bookmarkEnd w:id="124"/>
      <w:bookmarkStart w:id="125" w:name="_Toc184313256"/>
      <w:bookmarkEnd w:id="125"/>
      <w:bookmarkStart w:id="126" w:name="_Toc184308062"/>
      <w:bookmarkEnd w:id="126"/>
      <w:bookmarkStart w:id="127" w:name="_Toc184313285"/>
      <w:bookmarkEnd w:id="127"/>
      <w:bookmarkStart w:id="128" w:name="_Toc184314444"/>
      <w:bookmarkEnd w:id="128"/>
      <w:bookmarkStart w:id="129" w:name="_Toc184313258"/>
      <w:bookmarkEnd w:id="129"/>
      <w:bookmarkStart w:id="130" w:name="_Toc184308086"/>
      <w:bookmarkEnd w:id="130"/>
      <w:bookmarkStart w:id="131" w:name="_Toc184312117"/>
      <w:bookmarkEnd w:id="131"/>
      <w:bookmarkStart w:id="132" w:name="_Toc184314478"/>
      <w:bookmarkEnd w:id="132"/>
      <w:bookmarkStart w:id="133" w:name="_Toc184314465"/>
      <w:bookmarkEnd w:id="133"/>
      <w:bookmarkStart w:id="134" w:name="_Toc184313264"/>
      <w:bookmarkEnd w:id="134"/>
      <w:bookmarkStart w:id="135" w:name="_Toc184310330"/>
      <w:bookmarkEnd w:id="135"/>
      <w:bookmarkStart w:id="136" w:name="_Toc184310312"/>
      <w:bookmarkEnd w:id="136"/>
      <w:bookmarkStart w:id="137" w:name="_Toc184310339"/>
      <w:bookmarkEnd w:id="137"/>
      <w:bookmarkStart w:id="138" w:name="_Toc184308075"/>
      <w:bookmarkEnd w:id="138"/>
      <w:bookmarkStart w:id="139" w:name="_Toc184313284"/>
      <w:bookmarkEnd w:id="139"/>
      <w:bookmarkStart w:id="140" w:name="_Toc184314435"/>
      <w:bookmarkEnd w:id="140"/>
      <w:bookmarkStart w:id="141" w:name="_Toc184314412"/>
      <w:bookmarkEnd w:id="141"/>
      <w:bookmarkStart w:id="142" w:name="_Toc184310286"/>
      <w:bookmarkEnd w:id="142"/>
      <w:bookmarkStart w:id="143" w:name="_Toc184308067"/>
      <w:bookmarkEnd w:id="143"/>
      <w:bookmarkStart w:id="144" w:name="_Toc184312074"/>
      <w:bookmarkEnd w:id="144"/>
      <w:bookmarkStart w:id="145" w:name="_Toc184313265"/>
      <w:bookmarkEnd w:id="145"/>
      <w:bookmarkStart w:id="146" w:name="_Toc184314481"/>
      <w:bookmarkEnd w:id="146"/>
      <w:bookmarkStart w:id="147" w:name="_Toc184308102"/>
      <w:bookmarkEnd w:id="147"/>
      <w:bookmarkStart w:id="148" w:name="_Toc184313304"/>
      <w:bookmarkEnd w:id="148"/>
      <w:bookmarkStart w:id="149" w:name="_Toc184314449"/>
      <w:bookmarkEnd w:id="149"/>
      <w:bookmarkStart w:id="150" w:name="_Toc184313238"/>
      <w:bookmarkEnd w:id="150"/>
      <w:bookmarkStart w:id="151" w:name="_Toc184314441"/>
      <w:bookmarkEnd w:id="151"/>
      <w:bookmarkStart w:id="152" w:name="_Toc184308065"/>
      <w:bookmarkEnd w:id="152"/>
      <w:bookmarkStart w:id="153" w:name="_Toc184308105"/>
      <w:bookmarkEnd w:id="153"/>
      <w:bookmarkStart w:id="154" w:name="_Toc184310316"/>
      <w:bookmarkEnd w:id="154"/>
      <w:bookmarkStart w:id="155" w:name="_Toc184312130"/>
      <w:bookmarkEnd w:id="155"/>
      <w:bookmarkStart w:id="156" w:name="_Toc184312121"/>
      <w:bookmarkEnd w:id="156"/>
      <w:bookmarkStart w:id="157" w:name="_Toc184310327"/>
      <w:bookmarkEnd w:id="157"/>
      <w:bookmarkStart w:id="158" w:name="_Toc184310315"/>
      <w:bookmarkEnd w:id="158"/>
      <w:bookmarkStart w:id="159" w:name="_Toc184308050"/>
      <w:bookmarkEnd w:id="159"/>
      <w:bookmarkStart w:id="160" w:name="_Toc184310298"/>
      <w:bookmarkEnd w:id="160"/>
      <w:bookmarkStart w:id="161" w:name="_Toc184310314"/>
      <w:bookmarkEnd w:id="161"/>
      <w:bookmarkStart w:id="162" w:name="_Toc184312120"/>
      <w:bookmarkEnd w:id="162"/>
      <w:bookmarkStart w:id="163" w:name="_Toc184310279"/>
      <w:bookmarkEnd w:id="163"/>
      <w:bookmarkStart w:id="164" w:name="_Toc184312127"/>
      <w:bookmarkEnd w:id="164"/>
      <w:bookmarkStart w:id="165" w:name="_Toc184313281"/>
      <w:bookmarkEnd w:id="165"/>
      <w:bookmarkStart w:id="166" w:name="_Toc184308074"/>
      <w:bookmarkEnd w:id="166"/>
      <w:bookmarkStart w:id="167" w:name="_Toc184310309"/>
      <w:bookmarkEnd w:id="167"/>
      <w:bookmarkStart w:id="168" w:name="_Toc184314424"/>
      <w:bookmarkEnd w:id="168"/>
      <w:bookmarkStart w:id="169" w:name="_Toc184310313"/>
      <w:bookmarkEnd w:id="169"/>
      <w:bookmarkStart w:id="170" w:name="_Toc184310323"/>
      <w:bookmarkEnd w:id="170"/>
      <w:bookmarkStart w:id="171" w:name="_Toc184313276"/>
      <w:bookmarkEnd w:id="171"/>
      <w:bookmarkStart w:id="172" w:name="_Toc184313277"/>
      <w:bookmarkEnd w:id="172"/>
      <w:bookmarkStart w:id="173" w:name="_Toc184313257"/>
      <w:bookmarkEnd w:id="173"/>
      <w:bookmarkStart w:id="174" w:name="_Toc184313270"/>
      <w:bookmarkEnd w:id="174"/>
      <w:bookmarkStart w:id="175" w:name="_Toc184314423"/>
      <w:bookmarkEnd w:id="175"/>
      <w:bookmarkStart w:id="176" w:name="_Toc184308088"/>
      <w:bookmarkEnd w:id="176"/>
      <w:bookmarkStart w:id="177" w:name="_Toc184312097"/>
      <w:bookmarkEnd w:id="177"/>
      <w:bookmarkStart w:id="178" w:name="_Toc184314452"/>
      <w:bookmarkEnd w:id="178"/>
      <w:bookmarkStart w:id="179" w:name="_Toc184310337"/>
      <w:bookmarkEnd w:id="179"/>
      <w:bookmarkStart w:id="180" w:name="_Toc184310320"/>
      <w:bookmarkEnd w:id="180"/>
      <w:bookmarkStart w:id="181" w:name="_Toc184313266"/>
      <w:bookmarkEnd w:id="181"/>
      <w:bookmarkStart w:id="182" w:name="_Toc184313282"/>
      <w:bookmarkEnd w:id="182"/>
      <w:bookmarkStart w:id="183" w:name="_Toc184310326"/>
      <w:bookmarkEnd w:id="183"/>
      <w:bookmarkStart w:id="184" w:name="_Toc184310294"/>
      <w:bookmarkEnd w:id="184"/>
      <w:bookmarkStart w:id="185" w:name="_Toc184313241"/>
      <w:bookmarkEnd w:id="185"/>
      <w:bookmarkStart w:id="186" w:name="_Toc184308072"/>
      <w:bookmarkEnd w:id="186"/>
      <w:bookmarkStart w:id="187" w:name="_Toc184310321"/>
      <w:bookmarkEnd w:id="187"/>
      <w:bookmarkStart w:id="188" w:name="_Toc184313309"/>
      <w:bookmarkEnd w:id="188"/>
      <w:bookmarkStart w:id="189" w:name="_Toc184312105"/>
      <w:bookmarkEnd w:id="189"/>
      <w:bookmarkStart w:id="190" w:name="_Toc184312069"/>
      <w:bookmarkEnd w:id="190"/>
      <w:bookmarkStart w:id="191" w:name="_Toc184312087"/>
      <w:bookmarkEnd w:id="191"/>
      <w:bookmarkStart w:id="192" w:name="_Toc184313271"/>
      <w:bookmarkEnd w:id="192"/>
      <w:bookmarkStart w:id="193" w:name="_Toc184312094"/>
      <w:bookmarkEnd w:id="193"/>
      <w:bookmarkStart w:id="194" w:name="_Toc184310292"/>
      <w:bookmarkEnd w:id="194"/>
      <w:bookmarkStart w:id="195" w:name="_Toc184308095"/>
      <w:bookmarkEnd w:id="195"/>
      <w:bookmarkStart w:id="196" w:name="_Toc184314418"/>
      <w:bookmarkEnd w:id="196"/>
      <w:bookmarkStart w:id="197" w:name="_Toc184314482"/>
      <w:bookmarkEnd w:id="197"/>
      <w:bookmarkStart w:id="198" w:name="_Toc184308099"/>
      <w:bookmarkEnd w:id="198"/>
      <w:bookmarkStart w:id="199" w:name="_Toc184310289"/>
      <w:bookmarkEnd w:id="199"/>
      <w:bookmarkStart w:id="200" w:name="_Toc184314471"/>
      <w:bookmarkEnd w:id="200"/>
      <w:bookmarkStart w:id="201" w:name="_Toc184313308"/>
      <w:bookmarkEnd w:id="201"/>
      <w:bookmarkStart w:id="202" w:name="_Toc184308098"/>
      <w:bookmarkEnd w:id="202"/>
      <w:bookmarkStart w:id="203" w:name="_Toc184312092"/>
      <w:bookmarkEnd w:id="203"/>
      <w:bookmarkStart w:id="204" w:name="_Toc184313283"/>
      <w:bookmarkEnd w:id="204"/>
      <w:bookmarkStart w:id="205" w:name="_Toc184310287"/>
      <w:bookmarkEnd w:id="205"/>
      <w:bookmarkStart w:id="206" w:name="_Toc184313267"/>
      <w:bookmarkEnd w:id="206"/>
      <w:bookmarkStart w:id="207" w:name="_Toc184308076"/>
      <w:bookmarkEnd w:id="207"/>
      <w:bookmarkStart w:id="208" w:name="_Toc184314453"/>
      <w:bookmarkEnd w:id="208"/>
      <w:bookmarkStart w:id="209" w:name="_Toc184314468"/>
      <w:bookmarkEnd w:id="209"/>
      <w:bookmarkStart w:id="210" w:name="_Toc184314422"/>
      <w:bookmarkEnd w:id="210"/>
      <w:bookmarkStart w:id="211" w:name="_Toc184310324"/>
      <w:bookmarkEnd w:id="211"/>
      <w:bookmarkStart w:id="212" w:name="_Toc184313248"/>
      <w:bookmarkEnd w:id="212"/>
      <w:bookmarkStart w:id="213" w:name="_Toc184314420"/>
      <w:bookmarkEnd w:id="213"/>
      <w:bookmarkStart w:id="214" w:name="_Toc184312112"/>
      <w:bookmarkEnd w:id="214"/>
      <w:bookmarkStart w:id="215" w:name="_Toc184310332"/>
      <w:bookmarkEnd w:id="215"/>
      <w:bookmarkStart w:id="216" w:name="_Toc184312138"/>
      <w:bookmarkEnd w:id="216"/>
      <w:bookmarkStart w:id="217" w:name="_Toc184313244"/>
      <w:bookmarkEnd w:id="217"/>
      <w:bookmarkStart w:id="218" w:name="_Toc184310338"/>
      <w:bookmarkEnd w:id="218"/>
      <w:bookmarkStart w:id="219" w:name="_Toc184312106"/>
      <w:bookmarkEnd w:id="219"/>
      <w:bookmarkStart w:id="220" w:name="_Toc184312075"/>
      <w:bookmarkEnd w:id="220"/>
      <w:bookmarkStart w:id="221" w:name="_Toc184308060"/>
      <w:bookmarkEnd w:id="221"/>
      <w:bookmarkStart w:id="222" w:name="_Toc184314419"/>
      <w:bookmarkEnd w:id="222"/>
      <w:bookmarkStart w:id="223" w:name="_Toc184310300"/>
      <w:bookmarkEnd w:id="223"/>
      <w:bookmarkStart w:id="224" w:name="_Toc184314434"/>
      <w:bookmarkEnd w:id="224"/>
      <w:bookmarkStart w:id="225" w:name="_Toc184312118"/>
      <w:bookmarkEnd w:id="225"/>
      <w:bookmarkStart w:id="226" w:name="_Toc184313272"/>
      <w:bookmarkEnd w:id="226"/>
      <w:bookmarkStart w:id="227" w:name="_Toc184312093"/>
      <w:bookmarkEnd w:id="227"/>
      <w:bookmarkStart w:id="228" w:name="_Toc184312085"/>
      <w:bookmarkEnd w:id="228"/>
      <w:bookmarkStart w:id="229" w:name="_Toc184314417"/>
      <w:bookmarkEnd w:id="229"/>
      <w:bookmarkStart w:id="230" w:name="_Toc184310281"/>
      <w:bookmarkEnd w:id="230"/>
      <w:bookmarkStart w:id="231" w:name="_Toc184312115"/>
      <w:bookmarkEnd w:id="231"/>
      <w:bookmarkStart w:id="232" w:name="_Toc184314460"/>
      <w:bookmarkEnd w:id="232"/>
      <w:bookmarkStart w:id="233" w:name="_Toc184308091"/>
      <w:bookmarkEnd w:id="233"/>
      <w:bookmarkStart w:id="234" w:name="_Toc184314477"/>
      <w:bookmarkEnd w:id="234"/>
      <w:bookmarkStart w:id="235" w:name="_Toc184310331"/>
      <w:bookmarkEnd w:id="235"/>
      <w:bookmarkStart w:id="236" w:name="_Toc184308085"/>
      <w:bookmarkEnd w:id="236"/>
      <w:bookmarkStart w:id="237" w:name="_Toc184314413"/>
      <w:bookmarkEnd w:id="237"/>
      <w:bookmarkStart w:id="238" w:name="_Toc184312091"/>
      <w:bookmarkEnd w:id="238"/>
      <w:bookmarkStart w:id="239" w:name="_Toc184308077"/>
      <w:bookmarkEnd w:id="239"/>
      <w:bookmarkStart w:id="240" w:name="_Toc184314436"/>
      <w:bookmarkEnd w:id="240"/>
      <w:bookmarkStart w:id="241" w:name="_Toc184310277"/>
      <w:bookmarkEnd w:id="241"/>
      <w:bookmarkStart w:id="242" w:name="_Toc184312126"/>
      <w:bookmarkEnd w:id="242"/>
      <w:bookmarkStart w:id="243" w:name="_Toc184308089"/>
      <w:bookmarkEnd w:id="243"/>
      <w:bookmarkStart w:id="244" w:name="_Toc184312076"/>
      <w:bookmarkEnd w:id="244"/>
      <w:bookmarkStart w:id="245" w:name="_Toc184308042"/>
      <w:bookmarkEnd w:id="245"/>
      <w:bookmarkStart w:id="246" w:name="_Toc184310291"/>
      <w:bookmarkEnd w:id="246"/>
      <w:bookmarkStart w:id="247" w:name="_Toc184312137"/>
      <w:bookmarkEnd w:id="247"/>
      <w:bookmarkStart w:id="248" w:name="_Toc184314461"/>
      <w:bookmarkEnd w:id="248"/>
      <w:bookmarkStart w:id="249" w:name="_Toc184312084"/>
      <w:bookmarkEnd w:id="249"/>
      <w:bookmarkStart w:id="250" w:name="_Toc184308068"/>
      <w:bookmarkEnd w:id="250"/>
      <w:bookmarkStart w:id="251" w:name="_Toc184308096"/>
      <w:bookmarkEnd w:id="251"/>
      <w:bookmarkStart w:id="252" w:name="_Toc184308040"/>
      <w:bookmarkEnd w:id="252"/>
      <w:bookmarkStart w:id="253" w:name="_Toc184310343"/>
      <w:bookmarkEnd w:id="253"/>
      <w:bookmarkStart w:id="254" w:name="_Toc184308038"/>
      <w:bookmarkEnd w:id="254"/>
      <w:bookmarkStart w:id="255" w:name="_Toc184314416"/>
      <w:bookmarkEnd w:id="255"/>
      <w:bookmarkStart w:id="256" w:name="_Toc184312071"/>
      <w:bookmarkEnd w:id="256"/>
      <w:bookmarkStart w:id="257" w:name="_Toc184310311"/>
      <w:bookmarkEnd w:id="257"/>
      <w:bookmarkStart w:id="258" w:name="_Toc184312067"/>
      <w:bookmarkEnd w:id="258"/>
      <w:bookmarkStart w:id="259" w:name="_Toc184312131"/>
      <w:bookmarkEnd w:id="259"/>
      <w:bookmarkStart w:id="260" w:name="_Toc184310274"/>
      <w:bookmarkEnd w:id="260"/>
      <w:bookmarkStart w:id="261" w:name="_Toc184313302"/>
      <w:bookmarkEnd w:id="261"/>
      <w:bookmarkStart w:id="262" w:name="_Toc184310307"/>
      <w:bookmarkEnd w:id="262"/>
      <w:bookmarkStart w:id="263" w:name="_Toc184308071"/>
      <w:bookmarkEnd w:id="263"/>
      <w:bookmarkStart w:id="264" w:name="_Toc184310297"/>
      <w:bookmarkEnd w:id="264"/>
      <w:bookmarkStart w:id="265" w:name="_Toc184312122"/>
      <w:bookmarkEnd w:id="265"/>
      <w:bookmarkStart w:id="266" w:name="_Toc184314440"/>
      <w:bookmarkEnd w:id="266"/>
      <w:bookmarkStart w:id="267" w:name="_Toc184314448"/>
      <w:bookmarkEnd w:id="267"/>
      <w:bookmarkStart w:id="268" w:name="_Toc184314462"/>
      <w:bookmarkEnd w:id="268"/>
      <w:bookmarkStart w:id="269" w:name="_Toc184312108"/>
      <w:bookmarkEnd w:id="269"/>
      <w:bookmarkStart w:id="270" w:name="_Toc184313303"/>
      <w:bookmarkEnd w:id="270"/>
      <w:bookmarkStart w:id="271" w:name="_Toc184314429"/>
      <w:bookmarkEnd w:id="271"/>
      <w:bookmarkStart w:id="272" w:name="_Toc184314415"/>
      <w:bookmarkEnd w:id="272"/>
      <w:bookmarkStart w:id="273" w:name="_Toc184312086"/>
      <w:bookmarkEnd w:id="273"/>
      <w:bookmarkStart w:id="274" w:name="_Toc184313301"/>
      <w:bookmarkEnd w:id="274"/>
      <w:bookmarkStart w:id="275" w:name="_Toc184308079"/>
      <w:bookmarkEnd w:id="275"/>
      <w:bookmarkStart w:id="276" w:name="_Toc184308045"/>
      <w:bookmarkEnd w:id="276"/>
      <w:bookmarkStart w:id="277" w:name="_Toc184310328"/>
      <w:bookmarkEnd w:id="277"/>
      <w:bookmarkStart w:id="278" w:name="_Toc184313291"/>
      <w:bookmarkEnd w:id="278"/>
      <w:bookmarkStart w:id="279" w:name="_Toc184313247"/>
      <w:bookmarkEnd w:id="279"/>
      <w:bookmarkStart w:id="280" w:name="_Toc184314463"/>
      <w:bookmarkEnd w:id="280"/>
      <w:bookmarkStart w:id="281" w:name="_Toc184313293"/>
      <w:bookmarkEnd w:id="281"/>
      <w:bookmarkStart w:id="282" w:name="_Toc184308055"/>
      <w:bookmarkEnd w:id="282"/>
      <w:bookmarkStart w:id="283" w:name="_Toc184312102"/>
      <w:bookmarkEnd w:id="283"/>
      <w:bookmarkStart w:id="284" w:name="_Toc184313268"/>
      <w:bookmarkEnd w:id="284"/>
      <w:bookmarkStart w:id="285" w:name="_Toc184308094"/>
      <w:bookmarkEnd w:id="285"/>
      <w:bookmarkStart w:id="286" w:name="_Toc184313243"/>
      <w:bookmarkEnd w:id="286"/>
      <w:bookmarkStart w:id="287" w:name="_Toc184313259"/>
      <w:bookmarkEnd w:id="287"/>
      <w:bookmarkStart w:id="288" w:name="_Toc184313275"/>
      <w:bookmarkEnd w:id="288"/>
      <w:bookmarkStart w:id="289" w:name="_Toc184314445"/>
      <w:bookmarkEnd w:id="289"/>
      <w:bookmarkStart w:id="290" w:name="_Toc184314474"/>
      <w:bookmarkEnd w:id="290"/>
      <w:bookmarkStart w:id="291" w:name="_Toc184308080"/>
      <w:bookmarkEnd w:id="291"/>
      <w:bookmarkStart w:id="292" w:name="_Toc184314480"/>
      <w:bookmarkEnd w:id="292"/>
      <w:bookmarkStart w:id="293" w:name="_Toc184308070"/>
      <w:bookmarkEnd w:id="293"/>
      <w:bookmarkStart w:id="294" w:name="_Toc184310295"/>
      <w:bookmarkEnd w:id="294"/>
      <w:bookmarkStart w:id="295" w:name="_Toc184310301"/>
      <w:bookmarkEnd w:id="295"/>
      <w:bookmarkStart w:id="296" w:name="_Toc184313254"/>
      <w:bookmarkEnd w:id="296"/>
      <w:bookmarkStart w:id="297" w:name="_Toc184310334"/>
      <w:bookmarkEnd w:id="297"/>
      <w:bookmarkStart w:id="298" w:name="_Toc184310283"/>
      <w:bookmarkEnd w:id="298"/>
      <w:bookmarkStart w:id="299" w:name="_Toc184310329"/>
      <w:bookmarkEnd w:id="299"/>
      <w:bookmarkStart w:id="300" w:name="_Toc184313262"/>
      <w:bookmarkEnd w:id="300"/>
      <w:bookmarkStart w:id="301" w:name="_Toc184308046"/>
      <w:bookmarkEnd w:id="301"/>
      <w:bookmarkStart w:id="302" w:name="_Toc184312068"/>
      <w:bookmarkEnd w:id="302"/>
      <w:bookmarkStart w:id="303" w:name="_Toc184314437"/>
      <w:bookmarkEnd w:id="303"/>
      <w:bookmarkStart w:id="304" w:name="_Toc184312114"/>
      <w:bookmarkEnd w:id="304"/>
      <w:bookmarkStart w:id="305" w:name="_Toc184308044"/>
      <w:bookmarkEnd w:id="305"/>
      <w:bookmarkStart w:id="306" w:name="_Toc184313261"/>
      <w:bookmarkEnd w:id="306"/>
      <w:bookmarkStart w:id="307" w:name="_Toc184310317"/>
      <w:bookmarkEnd w:id="307"/>
      <w:bookmarkStart w:id="308" w:name="_Toc184308101"/>
      <w:bookmarkEnd w:id="308"/>
      <w:bookmarkStart w:id="309" w:name="_Toc184310282"/>
      <w:bookmarkEnd w:id="309"/>
      <w:bookmarkStart w:id="310" w:name="_Toc184308069"/>
      <w:bookmarkEnd w:id="310"/>
      <w:bookmarkStart w:id="311" w:name="_Toc184312129"/>
      <w:bookmarkEnd w:id="311"/>
      <w:bookmarkStart w:id="312" w:name="_Toc184312103"/>
      <w:bookmarkEnd w:id="312"/>
      <w:bookmarkStart w:id="313" w:name="_Toc184314438"/>
      <w:bookmarkEnd w:id="313"/>
      <w:bookmarkStart w:id="314" w:name="_Toc184310275"/>
      <w:bookmarkEnd w:id="314"/>
      <w:bookmarkStart w:id="315" w:name="_Toc184308041"/>
      <w:bookmarkEnd w:id="315"/>
      <w:bookmarkStart w:id="316" w:name="_Toc184308106"/>
      <w:bookmarkEnd w:id="316"/>
      <w:bookmarkStart w:id="317" w:name="_Toc184314470"/>
      <w:bookmarkEnd w:id="317"/>
      <w:bookmarkStart w:id="318" w:name="_Toc184308057"/>
      <w:bookmarkEnd w:id="318"/>
      <w:bookmarkStart w:id="319" w:name="_Toc184313297"/>
      <w:bookmarkEnd w:id="319"/>
      <w:bookmarkStart w:id="320" w:name="_Toc184313239"/>
      <w:bookmarkEnd w:id="320"/>
      <w:bookmarkStart w:id="321" w:name="_Toc184310341"/>
      <w:bookmarkEnd w:id="321"/>
      <w:bookmarkStart w:id="322" w:name="_Toc184313245"/>
      <w:bookmarkEnd w:id="322"/>
      <w:bookmarkStart w:id="323" w:name="_Toc184314459"/>
      <w:bookmarkEnd w:id="323"/>
      <w:bookmarkStart w:id="324" w:name="_Toc184312079"/>
      <w:bookmarkEnd w:id="324"/>
      <w:bookmarkStart w:id="325" w:name="_Toc184308083"/>
      <w:bookmarkEnd w:id="325"/>
      <w:bookmarkStart w:id="326" w:name="_Toc184308052"/>
      <w:bookmarkEnd w:id="326"/>
      <w:bookmarkStart w:id="327" w:name="_Toc184310302"/>
      <w:bookmarkEnd w:id="327"/>
      <w:bookmarkStart w:id="328" w:name="_Toc184312133"/>
      <w:bookmarkEnd w:id="328"/>
      <w:bookmarkStart w:id="329" w:name="_Toc184313300"/>
      <w:bookmarkEnd w:id="329"/>
      <w:bookmarkStart w:id="330" w:name="_Toc184308059"/>
      <w:bookmarkEnd w:id="330"/>
      <w:bookmarkStart w:id="331" w:name="_Toc184314426"/>
      <w:bookmarkEnd w:id="331"/>
      <w:bookmarkStart w:id="332" w:name="_Toc184310305"/>
      <w:bookmarkEnd w:id="332"/>
      <w:bookmarkStart w:id="333" w:name="_Toc184310303"/>
      <w:bookmarkEnd w:id="333"/>
      <w:bookmarkStart w:id="334" w:name="_Toc184308078"/>
      <w:bookmarkEnd w:id="334"/>
      <w:bookmarkStart w:id="335" w:name="_Toc184312107"/>
      <w:bookmarkEnd w:id="335"/>
      <w:bookmarkStart w:id="336" w:name="_Toc184310296"/>
      <w:bookmarkEnd w:id="336"/>
      <w:bookmarkStart w:id="337" w:name="_Toc184310272"/>
      <w:bookmarkEnd w:id="337"/>
      <w:bookmarkStart w:id="338" w:name="_Toc184308092"/>
      <w:bookmarkEnd w:id="338"/>
      <w:bookmarkStart w:id="339" w:name="_Toc184313274"/>
      <w:bookmarkEnd w:id="339"/>
      <w:bookmarkStart w:id="340" w:name="_Toc184312139"/>
      <w:bookmarkEnd w:id="340"/>
      <w:bookmarkStart w:id="341" w:name="_Toc184308108"/>
      <w:bookmarkEnd w:id="341"/>
      <w:bookmarkStart w:id="342" w:name="_Toc184310325"/>
      <w:bookmarkEnd w:id="342"/>
      <w:bookmarkStart w:id="343" w:name="_Toc184308058"/>
      <w:bookmarkEnd w:id="343"/>
      <w:bookmarkStart w:id="344" w:name="_Toc184308073"/>
      <w:bookmarkEnd w:id="344"/>
      <w:bookmarkStart w:id="345" w:name="_Toc184310288"/>
      <w:bookmarkEnd w:id="345"/>
      <w:bookmarkStart w:id="346" w:name="_Toc184308090"/>
      <w:bookmarkEnd w:id="346"/>
      <w:bookmarkStart w:id="347" w:name="_Toc184313255"/>
      <w:bookmarkEnd w:id="347"/>
      <w:bookmarkStart w:id="348" w:name="_Toc184308082"/>
      <w:bookmarkEnd w:id="348"/>
      <w:bookmarkStart w:id="349" w:name="_Toc184312095"/>
      <w:bookmarkEnd w:id="349"/>
      <w:bookmarkStart w:id="350" w:name="_Toc184312077"/>
      <w:bookmarkEnd w:id="350"/>
      <w:bookmarkStart w:id="351" w:name="_Toc184312128"/>
      <w:bookmarkEnd w:id="351"/>
      <w:bookmarkStart w:id="352" w:name="_Toc184312110"/>
      <w:bookmarkEnd w:id="352"/>
      <w:bookmarkStart w:id="353" w:name="_Toc184310308"/>
      <w:bookmarkEnd w:id="353"/>
      <w:bookmarkStart w:id="354" w:name="_Toc184308066"/>
      <w:bookmarkEnd w:id="354"/>
      <w:bookmarkStart w:id="355" w:name="_Toc184310333"/>
      <w:bookmarkEnd w:id="355"/>
      <w:bookmarkStart w:id="356" w:name="_Toc184313289"/>
      <w:bookmarkEnd w:id="356"/>
      <w:bookmarkStart w:id="357" w:name="_Toc184314472"/>
      <w:bookmarkEnd w:id="357"/>
      <w:bookmarkStart w:id="358" w:name="_Toc184310293"/>
      <w:bookmarkEnd w:id="358"/>
      <w:bookmarkStart w:id="359" w:name="_Toc184313242"/>
      <w:bookmarkEnd w:id="359"/>
      <w:bookmarkStart w:id="360" w:name="_Toc184314443"/>
      <w:bookmarkEnd w:id="360"/>
      <w:bookmarkStart w:id="361" w:name="_Toc184310319"/>
      <w:bookmarkEnd w:id="361"/>
      <w:bookmarkStart w:id="362" w:name="_Toc184313295"/>
      <w:bookmarkEnd w:id="362"/>
      <w:bookmarkStart w:id="363" w:name="_Toc184314479"/>
      <w:bookmarkEnd w:id="363"/>
      <w:bookmarkStart w:id="364" w:name="_Toc184313310"/>
      <w:bookmarkEnd w:id="364"/>
      <w:bookmarkStart w:id="365" w:name="_Toc184308093"/>
      <w:bookmarkEnd w:id="365"/>
      <w:bookmarkStart w:id="366" w:name="_Toc184314467"/>
      <w:bookmarkEnd w:id="366"/>
      <w:bookmarkStart w:id="367" w:name="_Toc184314464"/>
      <w:bookmarkEnd w:id="367"/>
      <w:bookmarkStart w:id="368" w:name="_Toc184312098"/>
      <w:bookmarkEnd w:id="368"/>
      <w:bookmarkStart w:id="369" w:name="_Toc184308107"/>
      <w:bookmarkEnd w:id="369"/>
      <w:bookmarkStart w:id="370" w:name="_Toc184314432"/>
      <w:bookmarkEnd w:id="370"/>
      <w:bookmarkStart w:id="371" w:name="_Toc184308037"/>
      <w:bookmarkEnd w:id="371"/>
      <w:bookmarkStart w:id="372" w:name="_Toc184308097"/>
      <w:bookmarkEnd w:id="372"/>
      <w:bookmarkStart w:id="373" w:name="_Toc184310284"/>
      <w:bookmarkEnd w:id="373"/>
      <w:bookmarkStart w:id="374" w:name="_Toc184314439"/>
      <w:bookmarkEnd w:id="374"/>
      <w:bookmarkStart w:id="375" w:name="_Toc184312083"/>
      <w:bookmarkEnd w:id="375"/>
      <w:bookmarkStart w:id="376" w:name="_Toc184314458"/>
      <w:bookmarkEnd w:id="376"/>
      <w:bookmarkStart w:id="377" w:name="_Toc184310306"/>
      <w:bookmarkEnd w:id="377"/>
      <w:bookmarkStart w:id="378" w:name="_Toc184312135"/>
      <w:bookmarkEnd w:id="378"/>
      <w:bookmarkStart w:id="379" w:name="_Toc184314473"/>
      <w:bookmarkEnd w:id="379"/>
      <w:bookmarkStart w:id="380" w:name="_Toc184312134"/>
      <w:bookmarkEnd w:id="380"/>
      <w:bookmarkStart w:id="381" w:name="_Toc184308051"/>
      <w:bookmarkEnd w:id="381"/>
      <w:bookmarkStart w:id="382" w:name="_Toc184308054"/>
      <w:bookmarkEnd w:id="382"/>
      <w:bookmarkStart w:id="383" w:name="_Toc184310318"/>
      <w:bookmarkEnd w:id="383"/>
      <w:bookmarkStart w:id="384" w:name="_Toc184310310"/>
      <w:bookmarkEnd w:id="384"/>
      <w:bookmarkStart w:id="385" w:name="_Toc184312104"/>
      <w:bookmarkEnd w:id="385"/>
      <w:bookmarkStart w:id="386" w:name="_Toc184310290"/>
      <w:bookmarkEnd w:id="386"/>
      <w:bookmarkStart w:id="387" w:name="_Toc184312119"/>
      <w:bookmarkEnd w:id="387"/>
      <w:bookmarkStart w:id="388" w:name="_Toc184312070"/>
      <w:bookmarkEnd w:id="388"/>
      <w:bookmarkStart w:id="389" w:name="_Toc184313299"/>
      <w:bookmarkEnd w:id="389"/>
      <w:bookmarkStart w:id="390" w:name="_Toc184314475"/>
      <w:bookmarkEnd w:id="390"/>
      <w:bookmarkStart w:id="391" w:name="_Toc184313296"/>
      <w:bookmarkEnd w:id="391"/>
      <w:bookmarkStart w:id="392" w:name="_Toc184314433"/>
      <w:bookmarkEnd w:id="392"/>
      <w:bookmarkStart w:id="393" w:name="_Toc184308063"/>
      <w:bookmarkEnd w:id="393"/>
      <w:bookmarkStart w:id="394" w:name="_Toc184313253"/>
      <w:bookmarkEnd w:id="394"/>
      <w:bookmarkStart w:id="395" w:name="_Toc184314469"/>
      <w:bookmarkEnd w:id="395"/>
      <w:bookmarkStart w:id="396" w:name="_Toc184312078"/>
      <w:bookmarkEnd w:id="396"/>
      <w:r>
        <w:rPr>
          <w:rFonts w:hint="eastAsia" w:ascii="宋体" w:hAnsi="宋体" w:cs="宋体"/>
          <w:b/>
          <w:color w:val="auto"/>
          <w:sz w:val="36"/>
          <w:szCs w:val="36"/>
        </w:rPr>
        <w:t>评审办法</w:t>
      </w:r>
    </w:p>
    <w:p w14:paraId="44227093">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评审办法前附表</w:t>
      </w:r>
    </w:p>
    <w:p w14:paraId="3C845FEC">
      <w:pPr>
        <w:widowControl/>
        <w:numPr>
          <w:ilvl w:val="0"/>
          <w:numId w:val="0"/>
        </w:numPr>
        <w:spacing w:line="360" w:lineRule="auto"/>
        <w:rPr>
          <w:rFonts w:hint="eastAsia" w:ascii="宋体" w:hAnsi="宋体" w:eastAsia="宋体" w:cs="宋体"/>
          <w:color w:val="auto"/>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商务</w:t>
      </w:r>
      <w:r>
        <w:rPr>
          <w:rFonts w:hint="eastAsia" w:ascii="宋体" w:hAnsi="宋体" w:cs="宋体"/>
          <w:b/>
          <w:bCs/>
          <w:color w:val="auto"/>
          <w:sz w:val="24"/>
          <w:highlight w:val="none"/>
          <w:lang w:val="en-US" w:eastAsia="zh-CN"/>
        </w:rPr>
        <w:t>资信分</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17</w:t>
      </w:r>
      <w:r>
        <w:rPr>
          <w:rFonts w:hint="eastAsia" w:ascii="宋体" w:hAnsi="宋体" w:eastAsia="宋体" w:cs="宋体"/>
          <w:b/>
          <w:bCs/>
          <w:color w:val="auto"/>
          <w:sz w:val="24"/>
          <w:highlight w:val="none"/>
        </w:rPr>
        <w:t>分）</w:t>
      </w:r>
      <w:r>
        <w:rPr>
          <w:rFonts w:hint="eastAsia" w:ascii="宋体" w:hAnsi="宋体" w:eastAsia="宋体" w:cs="宋体"/>
          <w:b/>
          <w:bCs/>
          <w:color w:val="auto"/>
          <w:sz w:val="24"/>
          <w:highlight w:val="none"/>
          <w:lang w:eastAsia="zh-CN"/>
        </w:rPr>
        <w:t>：</w:t>
      </w:r>
    </w:p>
    <w:tbl>
      <w:tblPr>
        <w:tblStyle w:val="63"/>
        <w:tblW w:w="96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3"/>
        <w:gridCol w:w="665"/>
        <w:gridCol w:w="6291"/>
        <w:gridCol w:w="1012"/>
        <w:gridCol w:w="932"/>
      </w:tblGrid>
      <w:tr w14:paraId="7C7AA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14:paraId="223ADBDF">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r>
              <w:rPr>
                <w:rStyle w:val="969"/>
                <w:rFonts w:hint="eastAsia" w:ascii="宋体" w:hAnsi="宋体" w:eastAsia="宋体" w:cs="宋体"/>
                <w:b w:val="0"/>
                <w:i w:val="0"/>
                <w:caps w:val="0"/>
                <w:color w:val="auto"/>
                <w:spacing w:val="0"/>
                <w:w w:val="100"/>
                <w:kern w:val="2"/>
                <w:sz w:val="24"/>
                <w:szCs w:val="24"/>
                <w:highlight w:val="none"/>
                <w:lang w:val="en-US" w:eastAsia="zh-CN" w:bidi="ar-SA"/>
              </w:rPr>
              <w:t>序号</w:t>
            </w:r>
          </w:p>
        </w:tc>
        <w:tc>
          <w:tcPr>
            <w:tcW w:w="6291" w:type="dxa"/>
            <w:tcBorders>
              <w:top w:val="single" w:color="000000" w:sz="4" w:space="0"/>
              <w:left w:val="single" w:color="000000" w:sz="4" w:space="0"/>
              <w:bottom w:val="single" w:color="000000" w:sz="4" w:space="0"/>
              <w:right w:val="single" w:color="000000" w:sz="4" w:space="0"/>
            </w:tcBorders>
            <w:noWrap w:val="0"/>
            <w:vAlign w:val="center"/>
          </w:tcPr>
          <w:p w14:paraId="33061418">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r>
              <w:rPr>
                <w:rStyle w:val="969"/>
                <w:rFonts w:hint="eastAsia" w:ascii="宋体" w:hAnsi="宋体" w:eastAsia="宋体" w:cs="宋体"/>
                <w:b w:val="0"/>
                <w:i w:val="0"/>
                <w:caps w:val="0"/>
                <w:color w:val="auto"/>
                <w:spacing w:val="0"/>
                <w:w w:val="100"/>
                <w:kern w:val="2"/>
                <w:sz w:val="24"/>
                <w:szCs w:val="24"/>
                <w:highlight w:val="none"/>
                <w:lang w:val="en-US" w:eastAsia="zh-CN" w:bidi="ar-SA"/>
              </w:rPr>
              <w:t>评分内容和标准</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513E172">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r>
              <w:rPr>
                <w:rStyle w:val="969"/>
                <w:rFonts w:hint="eastAsia" w:ascii="宋体" w:hAnsi="宋体" w:eastAsia="宋体" w:cs="宋体"/>
                <w:b w:val="0"/>
                <w:i w:val="0"/>
                <w:caps w:val="0"/>
                <w:color w:val="auto"/>
                <w:spacing w:val="0"/>
                <w:w w:val="100"/>
                <w:kern w:val="2"/>
                <w:sz w:val="24"/>
                <w:szCs w:val="24"/>
                <w:highlight w:val="none"/>
                <w:lang w:val="en-US" w:eastAsia="zh-CN" w:bidi="ar-SA"/>
              </w:rPr>
              <w:t>分值</w:t>
            </w:r>
          </w:p>
          <w:p w14:paraId="6C25E895">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r>
              <w:rPr>
                <w:rStyle w:val="969"/>
                <w:rFonts w:hint="eastAsia" w:ascii="宋体" w:hAnsi="宋体" w:eastAsia="宋体" w:cs="宋体"/>
                <w:b w:val="0"/>
                <w:i w:val="0"/>
                <w:caps w:val="0"/>
                <w:color w:val="auto"/>
                <w:spacing w:val="0"/>
                <w:w w:val="100"/>
                <w:kern w:val="2"/>
                <w:sz w:val="24"/>
                <w:szCs w:val="24"/>
                <w:highlight w:val="none"/>
                <w:lang w:val="en-US" w:eastAsia="zh-CN" w:bidi="ar-SA"/>
              </w:rPr>
              <w:t>区间</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6CAC582">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r>
              <w:rPr>
                <w:rStyle w:val="969"/>
                <w:rFonts w:hint="eastAsia" w:ascii="宋体" w:hAnsi="宋体" w:eastAsia="宋体" w:cs="宋体"/>
                <w:b w:val="0"/>
                <w:i w:val="0"/>
                <w:caps w:val="0"/>
                <w:color w:val="auto"/>
                <w:spacing w:val="0"/>
                <w:w w:val="100"/>
                <w:kern w:val="2"/>
                <w:sz w:val="24"/>
                <w:szCs w:val="24"/>
                <w:highlight w:val="none"/>
                <w:lang w:val="en-US" w:eastAsia="zh-CN" w:bidi="ar-SA"/>
              </w:rPr>
              <w:t>主观分/客观分</w:t>
            </w:r>
          </w:p>
        </w:tc>
      </w:tr>
      <w:tr w14:paraId="22813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63" w:type="dxa"/>
            <w:vMerge w:val="restart"/>
            <w:tcBorders>
              <w:top w:val="single" w:color="000000" w:sz="4" w:space="0"/>
              <w:left w:val="single" w:color="000000" w:sz="4" w:space="0"/>
              <w:right w:val="single" w:color="000000" w:sz="4" w:space="0"/>
            </w:tcBorders>
            <w:noWrap w:val="0"/>
            <w:vAlign w:val="center"/>
          </w:tcPr>
          <w:p w14:paraId="788415CE">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r>
              <w:rPr>
                <w:rStyle w:val="969"/>
                <w:rFonts w:hint="eastAsia" w:ascii="宋体" w:hAnsi="宋体" w:eastAsia="宋体" w:cs="宋体"/>
                <w:b w:val="0"/>
                <w:i w:val="0"/>
                <w:caps w:val="0"/>
                <w:color w:val="auto"/>
                <w:spacing w:val="0"/>
                <w:w w:val="100"/>
                <w:kern w:val="2"/>
                <w:sz w:val="24"/>
                <w:szCs w:val="24"/>
                <w:highlight w:val="none"/>
                <w:lang w:val="en-US" w:eastAsia="zh-CN" w:bidi="ar-SA"/>
              </w:rPr>
              <w:t>商务资信分</w:t>
            </w:r>
          </w:p>
          <w:p w14:paraId="7559BBCB">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left"/>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r>
              <w:rPr>
                <w:rStyle w:val="969"/>
                <w:rFonts w:hint="eastAsia" w:ascii="宋体" w:hAnsi="宋体" w:eastAsia="宋体" w:cs="宋体"/>
                <w:b w:val="0"/>
                <w:i w:val="0"/>
                <w:caps w:val="0"/>
                <w:color w:val="auto"/>
                <w:spacing w:val="0"/>
                <w:w w:val="100"/>
                <w:kern w:val="2"/>
                <w:sz w:val="24"/>
                <w:szCs w:val="24"/>
                <w:highlight w:val="none"/>
                <w:lang w:val="en-US" w:eastAsia="zh-CN" w:bidi="ar-SA"/>
              </w:rPr>
              <w:t>（17分）</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5944733D">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0"/>
                <w:sz w:val="24"/>
                <w:szCs w:val="24"/>
                <w:highlight w:val="none"/>
                <w:lang w:val="en-US" w:eastAsia="zh-CN" w:bidi="ar-SA"/>
              </w:rPr>
            </w:pPr>
            <w:r>
              <w:rPr>
                <w:rStyle w:val="969"/>
                <w:rFonts w:hint="eastAsia" w:ascii="宋体" w:hAnsi="宋体" w:eastAsia="宋体" w:cs="宋体"/>
                <w:b w:val="0"/>
                <w:i w:val="0"/>
                <w:caps w:val="0"/>
                <w:color w:val="auto"/>
                <w:spacing w:val="0"/>
                <w:w w:val="100"/>
                <w:kern w:val="0"/>
                <w:sz w:val="24"/>
                <w:szCs w:val="24"/>
                <w:highlight w:val="none"/>
                <w:lang w:val="en-US" w:eastAsia="zh-CN" w:bidi="ar-SA"/>
              </w:rPr>
              <w:t>1</w:t>
            </w:r>
          </w:p>
        </w:tc>
        <w:tc>
          <w:tcPr>
            <w:tcW w:w="6291" w:type="dxa"/>
            <w:tcBorders>
              <w:top w:val="single" w:color="000000" w:sz="4" w:space="0"/>
              <w:left w:val="single" w:color="000000" w:sz="4" w:space="0"/>
              <w:bottom w:val="single" w:color="000000" w:sz="4" w:space="0"/>
              <w:right w:val="single" w:color="000000" w:sz="4" w:space="0"/>
            </w:tcBorders>
            <w:noWrap w:val="0"/>
            <w:vAlign w:val="center"/>
          </w:tcPr>
          <w:p w14:paraId="5A27E0BD">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left"/>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r>
              <w:rPr>
                <w:rStyle w:val="969"/>
                <w:rFonts w:hint="eastAsia" w:ascii="宋体" w:hAnsi="宋体" w:eastAsia="宋体" w:cs="宋体"/>
                <w:b w:val="0"/>
                <w:i w:val="0"/>
                <w:caps w:val="0"/>
                <w:color w:val="auto"/>
                <w:spacing w:val="0"/>
                <w:w w:val="100"/>
                <w:kern w:val="2"/>
                <w:sz w:val="24"/>
                <w:szCs w:val="24"/>
                <w:highlight w:val="none"/>
                <w:lang w:val="en-US" w:eastAsia="zh-CN" w:bidi="ar-SA"/>
              </w:rPr>
              <w:t>供应商自 2022 年0</w:t>
            </w:r>
            <w:r>
              <w:rPr>
                <w:rStyle w:val="969"/>
                <w:rFonts w:hint="eastAsia" w:ascii="宋体" w:hAnsi="宋体" w:cs="宋体"/>
                <w:b w:val="0"/>
                <w:i w:val="0"/>
                <w:caps w:val="0"/>
                <w:color w:val="auto"/>
                <w:spacing w:val="0"/>
                <w:w w:val="100"/>
                <w:kern w:val="2"/>
                <w:sz w:val="24"/>
                <w:szCs w:val="24"/>
                <w:highlight w:val="none"/>
                <w:lang w:val="en-US" w:eastAsia="zh-CN" w:bidi="ar-SA"/>
              </w:rPr>
              <w:t>6</w:t>
            </w:r>
            <w:r>
              <w:rPr>
                <w:rStyle w:val="969"/>
                <w:rFonts w:hint="eastAsia" w:ascii="宋体" w:hAnsi="宋体" w:eastAsia="宋体" w:cs="宋体"/>
                <w:b w:val="0"/>
                <w:i w:val="0"/>
                <w:caps w:val="0"/>
                <w:color w:val="auto"/>
                <w:spacing w:val="0"/>
                <w:w w:val="100"/>
                <w:kern w:val="2"/>
                <w:sz w:val="24"/>
                <w:szCs w:val="24"/>
                <w:highlight w:val="none"/>
                <w:lang w:val="en-US" w:eastAsia="zh-CN" w:bidi="ar-SA"/>
              </w:rPr>
              <w:t>月1日起具有类似旅游服务项目合同业绩的每个得 0.5 分，最高得 1.5 分。（响应文件中提供合同复印件并加盖公章，不提供不得分）</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3DCCD39">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r>
              <w:rPr>
                <w:rStyle w:val="969"/>
                <w:rFonts w:hint="eastAsia" w:ascii="宋体" w:hAnsi="宋体" w:eastAsia="宋体" w:cs="宋体"/>
                <w:b w:val="0"/>
                <w:i w:val="0"/>
                <w:caps w:val="0"/>
                <w:color w:val="auto"/>
                <w:spacing w:val="0"/>
                <w:w w:val="100"/>
                <w:kern w:val="2"/>
                <w:sz w:val="24"/>
                <w:szCs w:val="24"/>
                <w:highlight w:val="none"/>
                <w:lang w:val="en-US" w:eastAsia="zh-CN" w:bidi="ar-SA"/>
              </w:rPr>
              <w:t>0-1.5分</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D622B80">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r>
              <w:rPr>
                <w:rStyle w:val="969"/>
                <w:rFonts w:hint="eastAsia" w:ascii="宋体" w:hAnsi="宋体" w:eastAsia="宋体" w:cs="宋体"/>
                <w:b w:val="0"/>
                <w:i w:val="0"/>
                <w:caps w:val="0"/>
                <w:color w:val="auto"/>
                <w:spacing w:val="0"/>
                <w:w w:val="100"/>
                <w:kern w:val="2"/>
                <w:sz w:val="24"/>
                <w:szCs w:val="24"/>
                <w:highlight w:val="none"/>
                <w:lang w:val="en-US" w:eastAsia="zh-CN" w:bidi="ar-SA"/>
              </w:rPr>
              <w:t>客观分</w:t>
            </w:r>
          </w:p>
        </w:tc>
      </w:tr>
      <w:tr w14:paraId="17CCF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4" w:hRule="atLeast"/>
          <w:jc w:val="center"/>
        </w:trPr>
        <w:tc>
          <w:tcPr>
            <w:tcW w:w="763" w:type="dxa"/>
            <w:vMerge w:val="continue"/>
            <w:tcBorders>
              <w:left w:val="single" w:color="000000" w:sz="4" w:space="0"/>
              <w:right w:val="single" w:color="000000" w:sz="4" w:space="0"/>
            </w:tcBorders>
            <w:noWrap w:val="0"/>
            <w:vAlign w:val="center"/>
          </w:tcPr>
          <w:p w14:paraId="48975F34">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left"/>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54856AE3">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0"/>
                <w:sz w:val="24"/>
                <w:szCs w:val="24"/>
                <w:highlight w:val="none"/>
                <w:lang w:val="en-US" w:eastAsia="zh-CN" w:bidi="ar-SA"/>
              </w:rPr>
            </w:pPr>
            <w:r>
              <w:rPr>
                <w:rStyle w:val="969"/>
                <w:rFonts w:hint="eastAsia" w:ascii="宋体" w:hAnsi="宋体" w:eastAsia="宋体" w:cs="宋体"/>
                <w:b w:val="0"/>
                <w:i w:val="0"/>
                <w:caps w:val="0"/>
                <w:color w:val="auto"/>
                <w:spacing w:val="0"/>
                <w:w w:val="100"/>
                <w:kern w:val="0"/>
                <w:sz w:val="24"/>
                <w:szCs w:val="24"/>
                <w:highlight w:val="none"/>
                <w:lang w:val="en-US" w:eastAsia="zh-CN" w:bidi="ar-SA"/>
              </w:rPr>
              <w:t>2</w:t>
            </w:r>
          </w:p>
        </w:tc>
        <w:tc>
          <w:tcPr>
            <w:tcW w:w="6291" w:type="dxa"/>
            <w:tcBorders>
              <w:top w:val="single" w:color="000000" w:sz="4" w:space="0"/>
              <w:left w:val="single" w:color="000000" w:sz="4" w:space="0"/>
              <w:bottom w:val="single" w:color="000000" w:sz="4" w:space="0"/>
              <w:right w:val="single" w:color="000000" w:sz="4" w:space="0"/>
            </w:tcBorders>
            <w:noWrap w:val="0"/>
            <w:vAlign w:val="center"/>
          </w:tcPr>
          <w:p w14:paraId="22154AD0">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供应商具有质量保证体系、环境管理体系认证、职业健康安全管理体系认证（证书须在有效期内），每提供一个得1分，本项最高得 3 分。（响应文件中提供</w:t>
            </w:r>
            <w:r>
              <w:rPr>
                <w:rFonts w:hint="eastAsia" w:ascii="宋体" w:hAnsi="宋体" w:eastAsia="宋体" w:cs="宋体"/>
                <w:sz w:val="24"/>
                <w:szCs w:val="24"/>
                <w:highlight w:val="none"/>
                <w:lang w:val="en-US" w:eastAsia="zh-CN"/>
              </w:rPr>
              <w:t>有效的</w:t>
            </w:r>
            <w:r>
              <w:rPr>
                <w:rFonts w:hint="eastAsia" w:ascii="宋体" w:hAnsi="宋体" w:eastAsia="宋体" w:cs="宋体"/>
                <w:sz w:val="24"/>
                <w:szCs w:val="24"/>
                <w:highlight w:val="none"/>
                <w:lang w:eastAsia="zh-CN"/>
              </w:rPr>
              <w:t>复印件</w:t>
            </w:r>
            <w:r>
              <w:rPr>
                <w:rStyle w:val="969"/>
                <w:rFonts w:hint="eastAsia" w:ascii="宋体" w:hAnsi="宋体" w:eastAsia="宋体" w:cs="宋体"/>
                <w:sz w:val="24"/>
                <w:szCs w:val="24"/>
                <w:highlight w:val="none"/>
              </w:rPr>
              <w:t>并加盖公章</w:t>
            </w:r>
            <w:r>
              <w:rPr>
                <w:rFonts w:hint="eastAsia" w:ascii="宋体" w:hAnsi="宋体" w:eastAsia="宋体" w:cs="宋体"/>
                <w:sz w:val="24"/>
                <w:szCs w:val="24"/>
                <w:highlight w:val="none"/>
                <w:lang w:eastAsia="zh-CN"/>
              </w:rPr>
              <w:t>，不提供不得分）</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7ACA723">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r>
              <w:rPr>
                <w:rStyle w:val="969"/>
                <w:rFonts w:hint="eastAsia" w:ascii="宋体" w:hAnsi="宋体" w:eastAsia="宋体" w:cs="宋体"/>
                <w:b w:val="0"/>
                <w:i w:val="0"/>
                <w:caps w:val="0"/>
                <w:color w:val="auto"/>
                <w:spacing w:val="0"/>
                <w:w w:val="100"/>
                <w:kern w:val="2"/>
                <w:sz w:val="24"/>
                <w:szCs w:val="24"/>
                <w:highlight w:val="none"/>
                <w:lang w:val="en-US" w:eastAsia="zh-CN" w:bidi="ar-SA"/>
              </w:rPr>
              <w:t>0-3分</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A787437">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r>
              <w:rPr>
                <w:rStyle w:val="969"/>
                <w:rFonts w:hint="eastAsia" w:ascii="宋体" w:hAnsi="宋体" w:eastAsia="宋体" w:cs="宋体"/>
                <w:b w:val="0"/>
                <w:i w:val="0"/>
                <w:caps w:val="0"/>
                <w:color w:val="auto"/>
                <w:spacing w:val="0"/>
                <w:w w:val="100"/>
                <w:kern w:val="2"/>
                <w:sz w:val="24"/>
                <w:szCs w:val="24"/>
                <w:highlight w:val="none"/>
                <w:lang w:val="en-US" w:eastAsia="zh-CN" w:bidi="ar-SA"/>
              </w:rPr>
              <w:t>客观分</w:t>
            </w:r>
          </w:p>
        </w:tc>
      </w:tr>
      <w:tr w14:paraId="5149A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jc w:val="center"/>
        </w:trPr>
        <w:tc>
          <w:tcPr>
            <w:tcW w:w="763" w:type="dxa"/>
            <w:vMerge w:val="continue"/>
            <w:tcBorders>
              <w:left w:val="single" w:color="000000" w:sz="4" w:space="0"/>
              <w:right w:val="single" w:color="000000" w:sz="4" w:space="0"/>
            </w:tcBorders>
            <w:noWrap w:val="0"/>
            <w:vAlign w:val="center"/>
          </w:tcPr>
          <w:p w14:paraId="78F64947">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left"/>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16664BD5">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0"/>
                <w:sz w:val="24"/>
                <w:szCs w:val="24"/>
                <w:highlight w:val="none"/>
                <w:lang w:val="en-US" w:eastAsia="zh-CN" w:bidi="ar-SA"/>
              </w:rPr>
            </w:pPr>
            <w:r>
              <w:rPr>
                <w:rStyle w:val="969"/>
                <w:rFonts w:hint="eastAsia" w:ascii="宋体" w:hAnsi="宋体" w:eastAsia="宋体" w:cs="宋体"/>
                <w:b w:val="0"/>
                <w:i w:val="0"/>
                <w:caps w:val="0"/>
                <w:color w:val="auto"/>
                <w:spacing w:val="0"/>
                <w:w w:val="100"/>
                <w:kern w:val="0"/>
                <w:sz w:val="24"/>
                <w:szCs w:val="24"/>
                <w:highlight w:val="none"/>
                <w:lang w:val="en-US" w:eastAsia="zh-CN" w:bidi="ar-SA"/>
              </w:rPr>
              <w:t>3</w:t>
            </w:r>
          </w:p>
        </w:tc>
        <w:tc>
          <w:tcPr>
            <w:tcW w:w="6291" w:type="dxa"/>
            <w:tcBorders>
              <w:top w:val="single" w:color="000000" w:sz="4" w:space="0"/>
              <w:left w:val="single" w:color="000000" w:sz="4" w:space="0"/>
              <w:bottom w:val="single" w:color="000000" w:sz="4" w:space="0"/>
              <w:right w:val="single" w:color="000000" w:sz="4" w:space="0"/>
            </w:tcBorders>
            <w:noWrap w:val="0"/>
            <w:vAlign w:val="center"/>
          </w:tcPr>
          <w:p w14:paraId="737AAFE2">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获得旅游行政管理部门认定的三星级旅行社的得 1 分，四星级的得 3 分，五星级的得 5 分。（响应文件中提供</w:t>
            </w:r>
            <w:r>
              <w:rPr>
                <w:rFonts w:hint="eastAsia" w:ascii="宋体" w:hAnsi="宋体" w:eastAsia="宋体" w:cs="宋体"/>
                <w:sz w:val="24"/>
                <w:szCs w:val="24"/>
                <w:highlight w:val="none"/>
                <w:lang w:val="en-US" w:eastAsia="zh-CN"/>
              </w:rPr>
              <w:t>有效的</w:t>
            </w:r>
            <w:r>
              <w:rPr>
                <w:rFonts w:hint="eastAsia" w:ascii="宋体" w:hAnsi="宋体" w:eastAsia="宋体" w:cs="宋体"/>
                <w:sz w:val="24"/>
                <w:szCs w:val="24"/>
                <w:highlight w:val="none"/>
                <w:lang w:eastAsia="zh-CN"/>
              </w:rPr>
              <w:t>复印件</w:t>
            </w:r>
            <w:r>
              <w:rPr>
                <w:rFonts w:hint="eastAsia" w:ascii="宋体" w:hAnsi="宋体" w:eastAsia="宋体" w:cs="宋体"/>
                <w:sz w:val="24"/>
                <w:szCs w:val="24"/>
                <w:highlight w:val="none"/>
                <w:lang w:val="en-US" w:eastAsia="zh-CN"/>
              </w:rPr>
              <w:t>并加盖公章</w:t>
            </w:r>
            <w:r>
              <w:rPr>
                <w:rFonts w:hint="eastAsia" w:ascii="宋体" w:hAnsi="宋体" w:eastAsia="宋体" w:cs="宋体"/>
                <w:sz w:val="24"/>
                <w:szCs w:val="24"/>
                <w:highlight w:val="none"/>
                <w:lang w:eastAsia="zh-CN"/>
              </w:rPr>
              <w:t>，不提供不得分）</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46C1EF35">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r>
              <w:rPr>
                <w:rStyle w:val="969"/>
                <w:rFonts w:hint="eastAsia" w:ascii="宋体" w:hAnsi="宋体" w:eastAsia="宋体" w:cs="宋体"/>
                <w:b w:val="0"/>
                <w:i w:val="0"/>
                <w:caps w:val="0"/>
                <w:color w:val="auto"/>
                <w:spacing w:val="0"/>
                <w:w w:val="100"/>
                <w:kern w:val="2"/>
                <w:sz w:val="24"/>
                <w:szCs w:val="24"/>
                <w:highlight w:val="none"/>
                <w:lang w:val="en-US" w:eastAsia="zh-CN" w:bidi="ar-SA"/>
              </w:rPr>
              <w:t>0-5分</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85B0FEB">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r>
              <w:rPr>
                <w:rStyle w:val="969"/>
                <w:rFonts w:hint="eastAsia" w:ascii="宋体" w:hAnsi="宋体" w:eastAsia="宋体" w:cs="宋体"/>
                <w:b w:val="0"/>
                <w:i w:val="0"/>
                <w:caps w:val="0"/>
                <w:color w:val="auto"/>
                <w:spacing w:val="0"/>
                <w:w w:val="100"/>
                <w:kern w:val="2"/>
                <w:sz w:val="24"/>
                <w:szCs w:val="24"/>
                <w:highlight w:val="none"/>
                <w:lang w:val="en-US" w:eastAsia="zh-CN" w:bidi="ar-SA"/>
              </w:rPr>
              <w:t>客观分</w:t>
            </w:r>
          </w:p>
        </w:tc>
      </w:tr>
      <w:tr w14:paraId="2A751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7" w:hRule="atLeast"/>
          <w:jc w:val="center"/>
        </w:trPr>
        <w:tc>
          <w:tcPr>
            <w:tcW w:w="763" w:type="dxa"/>
            <w:vMerge w:val="continue"/>
            <w:tcBorders>
              <w:left w:val="single" w:color="000000" w:sz="4" w:space="0"/>
              <w:right w:val="single" w:color="000000" w:sz="4" w:space="0"/>
            </w:tcBorders>
            <w:noWrap w:val="0"/>
            <w:vAlign w:val="center"/>
          </w:tcPr>
          <w:p w14:paraId="65AC2A00">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left"/>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3A07968A">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0"/>
                <w:sz w:val="24"/>
                <w:szCs w:val="24"/>
                <w:highlight w:val="none"/>
                <w:lang w:val="en-US" w:eastAsia="zh-CN" w:bidi="ar-SA"/>
              </w:rPr>
            </w:pPr>
            <w:r>
              <w:rPr>
                <w:rStyle w:val="969"/>
                <w:rFonts w:hint="eastAsia" w:ascii="宋体" w:hAnsi="宋体" w:eastAsia="宋体" w:cs="宋体"/>
                <w:b w:val="0"/>
                <w:i w:val="0"/>
                <w:caps w:val="0"/>
                <w:color w:val="auto"/>
                <w:spacing w:val="0"/>
                <w:w w:val="100"/>
                <w:kern w:val="0"/>
                <w:sz w:val="24"/>
                <w:szCs w:val="24"/>
                <w:highlight w:val="none"/>
                <w:lang w:val="en-US" w:eastAsia="zh-CN" w:bidi="ar-SA"/>
              </w:rPr>
              <w:t>4</w:t>
            </w:r>
          </w:p>
        </w:tc>
        <w:tc>
          <w:tcPr>
            <w:tcW w:w="6291" w:type="dxa"/>
            <w:tcBorders>
              <w:top w:val="single" w:color="000000" w:sz="4" w:space="0"/>
              <w:left w:val="single" w:color="000000" w:sz="4" w:space="0"/>
              <w:bottom w:val="single" w:color="000000" w:sz="4" w:space="0"/>
              <w:right w:val="single" w:color="000000" w:sz="4" w:space="0"/>
            </w:tcBorders>
            <w:noWrap w:val="0"/>
            <w:vAlign w:val="center"/>
          </w:tcPr>
          <w:p w14:paraId="7940B886">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根据响应文件中提供的供应商 20</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lang w:eastAsia="zh-CN"/>
              </w:rPr>
              <w:t>年1月1日以来已完成的类似项目获得所服务的交易人满意评价的，每提供 1 份得 0.5分，最高得 1.5 分。（格式不做要求，但须加盖</w:t>
            </w:r>
            <w:r>
              <w:rPr>
                <w:rFonts w:hint="eastAsia" w:ascii="宋体" w:hAnsi="宋体" w:eastAsia="宋体" w:cs="宋体"/>
                <w:sz w:val="24"/>
                <w:szCs w:val="24"/>
                <w:highlight w:val="none"/>
                <w:lang w:val="en-US" w:eastAsia="zh-CN"/>
              </w:rPr>
              <w:t>交易人</w:t>
            </w:r>
            <w:r>
              <w:rPr>
                <w:rFonts w:hint="eastAsia" w:ascii="宋体" w:hAnsi="宋体" w:eastAsia="宋体" w:cs="宋体"/>
                <w:sz w:val="24"/>
                <w:szCs w:val="24"/>
                <w:highlight w:val="none"/>
                <w:lang w:eastAsia="zh-CN"/>
              </w:rPr>
              <w:t>公章）</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F98DF70">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r>
              <w:rPr>
                <w:rStyle w:val="969"/>
                <w:rFonts w:hint="eastAsia" w:ascii="宋体" w:hAnsi="宋体" w:eastAsia="宋体" w:cs="宋体"/>
                <w:b w:val="0"/>
                <w:i w:val="0"/>
                <w:caps w:val="0"/>
                <w:color w:val="auto"/>
                <w:spacing w:val="0"/>
                <w:w w:val="100"/>
                <w:kern w:val="2"/>
                <w:sz w:val="24"/>
                <w:szCs w:val="24"/>
                <w:highlight w:val="none"/>
                <w:lang w:val="en-US" w:eastAsia="zh-CN" w:bidi="ar-SA"/>
              </w:rPr>
              <w:t>0-1.5分</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9005C6C">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r>
              <w:rPr>
                <w:rStyle w:val="969"/>
                <w:rFonts w:hint="eastAsia" w:ascii="宋体" w:hAnsi="宋体" w:eastAsia="宋体" w:cs="宋体"/>
                <w:b w:val="0"/>
                <w:i w:val="0"/>
                <w:caps w:val="0"/>
                <w:color w:val="auto"/>
                <w:spacing w:val="0"/>
                <w:w w:val="100"/>
                <w:kern w:val="2"/>
                <w:sz w:val="24"/>
                <w:szCs w:val="24"/>
                <w:highlight w:val="none"/>
                <w:lang w:val="en-US" w:eastAsia="zh-CN" w:bidi="ar-SA"/>
              </w:rPr>
              <w:t>客观分</w:t>
            </w:r>
          </w:p>
        </w:tc>
      </w:tr>
      <w:tr w14:paraId="5F13C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7" w:hRule="atLeast"/>
          <w:jc w:val="center"/>
        </w:trPr>
        <w:tc>
          <w:tcPr>
            <w:tcW w:w="763" w:type="dxa"/>
            <w:vMerge w:val="continue"/>
            <w:tcBorders>
              <w:left w:val="single" w:color="000000" w:sz="4" w:space="0"/>
              <w:right w:val="single" w:color="000000" w:sz="4" w:space="0"/>
            </w:tcBorders>
            <w:noWrap w:val="0"/>
            <w:vAlign w:val="center"/>
          </w:tcPr>
          <w:p w14:paraId="0F792993">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left"/>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435B4CF6">
            <w:pPr>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0"/>
                <w:sz w:val="24"/>
                <w:szCs w:val="24"/>
                <w:highlight w:val="none"/>
                <w:lang w:val="en-US" w:eastAsia="zh-CN" w:bidi="ar-SA"/>
              </w:rPr>
            </w:pPr>
            <w:r>
              <w:rPr>
                <w:rStyle w:val="969"/>
                <w:rFonts w:hint="eastAsia" w:ascii="宋体" w:hAnsi="宋体" w:eastAsia="宋体" w:cs="宋体"/>
                <w:b w:val="0"/>
                <w:i w:val="0"/>
                <w:caps w:val="0"/>
                <w:color w:val="auto"/>
                <w:spacing w:val="0"/>
                <w:w w:val="100"/>
                <w:kern w:val="0"/>
                <w:sz w:val="24"/>
                <w:szCs w:val="24"/>
                <w:highlight w:val="none"/>
                <w:lang w:val="en-US" w:eastAsia="zh-CN" w:bidi="ar-SA"/>
              </w:rPr>
              <w:t>5</w:t>
            </w:r>
          </w:p>
        </w:tc>
        <w:tc>
          <w:tcPr>
            <w:tcW w:w="6291" w:type="dxa"/>
            <w:tcBorders>
              <w:top w:val="single" w:color="000000" w:sz="4" w:space="0"/>
              <w:left w:val="single" w:color="000000" w:sz="4" w:space="0"/>
              <w:bottom w:val="single" w:color="000000" w:sz="4" w:space="0"/>
              <w:right w:val="single" w:color="000000" w:sz="4" w:space="0"/>
            </w:tcBorders>
            <w:noWrap w:val="0"/>
            <w:vAlign w:val="center"/>
          </w:tcPr>
          <w:p w14:paraId="335DFBC5">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供应商政府行政部门荣誉（20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lang w:eastAsia="zh-CN"/>
              </w:rPr>
              <w:t>年至今）：</w:t>
            </w:r>
          </w:p>
          <w:p w14:paraId="0A9C053F">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（1）供应商近 3 年荣获区县级行政荣誉的每一项得 0.5 分，最高不超过 1 分；</w:t>
            </w:r>
          </w:p>
          <w:p w14:paraId="592057B3">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（2）供应商近 3 年荣获市级及以上行政荣誉的每一项得 1 分，最高不超过 2 分；</w:t>
            </w:r>
          </w:p>
          <w:p w14:paraId="3E1887D4">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（3）供应商近 3 年荣获省级及以上行政荣誉的每一项得 1.5分，最高不超过 3 分；</w:t>
            </w:r>
          </w:p>
          <w:p w14:paraId="1354CEC2">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（响应文件中提供</w:t>
            </w:r>
            <w:r>
              <w:rPr>
                <w:rFonts w:hint="eastAsia" w:ascii="宋体" w:hAnsi="宋体" w:eastAsia="宋体" w:cs="宋体"/>
                <w:sz w:val="24"/>
                <w:szCs w:val="24"/>
                <w:highlight w:val="none"/>
                <w:lang w:val="en-US" w:eastAsia="zh-CN"/>
              </w:rPr>
              <w:t>有效的</w:t>
            </w:r>
            <w:r>
              <w:rPr>
                <w:rFonts w:hint="eastAsia" w:ascii="宋体" w:hAnsi="宋体" w:eastAsia="宋体" w:cs="宋体"/>
                <w:sz w:val="24"/>
                <w:szCs w:val="24"/>
                <w:highlight w:val="none"/>
                <w:lang w:eastAsia="zh-CN"/>
              </w:rPr>
              <w:t>复印件</w:t>
            </w:r>
            <w:r>
              <w:rPr>
                <w:rFonts w:hint="eastAsia" w:ascii="宋体" w:hAnsi="宋体" w:eastAsia="宋体" w:cs="宋体"/>
                <w:sz w:val="24"/>
                <w:szCs w:val="24"/>
                <w:highlight w:val="none"/>
                <w:lang w:val="en-US" w:eastAsia="zh-CN"/>
              </w:rPr>
              <w:t>并加盖公章</w:t>
            </w:r>
            <w:r>
              <w:rPr>
                <w:rFonts w:hint="eastAsia" w:ascii="宋体" w:hAnsi="宋体" w:eastAsia="宋体" w:cs="宋体"/>
                <w:sz w:val="24"/>
                <w:szCs w:val="24"/>
                <w:highlight w:val="none"/>
                <w:lang w:eastAsia="zh-CN"/>
              </w:rPr>
              <w:t>，不提供不得分)</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7A9825D">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r>
              <w:rPr>
                <w:rStyle w:val="969"/>
                <w:rFonts w:hint="eastAsia" w:ascii="宋体" w:hAnsi="宋体" w:eastAsia="宋体" w:cs="宋体"/>
                <w:b w:val="0"/>
                <w:i w:val="0"/>
                <w:caps w:val="0"/>
                <w:color w:val="auto"/>
                <w:spacing w:val="0"/>
                <w:w w:val="100"/>
                <w:kern w:val="2"/>
                <w:sz w:val="24"/>
                <w:szCs w:val="24"/>
                <w:highlight w:val="none"/>
                <w:lang w:val="en-US" w:eastAsia="zh-CN" w:bidi="ar-SA"/>
              </w:rPr>
              <w:t>0-6分</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8B403BE">
            <w:pPr>
              <w:keepNext w:val="0"/>
              <w:keepLines w:val="0"/>
              <w:pageBreakBefore w:val="0"/>
              <w:kinsoku/>
              <w:wordWrap/>
              <w:overflowPunct/>
              <w:topLinePunct w:val="0"/>
              <w:autoSpaceDE/>
              <w:autoSpaceDN/>
              <w:bidi w:val="0"/>
              <w:adjustRightInd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r>
              <w:rPr>
                <w:rStyle w:val="969"/>
                <w:rFonts w:hint="eastAsia" w:ascii="宋体" w:hAnsi="宋体" w:eastAsia="宋体" w:cs="宋体"/>
                <w:b w:val="0"/>
                <w:i w:val="0"/>
                <w:caps w:val="0"/>
                <w:color w:val="auto"/>
                <w:spacing w:val="0"/>
                <w:w w:val="100"/>
                <w:kern w:val="2"/>
                <w:sz w:val="24"/>
                <w:szCs w:val="24"/>
                <w:highlight w:val="none"/>
                <w:lang w:val="en-US" w:eastAsia="zh-CN" w:bidi="ar-SA"/>
              </w:rPr>
              <w:t>客观分</w:t>
            </w:r>
          </w:p>
        </w:tc>
      </w:tr>
    </w:tbl>
    <w:p w14:paraId="4908AF12">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749ED348">
      <w:pPr>
        <w:widowControl/>
        <w:numPr>
          <w:ilvl w:val="0"/>
          <w:numId w:val="3"/>
        </w:numPr>
        <w:spacing w:line="360" w:lineRule="auto"/>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技术分（68分）：</w:t>
      </w:r>
    </w:p>
    <w:tbl>
      <w:tblPr>
        <w:tblStyle w:val="63"/>
        <w:tblW w:w="95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0"/>
        <w:gridCol w:w="581"/>
        <w:gridCol w:w="1536"/>
        <w:gridCol w:w="4689"/>
        <w:gridCol w:w="1008"/>
        <w:gridCol w:w="1073"/>
      </w:tblGrid>
      <w:tr w14:paraId="1AE34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640" w:type="dxa"/>
            <w:vMerge w:val="restart"/>
            <w:tcBorders>
              <w:top w:val="single" w:color="000000" w:sz="4" w:space="0"/>
              <w:left w:val="single" w:color="000000" w:sz="4" w:space="0"/>
              <w:right w:val="single" w:color="000000" w:sz="4" w:space="0"/>
            </w:tcBorders>
            <w:noWrap w:val="0"/>
            <w:vAlign w:val="center"/>
          </w:tcPr>
          <w:p w14:paraId="3089D04C">
            <w:pPr>
              <w:keepNext w:val="0"/>
              <w:keepLines w:val="0"/>
              <w:pageBreakBefore w:val="0"/>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p>
          <w:p w14:paraId="560E3E68">
            <w:pPr>
              <w:keepNext w:val="0"/>
              <w:keepLines w:val="0"/>
              <w:pageBreakBefore w:val="0"/>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p>
          <w:p w14:paraId="21FF18A1">
            <w:pPr>
              <w:keepNext w:val="0"/>
              <w:keepLines w:val="0"/>
              <w:pageBreakBefore w:val="0"/>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p>
          <w:p w14:paraId="24EF5DBD">
            <w:pPr>
              <w:keepNext w:val="0"/>
              <w:keepLines w:val="0"/>
              <w:pageBreakBefore w:val="0"/>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p>
          <w:p w14:paraId="56B48971">
            <w:pPr>
              <w:keepNext w:val="0"/>
              <w:keepLines w:val="0"/>
              <w:pageBreakBefore w:val="0"/>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p>
          <w:p w14:paraId="7B2A401C">
            <w:pPr>
              <w:keepNext w:val="0"/>
              <w:keepLines w:val="0"/>
              <w:pageBreakBefore w:val="0"/>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p>
          <w:p w14:paraId="06CD32CE">
            <w:pPr>
              <w:keepNext w:val="0"/>
              <w:keepLines w:val="0"/>
              <w:pageBreakBefore w:val="0"/>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p>
          <w:p w14:paraId="65B6287F">
            <w:pPr>
              <w:keepNext w:val="0"/>
              <w:keepLines w:val="0"/>
              <w:pageBreakBefore w:val="0"/>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p>
          <w:p w14:paraId="6C81A9A1">
            <w:pPr>
              <w:keepNext w:val="0"/>
              <w:keepLines w:val="0"/>
              <w:pageBreakBefore w:val="0"/>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p>
          <w:p w14:paraId="33979476">
            <w:pPr>
              <w:keepNext w:val="0"/>
              <w:keepLines w:val="0"/>
              <w:pageBreakBefore w:val="0"/>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p>
          <w:p w14:paraId="1F1D7454">
            <w:pPr>
              <w:keepNext w:val="0"/>
              <w:keepLines w:val="0"/>
              <w:pageBreakBefore w:val="0"/>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p>
          <w:p w14:paraId="1EED3296">
            <w:pPr>
              <w:keepNext w:val="0"/>
              <w:keepLines w:val="0"/>
              <w:pageBreakBefore w:val="0"/>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r>
              <w:rPr>
                <w:rStyle w:val="969"/>
                <w:rFonts w:hint="eastAsia" w:ascii="宋体" w:hAnsi="宋体" w:eastAsia="宋体" w:cs="宋体"/>
                <w:b w:val="0"/>
                <w:i w:val="0"/>
                <w:caps w:val="0"/>
                <w:color w:val="auto"/>
                <w:spacing w:val="0"/>
                <w:w w:val="100"/>
                <w:kern w:val="2"/>
                <w:sz w:val="24"/>
                <w:szCs w:val="24"/>
                <w:highlight w:val="none"/>
                <w:lang w:val="en-US" w:eastAsia="zh-CN" w:bidi="ar-SA"/>
              </w:rPr>
              <w:t>技术分（68分）</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14:paraId="7D61AB9A">
            <w:pPr>
              <w:keepNext w:val="0"/>
              <w:keepLines w:val="0"/>
              <w:pageBreakBefore w:val="0"/>
              <w:widowControl/>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0"/>
                <w:sz w:val="24"/>
                <w:szCs w:val="24"/>
                <w:highlight w:val="none"/>
                <w:lang w:val="en-US" w:eastAsia="zh-CN" w:bidi="ar-SA"/>
              </w:rPr>
            </w:pPr>
            <w:r>
              <w:rPr>
                <w:rStyle w:val="969"/>
                <w:rFonts w:hint="eastAsia" w:ascii="宋体" w:hAnsi="宋体" w:eastAsia="宋体" w:cs="宋体"/>
                <w:b w:val="0"/>
                <w:i w:val="0"/>
                <w:caps w:val="0"/>
                <w:color w:val="auto"/>
                <w:spacing w:val="0"/>
                <w:w w:val="100"/>
                <w:kern w:val="0"/>
                <w:sz w:val="24"/>
                <w:szCs w:val="24"/>
                <w:highlight w:val="none"/>
                <w:lang w:val="en-US" w:eastAsia="zh-CN" w:bidi="ar-SA"/>
              </w:rPr>
              <w:t>6</w:t>
            </w:r>
          </w:p>
        </w:tc>
        <w:tc>
          <w:tcPr>
            <w:tcW w:w="1536" w:type="dxa"/>
            <w:tcBorders>
              <w:top w:val="single" w:color="000000" w:sz="4" w:space="0"/>
              <w:left w:val="single" w:color="000000" w:sz="4" w:space="0"/>
              <w:right w:val="single" w:color="000000" w:sz="4" w:space="0"/>
            </w:tcBorders>
            <w:noWrap w:val="0"/>
            <w:vAlign w:val="center"/>
          </w:tcPr>
          <w:p w14:paraId="6575E60D">
            <w:pPr>
              <w:keepNext w:val="0"/>
              <w:keepLines w:val="0"/>
              <w:pageBreakBefore w:val="0"/>
              <w:kinsoku/>
              <w:wordWrap/>
              <w:overflowPunct/>
              <w:topLinePunct w:val="0"/>
              <w:autoSpaceDE/>
              <w:autoSpaceDN/>
              <w:bidi w:val="0"/>
              <w:snapToGrid/>
              <w:spacing w:before="0" w:beforeAutospacing="0" w:after="0" w:afterAutospacing="0"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方案的合理性、科学性、全面性（综合</w:t>
            </w:r>
          </w:p>
          <w:p w14:paraId="45DD165C">
            <w:pPr>
              <w:keepNext w:val="0"/>
              <w:keepLines w:val="0"/>
              <w:pageBreakBefore w:val="0"/>
              <w:kinsoku/>
              <w:wordWrap/>
              <w:overflowPunct/>
              <w:topLinePunct w:val="0"/>
              <w:autoSpaceDE/>
              <w:autoSpaceDN/>
              <w:bidi w:val="0"/>
              <w:snapToGrid/>
              <w:spacing w:before="0" w:beforeAutospacing="0" w:after="0" w:afterAutospacing="0"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774CBAE1">
            <w:pPr>
              <w:keepNext w:val="0"/>
              <w:keepLines w:val="0"/>
              <w:pageBreakBefore w:val="0"/>
              <w:kinsoku/>
              <w:wordWrap/>
              <w:overflowPunct/>
              <w:topLinePunct w:val="0"/>
              <w:autoSpaceDE/>
              <w:autoSpaceDN/>
              <w:bidi w:val="0"/>
              <w:snapToGrid/>
              <w:spacing w:before="0" w:beforeAutospacing="0" w:after="0" w:afterAutospacing="0" w:line="360" w:lineRule="auto"/>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rPr>
              <w:t>详细提供疗休养整体方案：包括行程线路策划等方案</w:t>
            </w:r>
            <w:r>
              <w:rPr>
                <w:rFonts w:hint="eastAsia" w:ascii="宋体" w:hAnsi="宋体" w:cs="宋体"/>
                <w:sz w:val="24"/>
                <w:szCs w:val="24"/>
                <w:lang w:eastAsia="zh-CN"/>
              </w:rPr>
              <w:t>，</w:t>
            </w:r>
            <w:r>
              <w:rPr>
                <w:rFonts w:hint="eastAsia" w:ascii="宋体" w:hAnsi="宋体" w:cs="宋体"/>
                <w:sz w:val="24"/>
                <w:szCs w:val="24"/>
                <w:lang w:val="en-US" w:eastAsia="zh-CN"/>
              </w:rPr>
              <w:t>根据</w:t>
            </w:r>
            <w:r>
              <w:rPr>
                <w:rFonts w:hint="eastAsia" w:ascii="宋体" w:hAnsi="宋体" w:eastAsia="宋体" w:cs="宋体"/>
                <w:sz w:val="24"/>
                <w:szCs w:val="24"/>
                <w:highlight w:val="none"/>
                <w:lang w:val="en-US" w:eastAsia="zh-CN"/>
              </w:rPr>
              <w:t>方案的详细程度、合理性、是否完全满足采购需求等</w:t>
            </w:r>
            <w:r>
              <w:rPr>
                <w:rFonts w:hint="eastAsia" w:ascii="宋体" w:hAnsi="宋体" w:eastAsia="宋体" w:cs="宋体"/>
                <w:sz w:val="24"/>
                <w:szCs w:val="24"/>
              </w:rPr>
              <w:t>综合评定</w:t>
            </w:r>
            <w:r>
              <w:rPr>
                <w:rFonts w:hint="eastAsia" w:ascii="宋体" w:hAnsi="宋体" w:eastAsia="宋体" w:cs="宋体"/>
                <w:sz w:val="24"/>
                <w:szCs w:val="24"/>
                <w:lang w:eastAsia="zh-CN"/>
              </w:rPr>
              <w:t>。</w:t>
            </w:r>
          </w:p>
          <w:p w14:paraId="0F372477">
            <w:pPr>
              <w:keepNext w:val="0"/>
              <w:keepLines w:val="0"/>
              <w:pageBreakBefore w:val="0"/>
              <w:kinsoku/>
              <w:wordWrap/>
              <w:overflowPunct/>
              <w:topLinePunct w:val="0"/>
              <w:autoSpaceDE/>
              <w:autoSpaceDN/>
              <w:bidi w:val="0"/>
              <w:snapToGrid/>
              <w:spacing w:before="0" w:beforeAutospacing="0" w:after="0" w:afterAutospacing="0" w:line="360" w:lineRule="auto"/>
              <w:jc w:val="left"/>
              <w:textAlignment w:val="baseline"/>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highlight w:val="none"/>
                <w:u w:val="none"/>
                <w:lang w:val="en-US" w:eastAsia="zh-CN" w:bidi="ar"/>
              </w:rPr>
              <w:t>分值：8-7-6-5-4-3-2-1-0</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54708A03">
            <w:pPr>
              <w:keepNext w:val="0"/>
              <w:keepLines w:val="0"/>
              <w:pageBreakBefore w:val="0"/>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r>
              <w:rPr>
                <w:rStyle w:val="969"/>
                <w:rFonts w:hint="eastAsia" w:ascii="宋体" w:hAnsi="宋体" w:eastAsia="宋体" w:cs="宋体"/>
                <w:b w:val="0"/>
                <w:i w:val="0"/>
                <w:caps w:val="0"/>
                <w:color w:val="auto"/>
                <w:spacing w:val="0"/>
                <w:w w:val="100"/>
                <w:kern w:val="2"/>
                <w:sz w:val="24"/>
                <w:szCs w:val="24"/>
                <w:highlight w:val="none"/>
                <w:lang w:val="en-US" w:eastAsia="zh-CN" w:bidi="ar-SA"/>
              </w:rPr>
              <w:t>0-8分</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DDCEF6B">
            <w:pPr>
              <w:keepNext w:val="0"/>
              <w:keepLines w:val="0"/>
              <w:pageBreakBefore w:val="0"/>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29D7F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jc w:val="center"/>
        </w:trPr>
        <w:tc>
          <w:tcPr>
            <w:tcW w:w="640" w:type="dxa"/>
            <w:vMerge w:val="continue"/>
            <w:tcBorders>
              <w:left w:val="single" w:color="000000" w:sz="4" w:space="0"/>
              <w:right w:val="single" w:color="000000" w:sz="4" w:space="0"/>
            </w:tcBorders>
            <w:noWrap w:val="0"/>
            <w:vAlign w:val="center"/>
          </w:tcPr>
          <w:p w14:paraId="079D4EA8">
            <w:pPr>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p>
        </w:tc>
        <w:tc>
          <w:tcPr>
            <w:tcW w:w="581" w:type="dxa"/>
            <w:tcBorders>
              <w:top w:val="single" w:color="000000" w:sz="4" w:space="0"/>
              <w:left w:val="single" w:color="000000" w:sz="4" w:space="0"/>
              <w:bottom w:val="single" w:color="000000" w:sz="4" w:space="0"/>
              <w:right w:val="single" w:color="000000" w:sz="4" w:space="0"/>
            </w:tcBorders>
            <w:noWrap w:val="0"/>
            <w:vAlign w:val="center"/>
          </w:tcPr>
          <w:p w14:paraId="6AF0A3FB">
            <w:pPr>
              <w:keepNext w:val="0"/>
              <w:keepLines w:val="0"/>
              <w:pageBreakBefore w:val="0"/>
              <w:widowControl/>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0"/>
                <w:sz w:val="24"/>
                <w:szCs w:val="24"/>
                <w:highlight w:val="none"/>
                <w:lang w:val="en-US" w:eastAsia="zh-CN" w:bidi="ar-SA"/>
              </w:rPr>
            </w:pPr>
            <w:r>
              <w:rPr>
                <w:rStyle w:val="969"/>
                <w:rFonts w:hint="eastAsia" w:ascii="宋体" w:hAnsi="宋体" w:eastAsia="宋体" w:cs="宋体"/>
                <w:b w:val="0"/>
                <w:i w:val="0"/>
                <w:caps w:val="0"/>
                <w:color w:val="auto"/>
                <w:spacing w:val="0"/>
                <w:w w:val="100"/>
                <w:kern w:val="0"/>
                <w:sz w:val="24"/>
                <w:szCs w:val="24"/>
                <w:highlight w:val="none"/>
                <w:lang w:val="en-US" w:eastAsia="zh-CN" w:bidi="ar-SA"/>
              </w:rPr>
              <w:t>7</w:t>
            </w:r>
          </w:p>
        </w:tc>
        <w:tc>
          <w:tcPr>
            <w:tcW w:w="1536" w:type="dxa"/>
            <w:tcBorders>
              <w:left w:val="single" w:color="000000" w:sz="4" w:space="0"/>
              <w:right w:val="single" w:color="000000" w:sz="4" w:space="0"/>
            </w:tcBorders>
            <w:noWrap w:val="0"/>
            <w:vAlign w:val="center"/>
          </w:tcPr>
          <w:p w14:paraId="04F468A2">
            <w:pPr>
              <w:keepNext w:val="0"/>
              <w:keepLines w:val="0"/>
              <w:pageBreakBefore w:val="0"/>
              <w:kinsoku/>
              <w:wordWrap/>
              <w:overflowPunct/>
              <w:topLinePunct w:val="0"/>
              <w:autoSpaceDE/>
              <w:autoSpaceDN/>
              <w:bidi w:val="0"/>
              <w:snapToGrid/>
              <w:spacing w:before="0" w:beforeAutospacing="0" w:after="0" w:afterAutospacing="0"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餐饮优化服务</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4157FC5B">
            <w:pPr>
              <w:keepNext w:val="0"/>
              <w:keepLines w:val="0"/>
              <w:pageBreakBefore w:val="0"/>
              <w:kinsoku/>
              <w:wordWrap/>
              <w:overflowPunct/>
              <w:topLinePunct w:val="0"/>
              <w:autoSpaceDE/>
              <w:autoSpaceDN/>
              <w:bidi w:val="0"/>
              <w:snapToGrid/>
              <w:spacing w:before="0" w:beforeAutospacing="0" w:after="0" w:afterAutospacing="0" w:line="360" w:lineRule="auto"/>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餐饮承诺交易人餐标的费用标准的得3分：每人每餐（中餐或晚餐）的餐标提高 </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元的得 1 分，最高加 2 分。</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6A2C2D29">
            <w:pPr>
              <w:keepNext w:val="0"/>
              <w:keepLines w:val="0"/>
              <w:pageBreakBefore w:val="0"/>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r>
              <w:rPr>
                <w:rStyle w:val="969"/>
                <w:rFonts w:hint="eastAsia" w:ascii="宋体" w:hAnsi="宋体" w:eastAsia="宋体" w:cs="宋体"/>
                <w:b w:val="0"/>
                <w:i w:val="0"/>
                <w:caps w:val="0"/>
                <w:color w:val="auto"/>
                <w:spacing w:val="0"/>
                <w:w w:val="100"/>
                <w:kern w:val="2"/>
                <w:sz w:val="24"/>
                <w:szCs w:val="24"/>
                <w:highlight w:val="none"/>
                <w:lang w:val="en-US" w:eastAsia="zh-CN" w:bidi="ar-SA"/>
              </w:rPr>
              <w:t>0-5分</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9D5FA7E">
            <w:pPr>
              <w:keepNext w:val="0"/>
              <w:keepLines w:val="0"/>
              <w:pageBreakBefore w:val="0"/>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r>
              <w:rPr>
                <w:rStyle w:val="969"/>
                <w:rFonts w:hint="eastAsia" w:ascii="宋体" w:hAnsi="宋体" w:eastAsia="宋体" w:cs="宋体"/>
                <w:b w:val="0"/>
                <w:i w:val="0"/>
                <w:caps w:val="0"/>
                <w:color w:val="auto"/>
                <w:spacing w:val="0"/>
                <w:w w:val="100"/>
                <w:kern w:val="2"/>
                <w:sz w:val="24"/>
                <w:szCs w:val="24"/>
                <w:highlight w:val="none"/>
                <w:lang w:val="en-US" w:eastAsia="zh-CN" w:bidi="ar-SA"/>
              </w:rPr>
              <w:t>客观分</w:t>
            </w:r>
          </w:p>
        </w:tc>
      </w:tr>
      <w:tr w14:paraId="690A6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jc w:val="center"/>
        </w:trPr>
        <w:tc>
          <w:tcPr>
            <w:tcW w:w="640" w:type="dxa"/>
            <w:vMerge w:val="continue"/>
            <w:tcBorders>
              <w:left w:val="single" w:color="000000" w:sz="4" w:space="0"/>
              <w:right w:val="single" w:color="000000" w:sz="4" w:space="0"/>
            </w:tcBorders>
            <w:shd w:val="clear" w:color="auto" w:fill="auto"/>
            <w:noWrap w:val="0"/>
            <w:vAlign w:val="center"/>
          </w:tcPr>
          <w:p w14:paraId="11469A2B">
            <w:pPr>
              <w:keepNext w:val="0"/>
              <w:keepLines w:val="0"/>
              <w:pageBreakBefore w:val="0"/>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p>
        </w:tc>
        <w:tc>
          <w:tcPr>
            <w:tcW w:w="581" w:type="dxa"/>
            <w:tcBorders>
              <w:top w:val="single" w:color="000000" w:sz="4" w:space="0"/>
              <w:left w:val="single" w:color="000000" w:sz="4" w:space="0"/>
              <w:right w:val="single" w:color="000000" w:sz="4" w:space="0"/>
            </w:tcBorders>
            <w:shd w:val="clear" w:color="auto" w:fill="auto"/>
            <w:noWrap w:val="0"/>
            <w:vAlign w:val="center"/>
          </w:tcPr>
          <w:p w14:paraId="15B127F0">
            <w:pPr>
              <w:keepNext w:val="0"/>
              <w:keepLines w:val="0"/>
              <w:pageBreakBefore w:val="0"/>
              <w:widowControl/>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0"/>
                <w:sz w:val="24"/>
                <w:szCs w:val="24"/>
                <w:highlight w:val="none"/>
                <w:lang w:val="en-US" w:eastAsia="zh-CN" w:bidi="ar-SA"/>
              </w:rPr>
            </w:pPr>
            <w:r>
              <w:rPr>
                <w:rStyle w:val="969"/>
                <w:rFonts w:hint="eastAsia" w:ascii="宋体" w:hAnsi="宋体" w:eastAsia="宋体" w:cs="宋体"/>
                <w:b w:val="0"/>
                <w:i w:val="0"/>
                <w:caps w:val="0"/>
                <w:color w:val="auto"/>
                <w:spacing w:val="0"/>
                <w:w w:val="100"/>
                <w:kern w:val="0"/>
                <w:sz w:val="24"/>
                <w:szCs w:val="24"/>
                <w:highlight w:val="none"/>
                <w:lang w:val="en-US" w:eastAsia="zh-CN" w:bidi="ar-SA"/>
              </w:rPr>
              <w:t>8</w:t>
            </w:r>
          </w:p>
        </w:tc>
        <w:tc>
          <w:tcPr>
            <w:tcW w:w="1536" w:type="dxa"/>
            <w:tcBorders>
              <w:left w:val="single" w:color="000000" w:sz="4" w:space="0"/>
              <w:right w:val="single" w:color="000000" w:sz="4" w:space="0"/>
            </w:tcBorders>
            <w:shd w:val="clear" w:color="auto" w:fill="FFFFFF"/>
            <w:noWrap w:val="0"/>
            <w:vAlign w:val="center"/>
          </w:tcPr>
          <w:p w14:paraId="2D405580">
            <w:pPr>
              <w:pStyle w:val="27"/>
              <w:keepNext w:val="0"/>
              <w:keepLines w:val="0"/>
              <w:pageBreakBefore w:val="0"/>
              <w:kinsoku/>
              <w:wordWrap/>
              <w:overflowPunct/>
              <w:topLinePunct w:val="0"/>
              <w:autoSpaceDE/>
              <w:autoSpaceDN/>
              <w:bidi w:val="0"/>
              <w:snapToGrid/>
              <w:spacing w:line="36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bidi="ar-SA"/>
              </w:rPr>
              <w:t>住宿优化服务</w:t>
            </w:r>
          </w:p>
        </w:tc>
        <w:tc>
          <w:tcPr>
            <w:tcW w:w="4689" w:type="dxa"/>
            <w:tcBorders>
              <w:top w:val="single" w:color="000000" w:sz="4" w:space="0"/>
              <w:left w:val="single" w:color="000000" w:sz="4" w:space="0"/>
              <w:right w:val="single" w:color="000000" w:sz="4" w:space="0"/>
            </w:tcBorders>
            <w:shd w:val="clear" w:color="auto" w:fill="FFFFFF"/>
            <w:noWrap w:val="0"/>
            <w:vAlign w:val="center"/>
          </w:tcPr>
          <w:p w14:paraId="14768339">
            <w:pPr>
              <w:pStyle w:val="27"/>
              <w:keepNext w:val="0"/>
              <w:keepLines w:val="0"/>
              <w:pageBreakBefore w:val="0"/>
              <w:kinsoku/>
              <w:wordWrap/>
              <w:overflowPunct/>
              <w:topLinePunct w:val="0"/>
              <w:autoSpaceDE/>
              <w:autoSpaceDN/>
              <w:bidi w:val="0"/>
              <w:snapToGrid/>
              <w:spacing w:line="360" w:lineRule="auto"/>
              <w:ind w:left="0" w:leftChars="0" w:firstLine="0" w:firstLineChars="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根据供应商提供的住宿条件承诺情况综合评定</w:t>
            </w:r>
            <w:r>
              <w:rPr>
                <w:rFonts w:hint="eastAsia" w:cs="宋体"/>
                <w:color w:val="000000"/>
                <w:kern w:val="0"/>
                <w:sz w:val="24"/>
                <w:szCs w:val="24"/>
                <w:highlight w:val="none"/>
                <w:lang w:val="en-US" w:eastAsia="zh-CN" w:bidi="ar-SA"/>
              </w:rPr>
              <w:t>。</w:t>
            </w:r>
            <w:r>
              <w:rPr>
                <w:rFonts w:hint="eastAsia" w:ascii="宋体" w:hAnsi="宋体" w:eastAsia="宋体" w:cs="宋体"/>
                <w:i w:val="0"/>
                <w:iCs w:val="0"/>
                <w:color w:val="000000"/>
                <w:kern w:val="0"/>
                <w:sz w:val="24"/>
                <w:szCs w:val="24"/>
                <w:highlight w:val="none"/>
                <w:u w:val="none"/>
                <w:lang w:val="en-US" w:eastAsia="zh-CN" w:bidi="ar"/>
              </w:rPr>
              <w:t>分值：5-4-3-2-1-0</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4032F61E">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0-5分</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3D4088C">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5A953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640" w:type="dxa"/>
            <w:vMerge w:val="continue"/>
            <w:tcBorders>
              <w:left w:val="single" w:color="000000" w:sz="4" w:space="0"/>
              <w:right w:val="single" w:color="000000" w:sz="4" w:space="0"/>
            </w:tcBorders>
            <w:shd w:val="clear" w:color="auto" w:fill="auto"/>
            <w:noWrap w:val="0"/>
            <w:vAlign w:val="center"/>
          </w:tcPr>
          <w:p w14:paraId="7B47E2F8">
            <w:pPr>
              <w:keepNext w:val="0"/>
              <w:keepLines w:val="0"/>
              <w:pageBreakBefore w:val="0"/>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p>
        </w:tc>
        <w:tc>
          <w:tcPr>
            <w:tcW w:w="581" w:type="dxa"/>
            <w:tcBorders>
              <w:top w:val="single" w:color="000000" w:sz="4" w:space="0"/>
              <w:left w:val="single" w:color="000000" w:sz="4" w:space="0"/>
              <w:right w:val="single" w:color="000000" w:sz="4" w:space="0"/>
            </w:tcBorders>
            <w:shd w:val="clear" w:color="auto" w:fill="auto"/>
            <w:noWrap w:val="0"/>
            <w:vAlign w:val="center"/>
          </w:tcPr>
          <w:p w14:paraId="33D6898B">
            <w:pPr>
              <w:keepNext w:val="0"/>
              <w:keepLines w:val="0"/>
              <w:pageBreakBefore w:val="0"/>
              <w:widowControl/>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0"/>
                <w:sz w:val="24"/>
                <w:szCs w:val="24"/>
                <w:highlight w:val="none"/>
                <w:lang w:val="en-US" w:eastAsia="zh-CN" w:bidi="ar-SA"/>
              </w:rPr>
            </w:pPr>
            <w:r>
              <w:rPr>
                <w:rStyle w:val="969"/>
                <w:rFonts w:hint="eastAsia" w:ascii="宋体" w:hAnsi="宋体" w:eastAsia="宋体" w:cs="宋体"/>
                <w:b w:val="0"/>
                <w:i w:val="0"/>
                <w:caps w:val="0"/>
                <w:color w:val="auto"/>
                <w:spacing w:val="0"/>
                <w:w w:val="100"/>
                <w:kern w:val="0"/>
                <w:sz w:val="24"/>
                <w:szCs w:val="24"/>
                <w:highlight w:val="none"/>
                <w:lang w:val="en-US" w:eastAsia="zh-CN" w:bidi="ar-SA"/>
              </w:rPr>
              <w:t>9</w:t>
            </w:r>
          </w:p>
        </w:tc>
        <w:tc>
          <w:tcPr>
            <w:tcW w:w="1536" w:type="dxa"/>
            <w:tcBorders>
              <w:left w:val="single" w:color="000000" w:sz="4" w:space="0"/>
              <w:right w:val="single" w:color="000000" w:sz="4" w:space="0"/>
            </w:tcBorders>
            <w:shd w:val="clear" w:color="auto" w:fill="FFFFFF"/>
            <w:noWrap w:val="0"/>
            <w:vAlign w:val="center"/>
          </w:tcPr>
          <w:p w14:paraId="44BDFB85">
            <w:pPr>
              <w:pStyle w:val="27"/>
              <w:keepNext w:val="0"/>
              <w:keepLines w:val="0"/>
              <w:pageBreakBefore w:val="0"/>
              <w:kinsoku/>
              <w:wordWrap/>
              <w:overflowPunct/>
              <w:topLinePunct w:val="0"/>
              <w:autoSpaceDE/>
              <w:autoSpaceDN/>
              <w:bidi w:val="0"/>
              <w:snapToGrid/>
              <w:spacing w:line="36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特色服务</w:t>
            </w:r>
          </w:p>
        </w:tc>
        <w:tc>
          <w:tcPr>
            <w:tcW w:w="4689" w:type="dxa"/>
            <w:tcBorders>
              <w:top w:val="single" w:color="000000" w:sz="4" w:space="0"/>
              <w:left w:val="single" w:color="000000" w:sz="4" w:space="0"/>
              <w:right w:val="single" w:color="000000" w:sz="4" w:space="0"/>
            </w:tcBorders>
            <w:shd w:val="clear" w:color="auto" w:fill="FFFFFF"/>
            <w:noWrap w:val="0"/>
            <w:vAlign w:val="center"/>
          </w:tcPr>
          <w:p w14:paraId="031A2EBE">
            <w:pPr>
              <w:pStyle w:val="27"/>
              <w:keepNext w:val="0"/>
              <w:keepLines w:val="0"/>
              <w:pageBreakBefore w:val="0"/>
              <w:kinsoku/>
              <w:wordWrap/>
              <w:overflowPunct/>
              <w:topLinePunct w:val="0"/>
              <w:autoSpaceDE/>
              <w:autoSpaceDN/>
              <w:bidi w:val="0"/>
              <w:snapToGrid/>
              <w:spacing w:line="360"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根据响应文件中针对本项目提供的特色服务方案的可行性等内容进行综合评定，每提供 1 项特色服务方案的得1分，最高得 2 分。</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4F1E9E78">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0-2分</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85B5F0B">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w:t>
            </w:r>
            <w:r>
              <w:rPr>
                <w:rFonts w:hint="eastAsia" w:ascii="宋体" w:hAnsi="宋体" w:eastAsia="宋体" w:cs="宋体"/>
                <w:color w:val="auto"/>
                <w:sz w:val="24"/>
                <w:szCs w:val="24"/>
                <w:highlight w:val="none"/>
              </w:rPr>
              <w:t>分</w:t>
            </w:r>
          </w:p>
        </w:tc>
      </w:tr>
      <w:tr w14:paraId="3747B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jc w:val="center"/>
        </w:trPr>
        <w:tc>
          <w:tcPr>
            <w:tcW w:w="640" w:type="dxa"/>
            <w:vMerge w:val="continue"/>
            <w:tcBorders>
              <w:left w:val="single" w:color="000000" w:sz="4" w:space="0"/>
              <w:right w:val="single" w:color="000000" w:sz="4" w:space="0"/>
            </w:tcBorders>
            <w:shd w:val="clear" w:color="auto" w:fill="auto"/>
            <w:noWrap w:val="0"/>
            <w:vAlign w:val="center"/>
          </w:tcPr>
          <w:p w14:paraId="0CC4B771">
            <w:pPr>
              <w:keepNext w:val="0"/>
              <w:keepLines w:val="0"/>
              <w:pageBreakBefore w:val="0"/>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p>
        </w:tc>
        <w:tc>
          <w:tcPr>
            <w:tcW w:w="581" w:type="dxa"/>
            <w:tcBorders>
              <w:left w:val="single" w:color="000000" w:sz="4" w:space="0"/>
              <w:bottom w:val="single" w:color="000000" w:sz="4" w:space="0"/>
              <w:right w:val="single" w:color="000000" w:sz="4" w:space="0"/>
            </w:tcBorders>
            <w:shd w:val="clear" w:color="auto" w:fill="auto"/>
            <w:noWrap w:val="0"/>
            <w:vAlign w:val="center"/>
          </w:tcPr>
          <w:p w14:paraId="64D3B04C">
            <w:pPr>
              <w:keepNext w:val="0"/>
              <w:keepLines w:val="0"/>
              <w:pageBreakBefore w:val="0"/>
              <w:widowControl/>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0"/>
                <w:sz w:val="24"/>
                <w:szCs w:val="24"/>
                <w:highlight w:val="none"/>
                <w:lang w:val="en-US" w:eastAsia="zh-CN" w:bidi="ar-SA"/>
              </w:rPr>
            </w:pPr>
            <w:r>
              <w:rPr>
                <w:rStyle w:val="969"/>
                <w:rFonts w:hint="eastAsia" w:ascii="宋体" w:hAnsi="宋体" w:eastAsia="宋体" w:cs="宋体"/>
                <w:b w:val="0"/>
                <w:i w:val="0"/>
                <w:caps w:val="0"/>
                <w:color w:val="auto"/>
                <w:spacing w:val="0"/>
                <w:w w:val="100"/>
                <w:kern w:val="0"/>
                <w:sz w:val="24"/>
                <w:szCs w:val="24"/>
                <w:highlight w:val="none"/>
                <w:lang w:val="en-US" w:eastAsia="zh-CN" w:bidi="ar-SA"/>
              </w:rPr>
              <w:t>10</w:t>
            </w:r>
          </w:p>
        </w:tc>
        <w:tc>
          <w:tcPr>
            <w:tcW w:w="1536" w:type="dxa"/>
            <w:tcBorders>
              <w:left w:val="single" w:color="000000" w:sz="4" w:space="0"/>
              <w:bottom w:val="single" w:color="000000" w:sz="4" w:space="0"/>
              <w:right w:val="single" w:color="000000" w:sz="4" w:space="0"/>
            </w:tcBorders>
            <w:shd w:val="clear" w:color="auto" w:fill="FFFFFF"/>
            <w:noWrap w:val="0"/>
            <w:vAlign w:val="center"/>
          </w:tcPr>
          <w:p w14:paraId="6CEABC6F">
            <w:pPr>
              <w:keepNext w:val="0"/>
              <w:keepLines w:val="0"/>
              <w:pageBreakBefore w:val="0"/>
              <w:widowControl/>
              <w:kinsoku/>
              <w:wordWrap/>
              <w:overflowPunct/>
              <w:topLinePunct w:val="0"/>
              <w:autoSpaceDE/>
              <w:autoSpaceDN/>
              <w:bidi w:val="0"/>
              <w:snapToGrid/>
              <w:spacing w:before="0" w:beforeAutospacing="0" w:after="0" w:afterAutospacing="0" w:line="360" w:lineRule="auto"/>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旅行保险方案</w:t>
            </w:r>
          </w:p>
        </w:tc>
        <w:tc>
          <w:tcPr>
            <w:tcW w:w="4689" w:type="dxa"/>
            <w:tcBorders>
              <w:left w:val="single" w:color="000000" w:sz="4" w:space="0"/>
              <w:bottom w:val="single" w:color="000000" w:sz="4" w:space="0"/>
              <w:right w:val="single" w:color="000000" w:sz="4" w:space="0"/>
            </w:tcBorders>
            <w:shd w:val="clear" w:color="auto" w:fill="FFFFFF"/>
            <w:noWrap w:val="0"/>
            <w:vAlign w:val="center"/>
          </w:tcPr>
          <w:p w14:paraId="53CC6FC1">
            <w:pPr>
              <w:pStyle w:val="27"/>
              <w:keepNext w:val="0"/>
              <w:keepLines w:val="0"/>
              <w:pageBreakBefore w:val="0"/>
              <w:kinsoku/>
              <w:wordWrap/>
              <w:overflowPunct/>
              <w:topLinePunct w:val="0"/>
              <w:autoSpaceDE/>
              <w:autoSpaceDN/>
              <w:bidi w:val="0"/>
              <w:snapToGrid/>
              <w:spacing w:line="360"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1.根据供应商承诺的为游客购买人身意外伤害保险不少于每人100万元的得1分；150万元及以上的加1分，本项最高得2分。</w:t>
            </w:r>
          </w:p>
          <w:p w14:paraId="6053B068">
            <w:pPr>
              <w:pStyle w:val="27"/>
              <w:keepNext w:val="0"/>
              <w:keepLines w:val="0"/>
              <w:pageBreakBefore w:val="0"/>
              <w:kinsoku/>
              <w:wordWrap/>
              <w:overflowPunct/>
              <w:topLinePunct w:val="0"/>
              <w:autoSpaceDE/>
              <w:autoSpaceDN/>
              <w:bidi w:val="0"/>
              <w:snapToGrid/>
              <w:spacing w:line="360"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2.提供旅行社责任保险保额 100 万元的得 1分；150 万元及以上的加 1 分，本项最高得 2分。(响应文件中需提供供应商 </w:t>
            </w:r>
            <w:r>
              <w:rPr>
                <w:rFonts w:hint="eastAsia" w:ascii="宋体" w:hAnsi="宋体" w:eastAsia="宋体" w:cs="宋体"/>
                <w:color w:val="auto"/>
                <w:sz w:val="24"/>
                <w:szCs w:val="24"/>
                <w:highlight w:val="none"/>
                <w:lang w:val="en-US" w:eastAsia="zh-CN"/>
              </w:rPr>
              <w:t>202</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年旅行社责任险</w:t>
            </w:r>
            <w:r>
              <w:rPr>
                <w:rFonts w:hint="eastAsia" w:ascii="宋体" w:hAnsi="宋体" w:eastAsia="宋体" w:cs="宋体"/>
                <w:sz w:val="24"/>
                <w:szCs w:val="24"/>
                <w:highlight w:val="none"/>
                <w:lang w:val="en-US" w:eastAsia="zh-CN"/>
              </w:rPr>
              <w:t>扫描件或复印件加盖公章）</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3669567E">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0-4分</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DB0B75C">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w:t>
            </w:r>
            <w:r>
              <w:rPr>
                <w:rFonts w:hint="eastAsia" w:ascii="宋体" w:hAnsi="宋体" w:eastAsia="宋体" w:cs="宋体"/>
                <w:color w:val="auto"/>
                <w:sz w:val="24"/>
                <w:szCs w:val="24"/>
                <w:highlight w:val="none"/>
              </w:rPr>
              <w:t>观分</w:t>
            </w:r>
          </w:p>
        </w:tc>
      </w:tr>
      <w:tr w14:paraId="1D107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jc w:val="center"/>
        </w:trPr>
        <w:tc>
          <w:tcPr>
            <w:tcW w:w="640" w:type="dxa"/>
            <w:vMerge w:val="continue"/>
            <w:tcBorders>
              <w:left w:val="single" w:color="000000" w:sz="4" w:space="0"/>
              <w:right w:val="single" w:color="000000" w:sz="4" w:space="0"/>
            </w:tcBorders>
            <w:shd w:val="clear" w:color="auto" w:fill="auto"/>
            <w:noWrap w:val="0"/>
            <w:vAlign w:val="center"/>
          </w:tcPr>
          <w:p w14:paraId="76315020">
            <w:pPr>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p>
        </w:tc>
        <w:tc>
          <w:tcPr>
            <w:tcW w:w="581" w:type="dxa"/>
            <w:vMerge w:val="restart"/>
            <w:tcBorders>
              <w:left w:val="single" w:color="000000" w:sz="4" w:space="0"/>
              <w:right w:val="single" w:color="000000" w:sz="4" w:space="0"/>
            </w:tcBorders>
            <w:shd w:val="clear" w:color="auto" w:fill="auto"/>
            <w:noWrap w:val="0"/>
            <w:vAlign w:val="center"/>
          </w:tcPr>
          <w:p w14:paraId="0F3A35CD">
            <w:pPr>
              <w:keepNext w:val="0"/>
              <w:keepLines w:val="0"/>
              <w:pageBreakBefore w:val="0"/>
              <w:widowControl/>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0"/>
                <w:sz w:val="24"/>
                <w:szCs w:val="24"/>
                <w:highlight w:val="none"/>
                <w:lang w:val="en-US" w:eastAsia="zh-CN" w:bidi="ar-SA"/>
              </w:rPr>
            </w:pPr>
            <w:r>
              <w:rPr>
                <w:rStyle w:val="969"/>
                <w:rFonts w:hint="eastAsia" w:ascii="宋体" w:hAnsi="宋体" w:eastAsia="宋体" w:cs="宋体"/>
                <w:b w:val="0"/>
                <w:i w:val="0"/>
                <w:caps w:val="0"/>
                <w:color w:val="auto"/>
                <w:spacing w:val="0"/>
                <w:w w:val="100"/>
                <w:kern w:val="0"/>
                <w:sz w:val="24"/>
                <w:szCs w:val="24"/>
                <w:highlight w:val="none"/>
                <w:lang w:val="en-US" w:eastAsia="zh-CN" w:bidi="ar-SA"/>
              </w:rPr>
              <w:t>11</w:t>
            </w:r>
          </w:p>
        </w:tc>
        <w:tc>
          <w:tcPr>
            <w:tcW w:w="1536" w:type="dxa"/>
            <w:vMerge w:val="restart"/>
            <w:tcBorders>
              <w:left w:val="single" w:color="000000" w:sz="4" w:space="0"/>
              <w:right w:val="single" w:color="000000" w:sz="4" w:space="0"/>
            </w:tcBorders>
            <w:shd w:val="clear" w:color="auto" w:fill="FFFFFF"/>
            <w:noWrap w:val="0"/>
            <w:vAlign w:val="center"/>
          </w:tcPr>
          <w:p w14:paraId="5CD0B972">
            <w:pPr>
              <w:keepNext w:val="0"/>
              <w:keepLines w:val="0"/>
              <w:pageBreakBefore w:val="0"/>
              <w:widowControl/>
              <w:suppressLineNumbers w:val="0"/>
              <w:kinsoku/>
              <w:wordWrap/>
              <w:overflowPunct/>
              <w:topLinePunct w:val="0"/>
              <w:autoSpaceDE/>
              <w:autoSpaceDN/>
              <w:bidi w:val="0"/>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kern w:val="0"/>
                <w:sz w:val="24"/>
                <w:szCs w:val="24"/>
                <w:lang w:val="en-US" w:eastAsia="zh-CN" w:bidi="ar"/>
              </w:rPr>
              <w:t>方案中提供或 使用主要车辆、设备的优 劣（综合评定）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5635582C">
            <w:pPr>
              <w:keepNext w:val="0"/>
              <w:keepLines w:val="0"/>
              <w:pageBreakBefore w:val="0"/>
              <w:widowControl/>
              <w:suppressLineNumbers w:val="0"/>
              <w:kinsoku/>
              <w:wordWrap/>
              <w:overflowPunct/>
              <w:topLinePunct w:val="0"/>
              <w:autoSpaceDE/>
              <w:autoSpaceDN/>
              <w:bidi w:val="0"/>
              <w:snapToGrid/>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lang w:val="en-US" w:eastAsia="zh-CN" w:bidi="ar"/>
              </w:rPr>
              <w:t>根据响应文件中提供车型、车况、座位比较等情况评定</w:t>
            </w:r>
            <w:r>
              <w:rPr>
                <w:rFonts w:hint="eastAsia" w:ascii="宋体" w:hAnsi="宋体" w:cs="宋体"/>
                <w:color w:val="000000"/>
                <w:kern w:val="0"/>
                <w:sz w:val="24"/>
                <w:szCs w:val="24"/>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分值：4-3-2-1-0</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2A85C787">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0-4分</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9469862">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8F2D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jc w:val="center"/>
        </w:trPr>
        <w:tc>
          <w:tcPr>
            <w:tcW w:w="640" w:type="dxa"/>
            <w:vMerge w:val="continue"/>
            <w:tcBorders>
              <w:left w:val="single" w:color="000000" w:sz="4" w:space="0"/>
              <w:right w:val="single" w:color="000000" w:sz="4" w:space="0"/>
            </w:tcBorders>
            <w:shd w:val="clear" w:color="auto" w:fill="auto"/>
            <w:noWrap w:val="0"/>
            <w:vAlign w:val="center"/>
          </w:tcPr>
          <w:p w14:paraId="26F1CC2C">
            <w:pPr>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p>
        </w:tc>
        <w:tc>
          <w:tcPr>
            <w:tcW w:w="581" w:type="dxa"/>
            <w:vMerge w:val="continue"/>
            <w:tcBorders>
              <w:left w:val="single" w:color="000000" w:sz="4" w:space="0"/>
              <w:right w:val="single" w:color="000000" w:sz="4" w:space="0"/>
            </w:tcBorders>
            <w:shd w:val="clear" w:color="auto" w:fill="auto"/>
            <w:noWrap w:val="0"/>
            <w:vAlign w:val="center"/>
          </w:tcPr>
          <w:p w14:paraId="6CD72CFF">
            <w:pPr>
              <w:keepNext w:val="0"/>
              <w:keepLines w:val="0"/>
              <w:pageBreakBefore w:val="0"/>
              <w:widowControl/>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0"/>
                <w:sz w:val="24"/>
                <w:szCs w:val="24"/>
                <w:highlight w:val="none"/>
                <w:lang w:val="en-US" w:eastAsia="zh-CN" w:bidi="ar-SA"/>
              </w:rPr>
            </w:pPr>
          </w:p>
        </w:tc>
        <w:tc>
          <w:tcPr>
            <w:tcW w:w="1536" w:type="dxa"/>
            <w:vMerge w:val="continue"/>
            <w:tcBorders>
              <w:left w:val="single" w:color="000000" w:sz="4" w:space="0"/>
              <w:right w:val="single" w:color="000000" w:sz="4" w:space="0"/>
            </w:tcBorders>
            <w:shd w:val="clear" w:color="auto" w:fill="FFFFFF"/>
            <w:noWrap w:val="0"/>
            <w:vAlign w:val="center"/>
          </w:tcPr>
          <w:p w14:paraId="6D4A202D">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4"/>
                <w:szCs w:val="24"/>
                <w:highlight w:val="none"/>
              </w:rPr>
            </w:pP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1D499204">
            <w:pPr>
              <w:keepNext w:val="0"/>
              <w:keepLines w:val="0"/>
              <w:pageBreakBefore w:val="0"/>
              <w:widowControl/>
              <w:suppressLineNumbers w:val="0"/>
              <w:kinsoku/>
              <w:wordWrap/>
              <w:overflowPunct/>
              <w:topLinePunct w:val="0"/>
              <w:autoSpaceDE/>
              <w:autoSpaceDN/>
              <w:bidi w:val="0"/>
              <w:snapToGrid/>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根据响应文件中提供的司机驾龄、当地用车情况评定</w:t>
            </w:r>
            <w:r>
              <w:rPr>
                <w:rFonts w:hint="eastAsia" w:ascii="宋体" w:hAnsi="宋体" w:cs="宋体"/>
                <w:kern w:val="2"/>
                <w:sz w:val="24"/>
                <w:szCs w:val="24"/>
                <w:highlight w:val="none"/>
                <w:lang w:val="en-US" w:eastAsia="zh-CN" w:bidi="ar-SA"/>
              </w:rPr>
              <w:t>。</w:t>
            </w:r>
            <w:r>
              <w:rPr>
                <w:rFonts w:hint="eastAsia" w:ascii="宋体" w:hAnsi="宋体" w:eastAsia="宋体" w:cs="宋体"/>
                <w:i w:val="0"/>
                <w:iCs w:val="0"/>
                <w:color w:val="000000"/>
                <w:kern w:val="0"/>
                <w:sz w:val="24"/>
                <w:szCs w:val="24"/>
                <w:highlight w:val="none"/>
                <w:u w:val="none"/>
                <w:lang w:val="en-US" w:eastAsia="zh-CN" w:bidi="ar"/>
              </w:rPr>
              <w:t>分值：4-3-2-1-0</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1402189A">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0-4分</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5C556E1">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2A2F4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2" w:hRule="atLeast"/>
          <w:jc w:val="center"/>
        </w:trPr>
        <w:tc>
          <w:tcPr>
            <w:tcW w:w="640" w:type="dxa"/>
            <w:vMerge w:val="continue"/>
            <w:tcBorders>
              <w:left w:val="single" w:color="000000" w:sz="4" w:space="0"/>
              <w:right w:val="single" w:color="000000" w:sz="4" w:space="0"/>
            </w:tcBorders>
            <w:shd w:val="clear" w:color="auto" w:fill="auto"/>
            <w:noWrap w:val="0"/>
            <w:vAlign w:val="center"/>
          </w:tcPr>
          <w:p w14:paraId="4F9885E3">
            <w:pPr>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p>
        </w:tc>
        <w:tc>
          <w:tcPr>
            <w:tcW w:w="581" w:type="dxa"/>
            <w:tcBorders>
              <w:left w:val="single" w:color="000000" w:sz="4" w:space="0"/>
              <w:right w:val="single" w:color="000000" w:sz="4" w:space="0"/>
            </w:tcBorders>
            <w:shd w:val="clear" w:color="auto" w:fill="auto"/>
            <w:noWrap w:val="0"/>
            <w:vAlign w:val="center"/>
          </w:tcPr>
          <w:p w14:paraId="72CF5C97">
            <w:pPr>
              <w:keepNext w:val="0"/>
              <w:keepLines w:val="0"/>
              <w:pageBreakBefore w:val="0"/>
              <w:widowControl/>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0"/>
                <w:sz w:val="24"/>
                <w:szCs w:val="24"/>
                <w:highlight w:val="none"/>
                <w:lang w:val="en-US" w:eastAsia="zh-CN" w:bidi="ar-SA"/>
              </w:rPr>
            </w:pPr>
            <w:r>
              <w:rPr>
                <w:rStyle w:val="969"/>
                <w:rFonts w:hint="eastAsia" w:ascii="宋体" w:hAnsi="宋体" w:eastAsia="宋体" w:cs="宋体"/>
                <w:b w:val="0"/>
                <w:i w:val="0"/>
                <w:caps w:val="0"/>
                <w:color w:val="auto"/>
                <w:spacing w:val="0"/>
                <w:w w:val="100"/>
                <w:kern w:val="0"/>
                <w:sz w:val="24"/>
                <w:szCs w:val="24"/>
                <w:highlight w:val="none"/>
                <w:lang w:val="en-US" w:eastAsia="zh-CN" w:bidi="ar-SA"/>
              </w:rPr>
              <w:t>12</w:t>
            </w:r>
          </w:p>
        </w:tc>
        <w:tc>
          <w:tcPr>
            <w:tcW w:w="1536" w:type="dxa"/>
            <w:tcBorders>
              <w:left w:val="single" w:color="000000" w:sz="4" w:space="0"/>
              <w:right w:val="single" w:color="000000" w:sz="4" w:space="0"/>
            </w:tcBorders>
            <w:shd w:val="clear" w:color="auto" w:fill="FFFFFF"/>
            <w:noWrap w:val="0"/>
            <w:vAlign w:val="center"/>
          </w:tcPr>
          <w:p w14:paraId="2E221635">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保证进度和项目完成的方案和措施等（综合评定）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3C6D4049">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cs="宋体"/>
                <w:sz w:val="24"/>
                <w:szCs w:val="24"/>
                <w:lang w:val="en-US" w:eastAsia="zh-CN"/>
              </w:rPr>
            </w:pPr>
            <w:r>
              <w:rPr>
                <w:rFonts w:hint="eastAsia" w:ascii="宋体" w:hAnsi="宋体" w:eastAsia="宋体" w:cs="宋体"/>
                <w:sz w:val="24"/>
                <w:szCs w:val="24"/>
                <w:lang w:val="en-US" w:eastAsia="zh-CN"/>
              </w:rPr>
              <w:t>本次疗休养实施工作程序和步骤、管理和协调方法以及关键步骤和要点等</w:t>
            </w:r>
            <w:r>
              <w:rPr>
                <w:rFonts w:hint="eastAsia" w:ascii="宋体" w:hAnsi="宋体" w:cs="宋体"/>
                <w:sz w:val="24"/>
                <w:szCs w:val="24"/>
                <w:lang w:val="en-US" w:eastAsia="zh-CN"/>
              </w:rPr>
              <w:t>综合评定。</w:t>
            </w:r>
          </w:p>
          <w:p w14:paraId="1909505C">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highlight w:val="none"/>
                <w:u w:val="none"/>
                <w:lang w:val="en-US" w:eastAsia="zh-CN" w:bidi="ar"/>
              </w:rPr>
              <w:t>分值：5-4-3-2-1-0</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32032128">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0-5分</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E41D363">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33FBC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jc w:val="center"/>
        </w:trPr>
        <w:tc>
          <w:tcPr>
            <w:tcW w:w="640" w:type="dxa"/>
            <w:vMerge w:val="continue"/>
            <w:tcBorders>
              <w:left w:val="single" w:color="000000" w:sz="4" w:space="0"/>
              <w:right w:val="single" w:color="000000" w:sz="4" w:space="0"/>
            </w:tcBorders>
            <w:shd w:val="clear" w:color="auto" w:fill="auto"/>
            <w:noWrap w:val="0"/>
            <w:vAlign w:val="center"/>
          </w:tcPr>
          <w:p w14:paraId="3608FD1A">
            <w:pPr>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p>
        </w:tc>
        <w:tc>
          <w:tcPr>
            <w:tcW w:w="581" w:type="dxa"/>
            <w:vMerge w:val="restart"/>
            <w:tcBorders>
              <w:left w:val="single" w:color="000000" w:sz="4" w:space="0"/>
              <w:right w:val="single" w:color="000000" w:sz="4" w:space="0"/>
            </w:tcBorders>
            <w:shd w:val="clear" w:color="auto" w:fill="auto"/>
            <w:noWrap w:val="0"/>
            <w:vAlign w:val="center"/>
          </w:tcPr>
          <w:p w14:paraId="7CBBB5B1">
            <w:pPr>
              <w:keepNext w:val="0"/>
              <w:keepLines w:val="0"/>
              <w:pageBreakBefore w:val="0"/>
              <w:widowControl/>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0"/>
                <w:sz w:val="24"/>
                <w:szCs w:val="24"/>
                <w:highlight w:val="none"/>
                <w:lang w:val="en-US" w:eastAsia="zh-CN" w:bidi="ar-SA"/>
              </w:rPr>
            </w:pPr>
            <w:r>
              <w:rPr>
                <w:rStyle w:val="969"/>
                <w:rFonts w:hint="eastAsia" w:ascii="宋体" w:hAnsi="宋体" w:eastAsia="宋体" w:cs="宋体"/>
                <w:b w:val="0"/>
                <w:i w:val="0"/>
                <w:caps w:val="0"/>
                <w:color w:val="auto"/>
                <w:spacing w:val="0"/>
                <w:w w:val="100"/>
                <w:kern w:val="0"/>
                <w:sz w:val="24"/>
                <w:szCs w:val="24"/>
                <w:highlight w:val="none"/>
                <w:lang w:val="en-US" w:eastAsia="zh-CN" w:bidi="ar-SA"/>
              </w:rPr>
              <w:t>13</w:t>
            </w:r>
          </w:p>
        </w:tc>
        <w:tc>
          <w:tcPr>
            <w:tcW w:w="1536" w:type="dxa"/>
            <w:vMerge w:val="restart"/>
            <w:tcBorders>
              <w:left w:val="single" w:color="000000" w:sz="4" w:space="0"/>
              <w:right w:val="single" w:color="000000" w:sz="4" w:space="0"/>
            </w:tcBorders>
            <w:shd w:val="clear" w:color="auto" w:fill="FFFFFF"/>
            <w:noWrap w:val="0"/>
            <w:vAlign w:val="center"/>
          </w:tcPr>
          <w:p w14:paraId="515832E0">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项目负责人及技术力量安排、行程中安排导游等（综合评定）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0C48408B">
            <w:pPr>
              <w:pStyle w:val="27"/>
              <w:keepNext w:val="0"/>
              <w:keepLines w:val="0"/>
              <w:pageBreakBefore w:val="0"/>
              <w:kinsoku/>
              <w:wordWrap/>
              <w:overflowPunct/>
              <w:topLinePunct w:val="0"/>
              <w:autoSpaceDE/>
              <w:autoSpaceDN/>
              <w:bidi w:val="0"/>
              <w:snapToGrid/>
              <w:spacing w:line="360" w:lineRule="auto"/>
              <w:ind w:left="0" w:leftChars="0" w:firstLine="0" w:firstLineChars="0"/>
              <w:rPr>
                <w:rFonts w:hint="eastAsia" w:cs="宋体"/>
                <w:sz w:val="24"/>
                <w:szCs w:val="24"/>
                <w:lang w:val="en-US" w:eastAsia="zh-CN"/>
              </w:rPr>
            </w:pPr>
            <w:r>
              <w:rPr>
                <w:rFonts w:hint="eastAsia" w:ascii="宋体" w:hAnsi="宋体" w:eastAsia="宋体" w:cs="宋体"/>
                <w:sz w:val="24"/>
                <w:szCs w:val="24"/>
                <w:lang w:val="en-US" w:eastAsia="zh-CN"/>
              </w:rPr>
              <w:t>项目负责人的专业素质、荣誉、经验等情况，是否具有类似项目经验，是否具有调动各项资源的能力，由评标委员会综合评定</w:t>
            </w:r>
            <w:r>
              <w:rPr>
                <w:rFonts w:hint="eastAsia" w:cs="宋体"/>
                <w:sz w:val="24"/>
                <w:szCs w:val="24"/>
                <w:lang w:val="en-US" w:eastAsia="zh-CN"/>
              </w:rPr>
              <w:t>。</w:t>
            </w:r>
          </w:p>
          <w:p w14:paraId="5AB332CE">
            <w:pPr>
              <w:pStyle w:val="27"/>
              <w:keepNext w:val="0"/>
              <w:keepLines w:val="0"/>
              <w:pageBreakBefore w:val="0"/>
              <w:kinsoku/>
              <w:wordWrap/>
              <w:overflowPunct/>
              <w:topLinePunct w:val="0"/>
              <w:autoSpaceDE/>
              <w:autoSpaceDN/>
              <w:bidi w:val="0"/>
              <w:snapToGrid/>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highlight w:val="none"/>
                <w:u w:val="none"/>
                <w:lang w:val="en-US" w:eastAsia="zh-CN" w:bidi="ar"/>
              </w:rPr>
              <w:t>分值：4-3-2-1-0</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40638E52">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0-4</w:t>
            </w:r>
            <w:r>
              <w:rPr>
                <w:rStyle w:val="969"/>
                <w:rFonts w:hint="eastAsia" w:ascii="宋体" w:hAnsi="宋体" w:eastAsia="宋体" w:cs="宋体"/>
                <w:b w:val="0"/>
                <w:i w:val="0"/>
                <w:caps w:val="0"/>
                <w:color w:val="auto"/>
                <w:spacing w:val="0"/>
                <w:w w:val="100"/>
                <w:kern w:val="2"/>
                <w:sz w:val="24"/>
                <w:szCs w:val="24"/>
                <w:highlight w:val="none"/>
                <w:lang w:val="en-US" w:eastAsia="zh-CN" w:bidi="ar-SA"/>
              </w:rPr>
              <w:t>分</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C716891">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6D2C0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jc w:val="center"/>
        </w:trPr>
        <w:tc>
          <w:tcPr>
            <w:tcW w:w="640" w:type="dxa"/>
            <w:vMerge w:val="continue"/>
            <w:tcBorders>
              <w:left w:val="single" w:color="000000" w:sz="4" w:space="0"/>
              <w:right w:val="single" w:color="000000" w:sz="4" w:space="0"/>
            </w:tcBorders>
            <w:shd w:val="clear" w:color="auto" w:fill="auto"/>
            <w:noWrap w:val="0"/>
            <w:vAlign w:val="center"/>
          </w:tcPr>
          <w:p w14:paraId="61C5BB24">
            <w:pPr>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p>
        </w:tc>
        <w:tc>
          <w:tcPr>
            <w:tcW w:w="581" w:type="dxa"/>
            <w:vMerge w:val="continue"/>
            <w:tcBorders>
              <w:left w:val="single" w:color="000000" w:sz="4" w:space="0"/>
              <w:right w:val="single" w:color="000000" w:sz="4" w:space="0"/>
            </w:tcBorders>
            <w:shd w:val="clear" w:color="auto" w:fill="auto"/>
            <w:noWrap w:val="0"/>
            <w:vAlign w:val="center"/>
          </w:tcPr>
          <w:p w14:paraId="2C54BC29">
            <w:pPr>
              <w:keepNext w:val="0"/>
              <w:keepLines w:val="0"/>
              <w:pageBreakBefore w:val="0"/>
              <w:widowControl/>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0"/>
                <w:sz w:val="24"/>
                <w:szCs w:val="24"/>
                <w:highlight w:val="none"/>
                <w:lang w:val="en-US" w:eastAsia="zh-CN" w:bidi="ar-SA"/>
              </w:rPr>
            </w:pPr>
          </w:p>
        </w:tc>
        <w:tc>
          <w:tcPr>
            <w:tcW w:w="1536" w:type="dxa"/>
            <w:vMerge w:val="continue"/>
            <w:tcBorders>
              <w:left w:val="single" w:color="000000" w:sz="4" w:space="0"/>
              <w:right w:val="single" w:color="000000" w:sz="4" w:space="0"/>
            </w:tcBorders>
            <w:shd w:val="clear" w:color="auto" w:fill="FFFFFF"/>
            <w:noWrap w:val="0"/>
            <w:vAlign w:val="center"/>
          </w:tcPr>
          <w:p w14:paraId="02960279">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4"/>
                <w:szCs w:val="24"/>
              </w:rPr>
            </w:pP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0A46E33A">
            <w:pPr>
              <w:pStyle w:val="27"/>
              <w:keepNext w:val="0"/>
              <w:keepLines w:val="0"/>
              <w:pageBreakBefore w:val="0"/>
              <w:kinsoku/>
              <w:wordWrap/>
              <w:overflowPunct/>
              <w:topLinePunct w:val="0"/>
              <w:autoSpaceDE/>
              <w:autoSpaceDN/>
              <w:bidi w:val="0"/>
              <w:snapToGrid/>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供应商拥有全国优秀（金牌）导游员或省级及以上优秀导游员或高级导游员的 1 分/人，最高得 3 分；拥有市级优秀金牌导游员或中级导游员的得 1 分/人，最高得 2 分。</w:t>
            </w:r>
          </w:p>
          <w:p w14:paraId="054A9B62">
            <w:pPr>
              <w:pStyle w:val="27"/>
              <w:keepNext w:val="0"/>
              <w:keepLines w:val="0"/>
              <w:pageBreakBefore w:val="0"/>
              <w:kinsoku/>
              <w:wordWrap/>
              <w:overflowPunct/>
              <w:topLinePunct w:val="0"/>
              <w:autoSpaceDE/>
              <w:autoSpaceDN/>
              <w:bidi w:val="0"/>
              <w:snapToGrid/>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（响应文件中提供 2025年</w:t>
            </w:r>
            <w:r>
              <w:rPr>
                <w:rFonts w:hint="eastAsia" w:cs="宋体"/>
                <w:sz w:val="24"/>
                <w:szCs w:val="24"/>
                <w:highlight w:val="none"/>
                <w:lang w:val="en-US" w:eastAsia="zh-CN"/>
              </w:rPr>
              <w:t>3</w:t>
            </w:r>
            <w:r>
              <w:rPr>
                <w:rFonts w:hint="eastAsia" w:ascii="宋体" w:hAnsi="宋体" w:eastAsia="宋体" w:cs="宋体"/>
                <w:sz w:val="24"/>
                <w:szCs w:val="24"/>
                <w:highlight w:val="none"/>
                <w:lang w:val="en-US" w:eastAsia="zh-CN"/>
              </w:rPr>
              <w:t>月、</w:t>
            </w:r>
            <w:r>
              <w:rPr>
                <w:rFonts w:hint="eastAsia" w:cs="宋体"/>
                <w:sz w:val="24"/>
                <w:szCs w:val="24"/>
                <w:highlight w:val="none"/>
                <w:lang w:val="en-US" w:eastAsia="zh-CN"/>
              </w:rPr>
              <w:t>4</w:t>
            </w:r>
            <w:r>
              <w:rPr>
                <w:rFonts w:hint="eastAsia" w:ascii="宋体" w:hAnsi="宋体" w:eastAsia="宋体" w:cs="宋体"/>
                <w:sz w:val="24"/>
                <w:szCs w:val="24"/>
                <w:highlight w:val="none"/>
                <w:lang w:val="en-US" w:eastAsia="zh-CN"/>
              </w:rPr>
              <w:t>月、</w:t>
            </w:r>
            <w:r>
              <w:rPr>
                <w:rFonts w:hint="eastAsia" w:cs="宋体"/>
                <w:sz w:val="24"/>
                <w:szCs w:val="24"/>
                <w:highlight w:val="none"/>
                <w:lang w:val="en-US" w:eastAsia="zh-CN"/>
              </w:rPr>
              <w:t>5</w:t>
            </w:r>
            <w:r>
              <w:rPr>
                <w:rFonts w:hint="eastAsia" w:ascii="宋体" w:hAnsi="宋体" w:eastAsia="宋体" w:cs="宋体"/>
                <w:sz w:val="24"/>
                <w:szCs w:val="24"/>
                <w:highlight w:val="none"/>
                <w:lang w:val="en-US" w:eastAsia="zh-CN"/>
              </w:rPr>
              <w:t>月</w:t>
            </w:r>
            <w:r>
              <w:rPr>
                <w:rFonts w:hint="eastAsia" w:ascii="宋体" w:hAnsi="宋体" w:eastAsia="宋体" w:cs="宋体"/>
                <w:sz w:val="24"/>
                <w:szCs w:val="24"/>
                <w:lang w:val="en-US" w:eastAsia="zh-CN"/>
              </w:rPr>
              <w:t>在本单位在职社保证明、导游证及导游等级证书复印件并加盖公章、提供全国旅游监管系统—旅行社导游信息库中本单位导游信息</w:t>
            </w:r>
            <w:r>
              <w:rPr>
                <w:rFonts w:hint="eastAsia" w:ascii="宋体" w:hAnsi="宋体" w:eastAsia="宋体" w:cs="宋体"/>
                <w:b w:val="0"/>
                <w:bCs w:val="0"/>
                <w:color w:val="auto"/>
                <w:sz w:val="24"/>
                <w:szCs w:val="24"/>
                <w:lang w:val="en-US" w:eastAsia="zh-CN"/>
              </w:rPr>
              <w:t>【2025年</w:t>
            </w:r>
            <w:r>
              <w:rPr>
                <w:rFonts w:hint="eastAsia"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月份信息】）</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430719D4">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0-5</w:t>
            </w:r>
            <w:r>
              <w:rPr>
                <w:rStyle w:val="969"/>
                <w:rFonts w:hint="eastAsia" w:ascii="宋体" w:hAnsi="宋体" w:eastAsia="宋体" w:cs="宋体"/>
                <w:b w:val="0"/>
                <w:i w:val="0"/>
                <w:caps w:val="0"/>
                <w:color w:val="auto"/>
                <w:spacing w:val="0"/>
                <w:w w:val="100"/>
                <w:kern w:val="2"/>
                <w:sz w:val="24"/>
                <w:szCs w:val="24"/>
                <w:highlight w:val="none"/>
                <w:lang w:val="en-US" w:eastAsia="zh-CN" w:bidi="ar-SA"/>
              </w:rPr>
              <w:t>分</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C85497F">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客</w:t>
            </w:r>
            <w:r>
              <w:rPr>
                <w:rFonts w:hint="eastAsia" w:ascii="宋体" w:hAnsi="宋体" w:eastAsia="宋体" w:cs="宋体"/>
                <w:color w:val="auto"/>
                <w:sz w:val="24"/>
                <w:szCs w:val="24"/>
              </w:rPr>
              <w:t>观分</w:t>
            </w:r>
          </w:p>
        </w:tc>
      </w:tr>
      <w:tr w14:paraId="03396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8" w:hRule="atLeast"/>
          <w:jc w:val="center"/>
        </w:trPr>
        <w:tc>
          <w:tcPr>
            <w:tcW w:w="640" w:type="dxa"/>
            <w:vMerge w:val="continue"/>
            <w:tcBorders>
              <w:left w:val="single" w:color="000000" w:sz="4" w:space="0"/>
              <w:right w:val="single" w:color="000000" w:sz="4" w:space="0"/>
            </w:tcBorders>
            <w:shd w:val="clear" w:color="auto" w:fill="auto"/>
            <w:noWrap w:val="0"/>
            <w:vAlign w:val="center"/>
          </w:tcPr>
          <w:p w14:paraId="55E31276">
            <w:pPr>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p>
        </w:tc>
        <w:tc>
          <w:tcPr>
            <w:tcW w:w="581" w:type="dxa"/>
            <w:tcBorders>
              <w:left w:val="single" w:color="000000" w:sz="4" w:space="0"/>
              <w:right w:val="single" w:color="000000" w:sz="4" w:space="0"/>
            </w:tcBorders>
            <w:shd w:val="clear" w:color="auto" w:fill="auto"/>
            <w:noWrap w:val="0"/>
            <w:vAlign w:val="center"/>
          </w:tcPr>
          <w:p w14:paraId="47502C2A">
            <w:pPr>
              <w:keepNext w:val="0"/>
              <w:keepLines w:val="0"/>
              <w:pageBreakBefore w:val="0"/>
              <w:widowControl/>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0"/>
                <w:sz w:val="24"/>
                <w:szCs w:val="24"/>
                <w:highlight w:val="none"/>
                <w:lang w:val="en-US" w:eastAsia="zh-CN" w:bidi="ar-SA"/>
              </w:rPr>
            </w:pPr>
            <w:r>
              <w:rPr>
                <w:rStyle w:val="969"/>
                <w:rFonts w:hint="eastAsia" w:ascii="宋体" w:hAnsi="宋体" w:eastAsia="宋体" w:cs="宋体"/>
                <w:b w:val="0"/>
                <w:i w:val="0"/>
                <w:caps w:val="0"/>
                <w:color w:val="auto"/>
                <w:spacing w:val="0"/>
                <w:w w:val="100"/>
                <w:kern w:val="0"/>
                <w:sz w:val="24"/>
                <w:szCs w:val="24"/>
                <w:highlight w:val="none"/>
                <w:lang w:val="en-US" w:eastAsia="zh-CN" w:bidi="ar-SA"/>
              </w:rPr>
              <w:t>1</w:t>
            </w:r>
            <w:r>
              <w:rPr>
                <w:rStyle w:val="969"/>
                <w:rFonts w:hint="eastAsia" w:ascii="宋体" w:hAnsi="宋体" w:cs="宋体"/>
                <w:b w:val="0"/>
                <w:i w:val="0"/>
                <w:caps w:val="0"/>
                <w:color w:val="auto"/>
                <w:spacing w:val="0"/>
                <w:w w:val="100"/>
                <w:kern w:val="0"/>
                <w:sz w:val="24"/>
                <w:szCs w:val="24"/>
                <w:highlight w:val="none"/>
                <w:lang w:val="en-US" w:eastAsia="zh-CN" w:bidi="ar-SA"/>
              </w:rPr>
              <w:t>4</w:t>
            </w:r>
          </w:p>
        </w:tc>
        <w:tc>
          <w:tcPr>
            <w:tcW w:w="1536" w:type="dxa"/>
            <w:tcBorders>
              <w:left w:val="single" w:color="000000" w:sz="4" w:space="0"/>
              <w:right w:val="single" w:color="000000" w:sz="4" w:space="0"/>
            </w:tcBorders>
            <w:shd w:val="clear" w:color="auto" w:fill="FFFFFF"/>
            <w:noWrap w:val="0"/>
            <w:vAlign w:val="center"/>
          </w:tcPr>
          <w:p w14:paraId="1C9C9CEE">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对本项目的合理化建议（综合评定）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57FFE46C">
            <w:pPr>
              <w:pStyle w:val="27"/>
              <w:keepNext w:val="0"/>
              <w:keepLines w:val="0"/>
              <w:pageBreakBefore w:val="0"/>
              <w:kinsoku/>
              <w:wordWrap/>
              <w:overflowPunct/>
              <w:topLinePunct w:val="0"/>
              <w:autoSpaceDE/>
              <w:autoSpaceDN/>
              <w:bidi w:val="0"/>
              <w:snapToGrid/>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在标书中规定的线路标准的基础上，根据响应方优化方案，提出合理化建议。       </w:t>
            </w:r>
          </w:p>
          <w:p w14:paraId="4FB6001F">
            <w:pPr>
              <w:pStyle w:val="27"/>
              <w:keepNext w:val="0"/>
              <w:keepLines w:val="0"/>
              <w:pageBreakBefore w:val="0"/>
              <w:kinsoku/>
              <w:wordWrap/>
              <w:overflowPunct/>
              <w:topLinePunct w:val="0"/>
              <w:autoSpaceDE/>
              <w:autoSpaceDN/>
              <w:bidi w:val="0"/>
              <w:snapToGrid/>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highlight w:val="none"/>
                <w:u w:val="none"/>
                <w:lang w:val="en-US" w:eastAsia="zh-CN" w:bidi="ar"/>
              </w:rPr>
              <w:t>分值：4-3-2-1-0</w:t>
            </w:r>
            <w:r>
              <w:rPr>
                <w:rFonts w:hint="eastAsia" w:ascii="宋体" w:hAnsi="宋体" w:eastAsia="宋体" w:cs="宋体"/>
                <w:sz w:val="24"/>
                <w:szCs w:val="24"/>
                <w:lang w:val="en-US" w:eastAsia="zh-CN"/>
              </w:rPr>
              <w:t xml:space="preserve">      </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2A644378">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0-4分</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E014F1A">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662F4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40" w:type="dxa"/>
            <w:vMerge w:val="continue"/>
            <w:tcBorders>
              <w:left w:val="single" w:color="000000" w:sz="4" w:space="0"/>
              <w:right w:val="single" w:color="000000" w:sz="4" w:space="0"/>
            </w:tcBorders>
            <w:shd w:val="clear" w:color="auto" w:fill="auto"/>
            <w:noWrap w:val="0"/>
            <w:vAlign w:val="center"/>
          </w:tcPr>
          <w:p w14:paraId="58433B48">
            <w:pPr>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p>
        </w:tc>
        <w:tc>
          <w:tcPr>
            <w:tcW w:w="581" w:type="dxa"/>
            <w:tcBorders>
              <w:left w:val="single" w:color="000000" w:sz="4" w:space="0"/>
              <w:right w:val="single" w:color="000000" w:sz="4" w:space="0"/>
            </w:tcBorders>
            <w:shd w:val="clear" w:color="auto" w:fill="auto"/>
            <w:noWrap w:val="0"/>
            <w:vAlign w:val="center"/>
          </w:tcPr>
          <w:p w14:paraId="4AA6B41D">
            <w:pPr>
              <w:keepNext w:val="0"/>
              <w:keepLines w:val="0"/>
              <w:pageBreakBefore w:val="0"/>
              <w:widowControl/>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0"/>
                <w:sz w:val="24"/>
                <w:szCs w:val="24"/>
                <w:highlight w:val="none"/>
                <w:lang w:val="en-US" w:eastAsia="zh-CN" w:bidi="ar-SA"/>
              </w:rPr>
            </w:pPr>
            <w:r>
              <w:rPr>
                <w:rStyle w:val="969"/>
                <w:rFonts w:hint="eastAsia" w:ascii="宋体" w:hAnsi="宋体" w:eastAsia="宋体" w:cs="宋体"/>
                <w:b w:val="0"/>
                <w:i w:val="0"/>
                <w:caps w:val="0"/>
                <w:color w:val="auto"/>
                <w:spacing w:val="0"/>
                <w:w w:val="100"/>
                <w:kern w:val="0"/>
                <w:sz w:val="24"/>
                <w:szCs w:val="24"/>
                <w:highlight w:val="none"/>
                <w:lang w:val="en-US" w:eastAsia="zh-CN" w:bidi="ar-SA"/>
              </w:rPr>
              <w:t>1</w:t>
            </w:r>
            <w:r>
              <w:rPr>
                <w:rStyle w:val="969"/>
                <w:rFonts w:hint="eastAsia" w:ascii="宋体" w:hAnsi="宋体" w:cs="宋体"/>
                <w:b w:val="0"/>
                <w:i w:val="0"/>
                <w:caps w:val="0"/>
                <w:color w:val="auto"/>
                <w:spacing w:val="0"/>
                <w:w w:val="100"/>
                <w:kern w:val="0"/>
                <w:sz w:val="24"/>
                <w:szCs w:val="24"/>
                <w:highlight w:val="none"/>
                <w:lang w:val="en-US" w:eastAsia="zh-CN" w:bidi="ar-SA"/>
              </w:rPr>
              <w:t>5</w:t>
            </w:r>
          </w:p>
        </w:tc>
        <w:tc>
          <w:tcPr>
            <w:tcW w:w="1536" w:type="dxa"/>
            <w:tcBorders>
              <w:left w:val="single" w:color="000000" w:sz="4" w:space="0"/>
              <w:right w:val="single" w:color="000000" w:sz="4" w:space="0"/>
            </w:tcBorders>
            <w:shd w:val="clear" w:color="auto" w:fill="FFFFFF"/>
            <w:noWrap w:val="0"/>
            <w:vAlign w:val="center"/>
          </w:tcPr>
          <w:p w14:paraId="785CF624">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认可度</w:t>
            </w:r>
            <w:r>
              <w:rPr>
                <w:rFonts w:hint="eastAsia" w:ascii="宋体" w:hAnsi="宋体" w:eastAsia="宋体" w:cs="宋体"/>
                <w:color w:val="auto"/>
                <w:sz w:val="24"/>
                <w:szCs w:val="24"/>
                <w:lang w:val="en-US" w:eastAsia="zh-CN"/>
              </w:rPr>
              <w:t>（综合评定）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71B315BF">
            <w:pPr>
              <w:pStyle w:val="27"/>
              <w:keepNext w:val="0"/>
              <w:keepLines w:val="0"/>
              <w:pageBreakBefore w:val="0"/>
              <w:kinsoku/>
              <w:wordWrap/>
              <w:overflowPunct/>
              <w:topLinePunct w:val="0"/>
              <w:autoSpaceDE/>
              <w:autoSpaceDN/>
              <w:bidi w:val="0"/>
              <w:snapToGrid/>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供应商在社会的影响力，社会认可度等综合评定。</w:t>
            </w:r>
          </w:p>
          <w:p w14:paraId="60E2826A">
            <w:pPr>
              <w:pStyle w:val="27"/>
              <w:keepNext w:val="0"/>
              <w:keepLines w:val="0"/>
              <w:pageBreakBefore w:val="0"/>
              <w:kinsoku/>
              <w:wordWrap/>
              <w:overflowPunct/>
              <w:topLinePunct w:val="0"/>
              <w:autoSpaceDE/>
              <w:autoSpaceDN/>
              <w:bidi w:val="0"/>
              <w:snapToGrid/>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highlight w:val="none"/>
                <w:u w:val="none"/>
                <w:lang w:val="en-US" w:eastAsia="zh-CN" w:bidi="ar"/>
              </w:rPr>
              <w:t>分值：3-2-1-0</w:t>
            </w:r>
            <w:r>
              <w:rPr>
                <w:rFonts w:hint="eastAsia" w:ascii="宋体" w:hAnsi="宋体" w:eastAsia="宋体" w:cs="宋体"/>
                <w:sz w:val="24"/>
                <w:szCs w:val="24"/>
                <w:lang w:val="en-US" w:eastAsia="zh-CN"/>
              </w:rPr>
              <w:t xml:space="preserve"> </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561AADEC">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0-3分</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B2125A4">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131E4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jc w:val="center"/>
        </w:trPr>
        <w:tc>
          <w:tcPr>
            <w:tcW w:w="640" w:type="dxa"/>
            <w:vMerge w:val="continue"/>
            <w:tcBorders>
              <w:left w:val="single" w:color="000000" w:sz="4" w:space="0"/>
              <w:right w:val="single" w:color="000000" w:sz="4" w:space="0"/>
            </w:tcBorders>
            <w:shd w:val="clear" w:color="auto" w:fill="auto"/>
            <w:noWrap w:val="0"/>
            <w:vAlign w:val="center"/>
          </w:tcPr>
          <w:p w14:paraId="53134F9C">
            <w:pPr>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p>
        </w:tc>
        <w:tc>
          <w:tcPr>
            <w:tcW w:w="581" w:type="dxa"/>
            <w:tcBorders>
              <w:left w:val="single" w:color="000000" w:sz="4" w:space="0"/>
              <w:right w:val="single" w:color="000000" w:sz="4" w:space="0"/>
            </w:tcBorders>
            <w:shd w:val="clear" w:color="auto" w:fill="auto"/>
            <w:noWrap w:val="0"/>
            <w:vAlign w:val="center"/>
          </w:tcPr>
          <w:p w14:paraId="74DDD6B2">
            <w:pPr>
              <w:keepNext w:val="0"/>
              <w:keepLines w:val="0"/>
              <w:pageBreakBefore w:val="0"/>
              <w:widowControl/>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0"/>
                <w:sz w:val="24"/>
                <w:szCs w:val="24"/>
                <w:highlight w:val="none"/>
                <w:lang w:val="en-US" w:eastAsia="zh-CN" w:bidi="ar-SA"/>
              </w:rPr>
            </w:pPr>
            <w:r>
              <w:rPr>
                <w:rStyle w:val="969"/>
                <w:rFonts w:hint="eastAsia" w:ascii="宋体" w:hAnsi="宋体" w:eastAsia="宋体" w:cs="宋体"/>
                <w:b w:val="0"/>
                <w:i w:val="0"/>
                <w:caps w:val="0"/>
                <w:color w:val="auto"/>
                <w:spacing w:val="0"/>
                <w:w w:val="100"/>
                <w:kern w:val="0"/>
                <w:sz w:val="24"/>
                <w:szCs w:val="24"/>
                <w:highlight w:val="none"/>
                <w:lang w:val="en-US" w:eastAsia="zh-CN" w:bidi="ar-SA"/>
              </w:rPr>
              <w:t>1</w:t>
            </w:r>
            <w:r>
              <w:rPr>
                <w:rStyle w:val="969"/>
                <w:rFonts w:hint="eastAsia" w:ascii="宋体" w:hAnsi="宋体" w:cs="宋体"/>
                <w:b w:val="0"/>
                <w:i w:val="0"/>
                <w:caps w:val="0"/>
                <w:color w:val="auto"/>
                <w:spacing w:val="0"/>
                <w:w w:val="100"/>
                <w:kern w:val="0"/>
                <w:sz w:val="24"/>
                <w:szCs w:val="24"/>
                <w:highlight w:val="none"/>
                <w:lang w:val="en-US" w:eastAsia="zh-CN" w:bidi="ar-SA"/>
              </w:rPr>
              <w:t>6</w:t>
            </w:r>
          </w:p>
        </w:tc>
        <w:tc>
          <w:tcPr>
            <w:tcW w:w="1536" w:type="dxa"/>
            <w:tcBorders>
              <w:left w:val="single" w:color="000000" w:sz="4" w:space="0"/>
              <w:right w:val="single" w:color="000000" w:sz="4" w:space="0"/>
            </w:tcBorders>
            <w:shd w:val="clear" w:color="auto" w:fill="FFFFFF"/>
            <w:noWrap w:val="0"/>
            <w:vAlign w:val="center"/>
          </w:tcPr>
          <w:p w14:paraId="1E11285A">
            <w:pPr>
              <w:keepNext w:val="0"/>
              <w:keepLines w:val="0"/>
              <w:pageBreakBefore w:val="0"/>
              <w:widowControl/>
              <w:suppressLineNumbers w:val="0"/>
              <w:kinsoku/>
              <w:wordWrap/>
              <w:overflowPunct/>
              <w:topLinePunct w:val="0"/>
              <w:autoSpaceDE/>
              <w:autoSpaceDN/>
              <w:bidi w:val="0"/>
              <w:snapToGrid/>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服务质量保证 </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5E400520">
            <w:pPr>
              <w:keepNext w:val="0"/>
              <w:keepLines w:val="0"/>
              <w:pageBreakBefore w:val="0"/>
              <w:widowControl/>
              <w:suppressLineNumbers w:val="0"/>
              <w:kinsoku/>
              <w:wordWrap/>
              <w:overflowPunct/>
              <w:topLinePunct w:val="0"/>
              <w:autoSpaceDE/>
              <w:autoSpaceDN/>
              <w:bidi w:val="0"/>
              <w:snapToGrid/>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根据出行服务、人性化服务、与地接人员衔接服务等与本次疗休养有关的服务质量情况综合评定</w:t>
            </w:r>
            <w:r>
              <w:rPr>
                <w:rFonts w:hint="eastAsia" w:ascii="宋体" w:hAnsi="宋体" w:cs="宋体"/>
                <w:kern w:val="2"/>
                <w:sz w:val="24"/>
                <w:szCs w:val="24"/>
                <w:lang w:val="en-US" w:eastAsia="zh-CN" w:bidi="ar-SA"/>
              </w:rPr>
              <w:t>。</w:t>
            </w:r>
            <w:r>
              <w:rPr>
                <w:rFonts w:hint="eastAsia" w:ascii="宋体" w:hAnsi="宋体" w:eastAsia="宋体" w:cs="宋体"/>
                <w:i w:val="0"/>
                <w:iCs w:val="0"/>
                <w:color w:val="000000"/>
                <w:kern w:val="0"/>
                <w:sz w:val="24"/>
                <w:szCs w:val="24"/>
                <w:highlight w:val="none"/>
                <w:u w:val="none"/>
                <w:lang w:val="en-US" w:eastAsia="zh-CN" w:bidi="ar"/>
              </w:rPr>
              <w:t>分值：5-4-3-2-1-0</w:t>
            </w:r>
            <w:r>
              <w:rPr>
                <w:rFonts w:hint="eastAsia" w:ascii="宋体" w:hAnsi="宋体" w:eastAsia="宋体" w:cs="宋体"/>
                <w:sz w:val="24"/>
                <w:szCs w:val="24"/>
                <w:lang w:val="en-US" w:eastAsia="zh-CN"/>
              </w:rPr>
              <w:t xml:space="preserve"> </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3FF3085A">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lang w:val="en-US" w:eastAsia="zh-CN"/>
              </w:rPr>
              <w:t>0-5分</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ADCF82F">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03144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jc w:val="center"/>
        </w:trPr>
        <w:tc>
          <w:tcPr>
            <w:tcW w:w="640" w:type="dxa"/>
            <w:vMerge w:val="continue"/>
            <w:tcBorders>
              <w:left w:val="single" w:color="000000" w:sz="4" w:space="0"/>
              <w:right w:val="single" w:color="000000" w:sz="4" w:space="0"/>
            </w:tcBorders>
            <w:shd w:val="clear" w:color="auto" w:fill="auto"/>
            <w:noWrap w:val="0"/>
            <w:vAlign w:val="center"/>
          </w:tcPr>
          <w:p w14:paraId="4B9689B8">
            <w:pPr>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p>
        </w:tc>
        <w:tc>
          <w:tcPr>
            <w:tcW w:w="581" w:type="dxa"/>
            <w:tcBorders>
              <w:left w:val="single" w:color="000000" w:sz="4" w:space="0"/>
              <w:right w:val="single" w:color="000000" w:sz="4" w:space="0"/>
            </w:tcBorders>
            <w:shd w:val="clear" w:color="auto" w:fill="auto"/>
            <w:noWrap w:val="0"/>
            <w:vAlign w:val="center"/>
          </w:tcPr>
          <w:p w14:paraId="09492506">
            <w:pPr>
              <w:keepNext w:val="0"/>
              <w:keepLines w:val="0"/>
              <w:pageBreakBefore w:val="0"/>
              <w:widowControl/>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0"/>
                <w:sz w:val="24"/>
                <w:szCs w:val="24"/>
                <w:highlight w:val="none"/>
                <w:lang w:val="en-US" w:eastAsia="zh-CN" w:bidi="ar-SA"/>
              </w:rPr>
            </w:pPr>
            <w:r>
              <w:rPr>
                <w:rStyle w:val="969"/>
                <w:rFonts w:hint="eastAsia" w:ascii="宋体" w:hAnsi="宋体" w:eastAsia="宋体" w:cs="宋体"/>
                <w:b w:val="0"/>
                <w:i w:val="0"/>
                <w:caps w:val="0"/>
                <w:color w:val="auto"/>
                <w:spacing w:val="0"/>
                <w:w w:val="100"/>
                <w:kern w:val="0"/>
                <w:sz w:val="24"/>
                <w:szCs w:val="24"/>
                <w:highlight w:val="none"/>
                <w:lang w:val="en-US" w:eastAsia="zh-CN" w:bidi="ar-SA"/>
              </w:rPr>
              <w:t>1</w:t>
            </w:r>
            <w:r>
              <w:rPr>
                <w:rStyle w:val="969"/>
                <w:rFonts w:hint="eastAsia" w:ascii="宋体" w:hAnsi="宋体" w:cs="宋体"/>
                <w:b w:val="0"/>
                <w:i w:val="0"/>
                <w:caps w:val="0"/>
                <w:color w:val="auto"/>
                <w:spacing w:val="0"/>
                <w:w w:val="100"/>
                <w:kern w:val="0"/>
                <w:sz w:val="24"/>
                <w:szCs w:val="24"/>
                <w:highlight w:val="none"/>
                <w:lang w:val="en-US" w:eastAsia="zh-CN" w:bidi="ar-SA"/>
              </w:rPr>
              <w:t>7</w:t>
            </w:r>
          </w:p>
        </w:tc>
        <w:tc>
          <w:tcPr>
            <w:tcW w:w="1536" w:type="dxa"/>
            <w:tcBorders>
              <w:left w:val="single" w:color="000000" w:sz="4" w:space="0"/>
              <w:right w:val="single" w:color="000000" w:sz="4" w:space="0"/>
            </w:tcBorders>
            <w:shd w:val="clear" w:color="auto" w:fill="FFFFFF"/>
            <w:noWrap w:val="0"/>
            <w:vAlign w:val="center"/>
          </w:tcPr>
          <w:p w14:paraId="3564849D">
            <w:pPr>
              <w:keepNext w:val="0"/>
              <w:keepLines w:val="0"/>
              <w:pageBreakBefore w:val="0"/>
              <w:widowControl/>
              <w:suppressLineNumbers w:val="0"/>
              <w:kinsoku/>
              <w:wordWrap/>
              <w:overflowPunct/>
              <w:topLinePunct w:val="0"/>
              <w:autoSpaceDE/>
              <w:autoSpaceDN/>
              <w:bidi w:val="0"/>
              <w:snapToGrid/>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val="en-US" w:eastAsia="zh-CN" w:bidi="ar"/>
              </w:rPr>
              <w:t>服务承诺（综合评定）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5E6445A7">
            <w:pPr>
              <w:keepNext w:val="0"/>
              <w:keepLines w:val="0"/>
              <w:pageBreakBefore w:val="0"/>
              <w:widowControl/>
              <w:suppressLineNumbers w:val="0"/>
              <w:kinsoku/>
              <w:wordWrap/>
              <w:overflowPunct/>
              <w:topLinePunct w:val="0"/>
              <w:autoSpaceDE/>
              <w:autoSpaceDN/>
              <w:bidi w:val="0"/>
              <w:snapToGrid/>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val="en-US" w:eastAsia="zh-CN" w:bidi="ar"/>
              </w:rPr>
              <w:t>根据供应商提供后续服务计划等服务情况综合评定</w:t>
            </w:r>
            <w:r>
              <w:rPr>
                <w:rFonts w:hint="eastAsia" w:ascii="宋体" w:hAnsi="宋体" w:cs="宋体"/>
                <w:color w:val="000000"/>
                <w:kern w:val="0"/>
                <w:sz w:val="24"/>
                <w:szCs w:val="24"/>
                <w:lang w:val="en-US" w:eastAsia="zh-CN" w:bidi="ar"/>
              </w:rPr>
              <w:t>。</w:t>
            </w:r>
            <w:bookmarkStart w:id="399" w:name="_GoBack"/>
            <w:bookmarkEnd w:id="399"/>
            <w:r>
              <w:rPr>
                <w:rFonts w:hint="eastAsia" w:ascii="宋体" w:hAnsi="宋体" w:eastAsia="宋体" w:cs="宋体"/>
                <w:i w:val="0"/>
                <w:iCs w:val="0"/>
                <w:color w:val="000000"/>
                <w:kern w:val="0"/>
                <w:sz w:val="24"/>
                <w:szCs w:val="24"/>
                <w:highlight w:val="none"/>
                <w:u w:val="none"/>
                <w:lang w:val="en-US" w:eastAsia="zh-CN" w:bidi="ar"/>
              </w:rPr>
              <w:t>分值：4-3-2-1-0</w:t>
            </w:r>
            <w:r>
              <w:rPr>
                <w:rFonts w:hint="eastAsia" w:ascii="宋体" w:hAnsi="宋体" w:eastAsia="宋体" w:cs="宋体"/>
                <w:sz w:val="24"/>
                <w:szCs w:val="24"/>
                <w:lang w:val="en-US" w:eastAsia="zh-CN"/>
              </w:rPr>
              <w:t xml:space="preserve"> </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1B8673C8">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lang w:val="en-US" w:eastAsia="zh-CN"/>
              </w:rPr>
              <w:t>0-4分</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5945C3F">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16E76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jc w:val="center"/>
        </w:trPr>
        <w:tc>
          <w:tcPr>
            <w:tcW w:w="640" w:type="dxa"/>
            <w:vMerge w:val="continue"/>
            <w:tcBorders>
              <w:left w:val="single" w:color="000000" w:sz="4" w:space="0"/>
              <w:right w:val="single" w:color="000000" w:sz="4" w:space="0"/>
            </w:tcBorders>
            <w:shd w:val="clear" w:color="auto" w:fill="auto"/>
            <w:noWrap w:val="0"/>
            <w:vAlign w:val="center"/>
          </w:tcPr>
          <w:p w14:paraId="121B2A8A">
            <w:pPr>
              <w:keepNext w:val="0"/>
              <w:keepLines w:val="0"/>
              <w:pageBreakBefore w:val="0"/>
              <w:kinsoku/>
              <w:wordWrap/>
              <w:overflowPunct/>
              <w:topLinePunct w:val="0"/>
              <w:autoSpaceDE/>
              <w:autoSpaceDN/>
              <w:bidi w:val="0"/>
              <w:snapToGrid/>
              <w:spacing w:before="0" w:beforeAutospacing="0" w:after="0" w:afterAutospacing="0" w:line="360" w:lineRule="auto"/>
              <w:jc w:val="both"/>
              <w:textAlignment w:val="baseline"/>
              <w:rPr>
                <w:rStyle w:val="969"/>
                <w:rFonts w:hint="eastAsia" w:ascii="宋体" w:hAnsi="宋体" w:eastAsia="宋体" w:cs="宋体"/>
                <w:b w:val="0"/>
                <w:i w:val="0"/>
                <w:caps w:val="0"/>
                <w:color w:val="auto"/>
                <w:spacing w:val="0"/>
                <w:w w:val="100"/>
                <w:kern w:val="2"/>
                <w:sz w:val="24"/>
                <w:szCs w:val="24"/>
                <w:highlight w:val="none"/>
                <w:lang w:val="en-US" w:eastAsia="zh-CN" w:bidi="ar-SA"/>
              </w:rPr>
            </w:pPr>
          </w:p>
        </w:tc>
        <w:tc>
          <w:tcPr>
            <w:tcW w:w="581" w:type="dxa"/>
            <w:tcBorders>
              <w:left w:val="single" w:color="000000" w:sz="4" w:space="0"/>
              <w:right w:val="single" w:color="000000" w:sz="4" w:space="0"/>
            </w:tcBorders>
            <w:shd w:val="clear" w:color="auto" w:fill="auto"/>
            <w:noWrap w:val="0"/>
            <w:vAlign w:val="center"/>
          </w:tcPr>
          <w:p w14:paraId="6B0CFEF8">
            <w:pPr>
              <w:keepNext w:val="0"/>
              <w:keepLines w:val="0"/>
              <w:pageBreakBefore w:val="0"/>
              <w:widowControl/>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0"/>
                <w:sz w:val="24"/>
                <w:szCs w:val="24"/>
                <w:highlight w:val="none"/>
                <w:lang w:val="en-US" w:eastAsia="zh-CN" w:bidi="ar-SA"/>
              </w:rPr>
            </w:pPr>
            <w:r>
              <w:rPr>
                <w:rStyle w:val="969"/>
                <w:rFonts w:hint="eastAsia" w:ascii="宋体" w:hAnsi="宋体" w:eastAsia="宋体" w:cs="宋体"/>
                <w:b w:val="0"/>
                <w:i w:val="0"/>
                <w:caps w:val="0"/>
                <w:color w:val="auto"/>
                <w:spacing w:val="0"/>
                <w:w w:val="100"/>
                <w:kern w:val="0"/>
                <w:sz w:val="24"/>
                <w:szCs w:val="24"/>
                <w:highlight w:val="none"/>
                <w:lang w:val="en-US" w:eastAsia="zh-CN" w:bidi="ar-SA"/>
              </w:rPr>
              <w:t>1</w:t>
            </w:r>
            <w:r>
              <w:rPr>
                <w:rStyle w:val="969"/>
                <w:rFonts w:hint="eastAsia" w:ascii="宋体" w:hAnsi="宋体" w:cs="宋体"/>
                <w:b w:val="0"/>
                <w:i w:val="0"/>
                <w:caps w:val="0"/>
                <w:color w:val="auto"/>
                <w:spacing w:val="0"/>
                <w:w w:val="100"/>
                <w:kern w:val="0"/>
                <w:sz w:val="24"/>
                <w:szCs w:val="24"/>
                <w:highlight w:val="none"/>
                <w:lang w:val="en-US" w:eastAsia="zh-CN" w:bidi="ar-SA"/>
              </w:rPr>
              <w:t>8</w:t>
            </w:r>
          </w:p>
          <w:p w14:paraId="07DA2484">
            <w:pPr>
              <w:keepNext w:val="0"/>
              <w:keepLines w:val="0"/>
              <w:pageBreakBefore w:val="0"/>
              <w:widowControl/>
              <w:kinsoku/>
              <w:wordWrap/>
              <w:overflowPunct/>
              <w:topLinePunct w:val="0"/>
              <w:autoSpaceDE/>
              <w:autoSpaceDN/>
              <w:bidi w:val="0"/>
              <w:snapToGrid/>
              <w:spacing w:before="0" w:beforeAutospacing="0" w:after="0" w:afterAutospacing="0" w:line="360" w:lineRule="auto"/>
              <w:jc w:val="center"/>
              <w:textAlignment w:val="baseline"/>
              <w:rPr>
                <w:rStyle w:val="969"/>
                <w:rFonts w:hint="eastAsia" w:ascii="宋体" w:hAnsi="宋体" w:eastAsia="宋体" w:cs="宋体"/>
                <w:b w:val="0"/>
                <w:i w:val="0"/>
                <w:caps w:val="0"/>
                <w:color w:val="auto"/>
                <w:spacing w:val="0"/>
                <w:w w:val="100"/>
                <w:kern w:val="0"/>
                <w:sz w:val="24"/>
                <w:szCs w:val="24"/>
                <w:highlight w:val="none"/>
                <w:lang w:val="en-US" w:eastAsia="zh-CN" w:bidi="ar-SA"/>
              </w:rPr>
            </w:pPr>
          </w:p>
        </w:tc>
        <w:tc>
          <w:tcPr>
            <w:tcW w:w="1536" w:type="dxa"/>
            <w:tcBorders>
              <w:left w:val="single" w:color="000000" w:sz="4" w:space="0"/>
              <w:right w:val="single" w:color="000000" w:sz="4" w:space="0"/>
            </w:tcBorders>
            <w:shd w:val="clear" w:color="auto" w:fill="FFFFFF"/>
            <w:noWrap w:val="0"/>
            <w:vAlign w:val="center"/>
          </w:tcPr>
          <w:p w14:paraId="1675127E">
            <w:pPr>
              <w:keepNext w:val="0"/>
              <w:keepLines w:val="0"/>
              <w:pageBreakBefore w:val="0"/>
              <w:widowControl/>
              <w:suppressLineNumbers w:val="0"/>
              <w:kinsoku/>
              <w:wordWrap/>
              <w:overflowPunct/>
              <w:topLinePunct w:val="0"/>
              <w:autoSpaceDE/>
              <w:autoSpaceDN/>
              <w:bidi w:val="0"/>
              <w:snapToGrid/>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000000"/>
                <w:kern w:val="0"/>
                <w:sz w:val="24"/>
                <w:szCs w:val="24"/>
                <w:lang w:val="en-US" w:eastAsia="zh-CN" w:bidi="ar"/>
              </w:rPr>
              <w:t>突发事件处理等情况（综合评定）</w:t>
            </w:r>
          </w:p>
        </w:tc>
        <w:tc>
          <w:tcPr>
            <w:tcW w:w="4689" w:type="dxa"/>
            <w:tcBorders>
              <w:top w:val="single" w:color="000000" w:sz="4" w:space="0"/>
              <w:left w:val="single" w:color="000000" w:sz="4" w:space="0"/>
              <w:bottom w:val="single" w:color="000000" w:sz="4" w:space="0"/>
              <w:right w:val="single" w:color="000000" w:sz="4" w:space="0"/>
            </w:tcBorders>
            <w:noWrap w:val="0"/>
            <w:vAlign w:val="center"/>
          </w:tcPr>
          <w:p w14:paraId="31DF4E61">
            <w:pPr>
              <w:keepNext w:val="0"/>
              <w:keepLines w:val="0"/>
              <w:pageBreakBefore w:val="0"/>
              <w:widowControl/>
              <w:suppressLineNumbers w:val="0"/>
              <w:kinsoku/>
              <w:wordWrap/>
              <w:overflowPunct/>
              <w:topLinePunct w:val="0"/>
              <w:autoSpaceDE/>
              <w:autoSpaceDN/>
              <w:bidi w:val="0"/>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根据供应商提供详细的突发事件处理方案、安防措施、投诉、纠纷处理方案等情况综合评定</w:t>
            </w:r>
            <w:r>
              <w:rPr>
                <w:rFonts w:hint="eastAsia" w:ascii="宋体" w:hAnsi="宋体" w:cs="宋体"/>
                <w:color w:val="000000"/>
                <w:kern w:val="0"/>
                <w:sz w:val="24"/>
                <w:szCs w:val="24"/>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分值：6-5-4-3-2-1-0</w:t>
            </w:r>
            <w:r>
              <w:rPr>
                <w:rFonts w:hint="eastAsia" w:ascii="宋体" w:hAnsi="宋体" w:eastAsia="宋体" w:cs="宋体"/>
                <w:sz w:val="24"/>
                <w:szCs w:val="24"/>
                <w:lang w:val="en-US" w:eastAsia="zh-CN"/>
              </w:rPr>
              <w:t xml:space="preserve"> </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3D233663">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0-6分</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1ACD06C">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bl>
    <w:p w14:paraId="3A5481CA">
      <w:pPr>
        <w:widowControl/>
        <w:numPr>
          <w:ilvl w:val="0"/>
          <w:numId w:val="0"/>
        </w:numPr>
        <w:spacing w:line="360" w:lineRule="auto"/>
        <w:rPr>
          <w:rFonts w:hint="eastAsia" w:ascii="宋体" w:hAnsi="宋体" w:eastAsia="宋体" w:cs="宋体"/>
          <w:b/>
          <w:color w:val="auto"/>
          <w:sz w:val="24"/>
          <w:highlight w:val="none"/>
        </w:rPr>
      </w:pPr>
    </w:p>
    <w:p w14:paraId="1DD6EBDB">
      <w:pPr>
        <w:widowControl/>
        <w:numPr>
          <w:ilvl w:val="0"/>
          <w:numId w:val="0"/>
        </w:num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color w:val="auto"/>
          <w:sz w:val="24"/>
          <w:highlight w:val="none"/>
        </w:rPr>
        <w:t>备注：</w:t>
      </w:r>
      <w:r>
        <w:rPr>
          <w:rFonts w:hint="eastAsia" w:ascii="宋体" w:hAnsi="宋体" w:eastAsia="宋体" w:cs="宋体"/>
          <w:b w:val="0"/>
          <w:bCs w:val="0"/>
          <w:color w:val="auto"/>
          <w:sz w:val="24"/>
          <w:highlight w:val="none"/>
          <w:lang w:val="en-US" w:eastAsia="zh-CN"/>
        </w:rPr>
        <w:t>1、评分条款中涉及的业绩、荣誉、人员、社保等分公司均有效。</w:t>
      </w:r>
    </w:p>
    <w:p w14:paraId="60B35B68">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2、响应</w:t>
      </w:r>
      <w:r>
        <w:rPr>
          <w:rFonts w:hint="eastAsia" w:ascii="宋体" w:hAnsi="宋体" w:eastAsia="宋体" w:cs="宋体"/>
          <w:color w:val="auto"/>
          <w:sz w:val="24"/>
          <w:highlight w:val="none"/>
        </w:rPr>
        <w:t>文件中如附有外文资料，必须逐一对应翻译成中文并加盖</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公章后附在相关外文资料后面，否则外文资料不予认可。翻译的中文资料与外文资料不符的，均不予认可。翻译严重错误的，将视同提供虚假资料。</w:t>
      </w:r>
    </w:p>
    <w:p w14:paraId="2F1087CF">
      <w:pPr>
        <w:widowControl/>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编制</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文件（商务技术文件部分）时，建议按此目录（序号和内容）提供评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sz w:val="24"/>
          <w:highlight w:val="none"/>
          <w:lang w:eastAsia="zh-CN"/>
        </w:rPr>
        <w:t>。</w:t>
      </w:r>
    </w:p>
    <w:p w14:paraId="164344FE">
      <w:pPr>
        <w:snapToGrid w:val="0"/>
        <w:spacing w:line="440" w:lineRule="exact"/>
        <w:rPr>
          <w:rFonts w:hint="eastAsia" w:asciiTheme="minorEastAsia" w:hAnsiTheme="minorEastAsia" w:eastAsiaTheme="minorEastAsia" w:cstheme="minorEastAsia"/>
          <w:b/>
          <w:color w:val="auto"/>
          <w:sz w:val="28"/>
          <w:szCs w:val="28"/>
          <w:highlight w:val="none"/>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价格</w:t>
      </w:r>
      <w:r>
        <w:rPr>
          <w:rFonts w:hint="eastAsia" w:ascii="宋体" w:hAnsi="宋体" w:eastAsia="宋体" w:cs="宋体"/>
          <w:b/>
          <w:bCs/>
          <w:color w:val="auto"/>
          <w:sz w:val="24"/>
          <w:highlight w:val="none"/>
          <w:lang w:val="en-US" w:eastAsia="zh-CN"/>
        </w:rPr>
        <w:t>分</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15</w:t>
      </w:r>
      <w:r>
        <w:rPr>
          <w:rFonts w:hint="eastAsia" w:ascii="宋体" w:hAnsi="宋体" w:eastAsia="宋体" w:cs="宋体"/>
          <w:b/>
          <w:bCs/>
          <w:color w:val="auto"/>
          <w:sz w:val="24"/>
          <w:highlight w:val="none"/>
        </w:rPr>
        <w:t>分）</w:t>
      </w:r>
      <w:r>
        <w:rPr>
          <w:rFonts w:hint="eastAsia" w:ascii="宋体" w:hAnsi="宋体" w:eastAsia="宋体" w:cs="宋体"/>
          <w:b/>
          <w:bCs/>
          <w:color w:val="auto"/>
          <w:sz w:val="24"/>
          <w:highlight w:val="none"/>
          <w:lang w:eastAsia="zh-CN"/>
        </w:rPr>
        <w:t>：</w:t>
      </w:r>
      <w:bookmarkEnd w:id="12"/>
      <w:bookmarkStart w:id="397" w:name="_Toc86217003"/>
      <w:bookmarkStart w:id="398" w:name="第五部分"/>
    </w:p>
    <w:tbl>
      <w:tblPr>
        <w:tblStyle w:val="63"/>
        <w:tblpPr w:leftFromText="180" w:rightFromText="180" w:vertAnchor="text" w:horzAnchor="page" w:tblpXSpec="center" w:tblpY="655"/>
        <w:tblOverlap w:val="never"/>
        <w:tblW w:w="9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7651"/>
      </w:tblGrid>
      <w:tr w14:paraId="32C3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17" w:type="dxa"/>
            <w:vAlign w:val="center"/>
          </w:tcPr>
          <w:p w14:paraId="37909DF0">
            <w:pPr>
              <w:spacing w:line="400" w:lineRule="exact"/>
              <w:jc w:val="center"/>
              <w:rPr>
                <w:rFonts w:hint="eastAsia" w:ascii="宋体" w:hAnsi="宋体" w:eastAsia="宋体" w:cs="宋体"/>
                <w:sz w:val="24"/>
              </w:rPr>
            </w:pPr>
            <w:r>
              <w:rPr>
                <w:rFonts w:hint="eastAsia" w:ascii="宋体" w:hAnsi="宋体" w:eastAsia="宋体" w:cs="宋体"/>
                <w:sz w:val="24"/>
              </w:rPr>
              <w:t>价格权值</w:t>
            </w:r>
          </w:p>
        </w:tc>
        <w:tc>
          <w:tcPr>
            <w:tcW w:w="7651" w:type="dxa"/>
            <w:vAlign w:val="center"/>
          </w:tcPr>
          <w:p w14:paraId="3320E261">
            <w:pPr>
              <w:spacing w:line="400" w:lineRule="exact"/>
              <w:jc w:val="center"/>
              <w:rPr>
                <w:rFonts w:hint="eastAsia" w:ascii="宋体" w:hAnsi="宋体" w:eastAsia="宋体" w:cs="宋体"/>
                <w:sz w:val="24"/>
              </w:rPr>
            </w:pPr>
            <w:r>
              <w:rPr>
                <w:rFonts w:hint="eastAsia" w:ascii="宋体" w:hAnsi="宋体" w:eastAsia="宋体" w:cs="宋体"/>
                <w:sz w:val="24"/>
              </w:rPr>
              <w:t>计    算    方    法</w:t>
            </w:r>
          </w:p>
        </w:tc>
      </w:tr>
      <w:tr w14:paraId="1762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617" w:type="dxa"/>
            <w:vAlign w:val="center"/>
          </w:tcPr>
          <w:p w14:paraId="265B37BA">
            <w:pPr>
              <w:spacing w:line="400" w:lineRule="exact"/>
              <w:jc w:val="center"/>
              <w:rPr>
                <w:rFonts w:hint="eastAsia" w:ascii="宋体" w:hAnsi="宋体" w:eastAsia="宋体" w:cs="宋体"/>
                <w:sz w:val="24"/>
                <w:lang w:val="en-US" w:eastAsia="zh-CN"/>
              </w:rPr>
            </w:pPr>
            <w:r>
              <w:rPr>
                <w:rFonts w:hint="eastAsia" w:ascii="宋体" w:hAnsi="宋体" w:eastAsia="宋体" w:cs="宋体"/>
                <w:sz w:val="24"/>
              </w:rPr>
              <w:t>价格权值=0.1</w:t>
            </w:r>
            <w:r>
              <w:rPr>
                <w:rFonts w:hint="eastAsia" w:ascii="宋体" w:hAnsi="宋体" w:eastAsia="宋体" w:cs="宋体"/>
                <w:sz w:val="24"/>
                <w:lang w:val="en-US" w:eastAsia="zh-CN"/>
              </w:rPr>
              <w:t>5</w:t>
            </w:r>
          </w:p>
        </w:tc>
        <w:tc>
          <w:tcPr>
            <w:tcW w:w="7651" w:type="dxa"/>
            <w:vAlign w:val="center"/>
          </w:tcPr>
          <w:p w14:paraId="4B21036E">
            <w:pPr>
              <w:spacing w:line="400" w:lineRule="exact"/>
              <w:rPr>
                <w:rFonts w:hint="eastAsia" w:ascii="宋体" w:hAnsi="宋体" w:eastAsia="宋体" w:cs="宋体"/>
                <w:sz w:val="24"/>
              </w:rPr>
            </w:pPr>
            <w:r>
              <w:rPr>
                <w:rFonts w:hint="eastAsia" w:ascii="宋体" w:hAnsi="宋体" w:eastAsia="宋体" w:cs="宋体"/>
                <w:sz w:val="24"/>
              </w:rPr>
              <w:t>每条线路响应价格统一为3000元/人次</w:t>
            </w:r>
          </w:p>
          <w:p w14:paraId="0CAD3FA3">
            <w:pPr>
              <w:spacing w:line="400" w:lineRule="exact"/>
              <w:rPr>
                <w:rFonts w:hint="eastAsia" w:ascii="宋体" w:hAnsi="宋体" w:eastAsia="宋体" w:cs="宋体"/>
              </w:rPr>
            </w:pPr>
            <w:r>
              <w:rPr>
                <w:rFonts w:hint="eastAsia" w:ascii="宋体" w:hAnsi="宋体" w:eastAsia="宋体" w:cs="宋体"/>
                <w:sz w:val="24"/>
              </w:rPr>
              <w:t>注：投标人须均按3000元/人次进行报价，得1</w:t>
            </w:r>
            <w:r>
              <w:rPr>
                <w:rFonts w:hint="eastAsia" w:ascii="宋体" w:hAnsi="宋体" w:eastAsia="宋体" w:cs="宋体"/>
                <w:sz w:val="24"/>
                <w:lang w:val="en-US" w:eastAsia="zh-CN"/>
              </w:rPr>
              <w:t>5</w:t>
            </w:r>
            <w:r>
              <w:rPr>
                <w:rFonts w:hint="eastAsia" w:ascii="宋体" w:hAnsi="宋体" w:eastAsia="宋体" w:cs="宋体"/>
                <w:sz w:val="24"/>
              </w:rPr>
              <w:t>分，若不按此报价的，做无效标处理。</w:t>
            </w:r>
          </w:p>
        </w:tc>
      </w:tr>
    </w:tbl>
    <w:p w14:paraId="050C5CC9">
      <w:pPr>
        <w:snapToGrid w:val="0"/>
        <w:spacing w:line="440" w:lineRule="exact"/>
        <w:rPr>
          <w:rFonts w:hint="eastAsia" w:asciiTheme="minorEastAsia" w:hAnsiTheme="minorEastAsia" w:eastAsiaTheme="minorEastAsia" w:cstheme="minorEastAsia"/>
          <w:b/>
          <w:color w:val="auto"/>
          <w:sz w:val="28"/>
          <w:szCs w:val="28"/>
          <w:highlight w:val="none"/>
        </w:rPr>
      </w:pPr>
    </w:p>
    <w:p w14:paraId="6FF0495C">
      <w:pPr>
        <w:snapToGrid w:val="0"/>
        <w:spacing w:line="440" w:lineRule="exact"/>
        <w:rPr>
          <w:rFonts w:hint="eastAsia" w:asciiTheme="minorEastAsia" w:hAnsiTheme="minorEastAsia" w:eastAsiaTheme="minorEastAsia" w:cstheme="minorEastAsia"/>
          <w:b/>
          <w:color w:val="auto"/>
          <w:sz w:val="28"/>
          <w:szCs w:val="28"/>
          <w:highlight w:val="none"/>
        </w:rPr>
      </w:pPr>
    </w:p>
    <w:p w14:paraId="2EED0C96">
      <w:pPr>
        <w:snapToGrid w:val="0"/>
        <w:spacing w:line="440" w:lineRule="exact"/>
        <w:rPr>
          <w:rFonts w:hint="eastAsia" w:asciiTheme="minorEastAsia" w:hAnsiTheme="minorEastAsia" w:eastAsiaTheme="minorEastAsia" w:cstheme="minorEastAsia"/>
          <w:b/>
          <w:color w:val="auto"/>
          <w:sz w:val="28"/>
          <w:szCs w:val="28"/>
          <w:highlight w:val="none"/>
        </w:rPr>
      </w:pPr>
    </w:p>
    <w:p w14:paraId="57585E5A">
      <w:pPr>
        <w:snapToGrid w:val="0"/>
        <w:spacing w:line="440" w:lineRule="exact"/>
        <w:rPr>
          <w:rFonts w:hint="eastAsia" w:asciiTheme="minorEastAsia" w:hAnsiTheme="minorEastAsia" w:eastAsiaTheme="minorEastAsia" w:cstheme="minorEastAsia"/>
          <w:b/>
          <w:color w:val="auto"/>
          <w:sz w:val="28"/>
          <w:szCs w:val="28"/>
          <w:highlight w:val="none"/>
        </w:rPr>
      </w:pPr>
    </w:p>
    <w:p w14:paraId="5C40A4A3">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44E4B33F">
      <w:pPr>
        <w:snapToGrid w:val="0"/>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一、交易方法</w:t>
      </w:r>
    </w:p>
    <w:p w14:paraId="7A9F60B1">
      <w:pPr>
        <w:adjustRightInd/>
        <w:spacing w:line="440" w:lineRule="exact"/>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w:t>
      </w:r>
      <w:r>
        <w:rPr>
          <w:rFonts w:hint="eastAsia" w:asciiTheme="minorEastAsia" w:hAnsiTheme="minorEastAsia" w:eastAsiaTheme="minorEastAsia" w:cstheme="minorEastAsia"/>
          <w:b/>
          <w:color w:val="auto"/>
          <w:kern w:val="0"/>
          <w:sz w:val="24"/>
          <w:highlight w:val="none"/>
          <w:lang w:val="en-US" w:eastAsia="zh-CN"/>
        </w:rPr>
        <w:t>分</w:t>
      </w:r>
      <w:r>
        <w:rPr>
          <w:rFonts w:hint="eastAsia" w:asciiTheme="minorEastAsia" w:hAnsiTheme="minorEastAsia" w:eastAsiaTheme="minorEastAsia" w:cstheme="minorEastAsia"/>
          <w:b/>
          <w:color w:val="auto"/>
          <w:kern w:val="0"/>
          <w:sz w:val="24"/>
          <w:highlight w:val="none"/>
        </w:rPr>
        <w:t>法。</w:t>
      </w:r>
      <w:r>
        <w:rPr>
          <w:rFonts w:hint="eastAsia" w:asciiTheme="minorEastAsia" w:hAnsiTheme="minorEastAsia" w:eastAsiaTheme="minorEastAsia" w:cstheme="minorEastAsia"/>
          <w:color w:val="auto"/>
          <w:kern w:val="0"/>
          <w:sz w:val="24"/>
          <w:highlight w:val="none"/>
        </w:rPr>
        <w:t>综合评估法，是指响应文件满足</w:t>
      </w:r>
      <w:r>
        <w:rPr>
          <w:rFonts w:hint="eastAsia" w:asciiTheme="minorEastAsia" w:hAnsiTheme="minorEastAsia" w:eastAsiaTheme="minorEastAsia" w:cstheme="minorEastAsia"/>
          <w:color w:val="auto"/>
          <w:kern w:val="0"/>
          <w:sz w:val="24"/>
          <w:highlight w:val="none"/>
          <w:lang w:eastAsia="zh-CN"/>
        </w:rPr>
        <w:t>交易文件</w:t>
      </w:r>
      <w:r>
        <w:rPr>
          <w:rFonts w:hint="eastAsia" w:asciiTheme="minorEastAsia" w:hAnsiTheme="minorEastAsia" w:eastAsiaTheme="minorEastAsia" w:cstheme="minorEastAsia"/>
          <w:color w:val="auto"/>
          <w:kern w:val="0"/>
          <w:sz w:val="24"/>
          <w:highlight w:val="none"/>
        </w:rPr>
        <w:t>全部实质性要求，且按照评审因素的量化指标评审得分最高的响应人为成交候选人的评标方法。</w:t>
      </w:r>
    </w:p>
    <w:p w14:paraId="1FE56830">
      <w:pPr>
        <w:snapToGrid w:val="0"/>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二、交易标准</w:t>
      </w:r>
    </w:p>
    <w:p w14:paraId="3B46537A">
      <w:pPr>
        <w:spacing w:line="440" w:lineRule="exact"/>
        <w:ind w:firstLine="472"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2.评标标准：</w:t>
      </w:r>
      <w:r>
        <w:rPr>
          <w:rFonts w:hint="eastAsia" w:asciiTheme="minorEastAsia" w:hAnsiTheme="minorEastAsia" w:eastAsiaTheme="minorEastAsia" w:cstheme="minorEastAsia"/>
          <w:color w:val="auto"/>
          <w:kern w:val="0"/>
          <w:sz w:val="24"/>
          <w:highlight w:val="none"/>
        </w:rPr>
        <w:t>见交易办法前附表。</w:t>
      </w:r>
    </w:p>
    <w:p w14:paraId="6B42A9AF">
      <w:pPr>
        <w:snapToGrid w:val="0"/>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三、交易程序</w:t>
      </w:r>
    </w:p>
    <w:p w14:paraId="538020DB">
      <w:pPr>
        <w:spacing w:line="44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评审委员会应当对符合资格的响应人的响应文件进行符合性审查，以确定其是否满足</w:t>
      </w:r>
      <w:r>
        <w:rPr>
          <w:rFonts w:hint="eastAsia" w:asciiTheme="minorEastAsia" w:hAnsiTheme="minorEastAsia" w:eastAsiaTheme="minorEastAsia" w:cstheme="minorEastAsia"/>
          <w:color w:val="auto"/>
          <w:kern w:val="0"/>
          <w:sz w:val="24"/>
          <w:highlight w:val="none"/>
          <w:lang w:eastAsia="zh-CN"/>
        </w:rPr>
        <w:t>交易文件</w:t>
      </w:r>
      <w:r>
        <w:rPr>
          <w:rFonts w:hint="eastAsia" w:asciiTheme="minorEastAsia" w:hAnsiTheme="minorEastAsia" w:eastAsiaTheme="minorEastAsia" w:cstheme="minorEastAsia"/>
          <w:color w:val="auto"/>
          <w:kern w:val="0"/>
          <w:sz w:val="24"/>
          <w:highlight w:val="none"/>
        </w:rPr>
        <w:t>的实质性要求。不满足</w:t>
      </w:r>
      <w:r>
        <w:rPr>
          <w:rFonts w:hint="eastAsia" w:asciiTheme="minorEastAsia" w:hAnsiTheme="minorEastAsia" w:eastAsiaTheme="minorEastAsia" w:cstheme="minorEastAsia"/>
          <w:color w:val="auto"/>
          <w:kern w:val="0"/>
          <w:sz w:val="24"/>
          <w:highlight w:val="none"/>
          <w:lang w:eastAsia="zh-CN"/>
        </w:rPr>
        <w:t>交易文件</w:t>
      </w:r>
      <w:r>
        <w:rPr>
          <w:rFonts w:hint="eastAsia" w:asciiTheme="minorEastAsia" w:hAnsiTheme="minorEastAsia" w:eastAsiaTheme="minorEastAsia" w:cstheme="minorEastAsia"/>
          <w:color w:val="auto"/>
          <w:kern w:val="0"/>
          <w:sz w:val="24"/>
          <w:highlight w:val="none"/>
        </w:rPr>
        <w:t>的实质性要求的，交易无效。</w:t>
      </w:r>
    </w:p>
    <w:p w14:paraId="5273B04C">
      <w:pPr>
        <w:spacing w:line="44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3.2比较与评价。</w:t>
      </w:r>
      <w:r>
        <w:rPr>
          <w:rFonts w:hint="eastAsia" w:asciiTheme="minorEastAsia" w:hAnsiTheme="minorEastAsia" w:eastAsiaTheme="minorEastAsia" w:cstheme="minorEastAsia"/>
          <w:color w:val="auto"/>
          <w:kern w:val="0"/>
          <w:sz w:val="24"/>
          <w:highlight w:val="none"/>
        </w:rPr>
        <w:t>评审委员会应当按照</w:t>
      </w:r>
      <w:r>
        <w:rPr>
          <w:rFonts w:hint="eastAsia" w:asciiTheme="minorEastAsia" w:hAnsiTheme="minorEastAsia" w:eastAsiaTheme="minorEastAsia" w:cstheme="minorEastAsia"/>
          <w:color w:val="auto"/>
          <w:kern w:val="0"/>
          <w:sz w:val="24"/>
          <w:highlight w:val="none"/>
          <w:lang w:eastAsia="zh-CN"/>
        </w:rPr>
        <w:t>交易文件</w:t>
      </w:r>
      <w:r>
        <w:rPr>
          <w:rFonts w:hint="eastAsia" w:asciiTheme="minorEastAsia" w:hAnsiTheme="minorEastAsia" w:eastAsiaTheme="minorEastAsia" w:cstheme="minorEastAsia"/>
          <w:color w:val="auto"/>
          <w:kern w:val="0"/>
          <w:sz w:val="24"/>
          <w:highlight w:val="none"/>
        </w:rPr>
        <w:t>中规定的评标方法和标准，对符合性审查合格的响应文件进行商务和技术评估，综合比较与评价。</w:t>
      </w:r>
    </w:p>
    <w:p w14:paraId="3B8AE9D2">
      <w:pPr>
        <w:spacing w:line="44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评审委员会各成员应当独立对每个响应人的商务和技术文件进行评价，并汇总商务技术得分情况。</w:t>
      </w:r>
    </w:p>
    <w:p w14:paraId="501AD46E">
      <w:pPr>
        <w:spacing w:line="440" w:lineRule="exact"/>
        <w:ind w:firstLine="472" w:firstLineChars="196"/>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14:paraId="004C2C61">
      <w:pPr>
        <w:pStyle w:val="132"/>
        <w:spacing w:before="0" w:line="440" w:lineRule="exact"/>
        <w:ind w:firstLine="508" w:firstLineChars="212"/>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3.4.1响应文件报价出现前后不一致的，按照下列规定修正：</w:t>
      </w:r>
    </w:p>
    <w:p w14:paraId="0A93BEB0">
      <w:pPr>
        <w:pStyle w:val="132"/>
        <w:spacing w:before="0" w:line="44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3.4.1.1响应文件中交易一览表(报价表)内容与响应文件中相应内容不一致的，以交易一览表(报价表)为准；</w:t>
      </w:r>
    </w:p>
    <w:p w14:paraId="739DA203">
      <w:pPr>
        <w:pStyle w:val="132"/>
        <w:spacing w:before="0" w:line="44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14:paraId="54EC1694">
      <w:pPr>
        <w:pStyle w:val="132"/>
        <w:spacing w:before="0" w:line="44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3.4.1.3单价金额小数点或者百分比有明显错位的，以交易一览表的总价为准，并修改单价；</w:t>
      </w:r>
    </w:p>
    <w:p w14:paraId="401C9005">
      <w:pPr>
        <w:pStyle w:val="132"/>
        <w:spacing w:before="0" w:line="44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14:paraId="2CC12FA2">
      <w:pPr>
        <w:pStyle w:val="132"/>
        <w:spacing w:before="0" w:line="44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w:t>
      </w:r>
    </w:p>
    <w:p w14:paraId="71BDF4C5">
      <w:pPr>
        <w:snapToGrid w:val="0"/>
        <w:spacing w:line="440" w:lineRule="exac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3.4.2响应文件出现不是唯一的、有选择性交易报价的，交易无效。</w:t>
      </w:r>
    </w:p>
    <w:p w14:paraId="51AEE734">
      <w:pPr>
        <w:snapToGrid w:val="0"/>
        <w:spacing w:line="440" w:lineRule="exac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3.4.3交易报价超过</w:t>
      </w:r>
      <w:r>
        <w:rPr>
          <w:rFonts w:hint="eastAsia" w:asciiTheme="minorEastAsia" w:hAnsiTheme="minorEastAsia" w:eastAsiaTheme="minorEastAsia" w:cstheme="minorEastAsia"/>
          <w:color w:val="auto"/>
          <w:kern w:val="0"/>
          <w:sz w:val="24"/>
          <w:highlight w:val="none"/>
          <w:lang w:eastAsia="zh-CN"/>
        </w:rPr>
        <w:t>交易文件</w:t>
      </w:r>
      <w:r>
        <w:rPr>
          <w:rFonts w:hint="eastAsia" w:asciiTheme="minorEastAsia" w:hAnsiTheme="minorEastAsia" w:eastAsiaTheme="minorEastAsia" w:cstheme="minorEastAsia"/>
          <w:color w:val="auto"/>
          <w:kern w:val="0"/>
          <w:sz w:val="24"/>
          <w:highlight w:val="none"/>
        </w:rPr>
        <w:t>中规定的预算金额或者最高限价的，交易无效。</w:t>
      </w:r>
    </w:p>
    <w:p w14:paraId="5E1F6334">
      <w:pPr>
        <w:pStyle w:val="132"/>
        <w:spacing w:before="0" w:line="44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05229EBE">
      <w:pPr>
        <w:spacing w:line="440" w:lineRule="exact"/>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highlight w:val="none"/>
        </w:rPr>
        <w:t>采用综合评估法的，评标结果按评审后得分由高到低顺序排列。得分相同的，按交易报价由低到高顺序排列。得分且交易报价相同的并列。响应文件满足</w:t>
      </w:r>
      <w:r>
        <w:rPr>
          <w:rFonts w:hint="eastAsia" w:asciiTheme="minorEastAsia" w:hAnsiTheme="minorEastAsia" w:eastAsiaTheme="minorEastAsia" w:cstheme="minorEastAsia"/>
          <w:color w:val="auto"/>
          <w:kern w:val="0"/>
          <w:sz w:val="24"/>
          <w:highlight w:val="none"/>
          <w:lang w:eastAsia="zh-CN"/>
        </w:rPr>
        <w:t>交易文件</w:t>
      </w:r>
      <w:r>
        <w:rPr>
          <w:rFonts w:hint="eastAsia" w:asciiTheme="minorEastAsia" w:hAnsiTheme="minorEastAsia" w:eastAsiaTheme="minorEastAsia" w:cstheme="minorEastAsia"/>
          <w:color w:val="auto"/>
          <w:kern w:val="0"/>
          <w:sz w:val="24"/>
          <w:highlight w:val="none"/>
        </w:rPr>
        <w:t>全部实质性要求，且按照评审因素的量化指标评审得分最高的响应人为排名第一的成交候选人。</w:t>
      </w:r>
    </w:p>
    <w:p w14:paraId="59D29A8A">
      <w:pPr>
        <w:spacing w:line="44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3.6编写评审报告。</w:t>
      </w:r>
      <w:r>
        <w:rPr>
          <w:rFonts w:hint="eastAsia" w:asciiTheme="minorEastAsia" w:hAnsiTheme="minorEastAsia" w:eastAsiaTheme="minorEastAsia" w:cstheme="minorEastAsia"/>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5F7921A1">
      <w:pPr>
        <w:snapToGrid w:val="0"/>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四、评标中的其他事项</w:t>
      </w:r>
    </w:p>
    <w:p w14:paraId="75C3E1DF">
      <w:pPr>
        <w:pStyle w:val="132"/>
        <w:spacing w:before="0" w:line="440" w:lineRule="exact"/>
        <w:ind w:firstLine="472" w:firstLineChars="196"/>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4.1响应人澄清、说明或者补正。</w:t>
      </w:r>
      <w:r>
        <w:rPr>
          <w:rFonts w:hint="eastAsia" w:asciiTheme="minorEastAsia" w:hAnsiTheme="minorEastAsia" w:eastAsiaTheme="minorEastAsia" w:cstheme="minorEastAsia"/>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05D51D7C">
      <w:pPr>
        <w:pStyle w:val="27"/>
        <w:spacing w:line="440" w:lineRule="exact"/>
        <w:ind w:left="0" w:leftChars="0"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highlight w:val="none"/>
        </w:rPr>
        <w:t>4.2交易无效。</w:t>
      </w:r>
      <w:r>
        <w:rPr>
          <w:rFonts w:hint="eastAsia" w:asciiTheme="minorEastAsia" w:hAnsiTheme="minorEastAsia" w:eastAsiaTheme="minorEastAsia" w:cstheme="minorEastAsia"/>
          <w:color w:val="auto"/>
          <w:szCs w:val="21"/>
          <w:highlight w:val="none"/>
        </w:rPr>
        <w:t>有下列情形之一的，交易无效：</w:t>
      </w:r>
    </w:p>
    <w:p w14:paraId="4E577949">
      <w:pPr>
        <w:spacing w:line="44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4.2.1响应人不具备</w:t>
      </w:r>
      <w:r>
        <w:rPr>
          <w:rFonts w:hint="eastAsia" w:asciiTheme="minorEastAsia" w:hAnsiTheme="minorEastAsia" w:eastAsiaTheme="minorEastAsia" w:cstheme="minorEastAsia"/>
          <w:color w:val="auto"/>
          <w:kern w:val="0"/>
          <w:sz w:val="24"/>
          <w:highlight w:val="none"/>
          <w:lang w:eastAsia="zh-CN"/>
        </w:rPr>
        <w:t>交易文件</w:t>
      </w:r>
      <w:r>
        <w:rPr>
          <w:rFonts w:hint="eastAsia" w:asciiTheme="minorEastAsia" w:hAnsiTheme="minorEastAsia" w:eastAsiaTheme="minorEastAsia" w:cstheme="minorEastAsia"/>
          <w:color w:val="auto"/>
          <w:kern w:val="0"/>
          <w:sz w:val="24"/>
          <w:highlight w:val="none"/>
        </w:rPr>
        <w:t>中规定的资格要求的（响应人未提供有效的资格文件的，视为响应人不具备</w:t>
      </w:r>
      <w:r>
        <w:rPr>
          <w:rFonts w:hint="eastAsia" w:asciiTheme="minorEastAsia" w:hAnsiTheme="minorEastAsia" w:eastAsiaTheme="minorEastAsia" w:cstheme="minorEastAsia"/>
          <w:color w:val="auto"/>
          <w:kern w:val="0"/>
          <w:sz w:val="24"/>
          <w:highlight w:val="none"/>
          <w:lang w:eastAsia="zh-CN"/>
        </w:rPr>
        <w:t>交易文件</w:t>
      </w:r>
      <w:r>
        <w:rPr>
          <w:rFonts w:hint="eastAsia" w:asciiTheme="minorEastAsia" w:hAnsiTheme="minorEastAsia" w:eastAsiaTheme="minorEastAsia" w:cstheme="minorEastAsia"/>
          <w:color w:val="auto"/>
          <w:kern w:val="0"/>
          <w:sz w:val="24"/>
          <w:highlight w:val="none"/>
        </w:rPr>
        <w:t>中规定的资格要求）；</w:t>
      </w:r>
    </w:p>
    <w:p w14:paraId="651BA734">
      <w:pPr>
        <w:spacing w:line="44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4.2.2响应文件未按照</w:t>
      </w:r>
      <w:r>
        <w:rPr>
          <w:rFonts w:hint="eastAsia" w:asciiTheme="minorEastAsia" w:hAnsiTheme="minorEastAsia" w:eastAsiaTheme="minorEastAsia" w:cstheme="minorEastAsia"/>
          <w:color w:val="auto"/>
          <w:kern w:val="0"/>
          <w:sz w:val="24"/>
          <w:highlight w:val="none"/>
          <w:lang w:eastAsia="zh-CN"/>
        </w:rPr>
        <w:t>交易文件</w:t>
      </w:r>
      <w:r>
        <w:rPr>
          <w:rFonts w:hint="eastAsia" w:asciiTheme="minorEastAsia" w:hAnsiTheme="minorEastAsia" w:eastAsiaTheme="minorEastAsia" w:cstheme="minorEastAsia"/>
          <w:color w:val="auto"/>
          <w:kern w:val="0"/>
          <w:sz w:val="24"/>
          <w:highlight w:val="none"/>
        </w:rPr>
        <w:t>要求签署、盖章的；</w:t>
      </w:r>
    </w:p>
    <w:p w14:paraId="2FF50C9D">
      <w:pPr>
        <w:spacing w:line="44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4.2.3响应文件含有交易发起人不能接受的附加条件的；</w:t>
      </w:r>
    </w:p>
    <w:p w14:paraId="367F1F1A">
      <w:pPr>
        <w:spacing w:line="44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4.2.4响应文件中承诺的交易有效期少于</w:t>
      </w:r>
      <w:r>
        <w:rPr>
          <w:rFonts w:hint="eastAsia" w:asciiTheme="minorEastAsia" w:hAnsiTheme="minorEastAsia" w:eastAsiaTheme="minorEastAsia" w:cstheme="minorEastAsia"/>
          <w:color w:val="auto"/>
          <w:kern w:val="0"/>
          <w:sz w:val="24"/>
          <w:highlight w:val="none"/>
          <w:lang w:eastAsia="zh-CN"/>
        </w:rPr>
        <w:t>交易文件</w:t>
      </w:r>
      <w:r>
        <w:rPr>
          <w:rFonts w:hint="eastAsia" w:asciiTheme="minorEastAsia" w:hAnsiTheme="minorEastAsia" w:eastAsiaTheme="minorEastAsia" w:cstheme="minorEastAsia"/>
          <w:color w:val="auto"/>
          <w:kern w:val="0"/>
          <w:sz w:val="24"/>
          <w:highlight w:val="none"/>
        </w:rPr>
        <w:t>中载明的交易有效期的；</w:t>
      </w:r>
    </w:p>
    <w:p w14:paraId="28995D43">
      <w:pPr>
        <w:snapToGrid w:val="0"/>
        <w:spacing w:line="440" w:lineRule="exact"/>
        <w:ind w:firstLine="120" w:firstLineChars="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4.2.5响应文件出现不是唯一的、有选择性交易报价的；</w:t>
      </w:r>
    </w:p>
    <w:p w14:paraId="6409F15D">
      <w:pPr>
        <w:spacing w:line="44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4.2.6交易报价超过</w:t>
      </w:r>
      <w:r>
        <w:rPr>
          <w:rFonts w:hint="eastAsia" w:asciiTheme="minorEastAsia" w:hAnsiTheme="minorEastAsia" w:eastAsiaTheme="minorEastAsia" w:cstheme="minorEastAsia"/>
          <w:color w:val="auto"/>
          <w:kern w:val="0"/>
          <w:sz w:val="24"/>
          <w:highlight w:val="none"/>
          <w:lang w:eastAsia="zh-CN"/>
        </w:rPr>
        <w:t>交易文件</w:t>
      </w:r>
      <w:r>
        <w:rPr>
          <w:rFonts w:hint="eastAsia" w:asciiTheme="minorEastAsia" w:hAnsiTheme="minorEastAsia" w:eastAsiaTheme="minorEastAsia" w:cstheme="minorEastAsia"/>
          <w:color w:val="auto"/>
          <w:kern w:val="0"/>
          <w:sz w:val="24"/>
          <w:highlight w:val="none"/>
        </w:rPr>
        <w:t>中规定的预算金额或者最高限价的；</w:t>
      </w:r>
    </w:p>
    <w:p w14:paraId="2E0D2257">
      <w:pPr>
        <w:spacing w:line="44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42A56FE7">
      <w:pPr>
        <w:spacing w:line="44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4.2.8响应人对根据修正原则修正后的报价不确认的；</w:t>
      </w:r>
    </w:p>
    <w:p w14:paraId="2742C669">
      <w:pPr>
        <w:spacing w:line="44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4.2.9响应人提供虚假材料投标的；</w:t>
      </w:r>
    </w:p>
    <w:p w14:paraId="44000FB3">
      <w:pPr>
        <w:spacing w:line="440" w:lineRule="exact"/>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4.2.10响应人有恶意串通、妨碍其他响应人的竞争行为、损害交易发起人或者其他响应人的合法权益情形的；</w:t>
      </w:r>
    </w:p>
    <w:p w14:paraId="5E1A638C">
      <w:pPr>
        <w:spacing w:line="44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4.2.11响应人未在电子交易平台传输递交响应文件的，交易无效；</w:t>
      </w:r>
    </w:p>
    <w:p w14:paraId="4A3B1797">
      <w:pPr>
        <w:pStyle w:val="2"/>
        <w:spacing w:line="440" w:lineRule="exact"/>
        <w:ind w:left="0" w:leftChars="0" w:firstLine="482" w:firstLineChars="200"/>
        <w:rPr>
          <w:rFonts w:hint="eastAsia"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rPr>
        <w:t>4.2.12响应文件不满足</w:t>
      </w:r>
      <w:r>
        <w:rPr>
          <w:rFonts w:hint="eastAsia" w:asciiTheme="minorEastAsia" w:hAnsiTheme="minorEastAsia" w:eastAsiaTheme="minorEastAsia" w:cstheme="minorEastAsia"/>
          <w:color w:val="auto"/>
          <w:kern w:val="0"/>
          <w:sz w:val="24"/>
          <w:szCs w:val="24"/>
          <w:highlight w:val="none"/>
          <w:lang w:val="en-US" w:eastAsia="zh-CN"/>
        </w:rPr>
        <w:t>交易文件</w:t>
      </w:r>
      <w:r>
        <w:rPr>
          <w:rFonts w:hint="eastAsia" w:asciiTheme="minorEastAsia" w:hAnsiTheme="minorEastAsia" w:eastAsiaTheme="minorEastAsia" w:cstheme="minorEastAsia"/>
          <w:color w:val="auto"/>
          <w:kern w:val="0"/>
          <w:sz w:val="24"/>
          <w:szCs w:val="24"/>
          <w:highlight w:val="none"/>
          <w:lang w:val="en-US"/>
        </w:rPr>
        <w:t>的其它实质性要求的；</w:t>
      </w:r>
    </w:p>
    <w:p w14:paraId="5820F1AE">
      <w:pPr>
        <w:spacing w:line="44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4.2.13法律、法规、规章（适用本市的）及省级以上规范性文件（适用本市的）规定的其他无效情形。</w:t>
      </w:r>
    </w:p>
    <w:p w14:paraId="49B12D51">
      <w:pPr>
        <w:pStyle w:val="27"/>
        <w:snapToGrid w:val="0"/>
        <w:spacing w:line="440" w:lineRule="exact"/>
        <w:ind w:firstLine="472" w:firstLineChars="19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根据《中华人民共和国政府采购法》第三十六条之规定，在交易过程中，出现下列情形之一的，应予废标：</w:t>
      </w:r>
    </w:p>
    <w:p w14:paraId="27725505">
      <w:pPr>
        <w:pStyle w:val="27"/>
        <w:snapToGrid w:val="0"/>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5.1符合专业条件的响应人或者对</w:t>
      </w:r>
      <w:r>
        <w:rPr>
          <w:rFonts w:hint="eastAsia" w:asciiTheme="minorEastAsia" w:hAnsiTheme="minorEastAsia" w:eastAsiaTheme="minorEastAsia" w:cstheme="minorEastAsia"/>
          <w:color w:val="auto"/>
          <w:highlight w:val="none"/>
          <w:lang w:eastAsia="zh-CN"/>
        </w:rPr>
        <w:t>交易文件</w:t>
      </w:r>
      <w:r>
        <w:rPr>
          <w:rFonts w:hint="eastAsia" w:asciiTheme="minorEastAsia" w:hAnsiTheme="minorEastAsia" w:eastAsiaTheme="minorEastAsia" w:cstheme="minorEastAsia"/>
          <w:color w:val="auto"/>
          <w:highlight w:val="none"/>
        </w:rPr>
        <w:t>作实质响应的响应人不足3家的；</w:t>
      </w:r>
    </w:p>
    <w:p w14:paraId="330A692A">
      <w:pPr>
        <w:pStyle w:val="27"/>
        <w:snapToGrid w:val="0"/>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14:paraId="171E89C7">
      <w:pPr>
        <w:pStyle w:val="27"/>
        <w:snapToGrid w:val="0"/>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5.3响应人的报价均超过了采购预算，交易发起人不能支付的；</w:t>
      </w:r>
    </w:p>
    <w:p w14:paraId="76EACF49">
      <w:pPr>
        <w:pStyle w:val="27"/>
        <w:snapToGrid w:val="0"/>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14:paraId="02991639">
      <w:pPr>
        <w:pStyle w:val="27"/>
        <w:snapToGrid w:val="0"/>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废标后，代理机构应当将废标理由通知所有响应人。</w:t>
      </w:r>
    </w:p>
    <w:p w14:paraId="581EBD66">
      <w:pPr>
        <w:pStyle w:val="27"/>
        <w:snapToGrid w:val="0"/>
        <w:spacing w:line="440" w:lineRule="exact"/>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w:t>
      </w:r>
      <w:r>
        <w:rPr>
          <w:rFonts w:hint="eastAsia" w:asciiTheme="minorEastAsia" w:hAnsiTheme="minorEastAsia" w:eastAsiaTheme="minorEastAsia" w:cstheme="minorEastAsia"/>
          <w:b/>
          <w:color w:val="auto"/>
          <w:highlight w:val="none"/>
          <w:lang w:eastAsia="zh-CN"/>
        </w:rPr>
        <w:t>交易文件</w:t>
      </w:r>
      <w:r>
        <w:rPr>
          <w:rFonts w:hint="eastAsia" w:asciiTheme="minorEastAsia" w:hAnsiTheme="minorEastAsia" w:eastAsiaTheme="minorEastAsia" w:cstheme="minorEastAsia"/>
          <w:b/>
          <w:color w:val="auto"/>
          <w:highlight w:val="none"/>
        </w:rPr>
        <w:t>，重新组织交易活动。</w:t>
      </w:r>
      <w:r>
        <w:rPr>
          <w:rFonts w:hint="eastAsia" w:asciiTheme="minorEastAsia" w:hAnsiTheme="minorEastAsia" w:eastAsiaTheme="minorEastAsia" w:cstheme="minorEastAsia"/>
          <w:color w:val="auto"/>
          <w:highlight w:val="none"/>
        </w:rPr>
        <w:t>评审委员会发现</w:t>
      </w:r>
      <w:r>
        <w:rPr>
          <w:rFonts w:hint="eastAsia" w:asciiTheme="minorEastAsia" w:hAnsiTheme="minorEastAsia" w:eastAsiaTheme="minorEastAsia" w:cstheme="minorEastAsia"/>
          <w:color w:val="auto"/>
          <w:highlight w:val="none"/>
          <w:lang w:eastAsia="zh-CN"/>
        </w:rPr>
        <w:t>交易文件</w:t>
      </w:r>
      <w:r>
        <w:rPr>
          <w:rFonts w:hint="eastAsia" w:asciiTheme="minorEastAsia" w:hAnsiTheme="minorEastAsia" w:eastAsiaTheme="minorEastAsia" w:cstheme="minorEastAsia"/>
          <w:color w:val="auto"/>
          <w:highlight w:val="none"/>
        </w:rPr>
        <w:t>存在歧义、重大缺陷导致评标工作无法进行，或者</w:t>
      </w:r>
      <w:r>
        <w:rPr>
          <w:rFonts w:hint="eastAsia" w:asciiTheme="minorEastAsia" w:hAnsiTheme="minorEastAsia" w:eastAsiaTheme="minorEastAsia" w:cstheme="minorEastAsia"/>
          <w:color w:val="auto"/>
          <w:highlight w:val="none"/>
          <w:lang w:eastAsia="zh-CN"/>
        </w:rPr>
        <w:t>交易文件</w:t>
      </w:r>
      <w:r>
        <w:rPr>
          <w:rFonts w:hint="eastAsia" w:asciiTheme="minorEastAsia" w:hAnsiTheme="minorEastAsia" w:eastAsiaTheme="minorEastAsia" w:cstheme="minorEastAsia"/>
          <w:color w:val="auto"/>
          <w:highlight w:val="none"/>
        </w:rPr>
        <w:t>内容违反国家有关强制性规定的，将停止评审工作，并与交易发起人、代理机构沟通并作书面记录。交易发起人、代理机构确认后，将修改</w:t>
      </w:r>
      <w:r>
        <w:rPr>
          <w:rFonts w:hint="eastAsia" w:asciiTheme="minorEastAsia" w:hAnsiTheme="minorEastAsia" w:eastAsiaTheme="minorEastAsia" w:cstheme="minorEastAsia"/>
          <w:color w:val="auto"/>
          <w:highlight w:val="none"/>
          <w:lang w:eastAsia="zh-CN"/>
        </w:rPr>
        <w:t>交易文件</w:t>
      </w:r>
      <w:r>
        <w:rPr>
          <w:rFonts w:hint="eastAsia" w:asciiTheme="minorEastAsia" w:hAnsiTheme="minorEastAsia" w:eastAsiaTheme="minorEastAsia" w:cstheme="minorEastAsia"/>
          <w:color w:val="auto"/>
          <w:highlight w:val="none"/>
        </w:rPr>
        <w:t>，重新组织交易活动。</w:t>
      </w:r>
    </w:p>
    <w:p w14:paraId="061C03FC">
      <w:pPr>
        <w:pStyle w:val="27"/>
        <w:snapToGrid w:val="0"/>
        <w:spacing w:line="440" w:lineRule="exact"/>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7.重新开展交易。</w:t>
      </w:r>
      <w:r>
        <w:rPr>
          <w:rFonts w:hint="eastAsia" w:asciiTheme="minorEastAsia" w:hAnsiTheme="minorEastAsia" w:eastAsiaTheme="minorEastAsia" w:cstheme="minorEastAsia"/>
          <w:color w:val="auto"/>
          <w:highlight w:val="none"/>
        </w:rPr>
        <w:t>影响或者可能影响</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、成交结果的，依照下列规定处理：</w:t>
      </w:r>
    </w:p>
    <w:p w14:paraId="1DF6996C">
      <w:pPr>
        <w:pStyle w:val="27"/>
        <w:snapToGrid w:val="0"/>
        <w:spacing w:line="44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或者成交人的，终止本次交易活动，重新开展交易活动。</w:t>
      </w:r>
    </w:p>
    <w:p w14:paraId="7DC9631D">
      <w:pPr>
        <w:pStyle w:val="27"/>
        <w:snapToGrid w:val="0"/>
        <w:spacing w:line="44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或者成交人但尚未签订合同的，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或者成交结果无效，从合格的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或者成交候选人中另行确定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或者成交人；没有合格的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或者成交候选人的，重新开展交易活动。</w:t>
      </w:r>
    </w:p>
    <w:p w14:paraId="6445442D">
      <w:pPr>
        <w:pStyle w:val="27"/>
        <w:snapToGrid w:val="0"/>
        <w:spacing w:line="44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7.3书面合同已签订但尚未履行的，撤销合同，从合格的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或者成交候选人中另行确定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或者成交人；没有合格的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或者成交候选人的，重新开展交易活动。</w:t>
      </w:r>
    </w:p>
    <w:p w14:paraId="4EF2BFDF">
      <w:pPr>
        <w:pStyle w:val="27"/>
        <w:snapToGrid w:val="0"/>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7.4书面合同已经履行，给交易发起人、响应人造成损失的，由责任人承担赔偿责任。</w:t>
      </w:r>
    </w:p>
    <w:p w14:paraId="22BF6A88">
      <w:pPr>
        <w:pStyle w:val="27"/>
        <w:snapToGrid w:val="0"/>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7.5交易当事人有其他违反政府采购法</w:t>
      </w:r>
      <w:r>
        <w:rPr>
          <w:rFonts w:hint="eastAsia" w:asciiTheme="minorEastAsia" w:hAnsiTheme="minorEastAsia" w:eastAsiaTheme="minorEastAsia" w:cstheme="minorEastAsia"/>
          <w:color w:val="auto"/>
          <w:kern w:val="0"/>
          <w:highlight w:val="none"/>
        </w:rPr>
        <w:t>或者政府采购法实施条例等法律法规规定</w:t>
      </w:r>
      <w:r>
        <w:rPr>
          <w:rFonts w:hint="eastAsia" w:asciiTheme="minorEastAsia" w:hAnsiTheme="minorEastAsia" w:eastAsiaTheme="minorEastAsia" w:cstheme="minorEastAsia"/>
          <w:color w:val="auto"/>
          <w:highlight w:val="none"/>
        </w:rPr>
        <w:t>的行为，经改正后仍然影响或者可能影响</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、成交结果或者依法被认定为</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、成交无效的，依照7.1-7.4规定处理。</w:t>
      </w:r>
    </w:p>
    <w:p w14:paraId="5B6A951A">
      <w:pPr>
        <w:pStyle w:val="27"/>
        <w:snapToGrid w:val="0"/>
        <w:spacing w:line="440" w:lineRule="exact"/>
        <w:rPr>
          <w:rFonts w:hint="eastAsia" w:cs="宋体"/>
          <w:color w:val="auto"/>
        </w:rPr>
      </w:pPr>
      <w:r>
        <w:rPr>
          <w:rFonts w:hint="eastAsia" w:cs="宋体"/>
          <w:color w:val="auto"/>
        </w:rPr>
        <w:t xml:space="preserve"> </w:t>
      </w:r>
    </w:p>
    <w:p w14:paraId="552AB842">
      <w:pPr>
        <w:pStyle w:val="16"/>
      </w:pPr>
    </w:p>
    <w:p w14:paraId="13B9018E"/>
    <w:p w14:paraId="6539B0AD">
      <w:pPr>
        <w:spacing w:line="360" w:lineRule="auto"/>
        <w:ind w:left="718" w:leftChars="342" w:firstLine="119" w:firstLineChars="33"/>
        <w:jc w:val="center"/>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3AC0AAA7">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合同编号：</w:t>
      </w:r>
    </w:p>
    <w:p w14:paraId="51F42229">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                                 签订时间：</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年  月  日</w:t>
      </w:r>
    </w:p>
    <w:p w14:paraId="7AC97EC3">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p w14:paraId="0CBDB2ED">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甲方（需方）：                                     </w:t>
      </w:r>
    </w:p>
    <w:p w14:paraId="1306AF15">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乙方（供方）：                                     </w:t>
      </w:r>
    </w:p>
    <w:p w14:paraId="4666362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供、需双方根据项目（交易编号  -  -   ）成交结果和</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的要求，并经双方协调一致，订立本合同。</w:t>
      </w:r>
    </w:p>
    <w:p w14:paraId="6D7F1C69">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一、合同文件：</w:t>
      </w:r>
    </w:p>
    <w:p w14:paraId="365987EF">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1、合同条款。</w:t>
      </w:r>
    </w:p>
    <w:p w14:paraId="07EF2343">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2、成交通知书。</w:t>
      </w:r>
    </w:p>
    <w:p w14:paraId="63FDAAEC">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eastAsia="zh-CN"/>
        </w:rPr>
        <w:t>交易文件</w:t>
      </w:r>
      <w:r>
        <w:rPr>
          <w:rFonts w:hint="eastAsia" w:asciiTheme="minorEastAsia" w:hAnsiTheme="minorEastAsia" w:eastAsiaTheme="minorEastAsia" w:cstheme="minorEastAsia"/>
          <w:color w:val="auto"/>
          <w:highlight w:val="none"/>
        </w:rPr>
        <w:t>。</w:t>
      </w:r>
    </w:p>
    <w:p w14:paraId="179D6642">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4、更正公告。</w:t>
      </w:r>
    </w:p>
    <w:p w14:paraId="4159E202">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5、成交单位响应文件。</w:t>
      </w:r>
    </w:p>
    <w:p w14:paraId="3E868928">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w:t>
      </w:r>
    </w:p>
    <w:p w14:paraId="7526F102">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二、合同金额: 本合同金额为（大写）</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元（￥</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元）人民币。</w:t>
      </w:r>
    </w:p>
    <w:p w14:paraId="1960CD21">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w:t>
      </w:r>
    </w:p>
    <w:p w14:paraId="08FBD933">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《项目清单内容》</w:t>
      </w:r>
    </w:p>
    <w:tbl>
      <w:tblPr>
        <w:tblStyle w:val="63"/>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5F64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7BFA5D0">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563A1EA6">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367BFB8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2E8DC413">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5DBD7A31">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成交总价（元）</w:t>
            </w:r>
          </w:p>
        </w:tc>
      </w:tr>
      <w:tr w14:paraId="1D28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3D6E3752">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112B7C6A">
            <w:pPr>
              <w:spacing w:line="360" w:lineRule="auto"/>
              <w:jc w:val="center"/>
              <w:rPr>
                <w:rFonts w:hint="eastAsia" w:asciiTheme="minorEastAsia" w:hAnsiTheme="minorEastAsia" w:eastAsiaTheme="minorEastAsia" w:cstheme="minorEastAsia"/>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58017998">
            <w:pPr>
              <w:spacing w:line="360" w:lineRule="auto"/>
              <w:jc w:val="center"/>
              <w:rPr>
                <w:rFonts w:hint="eastAsia" w:asciiTheme="minorEastAsia" w:hAnsiTheme="minorEastAsia" w:eastAsiaTheme="minorEastAsia" w:cstheme="minorEastAsia"/>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4C4A14A0">
            <w:pPr>
              <w:spacing w:line="360" w:lineRule="auto"/>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35A965E3">
            <w:pPr>
              <w:spacing w:line="360" w:lineRule="auto"/>
              <w:jc w:val="center"/>
              <w:rPr>
                <w:rFonts w:hint="eastAsia" w:asciiTheme="minorEastAsia" w:hAnsiTheme="minorEastAsia" w:eastAsiaTheme="minorEastAsia" w:cstheme="minorEastAsia"/>
                <w:color w:val="auto"/>
                <w:sz w:val="24"/>
                <w:highlight w:val="none"/>
              </w:rPr>
            </w:pPr>
          </w:p>
        </w:tc>
      </w:tr>
      <w:tr w14:paraId="50A6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D4B8F44">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4C6177F8">
            <w:pPr>
              <w:spacing w:line="360" w:lineRule="auto"/>
              <w:jc w:val="center"/>
              <w:rPr>
                <w:rFonts w:hint="eastAsia" w:asciiTheme="minorEastAsia" w:hAnsiTheme="minorEastAsia" w:eastAsiaTheme="minorEastAsia" w:cstheme="minorEastAsia"/>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1C9ED503">
            <w:pPr>
              <w:spacing w:line="360" w:lineRule="auto"/>
              <w:jc w:val="center"/>
              <w:rPr>
                <w:rFonts w:hint="eastAsia" w:asciiTheme="minorEastAsia" w:hAnsiTheme="minorEastAsia" w:eastAsiaTheme="minorEastAsia" w:cstheme="minorEastAsia"/>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519C1742">
            <w:pPr>
              <w:spacing w:line="360" w:lineRule="auto"/>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524447A3">
            <w:pPr>
              <w:spacing w:line="360" w:lineRule="auto"/>
              <w:jc w:val="center"/>
              <w:rPr>
                <w:rFonts w:hint="eastAsia" w:asciiTheme="minorEastAsia" w:hAnsiTheme="minorEastAsia" w:eastAsiaTheme="minorEastAsia" w:cstheme="minorEastAsia"/>
                <w:color w:val="auto"/>
                <w:sz w:val="24"/>
                <w:highlight w:val="none"/>
              </w:rPr>
            </w:pPr>
          </w:p>
        </w:tc>
      </w:tr>
    </w:tbl>
    <w:p w14:paraId="1618A426">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三、技术资料</w:t>
      </w:r>
    </w:p>
    <w:p w14:paraId="212C9498">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1.乙方应按</w:t>
      </w:r>
      <w:r>
        <w:rPr>
          <w:rFonts w:hint="eastAsia" w:asciiTheme="minorEastAsia" w:hAnsiTheme="minorEastAsia" w:eastAsiaTheme="minorEastAsia" w:cstheme="minorEastAsia"/>
          <w:color w:val="auto"/>
          <w:highlight w:val="none"/>
          <w:lang w:eastAsia="zh-CN"/>
        </w:rPr>
        <w:t>交易文件</w:t>
      </w:r>
      <w:r>
        <w:rPr>
          <w:rFonts w:hint="eastAsia" w:asciiTheme="minorEastAsia" w:hAnsiTheme="minorEastAsia" w:eastAsiaTheme="minorEastAsia" w:cstheme="minorEastAsia"/>
          <w:color w:val="auto"/>
          <w:highlight w:val="none"/>
        </w:rPr>
        <w:t>规定的时间向甲方提供有关技术资料。</w:t>
      </w:r>
    </w:p>
    <w:p w14:paraId="094A1C4B">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2183D4AA">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四、转包或分包</w:t>
      </w:r>
    </w:p>
    <w:p w14:paraId="73952751">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1.本合同范围的服务，应由乙方直接提供，乙方不得将本合同范围的服务全部或部分分包给他人供应；</w:t>
      </w:r>
    </w:p>
    <w:p w14:paraId="49485303">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2.如有转让和未经甲方同意的分包行为，甲方有权解除合同，追究乙方的违约责任。</w:t>
      </w:r>
    </w:p>
    <w:p w14:paraId="5B106019">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五、服务质量保证期</w:t>
      </w:r>
    </w:p>
    <w:p w14:paraId="33CA840B">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服务时间：</w:t>
      </w:r>
    </w:p>
    <w:p w14:paraId="41171415">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六、合同履行时间、履行方式及履行地点</w:t>
      </w:r>
    </w:p>
    <w:p w14:paraId="060DBEA5">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履行时间：</w:t>
      </w:r>
    </w:p>
    <w:p w14:paraId="51CD48F6">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履行方式：按合同履行。</w:t>
      </w:r>
    </w:p>
    <w:p w14:paraId="747EE39E">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履行地点：甲方指定地点内。</w:t>
      </w:r>
    </w:p>
    <w:p w14:paraId="7972B3BC">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七、款项支付</w:t>
      </w:r>
    </w:p>
    <w:p w14:paraId="274F0F12">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参照交易需求。</w:t>
      </w:r>
    </w:p>
    <w:p w14:paraId="4BBE59C7">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八、税费</w:t>
      </w:r>
    </w:p>
    <w:p w14:paraId="616730A3">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本合同执行中相关的一切税费均由乙方负担。</w:t>
      </w:r>
    </w:p>
    <w:p w14:paraId="6E601EEC">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九、质量保证及后续服务</w:t>
      </w:r>
    </w:p>
    <w:p w14:paraId="48906148">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乙方应按</w:t>
      </w:r>
      <w:r>
        <w:rPr>
          <w:rFonts w:hint="eastAsia" w:asciiTheme="minorEastAsia" w:hAnsiTheme="minorEastAsia" w:eastAsiaTheme="minorEastAsia" w:cstheme="minorEastAsia"/>
          <w:color w:val="auto"/>
          <w:highlight w:val="none"/>
          <w:lang w:eastAsia="zh-CN"/>
        </w:rPr>
        <w:t>交易文件</w:t>
      </w:r>
      <w:r>
        <w:rPr>
          <w:rFonts w:hint="eastAsia" w:asciiTheme="minorEastAsia" w:hAnsiTheme="minorEastAsia" w:eastAsiaTheme="minorEastAsia" w:cstheme="minorEastAsia"/>
          <w:color w:val="auto"/>
          <w:highlight w:val="none"/>
        </w:rPr>
        <w:t>规定向甲方提供服务。</w:t>
      </w:r>
    </w:p>
    <w:p w14:paraId="1D5E228C">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乙方提供的服务发生问题或产出重大不良影响的，除按招标文件扣除结算金额外，乙方应负责免费提供后续善后服务，同时承担相应责任。</w:t>
      </w:r>
    </w:p>
    <w:p w14:paraId="76506225">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十、违约责任</w:t>
      </w:r>
    </w:p>
    <w:p w14:paraId="41221568">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1.甲方无正当理由拒绝接收服务的，甲方向乙方偿付合同款项百分之五作为违约金。</w:t>
      </w:r>
    </w:p>
    <w:p w14:paraId="0498495D">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2.乙方未能如期提供服务的，每日向甲方支付合同款项的千分之六作为违约金。乙方超过约定日期3个工作日仍不能提供服务的，甲方可解除本合同，追究乙赔偿责任。  </w:t>
      </w:r>
    </w:p>
    <w:p w14:paraId="5D547578">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3.如发现乙方违反</w:t>
      </w:r>
      <w:r>
        <w:rPr>
          <w:rFonts w:hint="eastAsia" w:asciiTheme="minorEastAsia" w:hAnsiTheme="minorEastAsia" w:eastAsiaTheme="minorEastAsia" w:cstheme="minorEastAsia"/>
          <w:color w:val="auto"/>
          <w:highlight w:val="none"/>
          <w:lang w:eastAsia="zh-CN"/>
        </w:rPr>
        <w:t>交易文件</w:t>
      </w:r>
      <w:r>
        <w:rPr>
          <w:rFonts w:hint="eastAsia" w:asciiTheme="minorEastAsia" w:hAnsiTheme="minorEastAsia" w:eastAsiaTheme="minorEastAsia" w:cstheme="minorEastAsia"/>
          <w:color w:val="auto"/>
          <w:highlight w:val="none"/>
        </w:rPr>
        <w:t>、响应文件和合同的有关规定，甲方有权根据约定和《杭州市政府采购响应人合同履行和售后服务考核暂行办法》，对乙方进行处罚，并有权提前终止合同。</w:t>
      </w:r>
    </w:p>
    <w:p w14:paraId="0D503F90">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十一、争议的解决</w:t>
      </w:r>
    </w:p>
    <w:p w14:paraId="6567ABA3">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因本合同引起的或与本合同有关的任何争议，合同双方应首先通过协商解决，达成书面协议，如协商不成，可选择下列方式解决。</w:t>
      </w:r>
    </w:p>
    <w:p w14:paraId="56980147">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1.提请杭州仲裁委员会按照该会仲裁规则进行仲裁，仲裁裁决是终局的，对合同双方均有约束力。</w:t>
      </w:r>
    </w:p>
    <w:p w14:paraId="1E711D38">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2.向有管辖权的人民法院提起诉讼。</w:t>
      </w:r>
    </w:p>
    <w:p w14:paraId="465464A7">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十二、合同生效</w:t>
      </w:r>
    </w:p>
    <w:p w14:paraId="10F00912">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1.成交方持成交通知书作为与需方签订合同的凭证。</w:t>
      </w:r>
    </w:p>
    <w:p w14:paraId="05884862">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2.本合同经需、供双方法定代表人或其授权委托人签字并加盖单位公章或合同章后生效。</w:t>
      </w:r>
    </w:p>
    <w:p w14:paraId="166FFA64">
      <w:pPr>
        <w:pStyle w:val="27"/>
        <w:snapToGrid w:val="0"/>
        <w:spacing w:line="360" w:lineRule="auto"/>
        <w:rPr>
          <w:rFonts w:hint="eastAsia" w:asciiTheme="minorEastAsia" w:hAnsiTheme="minorEastAsia" w:eastAsiaTheme="minorEastAsia" w:cstheme="minorEastAsia"/>
          <w:color w:val="auto"/>
          <w:highlight w:val="none"/>
        </w:rPr>
      </w:pPr>
    </w:p>
    <w:p w14:paraId="3AFBFB6F">
      <w:pPr>
        <w:pStyle w:val="27"/>
        <w:snapToGrid w:val="0"/>
        <w:spacing w:line="360" w:lineRule="auto"/>
        <w:rPr>
          <w:rFonts w:hint="eastAsia" w:asciiTheme="minorEastAsia" w:hAnsiTheme="minorEastAsia" w:eastAsiaTheme="minorEastAsia" w:cstheme="minorEastAsia"/>
          <w:color w:val="auto"/>
          <w:highlight w:val="none"/>
        </w:rPr>
      </w:pPr>
    </w:p>
    <w:p w14:paraId="5D549A00">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需方（盖章）：                     供方（盖章）：</w:t>
      </w:r>
    </w:p>
    <w:p w14:paraId="03EB2757">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                             地址：</w:t>
      </w:r>
    </w:p>
    <w:p w14:paraId="3090A2BE">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法定代表人（或委托代理人）签名：   法定代表人（或委托代理人）签名：</w:t>
      </w:r>
    </w:p>
    <w:p w14:paraId="6C1B0ECB">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                         联系电话：</w:t>
      </w:r>
    </w:p>
    <w:p w14:paraId="6F2FDA90">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邮政编码：                         邮政编码：</w:t>
      </w:r>
    </w:p>
    <w:p w14:paraId="684504FA">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开户银行：                         开户银行：      </w:t>
      </w:r>
    </w:p>
    <w:p w14:paraId="23EDEFB7">
      <w:pPr>
        <w:pStyle w:val="26"/>
        <w:rPr>
          <w:rFonts w:ascii="宋体" w:hAnsi="宋体" w:cs="宋体"/>
          <w:color w:val="auto"/>
          <w:sz w:val="24"/>
        </w:rPr>
      </w:pPr>
      <w:r>
        <w:rPr>
          <w:rFonts w:hint="eastAsia" w:asciiTheme="minorEastAsia" w:hAnsiTheme="minorEastAsia" w:eastAsiaTheme="minorEastAsia" w:cstheme="minorEastAsia"/>
          <w:color w:val="auto"/>
          <w:highlight w:val="none"/>
        </w:rPr>
        <w:t>帐号：                             帐号：</w:t>
      </w:r>
      <w:r>
        <w:rPr>
          <w:rFonts w:hint="eastAsia" w:asciiTheme="minorEastAsia" w:hAnsiTheme="minorEastAsia" w:eastAsiaTheme="minorEastAsia" w:cstheme="minorEastAsia"/>
          <w:color w:val="auto"/>
          <w:highlight w:val="none"/>
        </w:rPr>
        <w:br w:type="page"/>
      </w:r>
    </w:p>
    <w:p w14:paraId="7FB74287">
      <w:pPr>
        <w:rPr>
          <w:rFonts w:ascii="宋体" w:hAnsi="宋体" w:cs="宋体"/>
          <w:color w:val="auto"/>
        </w:rPr>
      </w:pPr>
    </w:p>
    <w:bookmarkEnd w:id="397"/>
    <w:bookmarkEnd w:id="398"/>
    <w:p w14:paraId="7523AD89">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 xml:space="preserve"> 一、 符合参加交易活动应当具备的一般条件的承诺函</w:t>
      </w:r>
    </w:p>
    <w:p w14:paraId="1480BC1A">
      <w:pPr>
        <w:snapToGrid w:val="0"/>
        <w:spacing w:line="360" w:lineRule="auto"/>
        <w:rPr>
          <w:rFonts w:hint="eastAsia" w:asciiTheme="minorEastAsia" w:hAnsiTheme="minorEastAsia" w:eastAsiaTheme="minorEastAsia" w:cstheme="minorEastAsia"/>
          <w:color w:val="auto"/>
          <w:sz w:val="24"/>
          <w:highlight w:val="none"/>
        </w:rPr>
      </w:pPr>
    </w:p>
    <w:p w14:paraId="15969D7E">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（交易发起人）、（代理机构）：</w:t>
      </w:r>
    </w:p>
    <w:p w14:paraId="7BF7D868">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u w:val="single"/>
          <w:lang w:val="en-US" w:eastAsia="zh-CN"/>
        </w:rPr>
        <w:t>项目</w:t>
      </w:r>
      <w:r>
        <w:rPr>
          <w:rFonts w:hint="eastAsia" w:asciiTheme="minorEastAsia" w:hAnsiTheme="minorEastAsia" w:eastAsiaTheme="minorEastAsia" w:cstheme="minorEastAsia"/>
          <w:color w:val="auto"/>
          <w:sz w:val="24"/>
          <w:highlight w:val="none"/>
          <w:u w:val="single"/>
        </w:rPr>
        <w:t>编号：】</w:t>
      </w:r>
      <w:r>
        <w:rPr>
          <w:rFonts w:hint="eastAsia" w:asciiTheme="minorEastAsia" w:hAnsiTheme="minorEastAsia" w:eastAsiaTheme="minorEastAsia" w:cstheme="minorEastAsia"/>
          <w:color w:val="auto"/>
          <w:sz w:val="24"/>
          <w:highlight w:val="none"/>
        </w:rPr>
        <w:t>交易活动，郑重承诺：</w:t>
      </w:r>
    </w:p>
    <w:p w14:paraId="22DFF597">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（一）具备以下条件：</w:t>
      </w:r>
    </w:p>
    <w:p w14:paraId="5A74CCE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5F15C148">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339C621C">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025E83DA">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011C6BAF">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5、参加交易活动前三年内，在经营活动中没有重大违法记录；</w:t>
      </w:r>
    </w:p>
    <w:p w14:paraId="5BC8748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51615661">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648E69E4">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6278902F">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26C53AF2">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响应人名称(电子签名)：</w:t>
      </w:r>
    </w:p>
    <w:p w14:paraId="7314B14E">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月日</w:t>
      </w:r>
    </w:p>
    <w:p w14:paraId="507F94B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7DB56C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3FFF9BA">
      <w:pPr>
        <w:pStyle w:val="2"/>
        <w:rPr>
          <w:rFonts w:hint="eastAsia" w:asciiTheme="minorEastAsia" w:hAnsiTheme="minorEastAsia" w:eastAsiaTheme="minorEastAsia" w:cstheme="minorEastAsia"/>
          <w:b/>
          <w:color w:val="auto"/>
          <w:kern w:val="0"/>
          <w:sz w:val="32"/>
          <w:szCs w:val="32"/>
          <w:highlight w:val="none"/>
        </w:rPr>
      </w:pPr>
    </w:p>
    <w:p w14:paraId="1996477D">
      <w:pPr>
        <w:rPr>
          <w:rFonts w:hint="eastAsia" w:asciiTheme="minorEastAsia" w:hAnsiTheme="minorEastAsia" w:eastAsiaTheme="minorEastAsia" w:cstheme="minorEastAsia"/>
          <w:b/>
          <w:color w:val="auto"/>
          <w:kern w:val="0"/>
          <w:sz w:val="32"/>
          <w:szCs w:val="32"/>
          <w:highlight w:val="none"/>
        </w:rPr>
      </w:pPr>
    </w:p>
    <w:p w14:paraId="697D93D8">
      <w:pPr>
        <w:pStyle w:val="2"/>
        <w:rPr>
          <w:rFonts w:hint="eastAsia" w:asciiTheme="minorEastAsia" w:hAnsiTheme="minorEastAsia" w:eastAsiaTheme="minorEastAsia" w:cstheme="minorEastAsia"/>
          <w:b/>
          <w:color w:val="auto"/>
          <w:kern w:val="0"/>
          <w:sz w:val="32"/>
          <w:szCs w:val="32"/>
          <w:highlight w:val="none"/>
        </w:rPr>
      </w:pPr>
    </w:p>
    <w:p w14:paraId="49201B61">
      <w:pPr>
        <w:rPr>
          <w:rFonts w:hint="eastAsia" w:asciiTheme="minorEastAsia" w:hAnsiTheme="minorEastAsia" w:eastAsiaTheme="minorEastAsia" w:cstheme="minorEastAsia"/>
          <w:b/>
          <w:color w:val="auto"/>
          <w:kern w:val="0"/>
          <w:sz w:val="32"/>
          <w:szCs w:val="32"/>
          <w:highlight w:val="none"/>
        </w:rPr>
      </w:pPr>
    </w:p>
    <w:p w14:paraId="07F4EF31">
      <w:pPr>
        <w:pStyle w:val="2"/>
        <w:rPr>
          <w:rFonts w:hint="eastAsia"/>
        </w:rPr>
      </w:pPr>
    </w:p>
    <w:p w14:paraId="71B1C316">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1CC8E42">
      <w:pPr>
        <w:rPr>
          <w:rFonts w:hint="eastAsia" w:asciiTheme="minorEastAsia" w:hAnsiTheme="minorEastAsia" w:eastAsiaTheme="minorEastAsia" w:cstheme="minorEastAsia"/>
          <w:color w:val="auto"/>
          <w:highlight w:val="none"/>
        </w:rPr>
      </w:pPr>
    </w:p>
    <w:p w14:paraId="19C0F0BA">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3355C072">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43D33D81">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二、本项目的特定资格要求</w:t>
      </w:r>
    </w:p>
    <w:p w14:paraId="6A9AB9B6">
      <w:pPr>
        <w:spacing w:line="360" w:lineRule="auto"/>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color w:val="auto"/>
          <w:sz w:val="24"/>
          <w:highlight w:val="none"/>
        </w:rPr>
        <w:t>（根据交易公告本项目的特定资格要求提供相应的材料；未要求的，无需提供）</w:t>
      </w:r>
    </w:p>
    <w:p w14:paraId="12B87ED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24A8A5F">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58CE03FA">
      <w:pP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727076FE">
      <w:pPr>
        <w:spacing w:line="360" w:lineRule="auto"/>
        <w:ind w:right="420"/>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1C0F5D93">
      <w:pPr>
        <w:spacing w:line="360" w:lineRule="auto"/>
        <w:jc w:val="center"/>
        <w:outlineLvl w:val="0"/>
        <w:rPr>
          <w:rFonts w:hint="eastAsia" w:asciiTheme="minorEastAsia" w:hAnsiTheme="minorEastAsia" w:eastAsiaTheme="minorEastAsia" w:cstheme="minorEastAsia"/>
          <w:b/>
          <w:color w:val="auto"/>
          <w:kern w:val="0"/>
          <w:sz w:val="24"/>
          <w:highlight w:val="none"/>
        </w:rPr>
      </w:pPr>
    </w:p>
    <w:p w14:paraId="1E884232">
      <w:pPr>
        <w:spacing w:line="360" w:lineRule="auto"/>
        <w:jc w:val="center"/>
        <w:outlineLvl w:val="0"/>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目录</w:t>
      </w:r>
    </w:p>
    <w:p w14:paraId="6AF334E0">
      <w:pPr>
        <w:snapToGrid w:val="0"/>
        <w:spacing w:line="360" w:lineRule="auto"/>
        <w:ind w:left="479" w:leftChars="228"/>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（1）交易函</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（2）授权委托书或法定代表人（单位负责人、自然人本人）身份证明</w:t>
      </w:r>
      <w:r>
        <w:rPr>
          <w:rFonts w:hint="eastAsia" w:asciiTheme="minorEastAsia" w:hAnsiTheme="minorEastAsia" w:eastAsiaTheme="minorEastAsia" w:cstheme="minorEastAsia"/>
          <w:color w:val="auto"/>
          <w:highlight w:val="none"/>
        </w:rPr>
        <w:t>……（页码）</w:t>
      </w:r>
    </w:p>
    <w:p w14:paraId="08C64C0F">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（3）营业执照</w:t>
      </w:r>
      <w:r>
        <w:rPr>
          <w:rFonts w:hint="eastAsia" w:asciiTheme="minorEastAsia" w:hAnsiTheme="minorEastAsia" w:eastAsiaTheme="minorEastAsia" w:cstheme="minorEastAsia"/>
          <w:color w:val="auto"/>
          <w:highlight w:val="none"/>
        </w:rPr>
        <w:t>………………………………………………………………………（页码）</w:t>
      </w:r>
    </w:p>
    <w:p w14:paraId="7446CE8B">
      <w:pPr>
        <w:snapToGrid w:val="0"/>
        <w:spacing w:line="360" w:lineRule="auto"/>
        <w:ind w:firstLine="480" w:firstLineChars="200"/>
        <w:jc w:val="distribut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（4）符合性审查资料</w:t>
      </w:r>
      <w:r>
        <w:rPr>
          <w:rFonts w:hint="eastAsia" w:asciiTheme="minorEastAsia" w:hAnsiTheme="minorEastAsia" w:eastAsiaTheme="minorEastAsia" w:cstheme="minorEastAsia"/>
          <w:color w:val="auto"/>
          <w:highlight w:val="none"/>
        </w:rPr>
        <w:t>……………………………………………………………（页码）</w:t>
      </w:r>
    </w:p>
    <w:p w14:paraId="6D722A67">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（5）评审标准相应的商务技术资料</w:t>
      </w:r>
      <w:r>
        <w:rPr>
          <w:rFonts w:hint="eastAsia" w:asciiTheme="minorEastAsia" w:hAnsiTheme="minorEastAsia" w:eastAsiaTheme="minorEastAsia" w:cstheme="minorEastAsia"/>
          <w:color w:val="auto"/>
          <w:highlight w:val="none"/>
        </w:rPr>
        <w:t>…………………………………………（页码）</w:t>
      </w:r>
    </w:p>
    <w:p w14:paraId="7BC354EF">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（6）商务技术偏离表</w:t>
      </w:r>
      <w:r>
        <w:rPr>
          <w:rFonts w:hint="eastAsia" w:asciiTheme="minorEastAsia" w:hAnsiTheme="minorEastAsia" w:eastAsiaTheme="minorEastAsia" w:cstheme="minorEastAsia"/>
          <w:color w:val="auto"/>
          <w:highlight w:val="none"/>
        </w:rPr>
        <w:t>……………………………………………………………（页码）</w:t>
      </w:r>
    </w:p>
    <w:p w14:paraId="55AAA879">
      <w:pPr>
        <w:snapToGrid w:val="0"/>
        <w:spacing w:line="360" w:lineRule="auto"/>
        <w:ind w:left="479" w:leftChars="228"/>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color w:val="auto"/>
          <w:sz w:val="24"/>
          <w:highlight w:val="none"/>
          <w:lang w:val="zh-CN"/>
        </w:rPr>
        <w:t>响应人廉洁自律承诺书</w:t>
      </w:r>
      <w:r>
        <w:rPr>
          <w:rFonts w:hint="eastAsia" w:asciiTheme="minorEastAsia" w:hAnsiTheme="minorEastAsia" w:eastAsiaTheme="minorEastAsia" w:cstheme="minorEastAsia"/>
          <w:color w:val="auto"/>
          <w:highlight w:val="none"/>
        </w:rPr>
        <w:t>…………………………………………………（页码）</w:t>
      </w:r>
    </w:p>
    <w:p w14:paraId="7503667C">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7B81E68">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2507C34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3D9CC0C8">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1DE8FCE">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C1EED8D">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7312D375">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2CEC67D8">
      <w:pPr>
        <w:rPr>
          <w:rFonts w:hint="eastAsia" w:asciiTheme="minorEastAsia" w:hAnsiTheme="minorEastAsia" w:eastAsiaTheme="minorEastAsia" w:cstheme="minorEastAsia"/>
          <w:color w:val="auto"/>
          <w:highlight w:val="none"/>
        </w:rPr>
      </w:pPr>
    </w:p>
    <w:p w14:paraId="6AF4EB80">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47CA3B86">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57040590">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45992D11">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40038667">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1AF3D389">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05538342">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3C1C5C58">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一、交易函</w:t>
      </w:r>
    </w:p>
    <w:p w14:paraId="7D8B0FC4">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（交易发起人）、（代理机构）：</w:t>
      </w:r>
    </w:p>
    <w:p w14:paraId="5222C934">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sz w:val="24"/>
          <w:highlight w:val="none"/>
        </w:rPr>
        <w:t>招标的有关活动，并对此项目进行投标。为此：</w:t>
      </w:r>
    </w:p>
    <w:p w14:paraId="1B171009">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1、我方承诺交易有效期从提交响应文件的截止之日起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本响应文件在交易有效期满之前均具有约束力。</w:t>
      </w:r>
    </w:p>
    <w:p w14:paraId="6F7CBD33">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2、我方的响应文件包括以下内容：</w:t>
      </w:r>
    </w:p>
    <w:p w14:paraId="3A909227">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314D8AD1">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14:paraId="15B5ADC8">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2.1.2本项目的特定资格要求（如果有）。</w:t>
      </w:r>
    </w:p>
    <w:p w14:paraId="4ABD5E44">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2商务技术</w:t>
      </w:r>
      <w:r>
        <w:rPr>
          <w:rFonts w:hint="eastAsia" w:asciiTheme="minorEastAsia" w:hAnsiTheme="minorEastAsia" w:eastAsiaTheme="minorEastAsia" w:cstheme="minorEastAsia"/>
          <w:color w:val="auto"/>
          <w:sz w:val="24"/>
          <w:highlight w:val="none"/>
          <w:lang w:val="zh-CN"/>
        </w:rPr>
        <w:t>文件：</w:t>
      </w:r>
    </w:p>
    <w:p w14:paraId="2A92ED14">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2.2.1交易函；</w:t>
      </w:r>
    </w:p>
    <w:p w14:paraId="7F71E7ED">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14:paraId="4AE88DAA">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2.2.3营业执照；</w:t>
      </w:r>
    </w:p>
    <w:p w14:paraId="0BBD9160">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14:paraId="08E372DC">
      <w:pPr>
        <w:snapToGrid w:val="0"/>
        <w:spacing w:line="440" w:lineRule="exact"/>
        <w:ind w:left="420" w:leftChars="20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2.2.5评审标准相应的商务技术资料；</w:t>
      </w:r>
    </w:p>
    <w:p w14:paraId="34E4D0BF">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2.2.6商务技术偏离表；</w:t>
      </w:r>
    </w:p>
    <w:p w14:paraId="1CAF2F91">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w:t>
      </w:r>
      <w:r>
        <w:rPr>
          <w:rFonts w:hint="eastAsia" w:asciiTheme="minorEastAsia" w:hAnsiTheme="minorEastAsia" w:eastAsiaTheme="minorEastAsia" w:cstheme="minorEastAsia"/>
          <w:color w:val="auto"/>
          <w:sz w:val="24"/>
          <w:highlight w:val="none"/>
          <w:lang w:val="zh-CN"/>
        </w:rPr>
        <w:t>响应人廉洁自律承诺书。</w:t>
      </w:r>
    </w:p>
    <w:p w14:paraId="0E93277A">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7C33618F">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2.3.1交易一览表（报价表）。</w:t>
      </w:r>
    </w:p>
    <w:p w14:paraId="6D1AA730">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的全部要求。</w:t>
      </w:r>
    </w:p>
    <w:p w14:paraId="0625A07D">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4、如我方成交，我方承诺：</w:t>
      </w:r>
    </w:p>
    <w:p w14:paraId="41957447">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4.1在收到成交通知书后，在成交通知书规定的期限内与你方签订合同； </w:t>
      </w:r>
    </w:p>
    <w:p w14:paraId="259172B8">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52F19EAD">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4.3按照</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 xml:space="preserve">要求提交履约保证金； </w:t>
      </w:r>
    </w:p>
    <w:p w14:paraId="63B33143">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78D1799C">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1BFC2FF">
      <w:pPr>
        <w:spacing w:line="440" w:lineRule="exact"/>
        <w:ind w:firstLine="3600" w:firstLineChars="1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响应人名称（电子签名）：                          </w:t>
      </w:r>
    </w:p>
    <w:p w14:paraId="104920D0">
      <w:pPr>
        <w:spacing w:line="440" w:lineRule="exact"/>
        <w:jc w:val="center"/>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sz w:val="24"/>
          <w:highlight w:val="none"/>
        </w:rPr>
        <w:t xml:space="preserve">     日期：  年   月   日</w:t>
      </w:r>
    </w:p>
    <w:p w14:paraId="66F1AC97">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0254ED17">
      <w:pPr>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二、授权委托书或法定代表人（单位负责人、自然人本人）身份证明</w:t>
      </w:r>
    </w:p>
    <w:p w14:paraId="405B2154">
      <w:pPr>
        <w:snapToGrid w:val="0"/>
        <w:spacing w:line="360" w:lineRule="auto"/>
        <w:rPr>
          <w:rFonts w:hint="eastAsia" w:asciiTheme="minorEastAsia" w:hAnsiTheme="minorEastAsia" w:eastAsiaTheme="minorEastAsia" w:cstheme="minorEastAsia"/>
          <w:color w:val="auto"/>
          <w:sz w:val="24"/>
          <w:highlight w:val="none"/>
        </w:rPr>
      </w:pPr>
    </w:p>
    <w:p w14:paraId="2433AB20">
      <w:pPr>
        <w:snapToGrid w:val="0"/>
        <w:spacing w:line="360" w:lineRule="auto"/>
        <w:ind w:firstLine="2872" w:firstLineChars="8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w:t>
      </w:r>
    </w:p>
    <w:p w14:paraId="349C5ADC">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2CEF6E78">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委托（姓名）为我方代理人（身份证号码：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kern w:val="0"/>
          <w:sz w:val="24"/>
          <w:highlight w:val="none"/>
          <w:lang w:val="zh-CN"/>
        </w:rPr>
        <w:t>交易项目的一切事项，其法律后果由我方承担。</w:t>
      </w:r>
    </w:p>
    <w:p w14:paraId="17A85E0E">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日止。</w:t>
      </w:r>
    </w:p>
    <w:p w14:paraId="243E0680">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特此告知。</w:t>
      </w:r>
    </w:p>
    <w:p w14:paraId="5337E9F1">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响应人名称(电子签名)：</w:t>
      </w:r>
    </w:p>
    <w:p w14:paraId="11785EBC">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 xml:space="preserve">                                               签发日期：  年  月   日</w:t>
      </w:r>
    </w:p>
    <w:p w14:paraId="56D700C1">
      <w:pPr>
        <w:snapToGrid w:val="0"/>
        <w:spacing w:line="360" w:lineRule="auto"/>
        <w:rPr>
          <w:rFonts w:hint="eastAsia" w:asciiTheme="minorEastAsia" w:hAnsiTheme="minorEastAsia" w:eastAsiaTheme="minorEastAsia" w:cstheme="minorEastAsia"/>
          <w:color w:val="auto"/>
          <w:kern w:val="0"/>
          <w:sz w:val="24"/>
          <w:highlight w:val="none"/>
          <w:lang w:val="zh-CN"/>
        </w:rPr>
      </w:pPr>
    </w:p>
    <w:p w14:paraId="229BB193">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的身份证明（适用于法定代表人、单位负责人或者自然人本人代表响应人参加投标）</w:t>
      </w:r>
    </w:p>
    <w:p w14:paraId="458DCA5F">
      <w:pPr>
        <w:pStyle w:val="15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F71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315AFCF7">
            <w:pPr>
              <w:pStyle w:val="150"/>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01DB7C79">
            <w:pPr>
              <w:pStyle w:val="150"/>
              <w:adjustRightInd w:val="0"/>
              <w:spacing w:line="360" w:lineRule="auto"/>
              <w:rPr>
                <w:rFonts w:hint="eastAsia" w:asciiTheme="minorEastAsia" w:hAnsiTheme="minorEastAsia" w:eastAsiaTheme="minorEastAsia" w:cstheme="minorEastAsia"/>
                <w:bCs/>
                <w:color w:val="auto"/>
                <w:sz w:val="24"/>
                <w:highlight w:val="none"/>
              </w:rPr>
            </w:pPr>
          </w:p>
        </w:tc>
      </w:tr>
    </w:tbl>
    <w:p w14:paraId="519AF0A3">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0DDBCF3A">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响应人名称(电子签名)：                              </w:t>
      </w:r>
    </w:p>
    <w:p w14:paraId="5880CDA8">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617F7341">
      <w:pPr>
        <w:pStyle w:val="2"/>
        <w:rPr>
          <w:rFonts w:hint="eastAsia" w:asciiTheme="minorEastAsia" w:hAnsiTheme="minorEastAsia" w:eastAsiaTheme="minorEastAsia" w:cstheme="minorEastAsia"/>
          <w:color w:val="auto"/>
          <w:kern w:val="0"/>
          <w:sz w:val="24"/>
          <w:highlight w:val="none"/>
          <w:lang w:val="zh-CN"/>
        </w:rPr>
      </w:pPr>
    </w:p>
    <w:p w14:paraId="522C4152">
      <w:pPr>
        <w:rPr>
          <w:rFonts w:hint="eastAsia"/>
          <w:lang w:val="zh-CN"/>
        </w:rPr>
      </w:pPr>
    </w:p>
    <w:p w14:paraId="07559D34">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三、营业执照</w:t>
      </w:r>
    </w:p>
    <w:p w14:paraId="7FC0B4F2">
      <w:pPr>
        <w:jc w:val="center"/>
        <w:rPr>
          <w:rFonts w:hint="eastAsia" w:asciiTheme="minorEastAsia" w:hAnsiTheme="minorEastAsia" w:eastAsiaTheme="minorEastAsia" w:cstheme="minorEastAsia"/>
          <w:b/>
          <w:color w:val="auto"/>
          <w:kern w:val="0"/>
          <w:sz w:val="32"/>
          <w:szCs w:val="32"/>
          <w:highlight w:val="none"/>
        </w:rPr>
      </w:pP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FC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6779D98D">
            <w:pPr>
              <w:pStyle w:val="150"/>
              <w:adjustRightInd w:val="0"/>
              <w:spacing w:line="360" w:lineRule="auto"/>
              <w:rPr>
                <w:rFonts w:hint="eastAsia" w:asciiTheme="minorEastAsia" w:hAnsiTheme="minorEastAsia" w:eastAsiaTheme="minorEastAsia" w:cstheme="minorEastAsia"/>
                <w:bCs/>
                <w:color w:val="auto"/>
                <w:sz w:val="24"/>
                <w:highlight w:val="none"/>
              </w:rPr>
            </w:pPr>
          </w:p>
        </w:tc>
      </w:tr>
    </w:tbl>
    <w:p w14:paraId="396E3D87">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71F4915F">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1F1E1C19">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响应人名称(电子签名)：                              </w:t>
      </w:r>
    </w:p>
    <w:p w14:paraId="44DB0634">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0DD6DF14">
      <w:pPr>
        <w:jc w:val="center"/>
        <w:rPr>
          <w:rFonts w:hint="eastAsia" w:asciiTheme="minorEastAsia" w:hAnsiTheme="minorEastAsia" w:eastAsiaTheme="minorEastAsia" w:cstheme="minorEastAsia"/>
          <w:b/>
          <w:color w:val="auto"/>
          <w:kern w:val="0"/>
          <w:sz w:val="32"/>
          <w:szCs w:val="32"/>
          <w:highlight w:val="none"/>
        </w:rPr>
      </w:pPr>
    </w:p>
    <w:p w14:paraId="6A787831">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14:paraId="67B034DB">
      <w:pPr>
        <w:jc w:val="center"/>
        <w:rPr>
          <w:rFonts w:hint="eastAsia" w:asciiTheme="minorEastAsia" w:hAnsiTheme="minorEastAsia" w:eastAsiaTheme="minorEastAsia" w:cstheme="minorEastAsia"/>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0BF2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7678B64">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3976" w:type="dxa"/>
            <w:vAlign w:val="center"/>
          </w:tcPr>
          <w:p w14:paraId="2CF9F15E">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3566" w:type="dxa"/>
            <w:vAlign w:val="center"/>
          </w:tcPr>
          <w:p w14:paraId="279E5764">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418" w:type="dxa"/>
            <w:vAlign w:val="center"/>
          </w:tcPr>
          <w:p w14:paraId="646AC455">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响应文件中的</w:t>
            </w:r>
          </w:p>
          <w:p w14:paraId="55590B3E">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6104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08A827">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976" w:type="dxa"/>
            <w:vAlign w:val="center"/>
          </w:tcPr>
          <w:p w14:paraId="2BE29A6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响应文件按照</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要求签署、盖章。</w:t>
            </w:r>
          </w:p>
        </w:tc>
        <w:tc>
          <w:tcPr>
            <w:tcW w:w="3566" w:type="dxa"/>
            <w:vAlign w:val="center"/>
          </w:tcPr>
          <w:p w14:paraId="688BF77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需要使用电子签名或者签字盖章的响应文件的组成部分</w:t>
            </w:r>
          </w:p>
        </w:tc>
        <w:tc>
          <w:tcPr>
            <w:tcW w:w="1418" w:type="dxa"/>
            <w:vAlign w:val="center"/>
          </w:tcPr>
          <w:p w14:paraId="6EBF9268">
            <w:pPr>
              <w:jc w:val="center"/>
              <w:rPr>
                <w:rFonts w:hint="eastAsia" w:asciiTheme="minorEastAsia" w:hAnsiTheme="minorEastAsia" w:eastAsiaTheme="minorEastAsia" w:cstheme="minorEastAsia"/>
                <w:color w:val="auto"/>
                <w:sz w:val="24"/>
                <w:highlight w:val="none"/>
              </w:rPr>
            </w:pPr>
          </w:p>
          <w:p w14:paraId="35478C79">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w:t>
            </w:r>
          </w:p>
          <w:p w14:paraId="7A1DB08C">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72DE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0AD810">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3976" w:type="dxa"/>
            <w:vAlign w:val="center"/>
          </w:tcPr>
          <w:p w14:paraId="3069ED2A">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响应文件中承诺的交易有效期不少于</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中载明的交易有效期。</w:t>
            </w:r>
          </w:p>
        </w:tc>
        <w:tc>
          <w:tcPr>
            <w:tcW w:w="3566" w:type="dxa"/>
            <w:vAlign w:val="center"/>
          </w:tcPr>
          <w:p w14:paraId="6EF9B698">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交易函</w:t>
            </w:r>
          </w:p>
        </w:tc>
        <w:tc>
          <w:tcPr>
            <w:tcW w:w="1418" w:type="dxa"/>
            <w:vAlign w:val="center"/>
          </w:tcPr>
          <w:p w14:paraId="318287BA">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13E1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602D20">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3976" w:type="dxa"/>
            <w:vAlign w:val="center"/>
          </w:tcPr>
          <w:p w14:paraId="12C25894">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响应文件满足</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的其它实质性要求。</w:t>
            </w:r>
          </w:p>
        </w:tc>
        <w:tc>
          <w:tcPr>
            <w:tcW w:w="3566" w:type="dxa"/>
            <w:vAlign w:val="center"/>
          </w:tcPr>
          <w:p w14:paraId="09F4A4F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eastAsia="zh-CN"/>
              </w:rPr>
              <w:t>交易文件</w:t>
            </w:r>
            <w:r>
              <w:rPr>
                <w:rFonts w:hint="eastAsia" w:asciiTheme="minorEastAsia" w:hAnsiTheme="minorEastAsia" w:eastAsiaTheme="minorEastAsia" w:cstheme="minorEastAsia"/>
                <w:color w:val="auto"/>
                <w:kern w:val="0"/>
                <w:sz w:val="24"/>
                <w:highlight w:val="none"/>
              </w:rPr>
              <w:t>其它实质性要求相应的材料（“▲” 系指实质性要求条款，</w:t>
            </w:r>
            <w:r>
              <w:rPr>
                <w:rFonts w:hint="eastAsia" w:asciiTheme="minorEastAsia" w:hAnsiTheme="minorEastAsia" w:eastAsiaTheme="minorEastAsia" w:cstheme="minorEastAsia"/>
                <w:color w:val="auto"/>
                <w:kern w:val="0"/>
                <w:sz w:val="24"/>
                <w:highlight w:val="none"/>
                <w:lang w:eastAsia="zh-CN"/>
              </w:rPr>
              <w:t>交易文件</w:t>
            </w:r>
            <w:r>
              <w:rPr>
                <w:rFonts w:hint="eastAsia" w:asciiTheme="minorEastAsia" w:hAnsiTheme="minorEastAsia" w:eastAsiaTheme="minorEastAsia" w:cstheme="minorEastAsia"/>
                <w:color w:val="auto"/>
                <w:kern w:val="0"/>
                <w:sz w:val="24"/>
                <w:highlight w:val="none"/>
              </w:rPr>
              <w:t>无其它实质性要求的，无需提供）</w:t>
            </w:r>
          </w:p>
        </w:tc>
        <w:tc>
          <w:tcPr>
            <w:tcW w:w="1418" w:type="dxa"/>
            <w:vAlign w:val="center"/>
          </w:tcPr>
          <w:p w14:paraId="371CAA5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1E76FDED">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5CBB1F2">
      <w:pPr>
        <w:jc w:val="center"/>
        <w:rPr>
          <w:rFonts w:hint="eastAsia" w:asciiTheme="minorEastAsia" w:hAnsiTheme="minorEastAsia" w:eastAsiaTheme="minorEastAsia" w:cstheme="minorEastAsia"/>
          <w:b/>
          <w:color w:val="auto"/>
          <w:kern w:val="0"/>
          <w:sz w:val="32"/>
          <w:szCs w:val="32"/>
          <w:highlight w:val="none"/>
        </w:rPr>
      </w:pPr>
    </w:p>
    <w:p w14:paraId="4BB66AA3">
      <w:pPr>
        <w:jc w:val="center"/>
        <w:rPr>
          <w:rFonts w:hint="eastAsia" w:asciiTheme="minorEastAsia" w:hAnsiTheme="minorEastAsia" w:eastAsiaTheme="minorEastAsia" w:cstheme="minorEastAsia"/>
          <w:b/>
          <w:color w:val="auto"/>
          <w:kern w:val="0"/>
          <w:sz w:val="32"/>
          <w:szCs w:val="32"/>
          <w:highlight w:val="none"/>
        </w:rPr>
      </w:pPr>
    </w:p>
    <w:p w14:paraId="618E576D">
      <w:pPr>
        <w:rPr>
          <w:rFonts w:hint="eastAsia" w:asciiTheme="minorEastAsia" w:hAnsiTheme="minorEastAsia" w:eastAsiaTheme="minorEastAsia" w:cstheme="minorEastAsia"/>
          <w:b/>
          <w:color w:val="auto"/>
          <w:kern w:val="0"/>
          <w:sz w:val="32"/>
          <w:szCs w:val="32"/>
          <w:highlight w:val="none"/>
        </w:rPr>
      </w:pPr>
    </w:p>
    <w:p w14:paraId="0E78ABB5">
      <w:pPr>
        <w:jc w:val="center"/>
        <w:rPr>
          <w:rFonts w:hint="eastAsia" w:asciiTheme="minorEastAsia" w:hAnsiTheme="minorEastAsia" w:eastAsiaTheme="minorEastAsia" w:cstheme="minorEastAsia"/>
          <w:b/>
          <w:color w:val="auto"/>
          <w:kern w:val="0"/>
          <w:sz w:val="32"/>
          <w:szCs w:val="32"/>
          <w:highlight w:val="none"/>
        </w:rPr>
      </w:pPr>
    </w:p>
    <w:p w14:paraId="70D5A72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五、评审标准相应的商务技术资料</w:t>
      </w:r>
    </w:p>
    <w:p w14:paraId="33DEA978">
      <w:pPr>
        <w:snapToGrid w:val="0"/>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w:t>
      </w:r>
      <w:r>
        <w:rPr>
          <w:rFonts w:hint="eastAsia" w:asciiTheme="minorEastAsia" w:hAnsiTheme="minorEastAsia" w:eastAsiaTheme="minorEastAsia" w:cstheme="minorEastAsia"/>
          <w:b/>
          <w:color w:val="auto"/>
          <w:sz w:val="24"/>
          <w:highlight w:val="none"/>
          <w:lang w:eastAsia="zh-CN"/>
        </w:rPr>
        <w:t>交易文件</w:t>
      </w:r>
      <w:r>
        <w:rPr>
          <w:rFonts w:hint="eastAsia" w:asciiTheme="minorEastAsia" w:hAnsiTheme="minorEastAsia" w:eastAsiaTheme="minorEastAsia" w:cstheme="minorEastAsia"/>
          <w:b/>
          <w:color w:val="auto"/>
          <w:sz w:val="24"/>
          <w:highlight w:val="none"/>
        </w:rPr>
        <w:t>第四部分交易办法前附表中“响应文件中评审标准相应的商务技术资料目录”提供资料。）</w:t>
      </w:r>
    </w:p>
    <w:p w14:paraId="09934FE9">
      <w:pPr>
        <w:jc w:val="center"/>
        <w:rPr>
          <w:rFonts w:hint="eastAsia" w:asciiTheme="minorEastAsia" w:hAnsiTheme="minorEastAsia" w:eastAsiaTheme="minorEastAsia" w:cstheme="minorEastAsia"/>
          <w:b/>
          <w:color w:val="auto"/>
          <w:kern w:val="0"/>
          <w:sz w:val="32"/>
          <w:szCs w:val="32"/>
          <w:highlight w:val="none"/>
        </w:rPr>
      </w:pPr>
    </w:p>
    <w:p w14:paraId="5EC00A5F">
      <w:pPr>
        <w:spacing w:line="360" w:lineRule="auto"/>
        <w:ind w:right="42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DF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28CE66">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683" w:type="dxa"/>
          </w:tcPr>
          <w:p w14:paraId="78610BEF">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eastAsia="zh-CN"/>
              </w:rPr>
              <w:t>交易文件</w:t>
            </w:r>
            <w:r>
              <w:rPr>
                <w:rFonts w:hint="eastAsia" w:asciiTheme="minorEastAsia" w:hAnsiTheme="minorEastAsia" w:eastAsiaTheme="minorEastAsia" w:cstheme="minorEastAsia"/>
                <w:b/>
                <w:bCs/>
                <w:color w:val="auto"/>
                <w:sz w:val="24"/>
                <w:highlight w:val="none"/>
              </w:rPr>
              <w:t>章节及具体内容</w:t>
            </w:r>
          </w:p>
        </w:tc>
        <w:tc>
          <w:tcPr>
            <w:tcW w:w="3546" w:type="dxa"/>
          </w:tcPr>
          <w:p w14:paraId="23FA9D6F">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响应文件章节及具体内容</w:t>
            </w:r>
          </w:p>
        </w:tc>
        <w:tc>
          <w:tcPr>
            <w:tcW w:w="1276" w:type="dxa"/>
          </w:tcPr>
          <w:p w14:paraId="6600B36D">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14:paraId="78AA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6A5459">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683" w:type="dxa"/>
          </w:tcPr>
          <w:p w14:paraId="651DC3B6">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4C165669">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790D2388">
            <w:pPr>
              <w:jc w:val="center"/>
              <w:rPr>
                <w:rFonts w:hint="eastAsia" w:asciiTheme="minorEastAsia" w:hAnsiTheme="minorEastAsia" w:eastAsiaTheme="minorEastAsia" w:cstheme="minorEastAsia"/>
                <w:b/>
                <w:color w:val="auto"/>
                <w:kern w:val="0"/>
                <w:sz w:val="32"/>
                <w:szCs w:val="32"/>
                <w:highlight w:val="none"/>
              </w:rPr>
            </w:pPr>
          </w:p>
        </w:tc>
      </w:tr>
      <w:tr w14:paraId="6D7B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4A731F">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683" w:type="dxa"/>
          </w:tcPr>
          <w:p w14:paraId="70951BB3">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3E433A48">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78861C35">
            <w:pPr>
              <w:jc w:val="center"/>
              <w:rPr>
                <w:rFonts w:hint="eastAsia" w:asciiTheme="minorEastAsia" w:hAnsiTheme="minorEastAsia" w:eastAsiaTheme="minorEastAsia" w:cstheme="minorEastAsia"/>
                <w:b/>
                <w:color w:val="auto"/>
                <w:kern w:val="0"/>
                <w:sz w:val="32"/>
                <w:szCs w:val="32"/>
                <w:highlight w:val="none"/>
              </w:rPr>
            </w:pPr>
          </w:p>
        </w:tc>
      </w:tr>
      <w:tr w14:paraId="4926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595648">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683" w:type="dxa"/>
          </w:tcPr>
          <w:p w14:paraId="3EB0D3BE">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21E3E7F3">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1DFD987B">
            <w:pPr>
              <w:jc w:val="center"/>
              <w:rPr>
                <w:rFonts w:hint="eastAsia" w:asciiTheme="minorEastAsia" w:hAnsiTheme="minorEastAsia" w:eastAsiaTheme="minorEastAsia" w:cstheme="minorEastAsia"/>
                <w:b/>
                <w:color w:val="auto"/>
                <w:kern w:val="0"/>
                <w:sz w:val="32"/>
                <w:szCs w:val="32"/>
                <w:highlight w:val="none"/>
              </w:rPr>
            </w:pPr>
          </w:p>
        </w:tc>
      </w:tr>
    </w:tbl>
    <w:p w14:paraId="1D58BA46">
      <w:pP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响应人保证：除商务技术偏离表列出的偏离外，响应人响应</w:t>
      </w:r>
      <w:r>
        <w:rPr>
          <w:rFonts w:hint="eastAsia" w:asciiTheme="minorEastAsia" w:hAnsiTheme="minorEastAsia" w:eastAsiaTheme="minorEastAsia" w:cstheme="minorEastAsia"/>
          <w:color w:val="auto"/>
          <w:kern w:val="0"/>
          <w:sz w:val="24"/>
          <w:highlight w:val="none"/>
          <w:lang w:eastAsia="zh-CN"/>
        </w:rPr>
        <w:t>交易文件</w:t>
      </w:r>
      <w:r>
        <w:rPr>
          <w:rFonts w:hint="eastAsia" w:asciiTheme="minorEastAsia" w:hAnsiTheme="minorEastAsia" w:eastAsiaTheme="minorEastAsia" w:cstheme="minorEastAsia"/>
          <w:color w:val="auto"/>
          <w:kern w:val="0"/>
          <w:sz w:val="24"/>
          <w:highlight w:val="none"/>
        </w:rPr>
        <w:t>的全部要求</w:t>
      </w:r>
    </w:p>
    <w:p w14:paraId="5A8077C7">
      <w:pPr>
        <w:jc w:val="center"/>
        <w:rPr>
          <w:rFonts w:hint="eastAsia" w:asciiTheme="minorEastAsia" w:hAnsiTheme="minorEastAsia" w:eastAsiaTheme="minorEastAsia" w:cstheme="minorEastAsia"/>
          <w:b/>
          <w:color w:val="auto"/>
          <w:kern w:val="0"/>
          <w:sz w:val="32"/>
          <w:szCs w:val="32"/>
          <w:highlight w:val="none"/>
        </w:rPr>
      </w:pPr>
    </w:p>
    <w:p w14:paraId="5DDB0BFF">
      <w:pPr>
        <w:spacing w:line="360" w:lineRule="auto"/>
        <w:ind w:right="420"/>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color w:val="auto"/>
          <w:sz w:val="24"/>
          <w:highlight w:val="none"/>
        </w:rPr>
        <w:t>注：按本格式和要求提供。</w:t>
      </w:r>
      <w:r>
        <w:rPr>
          <w:rFonts w:hint="eastAsia" w:asciiTheme="minorEastAsia" w:hAnsiTheme="minorEastAsia" w:eastAsiaTheme="minorEastAsia" w:cstheme="minorEastAsia"/>
          <w:b/>
          <w:bCs/>
          <w:color w:val="auto"/>
          <w:sz w:val="32"/>
          <w:szCs w:val="32"/>
          <w:highlight w:val="none"/>
        </w:rPr>
        <w:br w:type="page"/>
      </w:r>
    </w:p>
    <w:p w14:paraId="5C91535D">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七</w:t>
      </w:r>
      <w:r>
        <w:rPr>
          <w:rFonts w:hint="eastAsia" w:asciiTheme="minorEastAsia" w:hAnsiTheme="minorEastAsia" w:eastAsiaTheme="minorEastAsia" w:cstheme="minorEastAsia"/>
          <w:b/>
          <w:color w:val="auto"/>
          <w:kern w:val="0"/>
          <w:sz w:val="32"/>
          <w:szCs w:val="32"/>
          <w:highlight w:val="none"/>
        </w:rPr>
        <w:t>、</w:t>
      </w:r>
      <w:r>
        <w:rPr>
          <w:rFonts w:hint="eastAsia" w:asciiTheme="minorEastAsia" w:hAnsiTheme="minorEastAsia" w:eastAsiaTheme="minorEastAsia" w:cstheme="minorEastAsia"/>
          <w:b/>
          <w:color w:val="auto"/>
          <w:kern w:val="0"/>
          <w:sz w:val="32"/>
          <w:szCs w:val="32"/>
          <w:highlight w:val="none"/>
          <w:lang w:val="zh-CN"/>
        </w:rPr>
        <w:t>响应人廉洁自律承诺书</w:t>
      </w:r>
    </w:p>
    <w:p w14:paraId="7D5A67B3">
      <w:pPr>
        <w:snapToGrid w:val="0"/>
        <w:spacing w:line="360" w:lineRule="auto"/>
        <w:rPr>
          <w:rFonts w:hint="eastAsia" w:asciiTheme="minorEastAsia" w:hAnsiTheme="minorEastAsia" w:eastAsiaTheme="minorEastAsia" w:cstheme="minorEastAsia"/>
          <w:color w:val="auto"/>
          <w:sz w:val="24"/>
          <w:highlight w:val="none"/>
        </w:rPr>
      </w:pPr>
    </w:p>
    <w:p w14:paraId="498AB780">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0C173091">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后，我们将严格遵守国家法律法规要求，并郑重承诺：</w:t>
      </w:r>
    </w:p>
    <w:p w14:paraId="1D0353E7">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7E2F8CB1">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3C9555D6">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166C937D">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26C159F9">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53896038">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1847543D">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六、严格遵守相关法律法规，诚实守信，合法经营，坚决抵制各种违法违纪行为。 </w:t>
      </w:r>
    </w:p>
    <w:p w14:paraId="0B08B7D1">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38EAB773">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387CE48F">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77C323EA">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45E43D1D">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14:paraId="0757C967">
      <w:pP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5C85027C">
      <w:pPr>
        <w:spacing w:line="360" w:lineRule="auto"/>
        <w:jc w:val="center"/>
        <w:rPr>
          <w:rFonts w:hint="eastAsia" w:asciiTheme="minorEastAsia" w:hAnsiTheme="minorEastAsia" w:eastAsiaTheme="minorEastAsia" w:cstheme="minorEastAsia"/>
          <w:b/>
          <w:bCs/>
          <w:color w:val="auto"/>
          <w:sz w:val="24"/>
          <w:highlight w:val="none"/>
        </w:rPr>
      </w:pPr>
    </w:p>
    <w:p w14:paraId="3800FEDA">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6D6D88B">
      <w:pPr>
        <w:spacing w:line="360" w:lineRule="auto"/>
        <w:jc w:val="center"/>
        <w:rPr>
          <w:rFonts w:hint="eastAsia" w:asciiTheme="minorEastAsia" w:hAnsiTheme="minorEastAsia" w:eastAsiaTheme="minorEastAsia" w:cstheme="minorEastAsia"/>
          <w:b/>
          <w:bCs/>
          <w:color w:val="auto"/>
          <w:sz w:val="24"/>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0" w:num="1"/>
          <w:docGrid w:linePitch="312" w:charSpace="0"/>
        </w:sectPr>
      </w:pPr>
    </w:p>
    <w:p w14:paraId="10F2293F">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09E6DF3F">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29A193F6">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30EBA7D2">
      <w:pPr>
        <w:snapToGrid w:val="0"/>
        <w:spacing w:line="360" w:lineRule="auto"/>
        <w:rPr>
          <w:rFonts w:hint="eastAsia" w:asciiTheme="minorEastAsia" w:hAnsiTheme="minorEastAsia" w:eastAsiaTheme="minorEastAsia" w:cstheme="minorEastAsia"/>
          <w:color w:val="auto"/>
          <w:sz w:val="24"/>
          <w:highlight w:val="none"/>
        </w:rPr>
        <w:sectPr>
          <w:headerReference r:id="rId5" w:type="first"/>
          <w:footerReference r:id="rId7" w:type="first"/>
          <w:headerReference r:id="rId4" w:type="default"/>
          <w:footerReference r:id="rId6" w:type="default"/>
          <w:pgSz w:w="11906" w:h="16838"/>
          <w:pgMar w:top="1247" w:right="1417" w:bottom="1247" w:left="1417" w:header="851" w:footer="992" w:gutter="0"/>
          <w:pgBorders>
            <w:top w:val="none" w:sz="0" w:space="0"/>
            <w:left w:val="none" w:sz="0" w:space="0"/>
            <w:bottom w:val="none" w:sz="0" w:space="0"/>
            <w:right w:val="none" w:sz="0" w:space="0"/>
          </w:pgBorders>
          <w:pgNumType w:fmt="decimal"/>
          <w:cols w:space="0" w:num="1"/>
          <w:titlePg/>
          <w:docGrid w:linePitch="312" w:charSpace="0"/>
        </w:sectPr>
      </w:pPr>
      <w:r>
        <w:rPr>
          <w:rFonts w:hint="eastAsia" w:asciiTheme="minorEastAsia" w:hAnsiTheme="minorEastAsia" w:eastAsiaTheme="minorEastAsia" w:cstheme="minorEastAsia"/>
          <w:color w:val="auto"/>
          <w:sz w:val="24"/>
          <w:highlight w:val="none"/>
        </w:rPr>
        <w:t>（1）交易一览表（报价表）………………………………………………………（页码）</w:t>
      </w:r>
    </w:p>
    <w:p w14:paraId="21CE2A28">
      <w:pPr>
        <w:pStyle w:val="694"/>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一、交易一览表（报价表）</w:t>
      </w:r>
    </w:p>
    <w:p w14:paraId="4ABB58D4">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4F1FF44E">
      <w:pPr>
        <w:snapToGrid w:val="0"/>
        <w:spacing w:line="360" w:lineRule="auto"/>
        <w:ind w:firstLine="482"/>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按你方交易文件要求，我们，本响应文件签字方，谨此向你方发出要约如下：如你方接受本投标，我方承诺按照如下交易一览表（报价表）的价格完成</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kern w:val="0"/>
          <w:sz w:val="24"/>
          <w:highlight w:val="none"/>
          <w:u w:val="single"/>
          <w:lang w:val="zh-CN"/>
        </w:rPr>
        <w:t>【</w:t>
      </w:r>
      <w:r>
        <w:rPr>
          <w:rFonts w:hint="eastAsia" w:asciiTheme="minorEastAsia" w:hAnsiTheme="minorEastAsia" w:eastAsiaTheme="minorEastAsia" w:cstheme="minorEastAsia"/>
          <w:color w:val="auto"/>
          <w:kern w:val="0"/>
          <w:sz w:val="24"/>
          <w:highlight w:val="none"/>
          <w:u w:val="single"/>
          <w:lang w:val="en-US" w:eastAsia="zh-CN"/>
        </w:rPr>
        <w:t>项目</w:t>
      </w:r>
      <w:r>
        <w:rPr>
          <w:rFonts w:hint="eastAsia" w:asciiTheme="minorEastAsia" w:hAnsiTheme="minorEastAsia" w:eastAsiaTheme="minorEastAsia" w:cstheme="minorEastAsia"/>
          <w:color w:val="auto"/>
          <w:kern w:val="0"/>
          <w:sz w:val="24"/>
          <w:highlight w:val="none"/>
          <w:u w:val="single"/>
          <w:lang w:val="zh-CN"/>
        </w:rPr>
        <w:t>编号：</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的实施</w:t>
      </w:r>
      <w:r>
        <w:rPr>
          <w:rFonts w:hint="eastAsia" w:asciiTheme="minorEastAsia" w:hAnsiTheme="minorEastAsia" w:eastAsiaTheme="minorEastAsia" w:cstheme="minorEastAsia"/>
          <w:color w:val="auto"/>
          <w:kern w:val="0"/>
          <w:sz w:val="24"/>
          <w:highlight w:val="none"/>
          <w:lang w:val="zh-CN"/>
        </w:rPr>
        <w:t>。</w:t>
      </w:r>
    </w:p>
    <w:p w14:paraId="7F9B0D54">
      <w:pPr>
        <w:snapToGrid w:val="0"/>
        <w:spacing w:line="360" w:lineRule="auto"/>
        <w:jc w:val="center"/>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交易一览表（报价表）(单位均为人民币元)</w:t>
      </w:r>
    </w:p>
    <w:tbl>
      <w:tblPr>
        <w:tblStyle w:val="63"/>
        <w:tblW w:w="14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018"/>
        <w:gridCol w:w="1740"/>
        <w:gridCol w:w="2340"/>
        <w:gridCol w:w="1875"/>
      </w:tblGrid>
      <w:tr w14:paraId="4F94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14E5FEF">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4DBFFF2E">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4C5D25D4">
            <w:pPr>
              <w:spacing w:line="360" w:lineRule="auto"/>
              <w:jc w:val="center"/>
              <w:rPr>
                <w:rFonts w:ascii="宋体" w:hAnsi="宋体" w:cs="宋体"/>
                <w:b/>
                <w:color w:val="auto"/>
                <w:sz w:val="24"/>
              </w:rPr>
            </w:pPr>
          </w:p>
          <w:p w14:paraId="6958A813">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5F2286B0">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018" w:type="dxa"/>
            <w:vAlign w:val="center"/>
          </w:tcPr>
          <w:p w14:paraId="69FB0772">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1740" w:type="dxa"/>
            <w:vAlign w:val="center"/>
          </w:tcPr>
          <w:p w14:paraId="56DDADF1">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340" w:type="dxa"/>
          </w:tcPr>
          <w:p w14:paraId="0795A421">
            <w:pPr>
              <w:spacing w:line="360" w:lineRule="auto"/>
              <w:jc w:val="center"/>
              <w:rPr>
                <w:rFonts w:ascii="宋体" w:hAnsi="宋体" w:cs="宋体"/>
                <w:b/>
                <w:color w:val="auto"/>
                <w:sz w:val="24"/>
              </w:rPr>
            </w:pPr>
          </w:p>
          <w:p w14:paraId="30354E44">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1875" w:type="dxa"/>
            <w:vAlign w:val="center"/>
          </w:tcPr>
          <w:p w14:paraId="184CD8C5">
            <w:pPr>
              <w:spacing w:line="360" w:lineRule="auto"/>
              <w:jc w:val="center"/>
              <w:rPr>
                <w:rFonts w:ascii="宋体" w:hAnsi="宋体" w:cs="宋体"/>
                <w:b/>
                <w:color w:val="auto"/>
                <w:sz w:val="24"/>
              </w:rPr>
            </w:pPr>
          </w:p>
          <w:p w14:paraId="3B654E45">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2D3FCC7B">
            <w:pPr>
              <w:spacing w:line="360" w:lineRule="auto"/>
              <w:jc w:val="center"/>
              <w:rPr>
                <w:rFonts w:ascii="宋体" w:hAnsi="宋体" w:cs="宋体"/>
                <w:b/>
                <w:color w:val="auto"/>
                <w:sz w:val="24"/>
              </w:rPr>
            </w:pPr>
          </w:p>
        </w:tc>
      </w:tr>
      <w:tr w14:paraId="2F1E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6C57E19">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7001B91B">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6C1A24A8">
            <w:pPr>
              <w:snapToGrid w:val="0"/>
              <w:spacing w:line="360" w:lineRule="auto"/>
              <w:jc w:val="center"/>
              <w:rPr>
                <w:rFonts w:ascii="宋体" w:hAnsi="宋体" w:cs="宋体"/>
                <w:color w:val="auto"/>
                <w:sz w:val="24"/>
              </w:rPr>
            </w:pPr>
          </w:p>
        </w:tc>
        <w:tc>
          <w:tcPr>
            <w:tcW w:w="2410" w:type="dxa"/>
            <w:vAlign w:val="center"/>
          </w:tcPr>
          <w:p w14:paraId="17E389C1">
            <w:pPr>
              <w:snapToGrid w:val="0"/>
              <w:spacing w:line="360" w:lineRule="auto"/>
              <w:jc w:val="center"/>
              <w:rPr>
                <w:rFonts w:ascii="宋体" w:hAnsi="宋体" w:cs="宋体"/>
                <w:color w:val="auto"/>
                <w:sz w:val="24"/>
              </w:rPr>
            </w:pPr>
          </w:p>
        </w:tc>
        <w:tc>
          <w:tcPr>
            <w:tcW w:w="2018" w:type="dxa"/>
            <w:vAlign w:val="center"/>
          </w:tcPr>
          <w:p w14:paraId="56E17071">
            <w:pPr>
              <w:snapToGrid w:val="0"/>
              <w:spacing w:line="360" w:lineRule="auto"/>
              <w:jc w:val="center"/>
              <w:rPr>
                <w:rFonts w:ascii="宋体" w:hAnsi="宋体" w:cs="宋体"/>
                <w:color w:val="auto"/>
                <w:sz w:val="24"/>
              </w:rPr>
            </w:pPr>
          </w:p>
        </w:tc>
        <w:tc>
          <w:tcPr>
            <w:tcW w:w="1740" w:type="dxa"/>
            <w:vAlign w:val="center"/>
          </w:tcPr>
          <w:p w14:paraId="1563A648">
            <w:pPr>
              <w:spacing w:line="360" w:lineRule="auto"/>
              <w:jc w:val="center"/>
              <w:rPr>
                <w:rFonts w:ascii="宋体" w:hAnsi="宋体" w:cs="宋体"/>
                <w:color w:val="auto"/>
                <w:sz w:val="24"/>
              </w:rPr>
            </w:pPr>
          </w:p>
        </w:tc>
        <w:tc>
          <w:tcPr>
            <w:tcW w:w="2340" w:type="dxa"/>
          </w:tcPr>
          <w:p w14:paraId="79E87DD7">
            <w:pPr>
              <w:spacing w:line="360" w:lineRule="auto"/>
              <w:jc w:val="center"/>
              <w:rPr>
                <w:rFonts w:ascii="宋体" w:hAnsi="宋体" w:cs="宋体"/>
                <w:color w:val="auto"/>
                <w:sz w:val="24"/>
              </w:rPr>
            </w:pPr>
          </w:p>
        </w:tc>
        <w:tc>
          <w:tcPr>
            <w:tcW w:w="1875" w:type="dxa"/>
            <w:vAlign w:val="center"/>
          </w:tcPr>
          <w:p w14:paraId="64409561">
            <w:pPr>
              <w:spacing w:line="360" w:lineRule="auto"/>
              <w:jc w:val="center"/>
              <w:rPr>
                <w:rFonts w:ascii="宋体" w:hAnsi="宋体" w:cs="宋体"/>
                <w:color w:val="auto"/>
                <w:sz w:val="24"/>
              </w:rPr>
            </w:pPr>
          </w:p>
        </w:tc>
      </w:tr>
      <w:tr w14:paraId="73E6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BF81559">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406D366B">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7F59392E">
            <w:pPr>
              <w:snapToGrid w:val="0"/>
              <w:spacing w:line="360" w:lineRule="auto"/>
              <w:jc w:val="center"/>
              <w:rPr>
                <w:rFonts w:ascii="宋体" w:hAnsi="宋体" w:cs="宋体"/>
                <w:color w:val="auto"/>
                <w:sz w:val="24"/>
              </w:rPr>
            </w:pPr>
          </w:p>
        </w:tc>
        <w:tc>
          <w:tcPr>
            <w:tcW w:w="2410" w:type="dxa"/>
            <w:vAlign w:val="center"/>
          </w:tcPr>
          <w:p w14:paraId="4FDAF215">
            <w:pPr>
              <w:snapToGrid w:val="0"/>
              <w:spacing w:line="360" w:lineRule="auto"/>
              <w:jc w:val="center"/>
              <w:rPr>
                <w:rFonts w:ascii="宋体" w:hAnsi="宋体" w:cs="宋体"/>
                <w:color w:val="auto"/>
                <w:sz w:val="24"/>
              </w:rPr>
            </w:pPr>
          </w:p>
        </w:tc>
        <w:tc>
          <w:tcPr>
            <w:tcW w:w="2018" w:type="dxa"/>
            <w:vAlign w:val="center"/>
          </w:tcPr>
          <w:p w14:paraId="7AC41EF1">
            <w:pPr>
              <w:snapToGrid w:val="0"/>
              <w:spacing w:line="360" w:lineRule="auto"/>
              <w:jc w:val="center"/>
              <w:rPr>
                <w:rFonts w:ascii="宋体" w:hAnsi="宋体" w:cs="宋体"/>
                <w:color w:val="auto"/>
                <w:sz w:val="24"/>
              </w:rPr>
            </w:pPr>
          </w:p>
        </w:tc>
        <w:tc>
          <w:tcPr>
            <w:tcW w:w="1740" w:type="dxa"/>
            <w:vAlign w:val="center"/>
          </w:tcPr>
          <w:p w14:paraId="03D8E212">
            <w:pPr>
              <w:spacing w:line="360" w:lineRule="auto"/>
              <w:jc w:val="center"/>
              <w:rPr>
                <w:rFonts w:ascii="宋体" w:hAnsi="宋体" w:cs="宋体"/>
                <w:color w:val="auto"/>
                <w:sz w:val="24"/>
              </w:rPr>
            </w:pPr>
          </w:p>
        </w:tc>
        <w:tc>
          <w:tcPr>
            <w:tcW w:w="2340" w:type="dxa"/>
          </w:tcPr>
          <w:p w14:paraId="42D17624">
            <w:pPr>
              <w:spacing w:line="360" w:lineRule="auto"/>
              <w:jc w:val="center"/>
              <w:rPr>
                <w:rFonts w:ascii="宋体" w:hAnsi="宋体" w:cs="宋体"/>
                <w:color w:val="auto"/>
                <w:sz w:val="24"/>
              </w:rPr>
            </w:pPr>
          </w:p>
        </w:tc>
        <w:tc>
          <w:tcPr>
            <w:tcW w:w="1875" w:type="dxa"/>
            <w:vAlign w:val="center"/>
          </w:tcPr>
          <w:p w14:paraId="5A96F856">
            <w:pPr>
              <w:spacing w:line="360" w:lineRule="auto"/>
              <w:jc w:val="center"/>
              <w:rPr>
                <w:rFonts w:ascii="宋体" w:hAnsi="宋体" w:cs="宋体"/>
                <w:color w:val="auto"/>
                <w:sz w:val="24"/>
              </w:rPr>
            </w:pPr>
          </w:p>
        </w:tc>
      </w:tr>
      <w:tr w14:paraId="2BD3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D8EF290">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164EEEB5">
            <w:pPr>
              <w:snapToGrid w:val="0"/>
              <w:spacing w:line="360" w:lineRule="auto"/>
              <w:jc w:val="center"/>
              <w:rPr>
                <w:rFonts w:ascii="宋体" w:hAnsi="宋体" w:cs="宋体"/>
                <w:color w:val="auto"/>
                <w:sz w:val="24"/>
              </w:rPr>
            </w:pPr>
          </w:p>
        </w:tc>
        <w:tc>
          <w:tcPr>
            <w:tcW w:w="2268" w:type="dxa"/>
            <w:vAlign w:val="center"/>
          </w:tcPr>
          <w:p w14:paraId="09086396">
            <w:pPr>
              <w:snapToGrid w:val="0"/>
              <w:spacing w:line="360" w:lineRule="auto"/>
              <w:jc w:val="center"/>
              <w:rPr>
                <w:rFonts w:ascii="宋体" w:hAnsi="宋体" w:cs="宋体"/>
                <w:color w:val="auto"/>
                <w:sz w:val="24"/>
              </w:rPr>
            </w:pPr>
          </w:p>
        </w:tc>
        <w:tc>
          <w:tcPr>
            <w:tcW w:w="2410" w:type="dxa"/>
            <w:vAlign w:val="center"/>
          </w:tcPr>
          <w:p w14:paraId="27429553">
            <w:pPr>
              <w:snapToGrid w:val="0"/>
              <w:spacing w:line="360" w:lineRule="auto"/>
              <w:jc w:val="center"/>
              <w:rPr>
                <w:rFonts w:ascii="宋体" w:hAnsi="宋体" w:cs="宋体"/>
                <w:color w:val="auto"/>
                <w:sz w:val="24"/>
              </w:rPr>
            </w:pPr>
          </w:p>
        </w:tc>
        <w:tc>
          <w:tcPr>
            <w:tcW w:w="2018" w:type="dxa"/>
            <w:vAlign w:val="center"/>
          </w:tcPr>
          <w:p w14:paraId="14EAFEE0">
            <w:pPr>
              <w:snapToGrid w:val="0"/>
              <w:spacing w:line="360" w:lineRule="auto"/>
              <w:jc w:val="center"/>
              <w:rPr>
                <w:rFonts w:ascii="宋体" w:hAnsi="宋体" w:cs="宋体"/>
                <w:color w:val="auto"/>
                <w:sz w:val="24"/>
              </w:rPr>
            </w:pPr>
          </w:p>
        </w:tc>
        <w:tc>
          <w:tcPr>
            <w:tcW w:w="1740" w:type="dxa"/>
            <w:vAlign w:val="center"/>
          </w:tcPr>
          <w:p w14:paraId="7A5F8253">
            <w:pPr>
              <w:spacing w:line="360" w:lineRule="auto"/>
              <w:jc w:val="center"/>
              <w:rPr>
                <w:rFonts w:ascii="宋体" w:hAnsi="宋体" w:cs="宋体"/>
                <w:color w:val="auto"/>
                <w:sz w:val="24"/>
              </w:rPr>
            </w:pPr>
          </w:p>
        </w:tc>
        <w:tc>
          <w:tcPr>
            <w:tcW w:w="2340" w:type="dxa"/>
          </w:tcPr>
          <w:p w14:paraId="27E9BFC6">
            <w:pPr>
              <w:spacing w:line="360" w:lineRule="auto"/>
              <w:jc w:val="center"/>
              <w:rPr>
                <w:rFonts w:ascii="宋体" w:hAnsi="宋体" w:cs="宋体"/>
                <w:color w:val="auto"/>
                <w:sz w:val="24"/>
              </w:rPr>
            </w:pPr>
          </w:p>
        </w:tc>
        <w:tc>
          <w:tcPr>
            <w:tcW w:w="1875" w:type="dxa"/>
            <w:vAlign w:val="center"/>
          </w:tcPr>
          <w:p w14:paraId="0521BACB">
            <w:pPr>
              <w:spacing w:line="360" w:lineRule="auto"/>
              <w:jc w:val="center"/>
              <w:rPr>
                <w:rFonts w:ascii="宋体" w:hAnsi="宋体" w:cs="宋体"/>
                <w:color w:val="auto"/>
                <w:sz w:val="24"/>
              </w:rPr>
            </w:pPr>
          </w:p>
        </w:tc>
      </w:tr>
      <w:tr w14:paraId="78D4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19F0176">
            <w:pPr>
              <w:spacing w:line="360" w:lineRule="auto"/>
              <w:jc w:val="center"/>
              <w:rPr>
                <w:rFonts w:ascii="宋体" w:hAnsi="宋体" w:cs="宋体"/>
                <w:color w:val="auto"/>
                <w:sz w:val="24"/>
              </w:rPr>
            </w:pPr>
          </w:p>
        </w:tc>
        <w:tc>
          <w:tcPr>
            <w:tcW w:w="992" w:type="dxa"/>
            <w:vAlign w:val="center"/>
          </w:tcPr>
          <w:p w14:paraId="10DFE20D">
            <w:pPr>
              <w:snapToGrid w:val="0"/>
              <w:spacing w:line="360" w:lineRule="auto"/>
              <w:jc w:val="center"/>
              <w:rPr>
                <w:rFonts w:ascii="宋体" w:hAnsi="宋体" w:cs="宋体"/>
                <w:color w:val="auto"/>
                <w:sz w:val="24"/>
              </w:rPr>
            </w:pPr>
          </w:p>
        </w:tc>
        <w:tc>
          <w:tcPr>
            <w:tcW w:w="2268" w:type="dxa"/>
            <w:vAlign w:val="center"/>
          </w:tcPr>
          <w:p w14:paraId="20B6200A">
            <w:pPr>
              <w:snapToGrid w:val="0"/>
              <w:spacing w:line="360" w:lineRule="auto"/>
              <w:jc w:val="center"/>
              <w:rPr>
                <w:rFonts w:ascii="宋体" w:hAnsi="宋体" w:cs="宋体"/>
                <w:color w:val="auto"/>
                <w:sz w:val="24"/>
              </w:rPr>
            </w:pPr>
          </w:p>
        </w:tc>
        <w:tc>
          <w:tcPr>
            <w:tcW w:w="2410" w:type="dxa"/>
            <w:vAlign w:val="center"/>
          </w:tcPr>
          <w:p w14:paraId="54D78BF9">
            <w:pPr>
              <w:snapToGrid w:val="0"/>
              <w:spacing w:line="360" w:lineRule="auto"/>
              <w:jc w:val="center"/>
              <w:rPr>
                <w:rFonts w:ascii="宋体" w:hAnsi="宋体" w:cs="宋体"/>
                <w:color w:val="auto"/>
                <w:sz w:val="24"/>
              </w:rPr>
            </w:pPr>
          </w:p>
        </w:tc>
        <w:tc>
          <w:tcPr>
            <w:tcW w:w="2018" w:type="dxa"/>
            <w:vAlign w:val="center"/>
          </w:tcPr>
          <w:p w14:paraId="7BCBB08D">
            <w:pPr>
              <w:snapToGrid w:val="0"/>
              <w:spacing w:line="360" w:lineRule="auto"/>
              <w:jc w:val="center"/>
              <w:rPr>
                <w:rFonts w:ascii="宋体" w:hAnsi="宋体" w:cs="宋体"/>
                <w:color w:val="auto"/>
                <w:sz w:val="24"/>
              </w:rPr>
            </w:pPr>
          </w:p>
        </w:tc>
        <w:tc>
          <w:tcPr>
            <w:tcW w:w="1740" w:type="dxa"/>
            <w:vAlign w:val="center"/>
          </w:tcPr>
          <w:p w14:paraId="766665AD">
            <w:pPr>
              <w:spacing w:line="360" w:lineRule="auto"/>
              <w:jc w:val="center"/>
              <w:rPr>
                <w:rFonts w:ascii="宋体" w:hAnsi="宋体" w:cs="宋体"/>
                <w:color w:val="auto"/>
                <w:sz w:val="24"/>
              </w:rPr>
            </w:pPr>
          </w:p>
        </w:tc>
        <w:tc>
          <w:tcPr>
            <w:tcW w:w="2340" w:type="dxa"/>
          </w:tcPr>
          <w:p w14:paraId="57F4059A">
            <w:pPr>
              <w:spacing w:line="360" w:lineRule="auto"/>
              <w:jc w:val="center"/>
              <w:rPr>
                <w:rFonts w:ascii="宋体" w:hAnsi="宋体" w:cs="宋体"/>
                <w:color w:val="auto"/>
                <w:sz w:val="24"/>
              </w:rPr>
            </w:pPr>
          </w:p>
        </w:tc>
        <w:tc>
          <w:tcPr>
            <w:tcW w:w="1875" w:type="dxa"/>
            <w:vAlign w:val="center"/>
          </w:tcPr>
          <w:p w14:paraId="4E320392">
            <w:pPr>
              <w:spacing w:line="360" w:lineRule="auto"/>
              <w:jc w:val="center"/>
              <w:rPr>
                <w:rFonts w:ascii="宋体" w:hAnsi="宋体" w:cs="宋体"/>
                <w:color w:val="auto"/>
                <w:sz w:val="24"/>
              </w:rPr>
            </w:pPr>
          </w:p>
        </w:tc>
      </w:tr>
      <w:tr w14:paraId="2546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B5A5EE7">
            <w:pPr>
              <w:spacing w:line="360" w:lineRule="auto"/>
              <w:jc w:val="center"/>
              <w:rPr>
                <w:rFonts w:ascii="宋体" w:hAnsi="宋体" w:cs="宋体"/>
                <w:color w:val="auto"/>
                <w:sz w:val="24"/>
              </w:rPr>
            </w:pPr>
          </w:p>
        </w:tc>
        <w:tc>
          <w:tcPr>
            <w:tcW w:w="992" w:type="dxa"/>
            <w:vAlign w:val="center"/>
          </w:tcPr>
          <w:p w14:paraId="6BF296ED">
            <w:pPr>
              <w:snapToGrid w:val="0"/>
              <w:spacing w:line="360" w:lineRule="auto"/>
              <w:jc w:val="center"/>
              <w:rPr>
                <w:rFonts w:ascii="宋体" w:hAnsi="宋体" w:cs="宋体"/>
                <w:color w:val="auto"/>
                <w:sz w:val="24"/>
              </w:rPr>
            </w:pPr>
          </w:p>
        </w:tc>
        <w:tc>
          <w:tcPr>
            <w:tcW w:w="2268" w:type="dxa"/>
            <w:vAlign w:val="center"/>
          </w:tcPr>
          <w:p w14:paraId="6724AF34">
            <w:pPr>
              <w:snapToGrid w:val="0"/>
              <w:spacing w:line="360" w:lineRule="auto"/>
              <w:jc w:val="center"/>
              <w:rPr>
                <w:rFonts w:ascii="宋体" w:hAnsi="宋体" w:cs="宋体"/>
                <w:color w:val="auto"/>
                <w:sz w:val="24"/>
              </w:rPr>
            </w:pPr>
          </w:p>
        </w:tc>
        <w:tc>
          <w:tcPr>
            <w:tcW w:w="2410" w:type="dxa"/>
            <w:vAlign w:val="center"/>
          </w:tcPr>
          <w:p w14:paraId="0696DE1B">
            <w:pPr>
              <w:snapToGrid w:val="0"/>
              <w:spacing w:line="360" w:lineRule="auto"/>
              <w:jc w:val="center"/>
              <w:rPr>
                <w:rFonts w:ascii="宋体" w:hAnsi="宋体" w:cs="宋体"/>
                <w:color w:val="auto"/>
                <w:sz w:val="24"/>
              </w:rPr>
            </w:pPr>
          </w:p>
        </w:tc>
        <w:tc>
          <w:tcPr>
            <w:tcW w:w="2018" w:type="dxa"/>
            <w:vAlign w:val="center"/>
          </w:tcPr>
          <w:p w14:paraId="162E96BB">
            <w:pPr>
              <w:snapToGrid w:val="0"/>
              <w:spacing w:line="360" w:lineRule="auto"/>
              <w:jc w:val="center"/>
              <w:rPr>
                <w:rFonts w:ascii="宋体" w:hAnsi="宋体" w:cs="宋体"/>
                <w:color w:val="auto"/>
                <w:sz w:val="24"/>
              </w:rPr>
            </w:pPr>
          </w:p>
        </w:tc>
        <w:tc>
          <w:tcPr>
            <w:tcW w:w="1740" w:type="dxa"/>
            <w:vAlign w:val="center"/>
          </w:tcPr>
          <w:p w14:paraId="3341E43F">
            <w:pPr>
              <w:spacing w:line="360" w:lineRule="auto"/>
              <w:jc w:val="center"/>
              <w:rPr>
                <w:rFonts w:ascii="宋体" w:hAnsi="宋体" w:cs="宋体"/>
                <w:color w:val="auto"/>
                <w:sz w:val="24"/>
              </w:rPr>
            </w:pPr>
          </w:p>
        </w:tc>
        <w:tc>
          <w:tcPr>
            <w:tcW w:w="2340" w:type="dxa"/>
          </w:tcPr>
          <w:p w14:paraId="791D5036">
            <w:pPr>
              <w:spacing w:line="360" w:lineRule="auto"/>
              <w:jc w:val="center"/>
              <w:rPr>
                <w:rFonts w:ascii="宋体" w:hAnsi="宋体" w:cs="宋体"/>
                <w:color w:val="auto"/>
                <w:sz w:val="24"/>
              </w:rPr>
            </w:pPr>
          </w:p>
        </w:tc>
        <w:tc>
          <w:tcPr>
            <w:tcW w:w="1875" w:type="dxa"/>
            <w:vAlign w:val="center"/>
          </w:tcPr>
          <w:p w14:paraId="664A47B1">
            <w:pPr>
              <w:spacing w:line="360" w:lineRule="auto"/>
              <w:jc w:val="center"/>
              <w:rPr>
                <w:rFonts w:ascii="宋体" w:hAnsi="宋体" w:cs="宋体"/>
                <w:color w:val="auto"/>
                <w:sz w:val="24"/>
              </w:rPr>
            </w:pPr>
          </w:p>
        </w:tc>
      </w:tr>
      <w:tr w14:paraId="7AF9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0DDBEA8">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973" w:type="dxa"/>
            <w:gridSpan w:val="4"/>
          </w:tcPr>
          <w:p w14:paraId="412C4332">
            <w:pPr>
              <w:spacing w:line="360" w:lineRule="auto"/>
              <w:jc w:val="center"/>
              <w:rPr>
                <w:rFonts w:ascii="宋体" w:hAnsi="宋体" w:cs="宋体"/>
                <w:color w:val="auto"/>
                <w:sz w:val="24"/>
              </w:rPr>
            </w:pPr>
          </w:p>
        </w:tc>
      </w:tr>
      <w:tr w14:paraId="3780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FF87B7C">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973" w:type="dxa"/>
            <w:gridSpan w:val="4"/>
          </w:tcPr>
          <w:p w14:paraId="7DEF066E">
            <w:pPr>
              <w:spacing w:line="360" w:lineRule="auto"/>
              <w:jc w:val="center"/>
              <w:rPr>
                <w:rFonts w:ascii="宋体" w:hAnsi="宋体" w:cs="宋体"/>
                <w:color w:val="auto"/>
                <w:sz w:val="24"/>
              </w:rPr>
            </w:pPr>
          </w:p>
        </w:tc>
      </w:tr>
    </w:tbl>
    <w:p w14:paraId="36E1C07B">
      <w:pPr>
        <w:snapToGrid w:val="0"/>
        <w:spacing w:line="360" w:lineRule="auto"/>
        <w:ind w:left="48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14:paraId="3A46549B">
      <w:pPr>
        <w:spacing w:line="360" w:lineRule="auto"/>
        <w:ind w:left="-2" w:leftChars="-1"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1、响应人需按本表格式填写，不得自行更改。</w:t>
      </w:r>
    </w:p>
    <w:p w14:paraId="47714700">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b/>
          <w:color w:val="auto"/>
          <w:kern w:val="0"/>
          <w:sz w:val="24"/>
          <w:highlight w:val="none"/>
          <w:lang w:val="zh-CN"/>
        </w:rPr>
        <w:t>交易发起人将以合同形式有偿取得货物或服务，不接受响应人给予的赠品、回扣或者与交易无关的其他商品、服务</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不得出现“0元”“免费赠送”等形式的无偿报价，</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响应文件含有交易发起人不能接受的附加条件的，交易无效</w:t>
      </w:r>
      <w:r>
        <w:rPr>
          <w:rFonts w:hint="eastAsia" w:asciiTheme="minorEastAsia" w:hAnsiTheme="minorEastAsia" w:eastAsiaTheme="minorEastAsia" w:cstheme="minorEastAsia"/>
          <w:b/>
          <w:color w:val="auto"/>
          <w:kern w:val="0"/>
          <w:sz w:val="24"/>
          <w:highlight w:val="none"/>
          <w:lang w:val="zh-CN"/>
        </w:rPr>
        <w:t>；交易内容未包含在《交易一览表（报价表）》名称栏中，响应人不能作出合理解释的，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响应文件含有交易发起人不能接受的附加条件的，交易无效。</w:t>
      </w:r>
    </w:p>
    <w:p w14:paraId="3DEF14FB">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3、以上表格要求细分项目及报价，在“规格型号（或具体服务）”一栏中，货物类项目填写规格型号，服务类项目填写具体服务。</w:t>
      </w:r>
    </w:p>
    <w:p w14:paraId="0ABB0FE6">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4、特别提示：代理机构将对项目名称和项目编号，成交响应人名称、地址和</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金额等予以公示。</w:t>
      </w:r>
    </w:p>
    <w:p w14:paraId="6ADBC467">
      <w:pPr>
        <w:spacing w:line="360" w:lineRule="auto"/>
        <w:ind w:firstLine="482" w:firstLineChars="200"/>
        <w:rPr>
          <w:rFonts w:hint="eastAsia" w:asciiTheme="minorEastAsia" w:hAnsiTheme="minorEastAsia" w:eastAsiaTheme="minorEastAsia" w:cstheme="minorEastAsia"/>
          <w:b/>
          <w:color w:val="auto"/>
          <w:kern w:val="0"/>
          <w:sz w:val="24"/>
          <w:highlight w:val="none"/>
        </w:rPr>
      </w:pPr>
    </w:p>
    <w:p w14:paraId="73CFBC7A">
      <w:pPr>
        <w:autoSpaceDE w:val="0"/>
        <w:autoSpaceDN w:val="0"/>
        <w:spacing w:line="360" w:lineRule="auto"/>
        <w:ind w:left="2" w:leftChars="1" w:right="1120" w:firstLine="7680" w:firstLineChars="3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w:t>
      </w:r>
    </w:p>
    <w:p w14:paraId="393328D8">
      <w:pPr>
        <w:autoSpaceDE w:val="0"/>
        <w:autoSpaceDN w:val="0"/>
        <w:spacing w:line="360" w:lineRule="auto"/>
        <w:ind w:left="2" w:leftChars="1" w:right="1120" w:firstLine="7680" w:firstLineChars="3200"/>
        <w:jc w:val="left"/>
        <w:rPr>
          <w:rFonts w:hint="eastAsia" w:asciiTheme="minorEastAsia" w:hAnsiTheme="minorEastAsia" w:eastAsiaTheme="minorEastAsia" w:cstheme="minorEastAsia"/>
          <w:color w:val="auto"/>
          <w:kern w:val="0"/>
          <w:sz w:val="24"/>
          <w:highlight w:val="none"/>
          <w:lang w:val="zh-CN"/>
        </w:rPr>
        <w:sectPr>
          <w:pgSz w:w="16838" w:h="11906" w:orient="landscape"/>
          <w:pgMar w:top="1417" w:right="1247" w:bottom="1417" w:left="1247" w:header="851" w:footer="992" w:gutter="0"/>
          <w:pgBorders>
            <w:top w:val="none" w:sz="0" w:space="0"/>
            <w:left w:val="none" w:sz="0" w:space="0"/>
            <w:bottom w:val="none" w:sz="0" w:space="0"/>
            <w:right w:val="none" w:sz="0" w:space="0"/>
          </w:pgBorders>
          <w:pgNumType w:fmt="decimal"/>
          <w:cols w:space="0" w:num="1"/>
          <w:titlePg/>
          <w:docGrid w:linePitch="312" w:charSpace="0"/>
        </w:sect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44067003">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r>
        <w:rPr>
          <w:rFonts w:hint="eastAsia" w:ascii="宋体" w:hAnsi="宋体" w:cs="宋体"/>
          <w:b/>
          <w:color w:val="auto"/>
          <w:spacing w:val="6"/>
          <w:sz w:val="32"/>
          <w:szCs w:val="32"/>
          <w:highlight w:val="none"/>
          <w:lang w:val="zh-CN"/>
        </w:rPr>
        <w:t>异议</w:t>
      </w:r>
      <w:r>
        <w:rPr>
          <w:rFonts w:hint="eastAsia" w:ascii="宋体" w:hAnsi="宋体" w:cs="宋体"/>
          <w:b/>
          <w:color w:val="auto"/>
          <w:spacing w:val="6"/>
          <w:sz w:val="32"/>
          <w:szCs w:val="32"/>
          <w:highlight w:val="none"/>
        </w:rPr>
        <w:t>函范本及制作说明</w:t>
      </w:r>
    </w:p>
    <w:p w14:paraId="5B3C4575">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异议函范本</w:t>
      </w:r>
    </w:p>
    <w:p w14:paraId="43E1FDB8">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一、异议响应人基本信息</w:t>
      </w:r>
    </w:p>
    <w:p w14:paraId="1108D8D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异议响应人：</w:t>
      </w:r>
      <w:r>
        <w:rPr>
          <w:rFonts w:hint="eastAsia" w:ascii="宋体" w:hAnsi="宋体" w:cs="宋体"/>
          <w:color w:val="auto"/>
          <w:sz w:val="24"/>
          <w:highlight w:val="none"/>
          <w:u w:val="dotted"/>
        </w:rPr>
        <w:t xml:space="preserve">                                        </w:t>
      </w:r>
    </w:p>
    <w:p w14:paraId="3A193C6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D5DE1B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D46A8D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A16125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407844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D722275">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二、异议项目基本情况</w:t>
      </w:r>
    </w:p>
    <w:p w14:paraId="4141DE0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异议项目的名称：</w:t>
      </w:r>
      <w:r>
        <w:rPr>
          <w:rFonts w:hint="eastAsia" w:ascii="宋体" w:hAnsi="宋体" w:cs="宋体"/>
          <w:color w:val="auto"/>
          <w:sz w:val="24"/>
          <w:highlight w:val="none"/>
          <w:u w:val="dotted"/>
        </w:rPr>
        <w:t xml:space="preserve">                                      </w:t>
      </w:r>
    </w:p>
    <w:p w14:paraId="7D1ED18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异议项目的编号：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79E083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p>
    <w:p w14:paraId="1D34528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获取日期：</w:t>
      </w:r>
      <w:r>
        <w:rPr>
          <w:rFonts w:hint="eastAsia" w:ascii="宋体" w:hAnsi="宋体" w:cs="宋体"/>
          <w:color w:val="auto"/>
          <w:sz w:val="24"/>
          <w:highlight w:val="none"/>
          <w:u w:val="dotted"/>
        </w:rPr>
        <w:t xml:space="preserve">                                           </w:t>
      </w:r>
    </w:p>
    <w:p w14:paraId="015A3E05">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三、异议事项具体内容</w:t>
      </w:r>
    </w:p>
    <w:p w14:paraId="14D1606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异议事项1：</w:t>
      </w:r>
      <w:r>
        <w:rPr>
          <w:rFonts w:hint="eastAsia" w:ascii="宋体" w:hAnsi="宋体" w:cs="宋体"/>
          <w:color w:val="auto"/>
          <w:sz w:val="24"/>
          <w:highlight w:val="none"/>
          <w:u w:val="dotted"/>
        </w:rPr>
        <w:t xml:space="preserve">                                         </w:t>
      </w:r>
    </w:p>
    <w:p w14:paraId="23B7D9C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175A4F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5BB0876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4B7B03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5BD602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异议事项2</w:t>
      </w:r>
    </w:p>
    <w:p w14:paraId="1464C1A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79971AB1">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四、与异议事项相关的异议请求</w:t>
      </w:r>
    </w:p>
    <w:p w14:paraId="34BBA94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2D73D7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40625AA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208B6335">
      <w:pPr>
        <w:spacing w:line="360" w:lineRule="auto"/>
        <w:jc w:val="center"/>
        <w:rPr>
          <w:rFonts w:hint="eastAsia" w:ascii="宋体" w:hAnsi="宋体" w:cs="宋体"/>
          <w:b/>
          <w:bCs/>
          <w:color w:val="auto"/>
          <w:sz w:val="24"/>
          <w:highlight w:val="none"/>
        </w:rPr>
      </w:pPr>
    </w:p>
    <w:p w14:paraId="04572DF4">
      <w:pPr>
        <w:spacing w:line="360" w:lineRule="auto"/>
        <w:rPr>
          <w:rFonts w:hint="eastAsia" w:ascii="宋体" w:hAnsi="宋体" w:cs="宋体"/>
          <w:b/>
          <w:color w:val="auto"/>
          <w:sz w:val="24"/>
          <w:highlight w:val="none"/>
        </w:rPr>
      </w:pPr>
    </w:p>
    <w:p w14:paraId="6851968D">
      <w:pPr>
        <w:spacing w:line="360" w:lineRule="auto"/>
        <w:rPr>
          <w:rFonts w:hint="eastAsia" w:ascii="宋体" w:hAnsi="宋体" w:cs="宋体"/>
          <w:b/>
          <w:color w:val="auto"/>
          <w:sz w:val="24"/>
          <w:highlight w:val="none"/>
        </w:rPr>
      </w:pPr>
    </w:p>
    <w:p w14:paraId="43794CA5">
      <w:pPr>
        <w:spacing w:line="360" w:lineRule="auto"/>
        <w:rPr>
          <w:rFonts w:hint="eastAsia" w:ascii="宋体" w:hAnsi="宋体" w:cs="宋体"/>
          <w:b/>
          <w:color w:val="auto"/>
          <w:sz w:val="24"/>
          <w:highlight w:val="none"/>
        </w:rPr>
      </w:pPr>
    </w:p>
    <w:p w14:paraId="4E81CF5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异议函制作说明：</w:t>
      </w:r>
    </w:p>
    <w:p w14:paraId="1418B4E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1.响应人提出异议时，应提交异议函和必要的证明材料。</w:t>
      </w:r>
    </w:p>
    <w:p w14:paraId="0E55612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2.异议响应人若委托代理人进行异议的，异议函应按要求列明“授权代表”的有关内容，并在附件中提交由异议</w:t>
      </w:r>
      <w:r>
        <w:rPr>
          <w:rFonts w:hint="eastAsia" w:ascii="宋体" w:hAnsi="宋体" w:cs="宋体"/>
          <w:color w:val="auto"/>
          <w:kern w:val="0"/>
          <w:sz w:val="24"/>
          <w:highlight w:val="none"/>
        </w:rPr>
        <w:t>响应人签署的授权委托书。授权委托书应载明代理人的姓名或者名称、代理事项、具体权限、期限和相关事项。</w:t>
      </w:r>
    </w:p>
    <w:p w14:paraId="7A4AE77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3.异议响应人若对项目的某一分包进行异议，异议函中应列明具体分包号。</w:t>
      </w:r>
    </w:p>
    <w:p w14:paraId="210A0E9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4.异议函的异议事项应具体、明确，并有必要的事实依据和法律依据。</w:t>
      </w:r>
    </w:p>
    <w:p w14:paraId="7622C30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5.异议函的异议请求应与异议事项相关。</w:t>
      </w:r>
    </w:p>
    <w:p w14:paraId="65EA907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14:paraId="747F2CDA">
      <w:pPr>
        <w:widowControl/>
        <w:spacing w:line="360" w:lineRule="auto"/>
        <w:ind w:firstLine="600" w:firstLineChars="200"/>
        <w:jc w:val="left"/>
        <w:rPr>
          <w:rFonts w:hint="eastAsia" w:ascii="宋体" w:hAnsi="宋体" w:cs="宋体"/>
          <w:color w:val="auto"/>
          <w:sz w:val="30"/>
          <w:szCs w:val="30"/>
          <w:highlight w:val="none"/>
        </w:rPr>
      </w:pPr>
    </w:p>
    <w:p w14:paraId="7D58659B">
      <w:pPr>
        <w:spacing w:line="360" w:lineRule="auto"/>
        <w:jc w:val="center"/>
        <w:rPr>
          <w:rFonts w:hint="eastAsia" w:ascii="宋体" w:hAnsi="宋体" w:cs="宋体"/>
          <w:b/>
          <w:color w:val="auto"/>
          <w:spacing w:val="6"/>
          <w:sz w:val="32"/>
          <w:szCs w:val="32"/>
          <w:highlight w:val="none"/>
        </w:rPr>
      </w:pPr>
    </w:p>
    <w:p w14:paraId="268B9794">
      <w:pPr>
        <w:spacing w:line="360" w:lineRule="auto"/>
        <w:jc w:val="center"/>
        <w:rPr>
          <w:rFonts w:hint="eastAsia" w:ascii="宋体" w:hAnsi="宋体" w:cs="宋体"/>
          <w:b/>
          <w:color w:val="auto"/>
          <w:spacing w:val="6"/>
          <w:sz w:val="32"/>
          <w:szCs w:val="32"/>
          <w:highlight w:val="none"/>
        </w:rPr>
      </w:pPr>
    </w:p>
    <w:p w14:paraId="07DC9436">
      <w:pPr>
        <w:spacing w:line="360" w:lineRule="auto"/>
        <w:jc w:val="center"/>
        <w:rPr>
          <w:rFonts w:hint="eastAsia" w:ascii="宋体" w:hAnsi="宋体" w:cs="宋体"/>
          <w:b/>
          <w:color w:val="auto"/>
          <w:spacing w:val="6"/>
          <w:sz w:val="32"/>
          <w:szCs w:val="32"/>
          <w:highlight w:val="none"/>
        </w:rPr>
      </w:pPr>
    </w:p>
    <w:p w14:paraId="0B5CBD63">
      <w:pPr>
        <w:spacing w:line="360" w:lineRule="auto"/>
        <w:jc w:val="center"/>
        <w:rPr>
          <w:rFonts w:hint="eastAsia" w:ascii="宋体" w:hAnsi="宋体" w:cs="宋体"/>
          <w:b/>
          <w:color w:val="auto"/>
          <w:spacing w:val="6"/>
          <w:sz w:val="32"/>
          <w:szCs w:val="32"/>
          <w:highlight w:val="none"/>
        </w:rPr>
      </w:pPr>
    </w:p>
    <w:p w14:paraId="7F49C894">
      <w:pPr>
        <w:spacing w:line="360" w:lineRule="auto"/>
        <w:jc w:val="center"/>
        <w:rPr>
          <w:rFonts w:hint="eastAsia" w:ascii="宋体" w:hAnsi="宋体" w:cs="宋体"/>
          <w:b/>
          <w:color w:val="auto"/>
          <w:spacing w:val="6"/>
          <w:sz w:val="32"/>
          <w:szCs w:val="32"/>
          <w:highlight w:val="none"/>
        </w:rPr>
      </w:pPr>
    </w:p>
    <w:p w14:paraId="3C138F21">
      <w:pPr>
        <w:spacing w:line="360" w:lineRule="auto"/>
        <w:jc w:val="center"/>
        <w:rPr>
          <w:rFonts w:hint="eastAsia" w:ascii="宋体" w:hAnsi="宋体" w:cs="宋体"/>
          <w:b/>
          <w:color w:val="auto"/>
          <w:spacing w:val="6"/>
          <w:sz w:val="32"/>
          <w:szCs w:val="32"/>
          <w:highlight w:val="none"/>
        </w:rPr>
      </w:pPr>
    </w:p>
    <w:p w14:paraId="365B09FC">
      <w:pPr>
        <w:spacing w:line="360" w:lineRule="auto"/>
        <w:jc w:val="center"/>
        <w:rPr>
          <w:rFonts w:hint="eastAsia" w:ascii="宋体" w:hAnsi="宋体" w:cs="宋体"/>
          <w:b/>
          <w:color w:val="auto"/>
          <w:spacing w:val="6"/>
          <w:sz w:val="32"/>
          <w:szCs w:val="32"/>
          <w:highlight w:val="none"/>
        </w:rPr>
      </w:pPr>
    </w:p>
    <w:p w14:paraId="00936A4F">
      <w:pPr>
        <w:spacing w:line="360" w:lineRule="auto"/>
        <w:jc w:val="center"/>
        <w:rPr>
          <w:rFonts w:hint="eastAsia" w:ascii="宋体" w:hAnsi="宋体" w:cs="宋体"/>
          <w:b/>
          <w:color w:val="auto"/>
          <w:spacing w:val="6"/>
          <w:sz w:val="32"/>
          <w:szCs w:val="32"/>
          <w:highlight w:val="none"/>
        </w:rPr>
      </w:pPr>
    </w:p>
    <w:p w14:paraId="030A4D3D">
      <w:pPr>
        <w:spacing w:line="360" w:lineRule="auto"/>
        <w:jc w:val="center"/>
        <w:rPr>
          <w:rFonts w:hint="eastAsia" w:ascii="宋体" w:hAnsi="宋体" w:cs="宋体"/>
          <w:b/>
          <w:color w:val="auto"/>
          <w:spacing w:val="6"/>
          <w:sz w:val="32"/>
          <w:szCs w:val="32"/>
          <w:highlight w:val="none"/>
        </w:rPr>
      </w:pPr>
    </w:p>
    <w:p w14:paraId="7ADA6DFD">
      <w:pPr>
        <w:spacing w:line="360" w:lineRule="auto"/>
        <w:jc w:val="center"/>
        <w:rPr>
          <w:rFonts w:hint="eastAsia" w:ascii="宋体" w:hAnsi="宋体" w:cs="宋体"/>
          <w:b/>
          <w:color w:val="auto"/>
          <w:spacing w:val="6"/>
          <w:sz w:val="32"/>
          <w:szCs w:val="32"/>
          <w:highlight w:val="none"/>
        </w:rPr>
      </w:pPr>
    </w:p>
    <w:p w14:paraId="16B50D59">
      <w:pPr>
        <w:spacing w:line="360" w:lineRule="auto"/>
        <w:jc w:val="center"/>
        <w:rPr>
          <w:rFonts w:hint="eastAsia" w:ascii="宋体" w:hAnsi="宋体" w:cs="宋体"/>
          <w:b/>
          <w:color w:val="auto"/>
          <w:spacing w:val="6"/>
          <w:sz w:val="32"/>
          <w:szCs w:val="32"/>
          <w:highlight w:val="none"/>
        </w:rPr>
      </w:pPr>
    </w:p>
    <w:p w14:paraId="32022246">
      <w:pPr>
        <w:spacing w:line="360" w:lineRule="auto"/>
        <w:jc w:val="center"/>
        <w:rPr>
          <w:rFonts w:hint="eastAsia" w:ascii="宋体" w:hAnsi="宋体" w:cs="宋体"/>
          <w:b/>
          <w:color w:val="auto"/>
          <w:spacing w:val="6"/>
          <w:sz w:val="32"/>
          <w:szCs w:val="32"/>
          <w:highlight w:val="none"/>
        </w:rPr>
      </w:pPr>
    </w:p>
    <w:p w14:paraId="203BF9EA">
      <w:pPr>
        <w:spacing w:line="360" w:lineRule="auto"/>
        <w:jc w:val="left"/>
        <w:rPr>
          <w:rFonts w:hint="eastAsia" w:ascii="宋体" w:hAnsi="宋体" w:cs="宋体"/>
          <w:b/>
          <w:color w:val="auto"/>
          <w:spacing w:val="6"/>
          <w:sz w:val="32"/>
          <w:szCs w:val="32"/>
          <w:highlight w:val="none"/>
        </w:rPr>
      </w:pPr>
    </w:p>
    <w:p w14:paraId="06BA034F">
      <w:pPr>
        <w:spacing w:line="360" w:lineRule="auto"/>
        <w:jc w:val="left"/>
        <w:rPr>
          <w:rFonts w:hint="eastAsia" w:ascii="宋体" w:hAnsi="宋体" w:cs="宋体"/>
          <w:b/>
          <w:color w:val="auto"/>
          <w:spacing w:val="6"/>
          <w:sz w:val="32"/>
          <w:szCs w:val="32"/>
          <w:highlight w:val="none"/>
        </w:rPr>
      </w:pPr>
    </w:p>
    <w:p w14:paraId="3FEBB0BC">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1ED3B0D5">
      <w:pPr>
        <w:spacing w:line="360" w:lineRule="auto"/>
        <w:jc w:val="center"/>
        <w:rPr>
          <w:rFonts w:hint="eastAsia" w:ascii="宋体" w:hAnsi="宋体" w:cs="宋体"/>
          <w:b/>
          <w:color w:val="auto"/>
          <w:sz w:val="24"/>
          <w:highlight w:val="none"/>
        </w:rPr>
      </w:pPr>
    </w:p>
    <w:p w14:paraId="664CBD8E">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9B9FE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0C4287A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618A73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534EF2B">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EF02CD1">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E8C8C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F8604B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C852A7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8C6DB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D49B8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D68A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6533D0C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54FFD37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相关响应人：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8E35A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6B26E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AD276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235EBF1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名称：</w:t>
      </w:r>
      <w:r>
        <w:rPr>
          <w:rFonts w:hint="eastAsia" w:ascii="宋体" w:hAnsi="宋体" w:cs="宋体"/>
          <w:color w:val="auto"/>
          <w:sz w:val="24"/>
          <w:highlight w:val="none"/>
          <w:u w:val="dotted"/>
        </w:rPr>
        <w:t xml:space="preserve">                                        </w:t>
      </w:r>
    </w:p>
    <w:p w14:paraId="0A62D00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5A5110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7E0C9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F11DA9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7CF851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成交结果公告: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E880B4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三、异议基本情况</w:t>
      </w:r>
    </w:p>
    <w:p w14:paraId="353E1DA6">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提出异议，异议事项为：</w:t>
      </w:r>
      <w:r>
        <w:rPr>
          <w:rFonts w:hint="eastAsia" w:ascii="宋体" w:hAnsi="宋体" w:cs="宋体"/>
          <w:color w:val="auto"/>
          <w:sz w:val="24"/>
          <w:highlight w:val="none"/>
          <w:u w:val="dotted"/>
        </w:rPr>
        <w:t xml:space="preserve">                                </w:t>
      </w:r>
    </w:p>
    <w:p w14:paraId="136E715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C3508F">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交易发起人/代理机构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日,就异议事项作出了答复/没有在法定期限内作出答复。</w:t>
      </w:r>
    </w:p>
    <w:p w14:paraId="1C9393D5">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4FD7BAA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11F3D5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68D8A6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0BAB66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14283B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11B043F">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2481E2F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471A54F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3628EB3A">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BE881C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26D6B10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F2E924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70EF43D8">
      <w:pPr>
        <w:spacing w:line="360" w:lineRule="auto"/>
        <w:rPr>
          <w:rFonts w:hint="eastAsia" w:ascii="宋体" w:hAnsi="宋体" w:cs="宋体"/>
          <w:b/>
          <w:color w:val="auto"/>
          <w:sz w:val="24"/>
          <w:highlight w:val="none"/>
        </w:rPr>
      </w:pPr>
    </w:p>
    <w:p w14:paraId="05B7EA1E">
      <w:pPr>
        <w:spacing w:line="360" w:lineRule="auto"/>
        <w:rPr>
          <w:rFonts w:hint="eastAsia" w:ascii="宋体" w:hAnsi="宋体" w:cs="宋体"/>
          <w:b/>
          <w:color w:val="auto"/>
          <w:sz w:val="24"/>
          <w:highlight w:val="none"/>
        </w:rPr>
      </w:pPr>
    </w:p>
    <w:p w14:paraId="14907B5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2406F4D1">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1.投诉人提起投诉时，应当提交投诉书和必要的证明材料，并按照被投诉人和与投诉事项有关的响应人数量提供投诉书副本。</w:t>
      </w:r>
    </w:p>
    <w:p w14:paraId="305189B2">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E49EB1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D7E8FE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4.投诉书应简要列明异议事项，异议函、异议答复等作为附件材料提供。</w:t>
      </w:r>
    </w:p>
    <w:p w14:paraId="266CD80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823B09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88E570C">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2F859FA">
      <w:pPr>
        <w:spacing w:line="360" w:lineRule="auto"/>
        <w:rPr>
          <w:rFonts w:hint="eastAsia" w:asciiTheme="minorEastAsia" w:hAnsiTheme="minorEastAsia" w:eastAsiaTheme="minorEastAsia" w:cstheme="minorEastAsia"/>
          <w:b/>
          <w:color w:val="auto"/>
          <w:sz w:val="24"/>
          <w:highlight w:val="none"/>
        </w:rPr>
      </w:pPr>
    </w:p>
    <w:p w14:paraId="743D036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369547E">
      <w:pPr>
        <w:autoSpaceDE w:val="0"/>
        <w:autoSpaceDN w:val="0"/>
        <w:jc w:val="left"/>
        <w:rPr>
          <w:rFonts w:hint="eastAsia" w:asciiTheme="minorEastAsia" w:hAnsiTheme="minorEastAsia" w:eastAsiaTheme="minorEastAsia" w:cstheme="minorEastAsia"/>
          <w:b/>
          <w:color w:val="auto"/>
          <w:spacing w:val="6"/>
          <w:sz w:val="32"/>
          <w:szCs w:val="32"/>
          <w:highlight w:val="none"/>
        </w:rPr>
      </w:pPr>
    </w:p>
    <w:p w14:paraId="65ADF8F8">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14:paraId="6369BFF1">
      <w:pPr>
        <w:autoSpaceDE w:val="0"/>
        <w:autoSpaceDN w:val="0"/>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w:t>
      </w:r>
    </w:p>
    <w:p w14:paraId="61BF8202">
      <w:pPr>
        <w:autoSpaceDE w:val="0"/>
        <w:autoSpaceDN w:val="0"/>
        <w:jc w:val="center"/>
        <w:rPr>
          <w:rFonts w:hint="eastAsia" w:asciiTheme="minorEastAsia" w:hAnsiTheme="minorEastAsia" w:eastAsiaTheme="minorEastAsia" w:cstheme="minorEastAsia"/>
          <w:b/>
          <w:bCs/>
          <w:color w:val="auto"/>
          <w:sz w:val="32"/>
          <w:szCs w:val="32"/>
          <w:highlight w:val="none"/>
        </w:rPr>
      </w:pPr>
    </w:p>
    <w:p w14:paraId="2ADF5AAA">
      <w:pPr>
        <w:autoSpaceDE w:val="0"/>
        <w:autoSpaceDN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业务专用章使用说明函</w:t>
      </w:r>
    </w:p>
    <w:p w14:paraId="78CE3D35">
      <w:pPr>
        <w:spacing w:line="360" w:lineRule="auto"/>
        <w:rPr>
          <w:rFonts w:hint="eastAsia" w:asciiTheme="minorEastAsia" w:hAnsiTheme="minorEastAsia" w:eastAsiaTheme="minorEastAsia" w:cstheme="minorEastAsia"/>
          <w:color w:val="auto"/>
          <w:sz w:val="24"/>
          <w:highlight w:val="none"/>
          <w:u w:val="single"/>
        </w:rPr>
      </w:pPr>
    </w:p>
    <w:p w14:paraId="648915B3">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（交易发起人）、（代理机构）</w:t>
      </w:r>
    </w:p>
    <w:p w14:paraId="5D1BD26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w:t>
      </w:r>
      <w:r>
        <w:rPr>
          <w:rFonts w:hint="eastAsia" w:ascii="宋体" w:hAnsi="宋体" w:cs="宋体"/>
          <w:color w:val="auto"/>
          <w:sz w:val="24"/>
          <w:highlight w:val="none"/>
          <w:u w:val="single"/>
          <w:lang w:val="en-US" w:eastAsia="zh-CN"/>
        </w:rPr>
        <w:t>项目</w:t>
      </w:r>
      <w:r>
        <w:rPr>
          <w:rFonts w:hint="eastAsia" w:ascii="宋体" w:hAnsi="宋体" w:cs="宋体"/>
          <w:color w:val="auto"/>
          <w:sz w:val="24"/>
          <w:highlight w:val="none"/>
          <w:u w:val="single"/>
        </w:rPr>
        <w:t>编号：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D87A8B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091F3629">
      <w:pPr>
        <w:spacing w:line="360" w:lineRule="auto"/>
        <w:ind w:firstLine="494"/>
        <w:rPr>
          <w:rFonts w:hint="eastAsia" w:asciiTheme="minorEastAsia" w:hAnsiTheme="minorEastAsia" w:eastAsiaTheme="minorEastAsia" w:cstheme="minorEastAsia"/>
          <w:color w:val="auto"/>
          <w:sz w:val="24"/>
          <w:highlight w:val="none"/>
        </w:rPr>
      </w:pPr>
    </w:p>
    <w:p w14:paraId="0DEB86B4">
      <w:pPr>
        <w:spacing w:line="360" w:lineRule="auto"/>
        <w:ind w:firstLine="494"/>
        <w:rPr>
          <w:rFonts w:hint="eastAsia" w:asciiTheme="minorEastAsia" w:hAnsiTheme="minorEastAsia" w:eastAsiaTheme="minorEastAsia" w:cstheme="minorEastAsia"/>
          <w:color w:val="auto"/>
          <w:sz w:val="24"/>
          <w:highlight w:val="none"/>
        </w:rPr>
      </w:pPr>
    </w:p>
    <w:p w14:paraId="1E095461">
      <w:pPr>
        <w:spacing w:line="360" w:lineRule="auto"/>
        <w:ind w:firstLine="494"/>
        <w:rPr>
          <w:rFonts w:hint="eastAsia" w:asciiTheme="minorEastAsia" w:hAnsiTheme="minorEastAsia" w:eastAsiaTheme="minorEastAsia" w:cstheme="minorEastAsia"/>
          <w:color w:val="auto"/>
          <w:sz w:val="24"/>
          <w:highlight w:val="none"/>
        </w:rPr>
      </w:pPr>
    </w:p>
    <w:p w14:paraId="50357F72">
      <w:pPr>
        <w:spacing w:line="360" w:lineRule="auto"/>
        <w:ind w:firstLine="494"/>
        <w:rPr>
          <w:rFonts w:hint="eastAsia" w:asciiTheme="minorEastAsia" w:hAnsiTheme="minorEastAsia" w:eastAsiaTheme="minorEastAsia" w:cstheme="minorEastAsia"/>
          <w:color w:val="auto"/>
          <w:sz w:val="24"/>
          <w:highlight w:val="none"/>
        </w:rPr>
      </w:pPr>
    </w:p>
    <w:p w14:paraId="1457371A">
      <w:pPr>
        <w:spacing w:line="360" w:lineRule="auto"/>
        <w:ind w:right="480" w:firstLine="4080" w:firstLineChars="17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14:paraId="494DA5F4">
      <w:pPr>
        <w:ind w:right="1440" w:firstLine="49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19176BC9">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14:paraId="06EE4473">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505F0CAD">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505F0CAD">
                      <w:pPr>
                        <w:jc w:val="center"/>
                      </w:pPr>
                    </w:p>
                  </w:txbxContent>
                </v:textbox>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14:paraId="3206C85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44BD44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1478C2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E17F13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B05B8B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1AADA1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CB4B300">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6C8B8D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6C2BF6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047CE4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557447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0545EDD">
      <w:pPr>
        <w:autoSpaceDE w:val="0"/>
        <w:autoSpaceDN w:val="0"/>
        <w:jc w:val="center"/>
        <w:rPr>
          <w:rFonts w:hint="eastAsia" w:asciiTheme="minorEastAsia" w:hAnsiTheme="minorEastAsia" w:eastAsiaTheme="minorEastAsia" w:cstheme="minorEastAsia"/>
          <w:b/>
          <w:color w:val="auto"/>
          <w:spacing w:val="6"/>
          <w:sz w:val="32"/>
          <w:szCs w:val="32"/>
          <w:highlight w:val="none"/>
        </w:rPr>
        <w:sectPr>
          <w:headerReference r:id="rId9" w:type="first"/>
          <w:footerReference r:id="rId12" w:type="first"/>
          <w:headerReference r:id="rId8" w:type="default"/>
          <w:footerReference r:id="rId10" w:type="default"/>
          <w:footerReference r:id="rId11" w:type="even"/>
          <w:pgSz w:w="11906" w:h="16838"/>
          <w:pgMar w:top="1247" w:right="1417" w:bottom="1247" w:left="1417"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04DDC8B4">
      <w:pPr>
        <w:pStyle w:val="2"/>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highlight w:val="none"/>
        </w:rPr>
        <w:t>附件</w:t>
      </w:r>
      <w:r>
        <w:rPr>
          <w:rFonts w:hint="eastAsia" w:asciiTheme="minorEastAsia" w:hAnsiTheme="minorEastAsia" w:eastAsiaTheme="minorEastAsia" w:cstheme="minorEastAsia"/>
          <w:b/>
          <w:bCs/>
          <w:color w:val="auto"/>
          <w:highlight w:val="none"/>
          <w:lang w:val="en-US"/>
        </w:rPr>
        <w:t>4</w:t>
      </w:r>
      <w:r>
        <w:rPr>
          <w:rFonts w:hint="eastAsia" w:asciiTheme="minorEastAsia" w:hAnsiTheme="minorEastAsia" w:eastAsiaTheme="minorEastAsia" w:cstheme="minorEastAsia"/>
          <w:b/>
          <w:bCs/>
          <w:color w:val="auto"/>
          <w:highlight w:val="none"/>
        </w:rPr>
        <w:t>样品（演示）授权委托书</w:t>
      </w:r>
    </w:p>
    <w:p w14:paraId="45B56B58">
      <w:pPr>
        <w:jc w:val="center"/>
        <w:rPr>
          <w:rFonts w:hint="eastAsia" w:asciiTheme="minorEastAsia" w:hAnsiTheme="minorEastAsia" w:eastAsiaTheme="minorEastAsia" w:cstheme="minorEastAsia"/>
          <w:color w:val="auto"/>
          <w:sz w:val="40"/>
          <w:highlight w:val="none"/>
        </w:rPr>
      </w:pPr>
    </w:p>
    <w:p w14:paraId="7708BB5D">
      <w:pPr>
        <w:jc w:val="center"/>
        <w:rPr>
          <w:rFonts w:hint="eastAsia" w:asciiTheme="minorEastAsia" w:hAnsiTheme="minorEastAsia" w:eastAsiaTheme="minorEastAsia" w:cstheme="minorEastAsia"/>
          <w:color w:val="auto"/>
          <w:sz w:val="40"/>
          <w:highlight w:val="none"/>
        </w:rPr>
      </w:pPr>
      <w:r>
        <w:rPr>
          <w:rFonts w:hint="eastAsia" w:asciiTheme="minorEastAsia" w:hAnsiTheme="minorEastAsia" w:eastAsiaTheme="minorEastAsia" w:cstheme="minorEastAsia"/>
          <w:color w:val="auto"/>
          <w:sz w:val="40"/>
          <w:highlight w:val="none"/>
        </w:rPr>
        <w:t>样品（演示）授权委托书</w:t>
      </w:r>
    </w:p>
    <w:p w14:paraId="693D9581">
      <w:pPr>
        <w:jc w:val="center"/>
        <w:rPr>
          <w:rFonts w:hint="eastAsia" w:asciiTheme="minorEastAsia" w:hAnsiTheme="minorEastAsia" w:eastAsiaTheme="minorEastAsia" w:cstheme="minorEastAsia"/>
          <w:color w:val="auto"/>
          <w:sz w:val="40"/>
          <w:highlight w:val="none"/>
        </w:rPr>
      </w:pPr>
    </w:p>
    <w:p w14:paraId="753C87E8">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XXX（交易发起人或代理机构）</w:t>
      </w:r>
      <w:r>
        <w:rPr>
          <w:rFonts w:hint="eastAsia" w:asciiTheme="minorEastAsia" w:hAnsiTheme="minorEastAsia" w:eastAsiaTheme="minorEastAsia" w:cstheme="minorEastAsia"/>
          <w:color w:val="auto"/>
          <w:highlight w:val="none"/>
          <w:lang w:val="zh-CN"/>
        </w:rPr>
        <w:t>：</w:t>
      </w:r>
    </w:p>
    <w:p w14:paraId="03CE88E5">
      <w:pPr>
        <w:snapToGrid w:val="0"/>
        <w:spacing w:line="360" w:lineRule="auto"/>
        <w:ind w:left="254" w:leftChars="121" w:firstLine="420" w:firstLineChars="200"/>
        <w:rPr>
          <w:rFonts w:hint="eastAsia" w:asciiTheme="minorEastAsia" w:hAnsiTheme="minorEastAsia" w:eastAsiaTheme="minorEastAsia" w:cstheme="minorEastAsia"/>
          <w:color w:val="auto"/>
          <w:highlight w:val="none"/>
          <w:u w:val="single"/>
          <w:lang w:val="zh-CN"/>
        </w:rPr>
      </w:pPr>
      <w:r>
        <w:rPr>
          <w:rFonts w:hint="eastAsia" w:asciiTheme="minorEastAsia" w:hAnsiTheme="minorEastAsia" w:eastAsiaTheme="minorEastAsia" w:cstheme="minorEastAsia"/>
          <w:color w:val="auto"/>
          <w:highlight w:val="none"/>
          <w:lang w:val="zh-CN"/>
        </w:rPr>
        <w:t>兹委派</w:t>
      </w:r>
      <w:r>
        <w:rPr>
          <w:rFonts w:hint="eastAsia" w:asciiTheme="minorEastAsia" w:hAnsiTheme="minorEastAsia" w:eastAsiaTheme="minorEastAsia" w:cstheme="minorEastAsia"/>
          <w:color w:val="auto"/>
          <w:highlight w:val="none"/>
          <w:u w:val="single"/>
          <w:lang w:val="zh-CN"/>
        </w:rPr>
        <w:t xml:space="preserve">                </w:t>
      </w:r>
      <w:r>
        <w:rPr>
          <w:rFonts w:hint="eastAsia" w:asciiTheme="minorEastAsia" w:hAnsiTheme="minorEastAsia" w:eastAsiaTheme="minorEastAsia" w:cstheme="minorEastAsia"/>
          <w:color w:val="auto"/>
          <w:highlight w:val="none"/>
          <w:lang w:val="zh-CN"/>
        </w:rPr>
        <w:t>先生/女士，身份证号：</w:t>
      </w:r>
      <w:r>
        <w:rPr>
          <w:rFonts w:hint="eastAsia" w:asciiTheme="minorEastAsia" w:hAnsiTheme="minorEastAsia" w:eastAsiaTheme="minorEastAsia" w:cstheme="minorEastAsia"/>
          <w:color w:val="auto"/>
          <w:highlight w:val="none"/>
          <w:u w:val="single"/>
          <w:lang w:val="zh-CN"/>
        </w:rPr>
        <w:t xml:space="preserve">                   </w:t>
      </w:r>
    </w:p>
    <w:p w14:paraId="4544E543">
      <w:pPr>
        <w:snapToGrid w:val="0"/>
        <w:spacing w:line="360" w:lineRule="auto"/>
        <w:ind w:left="254" w:leftChars="121"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手机：</w:t>
      </w:r>
      <w:r>
        <w:rPr>
          <w:rFonts w:hint="eastAsia" w:asciiTheme="minorEastAsia" w:hAnsiTheme="minorEastAsia" w:eastAsiaTheme="minorEastAsia" w:cstheme="minorEastAsia"/>
          <w:color w:val="auto"/>
          <w:highlight w:val="none"/>
          <w:u w:val="single"/>
          <w:lang w:val="zh-CN"/>
        </w:rPr>
        <w:t xml:space="preserve">             </w:t>
      </w:r>
      <w:r>
        <w:rPr>
          <w:rFonts w:hint="eastAsia" w:asciiTheme="minorEastAsia" w:hAnsiTheme="minorEastAsia" w:eastAsiaTheme="minorEastAsia" w:cstheme="minorEastAsia"/>
          <w:color w:val="auto"/>
          <w:highlight w:val="none"/>
          <w:lang w:val="zh-CN"/>
        </w:rPr>
        <w:t>，代表我公司前来递交</w:t>
      </w:r>
      <w:r>
        <w:rPr>
          <w:rFonts w:hint="eastAsia" w:asciiTheme="minorEastAsia" w:hAnsiTheme="minorEastAsia" w:eastAsiaTheme="minorEastAsia" w:cstheme="minorEastAsia"/>
          <w:color w:val="auto"/>
          <w:highlight w:val="none"/>
          <w:u w:val="single"/>
          <w:lang w:val="zh-CN"/>
        </w:rPr>
        <w:t xml:space="preserve">                           采购项目</w:t>
      </w:r>
      <w:r>
        <w:rPr>
          <w:rFonts w:hint="eastAsia" w:asciiTheme="minorEastAsia" w:hAnsiTheme="minorEastAsia" w:eastAsiaTheme="minorEastAsia" w:cstheme="minorEastAsia"/>
          <w:color w:val="auto"/>
          <w:highlight w:val="none"/>
          <w:lang w:val="zh-CN"/>
        </w:rPr>
        <w:t>【项目编号：              】（标项号：  ）投标样品或参加演示，并全权负责标后取回样品等其他处理事宜。</w:t>
      </w:r>
    </w:p>
    <w:p w14:paraId="0C6923EC">
      <w:pPr>
        <w:snapToGrid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 xml:space="preserve">  </w:t>
      </w:r>
    </w:p>
    <w:p w14:paraId="5BE6C5EF">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特此告知。</w:t>
      </w:r>
    </w:p>
    <w:p w14:paraId="4B297AB6">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w:t>
      </w:r>
      <w:r>
        <w:rPr>
          <w:rFonts w:hint="eastAsia" w:asciiTheme="minorEastAsia" w:hAnsiTheme="minorEastAsia" w:eastAsiaTheme="minorEastAsia" w:cstheme="minorEastAsia"/>
          <w:color w:val="auto"/>
          <w:highlight w:val="none"/>
        </w:rPr>
        <w:t>供应商</w:t>
      </w:r>
      <w:r>
        <w:rPr>
          <w:rFonts w:hint="eastAsia" w:asciiTheme="minorEastAsia" w:hAnsiTheme="minorEastAsia" w:eastAsiaTheme="minorEastAsia" w:cstheme="minorEastAsia"/>
          <w:color w:val="auto"/>
          <w:highlight w:val="none"/>
          <w:lang w:val="zh-CN"/>
        </w:rPr>
        <w:t>名称(公章)：</w:t>
      </w:r>
    </w:p>
    <w:p w14:paraId="4FD3AD29">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w:t>
      </w:r>
    </w:p>
    <w:p w14:paraId="251FAB56">
      <w:pPr>
        <w:snapToGrid w:val="0"/>
        <w:spacing w:line="360" w:lineRule="auto"/>
        <w:ind w:right="240"/>
        <w:jc w:val="righ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签发日期：  年  月   日</w:t>
      </w:r>
    </w:p>
    <w:p w14:paraId="0C6DCAD0">
      <w:pPr>
        <w:snapToGrid w:val="0"/>
        <w:spacing w:line="360" w:lineRule="auto"/>
        <w:ind w:right="240"/>
        <w:jc w:val="right"/>
        <w:rPr>
          <w:rFonts w:hint="eastAsia" w:asciiTheme="minorEastAsia" w:hAnsiTheme="minorEastAsia" w:eastAsiaTheme="minorEastAsia" w:cstheme="minorEastAsia"/>
          <w:color w:val="auto"/>
          <w:highlight w:val="none"/>
          <w:lang w:val="zh-CN"/>
        </w:rPr>
      </w:pPr>
    </w:p>
    <w:p w14:paraId="66003692">
      <w:pPr>
        <w:snapToGrid w:val="0"/>
        <w:spacing w:line="360" w:lineRule="auto"/>
        <w:ind w:right="1920"/>
        <w:rPr>
          <w:rFonts w:hint="eastAsia" w:asciiTheme="minorEastAsia" w:hAnsiTheme="minorEastAsia" w:eastAsiaTheme="minorEastAsia" w:cstheme="minorEastAsia"/>
          <w:color w:val="auto"/>
          <w:highlight w:val="none"/>
          <w:lang w:val="zh-CN"/>
        </w:rPr>
      </w:pPr>
    </w:p>
    <w:p w14:paraId="74DEDFA7">
      <w:pPr>
        <w:snapToGrid w:val="0"/>
        <w:spacing w:line="360" w:lineRule="auto"/>
        <w:ind w:right="240"/>
        <w:jc w:val="right"/>
        <w:rPr>
          <w:rFonts w:hint="eastAsia" w:asciiTheme="minorEastAsia" w:hAnsiTheme="minorEastAsia" w:eastAsiaTheme="minorEastAsia" w:cstheme="minorEastAsia"/>
          <w:color w:val="auto"/>
          <w:highlight w:val="none"/>
          <w:lang w:val="zh-CN"/>
        </w:rPr>
      </w:pPr>
    </w:p>
    <w:p w14:paraId="00FD863D">
      <w:pPr>
        <w:snapToGrid w:val="0"/>
        <w:spacing w:line="360" w:lineRule="auto"/>
        <w:ind w:right="240"/>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rPr>
        <w:t>受委托人</w:t>
      </w:r>
      <w:r>
        <w:rPr>
          <w:rFonts w:hint="eastAsia" w:asciiTheme="minorEastAsia" w:hAnsiTheme="minorEastAsia" w:eastAsiaTheme="minorEastAsia" w:cstheme="minorEastAsia"/>
          <w:b/>
          <w:bCs/>
          <w:color w:val="auto"/>
          <w:highlight w:val="none"/>
          <w:lang w:val="zh-CN"/>
        </w:rPr>
        <w:t>身份证复印件：</w:t>
      </w:r>
    </w:p>
    <w:p w14:paraId="77F86EA1">
      <w:pPr>
        <w:snapToGrid w:val="0"/>
        <w:spacing w:line="360" w:lineRule="auto"/>
        <w:ind w:right="240"/>
        <w:rPr>
          <w:rFonts w:hint="eastAsia" w:asciiTheme="minorEastAsia" w:hAnsiTheme="minorEastAsia" w:eastAsiaTheme="minorEastAsia" w:cstheme="minorEastAsia"/>
          <w:color w:val="auto"/>
          <w:highlight w:val="none"/>
          <w:lang w:val="zh-CN"/>
        </w:rPr>
      </w:pPr>
    </w:p>
    <w:p w14:paraId="1FB5EA01">
      <w:pPr>
        <w:snapToGrid w:val="0"/>
        <w:spacing w:line="360" w:lineRule="auto"/>
        <w:ind w:right="240"/>
        <w:rPr>
          <w:rFonts w:hint="eastAsia" w:asciiTheme="minorEastAsia" w:hAnsiTheme="minorEastAsia" w:eastAsiaTheme="minorEastAsia" w:cstheme="minorEastAsia"/>
          <w:color w:val="auto"/>
          <w:highlight w:val="none"/>
          <w:lang w:val="zh-CN"/>
        </w:rPr>
      </w:pPr>
    </w:p>
    <w:p w14:paraId="3C8E83F1">
      <w:pPr>
        <w:snapToGrid w:val="0"/>
        <w:spacing w:line="360" w:lineRule="auto"/>
        <w:ind w:right="240"/>
        <w:rPr>
          <w:rFonts w:hint="eastAsia" w:asciiTheme="minorEastAsia" w:hAnsiTheme="minorEastAsia" w:eastAsiaTheme="minorEastAsia" w:cstheme="minorEastAsia"/>
          <w:color w:val="auto"/>
          <w:highlight w:val="none"/>
          <w:lang w:val="zh-CN"/>
        </w:rPr>
      </w:pPr>
    </w:p>
    <w:p w14:paraId="3AF8F928">
      <w:pPr>
        <w:snapToGrid w:val="0"/>
        <w:spacing w:line="360" w:lineRule="auto"/>
        <w:ind w:right="240"/>
        <w:rPr>
          <w:rFonts w:hint="eastAsia" w:asciiTheme="minorEastAsia" w:hAnsiTheme="minorEastAsia" w:eastAsiaTheme="minorEastAsia" w:cstheme="minorEastAsia"/>
          <w:color w:val="auto"/>
          <w:highlight w:val="none"/>
          <w:lang w:val="zh-CN"/>
        </w:rPr>
      </w:pPr>
    </w:p>
    <w:p w14:paraId="6D52E763">
      <w:pPr>
        <w:snapToGrid w:val="0"/>
        <w:spacing w:line="360" w:lineRule="auto"/>
        <w:ind w:right="240"/>
        <w:rPr>
          <w:rFonts w:hint="eastAsia" w:asciiTheme="minorEastAsia" w:hAnsiTheme="minorEastAsia" w:eastAsiaTheme="minorEastAsia" w:cstheme="minorEastAsia"/>
          <w:color w:val="auto"/>
          <w:highlight w:val="none"/>
          <w:lang w:val="zh-CN"/>
        </w:rPr>
      </w:pPr>
    </w:p>
    <w:p w14:paraId="6FD5394C">
      <w:pPr>
        <w:snapToGrid w:val="0"/>
        <w:spacing w:line="360" w:lineRule="auto"/>
        <w:ind w:right="240"/>
        <w:rPr>
          <w:rFonts w:hint="eastAsia" w:asciiTheme="minorEastAsia" w:hAnsiTheme="minorEastAsia" w:eastAsiaTheme="minorEastAsia" w:cstheme="minorEastAsia"/>
          <w:color w:val="auto"/>
          <w:highlight w:val="none"/>
          <w:lang w:val="zh-CN"/>
        </w:rPr>
      </w:pPr>
    </w:p>
    <w:p w14:paraId="4E9F6D2A">
      <w:pPr>
        <w:snapToGrid w:val="0"/>
        <w:spacing w:line="360" w:lineRule="auto"/>
        <w:ind w:right="240"/>
        <w:rPr>
          <w:rFonts w:hint="eastAsia" w:asciiTheme="minorEastAsia" w:hAnsiTheme="minorEastAsia" w:eastAsiaTheme="minorEastAsia" w:cstheme="minorEastAsia"/>
          <w:color w:val="auto"/>
          <w:highlight w:val="none"/>
          <w:lang w:val="zh-CN"/>
        </w:rPr>
      </w:pPr>
    </w:p>
    <w:p w14:paraId="098BF469">
      <w:pPr>
        <w:snapToGrid w:val="0"/>
        <w:spacing w:line="360" w:lineRule="auto"/>
        <w:ind w:right="24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说明：本委托书在有样品或演示时由受委托人携带至指定地点。</w:t>
      </w:r>
    </w:p>
    <w:p w14:paraId="48D678C6">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同时有样品和演示的，可委托不同人员。</w:t>
      </w:r>
    </w:p>
    <w:p w14:paraId="1B10A8C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47EC33A">
      <w:pPr>
        <w:pStyle w:val="2"/>
        <w:rPr>
          <w:rFonts w:ascii="宋体" w:hAnsi="宋体" w:eastAsia="宋体" w:cs="宋体"/>
          <w:color w:val="auto"/>
        </w:rPr>
      </w:pPr>
    </w:p>
    <w:sectPr>
      <w:headerReference r:id="rId13" w:type="default"/>
      <w:footerReference r:id="rId14" w:type="default"/>
      <w:pgSz w:w="11906" w:h="16838"/>
      <w:pgMar w:top="1440" w:right="1803" w:bottom="1440" w:left="1803" w:header="851" w:footer="992"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B40A0">
    <w:pPr>
      <w:pStyle w:val="4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F5B68">
                          <w:pPr>
                            <w:pStyle w:val="41"/>
                            <w:rPr>
                              <w:rFonts w:hint="eastAsia" w:ascii="宋体" w:hAnsi="宋体" w:cs="宋体"/>
                            </w:rPr>
                          </w:pPr>
                          <w:r>
                            <w:rPr>
                              <w:rFonts w:hint="eastAsia" w:ascii="宋体" w:hAnsi="宋体" w:cs="宋体"/>
                            </w:rPr>
                            <w:t xml:space="preserve">第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8BF5B68">
                    <w:pPr>
                      <w:pStyle w:val="41"/>
                      <w:rPr>
                        <w:rFonts w:hint="eastAsia" w:ascii="宋体" w:hAnsi="宋体" w:cs="宋体"/>
                      </w:rPr>
                    </w:pPr>
                    <w:r>
                      <w:rPr>
                        <w:rFonts w:hint="eastAsia" w:ascii="宋体" w:hAnsi="宋体" w:cs="宋体"/>
                      </w:rPr>
                      <w:t xml:space="preserve">第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20993">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926026">
                          <w:pPr>
                            <w:pStyle w:val="41"/>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30926026">
                    <w:pPr>
                      <w:pStyle w:val="41"/>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p w14:paraId="680A3BEC">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B6056">
    <w:pPr>
      <w:pStyle w:val="4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2461B1">
                          <w:pPr>
                            <w:pStyle w:val="41"/>
                          </w:pPr>
                          <w:r>
                            <w:t xml:space="preserve">第 </w:t>
                          </w:r>
                          <w:r>
                            <w:fldChar w:fldCharType="begin"/>
                          </w:r>
                          <w:r>
                            <w:instrText xml:space="preserve"> PAGE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312461B1">
                    <w:pPr>
                      <w:pStyle w:val="41"/>
                    </w:pPr>
                    <w:r>
                      <w:t xml:space="preserve">第 </w:t>
                    </w:r>
                    <w:r>
                      <w:fldChar w:fldCharType="begin"/>
                    </w:r>
                    <w:r>
                      <w:instrText xml:space="preserve"> PAGE  \* MERGEFORMAT </w:instrText>
                    </w:r>
                    <w:r>
                      <w:fldChar w:fldCharType="separate"/>
                    </w:r>
                    <w:r>
                      <w:t>34</w:t>
                    </w:r>
                    <w:r>
                      <w:fldChar w:fldCharType="end"/>
                    </w:r>
                    <w:r>
                      <w:t xml:space="preserve"> 页</w:t>
                    </w:r>
                  </w:p>
                </w:txbxContent>
              </v:textbox>
            </v:shape>
          </w:pict>
        </mc:Fallback>
      </mc:AlternateContent>
    </w:r>
  </w:p>
  <w:p w14:paraId="03EB4BF2">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300DD">
    <w:pPr>
      <w:pStyle w:val="41"/>
      <w:jc w:val="center"/>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CA0192">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8CA0192">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BEBEE">
    <w:pPr>
      <w:pStyle w:val="41"/>
      <w:framePr w:wrap="around" w:vAnchor="text" w:hAnchor="margin" w:xAlign="right" w:y="1"/>
      <w:rPr>
        <w:rStyle w:val="73"/>
      </w:rPr>
    </w:pPr>
    <w:r>
      <w:fldChar w:fldCharType="begin"/>
    </w:r>
    <w:r>
      <w:rPr>
        <w:rStyle w:val="73"/>
      </w:rPr>
      <w:instrText xml:space="preserve">PAGE  </w:instrText>
    </w:r>
    <w:r>
      <w:fldChar w:fldCharType="end"/>
    </w:r>
  </w:p>
  <w:p w14:paraId="4B819E92">
    <w:pPr>
      <w:pStyle w:val="4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91358">
    <w:pPr>
      <w:pStyle w:val="41"/>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6FAFED">
                          <w:pPr>
                            <w:pStyle w:val="41"/>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14:paraId="2A6FAFED">
                    <w:pPr>
                      <w:pStyle w:val="41"/>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BEA72">
    <w:pPr>
      <w:pStyle w:val="41"/>
      <w:jc w:val="center"/>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44991">
                          <w:pPr>
                            <w:pStyle w:val="41"/>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68544991">
                    <w:pPr>
                      <w:pStyle w:val="41"/>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B066F">
    <w:pPr>
      <w:pStyle w:val="43"/>
      <w:jc w:val="right"/>
      <w:rPr>
        <w:rFonts w:hint="eastAsia" w:eastAsia="宋体"/>
        <w:lang w:eastAsia="zh-CN"/>
      </w:rPr>
    </w:pPr>
    <w:r>
      <w:rPr>
        <w:rFonts w:hint="eastAsia"/>
      </w:rPr>
      <w:t xml:space="preserve">                                                                                                                                         </w:t>
    </w:r>
    <w:r>
      <w:rPr>
        <w:rFonts w:hint="eastAsia"/>
        <w:lang w:eastAsia="zh-CN"/>
      </w:rPr>
      <w:t>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2FFE7">
    <w:pPr>
      <w:pStyle w:val="43"/>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EAE5">
    <w:pPr>
      <w:pStyle w:val="43"/>
      <w:jc w:val="right"/>
      <w:rPr>
        <w:rFonts w:hint="eastAsia" w:eastAsia="宋体"/>
        <w:lang w:eastAsia="zh-CN"/>
      </w:rPr>
    </w:pPr>
    <w:r>
      <w:rPr>
        <w:rFonts w:hint="eastAsia"/>
        <w:lang w:eastAsia="zh-CN"/>
      </w:rPr>
      <w:t>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4E9A9">
    <w:pPr>
      <w:pStyle w:val="43"/>
      <w:rPr>
        <w:rFonts w:hint="eastAsia" w:eastAsia="宋体"/>
        <w:lang w:eastAsia="zh-CN"/>
      </w:rPr>
    </w:pPr>
    <w:r>
      <w:t></w:t>
    </w:r>
    <w:r>
      <w:rPr>
        <w:rFonts w:hint="eastAsia"/>
      </w:rPr>
      <w:t xml:space="preserve">                </w:t>
    </w:r>
    <w:r>
      <w:rPr>
        <w:rFonts w:hint="eastAsia"/>
        <w:lang w:eastAsia="zh-CN"/>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7126D">
    <w:pPr>
      <w:pStyle w:val="43"/>
      <w:jc w:val="right"/>
    </w:pP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A8F0CD"/>
    <w:multiLevelType w:val="singleLevel"/>
    <w:tmpl w:val="F2A8F0CD"/>
    <w:lvl w:ilvl="0" w:tentative="0">
      <w:start w:val="2"/>
      <w:numFmt w:val="decimal"/>
      <w:suff w:val="nothing"/>
      <w:lvlText w:val="%1、"/>
      <w:lvlJc w:val="left"/>
    </w:lvl>
  </w:abstractNum>
  <w:abstractNum w:abstractNumId="1">
    <w:nsid w:val="434CA0FB"/>
    <w:multiLevelType w:val="singleLevel"/>
    <w:tmpl w:val="434CA0FB"/>
    <w:lvl w:ilvl="0" w:tentative="0">
      <w:start w:val="14"/>
      <w:numFmt w:val="decimal"/>
      <w:lvlText w:val="%1."/>
      <w:lvlJc w:val="left"/>
      <w:pPr>
        <w:tabs>
          <w:tab w:val="left" w:pos="312"/>
        </w:tabs>
      </w:pPr>
    </w:lvl>
  </w:abstractNum>
  <w:abstractNum w:abstractNumId="2">
    <w:nsid w:val="5559833E"/>
    <w:multiLevelType w:val="singleLevel"/>
    <w:tmpl w:val="5559833E"/>
    <w:lvl w:ilvl="0" w:tentative="0">
      <w:start w:val="1"/>
      <w:numFmt w:val="chineseCounting"/>
      <w:suff w:val="nothing"/>
      <w:lvlText w:val="%1、"/>
      <w:lvlJc w:val="left"/>
      <w:pPr>
        <w:ind w:left="0" w:firstLine="0"/>
      </w:pPr>
    </w:lvl>
  </w:abstractNum>
  <w:num w:numId="1">
    <w:abstractNumId w:val="1"/>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0YzEwYjU4NmU4ODQ4YjU2YThmODliYmQ0ZDJlMGIifQ=="/>
    <w:docVar w:name="KSO_WPS_MARK_KEY" w:val="ecc35f96-6892-4fc6-a7d1-df5c1cea94dd"/>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346"/>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263"/>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7E8"/>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0CE9"/>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726"/>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08EC"/>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3D"/>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5526FA"/>
    <w:rsid w:val="017055D0"/>
    <w:rsid w:val="019F7441"/>
    <w:rsid w:val="01B37585"/>
    <w:rsid w:val="01B5399D"/>
    <w:rsid w:val="01D55165"/>
    <w:rsid w:val="01DF6BF8"/>
    <w:rsid w:val="01EC2C57"/>
    <w:rsid w:val="01F33470"/>
    <w:rsid w:val="021543D7"/>
    <w:rsid w:val="025722DD"/>
    <w:rsid w:val="025F0711"/>
    <w:rsid w:val="026B2E25"/>
    <w:rsid w:val="02824D4D"/>
    <w:rsid w:val="02DC4B10"/>
    <w:rsid w:val="02DD76CE"/>
    <w:rsid w:val="02F36323"/>
    <w:rsid w:val="02F5619C"/>
    <w:rsid w:val="03060F81"/>
    <w:rsid w:val="0326446A"/>
    <w:rsid w:val="032D5555"/>
    <w:rsid w:val="0365456D"/>
    <w:rsid w:val="036634D2"/>
    <w:rsid w:val="0385634A"/>
    <w:rsid w:val="03DD35E4"/>
    <w:rsid w:val="040350FD"/>
    <w:rsid w:val="04076900"/>
    <w:rsid w:val="041A5A3B"/>
    <w:rsid w:val="042311BA"/>
    <w:rsid w:val="042B157A"/>
    <w:rsid w:val="04567C36"/>
    <w:rsid w:val="04592F67"/>
    <w:rsid w:val="048F763B"/>
    <w:rsid w:val="049F330E"/>
    <w:rsid w:val="04AA775C"/>
    <w:rsid w:val="04AF1889"/>
    <w:rsid w:val="04C04432"/>
    <w:rsid w:val="04C8608E"/>
    <w:rsid w:val="04EE3F9B"/>
    <w:rsid w:val="04F66F48"/>
    <w:rsid w:val="051E28A6"/>
    <w:rsid w:val="05251E14"/>
    <w:rsid w:val="05507636"/>
    <w:rsid w:val="05770BD6"/>
    <w:rsid w:val="05A16594"/>
    <w:rsid w:val="05A7762D"/>
    <w:rsid w:val="05BF4603"/>
    <w:rsid w:val="05C04DC2"/>
    <w:rsid w:val="060E5941"/>
    <w:rsid w:val="06110FAF"/>
    <w:rsid w:val="06493CA7"/>
    <w:rsid w:val="065A6178"/>
    <w:rsid w:val="066F1CF3"/>
    <w:rsid w:val="06930BB8"/>
    <w:rsid w:val="06956198"/>
    <w:rsid w:val="07245D42"/>
    <w:rsid w:val="07264C62"/>
    <w:rsid w:val="0779354C"/>
    <w:rsid w:val="077F2656"/>
    <w:rsid w:val="07FE18F3"/>
    <w:rsid w:val="08061376"/>
    <w:rsid w:val="08266E59"/>
    <w:rsid w:val="083E6C36"/>
    <w:rsid w:val="08452D77"/>
    <w:rsid w:val="084F5179"/>
    <w:rsid w:val="086401F8"/>
    <w:rsid w:val="08751CAA"/>
    <w:rsid w:val="087E4C40"/>
    <w:rsid w:val="08A871D0"/>
    <w:rsid w:val="08D66AD6"/>
    <w:rsid w:val="08DA33A3"/>
    <w:rsid w:val="08E80F13"/>
    <w:rsid w:val="08FD6983"/>
    <w:rsid w:val="09335624"/>
    <w:rsid w:val="0944690F"/>
    <w:rsid w:val="09535675"/>
    <w:rsid w:val="095F057D"/>
    <w:rsid w:val="09642282"/>
    <w:rsid w:val="09733572"/>
    <w:rsid w:val="09772C16"/>
    <w:rsid w:val="098353B5"/>
    <w:rsid w:val="09954E0D"/>
    <w:rsid w:val="09A92330"/>
    <w:rsid w:val="09B06B87"/>
    <w:rsid w:val="09C13146"/>
    <w:rsid w:val="09E04166"/>
    <w:rsid w:val="0A1C0718"/>
    <w:rsid w:val="0A3E7710"/>
    <w:rsid w:val="0A5B7E63"/>
    <w:rsid w:val="0AA374A5"/>
    <w:rsid w:val="0AAB7649"/>
    <w:rsid w:val="0AAF5E89"/>
    <w:rsid w:val="0ABC5606"/>
    <w:rsid w:val="0AC42692"/>
    <w:rsid w:val="0ACA0559"/>
    <w:rsid w:val="0ADE3108"/>
    <w:rsid w:val="0ADF4EB4"/>
    <w:rsid w:val="0B0F74C5"/>
    <w:rsid w:val="0B30404E"/>
    <w:rsid w:val="0B4C6C14"/>
    <w:rsid w:val="0B530C5A"/>
    <w:rsid w:val="0B631A88"/>
    <w:rsid w:val="0B683D45"/>
    <w:rsid w:val="0B76461B"/>
    <w:rsid w:val="0B7F3F11"/>
    <w:rsid w:val="0B884417"/>
    <w:rsid w:val="0B962BE4"/>
    <w:rsid w:val="0BB56CC5"/>
    <w:rsid w:val="0BEA7A02"/>
    <w:rsid w:val="0BF57DE5"/>
    <w:rsid w:val="0BF6188C"/>
    <w:rsid w:val="0BF73C91"/>
    <w:rsid w:val="0C170175"/>
    <w:rsid w:val="0C571A41"/>
    <w:rsid w:val="0C5C1171"/>
    <w:rsid w:val="0C5E1CBC"/>
    <w:rsid w:val="0C615B50"/>
    <w:rsid w:val="0C8445DA"/>
    <w:rsid w:val="0C87121B"/>
    <w:rsid w:val="0CC007F7"/>
    <w:rsid w:val="0CC617AC"/>
    <w:rsid w:val="0CFE707A"/>
    <w:rsid w:val="0D063BDA"/>
    <w:rsid w:val="0D08375F"/>
    <w:rsid w:val="0D184CFB"/>
    <w:rsid w:val="0D4A7419"/>
    <w:rsid w:val="0D827401"/>
    <w:rsid w:val="0D84094E"/>
    <w:rsid w:val="0D8A00E9"/>
    <w:rsid w:val="0D8D589E"/>
    <w:rsid w:val="0DA01C73"/>
    <w:rsid w:val="0DD63300"/>
    <w:rsid w:val="0DF50604"/>
    <w:rsid w:val="0DF702FE"/>
    <w:rsid w:val="0DFE2D71"/>
    <w:rsid w:val="0E060E51"/>
    <w:rsid w:val="0E1E3623"/>
    <w:rsid w:val="0E373674"/>
    <w:rsid w:val="0E48169B"/>
    <w:rsid w:val="0E5604B2"/>
    <w:rsid w:val="0E684C87"/>
    <w:rsid w:val="0E6D5D79"/>
    <w:rsid w:val="0E9D0089"/>
    <w:rsid w:val="0EB803EE"/>
    <w:rsid w:val="0EE04D7C"/>
    <w:rsid w:val="0EF94D4B"/>
    <w:rsid w:val="0F0B13B6"/>
    <w:rsid w:val="0F1545DC"/>
    <w:rsid w:val="0F1E7653"/>
    <w:rsid w:val="0F4958DC"/>
    <w:rsid w:val="0F515DF7"/>
    <w:rsid w:val="0F596BA8"/>
    <w:rsid w:val="0F6248D2"/>
    <w:rsid w:val="0F635421"/>
    <w:rsid w:val="0F693536"/>
    <w:rsid w:val="0F783207"/>
    <w:rsid w:val="0F7B0511"/>
    <w:rsid w:val="0F7B76D9"/>
    <w:rsid w:val="0F816ACD"/>
    <w:rsid w:val="0F9832DB"/>
    <w:rsid w:val="0FBF3FD2"/>
    <w:rsid w:val="0FBF7FF3"/>
    <w:rsid w:val="0FDA406B"/>
    <w:rsid w:val="0FFC3E38"/>
    <w:rsid w:val="10646583"/>
    <w:rsid w:val="10676D40"/>
    <w:rsid w:val="107D4B15"/>
    <w:rsid w:val="10841832"/>
    <w:rsid w:val="108A3C80"/>
    <w:rsid w:val="10C26171"/>
    <w:rsid w:val="10F33360"/>
    <w:rsid w:val="10F4083A"/>
    <w:rsid w:val="10FC16EA"/>
    <w:rsid w:val="110F1D40"/>
    <w:rsid w:val="11266F33"/>
    <w:rsid w:val="115E01DA"/>
    <w:rsid w:val="118963A1"/>
    <w:rsid w:val="11C6522A"/>
    <w:rsid w:val="11CE35B2"/>
    <w:rsid w:val="11E104CC"/>
    <w:rsid w:val="11E20309"/>
    <w:rsid w:val="12255233"/>
    <w:rsid w:val="123410EC"/>
    <w:rsid w:val="12530213"/>
    <w:rsid w:val="127723A9"/>
    <w:rsid w:val="12862074"/>
    <w:rsid w:val="12883966"/>
    <w:rsid w:val="129E45B4"/>
    <w:rsid w:val="12B5117C"/>
    <w:rsid w:val="12D21374"/>
    <w:rsid w:val="12D81596"/>
    <w:rsid w:val="13072A44"/>
    <w:rsid w:val="131A1B7F"/>
    <w:rsid w:val="134F24D1"/>
    <w:rsid w:val="135F4BE2"/>
    <w:rsid w:val="139B1A0A"/>
    <w:rsid w:val="139D25C7"/>
    <w:rsid w:val="13BF3CE4"/>
    <w:rsid w:val="141008D8"/>
    <w:rsid w:val="14125FE6"/>
    <w:rsid w:val="1437543F"/>
    <w:rsid w:val="14440DC3"/>
    <w:rsid w:val="14500381"/>
    <w:rsid w:val="146D271E"/>
    <w:rsid w:val="14982588"/>
    <w:rsid w:val="149A5AD9"/>
    <w:rsid w:val="14A7619D"/>
    <w:rsid w:val="14F25B02"/>
    <w:rsid w:val="150536C3"/>
    <w:rsid w:val="150C1963"/>
    <w:rsid w:val="151447A0"/>
    <w:rsid w:val="154A6454"/>
    <w:rsid w:val="15762120"/>
    <w:rsid w:val="15D659B1"/>
    <w:rsid w:val="15F56AC3"/>
    <w:rsid w:val="1608540D"/>
    <w:rsid w:val="16215889"/>
    <w:rsid w:val="167D59CB"/>
    <w:rsid w:val="16A8729C"/>
    <w:rsid w:val="16B33777"/>
    <w:rsid w:val="16BC70A7"/>
    <w:rsid w:val="16BD1639"/>
    <w:rsid w:val="16C6339E"/>
    <w:rsid w:val="16C730F7"/>
    <w:rsid w:val="16E76A3B"/>
    <w:rsid w:val="16FE2244"/>
    <w:rsid w:val="172F0F3F"/>
    <w:rsid w:val="172F2D79"/>
    <w:rsid w:val="17557BEF"/>
    <w:rsid w:val="17D349C1"/>
    <w:rsid w:val="1830729E"/>
    <w:rsid w:val="185134E3"/>
    <w:rsid w:val="1870062C"/>
    <w:rsid w:val="18732830"/>
    <w:rsid w:val="188149F2"/>
    <w:rsid w:val="18817102"/>
    <w:rsid w:val="18830A15"/>
    <w:rsid w:val="18852B28"/>
    <w:rsid w:val="188B5321"/>
    <w:rsid w:val="18AB63FB"/>
    <w:rsid w:val="18EE574D"/>
    <w:rsid w:val="19341F4D"/>
    <w:rsid w:val="196109ED"/>
    <w:rsid w:val="19932372"/>
    <w:rsid w:val="19A20DD5"/>
    <w:rsid w:val="19AE03F1"/>
    <w:rsid w:val="19BA4297"/>
    <w:rsid w:val="19DA1F48"/>
    <w:rsid w:val="19F92C97"/>
    <w:rsid w:val="1A071A03"/>
    <w:rsid w:val="1A1F16AE"/>
    <w:rsid w:val="1A3B5C77"/>
    <w:rsid w:val="1A984BAD"/>
    <w:rsid w:val="1A9F38E3"/>
    <w:rsid w:val="1AB8220E"/>
    <w:rsid w:val="1AE4166C"/>
    <w:rsid w:val="1AF06CFB"/>
    <w:rsid w:val="1AF11B8D"/>
    <w:rsid w:val="1AF614E8"/>
    <w:rsid w:val="1B11359C"/>
    <w:rsid w:val="1B122762"/>
    <w:rsid w:val="1B2A271F"/>
    <w:rsid w:val="1B530544"/>
    <w:rsid w:val="1B713184"/>
    <w:rsid w:val="1B825FBC"/>
    <w:rsid w:val="1B8A2DD3"/>
    <w:rsid w:val="1BA209CF"/>
    <w:rsid w:val="1BAD23BA"/>
    <w:rsid w:val="1BB4777D"/>
    <w:rsid w:val="1BD75AB8"/>
    <w:rsid w:val="1BE22A26"/>
    <w:rsid w:val="1BF932E6"/>
    <w:rsid w:val="1BFE1B25"/>
    <w:rsid w:val="1C0459C2"/>
    <w:rsid w:val="1C1B3B4A"/>
    <w:rsid w:val="1C88086E"/>
    <w:rsid w:val="1CC21DD9"/>
    <w:rsid w:val="1CC47A8B"/>
    <w:rsid w:val="1CE76F8B"/>
    <w:rsid w:val="1D266CE1"/>
    <w:rsid w:val="1D3963AF"/>
    <w:rsid w:val="1D6A673C"/>
    <w:rsid w:val="1D862C25"/>
    <w:rsid w:val="1D9247AE"/>
    <w:rsid w:val="1DAE03E7"/>
    <w:rsid w:val="1DB567EC"/>
    <w:rsid w:val="1DF51A98"/>
    <w:rsid w:val="1E3D060F"/>
    <w:rsid w:val="1E3F7D2E"/>
    <w:rsid w:val="1E4134E4"/>
    <w:rsid w:val="1E5062B3"/>
    <w:rsid w:val="1E523514"/>
    <w:rsid w:val="1E714A66"/>
    <w:rsid w:val="1E802593"/>
    <w:rsid w:val="1E8B6156"/>
    <w:rsid w:val="1E9433E6"/>
    <w:rsid w:val="1EA703CC"/>
    <w:rsid w:val="1EB7330C"/>
    <w:rsid w:val="1F0A0FF3"/>
    <w:rsid w:val="1F40228F"/>
    <w:rsid w:val="1F5771FF"/>
    <w:rsid w:val="1F7D3F22"/>
    <w:rsid w:val="1F974FBC"/>
    <w:rsid w:val="1FE868A9"/>
    <w:rsid w:val="20034907"/>
    <w:rsid w:val="20173E4B"/>
    <w:rsid w:val="204A48F7"/>
    <w:rsid w:val="204E48BC"/>
    <w:rsid w:val="208921B3"/>
    <w:rsid w:val="2093370A"/>
    <w:rsid w:val="20973DEB"/>
    <w:rsid w:val="20AA6AF6"/>
    <w:rsid w:val="20B26522"/>
    <w:rsid w:val="20B44310"/>
    <w:rsid w:val="211116EB"/>
    <w:rsid w:val="211E01F0"/>
    <w:rsid w:val="216133FC"/>
    <w:rsid w:val="218944CA"/>
    <w:rsid w:val="21D56769"/>
    <w:rsid w:val="21D62C50"/>
    <w:rsid w:val="21E52EF3"/>
    <w:rsid w:val="21F97F26"/>
    <w:rsid w:val="21FB5D7B"/>
    <w:rsid w:val="220B1C3D"/>
    <w:rsid w:val="22187C76"/>
    <w:rsid w:val="221D1D20"/>
    <w:rsid w:val="22334A87"/>
    <w:rsid w:val="22BE4F7D"/>
    <w:rsid w:val="22BE6801"/>
    <w:rsid w:val="23113F1A"/>
    <w:rsid w:val="232474D6"/>
    <w:rsid w:val="232E2103"/>
    <w:rsid w:val="233500BF"/>
    <w:rsid w:val="23377FF7"/>
    <w:rsid w:val="236B425F"/>
    <w:rsid w:val="237C2E6E"/>
    <w:rsid w:val="23836192"/>
    <w:rsid w:val="238548C1"/>
    <w:rsid w:val="23901F29"/>
    <w:rsid w:val="239C0061"/>
    <w:rsid w:val="23B908A4"/>
    <w:rsid w:val="23E60A82"/>
    <w:rsid w:val="23E95BEF"/>
    <w:rsid w:val="23FD0064"/>
    <w:rsid w:val="245375B0"/>
    <w:rsid w:val="24642C0A"/>
    <w:rsid w:val="246A7A56"/>
    <w:rsid w:val="249307DC"/>
    <w:rsid w:val="24B22173"/>
    <w:rsid w:val="24B95AD9"/>
    <w:rsid w:val="24BE24DA"/>
    <w:rsid w:val="24CF5825"/>
    <w:rsid w:val="24D663E6"/>
    <w:rsid w:val="24D77F2B"/>
    <w:rsid w:val="24E833C8"/>
    <w:rsid w:val="253922C8"/>
    <w:rsid w:val="254F52B1"/>
    <w:rsid w:val="258B00E2"/>
    <w:rsid w:val="25923A02"/>
    <w:rsid w:val="25A917A6"/>
    <w:rsid w:val="25BE27CC"/>
    <w:rsid w:val="25D600D9"/>
    <w:rsid w:val="25E92F53"/>
    <w:rsid w:val="25F74A5C"/>
    <w:rsid w:val="2628662C"/>
    <w:rsid w:val="262D45DE"/>
    <w:rsid w:val="263D0CCF"/>
    <w:rsid w:val="26413D08"/>
    <w:rsid w:val="26871DC8"/>
    <w:rsid w:val="26A53EF9"/>
    <w:rsid w:val="26A94201"/>
    <w:rsid w:val="26AC274F"/>
    <w:rsid w:val="27044A29"/>
    <w:rsid w:val="270C5D43"/>
    <w:rsid w:val="271D34C8"/>
    <w:rsid w:val="272F6449"/>
    <w:rsid w:val="276142BF"/>
    <w:rsid w:val="27783712"/>
    <w:rsid w:val="27907362"/>
    <w:rsid w:val="279B7084"/>
    <w:rsid w:val="28100400"/>
    <w:rsid w:val="28333E1D"/>
    <w:rsid w:val="28454BD6"/>
    <w:rsid w:val="28455253"/>
    <w:rsid w:val="28551971"/>
    <w:rsid w:val="285B1C53"/>
    <w:rsid w:val="289F7086"/>
    <w:rsid w:val="28C32028"/>
    <w:rsid w:val="28CC490F"/>
    <w:rsid w:val="28DE40AA"/>
    <w:rsid w:val="28F410E0"/>
    <w:rsid w:val="29345E77"/>
    <w:rsid w:val="294C65AD"/>
    <w:rsid w:val="29655D58"/>
    <w:rsid w:val="29806583"/>
    <w:rsid w:val="298B3C4C"/>
    <w:rsid w:val="29F26D24"/>
    <w:rsid w:val="2A15033F"/>
    <w:rsid w:val="2A1662C1"/>
    <w:rsid w:val="2A1C7367"/>
    <w:rsid w:val="2A2815FA"/>
    <w:rsid w:val="2A45764B"/>
    <w:rsid w:val="2A5F7842"/>
    <w:rsid w:val="2A6D6092"/>
    <w:rsid w:val="2A7D76B4"/>
    <w:rsid w:val="2AD10014"/>
    <w:rsid w:val="2AE15CAC"/>
    <w:rsid w:val="2AEE1B3B"/>
    <w:rsid w:val="2AF47F2E"/>
    <w:rsid w:val="2B187CC1"/>
    <w:rsid w:val="2B437463"/>
    <w:rsid w:val="2B7807EE"/>
    <w:rsid w:val="2BA50BF7"/>
    <w:rsid w:val="2BBF00EC"/>
    <w:rsid w:val="2BC37CFD"/>
    <w:rsid w:val="2BC6276E"/>
    <w:rsid w:val="2BD5237F"/>
    <w:rsid w:val="2BE536CE"/>
    <w:rsid w:val="2BE758D9"/>
    <w:rsid w:val="2BEA7DD3"/>
    <w:rsid w:val="2C09049E"/>
    <w:rsid w:val="2C0A653C"/>
    <w:rsid w:val="2C191F85"/>
    <w:rsid w:val="2C520626"/>
    <w:rsid w:val="2CE82D6F"/>
    <w:rsid w:val="2D2216DE"/>
    <w:rsid w:val="2D343236"/>
    <w:rsid w:val="2D522E91"/>
    <w:rsid w:val="2D891697"/>
    <w:rsid w:val="2D912670"/>
    <w:rsid w:val="2DCA2A1D"/>
    <w:rsid w:val="2DD15014"/>
    <w:rsid w:val="2DE946BF"/>
    <w:rsid w:val="2DF72DE4"/>
    <w:rsid w:val="2E0220AF"/>
    <w:rsid w:val="2E0C1698"/>
    <w:rsid w:val="2E2E771A"/>
    <w:rsid w:val="2E312AA7"/>
    <w:rsid w:val="2E4B082A"/>
    <w:rsid w:val="2E5D4E86"/>
    <w:rsid w:val="2E5D790B"/>
    <w:rsid w:val="2E776A61"/>
    <w:rsid w:val="2E9A3C18"/>
    <w:rsid w:val="2EBB0FEE"/>
    <w:rsid w:val="2EC63002"/>
    <w:rsid w:val="2ECA516F"/>
    <w:rsid w:val="2F0A6B38"/>
    <w:rsid w:val="2F0E78D3"/>
    <w:rsid w:val="2F946CCB"/>
    <w:rsid w:val="2FD25781"/>
    <w:rsid w:val="2FFD7934"/>
    <w:rsid w:val="30733ACD"/>
    <w:rsid w:val="308C3862"/>
    <w:rsid w:val="309379D8"/>
    <w:rsid w:val="30A270F7"/>
    <w:rsid w:val="30AD57F1"/>
    <w:rsid w:val="30DF1478"/>
    <w:rsid w:val="30EC586F"/>
    <w:rsid w:val="314D2CD1"/>
    <w:rsid w:val="315947EF"/>
    <w:rsid w:val="319C6071"/>
    <w:rsid w:val="31AC537E"/>
    <w:rsid w:val="31B420C4"/>
    <w:rsid w:val="31B82C24"/>
    <w:rsid w:val="31C549B6"/>
    <w:rsid w:val="31E3679B"/>
    <w:rsid w:val="31E732FD"/>
    <w:rsid w:val="31FF1F80"/>
    <w:rsid w:val="32455D6F"/>
    <w:rsid w:val="32517576"/>
    <w:rsid w:val="3262346C"/>
    <w:rsid w:val="32A64673"/>
    <w:rsid w:val="32BE5C2C"/>
    <w:rsid w:val="32F92349"/>
    <w:rsid w:val="32FB6478"/>
    <w:rsid w:val="331E793D"/>
    <w:rsid w:val="33263B3F"/>
    <w:rsid w:val="336963EB"/>
    <w:rsid w:val="33816EEB"/>
    <w:rsid w:val="338863E7"/>
    <w:rsid w:val="33EB55CD"/>
    <w:rsid w:val="33EC4C02"/>
    <w:rsid w:val="340D2360"/>
    <w:rsid w:val="3410665D"/>
    <w:rsid w:val="341D3498"/>
    <w:rsid w:val="34211214"/>
    <w:rsid w:val="342E63AB"/>
    <w:rsid w:val="34321BCA"/>
    <w:rsid w:val="34360E17"/>
    <w:rsid w:val="34950E68"/>
    <w:rsid w:val="34986E94"/>
    <w:rsid w:val="34AF62C9"/>
    <w:rsid w:val="34B2573E"/>
    <w:rsid w:val="34CB4388"/>
    <w:rsid w:val="34D06959"/>
    <w:rsid w:val="34FA6E12"/>
    <w:rsid w:val="34FF56AD"/>
    <w:rsid w:val="354D7158"/>
    <w:rsid w:val="357F059C"/>
    <w:rsid w:val="358D5588"/>
    <w:rsid w:val="36136070"/>
    <w:rsid w:val="36213859"/>
    <w:rsid w:val="363A3B40"/>
    <w:rsid w:val="365302AE"/>
    <w:rsid w:val="36607A0A"/>
    <w:rsid w:val="366E227C"/>
    <w:rsid w:val="366F2E0D"/>
    <w:rsid w:val="367B6A5C"/>
    <w:rsid w:val="36A74ADA"/>
    <w:rsid w:val="36AD60D5"/>
    <w:rsid w:val="36B224F9"/>
    <w:rsid w:val="36EC0CC9"/>
    <w:rsid w:val="36FD04A1"/>
    <w:rsid w:val="37390A8E"/>
    <w:rsid w:val="373F410B"/>
    <w:rsid w:val="37A01AC1"/>
    <w:rsid w:val="37BD1A5A"/>
    <w:rsid w:val="37EE7094"/>
    <w:rsid w:val="38296C89"/>
    <w:rsid w:val="383002EB"/>
    <w:rsid w:val="38586797"/>
    <w:rsid w:val="38BC0149"/>
    <w:rsid w:val="38D87D1C"/>
    <w:rsid w:val="391F535F"/>
    <w:rsid w:val="39636459"/>
    <w:rsid w:val="396B7F6C"/>
    <w:rsid w:val="39A34775"/>
    <w:rsid w:val="39B417A9"/>
    <w:rsid w:val="39F5707E"/>
    <w:rsid w:val="39FC5695"/>
    <w:rsid w:val="3A006D8E"/>
    <w:rsid w:val="3A116764"/>
    <w:rsid w:val="3A3651E5"/>
    <w:rsid w:val="3A4E2342"/>
    <w:rsid w:val="3A744481"/>
    <w:rsid w:val="3A8C7BEF"/>
    <w:rsid w:val="3A906246"/>
    <w:rsid w:val="3B166769"/>
    <w:rsid w:val="3B2349B7"/>
    <w:rsid w:val="3B3948AD"/>
    <w:rsid w:val="3B616CFF"/>
    <w:rsid w:val="3B6259F6"/>
    <w:rsid w:val="3B976654"/>
    <w:rsid w:val="3BC01EFC"/>
    <w:rsid w:val="3BCA786A"/>
    <w:rsid w:val="3BD31E2F"/>
    <w:rsid w:val="3BF15831"/>
    <w:rsid w:val="3C105946"/>
    <w:rsid w:val="3C471448"/>
    <w:rsid w:val="3C5F759A"/>
    <w:rsid w:val="3C6C525A"/>
    <w:rsid w:val="3C7F0E81"/>
    <w:rsid w:val="3C906C85"/>
    <w:rsid w:val="3CCE23CB"/>
    <w:rsid w:val="3CD17D17"/>
    <w:rsid w:val="3CD346D4"/>
    <w:rsid w:val="3CEE6358"/>
    <w:rsid w:val="3CF47AC1"/>
    <w:rsid w:val="3D396810"/>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84DCF"/>
    <w:rsid w:val="3E8F51FE"/>
    <w:rsid w:val="3E926F87"/>
    <w:rsid w:val="3E9A59DE"/>
    <w:rsid w:val="3EAF4836"/>
    <w:rsid w:val="3EBB6AE6"/>
    <w:rsid w:val="3EC33DFA"/>
    <w:rsid w:val="3EF66285"/>
    <w:rsid w:val="3F060E16"/>
    <w:rsid w:val="3F1B1A91"/>
    <w:rsid w:val="3F1D1096"/>
    <w:rsid w:val="3F2F0234"/>
    <w:rsid w:val="3F6363FE"/>
    <w:rsid w:val="3F756B8F"/>
    <w:rsid w:val="3F8720B3"/>
    <w:rsid w:val="3F921C0D"/>
    <w:rsid w:val="3F95482B"/>
    <w:rsid w:val="3FAF4907"/>
    <w:rsid w:val="4019356B"/>
    <w:rsid w:val="40592157"/>
    <w:rsid w:val="406E1CAE"/>
    <w:rsid w:val="40A0133A"/>
    <w:rsid w:val="40C31A53"/>
    <w:rsid w:val="40FF545D"/>
    <w:rsid w:val="410067C8"/>
    <w:rsid w:val="412A79B8"/>
    <w:rsid w:val="413C45E3"/>
    <w:rsid w:val="4147433B"/>
    <w:rsid w:val="414A4154"/>
    <w:rsid w:val="417017AF"/>
    <w:rsid w:val="418F0D2A"/>
    <w:rsid w:val="41BA14FE"/>
    <w:rsid w:val="41C1111E"/>
    <w:rsid w:val="41C21F3C"/>
    <w:rsid w:val="41D01505"/>
    <w:rsid w:val="423038C4"/>
    <w:rsid w:val="42474939"/>
    <w:rsid w:val="424C3C57"/>
    <w:rsid w:val="42613FF3"/>
    <w:rsid w:val="426158FC"/>
    <w:rsid w:val="42660D96"/>
    <w:rsid w:val="428667D2"/>
    <w:rsid w:val="42897EC3"/>
    <w:rsid w:val="428B67D2"/>
    <w:rsid w:val="42CD1CE0"/>
    <w:rsid w:val="42E1381E"/>
    <w:rsid w:val="42ED6459"/>
    <w:rsid w:val="42FE58DD"/>
    <w:rsid w:val="43174B3D"/>
    <w:rsid w:val="43354D54"/>
    <w:rsid w:val="434B790E"/>
    <w:rsid w:val="4360274F"/>
    <w:rsid w:val="43977AB6"/>
    <w:rsid w:val="439A5A9E"/>
    <w:rsid w:val="43A3342B"/>
    <w:rsid w:val="43C77C27"/>
    <w:rsid w:val="43CF44BD"/>
    <w:rsid w:val="43DE09EE"/>
    <w:rsid w:val="44002FAD"/>
    <w:rsid w:val="4430589B"/>
    <w:rsid w:val="44356927"/>
    <w:rsid w:val="449101DD"/>
    <w:rsid w:val="449D00C3"/>
    <w:rsid w:val="44DE1391"/>
    <w:rsid w:val="44E72961"/>
    <w:rsid w:val="45017315"/>
    <w:rsid w:val="451B225C"/>
    <w:rsid w:val="452410C9"/>
    <w:rsid w:val="452E1696"/>
    <w:rsid w:val="45317DFB"/>
    <w:rsid w:val="455A6AC4"/>
    <w:rsid w:val="456D3CE4"/>
    <w:rsid w:val="4579042C"/>
    <w:rsid w:val="457F0571"/>
    <w:rsid w:val="45851176"/>
    <w:rsid w:val="45C63B94"/>
    <w:rsid w:val="45F134FD"/>
    <w:rsid w:val="45F3312A"/>
    <w:rsid w:val="460E7DA5"/>
    <w:rsid w:val="46202199"/>
    <w:rsid w:val="46225623"/>
    <w:rsid w:val="46333408"/>
    <w:rsid w:val="46422483"/>
    <w:rsid w:val="4659254A"/>
    <w:rsid w:val="465B0637"/>
    <w:rsid w:val="465E3F0D"/>
    <w:rsid w:val="466A16E6"/>
    <w:rsid w:val="46893F2B"/>
    <w:rsid w:val="469D0882"/>
    <w:rsid w:val="46C4686E"/>
    <w:rsid w:val="47486A40"/>
    <w:rsid w:val="477B778F"/>
    <w:rsid w:val="478203EC"/>
    <w:rsid w:val="47B025FA"/>
    <w:rsid w:val="47B63522"/>
    <w:rsid w:val="47BD224F"/>
    <w:rsid w:val="4809698F"/>
    <w:rsid w:val="4811697D"/>
    <w:rsid w:val="48157012"/>
    <w:rsid w:val="487A3E25"/>
    <w:rsid w:val="487B0FC2"/>
    <w:rsid w:val="48833F78"/>
    <w:rsid w:val="488B5503"/>
    <w:rsid w:val="48937E21"/>
    <w:rsid w:val="48975AF1"/>
    <w:rsid w:val="489A0361"/>
    <w:rsid w:val="48A563EE"/>
    <w:rsid w:val="48B94FF3"/>
    <w:rsid w:val="48C90B0F"/>
    <w:rsid w:val="48E37AAB"/>
    <w:rsid w:val="48FD4B4C"/>
    <w:rsid w:val="490606C8"/>
    <w:rsid w:val="490A68E0"/>
    <w:rsid w:val="491055FE"/>
    <w:rsid w:val="494C6EA1"/>
    <w:rsid w:val="494D4D8B"/>
    <w:rsid w:val="495F5B3E"/>
    <w:rsid w:val="496F77D7"/>
    <w:rsid w:val="497654FD"/>
    <w:rsid w:val="49B64211"/>
    <w:rsid w:val="49E60792"/>
    <w:rsid w:val="49F6167F"/>
    <w:rsid w:val="4A064FA0"/>
    <w:rsid w:val="4A16615C"/>
    <w:rsid w:val="4A4424D7"/>
    <w:rsid w:val="4A6E0CA4"/>
    <w:rsid w:val="4A83134F"/>
    <w:rsid w:val="4A8F4985"/>
    <w:rsid w:val="4AB82D0F"/>
    <w:rsid w:val="4AEB7664"/>
    <w:rsid w:val="4AFD7C19"/>
    <w:rsid w:val="4B0567D1"/>
    <w:rsid w:val="4B236AAE"/>
    <w:rsid w:val="4B555D27"/>
    <w:rsid w:val="4B707271"/>
    <w:rsid w:val="4B9739F7"/>
    <w:rsid w:val="4BDD5809"/>
    <w:rsid w:val="4BE96C25"/>
    <w:rsid w:val="4BEE2503"/>
    <w:rsid w:val="4C245A30"/>
    <w:rsid w:val="4C676029"/>
    <w:rsid w:val="4CAF7256"/>
    <w:rsid w:val="4CB6685F"/>
    <w:rsid w:val="4CC367FE"/>
    <w:rsid w:val="4D077F3C"/>
    <w:rsid w:val="4D123355"/>
    <w:rsid w:val="4D2A3B31"/>
    <w:rsid w:val="4D312C52"/>
    <w:rsid w:val="4D4B0F25"/>
    <w:rsid w:val="4D824E98"/>
    <w:rsid w:val="4D855132"/>
    <w:rsid w:val="4D905305"/>
    <w:rsid w:val="4D964A72"/>
    <w:rsid w:val="4D9C1254"/>
    <w:rsid w:val="4E793892"/>
    <w:rsid w:val="4E800872"/>
    <w:rsid w:val="4E9A20A5"/>
    <w:rsid w:val="4EC569ED"/>
    <w:rsid w:val="4ED50EA1"/>
    <w:rsid w:val="4EEC050C"/>
    <w:rsid w:val="4F104EC3"/>
    <w:rsid w:val="4F367AC5"/>
    <w:rsid w:val="4F47354A"/>
    <w:rsid w:val="4F551F51"/>
    <w:rsid w:val="4F911C54"/>
    <w:rsid w:val="4FE625E0"/>
    <w:rsid w:val="4FFF5A85"/>
    <w:rsid w:val="5021480F"/>
    <w:rsid w:val="505D15FC"/>
    <w:rsid w:val="50755E1B"/>
    <w:rsid w:val="50962ECB"/>
    <w:rsid w:val="50A42E38"/>
    <w:rsid w:val="50A4577F"/>
    <w:rsid w:val="50B73D1F"/>
    <w:rsid w:val="50BD5BC9"/>
    <w:rsid w:val="50C11EEE"/>
    <w:rsid w:val="50D73351"/>
    <w:rsid w:val="50E97CFC"/>
    <w:rsid w:val="50F1399D"/>
    <w:rsid w:val="50F9524E"/>
    <w:rsid w:val="50FA4028"/>
    <w:rsid w:val="510D65B7"/>
    <w:rsid w:val="511157AB"/>
    <w:rsid w:val="5142540C"/>
    <w:rsid w:val="518832C8"/>
    <w:rsid w:val="51A0432A"/>
    <w:rsid w:val="51A86090"/>
    <w:rsid w:val="51AA76C7"/>
    <w:rsid w:val="51B7396D"/>
    <w:rsid w:val="51D07428"/>
    <w:rsid w:val="522E4CC3"/>
    <w:rsid w:val="5244713B"/>
    <w:rsid w:val="52486368"/>
    <w:rsid w:val="524C5212"/>
    <w:rsid w:val="52615633"/>
    <w:rsid w:val="52977FD4"/>
    <w:rsid w:val="52A14D1F"/>
    <w:rsid w:val="52A25790"/>
    <w:rsid w:val="52A96B6F"/>
    <w:rsid w:val="52B45975"/>
    <w:rsid w:val="52B85475"/>
    <w:rsid w:val="52D94AA4"/>
    <w:rsid w:val="52DE409C"/>
    <w:rsid w:val="52EA3A62"/>
    <w:rsid w:val="52F50BB8"/>
    <w:rsid w:val="53097272"/>
    <w:rsid w:val="53116A25"/>
    <w:rsid w:val="534D57EA"/>
    <w:rsid w:val="53544462"/>
    <w:rsid w:val="5397158E"/>
    <w:rsid w:val="54013861"/>
    <w:rsid w:val="54487265"/>
    <w:rsid w:val="544D6070"/>
    <w:rsid w:val="545E28BE"/>
    <w:rsid w:val="54605E1E"/>
    <w:rsid w:val="548005E0"/>
    <w:rsid w:val="54B3506A"/>
    <w:rsid w:val="54CA0D16"/>
    <w:rsid w:val="54D23124"/>
    <w:rsid w:val="54DD4057"/>
    <w:rsid w:val="54E071EC"/>
    <w:rsid w:val="54E7490F"/>
    <w:rsid w:val="55061018"/>
    <w:rsid w:val="550764A4"/>
    <w:rsid w:val="550B2BF6"/>
    <w:rsid w:val="55214EB5"/>
    <w:rsid w:val="55234A6B"/>
    <w:rsid w:val="552C2215"/>
    <w:rsid w:val="55364EFD"/>
    <w:rsid w:val="555D4828"/>
    <w:rsid w:val="557A4C8B"/>
    <w:rsid w:val="557C6D43"/>
    <w:rsid w:val="557F481B"/>
    <w:rsid w:val="558931E1"/>
    <w:rsid w:val="55923347"/>
    <w:rsid w:val="55925180"/>
    <w:rsid w:val="55983B1B"/>
    <w:rsid w:val="55A8376B"/>
    <w:rsid w:val="55AC1FE5"/>
    <w:rsid w:val="55C248FD"/>
    <w:rsid w:val="55DC29B6"/>
    <w:rsid w:val="55DD4241"/>
    <w:rsid w:val="55E07873"/>
    <w:rsid w:val="56135516"/>
    <w:rsid w:val="561C1BE8"/>
    <w:rsid w:val="564F6187"/>
    <w:rsid w:val="566B6D1E"/>
    <w:rsid w:val="56890E23"/>
    <w:rsid w:val="569E129D"/>
    <w:rsid w:val="56E964E6"/>
    <w:rsid w:val="57032A2C"/>
    <w:rsid w:val="570F5219"/>
    <w:rsid w:val="573B28E0"/>
    <w:rsid w:val="575D12B5"/>
    <w:rsid w:val="575E0468"/>
    <w:rsid w:val="57610A87"/>
    <w:rsid w:val="577B1140"/>
    <w:rsid w:val="577B7F21"/>
    <w:rsid w:val="577F181B"/>
    <w:rsid w:val="578F6AF8"/>
    <w:rsid w:val="57921984"/>
    <w:rsid w:val="579737F0"/>
    <w:rsid w:val="57AB7B30"/>
    <w:rsid w:val="57AF5251"/>
    <w:rsid w:val="57B26373"/>
    <w:rsid w:val="57B3517E"/>
    <w:rsid w:val="57B63F04"/>
    <w:rsid w:val="57C72D89"/>
    <w:rsid w:val="57CD20C2"/>
    <w:rsid w:val="57D675AB"/>
    <w:rsid w:val="57D95FDD"/>
    <w:rsid w:val="58917D2F"/>
    <w:rsid w:val="5894085C"/>
    <w:rsid w:val="58AE4F0C"/>
    <w:rsid w:val="58B008E9"/>
    <w:rsid w:val="58B85899"/>
    <w:rsid w:val="58C0702C"/>
    <w:rsid w:val="58E363A9"/>
    <w:rsid w:val="59272ECB"/>
    <w:rsid w:val="59545718"/>
    <w:rsid w:val="595E1678"/>
    <w:rsid w:val="596D5BD4"/>
    <w:rsid w:val="597E3DD8"/>
    <w:rsid w:val="59AB1AC0"/>
    <w:rsid w:val="59F80043"/>
    <w:rsid w:val="5A09252F"/>
    <w:rsid w:val="5A0B2778"/>
    <w:rsid w:val="5A2A7C7B"/>
    <w:rsid w:val="5A3E2560"/>
    <w:rsid w:val="5A5D3B6E"/>
    <w:rsid w:val="5A637A76"/>
    <w:rsid w:val="5A6D33BA"/>
    <w:rsid w:val="5A792B1F"/>
    <w:rsid w:val="5A874767"/>
    <w:rsid w:val="5AA85BE2"/>
    <w:rsid w:val="5AAD6F28"/>
    <w:rsid w:val="5AD63A24"/>
    <w:rsid w:val="5AE51FB6"/>
    <w:rsid w:val="5AFC444A"/>
    <w:rsid w:val="5B2E1A1D"/>
    <w:rsid w:val="5B32799F"/>
    <w:rsid w:val="5B3B88AE"/>
    <w:rsid w:val="5B730A82"/>
    <w:rsid w:val="5B843A1C"/>
    <w:rsid w:val="5B873E3F"/>
    <w:rsid w:val="5C02690E"/>
    <w:rsid w:val="5C196DA7"/>
    <w:rsid w:val="5C2A048C"/>
    <w:rsid w:val="5C303465"/>
    <w:rsid w:val="5C5F1E19"/>
    <w:rsid w:val="5C643EC4"/>
    <w:rsid w:val="5C7422AE"/>
    <w:rsid w:val="5C80234E"/>
    <w:rsid w:val="5C84336D"/>
    <w:rsid w:val="5C8A680C"/>
    <w:rsid w:val="5CE45C2B"/>
    <w:rsid w:val="5D0C4701"/>
    <w:rsid w:val="5D0F0395"/>
    <w:rsid w:val="5D221076"/>
    <w:rsid w:val="5D221689"/>
    <w:rsid w:val="5D34145A"/>
    <w:rsid w:val="5D397964"/>
    <w:rsid w:val="5D5A391C"/>
    <w:rsid w:val="5D5F10C0"/>
    <w:rsid w:val="5D891B7B"/>
    <w:rsid w:val="5D8A5E82"/>
    <w:rsid w:val="5DAD38EE"/>
    <w:rsid w:val="5DD62B9F"/>
    <w:rsid w:val="5E006862"/>
    <w:rsid w:val="5E010422"/>
    <w:rsid w:val="5E0207B9"/>
    <w:rsid w:val="5E093CEF"/>
    <w:rsid w:val="5E1834A1"/>
    <w:rsid w:val="5E261785"/>
    <w:rsid w:val="5E4A7017"/>
    <w:rsid w:val="5E4E05CC"/>
    <w:rsid w:val="5E552BBA"/>
    <w:rsid w:val="5E611C10"/>
    <w:rsid w:val="5E626095"/>
    <w:rsid w:val="5E7A0F3F"/>
    <w:rsid w:val="5EF50A1B"/>
    <w:rsid w:val="5EFC7377"/>
    <w:rsid w:val="5F012A1A"/>
    <w:rsid w:val="5F06174D"/>
    <w:rsid w:val="5F3A3602"/>
    <w:rsid w:val="5F45733B"/>
    <w:rsid w:val="5F6277C6"/>
    <w:rsid w:val="5F6D0B1D"/>
    <w:rsid w:val="5F8D0B82"/>
    <w:rsid w:val="5FCC5339"/>
    <w:rsid w:val="5FE34A5B"/>
    <w:rsid w:val="5FFE1E36"/>
    <w:rsid w:val="601E7188"/>
    <w:rsid w:val="60232584"/>
    <w:rsid w:val="6032709C"/>
    <w:rsid w:val="605864BB"/>
    <w:rsid w:val="607330CE"/>
    <w:rsid w:val="60821CE5"/>
    <w:rsid w:val="60825176"/>
    <w:rsid w:val="609F2AC4"/>
    <w:rsid w:val="60FA2EE8"/>
    <w:rsid w:val="61054A27"/>
    <w:rsid w:val="610A52BC"/>
    <w:rsid w:val="611D2366"/>
    <w:rsid w:val="612260FC"/>
    <w:rsid w:val="61245F9E"/>
    <w:rsid w:val="61421856"/>
    <w:rsid w:val="615227C4"/>
    <w:rsid w:val="61654E3F"/>
    <w:rsid w:val="6182292A"/>
    <w:rsid w:val="619F7F92"/>
    <w:rsid w:val="61BA5544"/>
    <w:rsid w:val="61F47A98"/>
    <w:rsid w:val="61F94C26"/>
    <w:rsid w:val="62000E56"/>
    <w:rsid w:val="62126170"/>
    <w:rsid w:val="62204409"/>
    <w:rsid w:val="62244584"/>
    <w:rsid w:val="624F3E49"/>
    <w:rsid w:val="62632286"/>
    <w:rsid w:val="62775066"/>
    <w:rsid w:val="62885958"/>
    <w:rsid w:val="62F40B65"/>
    <w:rsid w:val="62F47D41"/>
    <w:rsid w:val="62FC2CFE"/>
    <w:rsid w:val="63024505"/>
    <w:rsid w:val="632B036B"/>
    <w:rsid w:val="63445C16"/>
    <w:rsid w:val="63540CCD"/>
    <w:rsid w:val="635B1DB5"/>
    <w:rsid w:val="636F5950"/>
    <w:rsid w:val="63711FED"/>
    <w:rsid w:val="63880DDC"/>
    <w:rsid w:val="638D750D"/>
    <w:rsid w:val="63A72EBA"/>
    <w:rsid w:val="63AC52D2"/>
    <w:rsid w:val="63AC6CC0"/>
    <w:rsid w:val="63B73778"/>
    <w:rsid w:val="63E938BD"/>
    <w:rsid w:val="63F57AF7"/>
    <w:rsid w:val="64055776"/>
    <w:rsid w:val="64175397"/>
    <w:rsid w:val="641E7C1F"/>
    <w:rsid w:val="64240056"/>
    <w:rsid w:val="643E143A"/>
    <w:rsid w:val="64496AFC"/>
    <w:rsid w:val="648B6EEF"/>
    <w:rsid w:val="64C158BF"/>
    <w:rsid w:val="64CE2EAA"/>
    <w:rsid w:val="653C3090"/>
    <w:rsid w:val="65854376"/>
    <w:rsid w:val="658767BE"/>
    <w:rsid w:val="65892531"/>
    <w:rsid w:val="66153939"/>
    <w:rsid w:val="66195831"/>
    <w:rsid w:val="662E75B1"/>
    <w:rsid w:val="66342C2E"/>
    <w:rsid w:val="663E784C"/>
    <w:rsid w:val="66551A38"/>
    <w:rsid w:val="6663343E"/>
    <w:rsid w:val="666D1F69"/>
    <w:rsid w:val="668B6A45"/>
    <w:rsid w:val="66BD452D"/>
    <w:rsid w:val="66C01B46"/>
    <w:rsid w:val="671E7365"/>
    <w:rsid w:val="672F3F24"/>
    <w:rsid w:val="673646AF"/>
    <w:rsid w:val="673E055F"/>
    <w:rsid w:val="67551CE3"/>
    <w:rsid w:val="675F3C06"/>
    <w:rsid w:val="67852F40"/>
    <w:rsid w:val="678D396C"/>
    <w:rsid w:val="67A22552"/>
    <w:rsid w:val="67A530AB"/>
    <w:rsid w:val="67B22DCC"/>
    <w:rsid w:val="67BE71AA"/>
    <w:rsid w:val="67C22427"/>
    <w:rsid w:val="67D325D1"/>
    <w:rsid w:val="67D90273"/>
    <w:rsid w:val="67DE5875"/>
    <w:rsid w:val="67E55852"/>
    <w:rsid w:val="67EB1AB4"/>
    <w:rsid w:val="67FA1285"/>
    <w:rsid w:val="68551F4F"/>
    <w:rsid w:val="687A0B1E"/>
    <w:rsid w:val="687A3DB4"/>
    <w:rsid w:val="687C10C9"/>
    <w:rsid w:val="68840C16"/>
    <w:rsid w:val="68876EFB"/>
    <w:rsid w:val="68884654"/>
    <w:rsid w:val="689F444F"/>
    <w:rsid w:val="68B96DBB"/>
    <w:rsid w:val="68C848D5"/>
    <w:rsid w:val="68CA2805"/>
    <w:rsid w:val="68E85AE5"/>
    <w:rsid w:val="68E937A3"/>
    <w:rsid w:val="693E15D3"/>
    <w:rsid w:val="69627681"/>
    <w:rsid w:val="69685ABF"/>
    <w:rsid w:val="6977531D"/>
    <w:rsid w:val="697F233D"/>
    <w:rsid w:val="69912070"/>
    <w:rsid w:val="69985A29"/>
    <w:rsid w:val="69B51747"/>
    <w:rsid w:val="69CC2BFF"/>
    <w:rsid w:val="69D327F2"/>
    <w:rsid w:val="69F13356"/>
    <w:rsid w:val="69FD55B8"/>
    <w:rsid w:val="6A0B1C62"/>
    <w:rsid w:val="6A0D3F4C"/>
    <w:rsid w:val="6A2406C8"/>
    <w:rsid w:val="6A4B328A"/>
    <w:rsid w:val="6A8F2B46"/>
    <w:rsid w:val="6ADE0BD1"/>
    <w:rsid w:val="6AE96859"/>
    <w:rsid w:val="6B147746"/>
    <w:rsid w:val="6B24787C"/>
    <w:rsid w:val="6B573233"/>
    <w:rsid w:val="6B5B6274"/>
    <w:rsid w:val="6B694FD4"/>
    <w:rsid w:val="6B935D53"/>
    <w:rsid w:val="6C196F71"/>
    <w:rsid w:val="6C226FCB"/>
    <w:rsid w:val="6C31226F"/>
    <w:rsid w:val="6C314F9D"/>
    <w:rsid w:val="6C390C24"/>
    <w:rsid w:val="6C552F0B"/>
    <w:rsid w:val="6C8C67B7"/>
    <w:rsid w:val="6C9D744C"/>
    <w:rsid w:val="6CFE67A8"/>
    <w:rsid w:val="6D064B23"/>
    <w:rsid w:val="6D167928"/>
    <w:rsid w:val="6D173653"/>
    <w:rsid w:val="6D261515"/>
    <w:rsid w:val="6D26299B"/>
    <w:rsid w:val="6D4772EC"/>
    <w:rsid w:val="6D5A4C8D"/>
    <w:rsid w:val="6D6D4569"/>
    <w:rsid w:val="6D8007DE"/>
    <w:rsid w:val="6D8265CB"/>
    <w:rsid w:val="6D9078AF"/>
    <w:rsid w:val="6D991750"/>
    <w:rsid w:val="6DAA3FEF"/>
    <w:rsid w:val="6DB118FF"/>
    <w:rsid w:val="6DC0172B"/>
    <w:rsid w:val="6DC522E8"/>
    <w:rsid w:val="6DCB690C"/>
    <w:rsid w:val="6DD41A5B"/>
    <w:rsid w:val="6DDB283D"/>
    <w:rsid w:val="6DDD08DA"/>
    <w:rsid w:val="6DF43C2E"/>
    <w:rsid w:val="6DF51CA3"/>
    <w:rsid w:val="6E8335BD"/>
    <w:rsid w:val="6E8E12EF"/>
    <w:rsid w:val="6E9045AA"/>
    <w:rsid w:val="6E972936"/>
    <w:rsid w:val="6EA041DE"/>
    <w:rsid w:val="6EBC36EB"/>
    <w:rsid w:val="6ED446C5"/>
    <w:rsid w:val="6EF4435A"/>
    <w:rsid w:val="6F234F02"/>
    <w:rsid w:val="6F2A7D94"/>
    <w:rsid w:val="6F72060C"/>
    <w:rsid w:val="6F8331F1"/>
    <w:rsid w:val="6FA80114"/>
    <w:rsid w:val="6FAE1A09"/>
    <w:rsid w:val="6FD75BF8"/>
    <w:rsid w:val="70312DE9"/>
    <w:rsid w:val="707723D0"/>
    <w:rsid w:val="708715A6"/>
    <w:rsid w:val="70DB77AC"/>
    <w:rsid w:val="70F5661B"/>
    <w:rsid w:val="70FF0D7D"/>
    <w:rsid w:val="71360107"/>
    <w:rsid w:val="713B688E"/>
    <w:rsid w:val="7153151E"/>
    <w:rsid w:val="71893455"/>
    <w:rsid w:val="71B66F54"/>
    <w:rsid w:val="71D43752"/>
    <w:rsid w:val="71D7083C"/>
    <w:rsid w:val="71F1796A"/>
    <w:rsid w:val="72154626"/>
    <w:rsid w:val="72262B5D"/>
    <w:rsid w:val="72283FF7"/>
    <w:rsid w:val="722E7212"/>
    <w:rsid w:val="723A0474"/>
    <w:rsid w:val="725923E4"/>
    <w:rsid w:val="72864BF7"/>
    <w:rsid w:val="729023FC"/>
    <w:rsid w:val="72907369"/>
    <w:rsid w:val="7298623D"/>
    <w:rsid w:val="72C627E7"/>
    <w:rsid w:val="73C0646E"/>
    <w:rsid w:val="73C60B68"/>
    <w:rsid w:val="741E6BF6"/>
    <w:rsid w:val="742222F5"/>
    <w:rsid w:val="74476126"/>
    <w:rsid w:val="74706664"/>
    <w:rsid w:val="747A1565"/>
    <w:rsid w:val="747F3682"/>
    <w:rsid w:val="749C4185"/>
    <w:rsid w:val="74BF2721"/>
    <w:rsid w:val="75067759"/>
    <w:rsid w:val="752E6DCD"/>
    <w:rsid w:val="7551380D"/>
    <w:rsid w:val="75600BE5"/>
    <w:rsid w:val="7564475C"/>
    <w:rsid w:val="7583797F"/>
    <w:rsid w:val="75D20F1D"/>
    <w:rsid w:val="75DA2C18"/>
    <w:rsid w:val="75F54412"/>
    <w:rsid w:val="761969BC"/>
    <w:rsid w:val="761D08E0"/>
    <w:rsid w:val="76344654"/>
    <w:rsid w:val="765D347C"/>
    <w:rsid w:val="76826699"/>
    <w:rsid w:val="76875EB9"/>
    <w:rsid w:val="76A95933"/>
    <w:rsid w:val="76C87133"/>
    <w:rsid w:val="76CD08D5"/>
    <w:rsid w:val="76DB4B92"/>
    <w:rsid w:val="76FF4961"/>
    <w:rsid w:val="77052AA4"/>
    <w:rsid w:val="77136511"/>
    <w:rsid w:val="77340A39"/>
    <w:rsid w:val="77351FD0"/>
    <w:rsid w:val="77472422"/>
    <w:rsid w:val="775445DD"/>
    <w:rsid w:val="777A4144"/>
    <w:rsid w:val="777F2A11"/>
    <w:rsid w:val="777F31F2"/>
    <w:rsid w:val="77D1700D"/>
    <w:rsid w:val="77EC04CC"/>
    <w:rsid w:val="77FBD7E0"/>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902E6"/>
    <w:rsid w:val="7A3E5150"/>
    <w:rsid w:val="7A4670D6"/>
    <w:rsid w:val="7A534B63"/>
    <w:rsid w:val="7A615382"/>
    <w:rsid w:val="7A67303B"/>
    <w:rsid w:val="7AAB1D04"/>
    <w:rsid w:val="7ABA4368"/>
    <w:rsid w:val="7AD05746"/>
    <w:rsid w:val="7AE364A4"/>
    <w:rsid w:val="7B257FFD"/>
    <w:rsid w:val="7B343476"/>
    <w:rsid w:val="7B5A2978"/>
    <w:rsid w:val="7B5A7E4C"/>
    <w:rsid w:val="7B667AF9"/>
    <w:rsid w:val="7B7468F8"/>
    <w:rsid w:val="7BEE0103"/>
    <w:rsid w:val="7C0A0FE4"/>
    <w:rsid w:val="7C254906"/>
    <w:rsid w:val="7C5022FF"/>
    <w:rsid w:val="7C590818"/>
    <w:rsid w:val="7C6E0182"/>
    <w:rsid w:val="7C7C10F6"/>
    <w:rsid w:val="7C853BEA"/>
    <w:rsid w:val="7C881368"/>
    <w:rsid w:val="7CE27788"/>
    <w:rsid w:val="7CF36E72"/>
    <w:rsid w:val="7D0357E5"/>
    <w:rsid w:val="7D0C32F1"/>
    <w:rsid w:val="7D0F408D"/>
    <w:rsid w:val="7D217DBD"/>
    <w:rsid w:val="7D491C6C"/>
    <w:rsid w:val="7D5429C0"/>
    <w:rsid w:val="7D5A0C9F"/>
    <w:rsid w:val="7D677BB3"/>
    <w:rsid w:val="7D6E6D43"/>
    <w:rsid w:val="7D7069D2"/>
    <w:rsid w:val="7DB57A34"/>
    <w:rsid w:val="7DD47734"/>
    <w:rsid w:val="7DE60973"/>
    <w:rsid w:val="7DEF0916"/>
    <w:rsid w:val="7DF74D88"/>
    <w:rsid w:val="7E1D7E9D"/>
    <w:rsid w:val="7E1E5218"/>
    <w:rsid w:val="7E6F0146"/>
    <w:rsid w:val="7E9A4E1F"/>
    <w:rsid w:val="7EA7723A"/>
    <w:rsid w:val="7EAB19E4"/>
    <w:rsid w:val="7EEE3CDA"/>
    <w:rsid w:val="7EF39FB4"/>
    <w:rsid w:val="7EF56FBB"/>
    <w:rsid w:val="7F0768EB"/>
    <w:rsid w:val="7F121106"/>
    <w:rsid w:val="7F143BEC"/>
    <w:rsid w:val="7F201A75"/>
    <w:rsid w:val="7F5C7794"/>
    <w:rsid w:val="7F715AF2"/>
    <w:rsid w:val="7F793597"/>
    <w:rsid w:val="7F886E69"/>
    <w:rsid w:val="7F8D7434"/>
    <w:rsid w:val="7FAF3634"/>
    <w:rsid w:val="7FF35396"/>
    <w:rsid w:val="871F2C18"/>
    <w:rsid w:val="BB7FA927"/>
    <w:rsid w:val="BFBF6BE0"/>
    <w:rsid w:val="BFED71AD"/>
    <w:rsid w:val="EEFB2A96"/>
    <w:rsid w:val="F5FFD31F"/>
    <w:rsid w:val="FFEFB1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9"/>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6"/>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6">
    <w:name w:val="Plain Text"/>
    <w:basedOn w:val="1"/>
    <w:link w:val="126"/>
    <w:qFormat/>
    <w:uiPriority w:val="0"/>
    <w:rPr>
      <w:rFonts w:ascii="宋体" w:hAnsi="Courier New" w:cs="Arial"/>
      <w:snapToGrid w:val="0"/>
      <w:szCs w:val="21"/>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2"/>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6"/>
    <w:link w:val="266"/>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7"/>
    <w:qFormat/>
    <w:uiPriority w:val="0"/>
    <w:rPr>
      <w:b/>
      <w:bCs/>
    </w:rPr>
  </w:style>
  <w:style w:type="paragraph" w:styleId="62">
    <w:name w:val="Body Text First Indent 2"/>
    <w:basedOn w:val="27"/>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PlainText"/>
    <w:basedOn w:val="1"/>
    <w:autoRedefine/>
    <w:qFormat/>
    <w:uiPriority w:val="0"/>
    <w:pPr>
      <w:textAlignment w:val="baseline"/>
    </w:pPr>
    <w:rPr>
      <w:rFonts w:ascii="宋体" w:hAnsi="Courier New"/>
      <w:szCs w:val="20"/>
    </w:rPr>
  </w:style>
  <w:style w:type="paragraph" w:customStyle="1" w:styleId="81">
    <w:name w:val="公文标题 3"/>
    <w:qFormat/>
    <w:uiPriority w:val="0"/>
    <w:pPr>
      <w:widowControl w:val="0"/>
      <w:spacing w:line="360" w:lineRule="auto"/>
      <w:ind w:left="561" w:firstLine="14"/>
      <w:jc w:val="both"/>
      <w:outlineLvl w:val="2"/>
    </w:pPr>
    <w:rPr>
      <w:rFonts w:ascii="宋体" w:hAnsi="宋体" w:eastAsia="Malgun Gothic" w:cs="Times New Roman"/>
      <w:lang w:val="en-US" w:eastAsia="zh-CN" w:bidi="ar-SA"/>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6"/>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2"/>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next w:val="237"/>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82"/>
    <w:link w:val="258"/>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7"/>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5"/>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0"/>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6"/>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8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Body text|1"/>
    <w:basedOn w:val="1"/>
    <w:qFormat/>
    <w:uiPriority w:val="0"/>
    <w:pPr>
      <w:spacing w:line="391" w:lineRule="auto"/>
      <w:ind w:firstLine="400"/>
    </w:pPr>
    <w:rPr>
      <w:rFonts w:ascii="宋体" w:hAnsi="宋体" w:cs="宋体"/>
      <w:lang w:val="zh-TW" w:eastAsia="zh-TW" w:bidi="zh-TW"/>
    </w:rPr>
  </w:style>
  <w:style w:type="paragraph" w:customStyle="1" w:styleId="966">
    <w:name w:val="[Normal]"/>
    <w:qFormat/>
    <w:uiPriority w:val="0"/>
    <w:rPr>
      <w:rFonts w:ascii="宋体" w:hAnsi="宋体" w:eastAsia="宋体" w:cs="Times New Roman"/>
      <w:sz w:val="24"/>
      <w:lang w:val="zh-CN" w:eastAsia="zh-CN" w:bidi="ar-SA"/>
    </w:rPr>
  </w:style>
  <w:style w:type="character" w:customStyle="1" w:styleId="967">
    <w:name w:val="font101"/>
    <w:basedOn w:val="70"/>
    <w:qFormat/>
    <w:uiPriority w:val="0"/>
    <w:rPr>
      <w:rFonts w:hint="eastAsia" w:ascii="宋体" w:hAnsi="宋体" w:eastAsia="宋体" w:cs="宋体"/>
      <w:color w:val="FF0000"/>
      <w:sz w:val="20"/>
      <w:szCs w:val="20"/>
      <w:u w:val="none"/>
    </w:rPr>
  </w:style>
  <w:style w:type="paragraph" w:customStyle="1" w:styleId="968">
    <w:name w:val="封面编号"/>
    <w:basedOn w:val="1"/>
    <w:qFormat/>
    <w:uiPriority w:val="0"/>
    <w:pPr>
      <w:spacing w:line="360" w:lineRule="auto"/>
      <w:jc w:val="center"/>
    </w:pPr>
    <w:rPr>
      <w:rFonts w:ascii="黑体" w:hAnsi="宋体" w:eastAsia="黑体" w:cs="宋体"/>
      <w:b/>
      <w:bCs/>
      <w:sz w:val="38"/>
      <w:szCs w:val="20"/>
    </w:rPr>
  </w:style>
  <w:style w:type="character" w:customStyle="1" w:styleId="969">
    <w:name w:val="NormalCharacter"/>
    <w:link w:val="1"/>
    <w:autoRedefine/>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44</Pages>
  <Words>559</Words>
  <Characters>631</Characters>
  <Lines>161</Lines>
  <Paragraphs>45</Paragraphs>
  <TotalTime>1</TotalTime>
  <ScaleCrop>false</ScaleCrop>
  <LinksUpToDate>false</LinksUpToDate>
  <CharactersWithSpaces>670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胡松华</cp:lastModifiedBy>
  <cp:lastPrinted>2025-03-12T01:09:00Z</cp:lastPrinted>
  <dcterms:modified xsi:type="dcterms:W3CDTF">2025-06-10T07:57:48Z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CCBE62A3C04B4979B11BBC8BB3E894E0_13</vt:lpwstr>
  </property>
  <property fmtid="{D5CDD505-2E9C-101B-9397-08002B2CF9AE}" pid="5" name="commondata">
    <vt:lpwstr>eyJoZGlkIjoiMzdkYTNjODAzOWEyZTBjZWI2OWE0Y2U2MTNhOGNiNmUifQ==</vt:lpwstr>
  </property>
  <property fmtid="{D5CDD505-2E9C-101B-9397-08002B2CF9AE}" pid="6" name="KSOTemplateDocerSaveRecord">
    <vt:lpwstr>eyJoZGlkIjoiYjI4YWNmNGQ2ZjE4MmU5MzJkMmI4OWRjMWNhYzIyZTEiLCJ1c2VySWQiOiIxNTE4MjYxNDc5In0=</vt:lpwstr>
  </property>
</Properties>
</file>