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8F0EF">
      <w:pPr>
        <w:bidi w:val="0"/>
        <w:rPr>
          <w:rFonts w:hint="eastAsia"/>
          <w:color w:val="auto"/>
          <w:highlight w:val="none"/>
        </w:rPr>
      </w:pPr>
    </w:p>
    <w:p w14:paraId="459FCA6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杭州市拱墅区半山街道杭玻阔板桥社区物业管理服务项目</w:t>
      </w:r>
    </w:p>
    <w:p w14:paraId="1E24B97F">
      <w:pPr>
        <w:adjustRightInd/>
        <w:spacing w:line="360" w:lineRule="auto"/>
        <w:jc w:val="center"/>
        <w:rPr>
          <w:rFonts w:hint="eastAsia" w:ascii="宋体" w:hAnsi="宋体" w:cs="宋体"/>
          <w:color w:val="auto"/>
          <w:sz w:val="48"/>
          <w:szCs w:val="48"/>
          <w:highlight w:val="none"/>
        </w:rPr>
      </w:pPr>
    </w:p>
    <w:p w14:paraId="01ECFC15">
      <w:pPr>
        <w:adjustRightInd/>
        <w:spacing w:line="360" w:lineRule="auto"/>
        <w:jc w:val="center"/>
        <w:rPr>
          <w:rFonts w:hint="eastAsia" w:ascii="宋体" w:hAnsi="宋体" w:cs="宋体"/>
          <w:color w:val="auto"/>
          <w:sz w:val="48"/>
          <w:szCs w:val="48"/>
          <w:highlight w:val="none"/>
        </w:rPr>
      </w:pPr>
    </w:p>
    <w:p w14:paraId="7B8F54EB">
      <w:pPr>
        <w:adjustRightInd/>
        <w:spacing w:line="360" w:lineRule="auto"/>
        <w:jc w:val="center"/>
        <w:rPr>
          <w:rFonts w:hint="eastAsia" w:ascii="宋体" w:hAnsi="宋体" w:cs="宋体"/>
          <w:color w:val="auto"/>
          <w:sz w:val="48"/>
          <w:szCs w:val="48"/>
          <w:highlight w:val="none"/>
        </w:rPr>
      </w:pPr>
    </w:p>
    <w:p w14:paraId="44B9AA6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采购文件 </w:t>
      </w:r>
    </w:p>
    <w:p w14:paraId="21CB9CC5">
      <w:pPr>
        <w:snapToGrid w:val="0"/>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项目编号:ZHZB-2025HBKBQSQ-01</w:t>
      </w:r>
    </w:p>
    <w:p w14:paraId="1B49F980">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F5655C">
      <w:pPr>
        <w:spacing w:line="360" w:lineRule="auto"/>
        <w:jc w:val="center"/>
        <w:rPr>
          <w:rFonts w:hint="eastAsia" w:ascii="宋体" w:hAnsi="宋体" w:cs="宋体"/>
          <w:b/>
          <w:color w:val="auto"/>
          <w:sz w:val="44"/>
          <w:szCs w:val="44"/>
          <w:highlight w:val="none"/>
        </w:rPr>
      </w:pPr>
    </w:p>
    <w:p w14:paraId="043E6DAA">
      <w:pPr>
        <w:pStyle w:val="11"/>
        <w:ind w:left="-410" w:right="-586" w:firstLine="1056"/>
        <w:rPr>
          <w:rFonts w:hint="eastAsia" w:ascii="宋体" w:hAnsi="宋体" w:cs="宋体"/>
          <w:b/>
          <w:color w:val="auto"/>
          <w:sz w:val="44"/>
          <w:szCs w:val="44"/>
          <w:highlight w:val="none"/>
        </w:rPr>
      </w:pPr>
    </w:p>
    <w:p w14:paraId="6A01D451">
      <w:pPr>
        <w:pStyle w:val="11"/>
        <w:ind w:left="-410" w:right="-586" w:firstLine="1056"/>
        <w:rPr>
          <w:rFonts w:hint="eastAsia" w:ascii="宋体" w:hAnsi="宋体" w:cs="宋体"/>
          <w:b/>
          <w:color w:val="auto"/>
          <w:sz w:val="44"/>
          <w:szCs w:val="44"/>
          <w:highlight w:val="none"/>
        </w:rPr>
      </w:pPr>
    </w:p>
    <w:p w14:paraId="633B2527">
      <w:pPr>
        <w:spacing w:line="360" w:lineRule="auto"/>
        <w:rPr>
          <w:rFonts w:hint="eastAsia" w:ascii="宋体" w:hAnsi="宋体" w:cs="宋体"/>
          <w:color w:val="auto"/>
          <w:highlight w:val="none"/>
        </w:rPr>
      </w:pPr>
    </w:p>
    <w:p w14:paraId="6F0D416D">
      <w:pPr>
        <w:spacing w:line="360" w:lineRule="auto"/>
        <w:rPr>
          <w:rFonts w:hint="eastAsia" w:ascii="宋体" w:hAnsi="宋体" w:cs="宋体"/>
          <w:color w:val="auto"/>
          <w:sz w:val="32"/>
          <w:szCs w:val="32"/>
          <w:highlight w:val="none"/>
        </w:rPr>
      </w:pPr>
    </w:p>
    <w:p w14:paraId="6A93E0E4">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浙江省杭州市拱墅区半山街道杭玻阔板桥社区居民委员会</w:t>
      </w:r>
    </w:p>
    <w:p w14:paraId="4627730E">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浙江正浩招标代理有限公司</w:t>
      </w:r>
    </w:p>
    <w:p w14:paraId="7275ACF6">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二〇二五年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p>
    <w:p w14:paraId="27794125">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71C4F1F1">
      <w:pPr>
        <w:spacing w:line="360" w:lineRule="auto"/>
        <w:jc w:val="center"/>
        <w:rPr>
          <w:rFonts w:hint="eastAsia" w:ascii="宋体" w:hAnsi="宋体" w:cs="宋体"/>
          <w:color w:val="auto"/>
          <w:sz w:val="32"/>
          <w:szCs w:val="32"/>
          <w:highlight w:val="none"/>
        </w:rPr>
      </w:pPr>
      <w:r>
        <w:rPr>
          <w:rFonts w:hint="eastAsia" w:ascii="宋体" w:hAnsi="宋体" w:cs="宋体"/>
          <w:b/>
          <w:color w:val="auto"/>
          <w:sz w:val="48"/>
          <w:szCs w:val="48"/>
          <w:highlight w:val="none"/>
        </w:rPr>
        <w:t>目  录</w:t>
      </w:r>
    </w:p>
    <w:p w14:paraId="2B82B20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第一章      招标公告</w:t>
      </w:r>
    </w:p>
    <w:p w14:paraId="4FF4533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6B2A3AC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4E1EBD0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0C46F82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19A9FF7A">
      <w:pPr>
        <w:spacing w:line="360" w:lineRule="auto"/>
        <w:ind w:firstLine="1280" w:firstLineChars="400"/>
        <w:rPr>
          <w:color w:val="auto"/>
          <w:highlight w:val="none"/>
        </w:rPr>
      </w:pPr>
      <w:r>
        <w:rPr>
          <w:rFonts w:hint="eastAsia" w:ascii="宋体" w:hAnsi="宋体" w:cs="宋体"/>
          <w:color w:val="auto"/>
          <w:sz w:val="32"/>
          <w:szCs w:val="32"/>
          <w:highlight w:val="none"/>
        </w:rPr>
        <w:t>第六章      应提交的有关格式范例</w:t>
      </w:r>
    </w:p>
    <w:p w14:paraId="29BABDF8">
      <w:pPr>
        <w:rPr>
          <w:color w:val="auto"/>
          <w:highlight w:val="none"/>
        </w:rPr>
      </w:pPr>
    </w:p>
    <w:p w14:paraId="7C1693FA">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937E991">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第一章 招标公告</w:t>
      </w:r>
    </w:p>
    <w:p w14:paraId="41080A0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项目概况</w:t>
      </w:r>
    </w:p>
    <w:p w14:paraId="6C74E09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highlight w:val="none"/>
          <w:u w:val="single"/>
        </w:rPr>
      </w:pPr>
      <w:r>
        <w:rPr>
          <w:rFonts w:hint="eastAsia" w:cs="仿宋_GB2312" w:asciiTheme="minorEastAsia" w:hAnsiTheme="minorEastAsia" w:eastAsiaTheme="minorEastAsia"/>
          <w:color w:val="auto"/>
          <w:highlight w:val="none"/>
          <w:u w:val="single"/>
        </w:rPr>
        <w:t>杭州市拱墅区半山街道杭玻阔板桥社区物业管理服务项目</w:t>
      </w:r>
      <w:r>
        <w:rPr>
          <w:rFonts w:hint="eastAsia" w:asciiTheme="minorEastAsia" w:hAnsiTheme="minorEastAsia" w:eastAsiaTheme="minorEastAsia"/>
          <w:color w:val="auto"/>
          <w:highlight w:val="none"/>
        </w:rPr>
        <w:t>采购项目的潜在供应商应在乐采云平台（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3"/>
          <w:rFonts w:hint="eastAsia" w:asciiTheme="minorEastAsia" w:hAnsiTheme="minorEastAsia" w:eastAsiaTheme="minorEastAsia"/>
          <w:color w:val="auto"/>
          <w:sz w:val="24"/>
          <w:szCs w:val="24"/>
          <w:highlight w:val="none"/>
        </w:rPr>
        <w:t>https://www.lecaiyun.com/</w:t>
      </w:r>
      <w:r>
        <w:rPr>
          <w:rStyle w:val="23"/>
          <w:rFonts w:asciiTheme="minorEastAsia" w:hAnsiTheme="minorEastAsia" w:eastAsiaTheme="minorEastAsia"/>
          <w:color w:val="auto"/>
          <w:sz w:val="24"/>
          <w:szCs w:val="24"/>
          <w:highlight w:val="none"/>
        </w:rPr>
        <w:t>）获取（下载）</w:t>
      </w:r>
      <w:r>
        <w:rPr>
          <w:rStyle w:val="23"/>
          <w:rFonts w:hint="eastAsia" w:asciiTheme="minorEastAsia" w:hAnsiTheme="minorEastAsia" w:eastAsiaTheme="minorEastAsia"/>
          <w:color w:val="auto"/>
          <w:sz w:val="24"/>
          <w:szCs w:val="24"/>
          <w:highlight w:val="none"/>
        </w:rPr>
        <w:t>采购</w:t>
      </w:r>
      <w:r>
        <w:rPr>
          <w:rStyle w:val="23"/>
          <w:rFonts w:asciiTheme="minorEastAsia" w:hAnsiTheme="minorEastAsia" w:eastAsiaTheme="minorEastAsia"/>
          <w:color w:val="auto"/>
          <w:sz w:val="24"/>
          <w:szCs w:val="24"/>
          <w:highlight w:val="none"/>
        </w:rPr>
        <w:t>文件，并于</w:t>
      </w:r>
      <w:r>
        <w:rPr>
          <w:rFonts w:hint="eastAsia" w:cs="仿宋_GB2312" w:asciiTheme="minorEastAsia" w:hAnsiTheme="minorEastAsia" w:eastAsiaTheme="minorEastAsia"/>
          <w:color w:val="auto"/>
          <w:highlight w:val="none"/>
          <w:u w:val="single"/>
        </w:rPr>
        <w:t xml:space="preserve">2025年 </w:t>
      </w:r>
      <w:r>
        <w:rPr>
          <w:rFonts w:hint="eastAsia" w:cs="仿宋_GB2312" w:asciiTheme="minorEastAsia" w:hAnsiTheme="minorEastAsia" w:eastAsiaTheme="minorEastAsia"/>
          <w:color w:val="auto"/>
          <w:highlight w:val="none"/>
          <w:u w:val="single"/>
          <w:lang w:val="en-US" w:eastAsia="zh-CN"/>
        </w:rPr>
        <w:t>7</w:t>
      </w:r>
      <w:r>
        <w:rPr>
          <w:rFonts w:hint="eastAsia" w:cs="仿宋_GB2312" w:asciiTheme="minorEastAsia" w:hAnsiTheme="minorEastAsia" w:eastAsiaTheme="minorEastAsia"/>
          <w:color w:val="auto"/>
          <w:highlight w:val="none"/>
          <w:u w:val="single"/>
        </w:rPr>
        <w:t>月</w:t>
      </w:r>
      <w:r>
        <w:rPr>
          <w:rFonts w:hint="eastAsia" w:cs="仿宋_GB2312" w:asciiTheme="minorEastAsia" w:hAnsiTheme="minorEastAsia" w:eastAsiaTheme="minorEastAsia"/>
          <w:color w:val="auto"/>
          <w:highlight w:val="none"/>
          <w:u w:val="single"/>
          <w:lang w:val="en-US" w:eastAsia="zh-CN"/>
        </w:rPr>
        <w:t>16</w:t>
      </w:r>
      <w:r>
        <w:rPr>
          <w:rFonts w:hint="eastAsia" w:cs="仿宋_GB2312" w:asciiTheme="minorEastAsia" w:hAnsiTheme="minorEastAsia" w:eastAsiaTheme="minorEastAsia"/>
          <w:color w:val="auto"/>
          <w:highlight w:val="none"/>
          <w:u w:val="single"/>
        </w:rPr>
        <w:t>日</w:t>
      </w:r>
      <w:r>
        <w:rPr>
          <w:rFonts w:hint="eastAsia" w:cs="仿宋_GB2312" w:asciiTheme="minorEastAsia" w:hAnsiTheme="minorEastAsia" w:eastAsiaTheme="minorEastAsia"/>
          <w:color w:val="auto"/>
          <w:highlight w:val="none"/>
          <w:u w:val="single"/>
          <w:lang w:val="en-US" w:eastAsia="zh-CN"/>
        </w:rPr>
        <w:t>14</w:t>
      </w:r>
      <w:r>
        <w:rPr>
          <w:rFonts w:hint="eastAsia" w:cs="仿宋_GB2312" w:asciiTheme="minorEastAsia" w:hAnsiTheme="minorEastAsia" w:eastAsiaTheme="minorEastAsia"/>
          <w:color w:val="auto"/>
          <w:highlight w:val="none"/>
          <w:u w:val="single"/>
        </w:rPr>
        <w:t>点</w:t>
      </w:r>
      <w:r>
        <w:rPr>
          <w:rFonts w:hint="eastAsia" w:cs="仿宋_GB2312" w:asciiTheme="minorEastAsia" w:hAnsiTheme="minorEastAsia" w:eastAsiaTheme="minorEastAsia"/>
          <w:color w:val="auto"/>
          <w:highlight w:val="none"/>
          <w:u w:val="single"/>
          <w:lang w:val="en-US" w:eastAsia="zh-CN"/>
        </w:rPr>
        <w:t>30</w:t>
      </w:r>
      <w:r>
        <w:rPr>
          <w:rFonts w:hint="eastAsia" w:cs="仿宋_GB2312" w:asciiTheme="minorEastAsia" w:hAnsiTheme="minorEastAsia" w:eastAsiaTheme="minorEastAsia"/>
          <w:color w:val="auto"/>
          <w:highlight w:val="none"/>
          <w:u w:val="single"/>
        </w:rPr>
        <w:t>分00秒</w:t>
      </w:r>
      <w:r>
        <w:rPr>
          <w:rFonts w:hint="eastAsia" w:cs="仿宋_GB2312" w:asciiTheme="minorEastAsia" w:hAnsiTheme="minorEastAsia" w:eastAsiaTheme="minorEastAsia"/>
          <w:color w:val="auto"/>
          <w:highlight w:val="none"/>
          <w:u w:val="single"/>
        </w:rPr>
        <w:fldChar w:fldCharType="end"/>
      </w:r>
      <w:r>
        <w:rPr>
          <w:rFonts w:hint="eastAsia" w:asciiTheme="minorEastAsia" w:hAnsiTheme="minorEastAsia" w:eastAsiaTheme="minorEastAsia"/>
          <w:bCs/>
          <w:color w:val="auto"/>
          <w:highlight w:val="none"/>
        </w:rPr>
        <w:t>（北京时间）前</w:t>
      </w:r>
      <w:r>
        <w:rPr>
          <w:rFonts w:hint="eastAsia" w:asciiTheme="minorEastAsia" w:hAnsiTheme="minorEastAsia" w:eastAsiaTheme="minorEastAsia"/>
          <w:color w:val="auto"/>
          <w:highlight w:val="none"/>
        </w:rPr>
        <w:t>递交（上传）投标文件。</w:t>
      </w:r>
    </w:p>
    <w:p w14:paraId="5AD9EAD5">
      <w:pPr>
        <w:spacing w:line="360" w:lineRule="auto"/>
        <w:rPr>
          <w:rFonts w:hint="eastAsia" w:ascii="宋体" w:hAnsi="宋体" w:cs="宋体"/>
          <w:b/>
          <w:color w:val="auto"/>
          <w:highlight w:val="none"/>
        </w:rPr>
      </w:pPr>
      <w:r>
        <w:rPr>
          <w:rFonts w:hint="eastAsia" w:ascii="宋体" w:hAnsi="宋体" w:cs="宋体"/>
          <w:b/>
          <w:color w:val="auto"/>
          <w:highlight w:val="none"/>
        </w:rPr>
        <w:t xml:space="preserve">一、项目基本情况                                            </w:t>
      </w:r>
    </w:p>
    <w:p w14:paraId="7512DAB2">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highlight w:val="none"/>
        </w:rPr>
        <w:t>项目编号：</w:t>
      </w:r>
      <w:r>
        <w:rPr>
          <w:rFonts w:hint="eastAsia" w:ascii="宋体" w:hAnsi="宋体" w:cs="宋体"/>
          <w:color w:val="auto"/>
          <w:highlight w:val="none"/>
        </w:rPr>
        <w:t>ZHZB-2025HBKBQSQ-01</w:t>
      </w:r>
    </w:p>
    <w:p w14:paraId="6F5CDF63">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highlight w:val="none"/>
        </w:rPr>
        <w:t xml:space="preserve"> 项目名称：</w:t>
      </w:r>
      <w:r>
        <w:rPr>
          <w:rFonts w:hint="eastAsia" w:ascii="宋体" w:hAnsi="宋体" w:cs="宋体"/>
          <w:color w:val="auto"/>
          <w:highlight w:val="none"/>
        </w:rPr>
        <w:t>杭州市拱墅区半山街道杭玻阔板桥社区物业管理服务项目</w:t>
      </w:r>
    </w:p>
    <w:p w14:paraId="58F2DB90">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highlight w:val="none"/>
        </w:rPr>
        <w:t xml:space="preserve"> 预算金额：人民币4000000.00元</w:t>
      </w:r>
    </w:p>
    <w:p w14:paraId="77DE143A">
      <w:pPr>
        <w:spacing w:line="360" w:lineRule="auto"/>
        <w:ind w:firstLine="480"/>
        <w:rPr>
          <w:rFonts w:hint="eastAsia" w:ascii="宋体" w:hAnsi="宋体" w:cs="宋体"/>
          <w:color w:val="auto"/>
          <w:highlight w:val="none"/>
        </w:rPr>
      </w:pPr>
      <w:r>
        <w:rPr>
          <w:rFonts w:hint="eastAsia" w:ascii="宋体" w:hAnsi="宋体" w:cs="宋体"/>
          <w:b/>
          <w:color w:val="auto"/>
          <w:highlight w:val="none"/>
        </w:rPr>
        <w:t>最高限价：人民币4000000.00元</w:t>
      </w:r>
    </w:p>
    <w:p w14:paraId="1DBAEB03">
      <w:pPr>
        <w:pStyle w:val="4"/>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杭州市拱墅区半山街道杭玻阔板桥社区物业管理服务项目。</w:t>
      </w:r>
      <w:r>
        <w:rPr>
          <w:rFonts w:hint="eastAsia" w:hAnsi="宋体" w:cs="仿宋_GB2312"/>
          <w:color w:val="auto"/>
          <w:sz w:val="24"/>
          <w:szCs w:val="24"/>
          <w:highlight w:val="none"/>
        </w:rPr>
        <w:t>半山街道杭玻阔板桥社区（老旧小区）综合管理、列入本次综合物业管理的范围为：保洁（主要指楼道、公园椅、车库及车库顶保洁和凉亭、辖区小广告清理等，不含道路保洁，</w:t>
      </w:r>
      <w:r>
        <w:rPr>
          <w:rFonts w:hAnsi="宋体" w:cs="仿宋_GB2312"/>
          <w:color w:val="auto"/>
          <w:sz w:val="24"/>
          <w:szCs w:val="24"/>
          <w:highlight w:val="none"/>
        </w:rPr>
        <w:t>乙</w:t>
      </w:r>
      <w:r>
        <w:rPr>
          <w:rFonts w:hint="eastAsia" w:hAnsi="宋体" w:cs="仿宋_GB2312"/>
          <w:color w:val="auto"/>
          <w:sz w:val="24"/>
          <w:szCs w:val="24"/>
          <w:highlight w:val="none"/>
        </w:rPr>
        <w:t>方对道路保洁负有监管监督职责），保安保序，工程维修，绿化养护，消防管理（消防整体管理，灭火器日常检查、更换），停车管理（含停车系统的维护，设施维修），垃圾分类管理，收费（物业费，停车费），房屋装修管理，监控查询，监控系统设备的维护，电动车充电管理，小区专项整治（物业职责范围内），家政服务（有偿服务），投诉处理，安全事故应急处理，违建防控、共用部位、共用设施设备日常运行、维护服务等和采购人交办的其他工作。</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26D681F9">
      <w:pPr>
        <w:pStyle w:val="4"/>
        <w:spacing w:line="360" w:lineRule="auto"/>
        <w:ind w:firstLine="480"/>
        <w:rPr>
          <w:rFonts w:hint="eastAsia" w:hAnsi="宋体" w:cs="宋体"/>
          <w:b/>
          <w:color w:val="auto"/>
          <w:sz w:val="24"/>
          <w:highlight w:val="none"/>
        </w:rPr>
      </w:pPr>
      <w:r>
        <w:rPr>
          <w:rFonts w:hint="eastAsia" w:hAnsi="宋体" w:cs="宋体"/>
          <w:b/>
          <w:color w:val="auto"/>
          <w:sz w:val="24"/>
          <w:highlight w:val="none"/>
        </w:rPr>
        <w:t>合同履约期限：三年零四个月（40个月）。</w:t>
      </w:r>
    </w:p>
    <w:p w14:paraId="0E44E38F">
      <w:pPr>
        <w:pStyle w:val="4"/>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3DA9DF9">
      <w:pPr>
        <w:spacing w:line="360" w:lineRule="auto"/>
        <w:rPr>
          <w:rFonts w:hint="eastAsia" w:ascii="宋体" w:hAnsi="宋体" w:cs="宋体"/>
          <w:b/>
          <w:color w:val="auto"/>
          <w:highlight w:val="none"/>
        </w:rPr>
      </w:pPr>
      <w:r>
        <w:rPr>
          <w:rFonts w:hint="eastAsia" w:ascii="宋体" w:hAnsi="宋体" w:cs="宋体"/>
          <w:b/>
          <w:color w:val="auto"/>
          <w:highlight w:val="none"/>
        </w:rPr>
        <w:t>二、</w:t>
      </w:r>
      <w:bookmarkStart w:id="0" w:name="_Hlk101132948"/>
      <w:r>
        <w:rPr>
          <w:rFonts w:hint="eastAsia" w:ascii="宋体" w:hAnsi="宋体" w:cs="宋体"/>
          <w:b/>
          <w:color w:val="auto"/>
          <w:highlight w:val="none"/>
        </w:rPr>
        <w:t>申请人的资格要求</w:t>
      </w:r>
      <w:bookmarkEnd w:id="0"/>
      <w:r>
        <w:rPr>
          <w:rFonts w:hint="eastAsia" w:ascii="宋体" w:hAnsi="宋体" w:cs="宋体"/>
          <w:b/>
          <w:color w:val="auto"/>
          <w:highlight w:val="none"/>
        </w:rPr>
        <w:t>：</w:t>
      </w:r>
    </w:p>
    <w:p w14:paraId="74EB15B2">
      <w:pPr>
        <w:spacing w:line="360" w:lineRule="auto"/>
        <w:ind w:firstLine="480"/>
        <w:rPr>
          <w:rFonts w:hint="eastAsia" w:ascii="宋体" w:hAnsi="宋体" w:cs="宋体"/>
          <w:strike/>
          <w:snapToGrid w:val="0"/>
          <w:color w:val="auto"/>
          <w:kern w:val="28"/>
          <w:szCs w:val="20"/>
          <w:highlight w:val="none"/>
        </w:rPr>
      </w:pPr>
      <w:r>
        <w:rPr>
          <w:rFonts w:hint="eastAsia" w:ascii="宋体" w:hAnsi="宋体" w:cs="宋体"/>
          <w:snapToGrid w:val="0"/>
          <w:color w:val="auto"/>
          <w:kern w:val="28"/>
          <w:szCs w:val="20"/>
          <w:highlight w:val="none"/>
        </w:rPr>
        <w:t>1. 参照满足《中华人民共和国政府采购法》第二十二条规定；未被信用中国网站（www.creditchina.gov.cn）列入失信被执行人、重大税收违法案件当事人名单，未被中国政府采购网（www.ccgp.gov.cn）列入政府采购严重违法失信行为记录名单；</w:t>
      </w:r>
    </w:p>
    <w:p w14:paraId="79AC4F5D">
      <w:pPr>
        <w:spacing w:line="360" w:lineRule="auto"/>
        <w:rPr>
          <w:rFonts w:hint="eastAsia"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 xml:space="preserve">    </w:t>
      </w:r>
      <w:r>
        <w:rPr>
          <w:rFonts w:ascii="宋体" w:hAnsi="宋体" w:cs="宋体"/>
          <w:snapToGrid w:val="0"/>
          <w:color w:val="auto"/>
          <w:kern w:val="28"/>
          <w:szCs w:val="20"/>
          <w:highlight w:val="none"/>
        </w:rPr>
        <w:t>2</w:t>
      </w:r>
      <w:r>
        <w:rPr>
          <w:rFonts w:hint="eastAsia" w:ascii="宋体" w:hAnsi="宋体" w:cs="宋体"/>
          <w:snapToGrid w:val="0"/>
          <w:color w:val="auto"/>
          <w:kern w:val="28"/>
          <w:szCs w:val="20"/>
          <w:highlight w:val="none"/>
        </w:rPr>
        <w:t>.</w:t>
      </w:r>
      <w:r>
        <w:rPr>
          <w:rFonts w:hint="eastAsia"/>
          <w:color w:val="auto"/>
          <w:highlight w:val="none"/>
        </w:rPr>
        <w:t xml:space="preserve"> </w:t>
      </w:r>
      <w:r>
        <w:rPr>
          <w:rFonts w:hint="eastAsia" w:ascii="宋体" w:hAnsi="宋体" w:cs="宋体"/>
          <w:snapToGrid w:val="0"/>
          <w:color w:val="auto"/>
          <w:kern w:val="28"/>
          <w:szCs w:val="20"/>
          <w:highlight w:val="none"/>
        </w:rPr>
        <w:t>以联合体形式投标的，提供联合协议(本项目不接受联合体投标或者供应商不以联合体形式投标的，则不需要提供) ；</w:t>
      </w:r>
    </w:p>
    <w:p w14:paraId="626D8CCF">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hAnsi="宋体" w:cs="宋体"/>
          <w:bCs/>
          <w:color w:val="auto"/>
          <w:highlight w:val="none"/>
        </w:rPr>
        <w:t>无</w:t>
      </w:r>
      <w:r>
        <w:rPr>
          <w:rFonts w:hint="eastAsia" w:ascii="宋体" w:hAnsi="宋体" w:cs="宋体"/>
          <w:color w:val="auto"/>
          <w:highlight w:val="none"/>
        </w:rPr>
        <w:t>；</w:t>
      </w:r>
    </w:p>
    <w:p w14:paraId="1FBFBBF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999BEC1">
      <w:pPr>
        <w:spacing w:line="360" w:lineRule="auto"/>
        <w:rPr>
          <w:rFonts w:hint="eastAsia" w:ascii="宋体" w:hAnsi="宋体" w:cs="宋体"/>
          <w:b/>
          <w:color w:val="auto"/>
          <w:highlight w:val="none"/>
        </w:rPr>
      </w:pPr>
      <w:r>
        <w:rPr>
          <w:rFonts w:hint="eastAsia" w:ascii="宋体" w:hAnsi="宋体" w:cs="宋体"/>
          <w:b/>
          <w:color w:val="auto"/>
          <w:highlight w:val="none"/>
        </w:rPr>
        <w:t xml:space="preserve">三、获取采购文件 </w:t>
      </w:r>
    </w:p>
    <w:p w14:paraId="3A37C06A">
      <w:pPr>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时间：</w:t>
      </w:r>
      <w:r>
        <w:rPr>
          <w:rFonts w:hint="eastAsia" w:ascii="宋体" w:hAnsi="宋体" w:cs="宋体"/>
          <w:color w:val="auto"/>
          <w:highlight w:val="none"/>
          <w:u w:val="single"/>
        </w:rPr>
        <w:t>自2025年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日始至2025年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15</w:t>
      </w:r>
      <w:r>
        <w:rPr>
          <w:rFonts w:hint="eastAsia" w:ascii="宋体" w:hAnsi="宋体" w:cs="宋体"/>
          <w:color w:val="auto"/>
          <w:highlight w:val="none"/>
          <w:u w:val="single"/>
        </w:rPr>
        <w:t>日止</w:t>
      </w:r>
      <w:r>
        <w:rPr>
          <w:rFonts w:hint="eastAsia" w:ascii="宋体" w:hAnsi="宋体" w:cs="宋体"/>
          <w:color w:val="auto"/>
          <w:highlight w:val="none"/>
        </w:rPr>
        <w:t>，每天上午00:00至12:00 ，下午12:00至23:59（北京时间，线上获取法定节假日均可）</w:t>
      </w:r>
    </w:p>
    <w:p w14:paraId="07DD753B">
      <w:pPr>
        <w:spacing w:line="360" w:lineRule="auto"/>
        <w:ind w:firstLine="482" w:firstLineChars="200"/>
        <w:rPr>
          <w:rFonts w:hint="eastAsia" w:ascii="宋体" w:hAnsi="宋体" w:cs="宋体"/>
          <w:b/>
          <w:color w:val="auto"/>
          <w:highlight w:val="none"/>
        </w:rPr>
      </w:pPr>
      <w:r>
        <w:rPr>
          <w:rFonts w:hint="eastAsia" w:ascii="宋体" w:hAnsi="宋体" w:cs="宋体"/>
          <w:b/>
          <w:color w:val="auto"/>
          <w:highlight w:val="none"/>
        </w:rPr>
        <w:t xml:space="preserve">地点（网址）：乐采云平台（https://www.lecaiyun.com/） </w:t>
      </w:r>
    </w:p>
    <w:p w14:paraId="55E7204A">
      <w:pPr>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方式：</w:t>
      </w:r>
      <w:r>
        <w:rPr>
          <w:rFonts w:hint="eastAsia" w:ascii="宋体" w:hAnsi="宋体" w:cs="宋体"/>
          <w:color w:val="auto"/>
          <w:highlight w:val="none"/>
        </w:rPr>
        <w:t xml:space="preserve">供应商登录乐采云平台（https://www.lecaiyun.com/）在线申请获取采购文件（进入“项目采购”应用，在获取采购文件菜单中选择项目，申请获取采购文件）。 </w:t>
      </w:r>
    </w:p>
    <w:p w14:paraId="1ECE9824">
      <w:pPr>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售价（元）：</w:t>
      </w:r>
      <w:r>
        <w:rPr>
          <w:rFonts w:hint="eastAsia" w:ascii="宋体" w:hAnsi="宋体" w:cs="宋体"/>
          <w:color w:val="auto"/>
          <w:highlight w:val="none"/>
        </w:rPr>
        <w:t xml:space="preserve">0 </w:t>
      </w:r>
    </w:p>
    <w:p w14:paraId="76AF6E13">
      <w:pPr>
        <w:spacing w:line="360" w:lineRule="auto"/>
        <w:rPr>
          <w:rFonts w:hint="eastAsia" w:ascii="宋体" w:hAnsi="宋体" w:cs="宋体"/>
          <w:b/>
          <w:color w:val="auto"/>
          <w:highlight w:val="none"/>
        </w:rPr>
      </w:pPr>
      <w:r>
        <w:rPr>
          <w:rFonts w:hint="eastAsia" w:ascii="宋体" w:hAnsi="宋体" w:cs="宋体"/>
          <w:b/>
          <w:color w:val="auto"/>
          <w:highlight w:val="none"/>
        </w:rPr>
        <w:t>四、提交投标文件截止时间、开标时间和地点</w:t>
      </w:r>
    </w:p>
    <w:p w14:paraId="431EB64E">
      <w:pPr>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提交投标文件截止时间：</w:t>
      </w:r>
      <w:r>
        <w:rPr>
          <w:rFonts w:hint="eastAsia" w:ascii="宋体" w:hAnsi="宋体" w:cs="宋体"/>
          <w:color w:val="auto"/>
          <w:highlight w:val="none"/>
          <w:u w:val="single"/>
        </w:rPr>
        <w:t xml:space="preserve"> 2025年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分00秒</w:t>
      </w:r>
      <w:r>
        <w:rPr>
          <w:rFonts w:hint="eastAsia" w:ascii="宋体" w:hAnsi="宋体" w:cs="宋体"/>
          <w:bCs/>
          <w:color w:val="auto"/>
          <w:highlight w:val="none"/>
          <w:u w:val="single"/>
        </w:rPr>
        <w:t xml:space="preserve"> </w:t>
      </w:r>
      <w:r>
        <w:rPr>
          <w:rFonts w:hint="eastAsia" w:ascii="宋体" w:hAnsi="宋体" w:cs="宋体"/>
          <w:color w:val="auto"/>
          <w:highlight w:val="none"/>
        </w:rPr>
        <w:t>（北京时间）</w:t>
      </w:r>
    </w:p>
    <w:p w14:paraId="0C449B4A">
      <w:pPr>
        <w:spacing w:line="360" w:lineRule="auto"/>
        <w:ind w:firstLine="482" w:firstLineChars="200"/>
        <w:rPr>
          <w:rFonts w:hint="eastAsia" w:ascii="宋体" w:hAnsi="宋体" w:cs="宋体"/>
          <w:b/>
          <w:color w:val="auto"/>
          <w:highlight w:val="none"/>
        </w:rPr>
      </w:pPr>
      <w:r>
        <w:rPr>
          <w:rFonts w:hint="eastAsia" w:ascii="宋体" w:hAnsi="宋体" w:cs="宋体"/>
          <w:b/>
          <w:color w:val="auto"/>
          <w:highlight w:val="none"/>
        </w:rPr>
        <w:t>提交投标文件地点（网址）：</w:t>
      </w:r>
      <w:r>
        <w:rPr>
          <w:rFonts w:hint="eastAsia" w:ascii="宋体" w:hAnsi="宋体" w:cs="宋体"/>
          <w:b/>
          <w:bCs/>
          <w:color w:val="auto"/>
          <w:highlight w:val="none"/>
        </w:rPr>
        <w:t>乐采云平台（https://www.lecaiyun.com/）</w:t>
      </w:r>
      <w:r>
        <w:rPr>
          <w:rFonts w:hint="eastAsia" w:ascii="宋体" w:hAnsi="宋体" w:cs="宋体"/>
          <w:color w:val="auto"/>
          <w:highlight w:val="none"/>
        </w:rPr>
        <w:t xml:space="preserve"> </w:t>
      </w:r>
    </w:p>
    <w:p w14:paraId="3F062E44">
      <w:pPr>
        <w:spacing w:line="360" w:lineRule="auto"/>
        <w:ind w:firstLine="482" w:firstLineChars="200"/>
        <w:rPr>
          <w:rFonts w:hint="eastAsia" w:ascii="宋体" w:hAnsi="宋体" w:cs="宋体"/>
          <w:bCs/>
          <w:color w:val="auto"/>
          <w:highlight w:val="none"/>
          <w:u w:val="single"/>
        </w:rPr>
      </w:pPr>
      <w:r>
        <w:rPr>
          <w:rFonts w:hint="eastAsia" w:ascii="宋体" w:hAnsi="宋体" w:cs="宋体"/>
          <w:b/>
          <w:color w:val="auto"/>
          <w:highlight w:val="none"/>
        </w:rPr>
        <w:t>开标时间：</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分00秒</w:t>
      </w:r>
      <w:r>
        <w:rPr>
          <w:rFonts w:hint="eastAsia" w:ascii="宋体" w:hAnsi="宋体" w:cs="宋体"/>
          <w:bCs/>
          <w:color w:val="auto"/>
          <w:highlight w:val="none"/>
          <w:u w:val="single"/>
        </w:rPr>
        <w:t xml:space="preserve">  （北京时间）</w:t>
      </w:r>
    </w:p>
    <w:p w14:paraId="6B29AC02">
      <w:pPr>
        <w:widowControl/>
        <w:snapToGrid w:val="0"/>
        <w:spacing w:line="360" w:lineRule="auto"/>
        <w:ind w:firstLine="482" w:firstLineChars="200"/>
        <w:jc w:val="left"/>
        <w:rPr>
          <w:rFonts w:hint="eastAsia" w:ascii="宋体" w:hAnsi="宋体" w:cs="宋体"/>
          <w:b/>
          <w:color w:val="auto"/>
          <w:highlight w:val="none"/>
        </w:rPr>
      </w:pPr>
      <w:r>
        <w:rPr>
          <w:rFonts w:hint="eastAsia" w:ascii="宋体" w:hAnsi="宋体" w:cs="宋体"/>
          <w:b/>
          <w:color w:val="auto"/>
          <w:highlight w:val="none"/>
        </w:rPr>
        <w:t>开标地点（网址）：</w:t>
      </w:r>
      <w:r>
        <w:rPr>
          <w:rFonts w:hint="eastAsia" w:ascii="宋体" w:hAnsi="宋体" w:cs="宋体"/>
          <w:b/>
          <w:bCs/>
          <w:color w:val="auto"/>
          <w:highlight w:val="none"/>
        </w:rPr>
        <w:t>乐采云平台（https://www.lecaiyun.com/）</w:t>
      </w:r>
    </w:p>
    <w:p w14:paraId="38B8C99B">
      <w:pPr>
        <w:spacing w:line="360" w:lineRule="auto"/>
        <w:rPr>
          <w:rFonts w:hint="eastAsia" w:ascii="宋体" w:hAnsi="宋体" w:cs="宋体"/>
          <w:color w:val="auto"/>
          <w:kern w:val="0"/>
          <w:szCs w:val="21"/>
          <w:highlight w:val="none"/>
        </w:rPr>
      </w:pPr>
      <w:r>
        <w:rPr>
          <w:rFonts w:hint="eastAsia" w:ascii="宋体" w:hAnsi="宋体" w:cs="宋体"/>
          <w:b/>
          <w:color w:val="auto"/>
          <w:highlight w:val="none"/>
        </w:rPr>
        <w:t>五、公告期限：</w:t>
      </w:r>
      <w:r>
        <w:rPr>
          <w:rFonts w:hint="eastAsia" w:hAnsi="宋体" w:cs="宋体"/>
          <w:bCs/>
          <w:color w:val="auto"/>
          <w:highlight w:val="none"/>
        </w:rPr>
        <w:t>自本公告发布之日起5个工作日。</w:t>
      </w:r>
    </w:p>
    <w:p w14:paraId="241B02F9">
      <w:pPr>
        <w:snapToGrid w:val="0"/>
        <w:spacing w:line="360" w:lineRule="auto"/>
        <w:rPr>
          <w:rFonts w:hint="eastAsia" w:ascii="宋体" w:hAnsi="宋体" w:cs="宋体"/>
          <w:b/>
          <w:color w:val="auto"/>
          <w:highlight w:val="none"/>
        </w:rPr>
      </w:pPr>
      <w:r>
        <w:rPr>
          <w:rFonts w:hint="eastAsia" w:ascii="宋体" w:hAnsi="宋体" w:cs="宋体"/>
          <w:b/>
          <w:color w:val="auto"/>
          <w:highlight w:val="none"/>
        </w:rPr>
        <w:t>六、其他事项：</w:t>
      </w:r>
    </w:p>
    <w:p w14:paraId="3B4DBEC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供应商认为采购文件使自己的权益受到损害的，可以自收到采购文件之日（获取截止日之后收到采购文件的，以获取截止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309BEA13">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其他事项：电子交易的说明：①电子交易：本项目以数据电文形式，依托“乐采云平台（https://www.lecaiyun.com/）”进行采购活动，不接受纸质投标文件；②投标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投标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乐采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乐采云平台”上传递交的投标文件无法按时解密，潜在供应商递交了备份投标文件的，以备份投标文件为依据，否则视为投标文件撤回。通过“乐采云平台”上传递交的投标文件已按时解密的，备份投标文件自动失效。供应商仅提交备份投标文件，未在电子交易平台传输递交投标文件的，投标无效；⑩具体操作指南：详见“乐采云平台”服务中心-帮助文档-项目采购-操作流程-电子招投标。</w:t>
      </w:r>
    </w:p>
    <w:p w14:paraId="686FAD52">
      <w:pPr>
        <w:snapToGrid w:val="0"/>
        <w:spacing w:line="360" w:lineRule="auto"/>
        <w:rPr>
          <w:rFonts w:hint="eastAsia" w:ascii="宋体" w:hAnsi="宋体" w:cs="宋体"/>
          <w:b/>
          <w:color w:val="auto"/>
          <w:highlight w:val="none"/>
        </w:rPr>
      </w:pPr>
      <w:r>
        <w:rPr>
          <w:rFonts w:hint="eastAsia" w:ascii="宋体" w:hAnsi="宋体" w:cs="宋体"/>
          <w:b/>
          <w:color w:val="auto"/>
          <w:highlight w:val="none"/>
        </w:rPr>
        <w:t>七、</w:t>
      </w:r>
      <w:r>
        <w:rPr>
          <w:rFonts w:hint="eastAsia" w:hAnsi="宋体" w:cs="宋体"/>
          <w:b/>
          <w:color w:val="auto"/>
          <w:highlight w:val="none"/>
        </w:rPr>
        <w:t>对本次采购提出询问、质疑、投诉，请按以下方式联系：</w:t>
      </w:r>
    </w:p>
    <w:p w14:paraId="1F591B80">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1、采购人：浙江省杭州市拱墅区半山街道杭玻阔板桥社区居民委员会</w:t>
      </w:r>
    </w:p>
    <w:p w14:paraId="3880C8E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联系地址：浙江省杭州市拱墅区半山路133号</w:t>
      </w:r>
    </w:p>
    <w:p w14:paraId="3FA72F3D">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联系人：陈先生 </w:t>
      </w:r>
    </w:p>
    <w:p w14:paraId="0BCC064A">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联系电话：15067100950 </w:t>
      </w:r>
    </w:p>
    <w:p w14:paraId="2D19F12B">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2、采购代理机构：浙江正浩招标代理有限公司</w:t>
      </w:r>
    </w:p>
    <w:p w14:paraId="5745BF8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公司地址：杭州市拱墅区祥园路45号盘石全球数字经济产业园D座409室</w:t>
      </w:r>
    </w:p>
    <w:p w14:paraId="29D0C39B">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联系人：魏银燕、杨倩、汪敏捷 </w:t>
      </w:r>
    </w:p>
    <w:p w14:paraId="48ECE1E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联系电话：18358557442</w:t>
      </w:r>
      <w:bookmarkStart w:id="19" w:name="_GoBack"/>
      <w:bookmarkEnd w:id="19"/>
    </w:p>
    <w:p w14:paraId="42A45262">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质疑联系人：</w:t>
      </w:r>
      <w:r>
        <w:rPr>
          <w:rFonts w:hint="eastAsia" w:ascii="宋体" w:hAnsi="宋体" w:cs="宋体"/>
          <w:color w:val="auto"/>
          <w:highlight w:val="none"/>
          <w:lang w:val="en-US" w:eastAsia="zh-CN"/>
        </w:rPr>
        <w:t>方晨</w:t>
      </w:r>
    </w:p>
    <w:p w14:paraId="34F95B29">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联系电话：18057185267  </w:t>
      </w:r>
    </w:p>
    <w:p w14:paraId="5D2AFA6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若对项目采购电子交易系统操作有疑问，可登录乐采云平台（https://www.lecaiyun.com/），点击右侧咨询小采，获取采小蜜智能服务管家帮助，或拨打乐采云有限公司服务热线95763获取热线服务帮助。</w:t>
      </w:r>
    </w:p>
    <w:p w14:paraId="54D51855">
      <w:pPr>
        <w:spacing w:line="360" w:lineRule="auto"/>
        <w:ind w:firstLine="480" w:firstLineChars="200"/>
        <w:rPr>
          <w:rFonts w:ascii="宋体"/>
          <w:snapToGrid w:val="0"/>
          <w:color w:val="auto"/>
          <w:highlight w:val="none"/>
        </w:rPr>
      </w:pPr>
      <w:r>
        <w:rPr>
          <w:rFonts w:hint="eastAsia" w:ascii="宋体" w:hAnsi="宋体" w:cs="宋体"/>
          <w:color w:val="auto"/>
          <w:highlight w:val="none"/>
        </w:rPr>
        <w:t>CA问题联系电话（人工）：汇信CA 400-888-4636；天谷CA 400-087-8198。</w:t>
      </w:r>
    </w:p>
    <w:p w14:paraId="0E1369B2">
      <w:pPr>
        <w:rPr>
          <w:rFonts w:hint="eastAsia"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br w:type="page"/>
      </w:r>
    </w:p>
    <w:p w14:paraId="19CA8BF6">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0A681BFC">
      <w:pPr>
        <w:pStyle w:val="3"/>
        <w:jc w:val="center"/>
        <w:rPr>
          <w:rFonts w:hint="eastAsia"/>
          <w:color w:val="auto"/>
          <w:highlight w:val="none"/>
        </w:rPr>
      </w:pPr>
      <w:r>
        <w:rPr>
          <w:rFonts w:hint="eastAsia"/>
          <w:color w:val="auto"/>
          <w:highlight w:val="none"/>
        </w:rPr>
        <w:t>前附表</w:t>
      </w:r>
      <w:bookmarkEnd w:id="2"/>
      <w:bookmarkEnd w:id="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67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atLeast"/>
          <w:jc w:val="center"/>
        </w:trPr>
        <w:tc>
          <w:tcPr>
            <w:tcW w:w="629" w:type="dxa"/>
            <w:vAlign w:val="center"/>
          </w:tcPr>
          <w:p w14:paraId="57064E30">
            <w:pPr>
              <w:snapToGrid w:val="0"/>
              <w:jc w:val="center"/>
              <w:rPr>
                <w:rFonts w:hint="eastAsia" w:ascii="宋体" w:hAnsi="宋体" w:cs="宋体"/>
                <w:b/>
                <w:bCs/>
                <w:color w:val="auto"/>
                <w:highlight w:val="none"/>
              </w:rPr>
            </w:pPr>
            <w:bookmarkStart w:id="4" w:name="_Toc10541"/>
            <w:bookmarkStart w:id="5" w:name="_Toc211745567"/>
            <w:bookmarkStart w:id="6" w:name="_Toc82338238"/>
            <w:bookmarkStart w:id="7" w:name="_Toc204"/>
            <w:bookmarkStart w:id="8" w:name="_Toc82873321"/>
            <w:r>
              <w:rPr>
                <w:rFonts w:hint="eastAsia" w:ascii="宋体" w:hAnsi="宋体" w:cs="宋体"/>
                <w:b/>
                <w:bCs/>
                <w:color w:val="auto"/>
                <w:highlight w:val="none"/>
              </w:rPr>
              <w:t>条款</w:t>
            </w:r>
          </w:p>
        </w:tc>
        <w:tc>
          <w:tcPr>
            <w:tcW w:w="1843" w:type="dxa"/>
            <w:vAlign w:val="center"/>
          </w:tcPr>
          <w:p w14:paraId="27F277C2">
            <w:pPr>
              <w:snapToGrid w:val="0"/>
              <w:jc w:val="center"/>
              <w:rPr>
                <w:rFonts w:hint="eastAsia" w:ascii="宋体" w:hAnsi="宋体" w:cs="宋体"/>
                <w:b/>
                <w:bCs/>
                <w:color w:val="auto"/>
                <w:highlight w:val="none"/>
              </w:rPr>
            </w:pPr>
            <w:r>
              <w:rPr>
                <w:rFonts w:hint="eastAsia" w:ascii="宋体" w:hAnsi="宋体" w:cs="宋体"/>
                <w:b/>
                <w:bCs/>
                <w:color w:val="auto"/>
                <w:highlight w:val="none"/>
              </w:rPr>
              <w:t>事项</w:t>
            </w:r>
          </w:p>
        </w:tc>
        <w:tc>
          <w:tcPr>
            <w:tcW w:w="6095" w:type="dxa"/>
            <w:vAlign w:val="center"/>
          </w:tcPr>
          <w:p w14:paraId="1BE90BAB">
            <w:pPr>
              <w:snapToGrid w:val="0"/>
              <w:jc w:val="center"/>
              <w:rPr>
                <w:rFonts w:hint="eastAsia" w:ascii="宋体" w:hAnsi="宋体" w:cs="宋体"/>
                <w:b/>
                <w:bCs/>
                <w:color w:val="auto"/>
                <w:highlight w:val="none"/>
              </w:rPr>
            </w:pPr>
            <w:r>
              <w:rPr>
                <w:rFonts w:hint="eastAsia" w:ascii="宋体" w:hAnsi="宋体" w:cs="宋体"/>
                <w:b/>
                <w:bCs/>
                <w:color w:val="auto"/>
                <w:highlight w:val="none"/>
              </w:rPr>
              <w:t>本项目的特别规定</w:t>
            </w:r>
          </w:p>
        </w:tc>
      </w:tr>
      <w:tr w14:paraId="5BBC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jc w:val="center"/>
        </w:trPr>
        <w:tc>
          <w:tcPr>
            <w:tcW w:w="629" w:type="dxa"/>
            <w:vAlign w:val="center"/>
          </w:tcPr>
          <w:p w14:paraId="58DB96D1">
            <w:pPr>
              <w:snapToGrid w:val="0"/>
              <w:jc w:val="center"/>
              <w:rPr>
                <w:rFonts w:hint="eastAsia" w:ascii="宋体" w:hAnsi="宋体" w:cs="宋体"/>
                <w:b/>
                <w:bCs/>
                <w:color w:val="auto"/>
                <w:highlight w:val="none"/>
              </w:rPr>
            </w:pPr>
            <w:r>
              <w:rPr>
                <w:rFonts w:hint="eastAsia" w:ascii="宋体" w:hAnsi="宋体" w:cs="宋体"/>
                <w:b/>
                <w:bCs/>
                <w:color w:val="auto"/>
                <w:highlight w:val="none"/>
              </w:rPr>
              <w:t>1</w:t>
            </w:r>
          </w:p>
        </w:tc>
        <w:tc>
          <w:tcPr>
            <w:tcW w:w="1843" w:type="dxa"/>
            <w:vAlign w:val="center"/>
          </w:tcPr>
          <w:p w14:paraId="7B35AD5C">
            <w:pPr>
              <w:snapToGrid w:val="0"/>
              <w:jc w:val="center"/>
              <w:rPr>
                <w:rFonts w:hint="eastAsia" w:ascii="宋体" w:hAnsi="宋体" w:cs="宋体"/>
                <w:b/>
                <w:bCs/>
                <w:color w:val="auto"/>
                <w:highlight w:val="none"/>
              </w:rPr>
            </w:pPr>
            <w:r>
              <w:rPr>
                <w:rFonts w:hint="eastAsia" w:ascii="宋体" w:hAnsi="宋体" w:cs="宋体"/>
                <w:b/>
                <w:bCs/>
                <w:color w:val="auto"/>
                <w:highlight w:val="none"/>
              </w:rPr>
              <w:t>项目属性</w:t>
            </w:r>
          </w:p>
        </w:tc>
        <w:tc>
          <w:tcPr>
            <w:tcW w:w="6095" w:type="dxa"/>
            <w:vAlign w:val="center"/>
          </w:tcPr>
          <w:p w14:paraId="55488FAB">
            <w:pPr>
              <w:snapToGrid w:val="0"/>
              <w:jc w:val="left"/>
              <w:rPr>
                <w:rFonts w:hint="eastAsia" w:ascii="宋体" w:hAnsi="宋体" w:cs="宋体"/>
                <w:b/>
                <w:bCs/>
                <w:color w:val="auto"/>
                <w:highlight w:val="none"/>
              </w:rPr>
            </w:pPr>
            <w:r>
              <w:rPr>
                <w:rFonts w:hint="eastAsia" w:ascii="宋体" w:hAnsi="宋体" w:cs="宋体"/>
                <w:b/>
                <w:bCs/>
                <w:color w:val="auto"/>
                <w:highlight w:val="none"/>
              </w:rPr>
              <w:t>服务类。</w:t>
            </w:r>
          </w:p>
        </w:tc>
      </w:tr>
      <w:tr w14:paraId="6E77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7" w:hRule="atLeast"/>
          <w:jc w:val="center"/>
        </w:trPr>
        <w:tc>
          <w:tcPr>
            <w:tcW w:w="629" w:type="dxa"/>
            <w:vAlign w:val="center"/>
          </w:tcPr>
          <w:p w14:paraId="65BB75E7">
            <w:pPr>
              <w:snapToGrid w:val="0"/>
              <w:jc w:val="center"/>
              <w:rPr>
                <w:rFonts w:hint="eastAsia" w:ascii="宋体" w:hAnsi="宋体" w:cs="宋体"/>
                <w:b/>
                <w:bCs/>
                <w:color w:val="auto"/>
                <w:highlight w:val="none"/>
              </w:rPr>
            </w:pPr>
            <w:r>
              <w:rPr>
                <w:rFonts w:hint="eastAsia" w:ascii="宋体" w:hAnsi="宋体" w:cs="宋体"/>
                <w:color w:val="auto"/>
                <w:highlight w:val="none"/>
              </w:rPr>
              <w:t>2</w:t>
            </w:r>
          </w:p>
        </w:tc>
        <w:tc>
          <w:tcPr>
            <w:tcW w:w="1843" w:type="dxa"/>
            <w:vAlign w:val="center"/>
          </w:tcPr>
          <w:p w14:paraId="63A6F934">
            <w:pPr>
              <w:snapToGrid w:val="0"/>
              <w:jc w:val="center"/>
              <w:rPr>
                <w:rFonts w:hint="eastAsia" w:ascii="宋体" w:hAnsi="宋体" w:cs="宋体"/>
                <w:b/>
                <w:bCs/>
                <w:color w:val="auto"/>
                <w:highlight w:val="none"/>
              </w:rPr>
            </w:pPr>
            <w:r>
              <w:rPr>
                <w:rFonts w:hint="eastAsia" w:ascii="宋体" w:hAnsi="宋体" w:cs="宋体"/>
                <w:b/>
                <w:color w:val="auto"/>
                <w:highlight w:val="none"/>
              </w:rPr>
              <w:t>是否允许采购进口产品</w:t>
            </w:r>
          </w:p>
        </w:tc>
        <w:tc>
          <w:tcPr>
            <w:tcW w:w="6095" w:type="dxa"/>
            <w:vAlign w:val="center"/>
          </w:tcPr>
          <w:p w14:paraId="17B33B60">
            <w:pPr>
              <w:snapToGrid w:val="0"/>
              <w:rPr>
                <w:rFonts w:hint="eastAsia" w:ascii="宋体" w:hAnsi="宋体" w:cs="宋体"/>
                <w:color w:val="auto"/>
                <w:kern w:val="0"/>
                <w:highlight w:val="none"/>
              </w:rPr>
            </w:pPr>
            <w:r>
              <w:rPr>
                <w:rFonts w:hint="eastAsia" w:ascii="宋体" w:hAnsi="宋体" w:cs="宋体"/>
                <w:color w:val="auto"/>
                <w:kern w:val="0"/>
                <w:highlight w:val="none"/>
              </w:rPr>
              <w:sym w:font="Wingdings" w:char="F0FE"/>
            </w:r>
            <w:r>
              <w:rPr>
                <w:rFonts w:hint="eastAsia" w:ascii="宋体" w:hAnsi="宋体" w:cs="宋体"/>
                <w:color w:val="auto"/>
                <w:kern w:val="0"/>
                <w:highlight w:val="none"/>
              </w:rPr>
              <w:t>本项目不允许采购进口产品。</w:t>
            </w:r>
          </w:p>
          <w:p w14:paraId="51F9928A">
            <w:pPr>
              <w:snapToGrid w:val="0"/>
              <w:rPr>
                <w:rFonts w:hint="eastAsia" w:ascii="宋体" w:hAnsi="宋体" w:cs="宋体"/>
                <w:b/>
                <w:bCs/>
                <w:color w:val="auto"/>
                <w:highlight w:val="none"/>
              </w:rPr>
            </w:pPr>
            <w:r>
              <w:rPr>
                <w:rFonts w:hint="eastAsia" w:ascii="宋体" w:hAnsi="宋体" w:cs="宋体"/>
                <w:color w:val="auto"/>
                <w:kern w:val="0"/>
                <w:highlight w:val="none"/>
              </w:rPr>
              <w:t>☐可以就</w:t>
            </w:r>
            <w:r>
              <w:rPr>
                <w:rFonts w:hint="eastAsia" w:ascii="宋体" w:hAnsi="宋体" w:cs="宋体"/>
                <w:color w:val="auto"/>
                <w:highlight w:val="none"/>
                <w:u w:val="single"/>
              </w:rPr>
              <w:t xml:space="preserve">    </w:t>
            </w:r>
            <w:r>
              <w:rPr>
                <w:rFonts w:hint="eastAsia" w:ascii="宋体" w:hAnsi="宋体" w:cs="宋体"/>
                <w:color w:val="auto"/>
                <w:kern w:val="0"/>
                <w:highlight w:val="none"/>
              </w:rPr>
              <w:t>采购进口产品。</w:t>
            </w:r>
          </w:p>
        </w:tc>
      </w:tr>
      <w:tr w14:paraId="7923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5" w:hRule="atLeast"/>
          <w:jc w:val="center"/>
        </w:trPr>
        <w:tc>
          <w:tcPr>
            <w:tcW w:w="629" w:type="dxa"/>
            <w:vAlign w:val="center"/>
          </w:tcPr>
          <w:p w14:paraId="7AC07F4B">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843" w:type="dxa"/>
            <w:vAlign w:val="center"/>
          </w:tcPr>
          <w:p w14:paraId="45E04A1F">
            <w:pPr>
              <w:snapToGrid w:val="0"/>
              <w:ind w:firstLine="482" w:firstLineChars="200"/>
              <w:rPr>
                <w:rFonts w:hint="eastAsia" w:ascii="宋体" w:hAnsi="宋体" w:cs="宋体"/>
                <w:b/>
                <w:color w:val="auto"/>
                <w:highlight w:val="none"/>
              </w:rPr>
            </w:pPr>
            <w:r>
              <w:rPr>
                <w:rFonts w:hint="eastAsia" w:ascii="宋体" w:hAnsi="宋体" w:cs="宋体"/>
                <w:b/>
                <w:color w:val="auto"/>
                <w:highlight w:val="none"/>
              </w:rPr>
              <w:t>分包</w:t>
            </w:r>
          </w:p>
        </w:tc>
        <w:tc>
          <w:tcPr>
            <w:tcW w:w="6095" w:type="dxa"/>
            <w:vAlign w:val="center"/>
          </w:tcPr>
          <w:p w14:paraId="48885410">
            <w:pPr>
              <w:snapToGrid w:val="0"/>
              <w:rPr>
                <w:rFonts w:hint="eastAsia" w:ascii="宋体" w:hAnsi="宋体" w:cs="宋体"/>
                <w:color w:val="auto"/>
                <w:highlight w:val="none"/>
              </w:rPr>
            </w:pPr>
            <w:r>
              <w:rPr>
                <w:rFonts w:hint="eastAsia" w:ascii="宋体" w:hAnsi="宋体" w:cs="宋体"/>
                <w:color w:val="auto"/>
                <w:kern w:val="0"/>
                <w:highlight w:val="none"/>
              </w:rPr>
              <w:sym w:font="Wingdings" w:char="00A8"/>
            </w:r>
            <w:r>
              <w:rPr>
                <w:rFonts w:hint="eastAsia" w:ascii="宋体" w:hAnsi="宋体" w:cs="宋体"/>
                <w:color w:val="auto"/>
                <w:kern w:val="0"/>
                <w:highlight w:val="none"/>
              </w:rPr>
              <w:t xml:space="preserve"> A</w:t>
            </w:r>
            <w:r>
              <w:rPr>
                <w:rFonts w:hint="eastAsia" w:ascii="宋体" w:hAnsi="宋体" w:cs="宋体"/>
                <w:color w:val="auto"/>
                <w:highlight w:val="none"/>
              </w:rPr>
              <w:t>同意将非主体、非关键性的</w:t>
            </w:r>
            <w:r>
              <w:rPr>
                <w:rFonts w:hint="eastAsia" w:ascii="宋体" w:hAnsi="宋体" w:cs="宋体"/>
                <w:color w:val="auto"/>
                <w:highlight w:val="none"/>
                <w:u w:val="single"/>
              </w:rPr>
              <w:t xml:space="preserve">             </w:t>
            </w:r>
            <w:r>
              <w:rPr>
                <w:rFonts w:hint="eastAsia" w:ascii="宋体" w:hAnsi="宋体" w:cs="宋体"/>
                <w:color w:val="auto"/>
                <w:highlight w:val="none"/>
              </w:rPr>
              <w:t>工作分包。</w:t>
            </w:r>
          </w:p>
          <w:p w14:paraId="310DCA9F">
            <w:pPr>
              <w:snapToGrid w:val="0"/>
              <w:rPr>
                <w:rFonts w:hint="eastAsia" w:ascii="宋体" w:hAnsi="宋体" w:cs="宋体"/>
                <w:color w:val="auto"/>
                <w:kern w:val="0"/>
                <w:highlight w:val="none"/>
              </w:rPr>
            </w:pPr>
            <w:r>
              <w:rPr>
                <w:rFonts w:hint="eastAsia" w:ascii="宋体" w:hAnsi="宋体" w:cs="宋体"/>
                <w:color w:val="auto"/>
                <w:kern w:val="0"/>
                <w:highlight w:val="none"/>
              </w:rPr>
              <w:sym w:font="Wingdings" w:char="F0FE"/>
            </w:r>
            <w:r>
              <w:rPr>
                <w:rFonts w:hint="eastAsia" w:ascii="宋体" w:hAnsi="宋体" w:cs="宋体"/>
                <w:color w:val="auto"/>
                <w:kern w:val="0"/>
                <w:highlight w:val="none"/>
              </w:rPr>
              <w:t>B</w:t>
            </w:r>
            <w:r>
              <w:rPr>
                <w:rFonts w:hint="eastAsia" w:ascii="宋体" w:hAnsi="宋体" w:cs="宋体"/>
                <w:color w:val="auto"/>
                <w:highlight w:val="none"/>
              </w:rPr>
              <w:t>不同意分包。</w:t>
            </w:r>
          </w:p>
        </w:tc>
      </w:tr>
      <w:tr w14:paraId="03E5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atLeast"/>
          <w:jc w:val="center"/>
        </w:trPr>
        <w:tc>
          <w:tcPr>
            <w:tcW w:w="629" w:type="dxa"/>
            <w:vAlign w:val="center"/>
          </w:tcPr>
          <w:p w14:paraId="4F42EDD3">
            <w:pPr>
              <w:snapToGrid w:val="0"/>
              <w:jc w:val="center"/>
              <w:rPr>
                <w:rFonts w:hint="eastAsia" w:ascii="宋体" w:hAnsi="宋体" w:cs="宋体"/>
                <w:bCs/>
                <w:color w:val="auto"/>
                <w:highlight w:val="none"/>
              </w:rPr>
            </w:pPr>
            <w:r>
              <w:rPr>
                <w:rFonts w:hint="eastAsia" w:ascii="宋体" w:hAnsi="宋体" w:cs="宋体"/>
                <w:color w:val="auto"/>
                <w:highlight w:val="none"/>
              </w:rPr>
              <w:t>4</w:t>
            </w:r>
          </w:p>
        </w:tc>
        <w:tc>
          <w:tcPr>
            <w:tcW w:w="1843" w:type="dxa"/>
            <w:vAlign w:val="center"/>
          </w:tcPr>
          <w:p w14:paraId="55AAA8DE">
            <w:pPr>
              <w:snapToGrid w:val="0"/>
              <w:jc w:val="center"/>
              <w:rPr>
                <w:rFonts w:hint="eastAsia" w:ascii="宋体" w:hAnsi="宋体" w:cs="宋体"/>
                <w:b/>
                <w:bCs/>
                <w:color w:val="auto"/>
                <w:highlight w:val="none"/>
              </w:rPr>
            </w:pPr>
            <w:r>
              <w:rPr>
                <w:rFonts w:hint="eastAsia" w:ascii="宋体" w:hAnsi="宋体" w:cs="宋体"/>
                <w:b/>
                <w:color w:val="auto"/>
                <w:highlight w:val="none"/>
              </w:rPr>
              <w:t>开标前答疑会或现场考察</w:t>
            </w:r>
          </w:p>
        </w:tc>
        <w:tc>
          <w:tcPr>
            <w:tcW w:w="6095" w:type="dxa"/>
            <w:vAlign w:val="center"/>
          </w:tcPr>
          <w:p w14:paraId="0F1D3819">
            <w:pPr>
              <w:rPr>
                <w:rFonts w:hint="eastAsia" w:ascii="宋体" w:hAnsi="宋体" w:cs="宋体"/>
                <w:color w:val="auto"/>
                <w:highlight w:val="none"/>
              </w:rPr>
            </w:pPr>
            <w:r>
              <w:rPr>
                <w:rFonts w:hint="eastAsia" w:ascii="宋体" w:hAnsi="宋体" w:cs="宋体"/>
                <w:color w:val="auto"/>
                <w:kern w:val="0"/>
                <w:highlight w:val="none"/>
              </w:rPr>
              <w:t>☐A</w:t>
            </w:r>
            <w:r>
              <w:rPr>
                <w:rFonts w:hint="eastAsia" w:ascii="宋体" w:hAnsi="宋体" w:cs="宋体"/>
                <w:color w:val="auto"/>
                <w:highlight w:val="none"/>
              </w:rPr>
              <w:t>不组织。</w:t>
            </w:r>
          </w:p>
          <w:p w14:paraId="6EFDDCB0">
            <w:pPr>
              <w:snapToGrid w:val="0"/>
              <w:rPr>
                <w:rFonts w:hint="eastAsia" w:ascii="宋体" w:hAnsi="宋体" w:cs="宋体"/>
                <w:color w:val="auto"/>
                <w:highlight w:val="none"/>
              </w:rPr>
            </w:pPr>
            <w:r>
              <w:rPr>
                <w:rFonts w:hint="eastAsia" w:ascii="宋体" w:hAnsi="宋体" w:cs="宋体"/>
                <w:color w:val="auto"/>
                <w:kern w:val="0"/>
                <w:highlight w:val="none"/>
              </w:rPr>
              <w:t>☐B组织，</w:t>
            </w:r>
            <w:r>
              <w:rPr>
                <w:rFonts w:hint="eastAsia" w:ascii="宋体" w:hAnsi="宋体" w:cs="宋体"/>
                <w:color w:val="auto"/>
                <w:highlight w:val="none"/>
              </w:rPr>
              <w:t>时间：/,地点：/，联系人：/，联系方式：/。</w:t>
            </w:r>
          </w:p>
          <w:p w14:paraId="1C084254">
            <w:pPr>
              <w:snapToGrid w:val="0"/>
              <w:rPr>
                <w:rFonts w:hint="eastAsia" w:ascii="宋体" w:hAnsi="宋体" w:cs="宋体"/>
                <w:color w:val="auto"/>
                <w:highlight w:val="none"/>
              </w:rPr>
            </w:pPr>
            <w:r>
              <w:rPr>
                <w:rFonts w:hint="eastAsia" w:ascii="宋体" w:hAnsi="宋体" w:cs="宋体"/>
                <w:color w:val="auto"/>
                <w:kern w:val="0"/>
                <w:highlight w:val="none"/>
              </w:rPr>
              <w:sym w:font="Wingdings" w:char="F0FE"/>
            </w:r>
            <w:r>
              <w:rPr>
                <w:rFonts w:hint="eastAsia" w:ascii="宋体" w:hAnsi="宋体" w:cs="宋体"/>
                <w:color w:val="auto"/>
                <w:highlight w:val="none"/>
              </w:rPr>
              <w:t>C不统一组织，供应商在获取采购文件后，自行至项目现场考察。地点：浙江省杭州市拱墅区半山路133号，联系人：陈先生，联系方式：15067100950。</w:t>
            </w:r>
          </w:p>
        </w:tc>
      </w:tr>
      <w:tr w14:paraId="4FD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16" w:hRule="atLeast"/>
          <w:jc w:val="center"/>
        </w:trPr>
        <w:tc>
          <w:tcPr>
            <w:tcW w:w="629" w:type="dxa"/>
            <w:vAlign w:val="center"/>
          </w:tcPr>
          <w:p w14:paraId="0D62B977">
            <w:pPr>
              <w:snapToGrid w:val="0"/>
              <w:jc w:val="center"/>
              <w:rPr>
                <w:rFonts w:hint="eastAsia" w:ascii="宋体" w:hAnsi="宋体" w:cs="宋体"/>
                <w:bCs/>
                <w:color w:val="auto"/>
                <w:highlight w:val="none"/>
              </w:rPr>
            </w:pPr>
            <w:r>
              <w:rPr>
                <w:rFonts w:hint="eastAsia" w:ascii="宋体" w:hAnsi="宋体" w:cs="宋体"/>
                <w:color w:val="auto"/>
                <w:highlight w:val="none"/>
              </w:rPr>
              <w:t>5</w:t>
            </w:r>
          </w:p>
        </w:tc>
        <w:tc>
          <w:tcPr>
            <w:tcW w:w="1843" w:type="dxa"/>
            <w:vAlign w:val="center"/>
          </w:tcPr>
          <w:p w14:paraId="1F71CDBE">
            <w:pPr>
              <w:jc w:val="center"/>
              <w:rPr>
                <w:rFonts w:hint="eastAsia" w:ascii="宋体" w:hAnsi="宋体" w:cs="宋体"/>
                <w:b/>
                <w:bCs/>
                <w:color w:val="auto"/>
                <w:highlight w:val="none"/>
                <w:lang w:bidi="ar"/>
              </w:rPr>
            </w:pPr>
            <w:r>
              <w:rPr>
                <w:rFonts w:hint="eastAsia" w:ascii="宋体" w:hAnsi="宋体" w:cs="宋体"/>
                <w:b/>
                <w:color w:val="auto"/>
                <w:highlight w:val="none"/>
              </w:rPr>
              <w:t>样品提供</w:t>
            </w:r>
          </w:p>
        </w:tc>
        <w:tc>
          <w:tcPr>
            <w:tcW w:w="6095" w:type="dxa"/>
            <w:vAlign w:val="center"/>
          </w:tcPr>
          <w:p w14:paraId="6BEEBEBF">
            <w:pPr>
              <w:rPr>
                <w:rFonts w:hint="eastAsia" w:ascii="宋体" w:hAnsi="宋体" w:cs="宋体"/>
                <w:color w:val="auto"/>
                <w:highlight w:val="none"/>
              </w:rPr>
            </w:pPr>
            <w:r>
              <w:rPr>
                <w:rFonts w:hint="eastAsia" w:ascii="宋体" w:hAnsi="宋体" w:cs="宋体"/>
                <w:color w:val="auto"/>
                <w:kern w:val="0"/>
                <w:highlight w:val="none"/>
              </w:rPr>
              <w:sym w:font="Wingdings" w:char="F0FE"/>
            </w:r>
            <w:r>
              <w:rPr>
                <w:rFonts w:hint="eastAsia" w:ascii="宋体" w:hAnsi="宋体" w:cs="宋体"/>
                <w:color w:val="auto"/>
                <w:kern w:val="0"/>
                <w:highlight w:val="none"/>
              </w:rPr>
              <w:t>A</w:t>
            </w:r>
            <w:r>
              <w:rPr>
                <w:rFonts w:hint="eastAsia" w:ascii="宋体" w:hAnsi="宋体" w:cs="宋体"/>
                <w:color w:val="auto"/>
                <w:highlight w:val="none"/>
              </w:rPr>
              <w:t>不要求提供。</w:t>
            </w:r>
          </w:p>
          <w:p w14:paraId="4118A597">
            <w:pPr>
              <w:rPr>
                <w:rFonts w:hint="eastAsia" w:ascii="宋体" w:hAnsi="宋体" w:cs="宋体"/>
                <w:color w:val="auto"/>
                <w:kern w:val="0"/>
                <w:highlight w:val="none"/>
              </w:rPr>
            </w:pPr>
            <w:r>
              <w:rPr>
                <w:rFonts w:hint="eastAsia" w:ascii="宋体" w:hAnsi="宋体" w:cs="宋体"/>
                <w:color w:val="auto"/>
                <w:kern w:val="0"/>
                <w:highlight w:val="none"/>
              </w:rPr>
              <w:t>☐B要求提供，</w:t>
            </w:r>
          </w:p>
          <w:p w14:paraId="6995639A">
            <w:pPr>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snapToGrid w:val="0"/>
                <w:color w:val="auto"/>
                <w:kern w:val="28"/>
                <w:highlight w:val="none"/>
              </w:rPr>
              <w:t>样品：/</w:t>
            </w:r>
            <w:r>
              <w:rPr>
                <w:rFonts w:hint="eastAsia" w:ascii="宋体" w:hAnsi="宋体" w:cs="宋体"/>
                <w:color w:val="auto"/>
                <w:kern w:val="0"/>
                <w:highlight w:val="none"/>
              </w:rPr>
              <w:t>；</w:t>
            </w:r>
          </w:p>
          <w:p w14:paraId="231AEB4E">
            <w:pPr>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snapToGrid w:val="0"/>
                <w:color w:val="auto"/>
                <w:kern w:val="28"/>
                <w:highlight w:val="none"/>
              </w:rPr>
              <w:t>样品制作的标准和要求：/</w:t>
            </w:r>
            <w:r>
              <w:rPr>
                <w:rFonts w:hint="eastAsia" w:ascii="宋体" w:hAnsi="宋体" w:cs="宋体"/>
                <w:color w:val="auto"/>
                <w:kern w:val="0"/>
                <w:highlight w:val="none"/>
              </w:rPr>
              <w:t>；</w:t>
            </w:r>
          </w:p>
          <w:p w14:paraId="5AC1D970">
            <w:pPr>
              <w:rPr>
                <w:rFonts w:hint="eastAsia" w:ascii="宋体" w:hAnsi="宋体" w:cs="宋体"/>
                <w:color w:val="auto"/>
                <w:kern w:val="0"/>
                <w:highlight w:val="none"/>
              </w:rPr>
            </w:pPr>
            <w:r>
              <w:rPr>
                <w:rFonts w:hint="eastAsia" w:ascii="宋体" w:hAnsi="宋体" w:cs="宋体"/>
                <w:color w:val="auto"/>
                <w:kern w:val="0"/>
                <w:highlight w:val="none"/>
              </w:rPr>
              <w:t>（3）样品的评审方法以及评审标准</w:t>
            </w:r>
            <w:r>
              <w:rPr>
                <w:rFonts w:hint="eastAsia" w:ascii="宋体" w:hAnsi="宋体" w:cs="宋体"/>
                <w:snapToGrid w:val="0"/>
                <w:color w:val="auto"/>
                <w:kern w:val="28"/>
                <w:highlight w:val="none"/>
              </w:rPr>
              <w:t>：详见</w:t>
            </w:r>
            <w:r>
              <w:rPr>
                <w:rFonts w:hint="eastAsia" w:ascii="宋体" w:hAnsi="宋体" w:cs="宋体"/>
                <w:color w:val="auto"/>
                <w:highlight w:val="none"/>
                <w:u w:val="single"/>
              </w:rPr>
              <w:t>评标办法</w:t>
            </w:r>
            <w:r>
              <w:rPr>
                <w:rFonts w:hint="eastAsia" w:ascii="宋体" w:hAnsi="宋体" w:cs="宋体"/>
                <w:color w:val="auto"/>
                <w:kern w:val="0"/>
                <w:highlight w:val="none"/>
              </w:rPr>
              <w:t>；</w:t>
            </w:r>
          </w:p>
          <w:p w14:paraId="59BF902D">
            <w:pPr>
              <w:rPr>
                <w:rFonts w:hint="eastAsia" w:ascii="宋体" w:hAnsi="宋体" w:cs="宋体"/>
                <w:color w:val="auto"/>
                <w:kern w:val="0"/>
                <w:highlight w:val="none"/>
              </w:rPr>
            </w:pPr>
            <w:r>
              <w:rPr>
                <w:rFonts w:hint="eastAsia" w:ascii="宋体" w:hAnsi="宋体" w:cs="宋体"/>
                <w:color w:val="auto"/>
                <w:kern w:val="0"/>
                <w:highlight w:val="none"/>
              </w:rPr>
              <w:t>（4）是否需要随样品提交检测报告：</w:t>
            </w:r>
            <w:r>
              <w:rPr>
                <w:rFonts w:hint="eastAsia" w:ascii="宋体" w:hAnsi="宋体" w:cs="宋体"/>
                <w:color w:val="auto"/>
                <w:kern w:val="0"/>
                <w:highlight w:val="none"/>
              </w:rPr>
              <w:sym w:font="Wingdings" w:char="F0FE"/>
            </w:r>
            <w:r>
              <w:rPr>
                <w:rFonts w:hint="eastAsia" w:ascii="宋体" w:hAnsi="宋体" w:cs="宋体"/>
                <w:color w:val="auto"/>
                <w:kern w:val="0"/>
                <w:highlight w:val="none"/>
              </w:rPr>
              <w:t>否；☐是，检测机构的要求</w:t>
            </w:r>
            <w:r>
              <w:rPr>
                <w:rFonts w:hint="eastAsia" w:ascii="宋体" w:hAnsi="宋体" w:cs="宋体"/>
                <w:color w:val="auto"/>
                <w:highlight w:val="none"/>
              </w:rPr>
              <w:t>：/</w:t>
            </w:r>
            <w:r>
              <w:rPr>
                <w:rFonts w:hint="eastAsia" w:ascii="宋体" w:hAnsi="宋体" w:cs="宋体"/>
                <w:color w:val="auto"/>
                <w:kern w:val="0"/>
                <w:highlight w:val="none"/>
              </w:rPr>
              <w:t>；检测内容</w:t>
            </w:r>
            <w:r>
              <w:rPr>
                <w:rFonts w:hint="eastAsia" w:ascii="宋体" w:hAnsi="宋体" w:cs="宋体"/>
                <w:color w:val="auto"/>
                <w:highlight w:val="none"/>
              </w:rPr>
              <w:t>：/</w:t>
            </w:r>
            <w:r>
              <w:rPr>
                <w:rFonts w:hint="eastAsia" w:ascii="宋体" w:hAnsi="宋体" w:cs="宋体"/>
                <w:color w:val="auto"/>
                <w:kern w:val="0"/>
                <w:highlight w:val="none"/>
              </w:rPr>
              <w:t>。</w:t>
            </w:r>
          </w:p>
          <w:p w14:paraId="250AFD2B">
            <w:pPr>
              <w:rPr>
                <w:rFonts w:hint="eastAsia" w:ascii="宋体" w:hAnsi="宋体" w:cs="宋体"/>
                <w:color w:val="auto"/>
                <w:highlight w:val="none"/>
              </w:rPr>
            </w:pPr>
            <w:r>
              <w:rPr>
                <w:rFonts w:hint="eastAsia" w:ascii="宋体" w:hAnsi="宋体" w:cs="宋体"/>
                <w:color w:val="auto"/>
                <w:highlight w:val="none"/>
              </w:rPr>
              <w:t>（5）提供样品的时间：/</w:t>
            </w:r>
            <w:r>
              <w:rPr>
                <w:rFonts w:hint="eastAsia" w:ascii="宋体" w:hAnsi="宋体" w:cs="宋体"/>
                <w:color w:val="auto"/>
                <w:kern w:val="0"/>
                <w:highlight w:val="none"/>
              </w:rPr>
              <w:t>；地点：/；联系人</w:t>
            </w:r>
            <w:r>
              <w:rPr>
                <w:rFonts w:hint="eastAsia" w:ascii="宋体" w:hAnsi="宋体" w:cs="宋体"/>
                <w:color w:val="auto"/>
                <w:highlight w:val="none"/>
              </w:rPr>
              <w:t>：/，</w:t>
            </w:r>
            <w:r>
              <w:rPr>
                <w:rFonts w:hint="eastAsia" w:ascii="宋体" w:hAnsi="宋体" w:cs="宋体"/>
                <w:color w:val="auto"/>
                <w:kern w:val="28"/>
                <w:highlight w:val="none"/>
              </w:rPr>
              <w:t>联系电话：/</w:t>
            </w:r>
            <w:r>
              <w:rPr>
                <w:rFonts w:hint="eastAsia" w:ascii="宋体" w:hAnsi="宋体" w:cs="宋体"/>
                <w:color w:val="auto"/>
                <w:highlight w:val="none"/>
              </w:rPr>
              <w:t>。请供应商在上述时间内提供样品并按规定位置安装完毕。超过截止时间的，采购人或采购代理机构将不予接收，并将清场并封闭样品现场。</w:t>
            </w:r>
          </w:p>
          <w:p w14:paraId="319F26E6">
            <w:pPr>
              <w:rPr>
                <w:rFonts w:hint="eastAsia" w:ascii="宋体" w:hAnsi="宋体" w:cs="宋体"/>
                <w:color w:val="auto"/>
                <w:highlight w:val="none"/>
              </w:rPr>
            </w:pPr>
            <w:r>
              <w:rPr>
                <w:rFonts w:hint="eastAsia" w:ascii="宋体" w:hAnsi="宋体" w:cs="宋体"/>
                <w:color w:val="auto"/>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1A41BF2">
            <w:pPr>
              <w:rPr>
                <w:rFonts w:hint="eastAsia" w:ascii="宋体" w:hAnsi="宋体" w:cs="宋体"/>
                <w:color w:val="auto"/>
                <w:highlight w:val="none"/>
                <w:lang w:bidi="ar"/>
              </w:rPr>
            </w:pPr>
            <w:r>
              <w:rPr>
                <w:rFonts w:hint="eastAsia" w:ascii="宋体" w:hAnsi="宋体" w:cs="宋体"/>
                <w:color w:val="auto"/>
                <w:highlight w:val="none"/>
              </w:rPr>
              <w:t>（7）制作、运输、安装和保管样品所发生的一切费用由供应商自理。</w:t>
            </w:r>
          </w:p>
        </w:tc>
      </w:tr>
      <w:tr w14:paraId="44C5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5" w:hRule="atLeast"/>
          <w:jc w:val="center"/>
        </w:trPr>
        <w:tc>
          <w:tcPr>
            <w:tcW w:w="629" w:type="dxa"/>
            <w:vAlign w:val="center"/>
          </w:tcPr>
          <w:p w14:paraId="1F92BD35">
            <w:pPr>
              <w:snapToGrid w:val="0"/>
              <w:jc w:val="center"/>
              <w:rPr>
                <w:rFonts w:hint="eastAsia" w:ascii="宋体" w:hAnsi="宋体" w:cs="宋体"/>
                <w:bCs/>
                <w:color w:val="auto"/>
                <w:highlight w:val="none"/>
              </w:rPr>
            </w:pPr>
            <w:r>
              <w:rPr>
                <w:rFonts w:hint="eastAsia" w:ascii="宋体" w:hAnsi="宋体" w:cs="宋体"/>
                <w:bCs/>
                <w:color w:val="auto"/>
                <w:highlight w:val="none"/>
              </w:rPr>
              <w:t>6</w:t>
            </w:r>
          </w:p>
        </w:tc>
        <w:tc>
          <w:tcPr>
            <w:tcW w:w="1843" w:type="dxa"/>
            <w:vAlign w:val="center"/>
          </w:tcPr>
          <w:p w14:paraId="5B71573F">
            <w:pPr>
              <w:jc w:val="center"/>
              <w:rPr>
                <w:rFonts w:hint="eastAsia" w:ascii="宋体" w:hAnsi="宋体" w:cs="宋体"/>
                <w:b/>
                <w:bCs/>
                <w:color w:val="auto"/>
                <w:highlight w:val="none"/>
                <w:lang w:bidi="ar"/>
              </w:rPr>
            </w:pPr>
            <w:r>
              <w:rPr>
                <w:rFonts w:hint="eastAsia" w:ascii="宋体" w:hAnsi="宋体" w:cs="宋体"/>
                <w:b/>
                <w:color w:val="auto"/>
                <w:highlight w:val="none"/>
              </w:rPr>
              <w:t>方案讲解演示</w:t>
            </w:r>
          </w:p>
        </w:tc>
        <w:tc>
          <w:tcPr>
            <w:tcW w:w="6095" w:type="dxa"/>
            <w:vAlign w:val="center"/>
          </w:tcPr>
          <w:p w14:paraId="262CE02F">
            <w:pPr>
              <w:rPr>
                <w:rFonts w:hint="eastAsia" w:ascii="宋体" w:hAnsi="宋体" w:cs="宋体"/>
                <w:color w:val="auto"/>
                <w:highlight w:val="none"/>
              </w:rPr>
            </w:pPr>
            <w:r>
              <w:rPr>
                <w:rFonts w:hint="eastAsia" w:ascii="宋体" w:hAnsi="宋体" w:cs="宋体"/>
                <w:color w:val="auto"/>
                <w:kern w:val="0"/>
                <w:highlight w:val="none"/>
              </w:rPr>
              <w:sym w:font="Wingdings" w:char="F0FE"/>
            </w:r>
            <w:r>
              <w:rPr>
                <w:rFonts w:hint="eastAsia" w:ascii="宋体" w:hAnsi="宋体" w:cs="宋体"/>
                <w:color w:val="auto"/>
                <w:kern w:val="0"/>
                <w:highlight w:val="none"/>
              </w:rPr>
              <w:t>A</w:t>
            </w:r>
            <w:r>
              <w:rPr>
                <w:rFonts w:hint="eastAsia" w:ascii="宋体" w:hAnsi="宋体" w:cs="宋体"/>
                <w:color w:val="auto"/>
                <w:highlight w:val="none"/>
              </w:rPr>
              <w:t>不组织。</w:t>
            </w:r>
          </w:p>
          <w:p w14:paraId="22A12BD0">
            <w:pPr>
              <w:rPr>
                <w:rFonts w:hint="eastAsia" w:ascii="宋体" w:hAnsi="宋体" w:cs="宋体"/>
                <w:color w:val="auto"/>
                <w:kern w:val="0"/>
                <w:highlight w:val="none"/>
              </w:rPr>
            </w:pPr>
            <w:r>
              <w:rPr>
                <w:rFonts w:hint="eastAsia" w:ascii="宋体" w:hAnsi="宋体" w:cs="宋体"/>
                <w:color w:val="auto"/>
                <w:kern w:val="0"/>
                <w:highlight w:val="none"/>
              </w:rPr>
              <w:t>☐B组织。</w:t>
            </w:r>
          </w:p>
          <w:p w14:paraId="1C1AA202">
            <w:pPr>
              <w:snapToGrid w:val="0"/>
              <w:rPr>
                <w:rFonts w:hint="eastAsia" w:ascii="宋体" w:hAnsi="宋体" w:cs="宋体"/>
                <w:color w:val="auto"/>
                <w:highlight w:val="none"/>
                <w:lang w:bidi="ar"/>
              </w:rPr>
            </w:pPr>
            <w:r>
              <w:rPr>
                <w:rFonts w:hint="eastAsia" w:ascii="宋体" w:hAnsi="宋体" w:cs="宋体"/>
                <w:color w:val="auto"/>
                <w:highlight w:val="none"/>
                <w:lang w:bidi="ar"/>
              </w:rPr>
              <w:t>（1）在评标时安排每个供应商进行方案讲解演示。每个供应商时间不超过15分钟，讲解次序以投标文件解密时间先后次序为准，讲解演示人员不超过2人。讲解演示结束后按要求解答评标委员会提问。</w:t>
            </w:r>
          </w:p>
        </w:tc>
      </w:tr>
      <w:tr w14:paraId="2AEB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629" w:type="dxa"/>
            <w:vMerge w:val="restart"/>
            <w:vAlign w:val="center"/>
          </w:tcPr>
          <w:p w14:paraId="752B703E">
            <w:pPr>
              <w:snapToGrid w:val="0"/>
              <w:jc w:val="center"/>
              <w:rPr>
                <w:rFonts w:hint="eastAsia" w:ascii="宋体" w:hAnsi="宋体" w:cs="宋体"/>
                <w:bCs/>
                <w:color w:val="auto"/>
                <w:highlight w:val="none"/>
              </w:rPr>
            </w:pPr>
            <w:r>
              <w:rPr>
                <w:rFonts w:hint="eastAsia" w:ascii="宋体" w:hAnsi="宋体" w:cs="宋体"/>
                <w:bCs/>
                <w:color w:val="auto"/>
                <w:highlight w:val="none"/>
              </w:rPr>
              <w:t>7</w:t>
            </w:r>
          </w:p>
        </w:tc>
        <w:tc>
          <w:tcPr>
            <w:tcW w:w="1843" w:type="dxa"/>
            <w:vMerge w:val="restart"/>
            <w:vAlign w:val="center"/>
          </w:tcPr>
          <w:p w14:paraId="1E7DE320">
            <w:pPr>
              <w:jc w:val="center"/>
              <w:rPr>
                <w:rFonts w:hint="eastAsia" w:ascii="宋体" w:hAnsi="宋体" w:cs="宋体"/>
                <w:b/>
                <w:color w:val="auto"/>
                <w:highlight w:val="none"/>
              </w:rPr>
            </w:pPr>
            <w:r>
              <w:rPr>
                <w:rFonts w:hint="eastAsia" w:ascii="宋体" w:hAnsi="宋体" w:cs="宋体"/>
                <w:b/>
                <w:color w:val="auto"/>
                <w:highlight w:val="none"/>
              </w:rPr>
              <w:t>供应商应当提供的资格、资信证明文件</w:t>
            </w:r>
          </w:p>
        </w:tc>
        <w:tc>
          <w:tcPr>
            <w:tcW w:w="6095" w:type="dxa"/>
            <w:vAlign w:val="center"/>
          </w:tcPr>
          <w:p w14:paraId="5E7F0BFA">
            <w:pPr>
              <w:rPr>
                <w:rFonts w:hint="eastAsia" w:ascii="宋体" w:hAnsi="宋体" w:cs="宋体"/>
                <w:color w:val="auto"/>
                <w:highlight w:val="none"/>
              </w:rPr>
            </w:pPr>
            <w:r>
              <w:rPr>
                <w:rFonts w:hint="eastAsia" w:ascii="宋体" w:hAnsi="宋体" w:cs="宋体"/>
                <w:color w:val="auto"/>
                <w:highlight w:val="none"/>
              </w:rPr>
              <w:t>（1）资格证明文件：见招标文件第二部分11.1。</w:t>
            </w:r>
          </w:p>
          <w:p w14:paraId="4AFB6F5B">
            <w:pPr>
              <w:rPr>
                <w:rFonts w:hint="eastAsia" w:ascii="宋体" w:hAnsi="宋体" w:cs="宋体"/>
                <w:color w:val="auto"/>
                <w:kern w:val="0"/>
                <w:highlight w:val="none"/>
              </w:rPr>
            </w:pPr>
            <w:r>
              <w:rPr>
                <w:rFonts w:hint="eastAsia" w:ascii="宋体" w:hAnsi="宋体" w:cs="宋体"/>
                <w:color w:val="auto"/>
                <w:kern w:val="0"/>
                <w:highlight w:val="none"/>
                <w:lang w:val="zh-CN"/>
              </w:rPr>
              <w:t>供应商未提供有效的资格证明文件的，视为供应商不具备招标文件中规定的资格要求，投标无效。</w:t>
            </w:r>
          </w:p>
        </w:tc>
      </w:tr>
      <w:tr w14:paraId="055B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629" w:type="dxa"/>
            <w:vMerge w:val="continue"/>
            <w:vAlign w:val="center"/>
          </w:tcPr>
          <w:p w14:paraId="3165D551">
            <w:pPr>
              <w:snapToGrid w:val="0"/>
              <w:jc w:val="center"/>
              <w:rPr>
                <w:rFonts w:hint="eastAsia" w:ascii="宋体" w:hAnsi="宋体" w:cs="宋体"/>
                <w:color w:val="auto"/>
                <w:highlight w:val="none"/>
              </w:rPr>
            </w:pPr>
          </w:p>
        </w:tc>
        <w:tc>
          <w:tcPr>
            <w:tcW w:w="1843" w:type="dxa"/>
            <w:vMerge w:val="continue"/>
            <w:vAlign w:val="center"/>
          </w:tcPr>
          <w:p w14:paraId="2AB557AC">
            <w:pPr>
              <w:jc w:val="center"/>
              <w:rPr>
                <w:rFonts w:hint="eastAsia" w:ascii="宋体" w:hAnsi="宋体" w:cs="宋体"/>
                <w:b/>
                <w:color w:val="auto"/>
                <w:highlight w:val="none"/>
              </w:rPr>
            </w:pPr>
          </w:p>
        </w:tc>
        <w:tc>
          <w:tcPr>
            <w:tcW w:w="6095" w:type="dxa"/>
            <w:vAlign w:val="center"/>
          </w:tcPr>
          <w:p w14:paraId="09F133C2">
            <w:pPr>
              <w:rPr>
                <w:rFonts w:hint="eastAsia" w:ascii="宋体" w:hAnsi="宋体" w:cs="宋体"/>
                <w:color w:val="auto"/>
                <w:kern w:val="0"/>
                <w:highlight w:val="none"/>
              </w:rPr>
            </w:pPr>
            <w:r>
              <w:rPr>
                <w:rFonts w:hint="eastAsia" w:ascii="宋体" w:hAnsi="宋体" w:cs="宋体"/>
                <w:color w:val="auto"/>
                <w:highlight w:val="none"/>
              </w:rPr>
              <w:t>（2）资信证明文件：根据招标文件第四部分评标标准提供。</w:t>
            </w:r>
          </w:p>
        </w:tc>
      </w:tr>
      <w:tr w14:paraId="677F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29" w:type="dxa"/>
            <w:vAlign w:val="center"/>
          </w:tcPr>
          <w:p w14:paraId="1D2DA116">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843" w:type="dxa"/>
            <w:vAlign w:val="center"/>
          </w:tcPr>
          <w:p w14:paraId="7A8997BD">
            <w:pPr>
              <w:snapToGrid w:val="0"/>
              <w:jc w:val="center"/>
              <w:rPr>
                <w:rFonts w:hint="eastAsia" w:ascii="宋体" w:hAnsi="宋体" w:cs="宋体"/>
                <w:b/>
                <w:color w:val="auto"/>
                <w:highlight w:val="none"/>
              </w:rPr>
            </w:pPr>
            <w:r>
              <w:rPr>
                <w:rFonts w:hint="eastAsia" w:ascii="宋体" w:hAnsi="宋体" w:cs="宋体"/>
                <w:b/>
                <w:color w:val="auto"/>
                <w:highlight w:val="none"/>
              </w:rPr>
              <w:t>报价要求</w:t>
            </w:r>
          </w:p>
        </w:tc>
        <w:tc>
          <w:tcPr>
            <w:tcW w:w="6095" w:type="dxa"/>
            <w:vAlign w:val="center"/>
          </w:tcPr>
          <w:p w14:paraId="0B8F2A32">
            <w:pPr>
              <w:snapToGrid w:val="0"/>
              <w:rPr>
                <w:rFonts w:hint="eastAsia" w:ascii="宋体" w:hAnsi="宋体" w:cs="宋体"/>
                <w:b/>
                <w:color w:val="auto"/>
                <w:highlight w:val="none"/>
              </w:rPr>
            </w:pPr>
            <w:r>
              <w:rPr>
                <w:rFonts w:hint="eastAsia" w:ascii="宋体" w:hAnsi="宋体" w:cs="宋体"/>
                <w:color w:val="auto"/>
                <w:kern w:val="0"/>
                <w:highlight w:val="none"/>
                <w:lang w:val="zh-CN"/>
              </w:rPr>
              <w:t>有关本项目实施所需的所有费用（含税费）均计入报价。</w:t>
            </w:r>
          </w:p>
          <w:p w14:paraId="0E526F72">
            <w:pPr>
              <w:snapToGrid w:val="0"/>
              <w:rPr>
                <w:rFonts w:hint="eastAsia" w:ascii="宋体" w:hAnsi="宋体" w:cs="宋体"/>
                <w:b/>
                <w:color w:val="auto"/>
                <w:highlight w:val="none"/>
                <w:lang w:val="zh-CN"/>
              </w:rPr>
            </w:pPr>
            <w:r>
              <w:rPr>
                <w:rFonts w:hint="eastAsia" w:ascii="宋体" w:hAnsi="宋体" w:cs="宋体"/>
                <w:b/>
                <w:color w:val="auto"/>
                <w:highlight w:val="none"/>
              </w:rPr>
              <w:t>投标</w:t>
            </w:r>
            <w:r>
              <w:rPr>
                <w:rFonts w:hint="eastAsia" w:ascii="宋体" w:hAnsi="宋体" w:cs="宋体"/>
                <w:b/>
                <w:color w:val="auto"/>
                <w:highlight w:val="none"/>
                <w:lang w:val="zh-CN"/>
              </w:rPr>
              <w:t>文件</w:t>
            </w:r>
            <w:r>
              <w:rPr>
                <w:rFonts w:hint="eastAsia" w:ascii="宋体" w:hAnsi="宋体" w:cs="宋体"/>
                <w:b/>
                <w:color w:val="auto"/>
                <w:highlight w:val="none"/>
              </w:rPr>
              <w:t>开标一览表（报价表）是报价的唯一载体，如供应商在乐采云平台填写的报价与投标文件报价文件中开标一览表（报价表）不一致的，以投标文件中开标一览表（报价表）为准。投标</w:t>
            </w:r>
            <w:r>
              <w:rPr>
                <w:rFonts w:hint="eastAsia" w:ascii="宋体" w:hAnsi="宋体" w:cs="宋体"/>
                <w:b/>
                <w:color w:val="auto"/>
                <w:highlight w:val="none"/>
                <w:lang w:val="zh-CN"/>
              </w:rPr>
              <w:t>文件中价格全部采用人民币报价。</w:t>
            </w:r>
            <w:r>
              <w:rPr>
                <w:rFonts w:hint="eastAsia" w:ascii="宋体" w:hAnsi="宋体" w:cs="宋体"/>
                <w:b/>
                <w:color w:val="auto"/>
                <w:highlight w:val="none"/>
              </w:rPr>
              <w:t>采购</w:t>
            </w:r>
            <w:r>
              <w:rPr>
                <w:rFonts w:hint="eastAsia" w:ascii="宋体" w:hAnsi="宋体" w:cs="宋体"/>
                <w:b/>
                <w:color w:val="auto"/>
                <w:highlight w:val="none"/>
                <w:lang w:val="zh-CN"/>
              </w:rPr>
              <w:t>文件未列明，而</w:t>
            </w:r>
            <w:r>
              <w:rPr>
                <w:rFonts w:hint="eastAsia" w:ascii="宋体" w:hAnsi="宋体" w:cs="宋体"/>
                <w:b/>
                <w:color w:val="auto"/>
                <w:highlight w:val="none"/>
              </w:rPr>
              <w:t>供应商</w:t>
            </w:r>
            <w:r>
              <w:rPr>
                <w:rFonts w:hint="eastAsia" w:ascii="宋体" w:hAnsi="宋体" w:cs="宋体"/>
                <w:b/>
                <w:color w:val="auto"/>
                <w:highlight w:val="none"/>
                <w:lang w:val="zh-CN"/>
              </w:rPr>
              <w:t>认为必需的费用也需列入报价。</w:t>
            </w:r>
          </w:p>
          <w:p w14:paraId="0B8A337F">
            <w:pPr>
              <w:snapToGrid w:val="0"/>
              <w:rPr>
                <w:rFonts w:hint="eastAsia" w:ascii="宋体" w:hAnsi="宋体" w:cs="宋体"/>
                <w:b/>
                <w:color w:val="auto"/>
                <w:highlight w:val="none"/>
                <w:lang w:val="zh-CN"/>
              </w:rPr>
            </w:pPr>
            <w:r>
              <w:rPr>
                <w:rFonts w:hint="eastAsia" w:ascii="宋体" w:hAnsi="宋体" w:cs="宋体"/>
                <w:b/>
                <w:color w:val="auto"/>
                <w:highlight w:val="none"/>
              </w:rPr>
              <w:t>投标</w:t>
            </w:r>
            <w:r>
              <w:rPr>
                <w:rFonts w:hint="eastAsia" w:ascii="宋体" w:hAnsi="宋体" w:cs="宋体"/>
                <w:b/>
                <w:color w:val="auto"/>
                <w:highlight w:val="none"/>
                <w:lang w:val="zh-CN"/>
              </w:rPr>
              <w:t>报价出现下列情形的，投标无效：</w:t>
            </w:r>
          </w:p>
          <w:p w14:paraId="4FE642C3">
            <w:pPr>
              <w:snapToGrid w:val="0"/>
              <w:rPr>
                <w:rFonts w:hint="eastAsia" w:ascii="宋体" w:hAnsi="宋体" w:cs="宋体"/>
                <w:b/>
                <w:color w:val="auto"/>
                <w:highlight w:val="none"/>
                <w:lang w:val="zh-CN"/>
              </w:rPr>
            </w:pPr>
            <w:r>
              <w:rPr>
                <w:rFonts w:hint="eastAsia" w:ascii="宋体" w:hAnsi="宋体" w:cs="宋体"/>
                <w:b/>
                <w:color w:val="auto"/>
                <w:highlight w:val="none"/>
              </w:rPr>
              <w:t>投标</w:t>
            </w:r>
            <w:r>
              <w:rPr>
                <w:rFonts w:hint="eastAsia" w:ascii="宋体" w:hAnsi="宋体" w:cs="宋体"/>
                <w:b/>
                <w:color w:val="auto"/>
                <w:highlight w:val="none"/>
                <w:lang w:val="zh-CN"/>
              </w:rPr>
              <w:t>文件出现不是唯一的、有选择性投标报价的；</w:t>
            </w:r>
          </w:p>
          <w:p w14:paraId="4F9C1273">
            <w:pPr>
              <w:snapToGrid w:val="0"/>
              <w:rPr>
                <w:rFonts w:hint="eastAsia" w:ascii="宋体" w:hAnsi="宋体" w:cs="宋体"/>
                <w:b/>
                <w:color w:val="auto"/>
                <w:highlight w:val="none"/>
                <w:lang w:val="zh-CN"/>
              </w:rPr>
            </w:pPr>
            <w:r>
              <w:rPr>
                <w:rFonts w:hint="eastAsia" w:ascii="宋体" w:hAnsi="宋体" w:cs="宋体"/>
                <w:b/>
                <w:color w:val="auto"/>
                <w:highlight w:val="none"/>
              </w:rPr>
              <w:t>投标</w:t>
            </w:r>
            <w:r>
              <w:rPr>
                <w:rFonts w:hint="eastAsia" w:ascii="宋体" w:hAnsi="宋体" w:cs="宋体"/>
                <w:b/>
                <w:color w:val="auto"/>
                <w:highlight w:val="none"/>
                <w:lang w:val="zh-CN"/>
              </w:rPr>
              <w:t>报价超过</w:t>
            </w:r>
            <w:r>
              <w:rPr>
                <w:rFonts w:hint="eastAsia" w:ascii="宋体" w:hAnsi="宋体" w:cs="宋体"/>
                <w:b/>
                <w:color w:val="auto"/>
                <w:highlight w:val="none"/>
              </w:rPr>
              <w:t>采购</w:t>
            </w:r>
            <w:r>
              <w:rPr>
                <w:rFonts w:hint="eastAsia" w:ascii="宋体" w:hAnsi="宋体" w:cs="宋体"/>
                <w:b/>
                <w:color w:val="auto"/>
                <w:highlight w:val="none"/>
                <w:lang w:val="zh-CN"/>
              </w:rPr>
              <w:t>文件中规定的预算金额或者最高限价的;</w:t>
            </w:r>
          </w:p>
          <w:p w14:paraId="317C96ED">
            <w:pPr>
              <w:snapToGrid w:val="0"/>
              <w:rPr>
                <w:rFonts w:hint="eastAsia" w:ascii="宋体" w:hAnsi="宋体" w:cs="宋体"/>
                <w:b/>
                <w:color w:val="auto"/>
                <w:highlight w:val="none"/>
              </w:rPr>
            </w:pPr>
            <w:r>
              <w:rPr>
                <w:rFonts w:hint="eastAsia" w:ascii="宋体" w:hAnsi="宋体" w:cs="宋体"/>
                <w:b/>
                <w:color w:val="auto"/>
                <w:highlight w:val="none"/>
              </w:rPr>
              <w:t>报价明显低于其他通过符合性审查供应商的报价，有可能影响产品质量或者不能诚信履约的，未能按要求提供书面说明或者提交相关证明材料证明其报价合理性的;</w:t>
            </w:r>
          </w:p>
          <w:p w14:paraId="13B6D113">
            <w:pPr>
              <w:snapToGrid w:val="0"/>
              <w:rPr>
                <w:rFonts w:hint="eastAsia" w:ascii="宋体" w:hAnsi="宋体" w:cs="宋体"/>
                <w:b/>
                <w:color w:val="auto"/>
                <w:highlight w:val="none"/>
              </w:rPr>
            </w:pPr>
            <w:r>
              <w:rPr>
                <w:rFonts w:hint="eastAsia" w:ascii="宋体" w:hAnsi="宋体" w:cs="宋体"/>
                <w:b/>
                <w:color w:val="auto"/>
                <w:highlight w:val="none"/>
              </w:rPr>
              <w:t>供应商对根据修正原则修正后的报价不确认的。</w:t>
            </w:r>
          </w:p>
        </w:tc>
      </w:tr>
      <w:tr w14:paraId="525D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3" w:hRule="atLeast"/>
          <w:jc w:val="center"/>
        </w:trPr>
        <w:tc>
          <w:tcPr>
            <w:tcW w:w="629" w:type="dxa"/>
            <w:vAlign w:val="center"/>
          </w:tcPr>
          <w:p w14:paraId="22F5722B">
            <w:pPr>
              <w:snapToGrid w:val="0"/>
              <w:jc w:val="center"/>
              <w:rPr>
                <w:rFonts w:hint="eastAsia" w:ascii="宋体" w:hAnsi="宋体" w:cs="宋体"/>
                <w:color w:val="auto"/>
                <w:highlight w:val="none"/>
              </w:rPr>
            </w:pPr>
            <w:r>
              <w:rPr>
                <w:rFonts w:hint="eastAsia" w:ascii="宋体" w:hAnsi="宋体" w:cs="宋体"/>
                <w:color w:val="auto"/>
                <w:highlight w:val="none"/>
              </w:rPr>
              <w:t>9</w:t>
            </w:r>
          </w:p>
        </w:tc>
        <w:tc>
          <w:tcPr>
            <w:tcW w:w="1843" w:type="dxa"/>
            <w:vAlign w:val="center"/>
          </w:tcPr>
          <w:p w14:paraId="3D2999E3">
            <w:pPr>
              <w:snapToGrid w:val="0"/>
              <w:jc w:val="center"/>
              <w:rPr>
                <w:rFonts w:hint="eastAsia" w:ascii="宋体" w:hAnsi="宋体" w:cs="宋体"/>
                <w:b/>
                <w:color w:val="auto"/>
                <w:highlight w:val="none"/>
              </w:rPr>
            </w:pPr>
            <w:r>
              <w:rPr>
                <w:rFonts w:hint="eastAsia" w:ascii="宋体" w:hAnsi="宋体" w:cs="宋体"/>
                <w:b/>
                <w:color w:val="auto"/>
                <w:highlight w:val="none"/>
              </w:rPr>
              <w:t>备份投标文件送达地点和签收人员</w:t>
            </w:r>
          </w:p>
        </w:tc>
        <w:tc>
          <w:tcPr>
            <w:tcW w:w="6095" w:type="dxa"/>
            <w:vAlign w:val="center"/>
          </w:tcPr>
          <w:p w14:paraId="00017123">
            <w:pPr>
              <w:pStyle w:val="9"/>
              <w:rPr>
                <w:rFonts w:hint="eastAsia" w:hAnsi="宋体" w:cs="宋体"/>
                <w:b/>
                <w:color w:val="auto"/>
                <w:highlight w:val="none"/>
              </w:rPr>
            </w:pPr>
            <w:r>
              <w:rPr>
                <w:rFonts w:hint="eastAsia" w:hAnsi="宋体" w:cs="宋体"/>
                <w:color w:val="auto"/>
                <w:kern w:val="28"/>
                <w:szCs w:val="24"/>
                <w:highlight w:val="none"/>
              </w:rPr>
              <w:t>备份投标文件送达地点：</w:t>
            </w:r>
            <w:r>
              <w:rPr>
                <w:rFonts w:hint="eastAsia" w:hAnsi="宋体" w:cs="宋体"/>
                <w:color w:val="auto"/>
                <w:highlight w:val="none"/>
                <w:u w:val="single"/>
              </w:rPr>
              <w:t>杭州市拱墅区祥园路45号盘石全球数字经济产业园D座409室</w:t>
            </w:r>
            <w:r>
              <w:rPr>
                <w:rFonts w:hint="eastAsia" w:hAnsi="宋体" w:cs="宋体"/>
                <w:color w:val="auto"/>
                <w:kern w:val="28"/>
                <w:szCs w:val="24"/>
                <w:highlight w:val="none"/>
              </w:rPr>
              <w:t>；备份投标文件签收人员联系电话：</w:t>
            </w:r>
            <w:r>
              <w:rPr>
                <w:rFonts w:hint="eastAsia" w:hAnsi="宋体" w:cs="宋体"/>
                <w:color w:val="auto"/>
                <w:highlight w:val="none"/>
                <w:u w:val="single"/>
              </w:rPr>
              <w:t>魏银燕；18358557442</w:t>
            </w:r>
            <w:r>
              <w:rPr>
                <w:rFonts w:hint="eastAsia" w:hAnsi="宋体" w:cs="宋体"/>
                <w:color w:val="auto"/>
                <w:szCs w:val="24"/>
                <w:highlight w:val="none"/>
              </w:rPr>
              <w:t>。</w:t>
            </w:r>
            <w:r>
              <w:rPr>
                <w:rFonts w:hint="eastAsia" w:hAnsi="宋体" w:cs="宋体"/>
                <w:b/>
                <w:color w:val="auto"/>
                <w:szCs w:val="24"/>
                <w:highlight w:val="none"/>
              </w:rPr>
              <w:t>采购人、采购代理机构不强制或变相强制投标人提交备份投标文件。</w:t>
            </w:r>
          </w:p>
        </w:tc>
      </w:tr>
      <w:tr w14:paraId="19B1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7" w:hRule="atLeast"/>
          <w:jc w:val="center"/>
        </w:trPr>
        <w:tc>
          <w:tcPr>
            <w:tcW w:w="629" w:type="dxa"/>
            <w:vAlign w:val="center"/>
          </w:tcPr>
          <w:p w14:paraId="7850AC49">
            <w:pPr>
              <w:snapToGrid w:val="0"/>
              <w:jc w:val="center"/>
              <w:rPr>
                <w:rFonts w:hint="eastAsia" w:ascii="宋体" w:hAnsi="宋体" w:cs="宋体"/>
                <w:bCs/>
                <w:color w:val="auto"/>
                <w:highlight w:val="none"/>
              </w:rPr>
            </w:pPr>
            <w:r>
              <w:rPr>
                <w:rFonts w:hint="eastAsia" w:ascii="宋体" w:hAnsi="宋体" w:cs="宋体"/>
                <w:bCs/>
                <w:color w:val="auto"/>
                <w:highlight w:val="none"/>
              </w:rPr>
              <w:t>10</w:t>
            </w:r>
          </w:p>
        </w:tc>
        <w:tc>
          <w:tcPr>
            <w:tcW w:w="1843" w:type="dxa"/>
            <w:vAlign w:val="center"/>
          </w:tcPr>
          <w:p w14:paraId="49EE641B">
            <w:pPr>
              <w:snapToGrid w:val="0"/>
              <w:jc w:val="center"/>
              <w:rPr>
                <w:rFonts w:hint="eastAsia" w:ascii="宋体" w:hAnsi="宋体" w:cs="宋体"/>
                <w:b/>
                <w:color w:val="auto"/>
                <w:highlight w:val="none"/>
              </w:rPr>
            </w:pPr>
            <w:r>
              <w:rPr>
                <w:rFonts w:hint="eastAsia" w:ascii="宋体" w:hAnsi="宋体" w:cs="宋体"/>
                <w:b/>
                <w:color w:val="auto"/>
                <w:highlight w:val="none"/>
                <w:lang w:val="en"/>
              </w:rPr>
              <w:t>中标候选人数量</w:t>
            </w:r>
          </w:p>
        </w:tc>
        <w:tc>
          <w:tcPr>
            <w:tcW w:w="6095" w:type="dxa"/>
            <w:vAlign w:val="center"/>
          </w:tcPr>
          <w:p w14:paraId="598335C0">
            <w:pPr>
              <w:rPr>
                <w:rFonts w:hint="eastAsia" w:ascii="宋体" w:hAnsi="宋体" w:cs="宋体"/>
                <w:b/>
                <w:color w:val="auto"/>
                <w:highlight w:val="none"/>
              </w:rPr>
            </w:pPr>
            <w:r>
              <w:rPr>
                <w:rFonts w:hint="eastAsia" w:ascii="宋体" w:hAnsi="宋体" w:cs="宋体"/>
                <w:snapToGrid w:val="0"/>
                <w:color w:val="auto"/>
                <w:kern w:val="0"/>
                <w:highlight w:val="none"/>
                <w:lang w:val="en"/>
              </w:rPr>
              <w:t>本项目推荐的中标候选人数量：</w:t>
            </w:r>
            <w:r>
              <w:rPr>
                <w:rFonts w:hint="eastAsia" w:ascii="宋体" w:hAnsi="宋体" w:cs="宋体"/>
                <w:snapToGrid w:val="0"/>
                <w:color w:val="auto"/>
                <w:kern w:val="0"/>
                <w:highlight w:val="none"/>
                <w:u w:val="single"/>
              </w:rPr>
              <w:t xml:space="preserve">   1家    </w:t>
            </w:r>
            <w:r>
              <w:rPr>
                <w:rFonts w:hint="eastAsia" w:ascii="宋体" w:hAnsi="宋体" w:cs="宋体"/>
                <w:snapToGrid w:val="0"/>
                <w:color w:val="auto"/>
                <w:kern w:val="0"/>
                <w:highlight w:val="none"/>
              </w:rPr>
              <w:t xml:space="preserve"> </w:t>
            </w:r>
            <w:r>
              <w:rPr>
                <w:rFonts w:hint="eastAsia" w:ascii="宋体" w:hAnsi="宋体" w:cs="宋体"/>
                <w:snapToGrid w:val="0"/>
                <w:color w:val="auto"/>
                <w:kern w:val="0"/>
                <w:highlight w:val="none"/>
                <w:lang w:val="en"/>
              </w:rPr>
              <w:t>。</w:t>
            </w:r>
          </w:p>
        </w:tc>
      </w:tr>
      <w:tr w14:paraId="3A3C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60" w:hRule="atLeast"/>
          <w:jc w:val="center"/>
        </w:trPr>
        <w:tc>
          <w:tcPr>
            <w:tcW w:w="629" w:type="dxa"/>
            <w:vMerge w:val="restart"/>
            <w:vAlign w:val="center"/>
          </w:tcPr>
          <w:p w14:paraId="59F8DBE5">
            <w:pPr>
              <w:snapToGrid w:val="0"/>
              <w:jc w:val="center"/>
              <w:rPr>
                <w:rFonts w:hint="eastAsia" w:ascii="宋体" w:hAnsi="宋体" w:cs="宋体"/>
                <w:bCs/>
                <w:color w:val="auto"/>
                <w:highlight w:val="none"/>
              </w:rPr>
            </w:pPr>
            <w:r>
              <w:rPr>
                <w:rFonts w:hint="eastAsia" w:ascii="宋体" w:hAnsi="宋体" w:cs="宋体"/>
                <w:bCs/>
                <w:color w:val="auto"/>
                <w:highlight w:val="none"/>
              </w:rPr>
              <w:t>11</w:t>
            </w:r>
          </w:p>
        </w:tc>
        <w:tc>
          <w:tcPr>
            <w:tcW w:w="1843" w:type="dxa"/>
            <w:vMerge w:val="restart"/>
            <w:vAlign w:val="center"/>
          </w:tcPr>
          <w:p w14:paraId="3B18C14D">
            <w:pPr>
              <w:snapToGrid w:val="0"/>
              <w:jc w:val="center"/>
              <w:rPr>
                <w:rFonts w:hint="eastAsia" w:ascii="宋体" w:hAnsi="宋体" w:cs="宋体"/>
                <w:b/>
                <w:bCs/>
                <w:color w:val="auto"/>
                <w:highlight w:val="none"/>
              </w:rPr>
            </w:pPr>
            <w:r>
              <w:rPr>
                <w:rFonts w:hint="eastAsia" w:ascii="宋体" w:hAnsi="宋体" w:cs="宋体"/>
                <w:b/>
                <w:color w:val="auto"/>
                <w:highlight w:val="none"/>
              </w:rPr>
              <w:t>特别说明</w:t>
            </w:r>
          </w:p>
        </w:tc>
        <w:tc>
          <w:tcPr>
            <w:tcW w:w="6095" w:type="dxa"/>
            <w:vAlign w:val="center"/>
          </w:tcPr>
          <w:p w14:paraId="3FBC6A09">
            <w:pPr>
              <w:rPr>
                <w:rFonts w:hint="eastAsia" w:ascii="宋体" w:hAnsi="宋体" w:cs="宋体"/>
                <w:snapToGrid w:val="0"/>
                <w:color w:val="auto"/>
                <w:kern w:val="0"/>
                <w:highlight w:val="none"/>
              </w:rPr>
            </w:pPr>
            <w:r>
              <w:rPr>
                <w:rFonts w:hint="eastAsia" w:ascii="宋体" w:hAnsi="宋体" w:cs="宋体"/>
                <w:snapToGrid w:val="0"/>
                <w:color w:val="auto"/>
                <w:kern w:val="28"/>
                <w:highlight w:val="none"/>
              </w:rPr>
              <w:t>联合体投标的，联合体各方分别提供与联合体协议中规定的分工内容相应的业绩证明材料，业绩数量以提供材料较少的一方为准。</w:t>
            </w:r>
          </w:p>
        </w:tc>
      </w:tr>
      <w:tr w14:paraId="1150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0" w:hRule="atLeast"/>
          <w:jc w:val="center"/>
        </w:trPr>
        <w:tc>
          <w:tcPr>
            <w:tcW w:w="629" w:type="dxa"/>
            <w:vMerge w:val="continue"/>
            <w:vAlign w:val="center"/>
          </w:tcPr>
          <w:p w14:paraId="4381816D">
            <w:pPr>
              <w:snapToGrid w:val="0"/>
              <w:jc w:val="center"/>
              <w:rPr>
                <w:rFonts w:hint="eastAsia" w:ascii="宋体" w:hAnsi="宋体" w:cs="宋体"/>
                <w:bCs/>
                <w:color w:val="auto"/>
                <w:highlight w:val="none"/>
              </w:rPr>
            </w:pPr>
          </w:p>
        </w:tc>
        <w:tc>
          <w:tcPr>
            <w:tcW w:w="1843" w:type="dxa"/>
            <w:vMerge w:val="continue"/>
            <w:vAlign w:val="center"/>
          </w:tcPr>
          <w:p w14:paraId="5A4F0205">
            <w:pPr>
              <w:snapToGrid w:val="0"/>
              <w:jc w:val="center"/>
              <w:rPr>
                <w:rFonts w:hint="eastAsia" w:ascii="宋体" w:hAnsi="宋体" w:cs="宋体"/>
                <w:b/>
                <w:bCs/>
                <w:color w:val="auto"/>
                <w:highlight w:val="none"/>
              </w:rPr>
            </w:pPr>
          </w:p>
        </w:tc>
        <w:tc>
          <w:tcPr>
            <w:tcW w:w="6095" w:type="dxa"/>
            <w:vAlign w:val="center"/>
          </w:tcPr>
          <w:p w14:paraId="240D6856">
            <w:pPr>
              <w:rPr>
                <w:rFonts w:hint="eastAsia" w:ascii="宋体" w:hAnsi="宋体" w:cs="宋体"/>
                <w:snapToGrid w:val="0"/>
                <w:color w:val="auto"/>
                <w:kern w:val="28"/>
                <w:highlight w:val="none"/>
              </w:rPr>
            </w:pPr>
            <w:r>
              <w:rPr>
                <w:rFonts w:hint="eastAsia" w:ascii="宋体" w:hAnsi="宋体" w:cs="宋体"/>
                <w:color w:val="auto"/>
                <w:kern w:val="0"/>
                <w:highlight w:val="none"/>
              </w:rPr>
              <w:t>☐</w:t>
            </w:r>
            <w:r>
              <w:rPr>
                <w:rFonts w:hint="eastAsia" w:ascii="宋体" w:hAnsi="宋体" w:cs="宋体"/>
                <w:snapToGrid w:val="0"/>
                <w:color w:val="auto"/>
                <w:kern w:val="28"/>
                <w:highlight w:val="none"/>
              </w:rPr>
              <w:t>联合体投标的，联合体各方均需按招标文件第四部分评标标准要求提供资信证明文件，否则视为不符合相关要求。</w:t>
            </w:r>
          </w:p>
          <w:p w14:paraId="31688203">
            <w:pPr>
              <w:rPr>
                <w:rFonts w:hint="eastAsia" w:ascii="宋体" w:hAnsi="宋体" w:cs="宋体"/>
                <w:snapToGrid w:val="0"/>
                <w:color w:val="auto"/>
                <w:kern w:val="0"/>
                <w:highlight w:val="none"/>
              </w:rPr>
            </w:pPr>
            <w:r>
              <w:rPr>
                <w:rFonts w:hint="eastAsia" w:ascii="宋体" w:hAnsi="宋体" w:cs="宋体"/>
                <w:color w:val="auto"/>
                <w:kern w:val="0"/>
                <w:highlight w:val="none"/>
              </w:rPr>
              <w:sym w:font="Wingdings" w:char="F0FE"/>
            </w:r>
            <w:r>
              <w:rPr>
                <w:rFonts w:hint="eastAsia" w:ascii="宋体" w:hAnsi="宋体" w:cs="宋体"/>
                <w:snapToGrid w:val="0"/>
                <w:color w:val="auto"/>
                <w:kern w:val="28"/>
                <w:highlight w:val="none"/>
              </w:rPr>
              <w:t>联合体投标的，联合体中有一方或者联合体成员根据分工按招标文件第四部分评标标准要求提供资信证明文件的，视为符合了相关要求。</w:t>
            </w:r>
          </w:p>
        </w:tc>
      </w:tr>
      <w:tr w14:paraId="539F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0" w:hRule="atLeast"/>
          <w:jc w:val="center"/>
        </w:trPr>
        <w:tc>
          <w:tcPr>
            <w:tcW w:w="629" w:type="dxa"/>
            <w:vAlign w:val="center"/>
          </w:tcPr>
          <w:p w14:paraId="558995D8">
            <w:pPr>
              <w:snapToGrid w:val="0"/>
              <w:jc w:val="center"/>
              <w:rPr>
                <w:rFonts w:hint="eastAsia" w:ascii="宋体" w:hAnsi="宋体" w:cs="宋体"/>
                <w:bCs/>
                <w:color w:val="auto"/>
                <w:highlight w:val="none"/>
              </w:rPr>
            </w:pPr>
            <w:r>
              <w:rPr>
                <w:rFonts w:hint="eastAsia" w:ascii="宋体" w:hAnsi="宋体" w:cs="宋体"/>
                <w:bCs/>
                <w:color w:val="auto"/>
                <w:highlight w:val="none"/>
              </w:rPr>
              <w:t>12</w:t>
            </w:r>
          </w:p>
        </w:tc>
        <w:tc>
          <w:tcPr>
            <w:tcW w:w="1843" w:type="dxa"/>
            <w:vAlign w:val="center"/>
          </w:tcPr>
          <w:p w14:paraId="1A4664B3">
            <w:pPr>
              <w:jc w:val="center"/>
              <w:rPr>
                <w:rFonts w:hint="eastAsia" w:ascii="宋体" w:hAnsi="宋体" w:cs="宋体"/>
                <w:b/>
                <w:bCs/>
                <w:color w:val="auto"/>
                <w:highlight w:val="none"/>
              </w:rPr>
            </w:pPr>
            <w:r>
              <w:rPr>
                <w:rFonts w:hint="eastAsia" w:ascii="宋体" w:hAnsi="宋体" w:cs="宋体"/>
                <w:b/>
                <w:bCs/>
                <w:color w:val="auto"/>
                <w:highlight w:val="none"/>
                <w:lang w:bidi="ar"/>
              </w:rPr>
              <w:t>采购代理服务费</w:t>
            </w:r>
          </w:p>
        </w:tc>
        <w:tc>
          <w:tcPr>
            <w:tcW w:w="6095" w:type="dxa"/>
            <w:vAlign w:val="center"/>
          </w:tcPr>
          <w:p w14:paraId="0DBFDE49">
            <w:pPr>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本项目代理服务费由</w:t>
            </w:r>
            <w:r>
              <w:rPr>
                <w:rFonts w:hint="eastAsia" w:ascii="宋体" w:hAnsi="宋体" w:cs="宋体"/>
                <w:snapToGrid w:val="0"/>
                <w:color w:val="auto"/>
                <w:kern w:val="0"/>
                <w:highlight w:val="none"/>
                <w:lang w:val="en-US" w:eastAsia="zh-CN"/>
              </w:rPr>
              <w:t>采购人</w:t>
            </w:r>
            <w:r>
              <w:rPr>
                <w:rFonts w:hint="eastAsia" w:ascii="宋体" w:hAnsi="宋体" w:cs="宋体"/>
                <w:snapToGrid w:val="0"/>
                <w:color w:val="auto"/>
                <w:kern w:val="0"/>
                <w:highlight w:val="none"/>
              </w:rPr>
              <w:t>支付，代理服务费为：壹万玖仟伍佰元整。</w:t>
            </w:r>
          </w:p>
          <w:p w14:paraId="14BF50F7">
            <w:pPr>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收款人：浙江正浩招标代理有限公司；</w:t>
            </w:r>
          </w:p>
          <w:p w14:paraId="0A91E149">
            <w:pPr>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开户银行：</w:t>
            </w:r>
            <w:r>
              <w:rPr>
                <w:rFonts w:hint="eastAsia" w:ascii="宋体" w:hAnsi="宋体" w:cs="宋体"/>
                <w:color w:val="auto"/>
                <w:highlight w:val="none"/>
                <w:lang w:val="zh-CN" w:eastAsia="zh-TW"/>
              </w:rPr>
              <w:t>浙商银行杭州分行营业部</w:t>
            </w:r>
            <w:r>
              <w:rPr>
                <w:rFonts w:hint="eastAsia" w:ascii="宋体" w:hAnsi="宋体" w:cs="宋体"/>
                <w:snapToGrid w:val="0"/>
                <w:color w:val="auto"/>
                <w:kern w:val="0"/>
                <w:highlight w:val="none"/>
              </w:rPr>
              <w:t>；</w:t>
            </w:r>
          </w:p>
          <w:p w14:paraId="197C60EC">
            <w:pPr>
              <w:pStyle w:val="39"/>
              <w:snapToGrid w:val="0"/>
              <w:spacing w:before="0" w:line="240" w:lineRule="auto"/>
              <w:ind w:firstLine="0" w:firstLineChars="0"/>
              <w:rPr>
                <w:rFonts w:hint="eastAsia" w:ascii="宋体" w:hAnsi="宋体" w:cs="宋体"/>
                <w:color w:val="auto"/>
                <w:kern w:val="0"/>
                <w:szCs w:val="24"/>
                <w:highlight w:val="none"/>
              </w:rPr>
            </w:pPr>
            <w:r>
              <w:rPr>
                <w:rFonts w:hint="eastAsia" w:ascii="宋体" w:hAnsi="宋体" w:cs="宋体"/>
                <w:snapToGrid w:val="0"/>
                <w:color w:val="auto"/>
                <w:kern w:val="0"/>
                <w:szCs w:val="24"/>
                <w:highlight w:val="none"/>
              </w:rPr>
              <w:t>帐号：</w:t>
            </w:r>
            <w:r>
              <w:rPr>
                <w:rFonts w:hint="eastAsia" w:ascii="宋体" w:hAnsi="宋体" w:cs="宋体"/>
                <w:color w:val="auto"/>
                <w:highlight w:val="none"/>
                <w:lang w:val="zh-CN" w:eastAsia="zh-TW"/>
              </w:rPr>
              <w:t>3310010010120101045391</w:t>
            </w:r>
            <w:r>
              <w:rPr>
                <w:rFonts w:hint="eastAsia" w:ascii="宋体" w:hAnsi="宋体" w:cs="宋体"/>
                <w:snapToGrid w:val="0"/>
                <w:color w:val="auto"/>
                <w:kern w:val="0"/>
                <w:szCs w:val="24"/>
                <w:highlight w:val="none"/>
              </w:rPr>
              <w:t>。</w:t>
            </w:r>
          </w:p>
        </w:tc>
      </w:tr>
    </w:tbl>
    <w:p w14:paraId="17138E33">
      <w:pPr>
        <w:adjustRightInd/>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4430860">
      <w:pPr>
        <w:pStyle w:val="3"/>
        <w:jc w:val="center"/>
        <w:rPr>
          <w:rFonts w:hint="eastAsia"/>
          <w:color w:val="auto"/>
          <w:highlight w:val="none"/>
        </w:rPr>
      </w:pPr>
      <w:r>
        <w:rPr>
          <w:rFonts w:hint="eastAsia"/>
          <w:color w:val="auto"/>
          <w:highlight w:val="none"/>
        </w:rPr>
        <w:t>一、总则</w:t>
      </w:r>
    </w:p>
    <w:p w14:paraId="7AA54082">
      <w:pPr>
        <w:adjustRightInd/>
        <w:spacing w:line="360" w:lineRule="auto"/>
        <w:rPr>
          <w:rFonts w:hint="eastAsia" w:ascii="宋体" w:hAnsi="宋体" w:cs="宋体"/>
          <w:b/>
          <w:color w:val="auto"/>
          <w:highlight w:val="none"/>
        </w:rPr>
      </w:pPr>
      <w:r>
        <w:rPr>
          <w:rFonts w:hint="eastAsia" w:ascii="宋体" w:hAnsi="宋体" w:cs="宋体"/>
          <w:b/>
          <w:color w:val="auto"/>
          <w:highlight w:val="none"/>
        </w:rPr>
        <w:t xml:space="preserve">   </w:t>
      </w:r>
      <w:r>
        <w:rPr>
          <w:rFonts w:hint="eastAsia" w:ascii="宋体" w:hAnsi="宋体" w:cs="宋体"/>
          <w:b/>
          <w:bCs/>
          <w:color w:val="auto"/>
          <w:highlight w:val="none"/>
        </w:rPr>
        <w:t>1.定义</w:t>
      </w:r>
    </w:p>
    <w:p w14:paraId="30A8C22C">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1.1 “采购人”系指招标公告中载明的本项目的采购人。</w:t>
      </w:r>
    </w:p>
    <w:p w14:paraId="552DF11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1.2 “采购代理机构”系指招标公告中载明的本项目的采购代理机构。</w:t>
      </w:r>
    </w:p>
    <w:p w14:paraId="5E86064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 “供应商”系指是指投标采购、参加投标竞争的法人、其他组织。</w:t>
      </w:r>
    </w:p>
    <w:p w14:paraId="56AB70E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 “负责人”系指法人企业的法定负责人，或其他组织为法律、行政法规规定代表单位行使职权的主要负责人。</w:t>
      </w:r>
    </w:p>
    <w:p w14:paraId="0A169CE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08E9EC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1.6“电子交易平台”系指本项目采购活动所依托的乐采云平台（https://www.lecaiyun.com/）。</w:t>
      </w:r>
    </w:p>
    <w:p w14:paraId="1A6E86CC">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1.7 “▲” 系指实质性要求条款，“</w:t>
      </w:r>
      <w:sdt>
        <w:sdtPr>
          <w:rPr>
            <w:rFonts w:hint="eastAsia" w:ascii="宋体" w:hAnsi="宋体" w:cs="宋体"/>
            <w:color w:val="auto"/>
            <w:kern w:val="0"/>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ascii="Wingdings" w:hAnsi="Wingdings" w:cs="宋体"/>
              <w:color w:val="auto"/>
              <w:kern w:val="0"/>
              <w:highlight w:val="none"/>
            </w:rPr>
            <w:t></w:t>
          </w:r>
        </w:sdtContent>
      </w:sdt>
      <w:r>
        <w:rPr>
          <w:rFonts w:hint="eastAsia" w:ascii="宋体" w:hAnsi="宋体" w:cs="宋体"/>
          <w:color w:val="auto"/>
          <w:highlight w:val="none"/>
        </w:rPr>
        <w:t>” 系指适用本项目要求，“</w:t>
      </w:r>
      <w:sdt>
        <w:sdtPr>
          <w:rPr>
            <w:rFonts w:hint="eastAsia" w:ascii="宋体" w:hAnsi="宋体" w:cs="宋体"/>
            <w:color w:val="auto"/>
            <w:kern w:val="0"/>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t>☐</w:t>
          </w:r>
        </w:sdtContent>
      </w:sdt>
      <w:r>
        <w:rPr>
          <w:rFonts w:hint="eastAsia" w:ascii="宋体" w:hAnsi="宋体" w:cs="宋体"/>
          <w:color w:val="auto"/>
          <w:highlight w:val="none"/>
        </w:rPr>
        <w:t>” 系指不适用本项目的要求。</w:t>
      </w:r>
    </w:p>
    <w:p w14:paraId="1D360AAA">
      <w:pPr>
        <w:spacing w:line="360" w:lineRule="auto"/>
        <w:ind w:firstLine="241" w:firstLineChars="100"/>
        <w:rPr>
          <w:rFonts w:hint="eastAsia" w:ascii="宋体" w:hAnsi="宋体" w:cs="宋体"/>
          <w:b/>
          <w:color w:val="auto"/>
          <w:highlight w:val="none"/>
        </w:rPr>
      </w:pPr>
      <w:r>
        <w:rPr>
          <w:rFonts w:hint="eastAsia" w:ascii="宋体" w:hAnsi="宋体" w:cs="宋体"/>
          <w:b/>
          <w:color w:val="auto"/>
          <w:highlight w:val="none"/>
        </w:rPr>
        <w:t>2. 询问、质疑、投诉</w:t>
      </w:r>
    </w:p>
    <w:p w14:paraId="3D43EB55">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rPr>
        <w:t>2</w:t>
      </w:r>
      <w:r>
        <w:rPr>
          <w:rFonts w:hint="eastAsia" w:ascii="宋体" w:hAnsi="宋体" w:cs="宋体"/>
          <w:color w:val="auto"/>
          <w:kern w:val="0"/>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71A7F1F8">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rPr>
        <w:t>2</w:t>
      </w:r>
      <w:r>
        <w:rPr>
          <w:rFonts w:hint="eastAsia" w:ascii="宋体" w:hAnsi="宋体" w:cs="宋体"/>
          <w:color w:val="auto"/>
          <w:kern w:val="0"/>
          <w:highlight w:val="none"/>
          <w:lang w:val="zh-CN"/>
        </w:rPr>
        <w:t>.2供应商询问</w:t>
      </w:r>
    </w:p>
    <w:p w14:paraId="52FAABFB">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A4A3CE">
      <w:pPr>
        <w:autoSpaceDE w:val="0"/>
        <w:autoSpaceDN w:val="0"/>
        <w:spacing w:line="360" w:lineRule="auto"/>
        <w:ind w:firstLine="240" w:firstLineChars="100"/>
        <w:jc w:val="left"/>
        <w:rPr>
          <w:rFonts w:hint="eastAsia" w:ascii="宋体" w:hAnsi="宋体" w:cs="宋体"/>
          <w:color w:val="auto"/>
          <w:kern w:val="0"/>
          <w:highlight w:val="none"/>
          <w:lang w:val="zh-CN"/>
        </w:rPr>
      </w:pPr>
      <w:r>
        <w:rPr>
          <w:rFonts w:hint="eastAsia" w:ascii="宋体" w:hAnsi="宋体" w:cs="宋体"/>
          <w:color w:val="auto"/>
          <w:kern w:val="0"/>
          <w:highlight w:val="none"/>
        </w:rPr>
        <w:t>2</w:t>
      </w:r>
      <w:r>
        <w:rPr>
          <w:rFonts w:hint="eastAsia" w:ascii="宋体" w:hAnsi="宋体" w:cs="宋体"/>
          <w:color w:val="auto"/>
          <w:kern w:val="0"/>
          <w:highlight w:val="none"/>
          <w:lang w:val="zh-CN"/>
        </w:rPr>
        <w:t>.3供应商质疑</w:t>
      </w:r>
    </w:p>
    <w:p w14:paraId="482D1E0E">
      <w:pPr>
        <w:pStyle w:val="9"/>
        <w:spacing w:line="360" w:lineRule="auto"/>
        <w:ind w:firstLine="480" w:firstLineChars="200"/>
        <w:rPr>
          <w:rFonts w:hint="eastAsia" w:hAnsi="宋体" w:cs="宋体"/>
          <w:color w:val="auto"/>
          <w:highlight w:val="none"/>
        </w:rPr>
      </w:pPr>
      <w:r>
        <w:rPr>
          <w:rFonts w:hint="eastAsia" w:hAnsi="宋体" w:cs="宋体"/>
          <w:color w:val="auto"/>
          <w:kern w:val="0"/>
          <w:highlight w:val="none"/>
        </w:rPr>
        <w:t>2</w:t>
      </w:r>
      <w:r>
        <w:rPr>
          <w:rFonts w:hint="eastAsia" w:hAnsi="宋体" w:cs="宋体"/>
          <w:color w:val="auto"/>
          <w:kern w:val="0"/>
          <w:highlight w:val="none"/>
          <w:lang w:val="zh-CN"/>
        </w:rPr>
        <w:t>.3</w:t>
      </w:r>
      <w:r>
        <w:rPr>
          <w:rFonts w:hint="eastAsia" w:hAnsi="宋体" w:cs="宋体"/>
          <w:color w:val="auto"/>
          <w:highlight w:val="none"/>
        </w:rPr>
        <w:t>.1提出质疑的供应商应当是参与所质疑项目采购活动的供应商。潜在供应商已依法获取其可质疑的采购文件的，可以对该文件提出质疑。</w:t>
      </w:r>
    </w:p>
    <w:p w14:paraId="05E6E19F">
      <w:pPr>
        <w:pStyle w:val="9"/>
        <w:spacing w:line="360" w:lineRule="auto"/>
        <w:ind w:firstLine="480" w:firstLineChars="200"/>
        <w:rPr>
          <w:rFonts w:hint="eastAsia" w:hAnsi="宋体" w:cs="宋体"/>
          <w:color w:val="auto"/>
          <w:highlight w:val="none"/>
        </w:rPr>
      </w:pPr>
      <w:r>
        <w:rPr>
          <w:rFonts w:hint="eastAsia" w:hAnsi="宋体" w:cs="宋体"/>
          <w:color w:val="auto"/>
          <w:kern w:val="0"/>
          <w:highlight w:val="none"/>
        </w:rPr>
        <w:t>2</w:t>
      </w:r>
      <w:r>
        <w:rPr>
          <w:rFonts w:hint="eastAsia" w:hAnsi="宋体" w:cs="宋体"/>
          <w:color w:val="auto"/>
          <w:kern w:val="0"/>
          <w:highlight w:val="none"/>
          <w:lang w:val="zh-CN"/>
        </w:rPr>
        <w:t>.3</w:t>
      </w:r>
      <w:r>
        <w:rPr>
          <w:rFonts w:hint="eastAsia" w:hAnsi="宋体" w:cs="宋体"/>
          <w:color w:val="auto"/>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056A3EC6">
      <w:pPr>
        <w:pStyle w:val="4"/>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57F6D346">
      <w:pPr>
        <w:pStyle w:val="9"/>
        <w:spacing w:line="360" w:lineRule="auto"/>
        <w:ind w:left="547" w:leftChars="228"/>
        <w:rPr>
          <w:rFonts w:hint="eastAsia" w:hAnsi="宋体" w:cs="宋体"/>
          <w:color w:val="auto"/>
          <w:highlight w:val="none"/>
        </w:rPr>
      </w:pPr>
      <w:r>
        <w:rPr>
          <w:rFonts w:hint="eastAsia" w:hAnsi="宋体" w:cs="宋体"/>
          <w:color w:val="auto"/>
          <w:highlight w:val="none"/>
        </w:rPr>
        <w:t>2.3.2.2对采购过程提出质疑的，质疑期限为各采购程序环节结束之日起计算。</w:t>
      </w:r>
    </w:p>
    <w:p w14:paraId="3313F7C0">
      <w:pPr>
        <w:pStyle w:val="9"/>
        <w:spacing w:line="360" w:lineRule="auto"/>
        <w:ind w:left="547" w:leftChars="228"/>
        <w:rPr>
          <w:rFonts w:hint="eastAsia" w:hAnsi="宋体" w:cs="宋体"/>
          <w:color w:val="auto"/>
          <w:highlight w:val="none"/>
        </w:rPr>
      </w:pPr>
      <w:r>
        <w:rPr>
          <w:rFonts w:hint="eastAsia" w:hAnsi="宋体" w:cs="宋体"/>
          <w:color w:val="auto"/>
          <w:highlight w:val="none"/>
        </w:rPr>
        <w:t>2.3.2.3对采购结果提出质疑的，质疑期限自采购结果公告期限届满之日起计算。</w:t>
      </w:r>
    </w:p>
    <w:p w14:paraId="201459FE">
      <w:pPr>
        <w:pStyle w:val="9"/>
        <w:spacing w:line="360" w:lineRule="auto"/>
        <w:ind w:firstLine="480" w:firstLineChars="200"/>
        <w:rPr>
          <w:rFonts w:hint="eastAsia" w:hAnsi="宋体" w:cs="宋体"/>
          <w:color w:val="auto"/>
          <w:kern w:val="0"/>
          <w:highlight w:val="none"/>
          <w:lang w:val="zh-CN"/>
        </w:rPr>
      </w:pPr>
      <w:r>
        <w:rPr>
          <w:rFonts w:hint="eastAsia" w:hAnsi="宋体" w:cs="宋体"/>
          <w:color w:val="auto"/>
          <w:kern w:val="0"/>
          <w:highlight w:val="none"/>
        </w:rPr>
        <w:t>2</w:t>
      </w:r>
      <w:r>
        <w:rPr>
          <w:rFonts w:hint="eastAsia" w:hAnsi="宋体" w:cs="宋体"/>
          <w:color w:val="auto"/>
          <w:kern w:val="0"/>
          <w:highlight w:val="none"/>
          <w:lang w:val="zh-CN"/>
        </w:rPr>
        <w:t>.3.3</w:t>
      </w:r>
      <w:r>
        <w:rPr>
          <w:rFonts w:hint="eastAsia" w:hAnsi="宋体" w:cs="宋体"/>
          <w:color w:val="auto"/>
          <w:highlight w:val="none"/>
        </w:rPr>
        <w:t>供应商提出质疑应当提交质疑函和必要的证明材料。质疑函应当包括下列内容：</w:t>
      </w:r>
    </w:p>
    <w:p w14:paraId="47CD2590">
      <w:pPr>
        <w:pStyle w:val="9"/>
        <w:spacing w:line="360" w:lineRule="auto"/>
        <w:ind w:firstLine="480" w:firstLineChars="200"/>
        <w:rPr>
          <w:rFonts w:hint="eastAsia" w:hAnsi="宋体" w:cs="宋体"/>
          <w:color w:val="auto"/>
          <w:kern w:val="0"/>
          <w:highlight w:val="none"/>
          <w:lang w:val="zh-CN"/>
        </w:rPr>
      </w:pPr>
      <w:r>
        <w:rPr>
          <w:rFonts w:hint="eastAsia" w:hAnsi="宋体" w:cs="宋体"/>
          <w:color w:val="auto"/>
          <w:kern w:val="0"/>
          <w:highlight w:val="none"/>
          <w:lang w:val="zh-CN"/>
        </w:rPr>
        <w:t>　　</w:t>
      </w:r>
      <w:r>
        <w:rPr>
          <w:rFonts w:hint="eastAsia" w:hAnsi="宋体" w:cs="宋体"/>
          <w:color w:val="auto"/>
          <w:kern w:val="0"/>
          <w:highlight w:val="none"/>
        </w:rPr>
        <w:t>2</w:t>
      </w:r>
      <w:r>
        <w:rPr>
          <w:rFonts w:hint="eastAsia" w:hAnsi="宋体" w:cs="宋体"/>
          <w:color w:val="auto"/>
          <w:kern w:val="0"/>
          <w:highlight w:val="none"/>
          <w:lang w:val="zh-CN"/>
        </w:rPr>
        <w:t>.3.3.1供应商的姓名或者名称、地址、邮编、联系人及联系电话；</w:t>
      </w:r>
    </w:p>
    <w:p w14:paraId="2426D94F">
      <w:pPr>
        <w:pStyle w:val="9"/>
        <w:spacing w:line="360" w:lineRule="auto"/>
        <w:ind w:firstLine="480" w:firstLineChars="200"/>
        <w:rPr>
          <w:rFonts w:hint="eastAsia" w:hAnsi="宋体" w:cs="宋体"/>
          <w:color w:val="auto"/>
          <w:kern w:val="0"/>
          <w:highlight w:val="none"/>
          <w:lang w:val="zh-CN"/>
        </w:rPr>
      </w:pPr>
      <w:r>
        <w:rPr>
          <w:rFonts w:hint="eastAsia" w:hAnsi="宋体" w:cs="宋体"/>
          <w:color w:val="auto"/>
          <w:kern w:val="0"/>
          <w:highlight w:val="none"/>
          <w:lang w:val="zh-CN"/>
        </w:rPr>
        <w:t>　　</w:t>
      </w:r>
      <w:r>
        <w:rPr>
          <w:rFonts w:hint="eastAsia" w:hAnsi="宋体" w:cs="宋体"/>
          <w:color w:val="auto"/>
          <w:kern w:val="0"/>
          <w:highlight w:val="none"/>
        </w:rPr>
        <w:t>2</w:t>
      </w:r>
      <w:r>
        <w:rPr>
          <w:rFonts w:hint="eastAsia" w:hAnsi="宋体" w:cs="宋体"/>
          <w:color w:val="auto"/>
          <w:kern w:val="0"/>
          <w:highlight w:val="none"/>
          <w:lang w:val="zh-CN"/>
        </w:rPr>
        <w:t>.3.3.2质疑项目的名称、编号；</w:t>
      </w:r>
    </w:p>
    <w:p w14:paraId="016B76EE">
      <w:pPr>
        <w:pStyle w:val="9"/>
        <w:spacing w:line="360" w:lineRule="auto"/>
        <w:ind w:firstLine="480" w:firstLineChars="200"/>
        <w:rPr>
          <w:rFonts w:hint="eastAsia" w:hAnsi="宋体" w:cs="宋体"/>
          <w:color w:val="auto"/>
          <w:kern w:val="0"/>
          <w:highlight w:val="none"/>
          <w:lang w:val="zh-CN"/>
        </w:rPr>
      </w:pPr>
      <w:r>
        <w:rPr>
          <w:rFonts w:hint="eastAsia" w:hAnsi="宋体" w:cs="宋体"/>
          <w:color w:val="auto"/>
          <w:kern w:val="0"/>
          <w:highlight w:val="none"/>
          <w:lang w:val="zh-CN"/>
        </w:rPr>
        <w:t>　　</w:t>
      </w:r>
      <w:r>
        <w:rPr>
          <w:rFonts w:hint="eastAsia" w:hAnsi="宋体" w:cs="宋体"/>
          <w:color w:val="auto"/>
          <w:kern w:val="0"/>
          <w:highlight w:val="none"/>
        </w:rPr>
        <w:t>2</w:t>
      </w:r>
      <w:r>
        <w:rPr>
          <w:rFonts w:hint="eastAsia" w:hAnsi="宋体" w:cs="宋体"/>
          <w:color w:val="auto"/>
          <w:kern w:val="0"/>
          <w:highlight w:val="none"/>
          <w:lang w:val="zh-CN"/>
        </w:rPr>
        <w:t>.3.3.3具体、明确的质疑事项和与质疑事项相关的请求；</w:t>
      </w:r>
    </w:p>
    <w:p w14:paraId="12BE4A07">
      <w:pPr>
        <w:pStyle w:val="9"/>
        <w:spacing w:line="360" w:lineRule="auto"/>
        <w:ind w:firstLine="480" w:firstLineChars="200"/>
        <w:rPr>
          <w:rFonts w:hint="eastAsia" w:hAnsi="宋体" w:cs="宋体"/>
          <w:color w:val="auto"/>
          <w:kern w:val="0"/>
          <w:highlight w:val="none"/>
          <w:lang w:val="zh-CN"/>
        </w:rPr>
      </w:pPr>
      <w:r>
        <w:rPr>
          <w:rFonts w:hint="eastAsia" w:hAnsi="宋体" w:cs="宋体"/>
          <w:color w:val="auto"/>
          <w:kern w:val="0"/>
          <w:highlight w:val="none"/>
          <w:lang w:val="zh-CN"/>
        </w:rPr>
        <w:t>　　</w:t>
      </w:r>
      <w:r>
        <w:rPr>
          <w:rFonts w:hint="eastAsia" w:hAnsi="宋体" w:cs="宋体"/>
          <w:color w:val="auto"/>
          <w:kern w:val="0"/>
          <w:highlight w:val="none"/>
        </w:rPr>
        <w:t>2</w:t>
      </w:r>
      <w:r>
        <w:rPr>
          <w:rFonts w:hint="eastAsia" w:hAnsi="宋体" w:cs="宋体"/>
          <w:color w:val="auto"/>
          <w:kern w:val="0"/>
          <w:highlight w:val="none"/>
          <w:lang w:val="zh-CN"/>
        </w:rPr>
        <w:t>.3.3.4事实依据；</w:t>
      </w:r>
    </w:p>
    <w:p w14:paraId="292A9F8D">
      <w:pPr>
        <w:pStyle w:val="9"/>
        <w:spacing w:line="360" w:lineRule="auto"/>
        <w:ind w:firstLine="480" w:firstLineChars="200"/>
        <w:rPr>
          <w:rFonts w:hint="eastAsia" w:hAnsi="宋体" w:cs="宋体"/>
          <w:color w:val="auto"/>
          <w:kern w:val="0"/>
          <w:highlight w:val="none"/>
          <w:lang w:val="zh-CN"/>
        </w:rPr>
      </w:pPr>
      <w:r>
        <w:rPr>
          <w:rFonts w:hint="eastAsia" w:hAnsi="宋体" w:cs="宋体"/>
          <w:color w:val="auto"/>
          <w:kern w:val="0"/>
          <w:highlight w:val="none"/>
          <w:lang w:val="zh-CN"/>
        </w:rPr>
        <w:t>　　</w:t>
      </w:r>
      <w:r>
        <w:rPr>
          <w:rFonts w:hint="eastAsia" w:hAnsi="宋体" w:cs="宋体"/>
          <w:color w:val="auto"/>
          <w:kern w:val="0"/>
          <w:highlight w:val="none"/>
        </w:rPr>
        <w:t>2</w:t>
      </w:r>
      <w:r>
        <w:rPr>
          <w:rFonts w:hint="eastAsia" w:hAnsi="宋体" w:cs="宋体"/>
          <w:color w:val="auto"/>
          <w:kern w:val="0"/>
          <w:highlight w:val="none"/>
          <w:lang w:val="zh-CN"/>
        </w:rPr>
        <w:t>.3.3.5必要的法律依据；</w:t>
      </w:r>
    </w:p>
    <w:p w14:paraId="63379B41">
      <w:pPr>
        <w:pStyle w:val="9"/>
        <w:spacing w:line="360" w:lineRule="auto"/>
        <w:ind w:firstLine="960" w:firstLineChars="400"/>
        <w:rPr>
          <w:rFonts w:hint="eastAsia" w:hAnsi="宋体" w:cs="宋体"/>
          <w:color w:val="auto"/>
          <w:kern w:val="0"/>
          <w:highlight w:val="none"/>
          <w:lang w:val="zh-CN"/>
        </w:rPr>
      </w:pPr>
      <w:r>
        <w:rPr>
          <w:rFonts w:hint="eastAsia" w:hAnsi="宋体" w:cs="宋体"/>
          <w:color w:val="auto"/>
          <w:kern w:val="0"/>
          <w:highlight w:val="none"/>
        </w:rPr>
        <w:t>2</w:t>
      </w:r>
      <w:r>
        <w:rPr>
          <w:rFonts w:hint="eastAsia" w:hAnsi="宋体" w:cs="宋体"/>
          <w:color w:val="auto"/>
          <w:kern w:val="0"/>
          <w:highlight w:val="none"/>
          <w:lang w:val="zh-CN"/>
        </w:rPr>
        <w:t>.3.3.6提出质疑的日期。</w:t>
      </w:r>
    </w:p>
    <w:p w14:paraId="674C098E">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供应商提交的质疑函需一式三份。供应商为法人或者其他组织的，应当由法定代表人、主要负责人，或者其授权代表签字或者盖章，并加盖公章。</w:t>
      </w:r>
    </w:p>
    <w:p w14:paraId="6B17752F">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质疑函范本及制作说明详见附件1。</w:t>
      </w:r>
    </w:p>
    <w:p w14:paraId="7DF77BCA">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2.3.4对同一采购程序环节的质疑，供应商须在质疑期内一次性提出。</w:t>
      </w:r>
    </w:p>
    <w:p w14:paraId="1A54EDFE">
      <w:pPr>
        <w:pStyle w:val="42"/>
        <w:shd w:val="clear" w:color="auto" w:fill="FFFFFF"/>
        <w:snapToGrid w:val="0"/>
        <w:spacing w:after="240" w:afterAutospacing="0" w:line="360" w:lineRule="auto"/>
        <w:ind w:firstLine="400"/>
        <w:contextualSpacing/>
        <w:rPr>
          <w:rFonts w:hint="eastAsia"/>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73AFB9F">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3CD3CE24">
      <w:pPr>
        <w:pStyle w:val="42"/>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2</w:t>
      </w:r>
      <w:r>
        <w:rPr>
          <w:rFonts w:hint="eastAsia"/>
          <w:color w:val="auto"/>
          <w:highlight w:val="none"/>
          <w:lang w:val="zh-CN"/>
        </w:rPr>
        <w:t>.4供应商投诉</w:t>
      </w:r>
    </w:p>
    <w:p w14:paraId="24980A94">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77DA9EE3">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90E637A">
      <w:pPr>
        <w:pStyle w:val="4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2.4.3供应商投诉应当有明确的请求和必要的证明材料。</w:t>
      </w:r>
    </w:p>
    <w:p w14:paraId="580B0048">
      <w:pPr>
        <w:pStyle w:val="42"/>
        <w:shd w:val="clear" w:color="auto" w:fill="FFFFFF"/>
        <w:adjustRightInd w:val="0"/>
        <w:snapToGrid w:val="0"/>
        <w:spacing w:after="240" w:line="360" w:lineRule="auto"/>
        <w:ind w:firstLine="480" w:firstLineChars="200"/>
        <w:contextualSpacing/>
        <w:rPr>
          <w:rFonts w:hint="eastAsia" w:cs="仿宋"/>
          <w:strike/>
          <w:color w:val="auto"/>
          <w:highlight w:val="none"/>
        </w:rPr>
      </w:pPr>
      <w:r>
        <w:rPr>
          <w:rFonts w:hint="eastAsia"/>
          <w:color w:val="auto"/>
          <w:highlight w:val="none"/>
        </w:rPr>
        <w:t>2.4.4以联合体形式参加采购活动的，其投诉应当由组成联合体的所有供应商共同提出。</w:t>
      </w:r>
    </w:p>
    <w:p w14:paraId="3916B681">
      <w:pPr>
        <w:pStyle w:val="9"/>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投诉书范本及制作说明详见附件2。</w:t>
      </w:r>
    </w:p>
    <w:p w14:paraId="37643F5E">
      <w:pPr>
        <w:pStyle w:val="3"/>
        <w:ind w:left="0" w:firstLine="0"/>
        <w:jc w:val="center"/>
        <w:rPr>
          <w:rFonts w:hint="eastAsia"/>
          <w:color w:val="auto"/>
          <w:highlight w:val="none"/>
        </w:rPr>
      </w:pPr>
      <w:r>
        <w:rPr>
          <w:rFonts w:hint="eastAsia"/>
          <w:color w:val="auto"/>
          <w:highlight w:val="none"/>
        </w:rPr>
        <w:t>二、采购文件的构成、澄清、修改</w:t>
      </w:r>
    </w:p>
    <w:p w14:paraId="1BDFBE16">
      <w:pPr>
        <w:pStyle w:val="9"/>
        <w:spacing w:line="360" w:lineRule="auto"/>
        <w:rPr>
          <w:rFonts w:hint="eastAsia" w:hAnsi="宋体" w:cs="宋体"/>
          <w:b/>
          <w:color w:val="auto"/>
          <w:szCs w:val="24"/>
          <w:highlight w:val="none"/>
        </w:rPr>
      </w:pPr>
      <w:r>
        <w:rPr>
          <w:rFonts w:hint="eastAsia" w:hAnsi="宋体" w:cs="宋体"/>
          <w:b/>
          <w:color w:val="auto"/>
          <w:szCs w:val="24"/>
          <w:highlight w:val="none"/>
        </w:rPr>
        <w:t>3．采购文件的构成</w:t>
      </w:r>
    </w:p>
    <w:p w14:paraId="718C09A9">
      <w:pPr>
        <w:pStyle w:val="9"/>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3.1 采购文件包括下列文件及附件：</w:t>
      </w:r>
    </w:p>
    <w:p w14:paraId="245B9706">
      <w:pPr>
        <w:pStyle w:val="9"/>
        <w:tabs>
          <w:tab w:val="left" w:pos="840"/>
        </w:tabs>
        <w:spacing w:line="360" w:lineRule="auto"/>
        <w:ind w:firstLine="960" w:firstLineChars="400"/>
        <w:rPr>
          <w:rFonts w:hint="eastAsia" w:hAnsi="宋体" w:cs="宋体"/>
          <w:color w:val="auto"/>
          <w:szCs w:val="24"/>
          <w:highlight w:val="none"/>
        </w:rPr>
      </w:pPr>
      <w:r>
        <w:rPr>
          <w:rFonts w:hint="eastAsia" w:hAnsi="宋体" w:cs="宋体"/>
          <w:color w:val="auto"/>
          <w:szCs w:val="24"/>
          <w:highlight w:val="none"/>
        </w:rPr>
        <w:t>3.1.1招标公告；</w:t>
      </w:r>
    </w:p>
    <w:p w14:paraId="68BD9A1E">
      <w:pPr>
        <w:pStyle w:val="9"/>
        <w:tabs>
          <w:tab w:val="left" w:pos="840"/>
        </w:tabs>
        <w:spacing w:line="360" w:lineRule="auto"/>
        <w:ind w:firstLine="960" w:firstLineChars="400"/>
        <w:rPr>
          <w:rFonts w:hint="eastAsia" w:hAnsi="宋体" w:cs="宋体"/>
          <w:color w:val="auto"/>
          <w:szCs w:val="24"/>
          <w:highlight w:val="none"/>
        </w:rPr>
      </w:pPr>
      <w:r>
        <w:rPr>
          <w:rFonts w:hint="eastAsia" w:hAnsi="宋体" w:cs="宋体"/>
          <w:color w:val="auto"/>
          <w:szCs w:val="24"/>
          <w:highlight w:val="none"/>
        </w:rPr>
        <w:t>3.1.2供应商须知；</w:t>
      </w:r>
    </w:p>
    <w:p w14:paraId="4CCE620A">
      <w:pPr>
        <w:pStyle w:val="9"/>
        <w:tabs>
          <w:tab w:val="left" w:pos="840"/>
        </w:tabs>
        <w:spacing w:line="360" w:lineRule="auto"/>
        <w:ind w:firstLine="960" w:firstLineChars="400"/>
        <w:rPr>
          <w:rFonts w:hint="eastAsia" w:hAnsi="宋体" w:cs="宋体"/>
          <w:color w:val="auto"/>
          <w:szCs w:val="24"/>
          <w:highlight w:val="none"/>
        </w:rPr>
      </w:pPr>
      <w:r>
        <w:rPr>
          <w:rFonts w:hint="eastAsia" w:hAnsi="宋体" w:cs="宋体"/>
          <w:color w:val="auto"/>
          <w:szCs w:val="24"/>
          <w:highlight w:val="none"/>
        </w:rPr>
        <w:t>3.1.3采购需求；</w:t>
      </w:r>
    </w:p>
    <w:p w14:paraId="2493FE1D">
      <w:pPr>
        <w:pStyle w:val="9"/>
        <w:tabs>
          <w:tab w:val="left" w:pos="840"/>
        </w:tabs>
        <w:spacing w:line="360" w:lineRule="auto"/>
        <w:ind w:firstLine="960" w:firstLineChars="400"/>
        <w:rPr>
          <w:rFonts w:hint="eastAsia" w:hAnsi="宋体" w:cs="宋体"/>
          <w:color w:val="auto"/>
          <w:szCs w:val="24"/>
          <w:highlight w:val="none"/>
        </w:rPr>
      </w:pPr>
      <w:r>
        <w:rPr>
          <w:rFonts w:hint="eastAsia" w:hAnsi="宋体" w:cs="宋体"/>
          <w:color w:val="auto"/>
          <w:szCs w:val="24"/>
          <w:highlight w:val="none"/>
        </w:rPr>
        <w:t>3.1.4评审办法；</w:t>
      </w:r>
    </w:p>
    <w:p w14:paraId="5C886843">
      <w:pPr>
        <w:pStyle w:val="9"/>
        <w:tabs>
          <w:tab w:val="left" w:pos="840"/>
        </w:tabs>
        <w:spacing w:line="360" w:lineRule="auto"/>
        <w:ind w:firstLine="960" w:firstLineChars="400"/>
        <w:rPr>
          <w:rFonts w:hint="eastAsia" w:hAnsi="宋体" w:cs="宋体"/>
          <w:color w:val="auto"/>
          <w:szCs w:val="24"/>
          <w:highlight w:val="none"/>
        </w:rPr>
      </w:pPr>
      <w:r>
        <w:rPr>
          <w:rFonts w:hint="eastAsia" w:hAnsi="宋体" w:cs="宋体"/>
          <w:color w:val="auto"/>
          <w:szCs w:val="24"/>
          <w:highlight w:val="none"/>
        </w:rPr>
        <w:t>3.1.5拟签订的合同文本；</w:t>
      </w:r>
    </w:p>
    <w:p w14:paraId="7814C859">
      <w:pPr>
        <w:pStyle w:val="9"/>
        <w:tabs>
          <w:tab w:val="left" w:pos="840"/>
        </w:tabs>
        <w:spacing w:line="360" w:lineRule="auto"/>
        <w:ind w:firstLine="960" w:firstLineChars="400"/>
        <w:rPr>
          <w:rFonts w:hint="eastAsia" w:hAnsi="宋体" w:cs="宋体"/>
          <w:color w:val="auto"/>
          <w:szCs w:val="24"/>
          <w:highlight w:val="none"/>
        </w:rPr>
      </w:pPr>
      <w:r>
        <w:rPr>
          <w:rFonts w:hint="eastAsia" w:hAnsi="宋体" w:cs="宋体"/>
          <w:color w:val="auto"/>
          <w:highlight w:val="none"/>
        </w:rPr>
        <w:t>3.1.6</w:t>
      </w:r>
      <w:r>
        <w:rPr>
          <w:rFonts w:hint="eastAsia" w:hAnsi="宋体" w:cs="宋体"/>
          <w:color w:val="auto"/>
          <w:szCs w:val="24"/>
          <w:highlight w:val="none"/>
        </w:rPr>
        <w:t>应提交的有关格式范例。</w:t>
      </w:r>
    </w:p>
    <w:p w14:paraId="505701C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3.2与本项目有关的</w:t>
      </w:r>
      <w:r>
        <w:rPr>
          <w:rFonts w:hint="eastAsia" w:ascii="宋体" w:hAnsi="宋体" w:cs="宋体"/>
          <w:bCs/>
          <w:color w:val="auto"/>
          <w:highlight w:val="none"/>
        </w:rPr>
        <w:t>澄清或者修改的内容为采购文件的组成部分</w:t>
      </w:r>
      <w:r>
        <w:rPr>
          <w:rFonts w:hint="eastAsia" w:ascii="宋体" w:hAnsi="宋体" w:cs="宋体"/>
          <w:color w:val="auto"/>
          <w:highlight w:val="none"/>
        </w:rPr>
        <w:t>。</w:t>
      </w:r>
    </w:p>
    <w:p w14:paraId="34EB3A08">
      <w:pPr>
        <w:pStyle w:val="9"/>
        <w:spacing w:line="360" w:lineRule="auto"/>
        <w:rPr>
          <w:rFonts w:hint="eastAsia" w:hAnsi="宋体" w:cs="宋体"/>
          <w:b/>
          <w:color w:val="auto"/>
          <w:szCs w:val="24"/>
          <w:highlight w:val="none"/>
        </w:rPr>
      </w:pPr>
      <w:r>
        <w:rPr>
          <w:rFonts w:hint="eastAsia" w:hAnsi="宋体" w:cs="宋体"/>
          <w:b/>
          <w:color w:val="auto"/>
          <w:szCs w:val="24"/>
          <w:highlight w:val="none"/>
        </w:rPr>
        <w:t>4. 采购文件的澄清、修改</w:t>
      </w:r>
    </w:p>
    <w:p w14:paraId="3F1E147B">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4.1已获取采购文件的潜在供应商，若有问题需要澄清，应于投标截止时间前，以书面形式向采购代理机构提出。</w:t>
      </w:r>
    </w:p>
    <w:p w14:paraId="000488C8">
      <w:pPr>
        <w:pStyle w:val="39"/>
        <w:snapToGrid w:val="0"/>
        <w:spacing w:before="0"/>
        <w:ind w:firstLine="480"/>
        <w:rPr>
          <w:rFonts w:hint="eastAsia"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490008D1">
      <w:pPr>
        <w:pStyle w:val="3"/>
        <w:jc w:val="center"/>
        <w:rPr>
          <w:rFonts w:hint="eastAsia"/>
          <w:color w:val="auto"/>
          <w:highlight w:val="none"/>
        </w:rPr>
      </w:pPr>
      <w:r>
        <w:rPr>
          <w:rFonts w:hint="eastAsia"/>
          <w:color w:val="auto"/>
          <w:highlight w:val="none"/>
        </w:rPr>
        <w:t>三、</w:t>
      </w:r>
      <w:r>
        <w:rPr>
          <w:rFonts w:hint="eastAsia"/>
          <w:color w:val="auto"/>
          <w:highlight w:val="none"/>
          <w:lang w:val="en-US"/>
        </w:rPr>
        <w:t>投标</w:t>
      </w:r>
    </w:p>
    <w:p w14:paraId="215F218E">
      <w:pPr>
        <w:pStyle w:val="9"/>
        <w:spacing w:line="360" w:lineRule="auto"/>
        <w:rPr>
          <w:rFonts w:hint="eastAsia" w:hAnsi="宋体" w:cs="宋体"/>
          <w:b/>
          <w:color w:val="auto"/>
          <w:szCs w:val="24"/>
          <w:highlight w:val="none"/>
        </w:rPr>
      </w:pPr>
      <w:r>
        <w:rPr>
          <w:rFonts w:hint="eastAsia" w:hAnsi="宋体" w:cs="宋体"/>
          <w:b/>
          <w:color w:val="auto"/>
          <w:szCs w:val="24"/>
          <w:highlight w:val="none"/>
        </w:rPr>
        <w:t>5. 采购文件的获取</w:t>
      </w:r>
    </w:p>
    <w:p w14:paraId="59970DF1">
      <w:pPr>
        <w:spacing w:line="360" w:lineRule="auto"/>
        <w:ind w:firstLine="480" w:firstLineChars="200"/>
        <w:rPr>
          <w:rFonts w:hint="eastAsia" w:ascii="宋体" w:hAnsi="宋体" w:cs="宋体"/>
          <w:strike/>
          <w:snapToGrid w:val="0"/>
          <w:color w:val="auto"/>
          <w:kern w:val="28"/>
          <w:highlight w:val="none"/>
        </w:rPr>
      </w:pPr>
      <w:r>
        <w:rPr>
          <w:rFonts w:hint="eastAsia" w:ascii="宋体" w:hAnsi="宋体" w:cs="宋体"/>
          <w:snapToGrid w:val="0"/>
          <w:color w:val="auto"/>
          <w:kern w:val="28"/>
          <w:highlight w:val="none"/>
        </w:rPr>
        <w:t>详见采购公告中获取采购文件的时间期限、地点、方式。</w:t>
      </w:r>
    </w:p>
    <w:p w14:paraId="12FEA9B9">
      <w:pPr>
        <w:pStyle w:val="9"/>
        <w:spacing w:line="360" w:lineRule="auto"/>
        <w:rPr>
          <w:rFonts w:hint="eastAsia" w:hAnsi="宋体" w:cs="宋体"/>
          <w:b/>
          <w:color w:val="auto"/>
          <w:szCs w:val="24"/>
          <w:highlight w:val="none"/>
        </w:rPr>
      </w:pPr>
      <w:r>
        <w:rPr>
          <w:rFonts w:hint="eastAsia" w:hAnsi="宋体" w:cs="宋体"/>
          <w:b/>
          <w:color w:val="auto"/>
          <w:szCs w:val="24"/>
          <w:highlight w:val="none"/>
        </w:rPr>
        <w:t>6.开标前答疑会或现场考察</w:t>
      </w:r>
    </w:p>
    <w:p w14:paraId="4EC1E982">
      <w:pPr>
        <w:pStyle w:val="9"/>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采购人组织潜在供应商现场考察或者召开开标前答疑会的，潜在供应商按第二部分供应商须知前附表的规定参加现场考察或者开标前答疑会。</w:t>
      </w:r>
    </w:p>
    <w:p w14:paraId="00280F20">
      <w:pPr>
        <w:pStyle w:val="9"/>
        <w:spacing w:line="360" w:lineRule="auto"/>
        <w:rPr>
          <w:rFonts w:hint="eastAsia" w:hAnsi="宋体" w:cs="宋体"/>
          <w:b/>
          <w:color w:val="auto"/>
          <w:szCs w:val="24"/>
          <w:highlight w:val="none"/>
        </w:rPr>
      </w:pPr>
      <w:r>
        <w:rPr>
          <w:rFonts w:hint="eastAsia" w:hAnsi="宋体" w:cs="宋体"/>
          <w:b/>
          <w:color w:val="auto"/>
          <w:kern w:val="28"/>
          <w:szCs w:val="24"/>
          <w:highlight w:val="none"/>
        </w:rPr>
        <w:t>7.投标保证金</w:t>
      </w:r>
    </w:p>
    <w:p w14:paraId="1BD8EB82">
      <w:pPr>
        <w:pStyle w:val="4"/>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BCFAC7F">
      <w:pPr>
        <w:pStyle w:val="9"/>
        <w:spacing w:line="360" w:lineRule="auto"/>
        <w:rPr>
          <w:rFonts w:hint="eastAsia" w:hAnsi="宋体" w:cs="宋体"/>
          <w:b/>
          <w:color w:val="auto"/>
          <w:szCs w:val="24"/>
          <w:highlight w:val="none"/>
        </w:rPr>
      </w:pPr>
      <w:r>
        <w:rPr>
          <w:rFonts w:hint="eastAsia" w:hAnsi="宋体" w:cs="宋体"/>
          <w:b/>
          <w:color w:val="auto"/>
          <w:szCs w:val="24"/>
          <w:highlight w:val="none"/>
        </w:rPr>
        <w:t>8. 投标文件的语言</w:t>
      </w:r>
    </w:p>
    <w:p w14:paraId="19197D4C">
      <w:pPr>
        <w:autoSpaceDE w:val="0"/>
        <w:autoSpaceDN w:val="0"/>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投标文件及供应商与采购有关的来往通知、函件和文件均应使用中文。</w:t>
      </w:r>
    </w:p>
    <w:p w14:paraId="01E89B83">
      <w:pPr>
        <w:pStyle w:val="9"/>
        <w:spacing w:line="360" w:lineRule="auto"/>
        <w:rPr>
          <w:rFonts w:hint="eastAsia" w:hAnsi="宋体" w:cs="宋体"/>
          <w:b/>
          <w:color w:val="auto"/>
          <w:szCs w:val="24"/>
          <w:highlight w:val="none"/>
        </w:rPr>
      </w:pPr>
      <w:r>
        <w:rPr>
          <w:rFonts w:hint="eastAsia" w:hAnsi="宋体" w:cs="宋体"/>
          <w:b/>
          <w:color w:val="auto"/>
          <w:szCs w:val="24"/>
          <w:highlight w:val="none"/>
        </w:rPr>
        <w:t>9. 投标文件的组成</w:t>
      </w:r>
    </w:p>
    <w:p w14:paraId="53A2AE54">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9.1</w:t>
      </w:r>
      <w:r>
        <w:rPr>
          <w:rFonts w:hint="eastAsia" w:ascii="宋体" w:hAnsi="宋体" w:cs="宋体"/>
          <w:b/>
          <w:color w:val="auto"/>
          <w:highlight w:val="none"/>
        </w:rPr>
        <w:t>资格文件</w:t>
      </w:r>
      <w:r>
        <w:rPr>
          <w:rFonts w:hint="eastAsia" w:ascii="宋体" w:hAnsi="宋体" w:cs="宋体"/>
          <w:color w:val="auto"/>
          <w:highlight w:val="none"/>
        </w:rPr>
        <w:t>：</w:t>
      </w:r>
    </w:p>
    <w:p w14:paraId="2306C022">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9.1.1符合参加采购活动应当具备的一般条件的承诺函；</w:t>
      </w:r>
    </w:p>
    <w:p w14:paraId="5505AD3F">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w:t>
      </w:r>
      <w:r>
        <w:rPr>
          <w:rFonts w:ascii="宋体" w:hAnsi="宋体" w:cs="宋体"/>
          <w:color w:val="auto"/>
          <w:highlight w:val="none"/>
        </w:rPr>
        <w:t>.1.2</w:t>
      </w:r>
      <w:r>
        <w:rPr>
          <w:rFonts w:hint="eastAsia" w:ascii="宋体" w:hAnsi="宋体" w:cs="宋体"/>
          <w:snapToGrid w:val="0"/>
          <w:color w:val="auto"/>
          <w:kern w:val="28"/>
          <w:szCs w:val="20"/>
          <w:highlight w:val="none"/>
        </w:rPr>
        <w:t>联合协议（如果有)；</w:t>
      </w:r>
    </w:p>
    <w:p w14:paraId="55D41C02">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9.1.3本项目的特定资格要求</w:t>
      </w:r>
      <w:r>
        <w:rPr>
          <w:rFonts w:hint="eastAsia" w:ascii="宋体" w:hAnsi="宋体" w:cs="宋体"/>
          <w:snapToGrid w:val="0"/>
          <w:color w:val="auto"/>
          <w:kern w:val="28"/>
          <w:szCs w:val="20"/>
          <w:highlight w:val="none"/>
        </w:rPr>
        <w:t>（如果有)</w:t>
      </w:r>
      <w:r>
        <w:rPr>
          <w:rFonts w:hint="eastAsia" w:ascii="宋体" w:hAnsi="宋体" w:cs="宋体"/>
          <w:color w:val="auto"/>
          <w:highlight w:val="none"/>
        </w:rPr>
        <w:t>。</w:t>
      </w:r>
    </w:p>
    <w:p w14:paraId="45435590">
      <w:pPr>
        <w:snapToGrid w:val="0"/>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9</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b/>
          <w:color w:val="auto"/>
          <w:highlight w:val="none"/>
        </w:rPr>
        <w:t>商务技术</w:t>
      </w:r>
      <w:r>
        <w:rPr>
          <w:rFonts w:hint="eastAsia" w:ascii="宋体" w:hAnsi="宋体" w:cs="宋体"/>
          <w:b/>
          <w:color w:val="auto"/>
          <w:highlight w:val="none"/>
          <w:lang w:val="zh-CN"/>
        </w:rPr>
        <w:t>文件：</w:t>
      </w:r>
    </w:p>
    <w:p w14:paraId="4336512D">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9.2.1投标函；</w:t>
      </w:r>
      <w:r>
        <w:rPr>
          <w:rFonts w:hint="eastAsia" w:ascii="宋体" w:hAnsi="宋体" w:cs="宋体"/>
          <w:color w:val="auto"/>
          <w:highlight w:val="none"/>
          <w:lang w:val="zh-CN"/>
        </w:rPr>
        <w:t xml:space="preserve"> </w:t>
      </w:r>
    </w:p>
    <w:p w14:paraId="15D4F95A">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9.2.2授权委托书或法定代表人（单位负责人）身份证明；</w:t>
      </w:r>
    </w:p>
    <w:p w14:paraId="266EA88B">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9.2.</w:t>
      </w:r>
      <w:r>
        <w:rPr>
          <w:rFonts w:ascii="宋体" w:hAnsi="宋体" w:cs="宋体"/>
          <w:color w:val="auto"/>
          <w:highlight w:val="none"/>
        </w:rPr>
        <w:t>3</w:t>
      </w:r>
      <w:r>
        <w:rPr>
          <w:rFonts w:hint="eastAsia" w:ascii="宋体" w:hAnsi="宋体" w:cs="宋体"/>
          <w:color w:val="auto"/>
          <w:highlight w:val="none"/>
        </w:rPr>
        <w:t>分包意向协议</w:t>
      </w:r>
      <w:r>
        <w:rPr>
          <w:rFonts w:hint="eastAsia" w:ascii="宋体" w:hAnsi="宋体" w:cs="宋体"/>
          <w:snapToGrid w:val="0"/>
          <w:color w:val="auto"/>
          <w:kern w:val="28"/>
          <w:szCs w:val="20"/>
          <w:highlight w:val="none"/>
        </w:rPr>
        <w:t>（如果有)</w:t>
      </w:r>
      <w:r>
        <w:rPr>
          <w:rFonts w:hint="eastAsia" w:ascii="宋体" w:hAnsi="宋体" w:cs="宋体"/>
          <w:color w:val="auto"/>
          <w:highlight w:val="none"/>
        </w:rPr>
        <w:t>；</w:t>
      </w:r>
    </w:p>
    <w:p w14:paraId="7E44B4D5">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9.2.</w:t>
      </w:r>
      <w:r>
        <w:rPr>
          <w:rFonts w:ascii="宋体" w:hAnsi="宋体" w:cs="宋体"/>
          <w:color w:val="auto"/>
          <w:highlight w:val="none"/>
        </w:rPr>
        <w:t>4</w:t>
      </w:r>
      <w:r>
        <w:rPr>
          <w:rFonts w:hint="eastAsia" w:ascii="宋体" w:hAnsi="宋体" w:cs="宋体"/>
          <w:color w:val="auto"/>
          <w:highlight w:val="none"/>
        </w:rPr>
        <w:t>符合性审查资料；</w:t>
      </w:r>
    </w:p>
    <w:p w14:paraId="2CDA5581">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9.2.</w:t>
      </w:r>
      <w:r>
        <w:rPr>
          <w:rFonts w:ascii="宋体" w:hAnsi="宋体" w:cs="宋体"/>
          <w:color w:val="auto"/>
          <w:highlight w:val="none"/>
        </w:rPr>
        <w:t>5</w:t>
      </w:r>
      <w:r>
        <w:rPr>
          <w:rFonts w:hint="eastAsia" w:ascii="宋体" w:hAnsi="宋体" w:cs="宋体"/>
          <w:color w:val="auto"/>
          <w:highlight w:val="none"/>
        </w:rPr>
        <w:t>评审标准相应的商务技术资料；</w:t>
      </w:r>
    </w:p>
    <w:p w14:paraId="4F0EEEBC">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9.2.</w:t>
      </w:r>
      <w:r>
        <w:rPr>
          <w:rFonts w:ascii="宋体" w:hAnsi="宋体" w:cs="宋体"/>
          <w:color w:val="auto"/>
          <w:highlight w:val="none"/>
        </w:rPr>
        <w:t>6</w:t>
      </w:r>
      <w:r>
        <w:rPr>
          <w:rFonts w:hint="eastAsia" w:ascii="宋体" w:hAnsi="宋体" w:cs="宋体"/>
          <w:color w:val="auto"/>
          <w:highlight w:val="none"/>
        </w:rPr>
        <w:t>投标标的清单；</w:t>
      </w:r>
    </w:p>
    <w:p w14:paraId="0AE976F8">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9.2.</w:t>
      </w:r>
      <w:r>
        <w:rPr>
          <w:rFonts w:ascii="宋体" w:hAnsi="宋体" w:cs="宋体"/>
          <w:color w:val="auto"/>
          <w:highlight w:val="none"/>
        </w:rPr>
        <w:t>7</w:t>
      </w:r>
      <w:r>
        <w:rPr>
          <w:rFonts w:hint="eastAsia" w:ascii="宋体" w:hAnsi="宋体" w:cs="宋体"/>
          <w:color w:val="auto"/>
          <w:highlight w:val="none"/>
        </w:rPr>
        <w:t>商务技术偏离表；</w:t>
      </w:r>
    </w:p>
    <w:p w14:paraId="3985C550">
      <w:pPr>
        <w:snapToGrid w:val="0"/>
        <w:spacing w:line="360" w:lineRule="auto"/>
        <w:ind w:firstLine="960" w:firstLineChars="400"/>
        <w:rPr>
          <w:rFonts w:hint="eastAsia" w:ascii="宋体" w:hAnsi="宋体" w:cs="宋体"/>
          <w:color w:val="auto"/>
          <w:highlight w:val="none"/>
          <w:lang w:val="zh-CN"/>
        </w:rPr>
      </w:pPr>
      <w:r>
        <w:rPr>
          <w:rFonts w:hint="eastAsia" w:ascii="宋体" w:hAnsi="宋体" w:cs="宋体"/>
          <w:color w:val="auto"/>
          <w:highlight w:val="none"/>
        </w:rPr>
        <w:t>9</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w:t>
      </w:r>
      <w:r>
        <w:rPr>
          <w:rFonts w:ascii="宋体" w:hAnsi="宋体" w:cs="宋体"/>
          <w:color w:val="auto"/>
          <w:highlight w:val="none"/>
        </w:rPr>
        <w:t>8</w:t>
      </w:r>
      <w:r>
        <w:rPr>
          <w:rFonts w:hint="eastAsia" w:ascii="宋体" w:hAnsi="宋体" w:cs="宋体"/>
          <w:color w:val="auto"/>
          <w:highlight w:val="none"/>
          <w:lang w:val="zh-CN"/>
        </w:rPr>
        <w:t>采购供应商廉洁自律承诺书；</w:t>
      </w:r>
    </w:p>
    <w:p w14:paraId="5BEF50E6">
      <w:pPr>
        <w:snapToGrid w:val="0"/>
        <w:spacing w:line="360" w:lineRule="auto"/>
        <w:ind w:firstLine="480" w:firstLineChars="200"/>
        <w:rPr>
          <w:rFonts w:hint="eastAsia" w:ascii="宋体" w:hAnsi="宋体" w:cs="宋体"/>
          <w:color w:val="auto"/>
          <w:highlight w:val="none"/>
          <w:u w:val="single"/>
          <w:lang w:val="zh-CN"/>
        </w:rPr>
      </w:pP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b/>
          <w:color w:val="auto"/>
          <w:highlight w:val="none"/>
        </w:rPr>
        <w:t>报价文件：</w:t>
      </w:r>
      <w:r>
        <w:rPr>
          <w:rFonts w:hint="eastAsia" w:ascii="宋体" w:hAnsi="宋体" w:cs="宋体"/>
          <w:color w:val="auto"/>
          <w:highlight w:val="none"/>
        </w:rPr>
        <w:t xml:space="preserve"> </w:t>
      </w:r>
    </w:p>
    <w:p w14:paraId="06FF624C">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9.3.1开标一览表（报价表）；</w:t>
      </w:r>
    </w:p>
    <w:p w14:paraId="0E6AAFD1">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9.3.2 报价明细表；</w:t>
      </w:r>
    </w:p>
    <w:p w14:paraId="2DE78CDD">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rPr>
        <w:t>9.3.3报价情况说明（如供应商报价低于项目预算50%的，应当提交本文档，详细阐述不影响产品质量或者诚信履约的具体原因）。</w:t>
      </w:r>
    </w:p>
    <w:p w14:paraId="2713CD02">
      <w:pPr>
        <w:spacing w:line="360" w:lineRule="auto"/>
        <w:ind w:firstLine="723" w:firstLineChars="300"/>
        <w:rPr>
          <w:rFonts w:hint="eastAsia" w:ascii="宋体" w:hAnsi="宋体" w:cs="宋体"/>
          <w:b/>
          <w:color w:val="auto"/>
          <w:highlight w:val="none"/>
        </w:rPr>
      </w:pPr>
      <w:r>
        <w:rPr>
          <w:rFonts w:hint="eastAsia" w:ascii="宋体" w:hAnsi="宋体" w:cs="宋体"/>
          <w:b/>
          <w:color w:val="auto"/>
          <w:highlight w:val="none"/>
        </w:rPr>
        <w:t>投标文件含有采购人不能接受的附加条件的，投标无效；</w:t>
      </w:r>
    </w:p>
    <w:p w14:paraId="3DAC8D95">
      <w:pPr>
        <w:spacing w:line="360" w:lineRule="auto"/>
        <w:ind w:firstLine="723" w:firstLineChars="300"/>
        <w:rPr>
          <w:rFonts w:hint="eastAsia" w:ascii="宋体" w:hAnsi="宋体" w:cs="宋体"/>
          <w:b/>
          <w:color w:val="auto"/>
          <w:highlight w:val="none"/>
        </w:rPr>
      </w:pPr>
      <w:r>
        <w:rPr>
          <w:rFonts w:hint="eastAsia" w:ascii="宋体" w:hAnsi="宋体" w:cs="宋体"/>
          <w:b/>
          <w:color w:val="auto"/>
          <w:highlight w:val="none"/>
        </w:rPr>
        <w:t>供应商提供虚假材料投标的，投标无效。</w:t>
      </w:r>
    </w:p>
    <w:p w14:paraId="1FC06E63">
      <w:pPr>
        <w:spacing w:line="360" w:lineRule="auto"/>
        <w:ind w:firstLine="720" w:firstLineChars="300"/>
        <w:rPr>
          <w:color w:val="auto"/>
          <w:highlight w:val="none"/>
        </w:rPr>
      </w:pPr>
      <w:r>
        <w:rPr>
          <w:rFonts w:hint="eastAsia"/>
          <w:color w:val="auto"/>
          <w:highlight w:val="none"/>
          <w:shd w:val="clear" w:color="auto" w:fill="FFFFFF"/>
        </w:rPr>
        <w:t>供应商应对投标文件中材料的真实性、合法性负责。</w:t>
      </w:r>
    </w:p>
    <w:p w14:paraId="34579CF7">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szCs w:val="24"/>
          <w:highlight w:val="none"/>
          <w:lang w:val="zh-CN"/>
        </w:rPr>
        <w:t xml:space="preserve">. </w:t>
      </w:r>
      <w:r>
        <w:rPr>
          <w:rFonts w:hint="eastAsia" w:ascii="宋体" w:hAnsi="宋体" w:cs="宋体"/>
          <w:b/>
          <w:color w:val="auto"/>
          <w:szCs w:val="24"/>
          <w:highlight w:val="none"/>
        </w:rPr>
        <w:t>投标文件的编制</w:t>
      </w:r>
    </w:p>
    <w:p w14:paraId="202D70C5">
      <w:pPr>
        <w:spacing w:line="360" w:lineRule="auto"/>
        <w:ind w:firstLine="480" w:firstLineChars="200"/>
        <w:rPr>
          <w:rFonts w:hint="eastAsia" w:ascii="宋体" w:hAnsi="宋体" w:cs="宋体"/>
          <w:b/>
          <w:color w:val="auto"/>
          <w:highlight w:val="none"/>
        </w:rPr>
      </w:pPr>
      <w:r>
        <w:rPr>
          <w:rFonts w:hint="eastAsia" w:ascii="宋体" w:hAnsi="宋体" w:cs="宋体"/>
          <w:color w:val="auto"/>
          <w:kern w:val="0"/>
          <w:highlight w:val="none"/>
          <w:lang w:val="zh-CN"/>
        </w:rPr>
        <w:t>1</w:t>
      </w:r>
      <w:r>
        <w:rPr>
          <w:rFonts w:hint="eastAsia" w:ascii="宋体" w:hAnsi="宋体" w:cs="宋体"/>
          <w:color w:val="auto"/>
          <w:kern w:val="0"/>
          <w:highlight w:val="none"/>
        </w:rPr>
        <w:t>0</w:t>
      </w:r>
      <w:r>
        <w:rPr>
          <w:rFonts w:hint="eastAsia" w:ascii="宋体" w:hAnsi="宋体" w:cs="宋体"/>
          <w:color w:val="auto"/>
          <w:kern w:val="0"/>
          <w:highlight w:val="none"/>
          <w:lang w:val="zh-CN"/>
        </w:rPr>
        <w:t>.1投标文件分为资格文件、商务技术文件、报价文件三部分。各供应商在编制投标文件时请按照采购文件第六</w:t>
      </w:r>
      <w:r>
        <w:rPr>
          <w:rFonts w:hint="eastAsia" w:ascii="宋体" w:hAnsi="宋体" w:cs="宋体"/>
          <w:color w:val="auto"/>
          <w:kern w:val="0"/>
          <w:highlight w:val="none"/>
        </w:rPr>
        <w:t>章</w:t>
      </w:r>
      <w:r>
        <w:rPr>
          <w:rFonts w:hint="eastAsia" w:ascii="宋体" w:hAnsi="宋体" w:cs="宋体"/>
          <w:color w:val="auto"/>
          <w:kern w:val="0"/>
          <w:highlight w:val="none"/>
          <w:lang w:val="zh-CN"/>
        </w:rPr>
        <w:t>规定的格式进行，混乱的编排导致投标文件被误读或评审小组查找不到有效文件是供应商的风险。</w:t>
      </w:r>
    </w:p>
    <w:p w14:paraId="0A4C0285">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0</w:t>
      </w:r>
      <w:r>
        <w:rPr>
          <w:rFonts w:hint="eastAsia" w:ascii="宋体" w:hAnsi="宋体" w:cs="宋体"/>
          <w:color w:val="auto"/>
          <w:kern w:val="0"/>
          <w:highlight w:val="none"/>
          <w:lang w:val="zh-CN"/>
        </w:rPr>
        <w:t>.2供应商进行电子投标应安装客户端软件—“乐采云电子交易客户端”，并按照采购文件和电子交易平台的要求编制并加密投标文件。供应商未按规定加密的投标文件，电子交易平台将拒收并提示。</w:t>
      </w:r>
    </w:p>
    <w:p w14:paraId="210970B3">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0</w:t>
      </w:r>
      <w:r>
        <w:rPr>
          <w:rFonts w:hint="eastAsia" w:ascii="宋体" w:hAnsi="宋体" w:cs="宋体"/>
          <w:color w:val="auto"/>
          <w:kern w:val="0"/>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02354857">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11.投标文件的签署、盖章</w:t>
      </w:r>
    </w:p>
    <w:p w14:paraId="5124E5C1">
      <w:pPr>
        <w:pStyle w:val="3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11.1投标文件按照采购文件第六部分格式要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▲供应商的投标文件未按照采购文件要求签署、盖章的，其投标无效</w:t>
      </w:r>
      <w:r>
        <w:rPr>
          <w:rFonts w:hint="eastAsia" w:ascii="宋体" w:hAnsi="宋体" w:cs="宋体"/>
          <w:color w:val="auto"/>
          <w:szCs w:val="24"/>
          <w:highlight w:val="none"/>
        </w:rPr>
        <w:t>。</w:t>
      </w:r>
    </w:p>
    <w:p w14:paraId="0F8F0724">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11.2为确保网上操作合法、有效和安全，供应商应当在投标截止时间前完成在“乐采云平台”完成电子CA绑定，确保在电子投标过程中能够对相关数据电文进行加密和使用电子签名。</w:t>
      </w:r>
    </w:p>
    <w:p w14:paraId="7D11BB61">
      <w:pPr>
        <w:pStyle w:val="3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11.3采购文件对投标文件签署、盖章的要求适用于电子签名。</w:t>
      </w:r>
    </w:p>
    <w:p w14:paraId="2C4E6722">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 投标文件的提交、补充、修改、撤回</w:t>
      </w:r>
    </w:p>
    <w:p w14:paraId="56D75699">
      <w:pPr>
        <w:pStyle w:val="39"/>
        <w:ind w:firstLine="480"/>
        <w:rPr>
          <w:rFonts w:hint="eastAsia" w:ascii="宋体" w:hAnsi="宋体" w:cs="宋体"/>
          <w:color w:val="auto"/>
          <w:szCs w:val="24"/>
          <w:highlight w:val="none"/>
        </w:rPr>
      </w:pPr>
      <w:r>
        <w:rPr>
          <w:rFonts w:hint="eastAsia" w:ascii="宋体" w:hAnsi="宋体" w:cs="宋体"/>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21FDDB">
      <w:pPr>
        <w:pStyle w:val="3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19147EF9">
      <w:pPr>
        <w:pStyle w:val="3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12.3采购人、采购代理机构可以视情况延长投标文件提交的截止时间。在上述情况下，采购代理机构与供应商以前在投标截止期方面的全部权利、责任和义务，将适用于延长至新的投标截止期。</w:t>
      </w:r>
    </w:p>
    <w:p w14:paraId="4257C3B7">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13.备份投标文件</w:t>
      </w:r>
    </w:p>
    <w:p w14:paraId="3BFC123B">
      <w:pPr>
        <w:pStyle w:val="9"/>
        <w:spacing w:line="360" w:lineRule="auto"/>
        <w:ind w:firstLine="360" w:firstLineChars="150"/>
        <w:rPr>
          <w:rFonts w:hint="eastAsia" w:hAnsi="宋体" w:cs="宋体"/>
          <w:b/>
          <w:color w:val="auto"/>
          <w:szCs w:val="24"/>
          <w:highlight w:val="none"/>
        </w:rPr>
      </w:pPr>
      <w:r>
        <w:rPr>
          <w:rFonts w:hint="eastAsia" w:hAnsi="宋体" w:cs="宋体"/>
          <w:color w:val="auto"/>
          <w:szCs w:val="24"/>
          <w:highlight w:val="none"/>
        </w:rPr>
        <w:t xml:space="preserve"> 13.1供应商在电子交易平台传输递交投标文件后，还可以在投标截止时间前直接提交或者以邮政快递方式递交备份投标文件1份，</w:t>
      </w:r>
      <w:r>
        <w:rPr>
          <w:rFonts w:hint="eastAsia" w:hAnsi="宋体" w:cs="宋体"/>
          <w:b/>
          <w:color w:val="auto"/>
          <w:szCs w:val="24"/>
          <w:highlight w:val="none"/>
        </w:rPr>
        <w:t>但采购人、采购代理机构不强制或变相强制供应商提交备份投标文件。</w:t>
      </w:r>
    </w:p>
    <w:p w14:paraId="5054379A">
      <w:pPr>
        <w:pStyle w:val="9"/>
        <w:spacing w:line="360" w:lineRule="auto"/>
        <w:ind w:firstLine="480" w:firstLineChars="200"/>
        <w:rPr>
          <w:rFonts w:hint="eastAsia" w:hAnsi="宋体" w:cs="宋体"/>
          <w:b/>
          <w:color w:val="auto"/>
          <w:szCs w:val="24"/>
          <w:highlight w:val="none"/>
        </w:rPr>
      </w:pPr>
      <w:r>
        <w:rPr>
          <w:rFonts w:hint="eastAsia" w:hAnsi="宋体" w:cs="宋体"/>
          <w:color w:val="auto"/>
          <w:szCs w:val="24"/>
          <w:highlight w:val="none"/>
        </w:rPr>
        <w:t>13.2备份投标文件须在“乐采云投标客户端”制作生成，并储存在DVD光盘等存储介质中。备份投标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投标文件将被视为无效或者被拒绝接收。</w:t>
      </w:r>
    </w:p>
    <w:p w14:paraId="49E5E470">
      <w:pPr>
        <w:pStyle w:val="9"/>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13.3直接提交备份投标文件的，供应商应于投标截止时间前在招标公告中载明的开标地点将备份投标文件提交给采购代理机构，采购代理机构将拒绝接受逾期送达的备份投标文件。</w:t>
      </w:r>
    </w:p>
    <w:p w14:paraId="13798032">
      <w:pPr>
        <w:pStyle w:val="9"/>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13.4以邮政快递方式递交备份投标文件的，供应商应先将备份投标文件按要求密封和标记，再进行邮政快递包装后邮寄。备份投标文件须在投标截止时间之前送达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Cs w:val="24"/>
          <w:highlight w:val="none"/>
        </w:rPr>
        <w:t>采购文件第二章供应商须知前附表规定的备份投标文件送达地点；</w:t>
      </w:r>
      <w:r>
        <w:rPr>
          <w:rFonts w:hint="eastAsia" w:hAnsi="宋体" w:cs="宋体"/>
          <w:color w:val="auto"/>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3737BA08">
      <w:pPr>
        <w:pStyle w:val="9"/>
        <w:spacing w:line="360" w:lineRule="auto"/>
        <w:ind w:firstLine="479" w:firstLineChars="199"/>
        <w:rPr>
          <w:rFonts w:hint="eastAsia" w:hAnsi="宋体" w:cs="宋体"/>
          <w:b/>
          <w:color w:val="auto"/>
          <w:szCs w:val="24"/>
          <w:highlight w:val="none"/>
        </w:rPr>
      </w:pPr>
      <w:r>
        <w:rPr>
          <w:rFonts w:hint="eastAsia" w:hAnsi="宋体" w:cs="宋体"/>
          <w:b/>
          <w:color w:val="auto"/>
          <w:szCs w:val="24"/>
          <w:highlight w:val="none"/>
        </w:rPr>
        <w:t>13.5供应商仅提交备份投标文件，未在电子交易平台传输递交投标文件的，投标无效。</w:t>
      </w:r>
    </w:p>
    <w:p w14:paraId="6FE8A3C3">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14.投标文件的无效处理</w:t>
      </w:r>
    </w:p>
    <w:p w14:paraId="4ADF6E65">
      <w:pPr>
        <w:pStyle w:val="7"/>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的情形之一的，投标无效：</w:t>
      </w:r>
    </w:p>
    <w:p w14:paraId="789AEA96">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15.投标有效期</w:t>
      </w:r>
    </w:p>
    <w:p w14:paraId="6A266AC9">
      <w:pPr>
        <w:spacing w:line="360" w:lineRule="auto"/>
        <w:ind w:firstLine="480" w:firstLineChars="200"/>
        <w:rPr>
          <w:rFonts w:hint="eastAsia" w:ascii="宋体" w:hAnsi="宋体" w:cs="宋体"/>
          <w:b/>
          <w:color w:val="auto"/>
          <w:szCs w:val="21"/>
          <w:highlight w:val="none"/>
        </w:rPr>
      </w:pPr>
      <w:r>
        <w:rPr>
          <w:rFonts w:hint="eastAsia" w:ascii="宋体" w:hAnsi="宋体" w:cs="宋体"/>
          <w:color w:val="auto"/>
          <w:szCs w:val="20"/>
          <w:highlight w:val="none"/>
        </w:rPr>
        <w:t>15.1投标有效期为从提交投标文件的截止之日起90天。▲</w:t>
      </w:r>
      <w:r>
        <w:rPr>
          <w:rFonts w:hint="eastAsia" w:ascii="宋体" w:hAnsi="宋体" w:cs="宋体"/>
          <w:b/>
          <w:color w:val="auto"/>
          <w:szCs w:val="20"/>
          <w:highlight w:val="none"/>
        </w:rPr>
        <w:t>供应商的投标文件中承</w:t>
      </w:r>
      <w:r>
        <w:rPr>
          <w:rFonts w:hint="eastAsia" w:ascii="宋体" w:hAnsi="宋体" w:cs="宋体"/>
          <w:b/>
          <w:color w:val="auto"/>
          <w:szCs w:val="21"/>
          <w:highlight w:val="none"/>
        </w:rPr>
        <w:t>诺的投标有效期少于采购文件中载明的投标有效期的，投标无效。</w:t>
      </w:r>
    </w:p>
    <w:p w14:paraId="5EDB893E">
      <w:pPr>
        <w:pStyle w:val="39"/>
        <w:spacing w:before="0"/>
        <w:ind w:firstLine="480"/>
        <w:rPr>
          <w:rFonts w:hint="eastAsia" w:ascii="宋体" w:hAnsi="宋体" w:cs="宋体"/>
          <w:color w:val="auto"/>
          <w:highlight w:val="none"/>
        </w:rPr>
      </w:pPr>
      <w:r>
        <w:rPr>
          <w:rFonts w:hint="eastAsia" w:ascii="宋体" w:hAnsi="宋体" w:cs="宋体"/>
          <w:color w:val="auto"/>
          <w:highlight w:val="none"/>
        </w:rPr>
        <w:t>15.2投标文件合格投递后，自投标截止日期起，在投标有效期内有效。</w:t>
      </w:r>
    </w:p>
    <w:p w14:paraId="272D02C4">
      <w:pPr>
        <w:pStyle w:val="39"/>
        <w:spacing w:before="0"/>
        <w:ind w:firstLine="480"/>
        <w:rPr>
          <w:rFonts w:hint="eastAsia" w:ascii="宋体" w:hAnsi="宋体" w:cs="宋体"/>
          <w:b/>
          <w:color w:val="auto"/>
          <w:sz w:val="32"/>
          <w:highlight w:val="none"/>
        </w:rPr>
      </w:pPr>
      <w:r>
        <w:rPr>
          <w:rFonts w:hint="eastAsia" w:ascii="宋体" w:hAnsi="宋体" w:cs="宋体"/>
          <w:color w:val="auto"/>
          <w:highlight w:val="none"/>
        </w:rPr>
        <w:t>15.3在原定投标有效期满之前，如果出现特殊情况，采购代理机构可以以书面形式通知供应商延长投标有效期。供应商同意延长的，不得要求或被允许修改其投标文件，供应商拒绝延长的，其投标无效。</w:t>
      </w:r>
    </w:p>
    <w:p w14:paraId="04CFDA9F">
      <w:pPr>
        <w:pStyle w:val="3"/>
        <w:jc w:val="center"/>
        <w:rPr>
          <w:rFonts w:hint="eastAsia"/>
          <w:color w:val="auto"/>
          <w:highlight w:val="none"/>
        </w:rPr>
      </w:pPr>
      <w:r>
        <w:rPr>
          <w:rFonts w:hint="eastAsia"/>
          <w:color w:val="auto"/>
          <w:highlight w:val="none"/>
        </w:rPr>
        <w:t>四、开标、资格审查与信用信息查询</w:t>
      </w:r>
    </w:p>
    <w:p w14:paraId="3502A8D4">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 xml:space="preserve">16.开标 </w:t>
      </w:r>
    </w:p>
    <w:p w14:paraId="4213A728">
      <w:pPr>
        <w:pStyle w:val="43"/>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070070B8">
      <w:pPr>
        <w:pStyle w:val="43"/>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16.2开标时，电子交易平台按开标时间自动提取所有投标文件。采购代理机构依托电子交易平台发起开始解密指令，供应商按照平台提示和采购文件的规定在半小时内完成在线解密。</w:t>
      </w:r>
    </w:p>
    <w:p w14:paraId="36F0E563">
      <w:pPr>
        <w:pStyle w:val="43"/>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529CD6B0">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　17、资格审查</w:t>
      </w:r>
    </w:p>
    <w:p w14:paraId="65E501F7">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kern w:val="0"/>
          <w:highlight w:val="none"/>
        </w:rPr>
        <w:t>17.1</w:t>
      </w:r>
      <w:r>
        <w:rPr>
          <w:rFonts w:hint="eastAsia" w:ascii="宋体" w:hAnsi="宋体" w:cs="宋体"/>
          <w:color w:val="auto"/>
          <w:highlight w:val="none"/>
        </w:rPr>
        <w:t>评审小组依据法律法规和采购文件的规定，对供应商的资格进行审查。</w:t>
      </w:r>
    </w:p>
    <w:p w14:paraId="1D894D61">
      <w:pPr>
        <w:pStyle w:val="3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供应商不具备采购文件中规定的资格要求，其投标无效。</w:t>
      </w:r>
    </w:p>
    <w:p w14:paraId="376A4440">
      <w:pPr>
        <w:pStyle w:val="3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02C92611">
      <w:pPr>
        <w:pStyle w:val="39"/>
        <w:spacing w:before="0"/>
        <w:ind w:firstLine="480"/>
        <w:rPr>
          <w:rFonts w:hint="eastAsia" w:ascii="宋体" w:hAnsi="宋体" w:cs="宋体"/>
          <w:color w:val="auto"/>
          <w:highlight w:val="none"/>
        </w:rPr>
      </w:pPr>
      <w:r>
        <w:rPr>
          <w:rFonts w:hint="eastAsia" w:ascii="宋体" w:hAnsi="宋体" w:cs="宋体"/>
          <w:color w:val="auto"/>
          <w:highlight w:val="none"/>
        </w:rPr>
        <w:t>17.4合格供应商不足三家时，评审小组认为投标仍然具有竞争性，可以继续进行评审，否则，需重新组织采购。</w:t>
      </w:r>
    </w:p>
    <w:p w14:paraId="79C61358">
      <w:pPr>
        <w:pStyle w:val="39"/>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3EE10784">
      <w:pPr>
        <w:pStyle w:val="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18、信用信息查询</w:t>
      </w:r>
    </w:p>
    <w:p w14:paraId="59EA16C3">
      <w:pPr>
        <w:pStyle w:val="3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04781F72">
      <w:pPr>
        <w:pStyle w:val="3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0F5AFB69">
      <w:pPr>
        <w:pStyle w:val="3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306B97F4">
      <w:pPr>
        <w:pStyle w:val="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18.4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AB136F2">
      <w:pPr>
        <w:pStyle w:val="3"/>
        <w:jc w:val="center"/>
        <w:rPr>
          <w:rFonts w:hint="eastAsia"/>
          <w:color w:val="auto"/>
          <w:highlight w:val="none"/>
          <w:lang w:val="en-US"/>
        </w:rPr>
      </w:pPr>
      <w:r>
        <w:rPr>
          <w:rFonts w:hint="eastAsia"/>
          <w:color w:val="auto"/>
          <w:highlight w:val="none"/>
        </w:rPr>
        <w:t>五、评</w:t>
      </w:r>
      <w:r>
        <w:rPr>
          <w:rFonts w:hint="eastAsia"/>
          <w:color w:val="auto"/>
          <w:highlight w:val="none"/>
          <w:lang w:val="en-US"/>
        </w:rPr>
        <w:t>审</w:t>
      </w:r>
    </w:p>
    <w:p w14:paraId="6B95AA71">
      <w:pPr>
        <w:spacing w:line="360" w:lineRule="auto"/>
        <w:rPr>
          <w:rFonts w:hint="eastAsia" w:ascii="宋体" w:hAnsi="宋体" w:cs="宋体"/>
          <w:b/>
          <w:color w:val="auto"/>
          <w:highlight w:val="none"/>
        </w:rPr>
      </w:pPr>
      <w:r>
        <w:rPr>
          <w:rFonts w:hint="eastAsia" w:ascii="宋体" w:hAnsi="宋体" w:cs="宋体"/>
          <w:b/>
          <w:color w:val="auto"/>
          <w:highlight w:val="none"/>
        </w:rPr>
        <w:t>19.</w:t>
      </w:r>
      <w:r>
        <w:rPr>
          <w:rFonts w:hint="eastAsia" w:ascii="宋体" w:hAnsi="宋体" w:cs="宋体"/>
          <w:color w:val="auto"/>
          <w:highlight w:val="none"/>
        </w:rPr>
        <w:t xml:space="preserve"> 评审小组将根据采购文件和有关规定，履行评审工作职责，并按照评审方法及评分标准，全面衡量各供应商对采购文件的投标情况。对实质上投标采购文件的供应商，按照评审因素的量化指标排出推荐中标供应商的先后顺序，并按顺序提出授标建议。</w:t>
      </w:r>
      <w:r>
        <w:rPr>
          <w:rFonts w:hint="eastAsia" w:ascii="宋体" w:hAnsi="宋体" w:cs="宋体"/>
          <w:b/>
          <w:color w:val="auto"/>
          <w:highlight w:val="none"/>
        </w:rPr>
        <w:t>详见采购文件第四章评审办法。</w:t>
      </w:r>
    </w:p>
    <w:p w14:paraId="67B8AAA8">
      <w:pPr>
        <w:pStyle w:val="3"/>
        <w:jc w:val="center"/>
        <w:rPr>
          <w:rFonts w:hint="eastAsia"/>
          <w:color w:val="auto"/>
          <w:highlight w:val="none"/>
        </w:rPr>
      </w:pPr>
      <w:r>
        <w:rPr>
          <w:rFonts w:hint="eastAsia"/>
          <w:color w:val="auto"/>
          <w:highlight w:val="none"/>
        </w:rPr>
        <w:t>六、定标</w:t>
      </w:r>
    </w:p>
    <w:p w14:paraId="3277E7BE">
      <w:pPr>
        <w:pStyle w:val="7"/>
        <w:spacing w:line="360" w:lineRule="auto"/>
        <w:ind w:left="479" w:hanging="479" w:hangingChars="199"/>
        <w:rPr>
          <w:rFonts w:hint="eastAsia" w:cs="宋体"/>
          <w:b/>
          <w:color w:val="auto"/>
          <w:highlight w:val="none"/>
        </w:rPr>
      </w:pPr>
      <w:r>
        <w:rPr>
          <w:rFonts w:hint="eastAsia" w:cs="宋体"/>
          <w:b/>
          <w:color w:val="auto"/>
          <w:highlight w:val="none"/>
        </w:rPr>
        <w:t>20. 确定中标供应商</w:t>
      </w:r>
    </w:p>
    <w:p w14:paraId="3D022F67">
      <w:pPr>
        <w:pStyle w:val="39"/>
        <w:snapToGrid w:val="0"/>
        <w:spacing w:before="0"/>
        <w:ind w:firstLine="480"/>
        <w:rPr>
          <w:rFonts w:hint="eastAsia"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采购效率，鼓励在收到评审报告当天在线确定中标供应商。</w:t>
      </w:r>
    </w:p>
    <w:p w14:paraId="17E151EB">
      <w:pPr>
        <w:pStyle w:val="39"/>
        <w:widowControl/>
        <w:shd w:val="clear" w:color="auto" w:fill="FFFFFF"/>
        <w:snapToGrid w:val="0"/>
        <w:ind w:firstLine="482"/>
        <w:jc w:val="left"/>
        <w:rPr>
          <w:rFonts w:hint="eastAsia" w:ascii="宋体" w:hAnsi="宋体" w:cs="宋体"/>
          <w:color w:val="auto"/>
          <w:highlight w:val="none"/>
        </w:rPr>
      </w:pPr>
      <w:r>
        <w:rPr>
          <w:rFonts w:hint="eastAsia" w:ascii="宋体" w:hAnsi="宋体" w:cs="宋体"/>
          <w:b/>
          <w:color w:val="auto"/>
          <w:szCs w:val="24"/>
          <w:highlight w:val="none"/>
        </w:rPr>
        <w:t>21. 中标公示与中标确认书</w:t>
      </w:r>
    </w:p>
    <w:p w14:paraId="3A10737F">
      <w:pPr>
        <w:widowControl/>
        <w:shd w:val="clear" w:color="auto" w:fill="FFFFFF"/>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21.1自中标供应商确定之日起2个工作日内，采购代理机构通过电子交易平台编制发布中标公示。中标公示内容包括采购人及其委托的采购代理机构的名称、地址、联系方式，项目名称和项目编号，供应商名称、中标金额。公示期限为1个工作日。</w:t>
      </w:r>
    </w:p>
    <w:p w14:paraId="242BA1C9">
      <w:pPr>
        <w:widowControl/>
        <w:shd w:val="clear" w:color="auto" w:fill="FFFFFF"/>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21.2 公示期满后采购代理机构通过电子交易平台，向中标供应商发出中标确认书，同时采购代理机构也可以以纸质形式进行中标确认书。</w:t>
      </w:r>
    </w:p>
    <w:p w14:paraId="38EA5CE8">
      <w:pPr>
        <w:pStyle w:val="3"/>
        <w:jc w:val="center"/>
        <w:rPr>
          <w:rFonts w:hint="eastAsia"/>
          <w:color w:val="auto"/>
          <w:highlight w:val="none"/>
        </w:rPr>
      </w:pPr>
      <w:r>
        <w:rPr>
          <w:rFonts w:hint="eastAsia"/>
          <w:color w:val="auto"/>
          <w:highlight w:val="none"/>
        </w:rPr>
        <w:t>七、合同授予</w:t>
      </w:r>
    </w:p>
    <w:p w14:paraId="11FB15AA">
      <w:pPr>
        <w:pStyle w:val="7"/>
        <w:spacing w:line="360" w:lineRule="auto"/>
        <w:ind w:left="479" w:hanging="479" w:hangingChars="199"/>
        <w:rPr>
          <w:rFonts w:hint="eastAsia" w:cs="宋体"/>
          <w:b/>
          <w:color w:val="auto"/>
          <w:highlight w:val="none"/>
        </w:rPr>
      </w:pPr>
      <w:r>
        <w:rPr>
          <w:rFonts w:hint="eastAsia" w:cs="宋体"/>
          <w:b/>
          <w:color w:val="auto"/>
          <w:highlight w:val="none"/>
        </w:rPr>
        <w:t xml:space="preserve">22. </w:t>
      </w:r>
      <w:r>
        <w:rPr>
          <w:rFonts w:hint="eastAsia" w:cs="宋体"/>
          <w:color w:val="auto"/>
          <w:highlight w:val="none"/>
        </w:rPr>
        <w:t>合同主要条款详见第五部分拟签订的合同文本。</w:t>
      </w:r>
    </w:p>
    <w:p w14:paraId="687AC504">
      <w:pPr>
        <w:pStyle w:val="7"/>
        <w:spacing w:line="360" w:lineRule="auto"/>
        <w:ind w:left="479" w:hanging="479" w:hangingChars="199"/>
        <w:rPr>
          <w:rFonts w:hint="eastAsia" w:cs="宋体"/>
          <w:b/>
          <w:color w:val="auto"/>
          <w:highlight w:val="none"/>
        </w:rPr>
      </w:pPr>
      <w:r>
        <w:rPr>
          <w:rFonts w:hint="eastAsia" w:cs="宋体"/>
          <w:b/>
          <w:color w:val="auto"/>
          <w:highlight w:val="none"/>
        </w:rPr>
        <w:t>23. 合同的签订</w:t>
      </w:r>
    </w:p>
    <w:p w14:paraId="48E51560">
      <w:pPr>
        <w:widowControl/>
        <w:shd w:val="clear" w:color="auto" w:fill="FFFFFF"/>
        <w:spacing w:line="360" w:lineRule="auto"/>
        <w:ind w:firstLine="480"/>
        <w:jc w:val="left"/>
        <w:rPr>
          <w:rFonts w:hint="eastAsia" w:ascii="宋体" w:hAnsi="宋体" w:cs="宋体"/>
          <w:strike/>
          <w:color w:val="auto"/>
          <w:kern w:val="0"/>
          <w:highlight w:val="none"/>
        </w:rPr>
      </w:pPr>
      <w:r>
        <w:rPr>
          <w:rFonts w:hint="eastAsia" w:ascii="宋体" w:hAnsi="宋体" w:cs="宋体"/>
          <w:color w:val="auto"/>
          <w:highlight w:val="none"/>
        </w:rPr>
        <w:t>23.1</w:t>
      </w:r>
      <w:r>
        <w:rPr>
          <w:rFonts w:hint="eastAsia" w:ascii="宋体" w:hAnsi="宋体" w:cs="宋体"/>
          <w:color w:val="auto"/>
          <w:kern w:val="0"/>
          <w:highlight w:val="none"/>
        </w:rPr>
        <w:t xml:space="preserve"> 采购人与中标供应商应当通过电子交易平台中标确认书发出之日起三十日内，按照采购文件确定的事项签订采购合同。</w:t>
      </w:r>
    </w:p>
    <w:p w14:paraId="1771E56F">
      <w:pPr>
        <w:pStyle w:val="3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中标供应商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rPr>
        <w:t>中标供应商</w:t>
      </w:r>
      <w:r>
        <w:rPr>
          <w:rFonts w:hint="eastAsia" w:ascii="宋体" w:hAnsi="宋体" w:cs="宋体"/>
          <w:color w:val="auto"/>
          <w:kern w:val="0"/>
          <w:highlight w:val="none"/>
          <w:lang w:val="zh-CN"/>
        </w:rPr>
        <w:t>为联合体的，由联合体成员各方法定代表人或其授权代表与采购人代表签订合同。</w:t>
      </w:r>
    </w:p>
    <w:p w14:paraId="077B99D6">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2BC9574C">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23.4中标供应商拒绝与采购人签订合同的，采购人可以按照评审报告推荐中标候选人名单排序，确定下一候选人为中标供应商，也可以重新开展采购活动。</w:t>
      </w:r>
    </w:p>
    <w:p w14:paraId="6626CD0F">
      <w:pPr>
        <w:pStyle w:val="3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23.5采购合同由采购人与中标供应商根据采购文件、投标文件等内容通过采购电子交易平台在线签订，自动备案。</w:t>
      </w:r>
    </w:p>
    <w:p w14:paraId="7995991B">
      <w:pPr>
        <w:pStyle w:val="7"/>
        <w:spacing w:line="360" w:lineRule="auto"/>
        <w:ind w:left="479" w:hanging="479" w:hangingChars="199"/>
        <w:rPr>
          <w:rFonts w:hint="eastAsia" w:cs="宋体"/>
          <w:b/>
          <w:color w:val="auto"/>
          <w:highlight w:val="none"/>
        </w:rPr>
      </w:pPr>
      <w:r>
        <w:rPr>
          <w:rFonts w:hint="eastAsia" w:cs="宋体"/>
          <w:b/>
          <w:color w:val="auto"/>
          <w:highlight w:val="none"/>
        </w:rPr>
        <w:t>24. 履约保证金</w:t>
      </w:r>
    </w:p>
    <w:p w14:paraId="7B1F86C8">
      <w:pPr>
        <w:pStyle w:val="39"/>
        <w:snapToGrid w:val="0"/>
        <w:ind w:firstLine="480"/>
        <w:rPr>
          <w:rFonts w:hint="eastAsia" w:ascii="宋体" w:hAnsi="宋体" w:cs="宋体"/>
          <w:color w:val="auto"/>
          <w:highlight w:val="none"/>
        </w:rPr>
      </w:pPr>
      <w:r>
        <w:rPr>
          <w:rFonts w:hint="eastAsia" w:ascii="宋体" w:hAnsi="宋体" w:cs="宋体"/>
          <w:color w:val="auto"/>
          <w:highlight w:val="none"/>
        </w:rPr>
        <w:t>1.签订合同后10个工作日内，乙方须向甲方交纳相当于合同总额1%的履约保证金。以保证乙方遵守本合同的一切条款、条件和承诺，该保证金在甲方的规定存续期间不计息。</w:t>
      </w:r>
    </w:p>
    <w:p w14:paraId="0382AF1B">
      <w:pPr>
        <w:pStyle w:val="39"/>
        <w:snapToGrid w:val="0"/>
        <w:ind w:firstLine="480"/>
        <w:rPr>
          <w:rFonts w:hint="eastAsia" w:ascii="宋体" w:hAnsi="宋体" w:cs="宋体"/>
          <w:color w:val="auto"/>
          <w:highlight w:val="none"/>
        </w:rPr>
      </w:pPr>
      <w:r>
        <w:rPr>
          <w:rFonts w:hint="eastAsia" w:ascii="宋体" w:hAnsi="宋体" w:cs="宋体"/>
          <w:color w:val="auto"/>
          <w:highlight w:val="none"/>
        </w:rPr>
        <w:t>2.甲方有权从履约保证金中扣除用于修复乙方损坏甲方的设备、设施、场地或因乙方违约而导致损失的金额和违约金，且乙方应在接到扣除履约保证金通知之日起7日内补足扣除差额，保证合同期间履约保证金的完整。</w:t>
      </w:r>
    </w:p>
    <w:p w14:paraId="47844971">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3.甲方认为按照本合同约定，乙方在服务期内未存在应付而未付的款项、罚款、违约金或各项赔偿损失，甲方在服务期满之日或提前终止合同之日起30日内全额无息退还履约保证金，反之则甲方将在扣除乙方应付金额或违约金后退还履约保证金余额。</w:t>
      </w:r>
    </w:p>
    <w:p w14:paraId="39025B74">
      <w:pPr>
        <w:pStyle w:val="3"/>
        <w:jc w:val="center"/>
        <w:rPr>
          <w:rFonts w:hint="eastAsia"/>
          <w:color w:val="auto"/>
          <w:highlight w:val="none"/>
        </w:rPr>
      </w:pPr>
      <w:r>
        <w:rPr>
          <w:rFonts w:hint="eastAsia"/>
          <w:color w:val="auto"/>
          <w:highlight w:val="none"/>
        </w:rPr>
        <w:t>八、电子交易活动的中止</w:t>
      </w:r>
    </w:p>
    <w:p w14:paraId="2A7B3E18">
      <w:pPr>
        <w:pStyle w:val="3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509E719">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77F395C0">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56C4E7A0">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5AF6CF26">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25.4病毒发作导致不能进行正常操作的； </w:t>
      </w:r>
    </w:p>
    <w:p w14:paraId="4975BF78">
      <w:pPr>
        <w:pStyle w:val="39"/>
        <w:snapToGrid w:val="0"/>
        <w:spacing w:before="0"/>
        <w:ind w:firstLine="480"/>
        <w:rPr>
          <w:rFonts w:hint="eastAsia" w:ascii="宋体" w:hAnsi="宋体" w:cs="宋体"/>
          <w:color w:val="auto"/>
          <w:highlight w:val="none"/>
        </w:rPr>
      </w:pPr>
      <w:r>
        <w:rPr>
          <w:rFonts w:hint="eastAsia" w:ascii="宋体" w:hAnsi="宋体" w:cs="宋体"/>
          <w:color w:val="auto"/>
          <w:highlight w:val="none"/>
        </w:rPr>
        <w:t>25.5其他无法保证电子交易的公平、公正和安全的情况。</w:t>
      </w:r>
    </w:p>
    <w:p w14:paraId="453F3031">
      <w:pPr>
        <w:pStyle w:val="3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24289A39">
      <w:pPr>
        <w:pStyle w:val="3"/>
        <w:jc w:val="center"/>
        <w:rPr>
          <w:rFonts w:hint="eastAsia"/>
          <w:color w:val="auto"/>
          <w:highlight w:val="none"/>
        </w:rPr>
      </w:pPr>
      <w:r>
        <w:rPr>
          <w:rFonts w:hint="eastAsia"/>
          <w:color w:val="auto"/>
          <w:highlight w:val="none"/>
        </w:rPr>
        <w:t>九、验收</w:t>
      </w:r>
    </w:p>
    <w:p w14:paraId="44B14F0E">
      <w:pPr>
        <w:pStyle w:val="7"/>
        <w:spacing w:line="360" w:lineRule="auto"/>
        <w:ind w:firstLine="0" w:firstLineChars="0"/>
        <w:rPr>
          <w:rFonts w:hint="eastAsia" w:cs="宋体"/>
          <w:b/>
          <w:color w:val="auto"/>
          <w:highlight w:val="none"/>
        </w:rPr>
      </w:pPr>
      <w:r>
        <w:rPr>
          <w:rFonts w:hint="eastAsia" w:cs="宋体"/>
          <w:b/>
          <w:color w:val="auto"/>
          <w:highlight w:val="none"/>
        </w:rPr>
        <w:t>27.验收</w:t>
      </w:r>
    </w:p>
    <w:p w14:paraId="61329776">
      <w:pPr>
        <w:tabs>
          <w:tab w:val="left" w:pos="0"/>
        </w:tabs>
        <w:spacing w:line="360" w:lineRule="auto"/>
        <w:ind w:firstLine="480"/>
        <w:rPr>
          <w:rFonts w:hint="eastAsia" w:ascii="宋体" w:hAnsi="宋体" w:cs="宋体"/>
          <w:color w:val="auto"/>
          <w:kern w:val="0"/>
          <w:highlight w:val="none"/>
        </w:rPr>
      </w:pPr>
      <w:r>
        <w:rPr>
          <w:rFonts w:hint="eastAsia" w:ascii="宋体" w:hAnsi="宋体" w:cs="宋体"/>
          <w:color w:val="auto"/>
          <w:kern w:val="0"/>
          <w:highlight w:val="none"/>
        </w:rPr>
        <w:t>27.1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97FBA">
      <w:pPr>
        <w:tabs>
          <w:tab w:val="left" w:pos="0"/>
        </w:tabs>
        <w:spacing w:line="360" w:lineRule="auto"/>
        <w:ind w:firstLine="480"/>
        <w:rPr>
          <w:rFonts w:hint="eastAsia" w:ascii="宋体" w:hAnsi="宋体" w:cs="宋体"/>
          <w:b/>
          <w:color w:val="auto"/>
          <w:sz w:val="32"/>
          <w:szCs w:val="20"/>
          <w:highlight w:val="none"/>
        </w:rPr>
      </w:pPr>
      <w:r>
        <w:rPr>
          <w:rFonts w:hint="eastAsia" w:ascii="宋体" w:hAnsi="宋体" w:cs="宋体"/>
          <w:color w:val="auto"/>
          <w:kern w:val="0"/>
          <w:highlight w:val="none"/>
        </w:rPr>
        <w:t>27.2采购人可以邀请参加本项目的其他供应商或者第三方机构参与验收。参与验收的供应商或者第三方机构的意见作为验收书的参考资料一并存档。</w:t>
      </w:r>
      <w:r>
        <w:rPr>
          <w:rFonts w:hint="eastAsia" w:ascii="宋体" w:hAnsi="宋体" w:cs="宋体"/>
          <w:b/>
          <w:color w:val="auto"/>
          <w:sz w:val="32"/>
          <w:szCs w:val="20"/>
          <w:highlight w:val="none"/>
        </w:rPr>
        <w:br w:type="page"/>
      </w:r>
    </w:p>
    <w:bookmarkEnd w:id="4"/>
    <w:bookmarkEnd w:id="5"/>
    <w:bookmarkEnd w:id="6"/>
    <w:bookmarkEnd w:id="7"/>
    <w:bookmarkEnd w:id="8"/>
    <w:p w14:paraId="54D5F80F">
      <w:pPr>
        <w:pStyle w:val="2"/>
        <w:rPr>
          <w:rFonts w:hint="eastAsia" w:ascii="宋体" w:hAnsi="宋体" w:cs="宋体"/>
          <w:color w:val="auto"/>
          <w:highlight w:val="none"/>
        </w:rPr>
      </w:pPr>
      <w:bookmarkStart w:id="9" w:name="_Toc298767927"/>
      <w:bookmarkStart w:id="10" w:name="_Toc294012141"/>
      <w:bookmarkStart w:id="11" w:name="_Toc29944"/>
      <w:bookmarkStart w:id="12" w:name="_Toc13642"/>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2F9A2A19">
      <w:pPr>
        <w:pStyle w:val="3"/>
        <w:ind w:left="478" w:leftChars="195" w:hanging="10" w:hangingChars="4"/>
        <w:rPr>
          <w:rFonts w:hint="eastAsia"/>
          <w:color w:val="auto"/>
          <w:sz w:val="24"/>
          <w:szCs w:val="24"/>
          <w:highlight w:val="none"/>
          <w:lang w:val="en-US"/>
        </w:rPr>
      </w:pPr>
      <w:r>
        <w:rPr>
          <w:rFonts w:hint="eastAsia"/>
          <w:color w:val="auto"/>
          <w:sz w:val="24"/>
          <w:szCs w:val="24"/>
          <w:highlight w:val="none"/>
          <w:lang w:val="en-US"/>
        </w:rPr>
        <w:t>一、项目名称</w:t>
      </w:r>
    </w:p>
    <w:p w14:paraId="484DC1F8">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项目名称：杭州市拱墅区半山街道杭玻阔板桥社区物业管理服务项目</w:t>
      </w:r>
    </w:p>
    <w:p w14:paraId="6A172C78">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物业类型：住宅小区</w:t>
      </w:r>
    </w:p>
    <w:p w14:paraId="1611EE95">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座落位置：拱墅区半山街道杭玻阔板桥社区</w:t>
      </w:r>
    </w:p>
    <w:p w14:paraId="48FA8EB0">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物业管理区域四至范围（附：规划平面图）：</w:t>
      </w:r>
    </w:p>
    <w:p w14:paraId="4F40D77E">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东至：杭钢南苑社区围墙南至：沈半路西至：半山路与沈半路岔口北至：半山路</w:t>
      </w:r>
    </w:p>
    <w:p w14:paraId="0597E9A6">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（具体区域以实际平面图为准）</w:t>
      </w:r>
    </w:p>
    <w:p w14:paraId="2FEB35DC">
      <w:pPr>
        <w:autoSpaceDE w:val="0"/>
        <w:autoSpaceDN w:val="0"/>
        <w:adjustRightInd/>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物业管理区域占地面积约为：80000平方米</w:t>
      </w:r>
    </w:p>
    <w:p w14:paraId="6D7E075F">
      <w:pPr>
        <w:autoSpaceDE w:val="0"/>
        <w:autoSpaceDN w:val="0"/>
        <w:adjustRightInd/>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物业管理区域住宅面积约为：85411平方米</w:t>
      </w:r>
    </w:p>
    <w:p w14:paraId="16EDA82C">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物业管理区域车位数：270个</w:t>
      </w:r>
    </w:p>
    <w:p w14:paraId="36595FC0">
      <w:pPr>
        <w:pStyle w:val="3"/>
        <w:ind w:left="478" w:leftChars="195" w:hanging="10" w:hangingChars="4"/>
        <w:rPr>
          <w:rFonts w:hint="eastAsia"/>
          <w:color w:val="auto"/>
          <w:sz w:val="24"/>
          <w:szCs w:val="24"/>
          <w:highlight w:val="none"/>
          <w:lang w:val="en-US"/>
        </w:rPr>
      </w:pPr>
      <w:r>
        <w:rPr>
          <w:rFonts w:hint="eastAsia"/>
          <w:color w:val="auto"/>
          <w:sz w:val="24"/>
          <w:szCs w:val="24"/>
          <w:highlight w:val="none"/>
          <w:lang w:val="en-US"/>
        </w:rPr>
        <w:t>二、服务期</w:t>
      </w:r>
    </w:p>
    <w:p w14:paraId="1DBB1255">
      <w:pPr>
        <w:autoSpaceDE w:val="0"/>
        <w:autoSpaceDN w:val="0"/>
        <w:spacing w:line="360" w:lineRule="auto"/>
        <w:ind w:firstLine="480" w:firstLineChars="200"/>
        <w:jc w:val="left"/>
        <w:rPr>
          <w:rFonts w:hint="eastAsia" w:ascii="宋体" w:hAnsi="宋体" w:cs="宋体"/>
          <w:color w:val="auto"/>
          <w:highlight w:val="none"/>
        </w:rPr>
      </w:pPr>
      <w:r>
        <w:rPr>
          <w:rFonts w:hint="eastAsia" w:ascii="宋体" w:hAnsi="宋体" w:cs="宋体"/>
          <w:color w:val="auto"/>
          <w:kern w:val="0"/>
          <w:highlight w:val="none"/>
          <w:lang w:bidi="ar"/>
        </w:rPr>
        <w:t>服务期：三年零四个月（40个月）。</w:t>
      </w:r>
    </w:p>
    <w:p w14:paraId="2CBB0898">
      <w:pPr>
        <w:pStyle w:val="3"/>
        <w:ind w:left="478" w:leftChars="195" w:hanging="10" w:hangingChars="4"/>
        <w:rPr>
          <w:rFonts w:hint="eastAsia"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bidi="ar"/>
        </w:rPr>
        <w:t>三、项目概况及具体服务范围</w:t>
      </w:r>
    </w:p>
    <w:p w14:paraId="1E456E29">
      <w:pPr>
        <w:autoSpaceDE w:val="0"/>
        <w:autoSpaceDN w:val="0"/>
        <w:spacing w:line="360" w:lineRule="auto"/>
        <w:ind w:firstLine="480" w:firstLineChars="2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半山街道杭玻阔板桥社区（老旧小区）综合管理、列入本次综合物业管理的范围为：保洁（主要指楼道、公园椅、车库及车库顶保洁和凉亭、辖区小广告清理等，不含道路保洁，乙方对道路保洁负有监管监督职责），保安保序，工程维修，绿化养护，消防管理（消防整体管理，灭火器日常检查、更换），停车管理（含停车系统的维护，设施维修），垃圾分类管理，收费（物业费，停车费），房屋装修管理，监控查询，监控系统设备的维护，电动车充电管理，小区专项整治（物业职责范围内），家政服务（有偿服务），投诉处理，安全事故应急处理，违建防控、共用部位、共用设施设备日常运行、维护服务等和采购人交办的其他工作。</w:t>
      </w:r>
    </w:p>
    <w:p w14:paraId="689FE48C">
      <w:p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包括（但不限于）以下具体内容：</w:t>
      </w:r>
    </w:p>
    <w:p w14:paraId="590FBDE7">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综合管理服务（服务内容详见采购需求“五、服务标准”）。</w:t>
      </w:r>
    </w:p>
    <w:p w14:paraId="4BF52819">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公共区域清洁卫生服务（服务内容详见采购需求“五、服务标准”）。</w:t>
      </w:r>
    </w:p>
    <w:p w14:paraId="1710377A">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公共区域秩序维护服务（服务内容详见采购需求“五、服务标准”）。</w:t>
      </w:r>
    </w:p>
    <w:p w14:paraId="642D087A">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公共区域绿化日常养护服务（服务内容详见采购需求“五、服务标准”）。</w:t>
      </w:r>
    </w:p>
    <w:p w14:paraId="2EAB2343">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共用部位、共用设施设备日常运行、维护服务（服务内容详见采购需求“五、服务标准”）。</w:t>
      </w:r>
    </w:p>
    <w:p w14:paraId="76748D3D">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对街巷保洁服务工作进行监督。</w:t>
      </w:r>
    </w:p>
    <w:p w14:paraId="705B5D6F">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对小区进行常态化全方位的巡查管控，对于不文明养犬等各类不文明现象、违规行为要做到及时劝阻及纠正。</w:t>
      </w:r>
    </w:p>
    <w:p w14:paraId="7C1C6A53">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按甲方和上级要求，规范做好小区垃圾分类工作，对小区垃圾定时定点投放点和误时点做到定人定岗，执行垃圾分类</w:t>
      </w:r>
      <w:r>
        <w:rPr>
          <w:rFonts w:hint="eastAsia" w:ascii="宋体" w:hAnsi="宋体" w:cs="宋体"/>
          <w:color w:val="auto"/>
          <w:highlight w:val="none"/>
        </w:rPr>
        <w:t>督导员</w:t>
      </w:r>
      <w:r>
        <w:rPr>
          <w:rFonts w:hint="eastAsia" w:ascii="宋体" w:hAnsi="宋体" w:cs="仿宋_GB2312"/>
          <w:color w:val="auto"/>
          <w:highlight w:val="none"/>
        </w:rPr>
        <w:t>职责，在市、区、街、社四级督查、检查、巡查中，分类正确率100%。</w:t>
      </w:r>
    </w:p>
    <w:p w14:paraId="6927EDDB">
      <w:pPr>
        <w:numPr>
          <w:ilvl w:val="0"/>
          <w:numId w:val="1"/>
        </w:num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做好装修备案和过程管理，违建管控、巡查、建筑材料登记、报告等工作，确保违建零新增。</w:t>
      </w:r>
    </w:p>
    <w:p w14:paraId="3BDCE691">
      <w:pPr>
        <w:numPr>
          <w:ilvl w:val="255"/>
          <w:numId w:val="0"/>
        </w:num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10.负责小区居民门禁卡信息的登记、审核以及办理工作。</w:t>
      </w:r>
    </w:p>
    <w:p w14:paraId="248613C2">
      <w:pPr>
        <w:numPr>
          <w:ilvl w:val="255"/>
          <w:numId w:val="0"/>
        </w:num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11.业主提出动用房屋公共维修基金维保更换公共设施时，应做好基金申请、使用等各项工作。</w:t>
      </w:r>
    </w:p>
    <w:p w14:paraId="46B0AD1A">
      <w:pPr>
        <w:numPr>
          <w:ilvl w:val="255"/>
          <w:numId w:val="0"/>
        </w:num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12.既有住宅加装的电梯等特种设备的管理、监督等。</w:t>
      </w:r>
    </w:p>
    <w:p w14:paraId="02ED9E0F">
      <w:pPr>
        <w:numPr>
          <w:ilvl w:val="255"/>
          <w:numId w:val="0"/>
        </w:num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13.做好雨、雪、台风等恶劣天气防范应对预案及实施；小区突发事件第一时间发现并做好临时应对，且能按照要求逐级汇报。</w:t>
      </w:r>
    </w:p>
    <w:p w14:paraId="70D5503B">
      <w:pPr>
        <w:numPr>
          <w:ilvl w:val="255"/>
          <w:numId w:val="0"/>
        </w:num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14.根据社区要求做好各类迎检、参观接待工作。</w:t>
      </w:r>
    </w:p>
    <w:p w14:paraId="4273DCC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15.</w:t>
      </w:r>
      <w:r>
        <w:rPr>
          <w:rFonts w:hint="eastAsia" w:ascii="宋体" w:hAnsi="宋体" w:cs="仿宋_GB2312"/>
          <w:color w:val="auto"/>
          <w:highlight w:val="none"/>
        </w:rPr>
        <w:t>按照《关于加强做好半山街道老旧小区物业管理服务工作的通知》，最新物业费收费标准从2023年1月1日起为0.5元/平方/月，全年收缴率不得低于上级部门要求及有关考核指标（收缴率90％为达标，按收缴金额计算）。</w:t>
      </w:r>
      <w:r>
        <w:rPr>
          <w:rFonts w:hint="eastAsia" w:ascii="宋体" w:hAnsi="宋体" w:cs="宋体"/>
          <w:color w:val="auto"/>
          <w:highlight w:val="none"/>
        </w:rPr>
        <w:t>收缴金额不足90%的由物业补足，超出90%的金额按50%的比例奖励给物业。</w:t>
      </w:r>
    </w:p>
    <w:p w14:paraId="71E973B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16.按照甲方要求完成机动车停车收费工作，完成全年停车管理收费</w:t>
      </w:r>
      <w:r>
        <w:rPr>
          <w:rFonts w:hint="eastAsia" w:ascii="宋体" w:hAnsi="宋体" w:cs="宋体"/>
          <w:color w:val="auto"/>
          <w:highlight w:val="none"/>
          <w:u w:val="single"/>
        </w:rPr>
        <w:t xml:space="preserve"> </w:t>
      </w:r>
      <w:r>
        <w:rPr>
          <w:rFonts w:ascii="Arial" w:hAnsi="Arial" w:cs="Arial"/>
          <w:color w:val="auto"/>
          <w:highlight w:val="none"/>
          <w:u w:val="single"/>
        </w:rPr>
        <w:t>¥</w:t>
      </w:r>
      <w:r>
        <w:rPr>
          <w:rFonts w:hint="eastAsia" w:ascii="宋体" w:hAnsi="宋体" w:cs="宋体"/>
          <w:color w:val="auto"/>
          <w:highlight w:val="none"/>
          <w:u w:val="single"/>
        </w:rPr>
        <w:t>65</w:t>
      </w:r>
      <w:r>
        <w:rPr>
          <w:rFonts w:hint="eastAsia" w:ascii="宋体" w:hAnsi="宋体" w:cs="宋体"/>
          <w:color w:val="auto"/>
          <w:highlight w:val="none"/>
        </w:rPr>
        <w:t>万元（大写：人民币</w:t>
      </w:r>
      <w:r>
        <w:rPr>
          <w:rFonts w:hint="eastAsia" w:ascii="宋体" w:hAnsi="宋体" w:cs="仿宋_GB2312"/>
          <w:color w:val="auto"/>
          <w:highlight w:val="none"/>
        </w:rPr>
        <w:t>陆拾伍万元整</w:t>
      </w:r>
      <w:r>
        <w:rPr>
          <w:rFonts w:hint="eastAsia" w:ascii="宋体" w:hAnsi="宋体" w:cs="宋体"/>
          <w:color w:val="auto"/>
          <w:highlight w:val="none"/>
        </w:rPr>
        <w:t>）为达标，</w:t>
      </w:r>
      <w:bookmarkStart w:id="13" w:name="_Hlk199835416"/>
      <w:r>
        <w:rPr>
          <w:rFonts w:hint="eastAsia" w:ascii="宋体" w:hAnsi="宋体" w:cs="宋体"/>
          <w:color w:val="auto"/>
          <w:highlight w:val="none"/>
        </w:rPr>
        <w:t>收缴金额不足65万的由物业补足，超出65万的金额按照50%的比例奖励给物业。</w:t>
      </w:r>
    </w:p>
    <w:p w14:paraId="240920E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17、阔板桥4幢南拱指公园的绿化养护及保洁保序。</w:t>
      </w:r>
    </w:p>
    <w:bookmarkEnd w:id="13"/>
    <w:p w14:paraId="0D3F12B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18.甲方交办的其他事项（具体事项需双方书面确认）。</w:t>
      </w:r>
    </w:p>
    <w:p w14:paraId="47BD81B8">
      <w:pPr>
        <w:pStyle w:val="3"/>
        <w:ind w:left="478" w:leftChars="195" w:hanging="10" w:hangingChars="4"/>
        <w:rPr>
          <w:rFonts w:hint="eastAsia"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bidi="ar"/>
        </w:rPr>
        <w:t>四、岗位及人员要求</w:t>
      </w:r>
    </w:p>
    <w:p w14:paraId="4C265320">
      <w:pPr>
        <w:widowControl/>
        <w:adjustRightInd/>
        <w:spacing w:line="360" w:lineRule="auto"/>
        <w:ind w:firstLine="480" w:firstLineChars="200"/>
        <w:jc w:val="left"/>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供应商必须保证物业管理服务人员</w:t>
      </w:r>
      <w:r>
        <w:rPr>
          <w:rFonts w:hint="eastAsia" w:ascii="宋体" w:hAnsi="宋体" w:cs="宋体"/>
          <w:color w:val="auto"/>
          <w:highlight w:val="none"/>
          <w:lang w:val="en-US" w:eastAsia="zh-CN"/>
        </w:rPr>
        <w:t>大于</w:t>
      </w:r>
      <w:r>
        <w:rPr>
          <w:rFonts w:ascii="宋体" w:hAnsi="宋体" w:cs="宋体"/>
          <w:color w:val="auto"/>
          <w:highlight w:val="none"/>
        </w:rPr>
        <w:t>25</w:t>
      </w:r>
      <w:r>
        <w:rPr>
          <w:rFonts w:hint="eastAsia" w:ascii="宋体" w:hAnsi="宋体" w:cs="宋体"/>
          <w:color w:val="auto"/>
          <w:highlight w:val="none"/>
        </w:rPr>
        <w:t>人，供应商结合项目实际情况和物业管理的特点明确配置人数</w:t>
      </w:r>
      <w:r>
        <w:rPr>
          <w:rFonts w:ascii="宋体" w:hAnsi="宋体" w:cs="宋体"/>
          <w:color w:val="auto"/>
          <w:highlight w:val="none"/>
        </w:rPr>
        <w:t>,但人数不得低于表中的最低配置要求</w:t>
      </w:r>
      <w:r>
        <w:rPr>
          <w:rFonts w:hint="eastAsia" w:ascii="宋体" w:hAnsi="宋体" w:cs="宋体"/>
          <w:color w:val="auto"/>
          <w:highlight w:val="none"/>
        </w:rPr>
        <w:t>。</w:t>
      </w:r>
    </w:p>
    <w:p w14:paraId="754FBFF3">
      <w:pPr>
        <w:widowControl/>
        <w:spacing w:line="360" w:lineRule="auto"/>
        <w:jc w:val="center"/>
        <w:rPr>
          <w:rFonts w:hint="eastAsia" w:ascii="宋体" w:hAnsi="宋体" w:cs="宋体"/>
          <w:b/>
          <w:color w:val="auto"/>
          <w:kern w:val="0"/>
          <w:highlight w:val="none"/>
        </w:rPr>
      </w:pPr>
    </w:p>
    <w:p w14:paraId="0F83B881">
      <w:pPr>
        <w:widowControl/>
        <w:adjustRightInd/>
        <w:jc w:val="left"/>
        <w:rPr>
          <w:rFonts w:hint="eastAsia" w:ascii="宋体" w:hAnsi="宋体" w:cs="宋体"/>
          <w:b/>
          <w:color w:val="auto"/>
          <w:kern w:val="0"/>
          <w:highlight w:val="none"/>
        </w:rPr>
      </w:pPr>
      <w:r>
        <w:rPr>
          <w:rFonts w:ascii="宋体" w:hAnsi="宋体" w:cs="宋体"/>
          <w:b/>
          <w:color w:val="auto"/>
          <w:kern w:val="0"/>
          <w:highlight w:val="none"/>
        </w:rPr>
        <w:br w:type="page"/>
      </w:r>
    </w:p>
    <w:p w14:paraId="4B49DDA4">
      <w:pPr>
        <w:widowControl/>
        <w:spacing w:line="360" w:lineRule="auto"/>
        <w:jc w:val="center"/>
        <w:rPr>
          <w:rFonts w:hint="eastAsia" w:ascii="宋体" w:hAnsi="宋体" w:cs="宋体"/>
          <w:b/>
          <w:color w:val="auto"/>
          <w:kern w:val="0"/>
          <w:highlight w:val="none"/>
        </w:rPr>
      </w:pPr>
      <w:r>
        <w:rPr>
          <w:rFonts w:hint="eastAsia" w:ascii="宋体" w:hAnsi="宋体" w:cs="宋体"/>
          <w:b/>
          <w:color w:val="auto"/>
          <w:kern w:val="0"/>
          <w:highlight w:val="none"/>
        </w:rPr>
        <w:t>人员配置表</w:t>
      </w:r>
    </w:p>
    <w:tbl>
      <w:tblPr>
        <w:tblStyle w:val="18"/>
        <w:tblW w:w="4998" w:type="pct"/>
        <w:tblInd w:w="0" w:type="dxa"/>
        <w:tblLayout w:type="fixed"/>
        <w:tblCellMar>
          <w:top w:w="0" w:type="dxa"/>
          <w:left w:w="108" w:type="dxa"/>
          <w:bottom w:w="0" w:type="dxa"/>
          <w:right w:w="108" w:type="dxa"/>
        </w:tblCellMar>
      </w:tblPr>
      <w:tblGrid>
        <w:gridCol w:w="672"/>
        <w:gridCol w:w="1077"/>
        <w:gridCol w:w="819"/>
        <w:gridCol w:w="2812"/>
        <w:gridCol w:w="3902"/>
      </w:tblGrid>
      <w:tr w14:paraId="21E4EB63">
        <w:tblPrEx>
          <w:tblCellMar>
            <w:top w:w="0" w:type="dxa"/>
            <w:left w:w="108" w:type="dxa"/>
            <w:bottom w:w="0" w:type="dxa"/>
            <w:right w:w="108" w:type="dxa"/>
          </w:tblCellMar>
        </w:tblPrEx>
        <w:trPr>
          <w:trHeight w:val="499" w:hRule="atLeast"/>
        </w:trPr>
        <w:tc>
          <w:tcPr>
            <w:tcW w:w="362" w:type="pct"/>
            <w:vMerge w:val="restart"/>
            <w:tcBorders>
              <w:top w:val="single" w:color="auto" w:sz="4" w:space="0"/>
              <w:left w:val="single" w:color="auto" w:sz="4" w:space="0"/>
              <w:bottom w:val="single" w:color="auto" w:sz="4" w:space="0"/>
              <w:right w:val="single" w:color="auto" w:sz="4" w:space="0"/>
            </w:tcBorders>
            <w:noWrap/>
            <w:vAlign w:val="center"/>
          </w:tcPr>
          <w:p w14:paraId="6BC8BFEE">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579" w:type="pct"/>
            <w:vMerge w:val="restart"/>
            <w:tcBorders>
              <w:top w:val="single" w:color="auto" w:sz="4" w:space="0"/>
              <w:left w:val="single" w:color="auto" w:sz="4" w:space="0"/>
              <w:bottom w:val="single" w:color="auto" w:sz="4" w:space="0"/>
              <w:right w:val="single" w:color="auto" w:sz="4" w:space="0"/>
            </w:tcBorders>
            <w:noWrap/>
            <w:vAlign w:val="center"/>
          </w:tcPr>
          <w:p w14:paraId="0F78081F">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岗位名称</w:t>
            </w:r>
          </w:p>
        </w:tc>
        <w:tc>
          <w:tcPr>
            <w:tcW w:w="441" w:type="pct"/>
            <w:vMerge w:val="restart"/>
            <w:tcBorders>
              <w:top w:val="single" w:color="auto" w:sz="4" w:space="0"/>
              <w:left w:val="single" w:color="auto" w:sz="4" w:space="0"/>
              <w:bottom w:val="single" w:color="auto" w:sz="4" w:space="0"/>
              <w:right w:val="single" w:color="auto" w:sz="4" w:space="0"/>
            </w:tcBorders>
            <w:noWrap/>
            <w:vAlign w:val="center"/>
          </w:tcPr>
          <w:p w14:paraId="0ADC4E14">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人数要求</w:t>
            </w:r>
          </w:p>
        </w:tc>
        <w:tc>
          <w:tcPr>
            <w:tcW w:w="1515" w:type="pct"/>
            <w:vMerge w:val="restart"/>
            <w:tcBorders>
              <w:top w:val="single" w:color="auto" w:sz="4" w:space="0"/>
              <w:left w:val="single" w:color="auto" w:sz="4" w:space="0"/>
              <w:bottom w:val="single" w:color="auto" w:sz="4" w:space="0"/>
              <w:right w:val="single" w:color="auto" w:sz="4" w:space="0"/>
            </w:tcBorders>
            <w:noWrap/>
            <w:vAlign w:val="center"/>
          </w:tcPr>
          <w:p w14:paraId="40AC0D50">
            <w:pPr>
              <w:widowControl/>
              <w:jc w:val="left"/>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岗位说明</w:t>
            </w:r>
          </w:p>
        </w:tc>
        <w:tc>
          <w:tcPr>
            <w:tcW w:w="2101" w:type="pct"/>
            <w:vMerge w:val="restart"/>
            <w:tcBorders>
              <w:top w:val="single" w:color="auto" w:sz="4" w:space="0"/>
              <w:left w:val="single" w:color="auto" w:sz="4" w:space="0"/>
              <w:bottom w:val="single" w:color="auto" w:sz="4" w:space="0"/>
              <w:right w:val="single" w:color="auto" w:sz="4" w:space="0"/>
            </w:tcBorders>
            <w:noWrap/>
            <w:vAlign w:val="center"/>
          </w:tcPr>
          <w:p w14:paraId="23878ACF">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备注</w:t>
            </w:r>
          </w:p>
        </w:tc>
      </w:tr>
      <w:tr w14:paraId="0A13D679">
        <w:tblPrEx>
          <w:tblCellMar>
            <w:top w:w="0" w:type="dxa"/>
            <w:left w:w="108" w:type="dxa"/>
            <w:bottom w:w="0" w:type="dxa"/>
            <w:right w:w="108" w:type="dxa"/>
          </w:tblCellMar>
        </w:tblPrEx>
        <w:trPr>
          <w:trHeight w:val="499" w:hRule="atLeast"/>
        </w:trPr>
        <w:tc>
          <w:tcPr>
            <w:tcW w:w="362" w:type="pct"/>
            <w:vMerge w:val="continue"/>
            <w:tcBorders>
              <w:top w:val="single" w:color="auto" w:sz="4" w:space="0"/>
              <w:left w:val="single" w:color="auto" w:sz="4" w:space="0"/>
              <w:bottom w:val="single" w:color="auto" w:sz="4" w:space="0"/>
              <w:right w:val="single" w:color="auto" w:sz="4" w:space="0"/>
            </w:tcBorders>
            <w:vAlign w:val="center"/>
          </w:tcPr>
          <w:p w14:paraId="6626F3AE">
            <w:pPr>
              <w:widowControl/>
              <w:jc w:val="left"/>
              <w:rPr>
                <w:rFonts w:hint="eastAsia" w:ascii="宋体" w:hAnsi="宋体" w:cs="宋体"/>
                <w:b/>
                <w:bCs/>
                <w:color w:val="auto"/>
                <w:kern w:val="0"/>
                <w:sz w:val="22"/>
                <w:highlight w:val="none"/>
              </w:rPr>
            </w:pPr>
          </w:p>
        </w:tc>
        <w:tc>
          <w:tcPr>
            <w:tcW w:w="579" w:type="pct"/>
            <w:vMerge w:val="continue"/>
            <w:tcBorders>
              <w:top w:val="single" w:color="auto" w:sz="4" w:space="0"/>
              <w:left w:val="single" w:color="auto" w:sz="4" w:space="0"/>
              <w:bottom w:val="single" w:color="auto" w:sz="4" w:space="0"/>
              <w:right w:val="single" w:color="auto" w:sz="4" w:space="0"/>
            </w:tcBorders>
            <w:vAlign w:val="center"/>
          </w:tcPr>
          <w:p w14:paraId="7F5F3552">
            <w:pPr>
              <w:widowControl/>
              <w:jc w:val="left"/>
              <w:rPr>
                <w:rFonts w:hint="eastAsia" w:ascii="宋体" w:hAnsi="宋体" w:cs="宋体"/>
                <w:b/>
                <w:bCs/>
                <w:color w:val="auto"/>
                <w:kern w:val="0"/>
                <w:sz w:val="22"/>
                <w:highlight w:val="none"/>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14:paraId="028D8633">
            <w:pPr>
              <w:widowControl/>
              <w:jc w:val="left"/>
              <w:rPr>
                <w:rFonts w:hint="eastAsia" w:ascii="宋体" w:hAnsi="宋体" w:cs="宋体"/>
                <w:b/>
                <w:bCs/>
                <w:color w:val="auto"/>
                <w:kern w:val="0"/>
                <w:sz w:val="22"/>
                <w:highlight w:val="none"/>
              </w:rPr>
            </w:pPr>
          </w:p>
        </w:tc>
        <w:tc>
          <w:tcPr>
            <w:tcW w:w="1515" w:type="pct"/>
            <w:vMerge w:val="continue"/>
            <w:tcBorders>
              <w:top w:val="single" w:color="auto" w:sz="4" w:space="0"/>
              <w:left w:val="single" w:color="auto" w:sz="4" w:space="0"/>
              <w:bottom w:val="single" w:color="auto" w:sz="4" w:space="0"/>
              <w:right w:val="single" w:color="auto" w:sz="4" w:space="0"/>
            </w:tcBorders>
            <w:vAlign w:val="center"/>
          </w:tcPr>
          <w:p w14:paraId="0A620C4D">
            <w:pPr>
              <w:widowControl/>
              <w:jc w:val="left"/>
              <w:rPr>
                <w:rFonts w:hint="eastAsia" w:ascii="宋体" w:hAnsi="宋体" w:cs="宋体"/>
                <w:b/>
                <w:bCs/>
                <w:color w:val="auto"/>
                <w:kern w:val="0"/>
                <w:sz w:val="22"/>
                <w:highlight w:val="none"/>
              </w:rPr>
            </w:pPr>
          </w:p>
        </w:tc>
        <w:tc>
          <w:tcPr>
            <w:tcW w:w="2101" w:type="pct"/>
            <w:vMerge w:val="continue"/>
            <w:tcBorders>
              <w:top w:val="single" w:color="auto" w:sz="4" w:space="0"/>
              <w:left w:val="single" w:color="auto" w:sz="4" w:space="0"/>
              <w:bottom w:val="single" w:color="auto" w:sz="4" w:space="0"/>
              <w:right w:val="single" w:color="auto" w:sz="4" w:space="0"/>
            </w:tcBorders>
            <w:vAlign w:val="center"/>
          </w:tcPr>
          <w:p w14:paraId="6E7E9B2C">
            <w:pPr>
              <w:widowControl/>
              <w:jc w:val="left"/>
              <w:rPr>
                <w:rFonts w:hint="eastAsia" w:ascii="宋体" w:hAnsi="宋体" w:cs="宋体"/>
                <w:b/>
                <w:bCs/>
                <w:color w:val="auto"/>
                <w:kern w:val="0"/>
                <w:sz w:val="22"/>
                <w:highlight w:val="none"/>
              </w:rPr>
            </w:pPr>
          </w:p>
        </w:tc>
      </w:tr>
      <w:tr w14:paraId="40D9227F">
        <w:tblPrEx>
          <w:tblCellMar>
            <w:top w:w="0" w:type="dxa"/>
            <w:left w:w="108" w:type="dxa"/>
            <w:bottom w:w="0" w:type="dxa"/>
            <w:right w:w="108" w:type="dxa"/>
          </w:tblCellMar>
        </w:tblPrEx>
        <w:trPr>
          <w:trHeight w:val="499"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36178F16">
            <w:pPr>
              <w:widowControl/>
              <w:jc w:val="left"/>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项目综合管理层（长白班、经理责任制）　</w:t>
            </w:r>
          </w:p>
        </w:tc>
      </w:tr>
      <w:tr w14:paraId="0D5158FA">
        <w:tblPrEx>
          <w:tblCellMar>
            <w:top w:w="0" w:type="dxa"/>
            <w:left w:w="108" w:type="dxa"/>
            <w:bottom w:w="0" w:type="dxa"/>
            <w:right w:w="108" w:type="dxa"/>
          </w:tblCellMar>
        </w:tblPrEx>
        <w:trPr>
          <w:trHeight w:val="810" w:hRule="atLeast"/>
        </w:trPr>
        <w:tc>
          <w:tcPr>
            <w:tcW w:w="362" w:type="pct"/>
            <w:tcBorders>
              <w:top w:val="nil"/>
              <w:left w:val="single" w:color="auto" w:sz="4" w:space="0"/>
              <w:bottom w:val="single" w:color="auto" w:sz="4" w:space="0"/>
              <w:right w:val="single" w:color="auto" w:sz="4" w:space="0"/>
            </w:tcBorders>
            <w:vAlign w:val="center"/>
          </w:tcPr>
          <w:p w14:paraId="650D445E">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579" w:type="pct"/>
            <w:tcBorders>
              <w:top w:val="nil"/>
              <w:left w:val="nil"/>
              <w:bottom w:val="single" w:color="auto" w:sz="4" w:space="0"/>
              <w:right w:val="single" w:color="auto" w:sz="4" w:space="0"/>
            </w:tcBorders>
            <w:vAlign w:val="center"/>
          </w:tcPr>
          <w:p w14:paraId="4904A902">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项目经理</w:t>
            </w:r>
          </w:p>
        </w:tc>
        <w:tc>
          <w:tcPr>
            <w:tcW w:w="441" w:type="pct"/>
            <w:tcBorders>
              <w:top w:val="nil"/>
              <w:left w:val="nil"/>
              <w:bottom w:val="single" w:color="auto" w:sz="4" w:space="0"/>
              <w:right w:val="single" w:color="auto" w:sz="4" w:space="0"/>
            </w:tcBorders>
            <w:vAlign w:val="center"/>
          </w:tcPr>
          <w:p w14:paraId="52D489EB">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15" w:type="pct"/>
            <w:tcBorders>
              <w:top w:val="nil"/>
              <w:left w:val="nil"/>
              <w:bottom w:val="single" w:color="auto" w:sz="4" w:space="0"/>
              <w:right w:val="single" w:color="auto" w:sz="4" w:space="0"/>
            </w:tcBorders>
            <w:vAlign w:val="center"/>
          </w:tcPr>
          <w:p w14:paraId="3EBBCE31">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全面负责本项目的日常物业管理事务与团队管理</w:t>
            </w:r>
          </w:p>
        </w:tc>
        <w:tc>
          <w:tcPr>
            <w:tcW w:w="2101" w:type="pct"/>
            <w:tcBorders>
              <w:top w:val="nil"/>
              <w:left w:val="nil"/>
              <w:bottom w:val="single" w:color="auto" w:sz="4" w:space="0"/>
              <w:right w:val="single" w:color="auto" w:sz="4" w:space="0"/>
            </w:tcBorders>
            <w:vAlign w:val="center"/>
          </w:tcPr>
          <w:p w14:paraId="45E21520">
            <w:pPr>
              <w:widowControl/>
              <w:jc w:val="left"/>
              <w:rPr>
                <w:rFonts w:hint="eastAsia" w:ascii="宋体" w:hAnsi="宋体" w:cs="宋体"/>
                <w:bCs/>
                <w:color w:val="auto"/>
                <w:kern w:val="0"/>
                <w:sz w:val="22"/>
                <w:highlight w:val="none"/>
              </w:rPr>
            </w:pPr>
            <w:r>
              <w:rPr>
                <w:rFonts w:hint="eastAsia" w:ascii="宋体" w:hAnsi="宋体" w:cs="宋体"/>
                <w:bCs/>
                <w:color w:val="auto"/>
                <w:kern w:val="0"/>
                <w:sz w:val="22"/>
                <w:highlight w:val="none"/>
              </w:rPr>
              <w:t>项目经理要求持证上岗，类似物业项目物业管理经验达2年以上（根据本项目的服务标准）</w:t>
            </w:r>
          </w:p>
        </w:tc>
      </w:tr>
      <w:tr w14:paraId="1763E64E">
        <w:tblPrEx>
          <w:tblCellMar>
            <w:top w:w="0" w:type="dxa"/>
            <w:left w:w="108" w:type="dxa"/>
            <w:bottom w:w="0" w:type="dxa"/>
            <w:right w:w="108" w:type="dxa"/>
          </w:tblCellMar>
        </w:tblPrEx>
        <w:trPr>
          <w:trHeight w:val="432" w:hRule="atLeast"/>
        </w:trPr>
        <w:tc>
          <w:tcPr>
            <w:tcW w:w="5000" w:type="pct"/>
            <w:gridSpan w:val="5"/>
            <w:tcBorders>
              <w:top w:val="nil"/>
              <w:left w:val="single" w:color="auto" w:sz="4" w:space="0"/>
              <w:bottom w:val="single" w:color="auto" w:sz="4" w:space="0"/>
              <w:right w:val="single" w:color="auto" w:sz="4" w:space="0"/>
            </w:tcBorders>
            <w:vAlign w:val="center"/>
          </w:tcPr>
          <w:p w14:paraId="04CF14F6">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客户服务部（长白班）</w:t>
            </w:r>
          </w:p>
        </w:tc>
      </w:tr>
      <w:tr w14:paraId="5235D5BC">
        <w:tblPrEx>
          <w:tblCellMar>
            <w:top w:w="0" w:type="dxa"/>
            <w:left w:w="108" w:type="dxa"/>
            <w:bottom w:w="0" w:type="dxa"/>
            <w:right w:w="108" w:type="dxa"/>
          </w:tblCellMar>
        </w:tblPrEx>
        <w:trPr>
          <w:trHeight w:val="885" w:hRule="atLeast"/>
        </w:trPr>
        <w:tc>
          <w:tcPr>
            <w:tcW w:w="362" w:type="pct"/>
            <w:tcBorders>
              <w:top w:val="nil"/>
              <w:left w:val="single" w:color="auto" w:sz="4" w:space="0"/>
              <w:bottom w:val="single" w:color="auto" w:sz="4" w:space="0"/>
              <w:right w:val="single" w:color="auto" w:sz="4" w:space="0"/>
            </w:tcBorders>
            <w:vAlign w:val="center"/>
          </w:tcPr>
          <w:p w14:paraId="6E86F601">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579" w:type="pct"/>
            <w:tcBorders>
              <w:top w:val="nil"/>
              <w:left w:val="nil"/>
              <w:bottom w:val="single" w:color="auto" w:sz="4" w:space="0"/>
              <w:right w:val="single" w:color="auto" w:sz="4" w:space="0"/>
            </w:tcBorders>
            <w:vAlign w:val="center"/>
          </w:tcPr>
          <w:p w14:paraId="4A9882FE">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客服人员</w:t>
            </w:r>
          </w:p>
        </w:tc>
        <w:tc>
          <w:tcPr>
            <w:tcW w:w="441" w:type="pct"/>
            <w:tcBorders>
              <w:top w:val="nil"/>
              <w:left w:val="nil"/>
              <w:bottom w:val="single" w:color="auto" w:sz="4" w:space="0"/>
              <w:right w:val="single" w:color="auto" w:sz="4" w:space="0"/>
            </w:tcBorders>
            <w:vAlign w:val="center"/>
          </w:tcPr>
          <w:p w14:paraId="57E6233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15" w:type="pct"/>
            <w:tcBorders>
              <w:top w:val="nil"/>
              <w:left w:val="nil"/>
              <w:bottom w:val="single" w:color="auto" w:sz="4" w:space="0"/>
              <w:right w:val="single" w:color="auto" w:sz="4" w:space="0"/>
            </w:tcBorders>
            <w:vAlign w:val="center"/>
          </w:tcPr>
          <w:p w14:paraId="32E1BFC3">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项目业主服务工作</w:t>
            </w:r>
          </w:p>
        </w:tc>
        <w:tc>
          <w:tcPr>
            <w:tcW w:w="2101" w:type="pct"/>
            <w:tcBorders>
              <w:top w:val="nil"/>
              <w:left w:val="nil"/>
              <w:bottom w:val="single" w:color="auto" w:sz="4" w:space="0"/>
              <w:right w:val="single" w:color="auto" w:sz="4" w:space="0"/>
            </w:tcBorders>
            <w:vAlign w:val="center"/>
          </w:tcPr>
          <w:p w14:paraId="198659F5">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目前项目交付总户数户，按照人均800户服务计算、包含办公室前台工作和来访人员前台接待工作</w:t>
            </w:r>
          </w:p>
        </w:tc>
      </w:tr>
      <w:tr w14:paraId="43DB8CFA">
        <w:tblPrEx>
          <w:tblCellMar>
            <w:top w:w="0" w:type="dxa"/>
            <w:left w:w="108" w:type="dxa"/>
            <w:bottom w:w="0" w:type="dxa"/>
            <w:right w:w="108" w:type="dxa"/>
          </w:tblCellMar>
        </w:tblPrEx>
        <w:trPr>
          <w:trHeight w:val="424" w:hRule="atLeast"/>
        </w:trPr>
        <w:tc>
          <w:tcPr>
            <w:tcW w:w="5000" w:type="pct"/>
            <w:gridSpan w:val="5"/>
            <w:tcBorders>
              <w:top w:val="nil"/>
              <w:left w:val="single" w:color="auto" w:sz="4" w:space="0"/>
              <w:bottom w:val="single" w:color="auto" w:sz="4" w:space="0"/>
              <w:right w:val="single" w:color="auto" w:sz="4" w:space="0"/>
            </w:tcBorders>
            <w:vAlign w:val="center"/>
          </w:tcPr>
          <w:p w14:paraId="76555CF1">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工程管理部(常白班）</w:t>
            </w:r>
          </w:p>
        </w:tc>
      </w:tr>
      <w:tr w14:paraId="46BE188C">
        <w:tblPrEx>
          <w:tblCellMar>
            <w:top w:w="0" w:type="dxa"/>
            <w:left w:w="108" w:type="dxa"/>
            <w:bottom w:w="0" w:type="dxa"/>
            <w:right w:w="108" w:type="dxa"/>
          </w:tblCellMar>
        </w:tblPrEx>
        <w:trPr>
          <w:trHeight w:val="885" w:hRule="atLeast"/>
        </w:trPr>
        <w:tc>
          <w:tcPr>
            <w:tcW w:w="362" w:type="pct"/>
            <w:tcBorders>
              <w:top w:val="nil"/>
              <w:left w:val="single" w:color="auto" w:sz="4" w:space="0"/>
              <w:bottom w:val="single" w:color="auto" w:sz="4" w:space="0"/>
              <w:right w:val="single" w:color="auto" w:sz="4" w:space="0"/>
            </w:tcBorders>
            <w:vAlign w:val="center"/>
          </w:tcPr>
          <w:p w14:paraId="58BC1D5F">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579" w:type="pct"/>
            <w:tcBorders>
              <w:top w:val="nil"/>
              <w:left w:val="nil"/>
              <w:bottom w:val="single" w:color="auto" w:sz="4" w:space="0"/>
              <w:right w:val="single" w:color="auto" w:sz="4" w:space="0"/>
            </w:tcBorders>
            <w:vAlign w:val="center"/>
          </w:tcPr>
          <w:p w14:paraId="43BFBB73">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工程人员</w:t>
            </w:r>
          </w:p>
        </w:tc>
        <w:tc>
          <w:tcPr>
            <w:tcW w:w="441" w:type="pct"/>
            <w:tcBorders>
              <w:top w:val="nil"/>
              <w:left w:val="nil"/>
              <w:bottom w:val="single" w:color="auto" w:sz="4" w:space="0"/>
              <w:right w:val="single" w:color="auto" w:sz="4" w:space="0"/>
            </w:tcBorders>
            <w:vAlign w:val="center"/>
          </w:tcPr>
          <w:p w14:paraId="2D8700DF">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515" w:type="pct"/>
            <w:tcBorders>
              <w:top w:val="nil"/>
              <w:left w:val="nil"/>
              <w:bottom w:val="single" w:color="auto" w:sz="4" w:space="0"/>
              <w:right w:val="single" w:color="auto" w:sz="4" w:space="0"/>
            </w:tcBorders>
            <w:vAlign w:val="center"/>
          </w:tcPr>
          <w:p w14:paraId="2F39398A">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负责小区内各类设备设施的运行、维护保养以及维修事宜</w:t>
            </w:r>
          </w:p>
        </w:tc>
        <w:tc>
          <w:tcPr>
            <w:tcW w:w="2101" w:type="pct"/>
            <w:tcBorders>
              <w:top w:val="nil"/>
              <w:left w:val="nil"/>
              <w:bottom w:val="single" w:color="auto" w:sz="4" w:space="0"/>
              <w:right w:val="single" w:color="auto" w:sz="4" w:space="0"/>
            </w:tcBorders>
            <w:vAlign w:val="center"/>
          </w:tcPr>
          <w:p w14:paraId="41612465">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p>
        </w:tc>
      </w:tr>
      <w:tr w14:paraId="482A31F5">
        <w:tblPrEx>
          <w:tblCellMar>
            <w:top w:w="0" w:type="dxa"/>
            <w:left w:w="108" w:type="dxa"/>
            <w:bottom w:w="0" w:type="dxa"/>
            <w:right w:w="108" w:type="dxa"/>
          </w:tblCellMar>
        </w:tblPrEx>
        <w:trPr>
          <w:trHeight w:val="499" w:hRule="atLeast"/>
        </w:trPr>
        <w:tc>
          <w:tcPr>
            <w:tcW w:w="5000" w:type="pct"/>
            <w:gridSpan w:val="5"/>
            <w:tcBorders>
              <w:top w:val="nil"/>
              <w:left w:val="single" w:color="auto" w:sz="4" w:space="0"/>
              <w:bottom w:val="single" w:color="auto" w:sz="4" w:space="0"/>
              <w:right w:val="single" w:color="auto" w:sz="4" w:space="0"/>
            </w:tcBorders>
            <w:vAlign w:val="center"/>
          </w:tcPr>
          <w:p w14:paraId="05C0953E">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秩序维护部(24小时工作制）</w:t>
            </w:r>
          </w:p>
        </w:tc>
      </w:tr>
      <w:tr w14:paraId="2FA1F653">
        <w:tblPrEx>
          <w:tblCellMar>
            <w:top w:w="0" w:type="dxa"/>
            <w:left w:w="108" w:type="dxa"/>
            <w:bottom w:w="0" w:type="dxa"/>
            <w:right w:w="108" w:type="dxa"/>
          </w:tblCellMar>
        </w:tblPrEx>
        <w:trPr>
          <w:trHeight w:val="630" w:hRule="atLeast"/>
        </w:trPr>
        <w:tc>
          <w:tcPr>
            <w:tcW w:w="362" w:type="pct"/>
            <w:tcBorders>
              <w:top w:val="nil"/>
              <w:left w:val="single" w:color="auto" w:sz="4" w:space="0"/>
              <w:bottom w:val="single" w:color="auto" w:sz="4" w:space="0"/>
              <w:right w:val="single" w:color="auto" w:sz="4" w:space="0"/>
            </w:tcBorders>
            <w:vAlign w:val="center"/>
          </w:tcPr>
          <w:p w14:paraId="15CB53F5">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1</w:t>
            </w:r>
          </w:p>
        </w:tc>
        <w:tc>
          <w:tcPr>
            <w:tcW w:w="579" w:type="pct"/>
            <w:tcBorders>
              <w:top w:val="nil"/>
              <w:left w:val="nil"/>
              <w:bottom w:val="single" w:color="auto" w:sz="4" w:space="0"/>
              <w:right w:val="single" w:color="auto" w:sz="4" w:space="0"/>
            </w:tcBorders>
            <w:vAlign w:val="center"/>
          </w:tcPr>
          <w:p w14:paraId="34608A3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安保队长</w:t>
            </w:r>
          </w:p>
        </w:tc>
        <w:tc>
          <w:tcPr>
            <w:tcW w:w="441" w:type="pct"/>
            <w:tcBorders>
              <w:top w:val="nil"/>
              <w:left w:val="nil"/>
              <w:bottom w:val="single" w:color="auto" w:sz="4" w:space="0"/>
              <w:right w:val="single" w:color="auto" w:sz="4" w:space="0"/>
            </w:tcBorders>
            <w:vAlign w:val="center"/>
          </w:tcPr>
          <w:p w14:paraId="76A319E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r>
              <w:rPr>
                <w:rFonts w:ascii="宋体" w:hAnsi="宋体" w:cs="宋体"/>
                <w:color w:val="auto"/>
                <w:kern w:val="0"/>
                <w:sz w:val="22"/>
                <w:highlight w:val="none"/>
              </w:rPr>
              <w:t>2</w:t>
            </w:r>
          </w:p>
        </w:tc>
        <w:tc>
          <w:tcPr>
            <w:tcW w:w="1515" w:type="pct"/>
            <w:tcBorders>
              <w:top w:val="nil"/>
              <w:left w:val="nil"/>
              <w:bottom w:val="single" w:color="auto" w:sz="4" w:space="0"/>
              <w:right w:val="single" w:color="auto" w:sz="4" w:space="0"/>
            </w:tcBorders>
            <w:vAlign w:val="center"/>
          </w:tcPr>
          <w:p w14:paraId="6A25760D">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负责项目秩序维护统筹安排等工作</w:t>
            </w:r>
          </w:p>
        </w:tc>
        <w:tc>
          <w:tcPr>
            <w:tcW w:w="2101" w:type="pct"/>
            <w:tcBorders>
              <w:top w:val="nil"/>
              <w:left w:val="nil"/>
              <w:bottom w:val="single" w:color="auto" w:sz="4" w:space="0"/>
              <w:right w:val="single" w:color="auto" w:sz="4" w:space="0"/>
            </w:tcBorders>
            <w:vAlign w:val="center"/>
          </w:tcPr>
          <w:p w14:paraId="3A2EC756">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项目两班倒</w:t>
            </w:r>
          </w:p>
        </w:tc>
      </w:tr>
      <w:tr w14:paraId="75EFBD6E">
        <w:tblPrEx>
          <w:tblCellMar>
            <w:top w:w="0" w:type="dxa"/>
            <w:left w:w="108" w:type="dxa"/>
            <w:bottom w:w="0" w:type="dxa"/>
            <w:right w:w="108" w:type="dxa"/>
          </w:tblCellMar>
        </w:tblPrEx>
        <w:trPr>
          <w:trHeight w:val="963" w:hRule="atLeast"/>
        </w:trPr>
        <w:tc>
          <w:tcPr>
            <w:tcW w:w="362" w:type="pct"/>
            <w:tcBorders>
              <w:top w:val="nil"/>
              <w:left w:val="single" w:color="auto" w:sz="4" w:space="0"/>
              <w:bottom w:val="single" w:color="auto" w:sz="4" w:space="0"/>
              <w:right w:val="single" w:color="auto" w:sz="4" w:space="0"/>
            </w:tcBorders>
            <w:vAlign w:val="center"/>
          </w:tcPr>
          <w:p w14:paraId="73739DF3">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2</w:t>
            </w:r>
          </w:p>
        </w:tc>
        <w:tc>
          <w:tcPr>
            <w:tcW w:w="579" w:type="pct"/>
            <w:tcBorders>
              <w:top w:val="nil"/>
              <w:left w:val="nil"/>
              <w:bottom w:val="single" w:color="auto" w:sz="4" w:space="0"/>
              <w:right w:val="single" w:color="auto" w:sz="4" w:space="0"/>
            </w:tcBorders>
            <w:vAlign w:val="center"/>
          </w:tcPr>
          <w:p w14:paraId="357F5E47">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门岗执勤人员</w:t>
            </w:r>
          </w:p>
        </w:tc>
        <w:tc>
          <w:tcPr>
            <w:tcW w:w="441" w:type="pct"/>
            <w:tcBorders>
              <w:top w:val="nil"/>
              <w:left w:val="nil"/>
              <w:bottom w:val="single" w:color="auto" w:sz="4" w:space="0"/>
              <w:right w:val="single" w:color="auto" w:sz="4" w:space="0"/>
            </w:tcBorders>
            <w:vAlign w:val="center"/>
          </w:tcPr>
          <w:p w14:paraId="72508BF4">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r>
              <w:rPr>
                <w:rFonts w:ascii="宋体" w:hAnsi="宋体" w:cs="宋体"/>
                <w:color w:val="auto"/>
                <w:kern w:val="0"/>
                <w:sz w:val="22"/>
                <w:highlight w:val="none"/>
              </w:rPr>
              <w:t>4</w:t>
            </w:r>
          </w:p>
        </w:tc>
        <w:tc>
          <w:tcPr>
            <w:tcW w:w="1515" w:type="pct"/>
            <w:tcBorders>
              <w:top w:val="nil"/>
              <w:left w:val="nil"/>
              <w:bottom w:val="single" w:color="auto" w:sz="4" w:space="0"/>
              <w:right w:val="single" w:color="auto" w:sz="4" w:space="0"/>
            </w:tcBorders>
            <w:vAlign w:val="center"/>
          </w:tcPr>
          <w:p w14:paraId="1715F865">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负责项目门岗执勤工作，白班及晚班</w:t>
            </w:r>
          </w:p>
        </w:tc>
        <w:tc>
          <w:tcPr>
            <w:tcW w:w="2101" w:type="pct"/>
            <w:tcBorders>
              <w:top w:val="nil"/>
              <w:left w:val="nil"/>
              <w:bottom w:val="single" w:color="auto" w:sz="4" w:space="0"/>
              <w:right w:val="single" w:color="auto" w:sz="4" w:space="0"/>
            </w:tcBorders>
            <w:vAlign w:val="center"/>
          </w:tcPr>
          <w:p w14:paraId="40E6EBC5">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项目主门岗</w:t>
            </w:r>
            <w:r>
              <w:rPr>
                <w:rFonts w:ascii="宋体" w:hAnsi="宋体" w:cs="宋体"/>
                <w:color w:val="auto"/>
                <w:kern w:val="0"/>
                <w:sz w:val="22"/>
                <w:highlight w:val="none"/>
              </w:rPr>
              <w:t>2个</w:t>
            </w:r>
            <w:r>
              <w:rPr>
                <w:rFonts w:hint="eastAsia" w:ascii="宋体" w:hAnsi="宋体" w:cs="宋体"/>
                <w:color w:val="auto"/>
                <w:kern w:val="0"/>
                <w:sz w:val="22"/>
                <w:highlight w:val="none"/>
              </w:rPr>
              <w:t>，主岀入口及人行岀入口，门岗采用车辆/人脸识别系统，主管外来人员机动车及非机动车车辆进岀等）</w:t>
            </w:r>
          </w:p>
        </w:tc>
      </w:tr>
      <w:tr w14:paraId="0D8C35C4">
        <w:tblPrEx>
          <w:tblCellMar>
            <w:top w:w="0" w:type="dxa"/>
            <w:left w:w="108" w:type="dxa"/>
            <w:bottom w:w="0" w:type="dxa"/>
            <w:right w:w="108" w:type="dxa"/>
          </w:tblCellMar>
        </w:tblPrEx>
        <w:trPr>
          <w:trHeight w:val="540" w:hRule="atLeast"/>
        </w:trPr>
        <w:tc>
          <w:tcPr>
            <w:tcW w:w="362" w:type="pct"/>
            <w:tcBorders>
              <w:top w:val="nil"/>
              <w:left w:val="single" w:color="auto" w:sz="4" w:space="0"/>
              <w:bottom w:val="single" w:color="auto" w:sz="4" w:space="0"/>
              <w:right w:val="single" w:color="auto" w:sz="4" w:space="0"/>
            </w:tcBorders>
            <w:vAlign w:val="center"/>
          </w:tcPr>
          <w:p w14:paraId="09430F23">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3</w:t>
            </w:r>
          </w:p>
        </w:tc>
        <w:tc>
          <w:tcPr>
            <w:tcW w:w="579" w:type="pct"/>
            <w:tcBorders>
              <w:top w:val="nil"/>
              <w:left w:val="nil"/>
              <w:bottom w:val="single" w:color="auto" w:sz="4" w:space="0"/>
              <w:right w:val="single" w:color="auto" w:sz="4" w:space="0"/>
            </w:tcBorders>
            <w:vAlign w:val="center"/>
          </w:tcPr>
          <w:p w14:paraId="6CA8740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监控岗</w:t>
            </w:r>
          </w:p>
        </w:tc>
        <w:tc>
          <w:tcPr>
            <w:tcW w:w="441" w:type="pct"/>
            <w:tcBorders>
              <w:top w:val="nil"/>
              <w:left w:val="nil"/>
              <w:bottom w:val="single" w:color="auto" w:sz="4" w:space="0"/>
              <w:right w:val="single" w:color="auto" w:sz="4" w:space="0"/>
            </w:tcBorders>
            <w:vAlign w:val="center"/>
          </w:tcPr>
          <w:p w14:paraId="157800DE">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r>
              <w:rPr>
                <w:rFonts w:ascii="宋体" w:hAnsi="宋体" w:cs="宋体"/>
                <w:color w:val="auto"/>
                <w:kern w:val="0"/>
                <w:sz w:val="22"/>
                <w:highlight w:val="none"/>
              </w:rPr>
              <w:t>2</w:t>
            </w:r>
          </w:p>
        </w:tc>
        <w:tc>
          <w:tcPr>
            <w:tcW w:w="1515" w:type="pct"/>
            <w:tcBorders>
              <w:top w:val="nil"/>
              <w:left w:val="nil"/>
              <w:bottom w:val="single" w:color="auto" w:sz="4" w:space="0"/>
              <w:right w:val="single" w:color="auto" w:sz="4" w:space="0"/>
            </w:tcBorders>
            <w:vAlign w:val="center"/>
          </w:tcPr>
          <w:p w14:paraId="37C613B3">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负责项目监控室执勤工作，白晚班各一人</w:t>
            </w:r>
          </w:p>
        </w:tc>
        <w:tc>
          <w:tcPr>
            <w:tcW w:w="2101" w:type="pct"/>
            <w:tcBorders>
              <w:top w:val="nil"/>
              <w:left w:val="nil"/>
              <w:bottom w:val="single" w:color="auto" w:sz="4" w:space="0"/>
              <w:right w:val="single" w:color="auto" w:sz="4" w:space="0"/>
            </w:tcBorders>
            <w:vAlign w:val="center"/>
          </w:tcPr>
          <w:p w14:paraId="44EE85B4">
            <w:pPr>
              <w:widowControl/>
              <w:jc w:val="left"/>
              <w:rPr>
                <w:rFonts w:hint="eastAsia" w:ascii="宋体" w:hAnsi="宋体" w:cs="宋体"/>
                <w:color w:val="auto"/>
                <w:kern w:val="0"/>
                <w:sz w:val="22"/>
                <w:highlight w:val="none"/>
              </w:rPr>
            </w:pPr>
          </w:p>
        </w:tc>
      </w:tr>
      <w:tr w14:paraId="101DF9EF">
        <w:tblPrEx>
          <w:tblCellMar>
            <w:top w:w="0" w:type="dxa"/>
            <w:left w:w="108" w:type="dxa"/>
            <w:bottom w:w="0" w:type="dxa"/>
            <w:right w:w="108" w:type="dxa"/>
          </w:tblCellMar>
        </w:tblPrEx>
        <w:trPr>
          <w:trHeight w:val="90" w:hRule="atLeast"/>
        </w:trPr>
        <w:tc>
          <w:tcPr>
            <w:tcW w:w="362" w:type="pct"/>
            <w:tcBorders>
              <w:top w:val="nil"/>
              <w:left w:val="single" w:color="auto" w:sz="4" w:space="0"/>
              <w:bottom w:val="single" w:color="auto" w:sz="4" w:space="0"/>
              <w:right w:val="single" w:color="auto" w:sz="4" w:space="0"/>
            </w:tcBorders>
            <w:vAlign w:val="center"/>
          </w:tcPr>
          <w:p w14:paraId="56F75ED8">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4</w:t>
            </w:r>
          </w:p>
        </w:tc>
        <w:tc>
          <w:tcPr>
            <w:tcW w:w="579" w:type="pct"/>
            <w:tcBorders>
              <w:top w:val="nil"/>
              <w:left w:val="nil"/>
              <w:bottom w:val="single" w:color="auto" w:sz="4" w:space="0"/>
              <w:right w:val="single" w:color="auto" w:sz="4" w:space="0"/>
            </w:tcBorders>
            <w:vAlign w:val="center"/>
          </w:tcPr>
          <w:p w14:paraId="6AFE589C">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巡逻岗（车管员）</w:t>
            </w:r>
          </w:p>
        </w:tc>
        <w:tc>
          <w:tcPr>
            <w:tcW w:w="441" w:type="pct"/>
            <w:tcBorders>
              <w:top w:val="nil"/>
              <w:left w:val="nil"/>
              <w:bottom w:val="single" w:color="auto" w:sz="4" w:space="0"/>
              <w:right w:val="single" w:color="auto" w:sz="4" w:space="0"/>
            </w:tcBorders>
            <w:vAlign w:val="center"/>
          </w:tcPr>
          <w:p w14:paraId="3A9A5833">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r>
              <w:rPr>
                <w:rFonts w:ascii="宋体" w:hAnsi="宋体" w:cs="宋体"/>
                <w:color w:val="auto"/>
                <w:kern w:val="0"/>
                <w:sz w:val="22"/>
                <w:highlight w:val="none"/>
              </w:rPr>
              <w:t>6</w:t>
            </w:r>
          </w:p>
        </w:tc>
        <w:tc>
          <w:tcPr>
            <w:tcW w:w="1515" w:type="pct"/>
            <w:tcBorders>
              <w:top w:val="nil"/>
              <w:left w:val="nil"/>
              <w:bottom w:val="single" w:color="auto" w:sz="4" w:space="0"/>
              <w:right w:val="single" w:color="auto" w:sz="4" w:space="0"/>
            </w:tcBorders>
            <w:vAlign w:val="center"/>
          </w:tcPr>
          <w:p w14:paraId="4E367C5C">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负责各交付区域内秩序维护工作、园区路面主干道管控工作（包含车辆、堆积物等）</w:t>
            </w:r>
          </w:p>
        </w:tc>
        <w:tc>
          <w:tcPr>
            <w:tcW w:w="2101" w:type="pct"/>
            <w:tcBorders>
              <w:top w:val="nil"/>
              <w:left w:val="nil"/>
              <w:bottom w:val="single" w:color="auto" w:sz="4" w:space="0"/>
              <w:right w:val="single" w:color="auto" w:sz="4" w:space="0"/>
            </w:tcBorders>
            <w:vAlign w:val="center"/>
          </w:tcPr>
          <w:p w14:paraId="1B4DBB7A">
            <w:pPr>
              <w:widowControl/>
              <w:jc w:val="left"/>
              <w:rPr>
                <w:rFonts w:hint="eastAsia" w:ascii="宋体" w:hAnsi="宋体" w:cs="宋体"/>
                <w:color w:val="auto"/>
                <w:kern w:val="0"/>
                <w:sz w:val="22"/>
                <w:highlight w:val="none"/>
              </w:rPr>
            </w:pPr>
          </w:p>
        </w:tc>
      </w:tr>
      <w:tr w14:paraId="416E10F6">
        <w:tblPrEx>
          <w:tblCellMar>
            <w:top w:w="0" w:type="dxa"/>
            <w:left w:w="108" w:type="dxa"/>
            <w:bottom w:w="0" w:type="dxa"/>
            <w:right w:w="108" w:type="dxa"/>
          </w:tblCellMar>
        </w:tblPrEx>
        <w:trPr>
          <w:trHeight w:val="499" w:hRule="atLeast"/>
        </w:trPr>
        <w:tc>
          <w:tcPr>
            <w:tcW w:w="5000" w:type="pct"/>
            <w:gridSpan w:val="5"/>
            <w:tcBorders>
              <w:top w:val="nil"/>
              <w:left w:val="single" w:color="auto" w:sz="4" w:space="0"/>
              <w:bottom w:val="single" w:color="auto" w:sz="4" w:space="0"/>
              <w:right w:val="single" w:color="auto" w:sz="4" w:space="0"/>
            </w:tcBorders>
            <w:vAlign w:val="center"/>
          </w:tcPr>
          <w:p w14:paraId="690A0BA8">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环境管理部（常白班）</w:t>
            </w:r>
          </w:p>
        </w:tc>
      </w:tr>
      <w:tr w14:paraId="5D30E1E2">
        <w:tblPrEx>
          <w:tblCellMar>
            <w:top w:w="0" w:type="dxa"/>
            <w:left w:w="108" w:type="dxa"/>
            <w:bottom w:w="0" w:type="dxa"/>
            <w:right w:w="108" w:type="dxa"/>
          </w:tblCellMar>
        </w:tblPrEx>
        <w:trPr>
          <w:trHeight w:val="540" w:hRule="atLeast"/>
        </w:trPr>
        <w:tc>
          <w:tcPr>
            <w:tcW w:w="362" w:type="pct"/>
            <w:tcBorders>
              <w:top w:val="nil"/>
              <w:left w:val="single" w:color="auto" w:sz="4" w:space="0"/>
              <w:bottom w:val="single" w:color="auto" w:sz="4" w:space="0"/>
              <w:right w:val="single" w:color="auto" w:sz="4" w:space="0"/>
            </w:tcBorders>
            <w:vAlign w:val="center"/>
          </w:tcPr>
          <w:p w14:paraId="368D7A8B">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1</w:t>
            </w:r>
          </w:p>
        </w:tc>
        <w:tc>
          <w:tcPr>
            <w:tcW w:w="579" w:type="pct"/>
            <w:tcBorders>
              <w:top w:val="nil"/>
              <w:left w:val="nil"/>
              <w:bottom w:val="single" w:color="auto" w:sz="4" w:space="0"/>
              <w:right w:val="single" w:color="auto" w:sz="4" w:space="0"/>
            </w:tcBorders>
            <w:vAlign w:val="center"/>
          </w:tcPr>
          <w:p w14:paraId="6CA303C8">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保洁员</w:t>
            </w:r>
          </w:p>
        </w:tc>
        <w:tc>
          <w:tcPr>
            <w:tcW w:w="441" w:type="pct"/>
            <w:tcBorders>
              <w:top w:val="nil"/>
              <w:left w:val="nil"/>
              <w:bottom w:val="single" w:color="auto" w:sz="4" w:space="0"/>
              <w:right w:val="single" w:color="auto" w:sz="4" w:space="0"/>
            </w:tcBorders>
            <w:vAlign w:val="center"/>
          </w:tcPr>
          <w:p w14:paraId="44D4EEF7">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1515" w:type="pct"/>
            <w:tcBorders>
              <w:top w:val="nil"/>
              <w:left w:val="nil"/>
              <w:bottom w:val="single" w:color="auto" w:sz="4" w:space="0"/>
              <w:right w:val="single" w:color="auto" w:sz="4" w:space="0"/>
            </w:tcBorders>
            <w:vAlign w:val="center"/>
          </w:tcPr>
          <w:p w14:paraId="37E0555E">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负责项目现场公共区域的环境卫生工作</w:t>
            </w:r>
          </w:p>
        </w:tc>
        <w:tc>
          <w:tcPr>
            <w:tcW w:w="2101" w:type="pct"/>
            <w:vMerge w:val="restart"/>
            <w:tcBorders>
              <w:top w:val="nil"/>
              <w:left w:val="single" w:color="auto" w:sz="4" w:space="0"/>
              <w:right w:val="single" w:color="auto" w:sz="4" w:space="0"/>
            </w:tcBorders>
            <w:vAlign w:val="center"/>
          </w:tcPr>
          <w:p w14:paraId="3437D69C">
            <w:pPr>
              <w:widowControl/>
              <w:jc w:val="left"/>
              <w:rPr>
                <w:rFonts w:hint="eastAsia" w:ascii="宋体" w:hAnsi="宋体" w:cs="宋体"/>
                <w:b/>
                <w:color w:val="auto"/>
                <w:kern w:val="0"/>
                <w:sz w:val="22"/>
                <w:highlight w:val="none"/>
              </w:rPr>
            </w:pPr>
            <w:r>
              <w:rPr>
                <w:rFonts w:hint="eastAsia" w:ascii="宋体" w:hAnsi="宋体" w:cs="宋体"/>
                <w:bCs/>
                <w:color w:val="auto"/>
                <w:kern w:val="0"/>
                <w:sz w:val="22"/>
                <w:highlight w:val="none"/>
              </w:rPr>
              <w:t>目前项目总交付建筑面积为90562.09平方米，以人机结合为前提。</w:t>
            </w:r>
          </w:p>
        </w:tc>
      </w:tr>
      <w:tr w14:paraId="5D1CEE43">
        <w:tblPrEx>
          <w:tblCellMar>
            <w:top w:w="0" w:type="dxa"/>
            <w:left w:w="108" w:type="dxa"/>
            <w:bottom w:w="0" w:type="dxa"/>
            <w:right w:w="108" w:type="dxa"/>
          </w:tblCellMar>
        </w:tblPrEx>
        <w:trPr>
          <w:trHeight w:val="545" w:hRule="atLeast"/>
        </w:trPr>
        <w:tc>
          <w:tcPr>
            <w:tcW w:w="362" w:type="pct"/>
            <w:tcBorders>
              <w:top w:val="nil"/>
              <w:left w:val="single" w:color="auto" w:sz="4" w:space="0"/>
              <w:bottom w:val="single" w:color="auto" w:sz="4" w:space="0"/>
              <w:right w:val="single" w:color="auto" w:sz="4" w:space="0"/>
            </w:tcBorders>
            <w:vAlign w:val="center"/>
          </w:tcPr>
          <w:p w14:paraId="37567252">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2</w:t>
            </w:r>
          </w:p>
        </w:tc>
        <w:tc>
          <w:tcPr>
            <w:tcW w:w="579" w:type="pct"/>
            <w:tcBorders>
              <w:top w:val="nil"/>
              <w:left w:val="nil"/>
              <w:bottom w:val="single" w:color="auto" w:sz="4" w:space="0"/>
              <w:right w:val="single" w:color="auto" w:sz="4" w:space="0"/>
            </w:tcBorders>
            <w:vAlign w:val="center"/>
          </w:tcPr>
          <w:p w14:paraId="0A6C77C1">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垃圾分类专管员</w:t>
            </w:r>
          </w:p>
        </w:tc>
        <w:tc>
          <w:tcPr>
            <w:tcW w:w="441" w:type="pct"/>
            <w:tcBorders>
              <w:top w:val="nil"/>
              <w:left w:val="nil"/>
              <w:bottom w:val="single" w:color="auto" w:sz="4" w:space="0"/>
              <w:right w:val="single" w:color="auto" w:sz="4" w:space="0"/>
            </w:tcBorders>
            <w:vAlign w:val="center"/>
          </w:tcPr>
          <w:p w14:paraId="7E3AD0EB">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3</w:t>
            </w:r>
          </w:p>
        </w:tc>
        <w:tc>
          <w:tcPr>
            <w:tcW w:w="1515" w:type="pct"/>
            <w:tcBorders>
              <w:top w:val="nil"/>
              <w:left w:val="nil"/>
              <w:bottom w:val="single" w:color="auto" w:sz="4" w:space="0"/>
              <w:right w:val="single" w:color="auto" w:sz="4" w:space="0"/>
            </w:tcBorders>
            <w:vAlign w:val="center"/>
          </w:tcPr>
          <w:p w14:paraId="316DD536">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负责小区内整体垃圾分类工作</w:t>
            </w:r>
          </w:p>
        </w:tc>
        <w:tc>
          <w:tcPr>
            <w:tcW w:w="2101" w:type="pct"/>
            <w:vMerge w:val="continue"/>
            <w:tcBorders>
              <w:left w:val="single" w:color="auto" w:sz="4" w:space="0"/>
              <w:right w:val="single" w:color="auto" w:sz="4" w:space="0"/>
            </w:tcBorders>
            <w:vAlign w:val="center"/>
          </w:tcPr>
          <w:p w14:paraId="5D994C9C">
            <w:pPr>
              <w:widowControl/>
              <w:jc w:val="left"/>
              <w:rPr>
                <w:rFonts w:hint="eastAsia" w:ascii="宋体" w:hAnsi="宋体" w:cs="宋体"/>
                <w:b/>
                <w:color w:val="auto"/>
                <w:kern w:val="0"/>
                <w:sz w:val="22"/>
                <w:highlight w:val="none"/>
              </w:rPr>
            </w:pPr>
          </w:p>
        </w:tc>
      </w:tr>
      <w:tr w14:paraId="70AF5C00">
        <w:tblPrEx>
          <w:tblCellMar>
            <w:top w:w="0" w:type="dxa"/>
            <w:left w:w="108" w:type="dxa"/>
            <w:bottom w:w="0" w:type="dxa"/>
            <w:right w:w="108" w:type="dxa"/>
          </w:tblCellMar>
        </w:tblPrEx>
        <w:trPr>
          <w:trHeight w:val="496" w:hRule="atLeast"/>
        </w:trPr>
        <w:tc>
          <w:tcPr>
            <w:tcW w:w="362" w:type="pct"/>
            <w:tcBorders>
              <w:top w:val="nil"/>
              <w:left w:val="single" w:color="auto" w:sz="4" w:space="0"/>
              <w:bottom w:val="single" w:color="auto" w:sz="4" w:space="0"/>
              <w:right w:val="single" w:color="auto" w:sz="4" w:space="0"/>
            </w:tcBorders>
            <w:vAlign w:val="center"/>
          </w:tcPr>
          <w:p w14:paraId="39ED6844">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3</w:t>
            </w:r>
          </w:p>
        </w:tc>
        <w:tc>
          <w:tcPr>
            <w:tcW w:w="579" w:type="pct"/>
            <w:tcBorders>
              <w:top w:val="nil"/>
              <w:left w:val="nil"/>
              <w:bottom w:val="single" w:color="auto" w:sz="4" w:space="0"/>
              <w:right w:val="single" w:color="auto" w:sz="4" w:space="0"/>
            </w:tcBorders>
            <w:vAlign w:val="center"/>
          </w:tcPr>
          <w:p w14:paraId="63C5D011">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绿化工</w:t>
            </w:r>
          </w:p>
        </w:tc>
        <w:tc>
          <w:tcPr>
            <w:tcW w:w="441" w:type="pct"/>
            <w:tcBorders>
              <w:top w:val="nil"/>
              <w:left w:val="nil"/>
              <w:bottom w:val="single" w:color="auto" w:sz="4" w:space="0"/>
              <w:right w:val="single" w:color="auto" w:sz="4" w:space="0"/>
            </w:tcBorders>
            <w:vAlign w:val="center"/>
          </w:tcPr>
          <w:p w14:paraId="36CC1470">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15" w:type="pct"/>
            <w:tcBorders>
              <w:top w:val="nil"/>
              <w:left w:val="nil"/>
              <w:bottom w:val="single" w:color="auto" w:sz="4" w:space="0"/>
              <w:right w:val="single" w:color="auto" w:sz="4" w:space="0"/>
            </w:tcBorders>
            <w:vAlign w:val="center"/>
          </w:tcPr>
          <w:p w14:paraId="4E38D49E">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负责现场的绿化工作</w:t>
            </w:r>
          </w:p>
        </w:tc>
        <w:tc>
          <w:tcPr>
            <w:tcW w:w="2101" w:type="pct"/>
            <w:vMerge w:val="continue"/>
            <w:tcBorders>
              <w:left w:val="single" w:color="auto" w:sz="4" w:space="0"/>
              <w:bottom w:val="single" w:color="auto" w:sz="4" w:space="0"/>
              <w:right w:val="single" w:color="auto" w:sz="4" w:space="0"/>
            </w:tcBorders>
            <w:vAlign w:val="center"/>
          </w:tcPr>
          <w:p w14:paraId="7541999F">
            <w:pPr>
              <w:widowControl/>
              <w:jc w:val="left"/>
              <w:rPr>
                <w:rFonts w:hint="eastAsia" w:ascii="宋体" w:hAnsi="宋体" w:cs="宋体"/>
                <w:b/>
                <w:color w:val="auto"/>
                <w:kern w:val="0"/>
                <w:sz w:val="22"/>
                <w:highlight w:val="none"/>
              </w:rPr>
            </w:pPr>
          </w:p>
        </w:tc>
      </w:tr>
      <w:tr w14:paraId="33300D8B">
        <w:tblPrEx>
          <w:tblCellMar>
            <w:top w:w="0" w:type="dxa"/>
            <w:left w:w="108" w:type="dxa"/>
            <w:bottom w:w="0" w:type="dxa"/>
            <w:right w:w="108" w:type="dxa"/>
          </w:tblCellMar>
        </w:tblPrEx>
        <w:trPr>
          <w:trHeight w:val="512" w:hRule="atLeast"/>
        </w:trPr>
        <w:tc>
          <w:tcPr>
            <w:tcW w:w="942" w:type="pct"/>
            <w:gridSpan w:val="2"/>
            <w:tcBorders>
              <w:top w:val="nil"/>
              <w:left w:val="single" w:color="auto" w:sz="4" w:space="0"/>
              <w:bottom w:val="single" w:color="auto" w:sz="4" w:space="0"/>
              <w:right w:val="single" w:color="auto" w:sz="4" w:space="0"/>
            </w:tcBorders>
            <w:vAlign w:val="center"/>
          </w:tcPr>
          <w:p w14:paraId="126953EE">
            <w:pPr>
              <w:widowControl/>
              <w:jc w:val="center"/>
              <w:rPr>
                <w:rFonts w:hint="eastAsia" w:ascii="宋体" w:hAnsi="宋体" w:cs="宋体"/>
                <w:bCs/>
                <w:color w:val="auto"/>
                <w:kern w:val="0"/>
                <w:sz w:val="22"/>
                <w:highlight w:val="none"/>
              </w:rPr>
            </w:pPr>
            <w:r>
              <w:rPr>
                <w:rFonts w:hint="eastAsia" w:ascii="宋体" w:hAnsi="宋体" w:cs="宋体"/>
                <w:b/>
                <w:color w:val="auto"/>
                <w:kern w:val="0"/>
                <w:sz w:val="22"/>
                <w:highlight w:val="none"/>
              </w:rPr>
              <w:t>　</w:t>
            </w:r>
            <w:r>
              <w:rPr>
                <w:rFonts w:hint="eastAsia" w:ascii="宋体" w:hAnsi="宋体" w:cs="宋体"/>
                <w:bCs/>
                <w:color w:val="auto"/>
                <w:kern w:val="0"/>
                <w:sz w:val="22"/>
                <w:highlight w:val="none"/>
              </w:rPr>
              <w:t>合计</w:t>
            </w:r>
          </w:p>
        </w:tc>
        <w:tc>
          <w:tcPr>
            <w:tcW w:w="441" w:type="pct"/>
            <w:tcBorders>
              <w:top w:val="nil"/>
              <w:left w:val="nil"/>
              <w:bottom w:val="single" w:color="auto" w:sz="4" w:space="0"/>
              <w:right w:val="single" w:color="auto" w:sz="4" w:space="0"/>
            </w:tcBorders>
            <w:vAlign w:val="center"/>
          </w:tcPr>
          <w:p w14:paraId="6DC58289">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25</w:t>
            </w:r>
          </w:p>
        </w:tc>
        <w:tc>
          <w:tcPr>
            <w:tcW w:w="3616" w:type="pct"/>
            <w:gridSpan w:val="2"/>
            <w:tcBorders>
              <w:top w:val="nil"/>
              <w:left w:val="nil"/>
              <w:bottom w:val="single" w:color="auto" w:sz="4" w:space="0"/>
              <w:right w:val="single" w:color="auto" w:sz="4" w:space="0"/>
            </w:tcBorders>
            <w:vAlign w:val="center"/>
          </w:tcPr>
          <w:p w14:paraId="4D2DC0FF">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p w14:paraId="6F51E0F5">
            <w:pPr>
              <w:widowControl/>
              <w:jc w:val="center"/>
              <w:rPr>
                <w:rFonts w:hint="eastAsia" w:ascii="宋体" w:hAnsi="宋体" w:cs="宋体"/>
                <w:b/>
                <w:color w:val="auto"/>
                <w:kern w:val="0"/>
                <w:sz w:val="22"/>
                <w:highlight w:val="none"/>
              </w:rPr>
            </w:pPr>
            <w:r>
              <w:rPr>
                <w:rFonts w:hint="eastAsia" w:ascii="宋体" w:hAnsi="宋体" w:cs="宋体"/>
                <w:bCs/>
                <w:color w:val="auto"/>
                <w:kern w:val="0"/>
                <w:sz w:val="22"/>
                <w:highlight w:val="none"/>
              </w:rPr>
              <w:t>/　</w:t>
            </w:r>
          </w:p>
        </w:tc>
      </w:tr>
    </w:tbl>
    <w:p w14:paraId="55844EC2">
      <w:pPr>
        <w:rPr>
          <w:color w:val="auto"/>
          <w:highlight w:val="none"/>
        </w:rPr>
      </w:pPr>
    </w:p>
    <w:p w14:paraId="4FCE4A55">
      <w:pPr>
        <w:tabs>
          <w:tab w:val="left" w:pos="432"/>
        </w:tabs>
        <w:ind w:firstLine="240" w:firstLineChars="10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br w:type="page"/>
      </w:r>
    </w:p>
    <w:p w14:paraId="38068143">
      <w:pPr>
        <w:pStyle w:val="3"/>
        <w:ind w:left="478" w:leftChars="195" w:hanging="10" w:hangingChars="4"/>
        <w:rPr>
          <w:rFonts w:hint="eastAsia" w:ascii="宋体" w:hAnsi="宋体" w:cs="宋体"/>
          <w:color w:val="auto"/>
          <w:kern w:val="0"/>
          <w:sz w:val="24"/>
          <w:szCs w:val="24"/>
          <w:highlight w:val="none"/>
          <w:lang w:val="en-US" w:bidi="ar"/>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C99ADC5">
      <w:pPr>
        <w:pStyle w:val="3"/>
        <w:ind w:left="478" w:leftChars="195" w:hanging="10" w:hangingChars="4"/>
        <w:rPr>
          <w:rFonts w:hint="eastAsia"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bidi="ar"/>
        </w:rPr>
        <w:t>五、服务标准</w:t>
      </w:r>
    </w:p>
    <w:p w14:paraId="5EAC54E0">
      <w:pPr>
        <w:widowControl/>
        <w:spacing w:before="225"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一、综合管理服务标准</w:t>
      </w:r>
    </w:p>
    <w:tbl>
      <w:tblPr>
        <w:tblStyle w:val="18"/>
        <w:tblW w:w="1329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1"/>
        <w:gridCol w:w="1074"/>
        <w:gridCol w:w="11596"/>
      </w:tblGrid>
      <w:tr w14:paraId="10AC34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blCellSpacing w:w="0" w:type="dxa"/>
          <w:jc w:val="center"/>
        </w:trPr>
        <w:tc>
          <w:tcPr>
            <w:tcW w:w="621" w:type="dxa"/>
            <w:vAlign w:val="center"/>
          </w:tcPr>
          <w:p w14:paraId="14410E63">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序号</w:t>
            </w:r>
          </w:p>
        </w:tc>
        <w:tc>
          <w:tcPr>
            <w:tcW w:w="1074" w:type="dxa"/>
            <w:vAlign w:val="center"/>
          </w:tcPr>
          <w:p w14:paraId="1ED1ACDB">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11596" w:type="dxa"/>
            <w:vAlign w:val="center"/>
          </w:tcPr>
          <w:p w14:paraId="6CE10C92">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710EC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jc w:val="center"/>
        </w:trPr>
        <w:tc>
          <w:tcPr>
            <w:tcW w:w="621" w:type="dxa"/>
            <w:vAlign w:val="center"/>
          </w:tcPr>
          <w:p w14:paraId="3954B51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w:t>
            </w:r>
          </w:p>
        </w:tc>
        <w:tc>
          <w:tcPr>
            <w:tcW w:w="1074" w:type="dxa"/>
            <w:vAlign w:val="center"/>
          </w:tcPr>
          <w:p w14:paraId="01B4880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管理处/服务中心设置</w:t>
            </w:r>
          </w:p>
        </w:tc>
        <w:tc>
          <w:tcPr>
            <w:tcW w:w="11596" w:type="dxa"/>
            <w:vAlign w:val="center"/>
          </w:tcPr>
          <w:p w14:paraId="05D254E0">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小区内设置专门的管理处/服务中心办公机构，办公设施设备较先进完备，应用计算机等现代化管理手段进行科学管理，办公场所整洁有序。</w:t>
            </w:r>
          </w:p>
        </w:tc>
      </w:tr>
      <w:tr w14:paraId="1EE95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jc w:val="center"/>
        </w:trPr>
        <w:tc>
          <w:tcPr>
            <w:tcW w:w="621" w:type="dxa"/>
            <w:vAlign w:val="center"/>
          </w:tcPr>
          <w:p w14:paraId="5ECC20E7">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2</w:t>
            </w:r>
          </w:p>
        </w:tc>
        <w:tc>
          <w:tcPr>
            <w:tcW w:w="1074" w:type="dxa"/>
            <w:vAlign w:val="center"/>
          </w:tcPr>
          <w:p w14:paraId="58172CB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管理服务</w:t>
            </w:r>
          </w:p>
          <w:p w14:paraId="0C1C1AF1">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人员要求</w:t>
            </w:r>
          </w:p>
        </w:tc>
        <w:tc>
          <w:tcPr>
            <w:tcW w:w="11596" w:type="dxa"/>
            <w:vAlign w:val="center"/>
          </w:tcPr>
          <w:p w14:paraId="2D423F95">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1.管理人员、专业操作人员按照国家有关规定取得物业管理职业资格证书或岗位证书。</w:t>
            </w:r>
          </w:p>
          <w:p w14:paraId="618DFB2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2.管理服务人员着装统一、佩戴标志，行为规范，服务主动、热情。</w:t>
            </w:r>
          </w:p>
        </w:tc>
      </w:tr>
      <w:tr w14:paraId="36AC9C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 w:hRule="atLeast"/>
          <w:tblCellSpacing w:w="0" w:type="dxa"/>
          <w:jc w:val="center"/>
        </w:trPr>
        <w:tc>
          <w:tcPr>
            <w:tcW w:w="621" w:type="dxa"/>
            <w:vAlign w:val="center"/>
          </w:tcPr>
          <w:p w14:paraId="77E4996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3</w:t>
            </w:r>
          </w:p>
        </w:tc>
        <w:tc>
          <w:tcPr>
            <w:tcW w:w="1074" w:type="dxa"/>
            <w:vAlign w:val="center"/>
          </w:tcPr>
          <w:p w14:paraId="17DE2571">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服务时间</w:t>
            </w:r>
          </w:p>
        </w:tc>
        <w:tc>
          <w:tcPr>
            <w:tcW w:w="11596" w:type="dxa"/>
            <w:vAlign w:val="center"/>
          </w:tcPr>
          <w:p w14:paraId="404F20DD">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周一至周日在管理处/服务中心进行业务接待，并提供服务,每天接待时间不少于8小时。</w:t>
            </w:r>
          </w:p>
        </w:tc>
      </w:tr>
      <w:tr w14:paraId="23EA2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jc w:val="center"/>
        </w:trPr>
        <w:tc>
          <w:tcPr>
            <w:tcW w:w="621" w:type="dxa"/>
            <w:vAlign w:val="center"/>
          </w:tcPr>
          <w:p w14:paraId="17042D6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4</w:t>
            </w:r>
          </w:p>
        </w:tc>
        <w:tc>
          <w:tcPr>
            <w:tcW w:w="1074" w:type="dxa"/>
            <w:vAlign w:val="center"/>
          </w:tcPr>
          <w:p w14:paraId="164ED95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日常管理与服务</w:t>
            </w:r>
          </w:p>
        </w:tc>
        <w:tc>
          <w:tcPr>
            <w:tcW w:w="11596" w:type="dxa"/>
            <w:vAlign w:val="center"/>
          </w:tcPr>
          <w:p w14:paraId="69F45097">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1.服务规范应符合杭州市物业管理行业规范要求，物业服务企业实施ISO9000质量管理体系，对服务过程进行控制。</w:t>
            </w:r>
          </w:p>
          <w:p w14:paraId="5CC4B255">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2.设有服务接待中心，公示24小时服务电话。急修半小时内，其他报修按双方约定时间到达现场，有完整的报修、维修和回访记录。</w:t>
            </w:r>
          </w:p>
          <w:p w14:paraId="00FA3BED">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3.对业主或使用人的投诉在24小时内答复处理。</w:t>
            </w:r>
          </w:p>
          <w:p w14:paraId="1AD9ACCC">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4.服务与被服务双方签订规范的物业服务合同，双方权利义务关系明确。</w:t>
            </w:r>
          </w:p>
          <w:p w14:paraId="2BC6BC58">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5.按照住宅装饰装修管理有关规定和管理规约（临时管理规约）要求，建立完善的住宅装饰装修管理制度。装修前，依规定审核业主（使用人）的装修方案，书面告知装修人有关装饰装修的禁止行为和注意事项。根据装修进度情况每周不少于3次巡查装修施工现场，发现影响房屋外观、危及房屋结构安全及拆改共用管线等损害公共利益现象的，及时劝阻并报告社区物业管理委员会和有关主管部门。</w:t>
            </w:r>
          </w:p>
          <w:p w14:paraId="02343DB9">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6.按有关规定和合同约定公布物业服务资金的收支情况或物业经营性收支情况。</w:t>
            </w:r>
          </w:p>
          <w:p w14:paraId="29309173">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7.按有关规定规范使用物业专项维修资金。</w:t>
            </w:r>
          </w:p>
          <w:p w14:paraId="4748C38E">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8.有完善的物业管理方案，质量管理、财务管理、档案管理等制度健全。</w:t>
            </w:r>
          </w:p>
          <w:p w14:paraId="4D82FE75">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9.制定小区物业管理与物业服务工作计划，并组织实施。</w:t>
            </w:r>
          </w:p>
          <w:p w14:paraId="3568A4D3">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10.每年至少1次征询业主对物业服务的意见，满意率80%以上，对合理的意见与建议及时整改。</w:t>
            </w:r>
          </w:p>
          <w:p w14:paraId="0A87EFB9">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11.服务窗口应公开办事制度、办事纪律、收费项目和标准。</w:t>
            </w:r>
          </w:p>
          <w:p w14:paraId="1C04411C">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12.对违反规划私搭乱建和擅自改变房屋用途的行为及时劝阻，并报告业主委员会和相关主管部门。</w:t>
            </w:r>
          </w:p>
          <w:p w14:paraId="6A428BC9">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13.小区主出入口设有小区平面示意图，主要路口设有路标。各组团、栋及单元（门）、户和公共配套设施、场地有明显标志。</w:t>
            </w:r>
          </w:p>
          <w:p w14:paraId="15F99C3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14.承接项目时，对住宅小区共用部位、共用设施设备进行认真查验，签订物业管理交接验收协议，验收手续齐全。</w:t>
            </w:r>
          </w:p>
        </w:tc>
      </w:tr>
    </w:tbl>
    <w:p w14:paraId="68BBB194">
      <w:pPr>
        <w:widowControl/>
        <w:jc w:val="left"/>
        <w:rPr>
          <w:rFonts w:hint="eastAsia" w:ascii="宋体" w:hAnsi="宋体" w:cs="宋体"/>
          <w:b/>
          <w:color w:val="auto"/>
          <w:kern w:val="0"/>
          <w:highlight w:val="none"/>
        </w:rPr>
      </w:pPr>
      <w:r>
        <w:rPr>
          <w:rFonts w:hint="eastAsia" w:ascii="宋体" w:hAnsi="宋体" w:cs="宋体"/>
          <w:b/>
          <w:color w:val="auto"/>
          <w:kern w:val="0"/>
          <w:highlight w:val="none"/>
        </w:rPr>
        <w:br w:type="page"/>
      </w:r>
    </w:p>
    <w:p w14:paraId="0398653E">
      <w:pPr>
        <w:widowControl/>
        <w:spacing w:before="225" w:line="360" w:lineRule="auto"/>
        <w:jc w:val="center"/>
        <w:textAlignment w:val="baseline"/>
        <w:rPr>
          <w:rFonts w:hint="eastAsia" w:ascii="宋体" w:hAnsi="宋体" w:cs="微软雅黑"/>
          <w:color w:val="auto"/>
          <w:kern w:val="0"/>
          <w:highlight w:val="none"/>
        </w:rPr>
      </w:pPr>
      <w:r>
        <w:rPr>
          <w:rFonts w:hint="eastAsia" w:ascii="宋体" w:hAnsi="宋体" w:cs="宋体"/>
          <w:b/>
          <w:color w:val="auto"/>
          <w:kern w:val="0"/>
          <w:highlight w:val="none"/>
        </w:rPr>
        <w:t>二、公共区域清洁卫生服务标准</w:t>
      </w:r>
    </w:p>
    <w:tbl>
      <w:tblPr>
        <w:tblStyle w:val="18"/>
        <w:tblW w:w="13202"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1068"/>
        <w:gridCol w:w="1740"/>
        <w:gridCol w:w="9727"/>
      </w:tblGrid>
      <w:tr w14:paraId="348C21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blCellSpacing w:w="0" w:type="dxa"/>
        </w:trPr>
        <w:tc>
          <w:tcPr>
            <w:tcW w:w="667" w:type="dxa"/>
            <w:vAlign w:val="center"/>
          </w:tcPr>
          <w:p w14:paraId="0870B346">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项目</w:t>
            </w:r>
          </w:p>
        </w:tc>
        <w:tc>
          <w:tcPr>
            <w:tcW w:w="1068" w:type="dxa"/>
            <w:vAlign w:val="center"/>
          </w:tcPr>
          <w:p w14:paraId="669A3D4C">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序号</w:t>
            </w:r>
          </w:p>
        </w:tc>
        <w:tc>
          <w:tcPr>
            <w:tcW w:w="1740" w:type="dxa"/>
            <w:vAlign w:val="center"/>
          </w:tcPr>
          <w:p w14:paraId="462E87A4">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9727" w:type="dxa"/>
            <w:vAlign w:val="center"/>
          </w:tcPr>
          <w:p w14:paraId="02168229">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58C6E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restart"/>
            <w:vAlign w:val="center"/>
          </w:tcPr>
          <w:p w14:paraId="7EF6DDA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楼内公共区域</w:t>
            </w:r>
          </w:p>
        </w:tc>
        <w:tc>
          <w:tcPr>
            <w:tcW w:w="1068" w:type="dxa"/>
            <w:vAlign w:val="center"/>
          </w:tcPr>
          <w:p w14:paraId="5FA2FF0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w:t>
            </w:r>
          </w:p>
        </w:tc>
        <w:tc>
          <w:tcPr>
            <w:tcW w:w="1740" w:type="dxa"/>
            <w:vAlign w:val="center"/>
          </w:tcPr>
          <w:p w14:paraId="0B1F816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地面</w:t>
            </w:r>
          </w:p>
        </w:tc>
        <w:tc>
          <w:tcPr>
            <w:tcW w:w="9727" w:type="dxa"/>
            <w:vAlign w:val="center"/>
          </w:tcPr>
          <w:p w14:paraId="52B3DA3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每周清扫二次</w:t>
            </w:r>
          </w:p>
        </w:tc>
      </w:tr>
      <w:tr w14:paraId="178487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619579AB">
            <w:pPr>
              <w:spacing w:line="360" w:lineRule="auto"/>
              <w:textAlignment w:val="baseline"/>
              <w:rPr>
                <w:rFonts w:hint="eastAsia" w:ascii="宋体" w:hAnsi="宋体" w:cs="微软雅黑"/>
                <w:color w:val="auto"/>
                <w:highlight w:val="none"/>
              </w:rPr>
            </w:pPr>
          </w:p>
        </w:tc>
        <w:tc>
          <w:tcPr>
            <w:tcW w:w="1068" w:type="dxa"/>
            <w:vAlign w:val="center"/>
          </w:tcPr>
          <w:p w14:paraId="3E698D1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2</w:t>
            </w:r>
          </w:p>
        </w:tc>
        <w:tc>
          <w:tcPr>
            <w:tcW w:w="1740" w:type="dxa"/>
            <w:vAlign w:val="center"/>
          </w:tcPr>
          <w:p w14:paraId="7256310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扶手、开关盒、表箱盖、单元门、信报箱</w:t>
            </w:r>
          </w:p>
        </w:tc>
        <w:tc>
          <w:tcPr>
            <w:tcW w:w="9727" w:type="dxa"/>
            <w:vAlign w:val="center"/>
          </w:tcPr>
          <w:p w14:paraId="6FA4921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扶手、信报箱、2M以下单元门、开关盒、表箱盖每周擦抹二次，2M以上单元门、开关盒、表箱盖每月清洁一次。</w:t>
            </w:r>
          </w:p>
        </w:tc>
      </w:tr>
      <w:tr w14:paraId="126712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5261F1D1">
            <w:pPr>
              <w:spacing w:line="360" w:lineRule="auto"/>
              <w:textAlignment w:val="baseline"/>
              <w:rPr>
                <w:rFonts w:hint="eastAsia" w:ascii="宋体" w:hAnsi="宋体" w:cs="微软雅黑"/>
                <w:color w:val="auto"/>
                <w:highlight w:val="none"/>
              </w:rPr>
            </w:pPr>
          </w:p>
        </w:tc>
        <w:tc>
          <w:tcPr>
            <w:tcW w:w="1068" w:type="dxa"/>
            <w:vAlign w:val="center"/>
          </w:tcPr>
          <w:p w14:paraId="1286B0E7">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3</w:t>
            </w:r>
          </w:p>
        </w:tc>
        <w:tc>
          <w:tcPr>
            <w:tcW w:w="1740" w:type="dxa"/>
            <w:vAlign w:val="center"/>
          </w:tcPr>
          <w:p w14:paraId="543D3674">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栏杆</w:t>
            </w:r>
          </w:p>
        </w:tc>
        <w:tc>
          <w:tcPr>
            <w:tcW w:w="9727" w:type="dxa"/>
            <w:vAlign w:val="center"/>
          </w:tcPr>
          <w:p w14:paraId="4B5EE43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每周擦抹一次。</w:t>
            </w:r>
          </w:p>
        </w:tc>
      </w:tr>
      <w:tr w14:paraId="3AB416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172FACF9">
            <w:pPr>
              <w:spacing w:line="360" w:lineRule="auto"/>
              <w:textAlignment w:val="baseline"/>
              <w:rPr>
                <w:rFonts w:hint="eastAsia" w:ascii="宋体" w:hAnsi="宋体" w:cs="微软雅黑"/>
                <w:color w:val="auto"/>
                <w:highlight w:val="none"/>
              </w:rPr>
            </w:pPr>
          </w:p>
        </w:tc>
        <w:tc>
          <w:tcPr>
            <w:tcW w:w="1068" w:type="dxa"/>
            <w:vAlign w:val="center"/>
          </w:tcPr>
          <w:p w14:paraId="1B0B814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4</w:t>
            </w:r>
          </w:p>
        </w:tc>
        <w:tc>
          <w:tcPr>
            <w:tcW w:w="1740" w:type="dxa"/>
            <w:vAlign w:val="center"/>
          </w:tcPr>
          <w:p w14:paraId="236B832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天花板、公共灯具</w:t>
            </w:r>
          </w:p>
        </w:tc>
        <w:tc>
          <w:tcPr>
            <w:tcW w:w="9727" w:type="dxa"/>
            <w:vAlign w:val="center"/>
          </w:tcPr>
          <w:p w14:paraId="6E93E48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每月除尘一次。</w:t>
            </w:r>
          </w:p>
        </w:tc>
      </w:tr>
      <w:tr w14:paraId="5318B8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29E00E9D">
            <w:pPr>
              <w:spacing w:line="360" w:lineRule="auto"/>
              <w:textAlignment w:val="baseline"/>
              <w:rPr>
                <w:rFonts w:hint="eastAsia" w:ascii="宋体" w:hAnsi="宋体" w:cs="微软雅黑"/>
                <w:color w:val="auto"/>
                <w:highlight w:val="none"/>
              </w:rPr>
            </w:pPr>
          </w:p>
        </w:tc>
        <w:tc>
          <w:tcPr>
            <w:tcW w:w="1068" w:type="dxa"/>
            <w:vAlign w:val="center"/>
          </w:tcPr>
          <w:p w14:paraId="139D5D54">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5</w:t>
            </w:r>
          </w:p>
        </w:tc>
        <w:tc>
          <w:tcPr>
            <w:tcW w:w="1740" w:type="dxa"/>
            <w:vAlign w:val="center"/>
          </w:tcPr>
          <w:p w14:paraId="17120D2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单元门</w:t>
            </w:r>
          </w:p>
        </w:tc>
        <w:tc>
          <w:tcPr>
            <w:tcW w:w="9727" w:type="dxa"/>
            <w:vAlign w:val="center"/>
          </w:tcPr>
          <w:p w14:paraId="2A8F360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每周擦抹一次。</w:t>
            </w:r>
          </w:p>
        </w:tc>
      </w:tr>
      <w:tr w14:paraId="0EC7D8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76779ABE">
            <w:pPr>
              <w:spacing w:line="360" w:lineRule="auto"/>
              <w:textAlignment w:val="baseline"/>
              <w:rPr>
                <w:rFonts w:hint="eastAsia" w:ascii="宋体" w:hAnsi="宋体" w:cs="微软雅黑"/>
                <w:color w:val="auto"/>
                <w:highlight w:val="none"/>
              </w:rPr>
            </w:pPr>
          </w:p>
        </w:tc>
        <w:tc>
          <w:tcPr>
            <w:tcW w:w="1068" w:type="dxa"/>
            <w:vAlign w:val="center"/>
          </w:tcPr>
          <w:p w14:paraId="6578634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6</w:t>
            </w:r>
          </w:p>
        </w:tc>
        <w:tc>
          <w:tcPr>
            <w:tcW w:w="1740" w:type="dxa"/>
            <w:vAlign w:val="center"/>
          </w:tcPr>
          <w:p w14:paraId="5685AF8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楼道玻璃</w:t>
            </w:r>
          </w:p>
        </w:tc>
        <w:tc>
          <w:tcPr>
            <w:tcW w:w="9727" w:type="dxa"/>
            <w:vAlign w:val="center"/>
          </w:tcPr>
          <w:p w14:paraId="61AB96D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每月清洁一次。</w:t>
            </w:r>
          </w:p>
        </w:tc>
      </w:tr>
      <w:tr w14:paraId="5B01A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23BB5224">
            <w:pPr>
              <w:spacing w:line="360" w:lineRule="auto"/>
              <w:textAlignment w:val="baseline"/>
              <w:rPr>
                <w:rFonts w:hint="eastAsia" w:ascii="宋体" w:hAnsi="宋体" w:cs="微软雅黑"/>
                <w:color w:val="auto"/>
                <w:highlight w:val="none"/>
              </w:rPr>
            </w:pPr>
          </w:p>
        </w:tc>
        <w:tc>
          <w:tcPr>
            <w:tcW w:w="1068" w:type="dxa"/>
            <w:vAlign w:val="center"/>
          </w:tcPr>
          <w:p w14:paraId="644AF4F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7</w:t>
            </w:r>
          </w:p>
        </w:tc>
        <w:tc>
          <w:tcPr>
            <w:tcW w:w="1740" w:type="dxa"/>
            <w:vAlign w:val="center"/>
          </w:tcPr>
          <w:p w14:paraId="2AA5537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天台、屋顶</w:t>
            </w:r>
          </w:p>
        </w:tc>
        <w:tc>
          <w:tcPr>
            <w:tcW w:w="9727" w:type="dxa"/>
            <w:vAlign w:val="center"/>
          </w:tcPr>
          <w:p w14:paraId="237F057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每季度清理一次。</w:t>
            </w:r>
          </w:p>
        </w:tc>
      </w:tr>
      <w:tr w14:paraId="0EEDE2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blCellSpacing w:w="0" w:type="dxa"/>
        </w:trPr>
        <w:tc>
          <w:tcPr>
            <w:tcW w:w="667" w:type="dxa"/>
            <w:vMerge w:val="continue"/>
            <w:vAlign w:val="center"/>
          </w:tcPr>
          <w:p w14:paraId="69ED5B66">
            <w:pPr>
              <w:spacing w:line="360" w:lineRule="auto"/>
              <w:textAlignment w:val="baseline"/>
              <w:rPr>
                <w:rFonts w:hint="eastAsia" w:ascii="宋体" w:hAnsi="宋体" w:cs="微软雅黑"/>
                <w:color w:val="auto"/>
                <w:highlight w:val="none"/>
              </w:rPr>
            </w:pPr>
          </w:p>
        </w:tc>
        <w:tc>
          <w:tcPr>
            <w:tcW w:w="1068" w:type="dxa"/>
            <w:vAlign w:val="center"/>
          </w:tcPr>
          <w:p w14:paraId="51D8457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8</w:t>
            </w:r>
          </w:p>
        </w:tc>
        <w:tc>
          <w:tcPr>
            <w:tcW w:w="1740" w:type="dxa"/>
            <w:vAlign w:val="center"/>
          </w:tcPr>
          <w:p w14:paraId="70ED2E1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电梯轿厢</w:t>
            </w:r>
          </w:p>
        </w:tc>
        <w:tc>
          <w:tcPr>
            <w:tcW w:w="9727" w:type="dxa"/>
            <w:vAlign w:val="center"/>
          </w:tcPr>
          <w:p w14:paraId="560EC023">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每周擦拭、清扫二次，每周拖洗一次。</w:t>
            </w:r>
          </w:p>
        </w:tc>
      </w:tr>
      <w:tr w14:paraId="4C3B2C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blCellSpacing w:w="0" w:type="dxa"/>
        </w:trPr>
        <w:tc>
          <w:tcPr>
            <w:tcW w:w="667" w:type="dxa"/>
            <w:vMerge w:val="continue"/>
            <w:vAlign w:val="center"/>
          </w:tcPr>
          <w:p w14:paraId="570980B4">
            <w:pPr>
              <w:spacing w:line="360" w:lineRule="auto"/>
              <w:textAlignment w:val="baseline"/>
              <w:rPr>
                <w:rFonts w:hint="eastAsia" w:ascii="宋体" w:hAnsi="宋体" w:cs="微软雅黑"/>
                <w:color w:val="auto"/>
                <w:highlight w:val="none"/>
              </w:rPr>
            </w:pPr>
          </w:p>
        </w:tc>
        <w:tc>
          <w:tcPr>
            <w:tcW w:w="1068" w:type="dxa"/>
            <w:vAlign w:val="center"/>
          </w:tcPr>
          <w:p w14:paraId="229B5C5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9</w:t>
            </w:r>
          </w:p>
        </w:tc>
        <w:tc>
          <w:tcPr>
            <w:tcW w:w="1740" w:type="dxa"/>
            <w:vAlign w:val="center"/>
          </w:tcPr>
          <w:p w14:paraId="3D338054">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车库</w:t>
            </w:r>
          </w:p>
        </w:tc>
        <w:tc>
          <w:tcPr>
            <w:tcW w:w="9727" w:type="dxa"/>
            <w:vAlign w:val="center"/>
          </w:tcPr>
          <w:p w14:paraId="7BCEEBD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每周清扫一次。车库顶一季度一次</w:t>
            </w:r>
          </w:p>
        </w:tc>
      </w:tr>
      <w:tr w14:paraId="7DFE16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restart"/>
            <w:vAlign w:val="center"/>
          </w:tcPr>
          <w:p w14:paraId="1526A20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楼外公共区域</w:t>
            </w:r>
          </w:p>
        </w:tc>
        <w:tc>
          <w:tcPr>
            <w:tcW w:w="1068" w:type="dxa"/>
            <w:vAlign w:val="center"/>
          </w:tcPr>
          <w:p w14:paraId="0622F8F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10</w:t>
            </w:r>
          </w:p>
        </w:tc>
        <w:tc>
          <w:tcPr>
            <w:tcW w:w="1740" w:type="dxa"/>
            <w:vAlign w:val="center"/>
          </w:tcPr>
          <w:p w14:paraId="06B57FA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垃圾收集</w:t>
            </w:r>
          </w:p>
        </w:tc>
        <w:tc>
          <w:tcPr>
            <w:tcW w:w="9727" w:type="dxa"/>
            <w:vAlign w:val="center"/>
          </w:tcPr>
          <w:p w14:paraId="7BEE3F4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设置垃圾收集点，每日清理二次，配置垃圾分类督导员，进行垃圾分类管理，收集点周围地面无散落垃圾、无污迹、无异味。</w:t>
            </w:r>
          </w:p>
        </w:tc>
      </w:tr>
      <w:tr w14:paraId="40315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17B5F860">
            <w:pPr>
              <w:spacing w:line="360" w:lineRule="auto"/>
              <w:textAlignment w:val="baseline"/>
              <w:rPr>
                <w:rFonts w:hint="eastAsia" w:ascii="宋体" w:hAnsi="宋体" w:cs="微软雅黑"/>
                <w:color w:val="auto"/>
                <w:highlight w:val="none"/>
              </w:rPr>
            </w:pPr>
          </w:p>
        </w:tc>
        <w:tc>
          <w:tcPr>
            <w:tcW w:w="1068" w:type="dxa"/>
            <w:vAlign w:val="center"/>
          </w:tcPr>
          <w:p w14:paraId="3B063A0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11</w:t>
            </w:r>
          </w:p>
        </w:tc>
        <w:tc>
          <w:tcPr>
            <w:tcW w:w="1740" w:type="dxa"/>
            <w:vAlign w:val="center"/>
          </w:tcPr>
          <w:p w14:paraId="78ED703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道路地面、绿地、明沟</w:t>
            </w:r>
          </w:p>
        </w:tc>
        <w:tc>
          <w:tcPr>
            <w:tcW w:w="9727" w:type="dxa"/>
            <w:vAlign w:val="center"/>
          </w:tcPr>
          <w:p w14:paraId="47F5EA7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道路地面、绿地每日清扫二次，并巡回保洁，做到无明显暴露垃圾、无卫生死角；明沟每周清扫一次。</w:t>
            </w:r>
          </w:p>
        </w:tc>
      </w:tr>
      <w:tr w14:paraId="685BE6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3F4C799C">
            <w:pPr>
              <w:spacing w:line="360" w:lineRule="auto"/>
              <w:textAlignment w:val="baseline"/>
              <w:rPr>
                <w:rFonts w:hint="eastAsia" w:ascii="宋体" w:hAnsi="宋体" w:cs="微软雅黑"/>
                <w:color w:val="auto"/>
                <w:highlight w:val="none"/>
              </w:rPr>
            </w:pPr>
          </w:p>
        </w:tc>
        <w:tc>
          <w:tcPr>
            <w:tcW w:w="1068" w:type="dxa"/>
            <w:vAlign w:val="center"/>
          </w:tcPr>
          <w:p w14:paraId="73E2259E">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12</w:t>
            </w:r>
          </w:p>
        </w:tc>
        <w:tc>
          <w:tcPr>
            <w:tcW w:w="1740" w:type="dxa"/>
            <w:vAlign w:val="center"/>
          </w:tcPr>
          <w:p w14:paraId="45CA175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宣传栏、小品等</w:t>
            </w:r>
          </w:p>
        </w:tc>
        <w:tc>
          <w:tcPr>
            <w:tcW w:w="9727" w:type="dxa"/>
            <w:vAlign w:val="center"/>
          </w:tcPr>
          <w:p w14:paraId="74EDF84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每半月清洁一次。</w:t>
            </w:r>
          </w:p>
        </w:tc>
      </w:tr>
      <w:tr w14:paraId="7C70EB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289894DF">
            <w:pPr>
              <w:spacing w:line="360" w:lineRule="auto"/>
              <w:textAlignment w:val="baseline"/>
              <w:rPr>
                <w:rFonts w:hint="eastAsia" w:ascii="宋体" w:hAnsi="宋体" w:cs="微软雅黑"/>
                <w:color w:val="auto"/>
                <w:highlight w:val="none"/>
              </w:rPr>
            </w:pPr>
          </w:p>
        </w:tc>
        <w:tc>
          <w:tcPr>
            <w:tcW w:w="1068" w:type="dxa"/>
            <w:vAlign w:val="center"/>
          </w:tcPr>
          <w:p w14:paraId="009405C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13</w:t>
            </w:r>
          </w:p>
        </w:tc>
        <w:tc>
          <w:tcPr>
            <w:tcW w:w="1740" w:type="dxa"/>
            <w:vAlign w:val="center"/>
          </w:tcPr>
          <w:p w14:paraId="49AE8A2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垃圾厢房</w:t>
            </w:r>
          </w:p>
        </w:tc>
        <w:tc>
          <w:tcPr>
            <w:tcW w:w="9727" w:type="dxa"/>
            <w:vAlign w:val="center"/>
          </w:tcPr>
          <w:p w14:paraId="47F77C86">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监督垃圾房每天冲洗一次，垃圾桶内胆夏天每天冲洗一次，冬天隔天冲洗一次。</w:t>
            </w:r>
          </w:p>
        </w:tc>
      </w:tr>
      <w:tr w14:paraId="0DEFC4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12F48CC3">
            <w:pPr>
              <w:spacing w:line="360" w:lineRule="auto"/>
              <w:textAlignment w:val="baseline"/>
              <w:rPr>
                <w:rFonts w:hint="eastAsia" w:ascii="宋体" w:hAnsi="宋体" w:cs="微软雅黑"/>
                <w:color w:val="auto"/>
                <w:highlight w:val="none"/>
              </w:rPr>
            </w:pPr>
          </w:p>
        </w:tc>
        <w:tc>
          <w:tcPr>
            <w:tcW w:w="1068" w:type="dxa"/>
            <w:vAlign w:val="center"/>
          </w:tcPr>
          <w:p w14:paraId="4AC8D10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14</w:t>
            </w:r>
          </w:p>
        </w:tc>
        <w:tc>
          <w:tcPr>
            <w:tcW w:w="1740" w:type="dxa"/>
            <w:vAlign w:val="center"/>
          </w:tcPr>
          <w:p w14:paraId="15070E1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果皮箱、垃圾桶</w:t>
            </w:r>
          </w:p>
        </w:tc>
        <w:tc>
          <w:tcPr>
            <w:tcW w:w="9727" w:type="dxa"/>
            <w:vAlign w:val="center"/>
          </w:tcPr>
          <w:p w14:paraId="4AB49CCA">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合理设置。监督每日清理一次，擦拭一次，箱（桶）无满溢、无异味、无污迹。</w:t>
            </w:r>
          </w:p>
        </w:tc>
      </w:tr>
      <w:tr w14:paraId="5C9637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425A06A1">
            <w:pPr>
              <w:spacing w:line="360" w:lineRule="auto"/>
              <w:textAlignment w:val="baseline"/>
              <w:rPr>
                <w:rFonts w:hint="eastAsia" w:ascii="宋体" w:hAnsi="宋体" w:cs="微软雅黑"/>
                <w:color w:val="auto"/>
                <w:highlight w:val="none"/>
              </w:rPr>
            </w:pPr>
          </w:p>
        </w:tc>
        <w:tc>
          <w:tcPr>
            <w:tcW w:w="1068" w:type="dxa"/>
            <w:vAlign w:val="center"/>
          </w:tcPr>
          <w:p w14:paraId="12BD352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15</w:t>
            </w:r>
          </w:p>
        </w:tc>
        <w:tc>
          <w:tcPr>
            <w:tcW w:w="1740" w:type="dxa"/>
            <w:vAlign w:val="center"/>
          </w:tcPr>
          <w:p w14:paraId="7FAC7A1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消毒灭害</w:t>
            </w:r>
          </w:p>
        </w:tc>
        <w:tc>
          <w:tcPr>
            <w:tcW w:w="9727" w:type="dxa"/>
            <w:vAlign w:val="center"/>
          </w:tcPr>
          <w:p w14:paraId="16D3F622">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每季对窨井、明沟、垃圾房喷洒药水一次（6、7、8、9月每月喷洒一次），每年灭鼠三次。</w:t>
            </w:r>
          </w:p>
        </w:tc>
      </w:tr>
    </w:tbl>
    <w:p w14:paraId="09EBE361">
      <w:pPr>
        <w:spacing w:line="360" w:lineRule="auto"/>
        <w:jc w:val="center"/>
        <w:textAlignment w:val="baseline"/>
        <w:rPr>
          <w:rFonts w:hint="eastAsia" w:ascii="宋体" w:hAnsi="宋体" w:cs="宋体"/>
          <w:b/>
          <w:color w:val="auto"/>
          <w:highlight w:val="none"/>
        </w:rPr>
        <w:sectPr>
          <w:pgSz w:w="16838" w:h="11906" w:orient="landscape"/>
          <w:pgMar w:top="1803" w:right="1440" w:bottom="1803" w:left="1440" w:header="851" w:footer="992" w:gutter="0"/>
          <w:cols w:space="720" w:num="1"/>
          <w:docGrid w:type="lines" w:linePitch="319" w:charSpace="0"/>
        </w:sectPr>
      </w:pPr>
    </w:p>
    <w:p w14:paraId="397EABC6">
      <w:pPr>
        <w:spacing w:line="360" w:lineRule="auto"/>
        <w:jc w:val="center"/>
        <w:textAlignment w:val="baseline"/>
        <w:rPr>
          <w:rFonts w:hint="eastAsia" w:ascii="宋体" w:hAnsi="宋体" w:cs="微软雅黑"/>
          <w:color w:val="auto"/>
          <w:highlight w:val="none"/>
        </w:rPr>
      </w:pPr>
      <w:r>
        <w:rPr>
          <w:rFonts w:hint="eastAsia" w:ascii="宋体" w:hAnsi="宋体" w:cs="宋体"/>
          <w:b/>
          <w:color w:val="auto"/>
          <w:highlight w:val="none"/>
        </w:rPr>
        <w:t>三、公共区域秩序维护服务标准</w:t>
      </w:r>
    </w:p>
    <w:tbl>
      <w:tblPr>
        <w:tblStyle w:val="18"/>
        <w:tblW w:w="13252"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57"/>
        <w:gridCol w:w="1055"/>
        <w:gridCol w:w="11540"/>
      </w:tblGrid>
      <w:tr w14:paraId="46DA7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blCellSpacing w:w="0" w:type="dxa"/>
        </w:trPr>
        <w:tc>
          <w:tcPr>
            <w:tcW w:w="657" w:type="dxa"/>
            <w:vAlign w:val="center"/>
          </w:tcPr>
          <w:p w14:paraId="4B9092DC">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序号</w:t>
            </w:r>
          </w:p>
        </w:tc>
        <w:tc>
          <w:tcPr>
            <w:tcW w:w="1055" w:type="dxa"/>
            <w:vAlign w:val="center"/>
          </w:tcPr>
          <w:p w14:paraId="045EEA27">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11540" w:type="dxa"/>
            <w:vAlign w:val="center"/>
          </w:tcPr>
          <w:p w14:paraId="484980AE">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3CFE66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trPr>
        <w:tc>
          <w:tcPr>
            <w:tcW w:w="657" w:type="dxa"/>
            <w:vAlign w:val="center"/>
          </w:tcPr>
          <w:p w14:paraId="46AD0557">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w:t>
            </w:r>
          </w:p>
        </w:tc>
        <w:tc>
          <w:tcPr>
            <w:tcW w:w="1055" w:type="dxa"/>
            <w:vAlign w:val="center"/>
          </w:tcPr>
          <w:p w14:paraId="76B2B4BE">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人员要求</w:t>
            </w:r>
          </w:p>
        </w:tc>
        <w:tc>
          <w:tcPr>
            <w:tcW w:w="11540" w:type="dxa"/>
            <w:vAlign w:val="center"/>
          </w:tcPr>
          <w:p w14:paraId="40CCCA92">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（1）专职人员，身体健康，工作认真负责并定期接受培训。</w:t>
            </w:r>
          </w:p>
          <w:p w14:paraId="0B840C1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（2）能处理和应对小区公共秩序维护工作，能正确使用各类消防、物防、技防器械和设备，能够熟悉、掌握各类刑事、治安案件和各类灾害事故的应急预案。</w:t>
            </w:r>
          </w:p>
          <w:p w14:paraId="63D0D26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（3）上岗时佩带统一标志，按需求穿戴统一制服（精致），装备佩戴规范，仪容仪表规范整齐，当值时坐姿挺直，站岗时不倚不靠。</w:t>
            </w:r>
          </w:p>
          <w:p w14:paraId="5D23AF06">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（4）配备对讲装置和其他必备的安全护卫器械。</w:t>
            </w:r>
          </w:p>
        </w:tc>
      </w:tr>
      <w:tr w14:paraId="1C7193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blCellSpacing w:w="0" w:type="dxa"/>
        </w:trPr>
        <w:tc>
          <w:tcPr>
            <w:tcW w:w="657" w:type="dxa"/>
            <w:vAlign w:val="center"/>
          </w:tcPr>
          <w:p w14:paraId="06B1F6B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2</w:t>
            </w:r>
          </w:p>
        </w:tc>
        <w:tc>
          <w:tcPr>
            <w:tcW w:w="1055" w:type="dxa"/>
            <w:vAlign w:val="center"/>
          </w:tcPr>
          <w:p w14:paraId="7453624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门岗</w:t>
            </w:r>
          </w:p>
        </w:tc>
        <w:tc>
          <w:tcPr>
            <w:tcW w:w="11540" w:type="dxa"/>
            <w:vAlign w:val="center"/>
          </w:tcPr>
          <w:p w14:paraId="3DED879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（1）小区主出入口24 小时值班看守，6：00—22：00站岗值勤，其中主入口高峰期单人值勤，有详细的交接班记录和外来车辆的登记记录。</w:t>
            </w:r>
          </w:p>
          <w:p w14:paraId="5C78AC2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（2）对进出小区的车辆进行管理和疏导，保持出入口环境整洁、有序、道路畅通；对大型物件搬出小区实行登记。</w:t>
            </w:r>
          </w:p>
        </w:tc>
      </w:tr>
      <w:tr w14:paraId="1A2795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5" w:hRule="atLeast"/>
          <w:tblCellSpacing w:w="0" w:type="dxa"/>
        </w:trPr>
        <w:tc>
          <w:tcPr>
            <w:tcW w:w="657" w:type="dxa"/>
            <w:vAlign w:val="center"/>
          </w:tcPr>
          <w:p w14:paraId="4C2485F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3</w:t>
            </w:r>
          </w:p>
        </w:tc>
        <w:tc>
          <w:tcPr>
            <w:tcW w:w="1055" w:type="dxa"/>
            <w:vAlign w:val="center"/>
          </w:tcPr>
          <w:p w14:paraId="303324F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巡逻岗</w:t>
            </w:r>
          </w:p>
        </w:tc>
        <w:tc>
          <w:tcPr>
            <w:tcW w:w="11540" w:type="dxa"/>
            <w:vAlign w:val="center"/>
          </w:tcPr>
          <w:p w14:paraId="351D532C">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（1）按指定的时间和路线进行巡查，对重点区域、重点部位每2小时至少巡查一次，配有安全监控设施的，实施24小时监控。</w:t>
            </w:r>
          </w:p>
          <w:p w14:paraId="410C911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（2）接到火灾等险情或住户紧急求助后五分钟内到达现场，并及时报告社区、物业管理委员会和有关部门，并协助采取相应措施。</w:t>
            </w:r>
          </w:p>
        </w:tc>
      </w:tr>
      <w:tr w14:paraId="51170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57" w:type="dxa"/>
            <w:vAlign w:val="center"/>
          </w:tcPr>
          <w:p w14:paraId="7BA4B6C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4</w:t>
            </w:r>
          </w:p>
        </w:tc>
        <w:tc>
          <w:tcPr>
            <w:tcW w:w="1055" w:type="dxa"/>
            <w:vAlign w:val="center"/>
          </w:tcPr>
          <w:p w14:paraId="7905CAD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技防设施和救助</w:t>
            </w:r>
          </w:p>
          <w:p w14:paraId="6E435107">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（监控岗）</w:t>
            </w:r>
          </w:p>
        </w:tc>
        <w:tc>
          <w:tcPr>
            <w:tcW w:w="11540" w:type="dxa"/>
            <w:vAlign w:val="center"/>
          </w:tcPr>
          <w:p w14:paraId="278858E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（1）小区设有监控中心，具备录像监控、楼宇对讲、周界报警、门锁智能卡等技防设施设备的，应24小时开通，并有人驻守，注视各设备所传达的信息。</w:t>
            </w:r>
          </w:p>
          <w:p w14:paraId="34C85EC7">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（2）监控中心接到报警信号后，秩序维护员五分钟内赶到现场进行处理，同时中心应接受用户救助的要求，解答用户的询问。</w:t>
            </w:r>
          </w:p>
          <w:p w14:paraId="05E8DA9A">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（3）对火灾、治安、公共卫生等突发事件有应急预案，并在监控中心控制室内悬挂；每年应组织不少于3次的应急预案演习。</w:t>
            </w:r>
          </w:p>
        </w:tc>
      </w:tr>
      <w:tr w14:paraId="57198C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tblCellSpacing w:w="0" w:type="dxa"/>
        </w:trPr>
        <w:tc>
          <w:tcPr>
            <w:tcW w:w="657" w:type="dxa"/>
            <w:vAlign w:val="center"/>
          </w:tcPr>
          <w:p w14:paraId="7B37613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5</w:t>
            </w:r>
          </w:p>
        </w:tc>
        <w:tc>
          <w:tcPr>
            <w:tcW w:w="1055" w:type="dxa"/>
            <w:vAlign w:val="center"/>
          </w:tcPr>
          <w:p w14:paraId="16994D2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车辆管理</w:t>
            </w:r>
          </w:p>
        </w:tc>
        <w:tc>
          <w:tcPr>
            <w:tcW w:w="11540" w:type="dxa"/>
            <w:vAlign w:val="center"/>
          </w:tcPr>
          <w:p w14:paraId="12329B3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（1）地面、墙面按车辆道路行驶要求设立指示牌和地标，车辆行驶有规定路线，车辆停放有序。</w:t>
            </w:r>
          </w:p>
          <w:p w14:paraId="3A79DEC8">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（2）有专职人员24小时巡视和协助停车事宜。</w:t>
            </w:r>
          </w:p>
          <w:p w14:paraId="706468E8">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（3）车辆停放有序，地面、墙面按车辆道路行驶要求设立指示牌和地标，照明、消防器械配置齐全，无易燃、易爆及危险物品存放。</w:t>
            </w:r>
          </w:p>
        </w:tc>
      </w:tr>
    </w:tbl>
    <w:p w14:paraId="0A37E27C">
      <w:pPr>
        <w:spacing w:line="360" w:lineRule="auto"/>
        <w:jc w:val="center"/>
        <w:textAlignment w:val="baseline"/>
        <w:rPr>
          <w:rFonts w:hint="eastAsia" w:ascii="宋体" w:hAnsi="宋体" w:cs="微软雅黑"/>
          <w:color w:val="auto"/>
          <w:highlight w:val="none"/>
        </w:rPr>
      </w:pPr>
      <w:r>
        <w:rPr>
          <w:rFonts w:hint="eastAsia" w:ascii="宋体" w:hAnsi="宋体" w:cs="宋体"/>
          <w:b/>
          <w:color w:val="auto"/>
          <w:highlight w:val="none"/>
        </w:rPr>
        <w:br w:type="page"/>
      </w:r>
    </w:p>
    <w:p w14:paraId="1CF863A6">
      <w:pPr>
        <w:spacing w:line="360" w:lineRule="auto"/>
        <w:jc w:val="center"/>
        <w:textAlignment w:val="baseline"/>
        <w:rPr>
          <w:rFonts w:hint="eastAsia" w:ascii="宋体" w:hAnsi="宋体" w:cs="微软雅黑"/>
          <w:color w:val="auto"/>
          <w:highlight w:val="none"/>
        </w:rPr>
      </w:pPr>
      <w:r>
        <w:rPr>
          <w:rFonts w:hint="eastAsia" w:ascii="宋体" w:hAnsi="宋体" w:cs="宋体"/>
          <w:b/>
          <w:color w:val="auto"/>
          <w:highlight w:val="none"/>
        </w:rPr>
        <w:t>四、公共区域绿化日常养护服务标准</w:t>
      </w:r>
    </w:p>
    <w:tbl>
      <w:tblPr>
        <w:tblStyle w:val="18"/>
        <w:tblW w:w="1353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92"/>
        <w:gridCol w:w="1992"/>
        <w:gridCol w:w="10855"/>
      </w:tblGrid>
      <w:tr w14:paraId="3DED54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692" w:type="dxa"/>
            <w:vAlign w:val="center"/>
          </w:tcPr>
          <w:p w14:paraId="00139E6A">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1992" w:type="dxa"/>
            <w:vAlign w:val="center"/>
          </w:tcPr>
          <w:p w14:paraId="0BB10A73">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要素</w:t>
            </w:r>
          </w:p>
        </w:tc>
        <w:tc>
          <w:tcPr>
            <w:tcW w:w="10855" w:type="dxa"/>
            <w:vAlign w:val="center"/>
          </w:tcPr>
          <w:p w14:paraId="21EA8B43">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789780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restart"/>
            <w:vAlign w:val="center"/>
          </w:tcPr>
          <w:p w14:paraId="54C75F11">
            <w:pPr>
              <w:spacing w:line="360" w:lineRule="auto"/>
              <w:jc w:val="center"/>
              <w:textAlignment w:val="baseline"/>
              <w:rPr>
                <w:rFonts w:hint="eastAsia" w:ascii="宋体" w:hAnsi="宋体" w:cs="微软雅黑"/>
                <w:color w:val="auto"/>
                <w:highlight w:val="none"/>
              </w:rPr>
            </w:pPr>
            <w:r>
              <w:rPr>
                <w:rFonts w:hint="eastAsia" w:ascii="宋体" w:hAnsi="宋体" w:cs="宋体"/>
                <w:color w:val="auto"/>
                <w:kern w:val="0"/>
                <w:highlight w:val="none"/>
              </w:rPr>
              <w:t>草坪</w:t>
            </w:r>
          </w:p>
        </w:tc>
        <w:tc>
          <w:tcPr>
            <w:tcW w:w="1992" w:type="dxa"/>
            <w:vAlign w:val="center"/>
          </w:tcPr>
          <w:p w14:paraId="7F96F44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清杂草</w:t>
            </w:r>
          </w:p>
        </w:tc>
        <w:tc>
          <w:tcPr>
            <w:tcW w:w="10855" w:type="dxa"/>
            <w:vAlign w:val="center"/>
          </w:tcPr>
          <w:p w14:paraId="5D253CBA">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每年清除杂草四遍以上。</w:t>
            </w:r>
          </w:p>
        </w:tc>
      </w:tr>
      <w:tr w14:paraId="78AC7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672DE717">
            <w:pPr>
              <w:spacing w:line="360" w:lineRule="auto"/>
              <w:jc w:val="center"/>
              <w:textAlignment w:val="baseline"/>
              <w:rPr>
                <w:rFonts w:hint="eastAsia" w:ascii="宋体" w:hAnsi="宋体" w:cs="微软雅黑"/>
                <w:color w:val="auto"/>
                <w:highlight w:val="none"/>
              </w:rPr>
            </w:pPr>
          </w:p>
        </w:tc>
        <w:tc>
          <w:tcPr>
            <w:tcW w:w="1992" w:type="dxa"/>
            <w:vAlign w:val="center"/>
          </w:tcPr>
          <w:p w14:paraId="6707587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灌、排水</w:t>
            </w:r>
          </w:p>
        </w:tc>
        <w:tc>
          <w:tcPr>
            <w:tcW w:w="10855" w:type="dxa"/>
            <w:vAlign w:val="center"/>
          </w:tcPr>
          <w:p w14:paraId="1FD9916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及时灌溉，保证有效供水，有积水及时排除。</w:t>
            </w:r>
          </w:p>
        </w:tc>
      </w:tr>
      <w:tr w14:paraId="155750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0B01799C">
            <w:pPr>
              <w:spacing w:line="360" w:lineRule="auto"/>
              <w:jc w:val="center"/>
              <w:textAlignment w:val="baseline"/>
              <w:rPr>
                <w:rFonts w:hint="eastAsia" w:ascii="宋体" w:hAnsi="宋体" w:cs="微软雅黑"/>
                <w:color w:val="auto"/>
                <w:highlight w:val="none"/>
              </w:rPr>
            </w:pPr>
          </w:p>
        </w:tc>
        <w:tc>
          <w:tcPr>
            <w:tcW w:w="1992" w:type="dxa"/>
            <w:vAlign w:val="center"/>
          </w:tcPr>
          <w:p w14:paraId="52A3045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施肥</w:t>
            </w:r>
          </w:p>
        </w:tc>
        <w:tc>
          <w:tcPr>
            <w:tcW w:w="10855" w:type="dxa"/>
            <w:vAlign w:val="center"/>
          </w:tcPr>
          <w:p w14:paraId="52EAD0C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每年普施有机肥一遍。</w:t>
            </w:r>
          </w:p>
        </w:tc>
      </w:tr>
      <w:tr w14:paraId="78BBC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51C00C5D">
            <w:pPr>
              <w:spacing w:line="360" w:lineRule="auto"/>
              <w:jc w:val="center"/>
              <w:textAlignment w:val="baseline"/>
              <w:rPr>
                <w:rFonts w:hint="eastAsia" w:ascii="宋体" w:hAnsi="宋体" w:cs="微软雅黑"/>
                <w:color w:val="auto"/>
                <w:highlight w:val="none"/>
              </w:rPr>
            </w:pPr>
          </w:p>
        </w:tc>
        <w:tc>
          <w:tcPr>
            <w:tcW w:w="1992" w:type="dxa"/>
            <w:vAlign w:val="center"/>
          </w:tcPr>
          <w:p w14:paraId="4FA7391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病虫害防治</w:t>
            </w:r>
          </w:p>
        </w:tc>
        <w:tc>
          <w:tcPr>
            <w:tcW w:w="10855" w:type="dxa"/>
            <w:vAlign w:val="center"/>
          </w:tcPr>
          <w:p w14:paraId="5D469B2C">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及时做好病虫害防治。</w:t>
            </w:r>
          </w:p>
        </w:tc>
      </w:tr>
      <w:tr w14:paraId="4EEADD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56376C72">
            <w:pPr>
              <w:spacing w:line="360" w:lineRule="auto"/>
              <w:jc w:val="center"/>
              <w:textAlignment w:val="baseline"/>
              <w:rPr>
                <w:rFonts w:hint="eastAsia" w:ascii="宋体" w:hAnsi="宋体" w:cs="微软雅黑"/>
                <w:color w:val="auto"/>
                <w:highlight w:val="none"/>
              </w:rPr>
            </w:pPr>
          </w:p>
        </w:tc>
        <w:tc>
          <w:tcPr>
            <w:tcW w:w="1992" w:type="dxa"/>
            <w:vAlign w:val="center"/>
          </w:tcPr>
          <w:p w14:paraId="2748224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其它</w:t>
            </w:r>
          </w:p>
        </w:tc>
        <w:tc>
          <w:tcPr>
            <w:tcW w:w="10855" w:type="dxa"/>
            <w:vAlign w:val="center"/>
          </w:tcPr>
          <w:p w14:paraId="15573DC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草地生长正常。</w:t>
            </w:r>
          </w:p>
        </w:tc>
      </w:tr>
      <w:tr w14:paraId="380EF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restart"/>
            <w:vAlign w:val="center"/>
          </w:tcPr>
          <w:p w14:paraId="232E438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树木</w:t>
            </w:r>
          </w:p>
        </w:tc>
        <w:tc>
          <w:tcPr>
            <w:tcW w:w="1992" w:type="dxa"/>
            <w:vAlign w:val="center"/>
          </w:tcPr>
          <w:p w14:paraId="40E1D17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修剪</w:t>
            </w:r>
          </w:p>
        </w:tc>
        <w:tc>
          <w:tcPr>
            <w:tcW w:w="10855" w:type="dxa"/>
            <w:vAlign w:val="center"/>
          </w:tcPr>
          <w:p w14:paraId="322E5F6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小区内造型植物及时修剪，每年不少于四遍，做到表面圆整，基本无脱节，每年不少于二次，日常养护；乔、灌木修剪每年二次以上，基本做到无枯枝、萌蘖枝；蓠、球、造型植物及时修剪，每年不少于四遍，做到表面圆整，基本无脱节；地被、攀援植物适时修剪，每年不少于二次。对居民提出的临时修剪需求，及时登记处理，大型树木修剪由物业按小区实际情况开展。</w:t>
            </w:r>
          </w:p>
        </w:tc>
      </w:tr>
      <w:tr w14:paraId="3FD202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325BB9F7">
            <w:pPr>
              <w:spacing w:line="360" w:lineRule="auto"/>
              <w:textAlignment w:val="baseline"/>
              <w:rPr>
                <w:rFonts w:hint="eastAsia" w:ascii="宋体" w:hAnsi="宋体" w:cs="微软雅黑"/>
                <w:color w:val="auto"/>
                <w:highlight w:val="none"/>
              </w:rPr>
            </w:pPr>
          </w:p>
        </w:tc>
        <w:tc>
          <w:tcPr>
            <w:tcW w:w="1992" w:type="dxa"/>
            <w:vAlign w:val="center"/>
          </w:tcPr>
          <w:p w14:paraId="03FA1891">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中耕除草、松土</w:t>
            </w:r>
          </w:p>
        </w:tc>
        <w:tc>
          <w:tcPr>
            <w:tcW w:w="10855" w:type="dxa"/>
            <w:vAlign w:val="center"/>
          </w:tcPr>
          <w:p w14:paraId="2C8D325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适时中耕除草,做到基本无杂草，土壤疏松。</w:t>
            </w:r>
          </w:p>
        </w:tc>
      </w:tr>
      <w:tr w14:paraId="32AE64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76C0B8AC">
            <w:pPr>
              <w:spacing w:line="360" w:lineRule="auto"/>
              <w:textAlignment w:val="baseline"/>
              <w:rPr>
                <w:rFonts w:hint="eastAsia" w:ascii="宋体" w:hAnsi="宋体" w:cs="微软雅黑"/>
                <w:color w:val="auto"/>
                <w:highlight w:val="none"/>
              </w:rPr>
            </w:pPr>
          </w:p>
        </w:tc>
        <w:tc>
          <w:tcPr>
            <w:tcW w:w="1992" w:type="dxa"/>
            <w:vAlign w:val="center"/>
          </w:tcPr>
          <w:p w14:paraId="5A79836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施肥</w:t>
            </w:r>
          </w:p>
        </w:tc>
        <w:tc>
          <w:tcPr>
            <w:tcW w:w="10855" w:type="dxa"/>
            <w:vAlign w:val="center"/>
          </w:tcPr>
          <w:p w14:paraId="02B346C3">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按植物品种、生长状况、土壤条件适当施肥；每年普施基肥一遍，部分花灌木增施追肥一次。</w:t>
            </w:r>
          </w:p>
        </w:tc>
      </w:tr>
      <w:tr w14:paraId="09688E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675B351F">
            <w:pPr>
              <w:spacing w:line="360" w:lineRule="auto"/>
              <w:textAlignment w:val="baseline"/>
              <w:rPr>
                <w:rFonts w:hint="eastAsia" w:ascii="宋体" w:hAnsi="宋体" w:cs="微软雅黑"/>
                <w:color w:val="auto"/>
                <w:highlight w:val="none"/>
              </w:rPr>
            </w:pPr>
          </w:p>
        </w:tc>
        <w:tc>
          <w:tcPr>
            <w:tcW w:w="1992" w:type="dxa"/>
            <w:vAlign w:val="center"/>
          </w:tcPr>
          <w:p w14:paraId="3111D947">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病虫害防治</w:t>
            </w:r>
          </w:p>
        </w:tc>
        <w:tc>
          <w:tcPr>
            <w:tcW w:w="10855" w:type="dxa"/>
            <w:vAlign w:val="center"/>
          </w:tcPr>
          <w:p w14:paraId="14C94BA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防治结合、及时灭治。</w:t>
            </w:r>
          </w:p>
        </w:tc>
      </w:tr>
      <w:tr w14:paraId="73621E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0B31903E">
            <w:pPr>
              <w:spacing w:line="360" w:lineRule="auto"/>
              <w:textAlignment w:val="baseline"/>
              <w:rPr>
                <w:rFonts w:hint="eastAsia" w:ascii="宋体" w:hAnsi="宋体" w:cs="微软雅黑"/>
                <w:color w:val="auto"/>
                <w:highlight w:val="none"/>
              </w:rPr>
            </w:pPr>
          </w:p>
        </w:tc>
        <w:tc>
          <w:tcPr>
            <w:tcW w:w="1992" w:type="dxa"/>
            <w:vAlign w:val="center"/>
          </w:tcPr>
          <w:p w14:paraId="077745E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扶正加固</w:t>
            </w:r>
          </w:p>
        </w:tc>
        <w:tc>
          <w:tcPr>
            <w:tcW w:w="10855" w:type="dxa"/>
            <w:vAlign w:val="center"/>
          </w:tcPr>
          <w:p w14:paraId="05C1B5A5">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树木基本无倾斜。</w:t>
            </w:r>
          </w:p>
        </w:tc>
      </w:tr>
      <w:tr w14:paraId="6F1895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163FEBB4">
            <w:pPr>
              <w:spacing w:line="360" w:lineRule="auto"/>
              <w:textAlignment w:val="baseline"/>
              <w:rPr>
                <w:rFonts w:hint="eastAsia" w:ascii="宋体" w:hAnsi="宋体" w:cs="微软雅黑"/>
                <w:color w:val="auto"/>
                <w:highlight w:val="none"/>
              </w:rPr>
            </w:pPr>
          </w:p>
        </w:tc>
        <w:tc>
          <w:tcPr>
            <w:tcW w:w="1992" w:type="dxa"/>
            <w:vAlign w:val="center"/>
          </w:tcPr>
          <w:p w14:paraId="2D4220D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其它</w:t>
            </w:r>
          </w:p>
        </w:tc>
        <w:tc>
          <w:tcPr>
            <w:tcW w:w="10855" w:type="dxa"/>
            <w:vAlign w:val="center"/>
          </w:tcPr>
          <w:p w14:paraId="5CF2F11C">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乔灌木生长良好，树冠完整；花灌木基本开花；球、篱、地被生长正常,缺枝、空档不明显。</w:t>
            </w:r>
          </w:p>
        </w:tc>
      </w:tr>
      <w:tr w14:paraId="71F2B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1D2E9FB7">
            <w:pPr>
              <w:spacing w:line="360" w:lineRule="auto"/>
              <w:textAlignment w:val="baseline"/>
              <w:rPr>
                <w:rFonts w:hint="eastAsia" w:ascii="宋体" w:hAnsi="宋体" w:cs="微软雅黑"/>
                <w:color w:val="auto"/>
                <w:highlight w:val="none"/>
              </w:rPr>
            </w:pPr>
          </w:p>
        </w:tc>
        <w:tc>
          <w:tcPr>
            <w:tcW w:w="1992" w:type="dxa"/>
            <w:vAlign w:val="center"/>
          </w:tcPr>
          <w:p w14:paraId="20B1E04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灌、排水</w:t>
            </w:r>
          </w:p>
        </w:tc>
        <w:tc>
          <w:tcPr>
            <w:tcW w:w="10855" w:type="dxa"/>
            <w:vAlign w:val="center"/>
          </w:tcPr>
          <w:p w14:paraId="62F5275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保持有效供水，无积水。</w:t>
            </w:r>
          </w:p>
        </w:tc>
      </w:tr>
      <w:tr w14:paraId="3BF73C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0829CB17">
            <w:pPr>
              <w:spacing w:line="360" w:lineRule="auto"/>
              <w:textAlignment w:val="baseline"/>
              <w:rPr>
                <w:rFonts w:hint="eastAsia" w:ascii="宋体" w:hAnsi="宋体" w:cs="微软雅黑"/>
                <w:color w:val="auto"/>
                <w:highlight w:val="none"/>
              </w:rPr>
            </w:pPr>
          </w:p>
        </w:tc>
        <w:tc>
          <w:tcPr>
            <w:tcW w:w="1992" w:type="dxa"/>
            <w:vAlign w:val="center"/>
          </w:tcPr>
          <w:p w14:paraId="4660E26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补种</w:t>
            </w:r>
          </w:p>
        </w:tc>
        <w:tc>
          <w:tcPr>
            <w:tcW w:w="10855" w:type="dxa"/>
            <w:vAlign w:val="center"/>
          </w:tcPr>
          <w:p w14:paraId="0DDB953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缺枝倒伏不超过十处。</w:t>
            </w:r>
          </w:p>
        </w:tc>
      </w:tr>
      <w:tr w14:paraId="01476C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16DD1546">
            <w:pPr>
              <w:spacing w:line="360" w:lineRule="auto"/>
              <w:textAlignment w:val="baseline"/>
              <w:rPr>
                <w:rFonts w:hint="eastAsia" w:ascii="宋体" w:hAnsi="宋体" w:cs="微软雅黑"/>
                <w:color w:val="auto"/>
                <w:highlight w:val="none"/>
              </w:rPr>
            </w:pPr>
          </w:p>
        </w:tc>
        <w:tc>
          <w:tcPr>
            <w:tcW w:w="1992" w:type="dxa"/>
            <w:vAlign w:val="center"/>
          </w:tcPr>
          <w:p w14:paraId="3A85E7C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修剪、施肥</w:t>
            </w:r>
          </w:p>
        </w:tc>
        <w:tc>
          <w:tcPr>
            <w:tcW w:w="10855" w:type="dxa"/>
            <w:vAlign w:val="center"/>
          </w:tcPr>
          <w:p w14:paraId="3E19DD3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保持花卉生长良好。</w:t>
            </w:r>
          </w:p>
        </w:tc>
      </w:tr>
      <w:tr w14:paraId="705D71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2C0B1057">
            <w:pPr>
              <w:spacing w:line="360" w:lineRule="auto"/>
              <w:textAlignment w:val="baseline"/>
              <w:rPr>
                <w:rFonts w:hint="eastAsia" w:ascii="宋体" w:hAnsi="宋体" w:cs="微软雅黑"/>
                <w:color w:val="auto"/>
                <w:highlight w:val="none"/>
              </w:rPr>
            </w:pPr>
          </w:p>
        </w:tc>
        <w:tc>
          <w:tcPr>
            <w:tcW w:w="1992" w:type="dxa"/>
            <w:vAlign w:val="center"/>
          </w:tcPr>
          <w:p w14:paraId="3F7EACD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病虫害防治</w:t>
            </w:r>
          </w:p>
        </w:tc>
        <w:tc>
          <w:tcPr>
            <w:tcW w:w="10855" w:type="dxa"/>
            <w:vAlign w:val="center"/>
          </w:tcPr>
          <w:p w14:paraId="79BA04F7">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及时做好病虫害防治。</w:t>
            </w:r>
          </w:p>
        </w:tc>
      </w:tr>
    </w:tbl>
    <w:p w14:paraId="4BC94944">
      <w:pPr>
        <w:spacing w:line="360" w:lineRule="auto"/>
        <w:rPr>
          <w:rFonts w:hint="eastAsia" w:ascii="宋体" w:hAnsi="宋体" w:cs="宋体"/>
          <w:b/>
          <w:color w:val="auto"/>
          <w:highlight w:val="none"/>
        </w:rPr>
      </w:pPr>
      <w:r>
        <w:rPr>
          <w:rFonts w:hint="eastAsia" w:ascii="宋体" w:hAnsi="宋体" w:cs="宋体"/>
          <w:b/>
          <w:color w:val="auto"/>
          <w:highlight w:val="none"/>
        </w:rPr>
        <w:br w:type="page"/>
      </w:r>
    </w:p>
    <w:p w14:paraId="040C868E">
      <w:pPr>
        <w:widowControl/>
        <w:spacing w:before="225" w:line="360" w:lineRule="auto"/>
        <w:jc w:val="center"/>
        <w:textAlignment w:val="baseline"/>
        <w:rPr>
          <w:rFonts w:hint="eastAsia" w:ascii="宋体" w:hAnsi="宋体" w:cs="微软雅黑"/>
          <w:color w:val="auto"/>
          <w:kern w:val="0"/>
          <w:highlight w:val="none"/>
        </w:rPr>
      </w:pPr>
      <w:r>
        <w:rPr>
          <w:rFonts w:hint="eastAsia" w:ascii="宋体" w:hAnsi="宋体" w:cs="宋体"/>
          <w:b/>
          <w:color w:val="auto"/>
          <w:kern w:val="0"/>
          <w:highlight w:val="none"/>
        </w:rPr>
        <w:t>五、共用部位、共用设施设备日常运行、维护服务标准</w:t>
      </w:r>
    </w:p>
    <w:tbl>
      <w:tblPr>
        <w:tblStyle w:val="18"/>
        <w:tblW w:w="13246"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7"/>
        <w:gridCol w:w="1973"/>
        <w:gridCol w:w="10546"/>
      </w:tblGrid>
      <w:tr w14:paraId="1FD457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blHeader/>
          <w:tblCellSpacing w:w="0" w:type="dxa"/>
        </w:trPr>
        <w:tc>
          <w:tcPr>
            <w:tcW w:w="727" w:type="dxa"/>
            <w:vAlign w:val="center"/>
          </w:tcPr>
          <w:p w14:paraId="6F92A8A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序号</w:t>
            </w:r>
          </w:p>
        </w:tc>
        <w:tc>
          <w:tcPr>
            <w:tcW w:w="1973" w:type="dxa"/>
            <w:vAlign w:val="center"/>
          </w:tcPr>
          <w:p w14:paraId="685E3D21">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内容</w:t>
            </w:r>
          </w:p>
        </w:tc>
        <w:tc>
          <w:tcPr>
            <w:tcW w:w="10546" w:type="dxa"/>
            <w:vAlign w:val="center"/>
          </w:tcPr>
          <w:p w14:paraId="025C0910">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服务标准</w:t>
            </w:r>
          </w:p>
        </w:tc>
      </w:tr>
      <w:tr w14:paraId="6AACD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3037F9C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w:t>
            </w:r>
          </w:p>
        </w:tc>
        <w:tc>
          <w:tcPr>
            <w:tcW w:w="1973" w:type="dxa"/>
            <w:vAlign w:val="center"/>
          </w:tcPr>
          <w:p w14:paraId="6E77517D">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楼内墙面、顶面、地面</w:t>
            </w:r>
          </w:p>
        </w:tc>
        <w:tc>
          <w:tcPr>
            <w:tcW w:w="10546" w:type="dxa"/>
            <w:vAlign w:val="center"/>
          </w:tcPr>
          <w:p w14:paraId="727E19B3">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墙面、顶面粉刷层无剥落，面砖、地砖平整不起壳、无缺损。发现损坏，单次</w:t>
            </w:r>
            <w:r>
              <w:rPr>
                <w:rFonts w:hint="eastAsia" w:ascii="宋体" w:hAnsi="宋体" w:cs="宋体"/>
                <w:color w:val="auto"/>
                <w:kern w:val="0"/>
                <w:highlight w:val="none"/>
                <w:u w:val="single" w:color="000000"/>
              </w:rPr>
              <w:t>1000</w:t>
            </w:r>
            <w:r>
              <w:rPr>
                <w:rFonts w:hint="eastAsia" w:ascii="宋体" w:hAnsi="宋体" w:cs="宋体"/>
                <w:color w:val="auto"/>
                <w:kern w:val="0"/>
                <w:highlight w:val="none"/>
              </w:rPr>
              <w:t>元以内的属小修范围，及时组织修复；属于大、中修范围或者需要更新改造的，及时编制维修、更新改造计划和物业专项维修资金使用计划，向社区或物业管委员会提出报告与建议，根据社区的决定，组织实施。</w:t>
            </w:r>
          </w:p>
        </w:tc>
      </w:tr>
      <w:tr w14:paraId="357F2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044508FB">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2</w:t>
            </w:r>
          </w:p>
        </w:tc>
        <w:tc>
          <w:tcPr>
            <w:tcW w:w="1973" w:type="dxa"/>
            <w:vAlign w:val="center"/>
          </w:tcPr>
          <w:p w14:paraId="6776362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路灯、楼道灯</w:t>
            </w:r>
          </w:p>
        </w:tc>
        <w:tc>
          <w:tcPr>
            <w:tcW w:w="10546" w:type="dxa"/>
            <w:vAlign w:val="center"/>
          </w:tcPr>
          <w:p w14:paraId="3D09A156">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完好率不低于90%。</w:t>
            </w:r>
          </w:p>
        </w:tc>
      </w:tr>
      <w:tr w14:paraId="12881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6A350835">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3</w:t>
            </w:r>
          </w:p>
        </w:tc>
        <w:tc>
          <w:tcPr>
            <w:tcW w:w="1973" w:type="dxa"/>
            <w:vAlign w:val="center"/>
          </w:tcPr>
          <w:p w14:paraId="0F88CC7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雨、污水管道</w:t>
            </w:r>
          </w:p>
        </w:tc>
        <w:tc>
          <w:tcPr>
            <w:tcW w:w="10546" w:type="dxa"/>
            <w:vAlign w:val="center"/>
          </w:tcPr>
          <w:p w14:paraId="0E19E58D">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共用雨、污水管道每年疏通一次，雨、污水井每半年检查一次，并视检查情况及时清掏。</w:t>
            </w:r>
          </w:p>
        </w:tc>
      </w:tr>
      <w:tr w14:paraId="69A27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0A99AFC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4</w:t>
            </w:r>
          </w:p>
        </w:tc>
        <w:tc>
          <w:tcPr>
            <w:tcW w:w="1973" w:type="dxa"/>
            <w:vAlign w:val="center"/>
          </w:tcPr>
          <w:p w14:paraId="44FA5F62">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化粪池</w:t>
            </w:r>
          </w:p>
        </w:tc>
        <w:tc>
          <w:tcPr>
            <w:tcW w:w="10546" w:type="dxa"/>
            <w:vAlign w:val="center"/>
          </w:tcPr>
          <w:p w14:paraId="5429FB82">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每两个月检查一次，每半年清掏一次，发现异常及时清掏。</w:t>
            </w:r>
          </w:p>
        </w:tc>
      </w:tr>
      <w:tr w14:paraId="64F364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192D434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5</w:t>
            </w:r>
          </w:p>
        </w:tc>
        <w:tc>
          <w:tcPr>
            <w:tcW w:w="1973" w:type="dxa"/>
            <w:vAlign w:val="center"/>
          </w:tcPr>
          <w:p w14:paraId="787BF3FB">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围墙</w:t>
            </w:r>
          </w:p>
        </w:tc>
        <w:tc>
          <w:tcPr>
            <w:tcW w:w="10546" w:type="dxa"/>
            <w:vAlign w:val="center"/>
          </w:tcPr>
          <w:p w14:paraId="464BCC8F">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每月巡查一次，发现损坏，单次</w:t>
            </w:r>
            <w:r>
              <w:rPr>
                <w:rFonts w:hint="eastAsia" w:ascii="宋体" w:hAnsi="宋体" w:cs="宋体"/>
                <w:color w:val="auto"/>
                <w:kern w:val="0"/>
                <w:highlight w:val="none"/>
                <w:u w:val="single" w:color="000000"/>
              </w:rPr>
              <w:t>1000</w:t>
            </w:r>
            <w:r>
              <w:rPr>
                <w:rFonts w:hint="eastAsia" w:ascii="宋体" w:hAnsi="宋体" w:cs="宋体"/>
                <w:color w:val="auto"/>
                <w:kern w:val="0"/>
                <w:highlight w:val="none"/>
              </w:rPr>
              <w:t>元以内的属小修范围，及时组织修复；属于大、中修范围或者需要更新改造的，及时编制维修、更新改造计划和物业专项维修资金使用计划，向社区或物业管理委员会提出报告与建议，根据社区的决定，组织实施。</w:t>
            </w:r>
          </w:p>
        </w:tc>
      </w:tr>
      <w:tr w14:paraId="233AD3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68704C3E">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6</w:t>
            </w:r>
          </w:p>
        </w:tc>
        <w:tc>
          <w:tcPr>
            <w:tcW w:w="1973" w:type="dxa"/>
            <w:vAlign w:val="center"/>
          </w:tcPr>
          <w:p w14:paraId="3729D2F2">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道路、场地等</w:t>
            </w:r>
          </w:p>
        </w:tc>
        <w:tc>
          <w:tcPr>
            <w:tcW w:w="10546" w:type="dxa"/>
            <w:vAlign w:val="center"/>
          </w:tcPr>
          <w:p w14:paraId="5A8E6162">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每月对道路路面、侧石、井盖等巡查一次，发现损坏，单次</w:t>
            </w:r>
            <w:r>
              <w:rPr>
                <w:rFonts w:hint="eastAsia" w:ascii="宋体" w:hAnsi="宋体" w:cs="宋体"/>
                <w:color w:val="auto"/>
                <w:kern w:val="0"/>
                <w:highlight w:val="none"/>
                <w:u w:val="single" w:color="000000"/>
              </w:rPr>
              <w:t>1000</w:t>
            </w:r>
            <w:r>
              <w:rPr>
                <w:rFonts w:hint="eastAsia" w:ascii="宋体" w:hAnsi="宋体" w:cs="宋体"/>
                <w:color w:val="auto"/>
                <w:kern w:val="0"/>
                <w:highlight w:val="none"/>
              </w:rPr>
              <w:t>元以内的属小修范围，及时组织修复；属于大、中修范围或者需要更新改造的，及时编制维修、更新改造计划和物业专项维修资金使用计划，向社区或物业管委员会提出报告与建议，根据社区的决定，组织实施。</w:t>
            </w:r>
          </w:p>
        </w:tc>
      </w:tr>
      <w:tr w14:paraId="0D692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22DB57B4">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7</w:t>
            </w:r>
          </w:p>
        </w:tc>
        <w:tc>
          <w:tcPr>
            <w:tcW w:w="1973" w:type="dxa"/>
            <w:vAlign w:val="center"/>
          </w:tcPr>
          <w:p w14:paraId="53C06922">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休闲椅、凉亭、</w:t>
            </w:r>
          </w:p>
          <w:p w14:paraId="178E27E7">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雕塑、景观小品</w:t>
            </w:r>
          </w:p>
        </w:tc>
        <w:tc>
          <w:tcPr>
            <w:tcW w:w="10546" w:type="dxa"/>
            <w:vAlign w:val="center"/>
          </w:tcPr>
          <w:p w14:paraId="439D87A2">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每日对休闲椅、凉亭、雕塑、景观小品等巡查一次，发现损坏立即修复，保持原有面貌，保证其安全使用。</w:t>
            </w:r>
          </w:p>
        </w:tc>
      </w:tr>
      <w:tr w14:paraId="75E7D5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16EED4C7">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8</w:t>
            </w:r>
          </w:p>
        </w:tc>
        <w:tc>
          <w:tcPr>
            <w:tcW w:w="1973" w:type="dxa"/>
            <w:vAlign w:val="center"/>
          </w:tcPr>
          <w:p w14:paraId="63658FFC">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室外健身设施、</w:t>
            </w:r>
          </w:p>
          <w:p w14:paraId="4A51B181">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儿童乐园等</w:t>
            </w:r>
          </w:p>
        </w:tc>
        <w:tc>
          <w:tcPr>
            <w:tcW w:w="10546" w:type="dxa"/>
            <w:vAlign w:val="center"/>
          </w:tcPr>
          <w:p w14:paraId="3B137E7A">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每日巡查一次，发现损坏立即修复，保证器械、设施的安全使用（如需更换的除外〕。</w:t>
            </w:r>
          </w:p>
        </w:tc>
      </w:tr>
      <w:tr w14:paraId="78EA2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59EDDF28">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9</w:t>
            </w:r>
          </w:p>
        </w:tc>
        <w:tc>
          <w:tcPr>
            <w:tcW w:w="1973" w:type="dxa"/>
            <w:vAlign w:val="center"/>
          </w:tcPr>
          <w:p w14:paraId="1596DDC5">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安全标识等</w:t>
            </w:r>
          </w:p>
        </w:tc>
        <w:tc>
          <w:tcPr>
            <w:tcW w:w="10546" w:type="dxa"/>
            <w:vAlign w:val="center"/>
          </w:tcPr>
          <w:p w14:paraId="57C6990B">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对危险隐患部位设置安全防范警示标识，并在主要通道设置安全疏散指示和事故照明设施，每周检查一次，保证标识清晰完整，设施正常运行。</w:t>
            </w:r>
          </w:p>
        </w:tc>
      </w:tr>
      <w:tr w14:paraId="68BEA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4A58C2F2">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10</w:t>
            </w:r>
          </w:p>
        </w:tc>
        <w:tc>
          <w:tcPr>
            <w:tcW w:w="1973" w:type="dxa"/>
            <w:vAlign w:val="center"/>
          </w:tcPr>
          <w:p w14:paraId="4A3B8C10">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房屋结构</w:t>
            </w:r>
          </w:p>
        </w:tc>
        <w:tc>
          <w:tcPr>
            <w:tcW w:w="10546" w:type="dxa"/>
            <w:vAlign w:val="center"/>
          </w:tcPr>
          <w:p w14:paraId="69792CF5">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年对房屋结构检查二次以上，涉及使用安全的部位每季检查一次，并有记录，发现损坏，属小修范围的（1000元以内），及时组织修复；属于大、中修范围或者需要更新改造的，及时编制维修、更新改造计划和物业专项维修资金使用计划，向社区或物业管理委员会提出报告与建议，根据社区的决定，组织实施。</w:t>
            </w:r>
          </w:p>
        </w:tc>
      </w:tr>
      <w:tr w14:paraId="4B1022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03" w:hRule="atLeast"/>
          <w:tblCellSpacing w:w="0" w:type="dxa"/>
        </w:trPr>
        <w:tc>
          <w:tcPr>
            <w:tcW w:w="727" w:type="dxa"/>
            <w:vAlign w:val="center"/>
          </w:tcPr>
          <w:p w14:paraId="75781ABC">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11</w:t>
            </w:r>
          </w:p>
        </w:tc>
        <w:tc>
          <w:tcPr>
            <w:tcW w:w="1973" w:type="dxa"/>
            <w:vAlign w:val="center"/>
          </w:tcPr>
          <w:p w14:paraId="1BA69CB4">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消防系统</w:t>
            </w:r>
          </w:p>
        </w:tc>
        <w:tc>
          <w:tcPr>
            <w:tcW w:w="10546" w:type="dxa"/>
            <w:vAlign w:val="center"/>
          </w:tcPr>
          <w:p w14:paraId="61D66959">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1.消防泵每月启动一次并作记录，每年保养一次，保证其正常运行。</w:t>
            </w:r>
          </w:p>
          <w:p w14:paraId="799471DE">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2.消防栓每月巡查一次，消防栓箱内各种配件完好。</w:t>
            </w:r>
          </w:p>
          <w:p w14:paraId="4EE13920">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3.每半年检查一次消防水带、阀杆处加注润滑油并作一次放水检查。</w:t>
            </w:r>
          </w:p>
          <w:p w14:paraId="3159549F">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4.每月检查一次灭火器，及时更新或充压。</w:t>
            </w:r>
          </w:p>
        </w:tc>
      </w:tr>
      <w:tr w14:paraId="64E8A2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8" w:hRule="atLeast"/>
          <w:tblCellSpacing w:w="0" w:type="dxa"/>
        </w:trPr>
        <w:tc>
          <w:tcPr>
            <w:tcW w:w="727" w:type="dxa"/>
            <w:vAlign w:val="center"/>
          </w:tcPr>
          <w:p w14:paraId="451B2BD6">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12</w:t>
            </w:r>
          </w:p>
        </w:tc>
        <w:tc>
          <w:tcPr>
            <w:tcW w:w="1973" w:type="dxa"/>
            <w:vAlign w:val="center"/>
          </w:tcPr>
          <w:p w14:paraId="3E6D881C">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排水系统</w:t>
            </w:r>
          </w:p>
        </w:tc>
        <w:tc>
          <w:tcPr>
            <w:tcW w:w="10546" w:type="dxa"/>
            <w:vAlign w:val="center"/>
          </w:tcPr>
          <w:p w14:paraId="0B0B6C12">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1.每周对污水泵、提升泵、排出泵检查二次。</w:t>
            </w:r>
          </w:p>
          <w:p w14:paraId="503DB678">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2.污水处理系统正常运行，周边基本无异味，过滤格栅无堵塞，每半年污水管道冲洗疏通一次。保证污水排放正常。</w:t>
            </w:r>
          </w:p>
          <w:p w14:paraId="6A8E01D1">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3.每半年对屋面檐沟排水设施进行巡查一次，在汛期需要每月对屋面檐沟排水设施进行巡查一次，特别在防汛抗台期间每周对屋面檐沟排水设施进行巡查。</w:t>
            </w:r>
          </w:p>
        </w:tc>
      </w:tr>
    </w:tbl>
    <w:p w14:paraId="4BA20D08">
      <w:pPr>
        <w:pStyle w:val="3"/>
        <w:ind w:left="478" w:leftChars="195" w:hanging="10" w:hangingChars="4"/>
        <w:rPr>
          <w:rFonts w:hint="eastAsia" w:ascii="宋体" w:hAnsi="宋体" w:cs="宋体"/>
          <w:color w:val="auto"/>
          <w:kern w:val="0"/>
          <w:sz w:val="24"/>
          <w:szCs w:val="24"/>
          <w:highlight w:val="none"/>
          <w:lang w:val="en-US" w:bidi="ar"/>
        </w:rPr>
        <w:sectPr>
          <w:pgSz w:w="16838" w:h="11906" w:orient="landscape"/>
          <w:pgMar w:top="1418" w:right="1276" w:bottom="1418" w:left="1247" w:header="851" w:footer="992" w:gutter="0"/>
          <w:cols w:space="720" w:num="1"/>
          <w:titlePg/>
          <w:docGrid w:linePitch="312" w:charSpace="0"/>
        </w:sectPr>
      </w:pPr>
    </w:p>
    <w:p w14:paraId="22DADBB4">
      <w:pPr>
        <w:pStyle w:val="3"/>
        <w:ind w:left="478" w:leftChars="195" w:hanging="10" w:hangingChars="4"/>
        <w:rPr>
          <w:rFonts w:hint="eastAsia"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bidi="ar"/>
        </w:rPr>
        <w:t>六、物业管理服务质量要求</w:t>
      </w:r>
    </w:p>
    <w:p w14:paraId="412B3C2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供应商须按下列约定，实现目标管理，如供应商服务未达到要求的，采购人可责令供应商整改，供应商应及时整改；如双方认为需要进一步细化的，可以通过附件形式进行进一步明确：</w:t>
      </w:r>
    </w:p>
    <w:p w14:paraId="32B004CE">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w:t>
      </w:r>
      <w:r>
        <w:rPr>
          <w:rFonts w:hint="eastAsia" w:ascii="宋体" w:hAnsi="宋体" w:cs="仿宋_GB2312"/>
          <w:color w:val="auto"/>
          <w:highlight w:val="none"/>
        </w:rPr>
        <w:t>规范化：物业管理制度规范化，收费标准、岗位职责等制度要做到公开上墙，人员着装服务规范化，日常工作记录规范化，各项工作都要做好台账记录；</w:t>
      </w:r>
    </w:p>
    <w:p w14:paraId="25B51BBE">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2.外观：室内墙面完好，外观整洁，如出现墙面的一般损坏或污浊，</w:t>
      </w:r>
      <w:r>
        <w:rPr>
          <w:rFonts w:hint="eastAsia" w:ascii="宋体" w:hAnsi="宋体" w:cs="宋体"/>
          <w:color w:val="auto"/>
          <w:highlight w:val="none"/>
        </w:rPr>
        <w:t>供应商</w:t>
      </w:r>
      <w:r>
        <w:rPr>
          <w:rFonts w:hint="eastAsia" w:ascii="宋体" w:hAnsi="宋体" w:cs="仿宋_GB2312"/>
          <w:snapToGrid w:val="0"/>
          <w:color w:val="auto"/>
          <w:kern w:val="0"/>
          <w:highlight w:val="none"/>
        </w:rPr>
        <w:t>应在24小时内清理完毕；</w:t>
      </w:r>
    </w:p>
    <w:p w14:paraId="2FF617C0">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3.设备运行：设备良好，运行正常，定期保养，专人维护，无破损，消防系统可随时启用，如出现问题，供应商应立即进行处理或向特定维修机构报修。</w:t>
      </w:r>
    </w:p>
    <w:p w14:paraId="0EF9DE6B">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4.房屋及设施、设备的维修、养护：</w:t>
      </w:r>
      <w:r>
        <w:rPr>
          <w:rFonts w:hint="eastAsia" w:ascii="宋体" w:hAnsi="宋体" w:cs="仿宋_GB2312"/>
          <w:color w:val="auto"/>
          <w:highlight w:val="none"/>
        </w:rPr>
        <w:t>保证每月对房屋状况、设施、设备运行情况全面检查一次。供应商保证排污排水等的通畅，并保证随时发现问题，随时解决，除非确实存在不能克服的特殊情形，应在1-3个工作日内处理完毕；房屋需要大修的，做好维修基金的流程申报工作。</w:t>
      </w:r>
    </w:p>
    <w:p w14:paraId="22D67528">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5.</w:t>
      </w:r>
      <w:r>
        <w:rPr>
          <w:rFonts w:hint="eastAsia" w:ascii="宋体" w:hAnsi="宋体" w:cs="仿宋_GB2312"/>
          <w:color w:val="auto"/>
          <w:highlight w:val="none"/>
        </w:rPr>
        <w:t>急修：应立即到位（应在30分钟至1小时内上门查看），确保在最短时间内予以修复，除不能克服的特殊情况，供应商可以征得采购人同意后在半个工作日内修复。</w:t>
      </w:r>
    </w:p>
    <w:p w14:paraId="1859418C">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6.</w:t>
      </w:r>
      <w:r>
        <w:rPr>
          <w:rFonts w:hint="eastAsia" w:ascii="宋体" w:hAnsi="宋体" w:cs="仿宋_GB2312"/>
          <w:color w:val="auto"/>
          <w:highlight w:val="none"/>
        </w:rPr>
        <w:t>小修：应在一个工作日内修复，除非供应商征得采购人同意延迟。</w:t>
      </w:r>
    </w:p>
    <w:p w14:paraId="33344C4F">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7.</w:t>
      </w:r>
      <w:r>
        <w:rPr>
          <w:rFonts w:hint="eastAsia" w:ascii="宋体" w:hAnsi="宋体" w:cs="仿宋_GB2312"/>
          <w:color w:val="auto"/>
          <w:highlight w:val="none"/>
        </w:rPr>
        <w:t>小区管控:违建零新增，无大件垃圾乱扔，小区内停车有序，无共享单车，无随意晾晒衣物；</w:t>
      </w:r>
    </w:p>
    <w:p w14:paraId="7860523B">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8.</w:t>
      </w:r>
      <w:r>
        <w:rPr>
          <w:rFonts w:hint="eastAsia" w:ascii="宋体" w:hAnsi="宋体" w:cs="仿宋_GB2312"/>
          <w:color w:val="auto"/>
          <w:highlight w:val="none"/>
        </w:rPr>
        <w:t>单元楼道：楼道无堆积物，保持楼道消防通道畅通；消防设施按照规定时间检查更新</w:t>
      </w:r>
    </w:p>
    <w:p w14:paraId="223F91FA">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9.环境卫生：</w:t>
      </w:r>
      <w:r>
        <w:rPr>
          <w:rFonts w:hint="eastAsia" w:ascii="宋体" w:hAnsi="宋体" w:cs="仿宋_GB2312"/>
          <w:color w:val="auto"/>
          <w:highlight w:val="none"/>
        </w:rPr>
        <w:t>供应商</w:t>
      </w:r>
      <w:r>
        <w:rPr>
          <w:rFonts w:hint="eastAsia" w:ascii="宋体" w:hAnsi="宋体" w:cs="仿宋_GB2312"/>
          <w:snapToGrid w:val="0"/>
          <w:color w:val="auto"/>
          <w:kern w:val="0"/>
          <w:highlight w:val="none"/>
        </w:rPr>
        <w:t>根据招标需求每日需安排一定保洁人员进行清理，除每日进行全面清理外，保洁人员在工作时间随时清理垃圾，尘土，保持整体环境的整洁，</w:t>
      </w:r>
      <w:r>
        <w:rPr>
          <w:rFonts w:hint="eastAsia" w:ascii="宋体" w:hAnsi="宋体" w:cs="仿宋_GB2312"/>
          <w:color w:val="auto"/>
          <w:highlight w:val="none"/>
        </w:rPr>
        <w:t>供应商</w:t>
      </w:r>
      <w:r>
        <w:rPr>
          <w:rFonts w:hint="eastAsia" w:ascii="宋体" w:hAnsi="宋体" w:cs="仿宋_GB2312"/>
          <w:snapToGrid w:val="0"/>
          <w:color w:val="auto"/>
          <w:kern w:val="0"/>
          <w:highlight w:val="none"/>
        </w:rPr>
        <w:t>保证保洁人员工作规范，作风优良。</w:t>
      </w:r>
    </w:p>
    <w:p w14:paraId="7BCFF710">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10. 采购人工作人员及</w:t>
      </w:r>
      <w:r>
        <w:rPr>
          <w:rFonts w:hint="eastAsia" w:ascii="宋体" w:hAnsi="宋体" w:cs="仿宋_GB2312"/>
          <w:color w:val="auto"/>
          <w:highlight w:val="none"/>
        </w:rPr>
        <w:t>小区物管委成员</w:t>
      </w:r>
      <w:r>
        <w:rPr>
          <w:rFonts w:hint="eastAsia" w:ascii="宋体" w:hAnsi="宋体" w:cs="仿宋_GB2312"/>
          <w:snapToGrid w:val="0"/>
          <w:color w:val="auto"/>
          <w:kern w:val="0"/>
          <w:highlight w:val="none"/>
        </w:rPr>
        <w:t>可随时组织进行对</w:t>
      </w:r>
      <w:r>
        <w:rPr>
          <w:rFonts w:hint="eastAsia" w:ascii="宋体" w:hAnsi="宋体" w:cs="仿宋_GB2312"/>
          <w:color w:val="auto"/>
          <w:highlight w:val="none"/>
        </w:rPr>
        <w:t>供应商</w:t>
      </w:r>
      <w:r>
        <w:rPr>
          <w:rFonts w:hint="eastAsia" w:ascii="宋体" w:hAnsi="宋体" w:cs="仿宋_GB2312"/>
          <w:snapToGrid w:val="0"/>
          <w:color w:val="auto"/>
          <w:kern w:val="0"/>
          <w:highlight w:val="none"/>
        </w:rPr>
        <w:t>物业服务项目日常考核，</w:t>
      </w:r>
      <w:r>
        <w:rPr>
          <w:rFonts w:hint="eastAsia" w:ascii="宋体" w:hAnsi="宋体" w:cs="仿宋_GB2312"/>
          <w:color w:val="auto"/>
          <w:highlight w:val="none"/>
        </w:rPr>
        <w:t>如发现问题及时整改通过后销号处理，复检无法通过将根据“杭玻阔板桥社区老旧小区物业服务项目日常考核管理标准”进行扣分</w:t>
      </w:r>
      <w:r>
        <w:rPr>
          <w:rFonts w:hint="eastAsia" w:ascii="宋体" w:hAnsi="宋体" w:cs="仿宋_GB2312"/>
          <w:snapToGrid w:val="0"/>
          <w:color w:val="auto"/>
          <w:kern w:val="0"/>
          <w:highlight w:val="none"/>
        </w:rPr>
        <w:t>。</w:t>
      </w:r>
    </w:p>
    <w:p w14:paraId="74461972">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11.满意度考核标准。采购人每年组织开展物业满意度测评，测评对象范围包括但不限于全体业主、小区物管委成员、业主代表等。全年度满意度测评指标需达到80%以上，测评指数低于60%，书面通知整改期内仍不达标的，可直接终止合同</w:t>
      </w:r>
    </w:p>
    <w:p w14:paraId="404B1556">
      <w:pPr>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12.</w:t>
      </w:r>
      <w:r>
        <w:rPr>
          <w:rFonts w:hint="eastAsia" w:ascii="宋体" w:hAnsi="宋体" w:cs="仿宋_GB2312"/>
          <w:color w:val="auto"/>
          <w:highlight w:val="none"/>
        </w:rPr>
        <w:t>供应商</w:t>
      </w:r>
      <w:r>
        <w:rPr>
          <w:rFonts w:hint="eastAsia" w:ascii="宋体" w:hAnsi="宋体" w:cs="仿宋_GB2312"/>
          <w:snapToGrid w:val="0"/>
          <w:color w:val="auto"/>
          <w:kern w:val="0"/>
          <w:highlight w:val="none"/>
        </w:rPr>
        <w:t>需做好辖区范围内的日常绿化养护工作，社区绿化养护必须通过市区两级绿化部门的考核验收。</w:t>
      </w:r>
    </w:p>
    <w:p w14:paraId="1B7E65E0">
      <w:pPr>
        <w:tabs>
          <w:tab w:val="left" w:pos="432"/>
        </w:tabs>
        <w:spacing w:line="360" w:lineRule="auto"/>
        <w:ind w:left="468" w:leftChars="195" w:firstLine="480" w:firstLineChars="200"/>
        <w:jc w:val="left"/>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13. 招标文件规定及双方约定的其他内容。</w:t>
      </w:r>
    </w:p>
    <w:p w14:paraId="5B170FD9">
      <w:pPr>
        <w:pStyle w:val="3"/>
        <w:ind w:left="317" w:leftChars="132" w:firstLine="229" w:firstLineChars="95"/>
        <w:rPr>
          <w:rFonts w:hint="eastAsia"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bidi="ar"/>
        </w:rPr>
        <w:t>七、费用结算方式</w:t>
      </w:r>
    </w:p>
    <w:p w14:paraId="1EC7F0FE">
      <w:pPr>
        <w:spacing w:line="360" w:lineRule="auto"/>
        <w:ind w:firstLine="480" w:firstLineChars="200"/>
        <w:rPr>
          <w:rFonts w:hint="eastAsia" w:ascii="宋体" w:hAnsi="宋体" w:cs="仿宋_GB2312"/>
          <w:color w:val="auto"/>
          <w:highlight w:val="none"/>
        </w:rPr>
      </w:pPr>
      <w:r>
        <w:rPr>
          <w:rFonts w:hint="eastAsia" w:ascii="宋体" w:hAnsi="宋体" w:cs="仿宋_GB2312"/>
          <w:snapToGrid w:val="0"/>
          <w:color w:val="auto"/>
          <w:kern w:val="0"/>
          <w:highlight w:val="none"/>
        </w:rPr>
        <w:t>1、物业管理服务费，在服务周期前四个月（2025年9月1</w:t>
      </w:r>
      <w:r>
        <w:rPr>
          <w:rFonts w:hint="eastAsia" w:ascii="宋体" w:hAnsi="宋体" w:cs="仿宋_GB2312"/>
          <w:snapToGrid w:val="0"/>
          <w:color w:val="auto"/>
          <w:kern w:val="0"/>
          <w:highlight w:val="none"/>
          <w:lang w:eastAsia="zh-CN"/>
        </w:rPr>
        <w:t>日</w:t>
      </w:r>
      <w:r>
        <w:rPr>
          <w:rFonts w:hint="eastAsia" w:ascii="宋体" w:hAnsi="宋体" w:cs="仿宋_GB2312"/>
          <w:snapToGrid w:val="0"/>
          <w:color w:val="auto"/>
          <w:kern w:val="0"/>
          <w:highlight w:val="none"/>
        </w:rPr>
        <w:t>至2025年12</w:t>
      </w:r>
      <w:r>
        <w:rPr>
          <w:rFonts w:hint="eastAsia" w:ascii="宋体" w:hAnsi="宋体" w:cs="仿宋_GB2312"/>
          <w:snapToGrid w:val="0"/>
          <w:color w:val="auto"/>
          <w:kern w:val="0"/>
          <w:highlight w:val="none"/>
          <w:lang w:val="en-US" w:eastAsia="zh-CN"/>
        </w:rPr>
        <w:t>月</w:t>
      </w:r>
      <w:r>
        <w:rPr>
          <w:rFonts w:hint="eastAsia" w:ascii="宋体" w:hAnsi="宋体" w:cs="仿宋_GB2312"/>
          <w:snapToGrid w:val="0"/>
          <w:color w:val="auto"/>
          <w:kern w:val="0"/>
          <w:highlight w:val="none"/>
        </w:rPr>
        <w:t>31</w:t>
      </w:r>
      <w:r>
        <w:rPr>
          <w:rFonts w:hint="eastAsia" w:ascii="宋体" w:hAnsi="宋体" w:cs="仿宋_GB2312"/>
          <w:snapToGrid w:val="0"/>
          <w:color w:val="auto"/>
          <w:kern w:val="0"/>
          <w:highlight w:val="none"/>
          <w:lang w:eastAsia="zh-CN"/>
        </w:rPr>
        <w:t>日</w:t>
      </w:r>
      <w:r>
        <w:rPr>
          <w:rFonts w:hint="eastAsia" w:ascii="宋体" w:hAnsi="宋体" w:cs="仿宋_GB2312"/>
          <w:snapToGrid w:val="0"/>
          <w:color w:val="auto"/>
          <w:kern w:val="0"/>
          <w:highlight w:val="none"/>
        </w:rPr>
        <w:t>）为试用期，在试用期结束后30个工作日内，考核支付试用期期间的物业服务费，试用期物业服务费为年服务费除以12乘以4结算；2026年1月1日起每一季度支付一次，每季度支付金额为年物业服务费的20%，绩效考核奖励费用为年物业服务费的20%，经甲方按照年度物业服务绩效考核等级对奖励费进行兑付。绩效考核奖励费兑付比例分别为优秀100%，良好90%，一般70%，合格50%，不合格为0。乙方应向甲方提交正式有效发票，如合同到期或协商一致终止，最后一期物业管理服务费待乙方离场交接并由甲方认可30日后的7个工作日内，甲方再予以支付。根据《中华人民共和国公司法》第十四条和《中华人民共和国发票管理办法》第十九条，在总公司授权并告知相对方后，可由分公司进行费用结算。</w:t>
      </w:r>
    </w:p>
    <w:p w14:paraId="77750F18">
      <w:pPr>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2、按照街道、社区垃圾分类考核要求开展垃圾分类工作，对小区垃圾定时定点投放点和误时点做到定人定岗（定时点3个，误时点3个），执行垃圾分类督导员职责，在市区街道社区四级督查、检查、巡查中，分类正确率100%。社区结合垃圾分类考核（被上级部门检查中因垃圾分类问题抄告扣分，社区抄告一次扣除绩效考核奖励费用的¥100元；街道级抄告一次扣除绩效考核奖励费用的¥500 元；区级抄告一次扣除绩效考核奖励费用的¥1000元；市级抄告一次扣除绩效考核奖励费用的¥2000元；省级抄告一次扣除绩效考核奖励费用的¥3000元）给予垃圾分类督导员补贴，垃圾分类督导员补贴等占物业管理服务费的比例不超过15%，费用包含在物业管理服务费中。</w:t>
      </w:r>
    </w:p>
    <w:p w14:paraId="60D10F37">
      <w:pPr>
        <w:pStyle w:val="3"/>
        <w:ind w:left="478" w:leftChars="195" w:hanging="10" w:hangingChars="4"/>
        <w:rPr>
          <w:rFonts w:hint="eastAsia"/>
          <w:color w:val="auto"/>
          <w:sz w:val="24"/>
          <w:szCs w:val="24"/>
          <w:highlight w:val="none"/>
          <w:lang w:val="en-US"/>
        </w:rPr>
      </w:pPr>
      <w:r>
        <w:rPr>
          <w:rFonts w:hint="eastAsia"/>
          <w:color w:val="auto"/>
          <w:sz w:val="24"/>
          <w:szCs w:val="24"/>
          <w:highlight w:val="none"/>
          <w:lang w:val="en-US"/>
        </w:rPr>
        <w:t>八、本章未尽之处具体详见“第五部分 拟签订的合同文本”</w:t>
      </w:r>
    </w:p>
    <w:p w14:paraId="4F41A8CA">
      <w:pPr>
        <w:jc w:val="left"/>
        <w:rPr>
          <w:rFonts w:hint="eastAsia" w:ascii="宋体" w:hAnsi="宋体" w:cs="宋体"/>
          <w:color w:val="auto"/>
          <w:highlight w:val="none"/>
        </w:rPr>
      </w:pPr>
      <w:r>
        <w:rPr>
          <w:rFonts w:hint="eastAsia" w:ascii="宋体" w:hAnsi="宋体" w:cs="宋体"/>
          <w:color w:val="auto"/>
          <w:highlight w:val="none"/>
        </w:rPr>
        <w:br w:type="page"/>
      </w:r>
    </w:p>
    <w:p w14:paraId="24F5383C">
      <w:pPr>
        <w:pStyle w:val="2"/>
        <w:ind w:firstLine="3213" w:firstLineChars="1000"/>
        <w:jc w:val="both"/>
        <w:rPr>
          <w:rFonts w:hint="eastAsia" w:ascii="宋体" w:hAnsi="宋体" w:cs="宋体"/>
          <w:color w:val="auto"/>
          <w:highlight w:val="none"/>
        </w:rPr>
      </w:pPr>
      <w:r>
        <w:rPr>
          <w:rFonts w:hint="eastAsia" w:ascii="宋体" w:hAnsi="宋体" w:cs="宋体"/>
          <w:color w:val="auto"/>
          <w:highlight w:val="none"/>
        </w:rPr>
        <w:t>第四章  评审办法</w:t>
      </w:r>
    </w:p>
    <w:p w14:paraId="6E7B0A05">
      <w:pPr>
        <w:pStyle w:val="3"/>
        <w:jc w:val="center"/>
        <w:rPr>
          <w:rFonts w:hint="eastAsia"/>
          <w:color w:val="auto"/>
          <w:highlight w:val="none"/>
        </w:rPr>
      </w:pPr>
      <w:r>
        <w:rPr>
          <w:rFonts w:hint="eastAsia"/>
          <w:color w:val="auto"/>
          <w:highlight w:val="none"/>
        </w:rPr>
        <w:t>评</w:t>
      </w:r>
      <w:r>
        <w:rPr>
          <w:rFonts w:hint="eastAsia"/>
          <w:color w:val="auto"/>
          <w:highlight w:val="none"/>
          <w:lang w:val="en-US"/>
        </w:rPr>
        <w:t>审</w:t>
      </w:r>
      <w:r>
        <w:rPr>
          <w:rFonts w:hint="eastAsia"/>
          <w:color w:val="auto"/>
          <w:highlight w:val="none"/>
        </w:rPr>
        <w:t>办法前附表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837"/>
        <w:gridCol w:w="5476"/>
        <w:gridCol w:w="687"/>
        <w:gridCol w:w="1014"/>
      </w:tblGrid>
      <w:tr w14:paraId="7153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013C52D0">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900" w:type="dxa"/>
            <w:vAlign w:val="center"/>
          </w:tcPr>
          <w:p w14:paraId="0241A5B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主观分/客观分属性</w:t>
            </w:r>
          </w:p>
        </w:tc>
        <w:tc>
          <w:tcPr>
            <w:tcW w:w="6096" w:type="dxa"/>
            <w:vAlign w:val="center"/>
          </w:tcPr>
          <w:p w14:paraId="2B803BF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评分细则</w:t>
            </w:r>
          </w:p>
        </w:tc>
        <w:tc>
          <w:tcPr>
            <w:tcW w:w="725" w:type="dxa"/>
            <w:vAlign w:val="center"/>
          </w:tcPr>
          <w:p w14:paraId="718A8008">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分值权值</w:t>
            </w:r>
          </w:p>
        </w:tc>
        <w:tc>
          <w:tcPr>
            <w:tcW w:w="1047" w:type="dxa"/>
            <w:vAlign w:val="center"/>
          </w:tcPr>
          <w:p w14:paraId="695EB504">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投标文件中评标标准相应的商务技术资料目录 *</w:t>
            </w:r>
          </w:p>
        </w:tc>
      </w:tr>
      <w:tr w14:paraId="7119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518" w:type="dxa"/>
            <w:vAlign w:val="center"/>
          </w:tcPr>
          <w:p w14:paraId="2556B5E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900" w:type="dxa"/>
            <w:vAlign w:val="center"/>
          </w:tcPr>
          <w:p w14:paraId="0A8C374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c>
          <w:tcPr>
            <w:tcW w:w="6096" w:type="dxa"/>
            <w:vAlign w:val="center"/>
          </w:tcPr>
          <w:p w14:paraId="40327883">
            <w:pPr>
              <w:widowControl/>
              <w:adjustRightInd/>
              <w:spacing w:line="280" w:lineRule="exact"/>
              <w:rPr>
                <w:rFonts w:hint="eastAsia" w:ascii="宋体" w:hAnsi="宋体" w:cs="宋体"/>
                <w:color w:val="auto"/>
                <w:highlight w:val="none"/>
              </w:rPr>
            </w:pPr>
            <w:r>
              <w:rPr>
                <w:rFonts w:hint="eastAsia" w:ascii="宋体" w:hAnsi="宋体" w:cs="宋体"/>
                <w:color w:val="auto"/>
                <w:highlight w:val="none"/>
              </w:rPr>
              <w:t>供应商具有有效的质量管理体系认证证书、环境管理体系认证证书、职业健康安全管理体系认证、物业服务体系认证证书，每取得一项得1分，最高得4分。</w:t>
            </w:r>
          </w:p>
          <w:p w14:paraId="6B4616E0">
            <w:pPr>
              <w:widowControl/>
              <w:adjustRightInd/>
              <w:spacing w:line="280" w:lineRule="exact"/>
              <w:rPr>
                <w:rFonts w:hint="eastAsia" w:ascii="宋体" w:hAnsi="宋体" w:cs="宋体"/>
                <w:color w:val="auto"/>
                <w:highlight w:val="none"/>
              </w:rPr>
            </w:pPr>
            <w:r>
              <w:rPr>
                <w:rFonts w:hint="eastAsia" w:ascii="宋体" w:hAnsi="宋体" w:cs="宋体"/>
                <w:color w:val="auto"/>
                <w:highlight w:val="none"/>
              </w:rPr>
              <w:t>证明材料：有效的认证证书复印件及全国认证认可信息公共服务平台查询截图加盖公章。</w:t>
            </w:r>
          </w:p>
        </w:tc>
        <w:tc>
          <w:tcPr>
            <w:tcW w:w="725" w:type="dxa"/>
            <w:vAlign w:val="center"/>
          </w:tcPr>
          <w:p w14:paraId="7AE86EAE">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4</w:t>
            </w:r>
          </w:p>
        </w:tc>
        <w:tc>
          <w:tcPr>
            <w:tcW w:w="1047" w:type="dxa"/>
            <w:vAlign w:val="center"/>
          </w:tcPr>
          <w:p w14:paraId="41EB0B36">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管理体系认证</w:t>
            </w:r>
          </w:p>
        </w:tc>
      </w:tr>
      <w:tr w14:paraId="6182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18" w:type="dxa"/>
            <w:vAlign w:val="center"/>
          </w:tcPr>
          <w:p w14:paraId="0C05005A">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900" w:type="dxa"/>
            <w:vAlign w:val="center"/>
          </w:tcPr>
          <w:p w14:paraId="36EB2994">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c>
          <w:tcPr>
            <w:tcW w:w="6096" w:type="dxa"/>
            <w:vAlign w:val="center"/>
          </w:tcPr>
          <w:p w14:paraId="76A6E509">
            <w:pPr>
              <w:widowControl/>
              <w:adjustRightInd/>
              <w:spacing w:line="280" w:lineRule="exact"/>
              <w:rPr>
                <w:rFonts w:hint="eastAsia" w:ascii="宋体" w:hAnsi="宋体" w:cs="宋体"/>
                <w:bCs/>
                <w:color w:val="auto"/>
                <w:highlight w:val="none"/>
              </w:rPr>
            </w:pPr>
            <w:r>
              <w:rPr>
                <w:rFonts w:hint="eastAsia" w:ascii="宋体" w:hAnsi="宋体" w:cs="宋体"/>
                <w:bCs/>
                <w:color w:val="auto"/>
                <w:highlight w:val="none"/>
              </w:rPr>
              <w:t>供应商提供自2022年1月1日以来（以合同签订时间为准）至今承担过类似业绩（类似业绩指物业服务项目），每个项目得1.5分，最高得3分。</w:t>
            </w:r>
          </w:p>
          <w:p w14:paraId="7BAD750A">
            <w:pPr>
              <w:widowControl/>
              <w:adjustRightInd/>
              <w:spacing w:line="280" w:lineRule="exact"/>
              <w:rPr>
                <w:rFonts w:hint="eastAsia" w:ascii="宋体" w:hAnsi="宋体" w:cs="宋体"/>
                <w:color w:val="auto"/>
                <w:kern w:val="0"/>
                <w:highlight w:val="none"/>
              </w:rPr>
            </w:pPr>
            <w:r>
              <w:rPr>
                <w:rFonts w:hint="eastAsia" w:ascii="宋体" w:hAnsi="宋体" w:cs="宋体"/>
                <w:color w:val="auto"/>
                <w:highlight w:val="none"/>
              </w:rPr>
              <w:t>证明材料：</w:t>
            </w:r>
            <w:r>
              <w:rPr>
                <w:rFonts w:hint="eastAsia" w:ascii="宋体" w:hAnsi="宋体" w:cs="宋体"/>
                <w:bCs/>
                <w:color w:val="auto"/>
                <w:highlight w:val="none"/>
              </w:rPr>
              <w:t>提供清晰的合同复印件并加盖公章，不提供或者提供资料缺项不得分。</w:t>
            </w:r>
          </w:p>
        </w:tc>
        <w:tc>
          <w:tcPr>
            <w:tcW w:w="725" w:type="dxa"/>
            <w:vAlign w:val="center"/>
          </w:tcPr>
          <w:p w14:paraId="486FFAB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047" w:type="dxa"/>
            <w:vAlign w:val="center"/>
          </w:tcPr>
          <w:p w14:paraId="0AF12E19">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业绩</w:t>
            </w:r>
          </w:p>
        </w:tc>
      </w:tr>
      <w:tr w14:paraId="78F5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518" w:type="dxa"/>
            <w:vAlign w:val="center"/>
          </w:tcPr>
          <w:p w14:paraId="593B290B">
            <w:pPr>
              <w:widowControl/>
              <w:adjustRightInd/>
              <w:spacing w:line="28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900" w:type="dxa"/>
            <w:vAlign w:val="center"/>
          </w:tcPr>
          <w:p w14:paraId="4DA26B5A">
            <w:pPr>
              <w:widowControl/>
              <w:adjustRightInd/>
              <w:spacing w:line="280" w:lineRule="exact"/>
              <w:jc w:val="center"/>
              <w:rPr>
                <w:rFonts w:hint="eastAsia" w:ascii="宋体" w:hAnsi="宋体" w:cs="宋体"/>
                <w:color w:val="auto"/>
                <w:highlight w:val="none"/>
              </w:rPr>
            </w:pPr>
            <w:r>
              <w:rPr>
                <w:rFonts w:hint="eastAsia" w:ascii="宋体" w:hAnsi="宋体" w:cs="宋体"/>
                <w:color w:val="auto"/>
                <w:kern w:val="0"/>
                <w:highlight w:val="none"/>
              </w:rPr>
              <w:t>客观分</w:t>
            </w:r>
          </w:p>
        </w:tc>
        <w:tc>
          <w:tcPr>
            <w:tcW w:w="6096" w:type="dxa"/>
            <w:vAlign w:val="center"/>
          </w:tcPr>
          <w:p w14:paraId="6AFD4C29">
            <w:pPr>
              <w:widowControl/>
              <w:adjustRightInd/>
              <w:spacing w:line="280" w:lineRule="exact"/>
              <w:rPr>
                <w:rFonts w:hint="eastAsia" w:ascii="宋体" w:hAnsi="宋体" w:cs="宋体"/>
                <w:color w:val="auto"/>
                <w:kern w:val="0"/>
                <w:highlight w:val="none"/>
              </w:rPr>
            </w:pPr>
            <w:r>
              <w:rPr>
                <w:rFonts w:hint="eastAsia" w:ascii="宋体" w:hAnsi="宋体" w:cs="宋体"/>
                <w:color w:val="auto"/>
                <w:kern w:val="0"/>
                <w:highlight w:val="none"/>
              </w:rPr>
              <w:t>自2022年1月1日以来供应商获得区级荣誉的，得1分；获得市级荣誉,得2分；获得省级及以上荣誉，得3分。(荣誉与物业服务相关，且以发文时间为依据)</w:t>
            </w:r>
          </w:p>
          <w:p w14:paraId="125FB363">
            <w:pPr>
              <w:widowControl/>
              <w:adjustRightInd/>
              <w:spacing w:line="280" w:lineRule="exact"/>
              <w:rPr>
                <w:color w:val="auto"/>
                <w:highlight w:val="none"/>
              </w:rPr>
            </w:pPr>
            <w:r>
              <w:rPr>
                <w:rFonts w:hint="eastAsia" w:ascii="宋体" w:hAnsi="宋体" w:cs="宋体"/>
                <w:color w:val="auto"/>
                <w:kern w:val="0"/>
                <w:highlight w:val="none"/>
              </w:rPr>
              <w:t>证明材料：需提供荣誉证书扫描件或红头文件扫描件或政府官网截图等证明，不提供不得分。</w:t>
            </w:r>
          </w:p>
        </w:tc>
        <w:tc>
          <w:tcPr>
            <w:tcW w:w="725" w:type="dxa"/>
            <w:vAlign w:val="center"/>
          </w:tcPr>
          <w:p w14:paraId="7C71A56B">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047" w:type="dxa"/>
            <w:vAlign w:val="center"/>
          </w:tcPr>
          <w:p w14:paraId="2EE3EC83">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企业荣誉</w:t>
            </w:r>
          </w:p>
        </w:tc>
      </w:tr>
      <w:tr w14:paraId="7F9A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518" w:type="dxa"/>
            <w:vAlign w:val="center"/>
          </w:tcPr>
          <w:p w14:paraId="71DDCE52">
            <w:pPr>
              <w:widowControl/>
              <w:adjustRightInd/>
              <w:spacing w:line="28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900" w:type="dxa"/>
            <w:vAlign w:val="center"/>
          </w:tcPr>
          <w:p w14:paraId="65411533">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c>
          <w:tcPr>
            <w:tcW w:w="6096" w:type="dxa"/>
            <w:vAlign w:val="center"/>
          </w:tcPr>
          <w:p w14:paraId="0CD737A6">
            <w:pPr>
              <w:widowControl/>
              <w:adjustRightInd/>
              <w:spacing w:line="280" w:lineRule="exact"/>
              <w:rPr>
                <w:rFonts w:hint="eastAsia" w:ascii="宋体" w:hAnsi="宋体" w:cs="宋体"/>
                <w:color w:val="auto"/>
                <w:kern w:val="0"/>
                <w:highlight w:val="none"/>
              </w:rPr>
            </w:pPr>
            <w:r>
              <w:rPr>
                <w:rFonts w:hint="eastAsia" w:ascii="宋体" w:hAnsi="宋体" w:cs="宋体"/>
                <w:color w:val="auto"/>
                <w:kern w:val="0"/>
                <w:highlight w:val="none"/>
              </w:rPr>
              <w:t>项目综合管理层（项目经理）：</w:t>
            </w:r>
          </w:p>
          <w:p w14:paraId="377E80EB">
            <w:pPr>
              <w:widowControl/>
              <w:adjustRightInd/>
              <w:spacing w:line="280" w:lineRule="exact"/>
              <w:rPr>
                <w:rFonts w:hint="eastAsia" w:ascii="宋体" w:hAnsi="宋体" w:cs="宋体"/>
                <w:color w:val="auto"/>
                <w:spacing w:val="-2"/>
                <w:highlight w:val="none"/>
              </w:rPr>
            </w:pPr>
            <w:r>
              <w:rPr>
                <w:rFonts w:ascii="宋体" w:hAnsi="宋体" w:cs="宋体"/>
                <w:color w:val="auto"/>
                <w:spacing w:val="-2"/>
                <w:highlight w:val="none"/>
              </w:rPr>
              <w:t>（</w:t>
            </w:r>
            <w:r>
              <w:rPr>
                <w:rFonts w:hint="eastAsia" w:ascii="宋体" w:hAnsi="宋体" w:cs="宋体"/>
                <w:color w:val="auto"/>
                <w:spacing w:val="-2"/>
                <w:highlight w:val="none"/>
              </w:rPr>
              <w:t>1</w:t>
            </w:r>
            <w:r>
              <w:rPr>
                <w:rFonts w:ascii="宋体" w:hAnsi="宋体" w:cs="宋体"/>
                <w:color w:val="auto"/>
                <w:spacing w:val="-2"/>
                <w:highlight w:val="none"/>
              </w:rPr>
              <w:t>）</w:t>
            </w:r>
            <w:r>
              <w:rPr>
                <w:rFonts w:hint="eastAsia" w:ascii="宋体" w:hAnsi="宋体" w:cs="宋体"/>
                <w:color w:val="auto"/>
                <w:spacing w:val="-2"/>
                <w:highlight w:val="none"/>
                <w:lang w:val="zh-CN"/>
              </w:rPr>
              <w:t>年龄在</w:t>
            </w:r>
            <w:r>
              <w:rPr>
                <w:rFonts w:hint="eastAsia" w:ascii="宋体" w:hAnsi="宋体" w:cs="宋体"/>
                <w:color w:val="auto"/>
                <w:spacing w:val="-2"/>
                <w:highlight w:val="none"/>
              </w:rPr>
              <w:t>50</w:t>
            </w:r>
            <w:r>
              <w:rPr>
                <w:rFonts w:hint="eastAsia" w:ascii="宋体" w:hAnsi="宋体" w:cs="宋体"/>
                <w:color w:val="auto"/>
                <w:spacing w:val="-2"/>
                <w:highlight w:val="none"/>
                <w:lang w:val="zh-CN"/>
              </w:rPr>
              <w:t>周岁</w:t>
            </w:r>
            <w:r>
              <w:rPr>
                <w:rFonts w:hint="eastAsia" w:ascii="宋体" w:hAnsi="宋体" w:cs="宋体"/>
                <w:color w:val="auto"/>
                <w:spacing w:val="-2"/>
                <w:highlight w:val="none"/>
              </w:rPr>
              <w:t>及以下；</w:t>
            </w:r>
          </w:p>
          <w:p w14:paraId="0B249842">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lang w:val="zh-CN"/>
              </w:rPr>
              <w:t>专科及以上学历且从事物业管理相关工作</w:t>
            </w:r>
            <w:r>
              <w:rPr>
                <w:rFonts w:hint="eastAsia" w:ascii="宋体" w:hAnsi="宋体" w:cs="宋体"/>
                <w:color w:val="auto"/>
                <w:spacing w:val="-2"/>
                <w:highlight w:val="none"/>
              </w:rPr>
              <w:t>经验达2年以上</w:t>
            </w:r>
            <w:r>
              <w:rPr>
                <w:rFonts w:hint="eastAsia" w:ascii="宋体" w:hAnsi="宋体" w:cs="宋体"/>
                <w:color w:val="auto"/>
                <w:spacing w:val="-2"/>
                <w:highlight w:val="none"/>
                <w:lang w:val="zh-CN"/>
              </w:rPr>
              <w:t>；</w:t>
            </w:r>
          </w:p>
          <w:p w14:paraId="15F1CA23">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（3）持物业管理企业经理证书。</w:t>
            </w:r>
          </w:p>
          <w:p w14:paraId="77E44FFE">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满足以上要求且满足采购需求中人数要求的得3分，不满足不得分。</w:t>
            </w:r>
          </w:p>
          <w:p w14:paraId="0CDDB4B8">
            <w:pPr>
              <w:widowControl/>
              <w:adjustRightInd/>
              <w:spacing w:line="280" w:lineRule="exact"/>
              <w:rPr>
                <w:rFonts w:eastAsia="仿宋_GB2312"/>
                <w:color w:val="auto"/>
                <w:highlight w:val="none"/>
              </w:rPr>
            </w:pPr>
            <w:r>
              <w:rPr>
                <w:rFonts w:hint="eastAsia" w:ascii="宋体" w:hAnsi="宋体" w:cs="宋体"/>
                <w:color w:val="auto"/>
                <w:spacing w:val="-2"/>
                <w:highlight w:val="none"/>
              </w:rPr>
              <w:t>注：提供相关证明材料和在供应商单位连续缴纳的近3个月社保证明。</w:t>
            </w:r>
          </w:p>
        </w:tc>
        <w:tc>
          <w:tcPr>
            <w:tcW w:w="725" w:type="dxa"/>
            <w:vAlign w:val="center"/>
          </w:tcPr>
          <w:p w14:paraId="306AAA9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047" w:type="dxa"/>
            <w:vMerge w:val="restart"/>
            <w:vAlign w:val="center"/>
          </w:tcPr>
          <w:p w14:paraId="07205CF3">
            <w:pPr>
              <w:widowControl/>
              <w:adjustRightInd/>
              <w:spacing w:line="280" w:lineRule="exact"/>
              <w:jc w:val="center"/>
              <w:rPr>
                <w:rFonts w:hint="eastAsia" w:ascii="宋体" w:hAnsi="宋体" w:cs="宋体"/>
                <w:color w:val="auto"/>
                <w:kern w:val="0"/>
                <w:highlight w:val="none"/>
              </w:rPr>
            </w:pPr>
            <w:r>
              <w:rPr>
                <w:rFonts w:hint="eastAsia" w:ascii="宋体" w:hAnsi="宋体" w:cs="宋体"/>
                <w:bCs/>
                <w:color w:val="auto"/>
                <w:highlight w:val="none"/>
              </w:rPr>
              <w:t>团队人员</w:t>
            </w:r>
          </w:p>
        </w:tc>
      </w:tr>
      <w:tr w14:paraId="7305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6419E003">
            <w:pPr>
              <w:widowControl/>
              <w:adjustRightInd/>
              <w:spacing w:line="28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900" w:type="dxa"/>
            <w:vAlign w:val="center"/>
          </w:tcPr>
          <w:p w14:paraId="4FB3B71E">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c>
          <w:tcPr>
            <w:tcW w:w="6096" w:type="dxa"/>
            <w:vAlign w:val="center"/>
          </w:tcPr>
          <w:p w14:paraId="3C84E68C">
            <w:pPr>
              <w:widowControl/>
              <w:adjustRightInd/>
              <w:spacing w:line="280" w:lineRule="exact"/>
              <w:rPr>
                <w:rFonts w:hint="eastAsia" w:ascii="宋体" w:hAnsi="宋体" w:cs="宋体"/>
                <w:color w:val="auto"/>
                <w:kern w:val="0"/>
                <w:highlight w:val="none"/>
              </w:rPr>
            </w:pPr>
            <w:r>
              <w:rPr>
                <w:rFonts w:ascii="宋体" w:hAnsi="宋体" w:cs="宋体"/>
                <w:color w:val="auto"/>
                <w:kern w:val="0"/>
                <w:highlight w:val="none"/>
              </w:rPr>
              <w:t>秩序维护部</w:t>
            </w:r>
            <w:r>
              <w:rPr>
                <w:rFonts w:hint="eastAsia" w:ascii="宋体" w:hAnsi="宋体" w:cs="宋体"/>
                <w:color w:val="auto"/>
                <w:kern w:val="0"/>
                <w:highlight w:val="none"/>
              </w:rPr>
              <w:t>（保安队长）：</w:t>
            </w:r>
          </w:p>
          <w:p w14:paraId="518D4ADF">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lang w:val="zh-CN"/>
              </w:rPr>
              <w:t>（1）年龄在</w:t>
            </w:r>
            <w:r>
              <w:rPr>
                <w:rFonts w:hint="eastAsia" w:ascii="宋体" w:hAnsi="宋体" w:cs="宋体"/>
                <w:color w:val="auto"/>
                <w:spacing w:val="-2"/>
                <w:highlight w:val="none"/>
              </w:rPr>
              <w:t>50</w:t>
            </w:r>
            <w:r>
              <w:rPr>
                <w:rFonts w:hint="eastAsia" w:ascii="宋体" w:hAnsi="宋体" w:cs="宋体"/>
                <w:color w:val="auto"/>
                <w:spacing w:val="-2"/>
                <w:highlight w:val="none"/>
                <w:lang w:val="zh-CN"/>
              </w:rPr>
              <w:t>周岁</w:t>
            </w:r>
            <w:r>
              <w:rPr>
                <w:rFonts w:hint="eastAsia" w:ascii="宋体" w:hAnsi="宋体" w:cs="宋体"/>
                <w:color w:val="auto"/>
                <w:spacing w:val="-2"/>
                <w:highlight w:val="none"/>
              </w:rPr>
              <w:t>及以下；</w:t>
            </w:r>
          </w:p>
          <w:p w14:paraId="347E27D3">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（2）从事安保相关工作经验</w:t>
            </w:r>
            <w:r>
              <w:rPr>
                <w:rFonts w:hint="eastAsia" w:ascii="宋体" w:hAnsi="宋体" w:cs="宋体"/>
                <w:color w:val="auto"/>
                <w:spacing w:val="-2"/>
                <w:highlight w:val="none"/>
                <w:lang w:val="zh-CN"/>
              </w:rPr>
              <w:t>；</w:t>
            </w:r>
          </w:p>
          <w:p w14:paraId="66CAA92F">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（3）具有保安员证书；</w:t>
            </w:r>
          </w:p>
          <w:p w14:paraId="07C9609F">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满足以上要求且满足采购需求中人数要求的得3分，不满足不得分。</w:t>
            </w:r>
          </w:p>
          <w:p w14:paraId="538C607E">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注：提供相关证明材料和在供应商单位连续缴纳的近3个月社保证明。</w:t>
            </w:r>
          </w:p>
        </w:tc>
        <w:tc>
          <w:tcPr>
            <w:tcW w:w="725" w:type="dxa"/>
            <w:vAlign w:val="center"/>
          </w:tcPr>
          <w:p w14:paraId="4B5EAC79">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047" w:type="dxa"/>
            <w:vMerge w:val="continue"/>
            <w:vAlign w:val="center"/>
          </w:tcPr>
          <w:p w14:paraId="0A0B6A9D">
            <w:pPr>
              <w:widowControl/>
              <w:adjustRightInd/>
              <w:spacing w:line="280" w:lineRule="exact"/>
              <w:jc w:val="center"/>
              <w:rPr>
                <w:rFonts w:hint="eastAsia" w:ascii="宋体" w:hAnsi="宋体" w:cs="宋体"/>
                <w:color w:val="auto"/>
                <w:kern w:val="0"/>
                <w:highlight w:val="none"/>
              </w:rPr>
            </w:pPr>
          </w:p>
        </w:tc>
      </w:tr>
      <w:tr w14:paraId="6DC5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3D126B4A">
            <w:pPr>
              <w:widowControl/>
              <w:adjustRightInd/>
              <w:spacing w:line="28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900" w:type="dxa"/>
            <w:vAlign w:val="center"/>
          </w:tcPr>
          <w:p w14:paraId="06AACEFA">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c>
          <w:tcPr>
            <w:tcW w:w="6096" w:type="dxa"/>
            <w:vAlign w:val="center"/>
          </w:tcPr>
          <w:p w14:paraId="61D2FF2C">
            <w:pPr>
              <w:widowControl/>
              <w:adjustRightInd/>
              <w:spacing w:line="280" w:lineRule="exact"/>
              <w:rPr>
                <w:rFonts w:hint="eastAsia" w:ascii="宋体" w:hAnsi="宋体" w:cs="宋体"/>
                <w:color w:val="auto"/>
                <w:kern w:val="0"/>
                <w:highlight w:val="none"/>
              </w:rPr>
            </w:pPr>
            <w:r>
              <w:rPr>
                <w:rFonts w:ascii="宋体" w:hAnsi="宋体" w:cs="宋体"/>
                <w:color w:val="auto"/>
                <w:kern w:val="0"/>
                <w:highlight w:val="none"/>
              </w:rPr>
              <w:t>秩序维护部</w:t>
            </w:r>
            <w:r>
              <w:rPr>
                <w:rFonts w:hint="eastAsia" w:ascii="宋体" w:hAnsi="宋体" w:cs="宋体"/>
                <w:color w:val="auto"/>
                <w:kern w:val="0"/>
                <w:highlight w:val="none"/>
              </w:rPr>
              <w:t>（除保安队长外的保安人员）：</w:t>
            </w:r>
          </w:p>
          <w:p w14:paraId="76941738">
            <w:pPr>
              <w:widowControl/>
              <w:numPr>
                <w:ilvl w:val="0"/>
                <w:numId w:val="2"/>
              </w:numPr>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lang w:val="zh-CN"/>
              </w:rPr>
              <w:t>年龄在</w:t>
            </w:r>
            <w:r>
              <w:rPr>
                <w:rFonts w:hint="eastAsia" w:ascii="宋体" w:hAnsi="宋体" w:cs="宋体"/>
                <w:color w:val="auto"/>
                <w:spacing w:val="-2"/>
                <w:highlight w:val="none"/>
              </w:rPr>
              <w:t>55</w:t>
            </w:r>
            <w:r>
              <w:rPr>
                <w:rFonts w:hint="eastAsia" w:ascii="宋体" w:hAnsi="宋体" w:cs="宋体"/>
                <w:color w:val="auto"/>
                <w:spacing w:val="-2"/>
                <w:highlight w:val="none"/>
                <w:lang w:val="zh-CN"/>
              </w:rPr>
              <w:t>周岁</w:t>
            </w:r>
            <w:r>
              <w:rPr>
                <w:rFonts w:hint="eastAsia" w:ascii="宋体" w:hAnsi="宋体" w:cs="宋体"/>
                <w:color w:val="auto"/>
                <w:spacing w:val="-2"/>
                <w:highlight w:val="none"/>
              </w:rPr>
              <w:t>及以下；</w:t>
            </w:r>
          </w:p>
          <w:p w14:paraId="2A4BB030">
            <w:pPr>
              <w:widowControl/>
              <w:numPr>
                <w:ilvl w:val="0"/>
                <w:numId w:val="2"/>
              </w:numPr>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具有从事安保相关工作经验；</w:t>
            </w:r>
          </w:p>
          <w:p w14:paraId="34B2EA32">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（3）具有保安员证书；</w:t>
            </w:r>
          </w:p>
          <w:p w14:paraId="4ECF41F3">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满足以上要求且满足采购需求中人数要求的得3分，不满足不得分。</w:t>
            </w:r>
          </w:p>
          <w:p w14:paraId="0021F38E">
            <w:pPr>
              <w:widowControl/>
              <w:adjustRightInd/>
              <w:spacing w:line="280" w:lineRule="exact"/>
              <w:rPr>
                <w:rFonts w:hint="eastAsia" w:ascii="宋体" w:hAnsi="宋体" w:cs="宋体"/>
                <w:color w:val="auto"/>
                <w:spacing w:val="-2"/>
                <w:highlight w:val="none"/>
              </w:rPr>
            </w:pPr>
            <w:r>
              <w:rPr>
                <w:rFonts w:hint="eastAsia" w:ascii="宋体" w:hAnsi="宋体" w:cs="宋体"/>
                <w:color w:val="auto"/>
                <w:spacing w:val="-2"/>
                <w:highlight w:val="none"/>
              </w:rPr>
              <w:t>注：消监控人员提供供应商单位连续缴纳的近3个月社保证明。</w:t>
            </w:r>
          </w:p>
        </w:tc>
        <w:tc>
          <w:tcPr>
            <w:tcW w:w="725" w:type="dxa"/>
            <w:vAlign w:val="center"/>
          </w:tcPr>
          <w:p w14:paraId="31892DC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047" w:type="dxa"/>
            <w:vMerge w:val="continue"/>
            <w:vAlign w:val="center"/>
          </w:tcPr>
          <w:p w14:paraId="76AD3488">
            <w:pPr>
              <w:widowControl/>
              <w:adjustRightInd/>
              <w:spacing w:line="280" w:lineRule="exact"/>
              <w:jc w:val="center"/>
              <w:rPr>
                <w:rFonts w:hint="eastAsia" w:ascii="宋体" w:hAnsi="宋体" w:cs="宋体"/>
                <w:color w:val="auto"/>
                <w:kern w:val="0"/>
                <w:highlight w:val="none"/>
              </w:rPr>
            </w:pPr>
          </w:p>
        </w:tc>
      </w:tr>
      <w:tr w14:paraId="695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41070648">
            <w:pPr>
              <w:widowControl/>
              <w:adjustRightInd/>
              <w:spacing w:line="28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900" w:type="dxa"/>
            <w:vAlign w:val="center"/>
          </w:tcPr>
          <w:p w14:paraId="4588DB96">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c>
          <w:tcPr>
            <w:tcW w:w="6096" w:type="dxa"/>
            <w:vAlign w:val="center"/>
          </w:tcPr>
          <w:p w14:paraId="2E5CE4C2">
            <w:pPr>
              <w:widowControl/>
              <w:adjustRightInd/>
              <w:spacing w:line="280" w:lineRule="exact"/>
              <w:rPr>
                <w:rFonts w:hint="eastAsia" w:ascii="宋体" w:hAnsi="宋体" w:cs="宋体"/>
                <w:color w:val="auto"/>
                <w:spacing w:val="-2"/>
                <w:highlight w:val="none"/>
              </w:rPr>
            </w:pPr>
            <w:r>
              <w:rPr>
                <w:rFonts w:hint="eastAsia" w:ascii="宋体" w:hAnsi="宋体" w:cs="宋体"/>
                <w:color w:val="auto"/>
                <w:kern w:val="0"/>
                <w:highlight w:val="none"/>
              </w:rPr>
              <w:t>其他团队成员（客服人员、工程人员、保洁员、垃圾分类专管员及绿化工）需满足采购需求中人员数量及配置要求，专业能力强且经验丰富。</w:t>
            </w:r>
            <w:r>
              <w:rPr>
                <w:rFonts w:hint="eastAsia" w:ascii="宋体" w:hAnsi="宋体" w:cs="宋体"/>
                <w:color w:val="auto"/>
                <w:spacing w:val="-2"/>
                <w:highlight w:val="none"/>
              </w:rPr>
              <w:t>承诺满足得2分，不承诺不得分。</w:t>
            </w:r>
          </w:p>
        </w:tc>
        <w:tc>
          <w:tcPr>
            <w:tcW w:w="725" w:type="dxa"/>
            <w:vAlign w:val="center"/>
          </w:tcPr>
          <w:p w14:paraId="3CC0A318">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1047" w:type="dxa"/>
            <w:vMerge w:val="continue"/>
            <w:vAlign w:val="center"/>
          </w:tcPr>
          <w:p w14:paraId="453DA789">
            <w:pPr>
              <w:widowControl/>
              <w:adjustRightInd/>
              <w:spacing w:line="280" w:lineRule="exact"/>
              <w:jc w:val="center"/>
              <w:rPr>
                <w:rFonts w:hint="eastAsia" w:ascii="宋体" w:hAnsi="宋体" w:cs="宋体"/>
                <w:color w:val="auto"/>
                <w:kern w:val="0"/>
                <w:highlight w:val="none"/>
              </w:rPr>
            </w:pPr>
          </w:p>
        </w:tc>
      </w:tr>
      <w:tr w14:paraId="32CD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64B1161A">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8</w:t>
            </w:r>
          </w:p>
        </w:tc>
        <w:tc>
          <w:tcPr>
            <w:tcW w:w="900" w:type="dxa"/>
            <w:vAlign w:val="center"/>
          </w:tcPr>
          <w:p w14:paraId="78A9CDEA">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254D8E7C">
            <w:pPr>
              <w:ind w:hanging="5"/>
              <w:rPr>
                <w:rFonts w:hint="eastAsia" w:ascii="宋体" w:hAnsi="宋体" w:cs="宋体"/>
                <w:color w:val="auto"/>
                <w:spacing w:val="-2"/>
                <w:highlight w:val="none"/>
              </w:rPr>
            </w:pPr>
            <w:r>
              <w:rPr>
                <w:rFonts w:hint="eastAsia" w:ascii="宋体" w:hAnsi="宋体" w:cs="宋体"/>
                <w:color w:val="auto"/>
                <w:spacing w:val="-2"/>
                <w:highlight w:val="none"/>
              </w:rPr>
              <w:t>（1）供应商根据采购需求对本项目理解及所存在的问题难点进行分析。（打分范围：4,3,2,1,0）</w:t>
            </w:r>
          </w:p>
          <w:p w14:paraId="2B5FE3EB">
            <w:pPr>
              <w:ind w:hanging="5"/>
              <w:rPr>
                <w:rFonts w:hint="eastAsia" w:ascii="宋体" w:hAnsi="宋体" w:cs="宋体"/>
                <w:color w:val="auto"/>
                <w:spacing w:val="-2"/>
                <w:highlight w:val="none"/>
                <w:lang w:val="zh-CN"/>
              </w:rPr>
            </w:pPr>
            <w:r>
              <w:rPr>
                <w:rFonts w:hint="eastAsia" w:ascii="宋体" w:hAnsi="宋体" w:cs="宋体"/>
                <w:color w:val="auto"/>
                <w:spacing w:val="-2"/>
                <w:highlight w:val="none"/>
              </w:rPr>
              <w:t>（2）供应商并针对本项目存在的问题及难点，提出相应解决问题的措施进行评审。（打分范围：5,4,3,2,1,0）</w:t>
            </w:r>
          </w:p>
        </w:tc>
        <w:tc>
          <w:tcPr>
            <w:tcW w:w="725" w:type="dxa"/>
            <w:vAlign w:val="center"/>
          </w:tcPr>
          <w:p w14:paraId="18B7830B">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9</w:t>
            </w:r>
          </w:p>
        </w:tc>
        <w:tc>
          <w:tcPr>
            <w:tcW w:w="1047" w:type="dxa"/>
            <w:vMerge w:val="restart"/>
            <w:vAlign w:val="center"/>
          </w:tcPr>
          <w:p w14:paraId="532AFA36">
            <w:pPr>
              <w:widowControl/>
              <w:adjustRightInd/>
              <w:spacing w:line="280" w:lineRule="exact"/>
              <w:jc w:val="center"/>
              <w:rPr>
                <w:rFonts w:hint="eastAsia" w:ascii="宋体" w:hAnsi="宋体" w:cs="宋体"/>
                <w:color w:val="auto"/>
                <w:kern w:val="0"/>
                <w:highlight w:val="none"/>
              </w:rPr>
            </w:pPr>
            <w:r>
              <w:rPr>
                <w:rFonts w:hint="eastAsia" w:ascii="宋体" w:hAnsi="宋体" w:cs="宋体"/>
                <w:bCs/>
                <w:color w:val="auto"/>
                <w:highlight w:val="none"/>
              </w:rPr>
              <w:t>管理服务方案</w:t>
            </w:r>
          </w:p>
        </w:tc>
      </w:tr>
      <w:tr w14:paraId="2821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1D1D76AB">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9</w:t>
            </w:r>
          </w:p>
        </w:tc>
        <w:tc>
          <w:tcPr>
            <w:tcW w:w="900" w:type="dxa"/>
            <w:vAlign w:val="center"/>
          </w:tcPr>
          <w:p w14:paraId="0E5E3054">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4E70AE74">
            <w:pPr>
              <w:ind w:hanging="5"/>
              <w:rPr>
                <w:rFonts w:hint="eastAsia" w:ascii="宋体" w:hAnsi="宋体" w:cs="宋体"/>
                <w:color w:val="auto"/>
                <w:highlight w:val="none"/>
              </w:rPr>
            </w:pPr>
            <w:r>
              <w:rPr>
                <w:rFonts w:hint="eastAsia" w:ascii="宋体" w:hAnsi="宋体" w:cs="宋体"/>
                <w:color w:val="auto"/>
                <w:spacing w:val="-2"/>
                <w:highlight w:val="none"/>
                <w:lang w:val="zh-CN"/>
              </w:rPr>
              <w:t>根据内部管理方案：组织机构设置（附组织机构图）、服务管理机制（含激励机制、监督机制、自我约束机制和信息反馈渠道及处理机制等）等</w:t>
            </w:r>
            <w:r>
              <w:rPr>
                <w:rFonts w:hint="eastAsia" w:ascii="宋体" w:hAnsi="宋体" w:cs="宋体"/>
                <w:color w:val="auto"/>
                <w:spacing w:val="-2"/>
                <w:highlight w:val="none"/>
              </w:rPr>
              <w:t>进行综合评审。（打分范围：5,4,3,2,1,0）</w:t>
            </w:r>
          </w:p>
        </w:tc>
        <w:tc>
          <w:tcPr>
            <w:tcW w:w="725" w:type="dxa"/>
            <w:vAlign w:val="center"/>
          </w:tcPr>
          <w:p w14:paraId="53E16ADC">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Merge w:val="continue"/>
            <w:vAlign w:val="center"/>
          </w:tcPr>
          <w:p w14:paraId="09CD6825">
            <w:pPr>
              <w:widowControl/>
              <w:adjustRightInd/>
              <w:spacing w:line="280" w:lineRule="exact"/>
              <w:jc w:val="center"/>
              <w:rPr>
                <w:rFonts w:hint="eastAsia" w:ascii="宋体" w:hAnsi="宋体" w:cs="宋体"/>
                <w:color w:val="auto"/>
                <w:kern w:val="0"/>
                <w:highlight w:val="none"/>
              </w:rPr>
            </w:pPr>
          </w:p>
        </w:tc>
      </w:tr>
      <w:tr w14:paraId="61C8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172FCA3E">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10</w:t>
            </w:r>
          </w:p>
        </w:tc>
        <w:tc>
          <w:tcPr>
            <w:tcW w:w="900" w:type="dxa"/>
            <w:vAlign w:val="center"/>
          </w:tcPr>
          <w:p w14:paraId="1F6E6D90">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6A6DFA43">
            <w:pPr>
              <w:ind w:hanging="5"/>
              <w:rPr>
                <w:rFonts w:hint="eastAsia" w:ascii="宋体" w:hAnsi="宋体" w:cs="宋体"/>
                <w:color w:val="auto"/>
                <w:highlight w:val="none"/>
              </w:rPr>
            </w:pPr>
            <w:r>
              <w:rPr>
                <w:rFonts w:hint="eastAsia" w:ascii="宋体" w:hAnsi="宋体" w:cs="宋体"/>
                <w:color w:val="auto"/>
                <w:spacing w:val="-2"/>
                <w:highlight w:val="none"/>
              </w:rPr>
              <w:t>供应商提供共用部位维修和保养及共用设施设备的运行、维修和保养方案。（打分范围：5,4,3,2,1,0）</w:t>
            </w:r>
          </w:p>
        </w:tc>
        <w:tc>
          <w:tcPr>
            <w:tcW w:w="725" w:type="dxa"/>
            <w:vAlign w:val="center"/>
          </w:tcPr>
          <w:p w14:paraId="1826CB16">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Merge w:val="continue"/>
            <w:vAlign w:val="center"/>
          </w:tcPr>
          <w:p w14:paraId="2349D04E">
            <w:pPr>
              <w:widowControl/>
              <w:adjustRightInd/>
              <w:spacing w:line="280" w:lineRule="exact"/>
              <w:jc w:val="center"/>
              <w:rPr>
                <w:rFonts w:hint="eastAsia" w:ascii="宋体" w:hAnsi="宋体" w:cs="宋体"/>
                <w:color w:val="auto"/>
                <w:kern w:val="0"/>
                <w:highlight w:val="none"/>
              </w:rPr>
            </w:pPr>
          </w:p>
        </w:tc>
      </w:tr>
      <w:tr w14:paraId="43EF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7558231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11</w:t>
            </w:r>
          </w:p>
        </w:tc>
        <w:tc>
          <w:tcPr>
            <w:tcW w:w="900" w:type="dxa"/>
            <w:vAlign w:val="center"/>
          </w:tcPr>
          <w:p w14:paraId="51464434">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0FB350A4">
            <w:pPr>
              <w:ind w:hanging="5"/>
              <w:rPr>
                <w:rFonts w:hint="eastAsia" w:ascii="宋体" w:hAnsi="宋体" w:cs="宋体"/>
                <w:color w:val="auto"/>
                <w:kern w:val="0"/>
                <w:highlight w:val="none"/>
              </w:rPr>
            </w:pPr>
            <w:r>
              <w:rPr>
                <w:rFonts w:hint="eastAsia" w:ascii="宋体" w:hAnsi="宋体" w:cs="宋体"/>
                <w:color w:val="auto"/>
                <w:kern w:val="0"/>
                <w:highlight w:val="none"/>
              </w:rPr>
              <w:t>公共秩序维护、安全防范等事项的协助管理方案；包括秩序维护方案、车辆停放管理、</w:t>
            </w:r>
            <w:r>
              <w:rPr>
                <w:rFonts w:hint="eastAsia" w:ascii="宋体" w:hAnsi="宋体" w:cs="宋体"/>
                <w:color w:val="auto"/>
                <w:spacing w:val="-2"/>
                <w:highlight w:val="none"/>
                <w:lang w:val="zh-CN"/>
              </w:rPr>
              <w:t>拜访管理、消防及装修管控</w:t>
            </w:r>
            <w:r>
              <w:rPr>
                <w:rFonts w:hint="eastAsia" w:ascii="宋体" w:hAnsi="宋体" w:cs="宋体"/>
                <w:color w:val="auto"/>
                <w:spacing w:val="-2"/>
                <w:highlight w:val="none"/>
              </w:rPr>
              <w:t>等</w:t>
            </w:r>
            <w:r>
              <w:rPr>
                <w:rFonts w:hint="eastAsia" w:ascii="宋体" w:hAnsi="宋体" w:cs="宋体"/>
                <w:color w:val="auto"/>
                <w:kern w:val="0"/>
                <w:highlight w:val="none"/>
              </w:rPr>
              <w:t>。</w:t>
            </w:r>
            <w:r>
              <w:rPr>
                <w:rFonts w:hint="eastAsia" w:ascii="宋体" w:hAnsi="宋体" w:cs="宋体"/>
                <w:color w:val="auto"/>
                <w:spacing w:val="-2"/>
                <w:highlight w:val="none"/>
              </w:rPr>
              <w:t>（打分范围：5,4,3,2,1,0）</w:t>
            </w:r>
          </w:p>
        </w:tc>
        <w:tc>
          <w:tcPr>
            <w:tcW w:w="725" w:type="dxa"/>
            <w:vAlign w:val="center"/>
          </w:tcPr>
          <w:p w14:paraId="6D295D9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Merge w:val="continue"/>
            <w:vAlign w:val="center"/>
          </w:tcPr>
          <w:p w14:paraId="66F79A81">
            <w:pPr>
              <w:widowControl/>
              <w:adjustRightInd/>
              <w:spacing w:line="280" w:lineRule="exact"/>
              <w:jc w:val="center"/>
              <w:rPr>
                <w:rFonts w:hint="eastAsia" w:ascii="宋体" w:hAnsi="宋体" w:cs="宋体"/>
                <w:color w:val="auto"/>
                <w:kern w:val="0"/>
                <w:highlight w:val="none"/>
              </w:rPr>
            </w:pPr>
          </w:p>
        </w:tc>
      </w:tr>
      <w:tr w14:paraId="115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4B7B006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12</w:t>
            </w:r>
          </w:p>
        </w:tc>
        <w:tc>
          <w:tcPr>
            <w:tcW w:w="900" w:type="dxa"/>
            <w:vAlign w:val="center"/>
          </w:tcPr>
          <w:p w14:paraId="48CA9E1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2020E208">
            <w:pPr>
              <w:ind w:hanging="5"/>
              <w:rPr>
                <w:rFonts w:hint="eastAsia" w:ascii="宋体" w:hAnsi="宋体" w:cs="宋体"/>
                <w:color w:val="auto"/>
                <w:kern w:val="0"/>
                <w:highlight w:val="none"/>
              </w:rPr>
            </w:pPr>
            <w:r>
              <w:rPr>
                <w:rFonts w:hint="eastAsia" w:ascii="宋体" w:hAnsi="宋体" w:cs="宋体"/>
                <w:color w:val="auto"/>
                <w:kern w:val="0"/>
                <w:highlight w:val="none"/>
              </w:rPr>
              <w:t>环境管理方案：</w:t>
            </w:r>
          </w:p>
          <w:p w14:paraId="288C0D6C">
            <w:pPr>
              <w:ind w:hanging="5"/>
              <w:rPr>
                <w:rFonts w:hint="eastAsia" w:ascii="宋体" w:hAnsi="宋体" w:cs="宋体"/>
                <w:color w:val="auto"/>
                <w:kern w:val="0"/>
                <w:highlight w:val="none"/>
              </w:rPr>
            </w:pPr>
            <w:r>
              <w:rPr>
                <w:rFonts w:hint="eastAsia" w:ascii="宋体" w:hAnsi="宋体" w:cs="宋体"/>
                <w:color w:val="auto"/>
                <w:kern w:val="0"/>
                <w:highlight w:val="none"/>
              </w:rPr>
              <w:t>（1）共用部位的清洁卫生，环境美化方案。</w:t>
            </w:r>
            <w:r>
              <w:rPr>
                <w:rFonts w:hint="eastAsia" w:ascii="宋体" w:hAnsi="宋体" w:cs="宋体"/>
                <w:color w:val="auto"/>
                <w:spacing w:val="-2"/>
                <w:highlight w:val="none"/>
              </w:rPr>
              <w:t>（打分范围：5,4,3,2,1,0）</w:t>
            </w:r>
          </w:p>
          <w:p w14:paraId="1FEBAAC6">
            <w:pPr>
              <w:ind w:hanging="5"/>
              <w:rPr>
                <w:rFonts w:hint="eastAsia"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2</w:t>
            </w:r>
            <w:r>
              <w:rPr>
                <w:rFonts w:ascii="宋体" w:hAnsi="宋体" w:cs="宋体"/>
                <w:color w:val="auto"/>
                <w:kern w:val="0"/>
                <w:highlight w:val="none"/>
              </w:rPr>
              <w:t>）</w:t>
            </w:r>
            <w:r>
              <w:rPr>
                <w:rFonts w:hint="eastAsia" w:ascii="宋体" w:hAnsi="宋体" w:cs="宋体"/>
                <w:color w:val="auto"/>
                <w:kern w:val="0"/>
                <w:highlight w:val="none"/>
              </w:rPr>
              <w:t>垃圾分类，垃圾的收集、清运、处置方案。</w:t>
            </w:r>
            <w:r>
              <w:rPr>
                <w:rFonts w:hint="eastAsia" w:ascii="宋体" w:hAnsi="宋体" w:cs="宋体"/>
                <w:color w:val="auto"/>
                <w:spacing w:val="-2"/>
                <w:highlight w:val="none"/>
              </w:rPr>
              <w:t>（打分范围：5,4,3,2,1,0）</w:t>
            </w:r>
          </w:p>
          <w:p w14:paraId="2F032CCC">
            <w:pPr>
              <w:ind w:hanging="5"/>
              <w:rPr>
                <w:rFonts w:hint="eastAsia"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3</w:t>
            </w:r>
            <w:r>
              <w:rPr>
                <w:rFonts w:ascii="宋体" w:hAnsi="宋体" w:cs="宋体"/>
                <w:color w:val="auto"/>
                <w:kern w:val="0"/>
                <w:highlight w:val="none"/>
              </w:rPr>
              <w:t>）公共绿化的养护、修剪和管理方案。</w:t>
            </w:r>
            <w:r>
              <w:rPr>
                <w:rFonts w:hint="eastAsia" w:ascii="宋体" w:hAnsi="宋体" w:cs="宋体"/>
                <w:color w:val="auto"/>
                <w:spacing w:val="-2"/>
                <w:highlight w:val="none"/>
              </w:rPr>
              <w:t>（打分范围：5,4,3,2,1,0）</w:t>
            </w:r>
          </w:p>
        </w:tc>
        <w:tc>
          <w:tcPr>
            <w:tcW w:w="725" w:type="dxa"/>
            <w:vAlign w:val="center"/>
          </w:tcPr>
          <w:p w14:paraId="27DA50CC">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15</w:t>
            </w:r>
          </w:p>
        </w:tc>
        <w:tc>
          <w:tcPr>
            <w:tcW w:w="1047" w:type="dxa"/>
            <w:vMerge w:val="continue"/>
            <w:vAlign w:val="center"/>
          </w:tcPr>
          <w:p w14:paraId="7D5A6EE8">
            <w:pPr>
              <w:widowControl/>
              <w:adjustRightInd/>
              <w:spacing w:line="280" w:lineRule="exact"/>
              <w:jc w:val="center"/>
              <w:rPr>
                <w:rFonts w:hint="eastAsia" w:ascii="宋体" w:hAnsi="宋体" w:cs="宋体"/>
                <w:color w:val="auto"/>
                <w:kern w:val="0"/>
                <w:highlight w:val="none"/>
              </w:rPr>
            </w:pPr>
          </w:p>
        </w:tc>
      </w:tr>
      <w:tr w14:paraId="6E74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54D34CB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13</w:t>
            </w:r>
          </w:p>
        </w:tc>
        <w:tc>
          <w:tcPr>
            <w:tcW w:w="900" w:type="dxa"/>
            <w:vAlign w:val="center"/>
          </w:tcPr>
          <w:p w14:paraId="4931FC1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1D9FE2E2">
            <w:pPr>
              <w:ind w:hanging="5"/>
              <w:rPr>
                <w:rFonts w:hint="eastAsia" w:ascii="宋体" w:hAnsi="宋体" w:cs="宋体"/>
                <w:color w:val="auto"/>
                <w:spacing w:val="-2"/>
                <w:highlight w:val="none"/>
              </w:rPr>
            </w:pPr>
            <w:r>
              <w:rPr>
                <w:rFonts w:hint="eastAsia" w:ascii="宋体" w:hAnsi="宋体" w:cs="宋体"/>
                <w:color w:val="auto"/>
                <w:spacing w:val="-2"/>
                <w:highlight w:val="none"/>
              </w:rPr>
              <w:t>档案资料管理方案。建立物业档案资料、财务档案管理制度及对各项收支进行财务管理情况进行归档。（打分范围：5,4,3,2,1,0）</w:t>
            </w:r>
          </w:p>
        </w:tc>
        <w:tc>
          <w:tcPr>
            <w:tcW w:w="725" w:type="dxa"/>
            <w:vAlign w:val="center"/>
          </w:tcPr>
          <w:p w14:paraId="19CFAF40">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Merge w:val="continue"/>
            <w:vAlign w:val="center"/>
          </w:tcPr>
          <w:p w14:paraId="4F82F81A">
            <w:pPr>
              <w:widowControl/>
              <w:adjustRightInd/>
              <w:spacing w:line="280" w:lineRule="exact"/>
              <w:jc w:val="center"/>
              <w:rPr>
                <w:rFonts w:hint="eastAsia" w:ascii="宋体" w:hAnsi="宋体" w:cs="宋体"/>
                <w:color w:val="auto"/>
                <w:kern w:val="0"/>
                <w:highlight w:val="none"/>
              </w:rPr>
            </w:pPr>
          </w:p>
        </w:tc>
      </w:tr>
      <w:tr w14:paraId="2547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11DE8F6E">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14</w:t>
            </w:r>
          </w:p>
        </w:tc>
        <w:tc>
          <w:tcPr>
            <w:tcW w:w="900" w:type="dxa"/>
            <w:vAlign w:val="center"/>
          </w:tcPr>
          <w:p w14:paraId="223127A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52CC2B4E">
            <w:pPr>
              <w:ind w:hanging="5"/>
              <w:rPr>
                <w:rFonts w:hint="eastAsia" w:ascii="宋体" w:hAnsi="宋体" w:cs="宋体"/>
                <w:color w:val="auto"/>
                <w:spacing w:val="-2"/>
                <w:highlight w:val="none"/>
              </w:rPr>
            </w:pPr>
            <w:r>
              <w:rPr>
                <w:rFonts w:hint="eastAsia" w:ascii="宋体" w:hAnsi="宋体" w:cs="宋体"/>
                <w:color w:val="auto"/>
                <w:spacing w:val="-2"/>
                <w:highlight w:val="none"/>
              </w:rPr>
              <w:tab/>
            </w:r>
            <w:r>
              <w:rPr>
                <w:rFonts w:hint="eastAsia" w:ascii="宋体" w:hAnsi="宋体" w:cs="宋体"/>
                <w:color w:val="auto"/>
                <w:spacing w:val="-2"/>
                <w:highlight w:val="none"/>
              </w:rPr>
              <w:t>对消防设施的日常管理和应急维修方案等，对消防重点区域监控管理方案等综合评定。（打分范围：5,4,3,2,1,0）</w:t>
            </w:r>
          </w:p>
        </w:tc>
        <w:tc>
          <w:tcPr>
            <w:tcW w:w="725" w:type="dxa"/>
            <w:vAlign w:val="center"/>
          </w:tcPr>
          <w:p w14:paraId="7DA63B28">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Merge w:val="continue"/>
            <w:vAlign w:val="center"/>
          </w:tcPr>
          <w:p w14:paraId="6D3855FB">
            <w:pPr>
              <w:widowControl/>
              <w:adjustRightInd/>
              <w:spacing w:line="280" w:lineRule="exact"/>
              <w:jc w:val="center"/>
              <w:rPr>
                <w:rFonts w:hint="eastAsia" w:ascii="宋体" w:hAnsi="宋体" w:cs="宋体"/>
                <w:color w:val="auto"/>
                <w:kern w:val="0"/>
                <w:highlight w:val="none"/>
              </w:rPr>
            </w:pPr>
          </w:p>
        </w:tc>
      </w:tr>
      <w:tr w14:paraId="7F94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3E3F21F6">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15</w:t>
            </w:r>
          </w:p>
        </w:tc>
        <w:tc>
          <w:tcPr>
            <w:tcW w:w="900" w:type="dxa"/>
            <w:vAlign w:val="center"/>
          </w:tcPr>
          <w:p w14:paraId="1706A3A6">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74C0E381">
            <w:pPr>
              <w:ind w:hanging="5"/>
              <w:rPr>
                <w:rFonts w:hint="eastAsia" w:ascii="宋体" w:hAnsi="宋体" w:cs="宋体"/>
                <w:color w:val="auto"/>
                <w:spacing w:val="-2"/>
                <w:highlight w:val="none"/>
              </w:rPr>
            </w:pPr>
            <w:r>
              <w:rPr>
                <w:rFonts w:hint="eastAsia" w:ascii="宋体" w:hAnsi="宋体" w:cs="宋体"/>
                <w:color w:val="auto"/>
                <w:spacing w:val="-2"/>
                <w:highlight w:val="none"/>
              </w:rPr>
              <w:t>供应商提供进场管理工作的交接方案，包含但不限于交接前的情况摸底、成立接管小组、落实相关人员、明确接管工作内容、制定接管工作计划、提供与采购人积极配合完成和原物业服务单位的交接工作方案等。（打分范围：5,4,3,2,1,0）</w:t>
            </w:r>
          </w:p>
        </w:tc>
        <w:tc>
          <w:tcPr>
            <w:tcW w:w="725" w:type="dxa"/>
            <w:vAlign w:val="center"/>
          </w:tcPr>
          <w:p w14:paraId="26E4C1A7">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Align w:val="center"/>
          </w:tcPr>
          <w:p w14:paraId="30E5EBD3">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交接方案</w:t>
            </w:r>
          </w:p>
        </w:tc>
      </w:tr>
      <w:tr w14:paraId="3D36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0BA5F3C0">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16</w:t>
            </w:r>
          </w:p>
        </w:tc>
        <w:tc>
          <w:tcPr>
            <w:tcW w:w="900" w:type="dxa"/>
            <w:vAlign w:val="center"/>
          </w:tcPr>
          <w:p w14:paraId="7884CF5C">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1A13E89F">
            <w:pPr>
              <w:ind w:hanging="5"/>
              <w:rPr>
                <w:rFonts w:hint="eastAsia" w:ascii="宋体" w:hAnsi="宋体" w:cs="宋体"/>
                <w:color w:val="auto"/>
                <w:spacing w:val="-2"/>
                <w:highlight w:val="none"/>
              </w:rPr>
            </w:pPr>
            <w:r>
              <w:rPr>
                <w:rFonts w:hint="eastAsia" w:ascii="宋体" w:hAnsi="宋体" w:cs="宋体"/>
                <w:color w:val="auto"/>
                <w:spacing w:val="-2"/>
                <w:highlight w:val="none"/>
              </w:rPr>
              <w:t>提供培训计划、考核方案，根据本项目人员配置的各部门、各岗位人员制定培训计划和考核方案。各岗位培训计划详细、培训方案全面、有针对性及可行性。人员录用与考核有标准，有奖惩淘汰机制。各类人员上岗仪表、行为、态度，标准统一、规范。（打分范围：5,4,3,2,1,0）</w:t>
            </w:r>
          </w:p>
        </w:tc>
        <w:tc>
          <w:tcPr>
            <w:tcW w:w="725" w:type="dxa"/>
            <w:vAlign w:val="center"/>
          </w:tcPr>
          <w:p w14:paraId="08CFDA55">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Align w:val="center"/>
          </w:tcPr>
          <w:p w14:paraId="28F795B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人员培训、管理方案</w:t>
            </w:r>
          </w:p>
        </w:tc>
      </w:tr>
      <w:tr w14:paraId="5985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6F894DCC">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17</w:t>
            </w:r>
          </w:p>
        </w:tc>
        <w:tc>
          <w:tcPr>
            <w:tcW w:w="900" w:type="dxa"/>
            <w:vAlign w:val="center"/>
          </w:tcPr>
          <w:p w14:paraId="017A8D1D">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55844AB4">
            <w:pPr>
              <w:ind w:hanging="5"/>
              <w:rPr>
                <w:rFonts w:hint="eastAsia" w:ascii="宋体" w:hAnsi="宋体" w:cs="宋体"/>
                <w:color w:val="auto"/>
                <w:spacing w:val="-2"/>
                <w:highlight w:val="none"/>
              </w:rPr>
            </w:pPr>
            <w:r>
              <w:rPr>
                <w:rFonts w:hint="eastAsia" w:ascii="宋体" w:hAnsi="宋体" w:cs="宋体"/>
                <w:color w:val="auto"/>
                <w:spacing w:val="-2"/>
                <w:highlight w:val="none"/>
              </w:rPr>
              <w:t>对物业突发事件 （包括发生台风、暴雨等灾害性天气、火灾、 突发性停水停电、疫情防控、 电梯停运、坠落、公共卫生安全等突发事件） 时的应急预案及相应的措施综合评定。（打分范围：5,4,3,2,1,0）</w:t>
            </w:r>
          </w:p>
        </w:tc>
        <w:tc>
          <w:tcPr>
            <w:tcW w:w="725" w:type="dxa"/>
            <w:vAlign w:val="center"/>
          </w:tcPr>
          <w:p w14:paraId="4F32CBEF">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Align w:val="center"/>
          </w:tcPr>
          <w:p w14:paraId="6AC66E6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应急方案</w:t>
            </w:r>
          </w:p>
        </w:tc>
      </w:tr>
      <w:tr w14:paraId="2714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72CA1489">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18</w:t>
            </w:r>
          </w:p>
        </w:tc>
        <w:tc>
          <w:tcPr>
            <w:tcW w:w="900" w:type="dxa"/>
            <w:vAlign w:val="center"/>
          </w:tcPr>
          <w:p w14:paraId="4D82B89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c>
          <w:tcPr>
            <w:tcW w:w="6096" w:type="dxa"/>
            <w:vAlign w:val="center"/>
          </w:tcPr>
          <w:p w14:paraId="2AEF62A0">
            <w:pPr>
              <w:ind w:hanging="5"/>
              <w:rPr>
                <w:rFonts w:hint="eastAsia" w:ascii="宋体" w:hAnsi="宋体" w:cs="宋体"/>
                <w:color w:val="auto"/>
                <w:spacing w:val="-2"/>
                <w:highlight w:val="none"/>
              </w:rPr>
            </w:pPr>
            <w:r>
              <w:rPr>
                <w:rFonts w:hint="eastAsia" w:ascii="宋体" w:hAnsi="宋体" w:cs="宋体"/>
                <w:color w:val="auto"/>
                <w:spacing w:val="-2"/>
                <w:highlight w:val="none"/>
              </w:rPr>
              <w:t>供应商提供的针对本项目的相关机械设备、器材、物资配备方案。（打分范围：5,4,3,2,1,0）</w:t>
            </w:r>
          </w:p>
        </w:tc>
        <w:tc>
          <w:tcPr>
            <w:tcW w:w="725" w:type="dxa"/>
            <w:vAlign w:val="center"/>
          </w:tcPr>
          <w:p w14:paraId="3CA766B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047" w:type="dxa"/>
            <w:vAlign w:val="center"/>
          </w:tcPr>
          <w:p w14:paraId="7D1B9AF2">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拟投入的物资情况</w:t>
            </w:r>
          </w:p>
        </w:tc>
      </w:tr>
      <w:tr w14:paraId="50C1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14:paraId="4A05F5C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19</w:t>
            </w:r>
          </w:p>
        </w:tc>
        <w:tc>
          <w:tcPr>
            <w:tcW w:w="900" w:type="dxa"/>
            <w:vAlign w:val="center"/>
          </w:tcPr>
          <w:p w14:paraId="61B1DB8E">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w:t>
            </w:r>
          </w:p>
        </w:tc>
        <w:tc>
          <w:tcPr>
            <w:tcW w:w="6096" w:type="dxa"/>
            <w:vAlign w:val="center"/>
          </w:tcPr>
          <w:p w14:paraId="7F40CCBF">
            <w:pPr>
              <w:widowControl/>
              <w:adjustRightInd/>
              <w:spacing w:line="280" w:lineRule="exact"/>
              <w:rPr>
                <w:rFonts w:hint="eastAsia" w:ascii="宋体" w:hAnsi="宋体" w:cs="宋体"/>
                <w:color w:val="auto"/>
                <w:kern w:val="0"/>
                <w:highlight w:val="none"/>
              </w:rPr>
            </w:pPr>
            <w:r>
              <w:rPr>
                <w:rFonts w:hint="eastAsia" w:ascii="宋体" w:hAnsi="宋体" w:cs="宋体"/>
                <w:color w:val="auto"/>
                <w:kern w:val="0"/>
                <w:highlight w:val="none"/>
              </w:rPr>
              <w:t>采用低价优先法计算，即满足招标文件要求且投标价格最低的投标报价为评标基准价，其他供应商的价格分按照下列公式计算：投标报价得分=（评标基准价／投标报价）×价格权值×100（精确到小数点后二位）</w:t>
            </w:r>
          </w:p>
          <w:p w14:paraId="73FBA662">
            <w:pPr>
              <w:widowControl/>
              <w:adjustRightInd/>
              <w:spacing w:line="280" w:lineRule="exact"/>
              <w:rPr>
                <w:rFonts w:hint="eastAsia" w:ascii="宋体" w:hAnsi="宋体" w:cs="宋体"/>
                <w:bCs/>
                <w:color w:val="auto"/>
                <w:highlight w:val="none"/>
              </w:rPr>
            </w:pPr>
            <w:r>
              <w:rPr>
                <w:rFonts w:hint="eastAsia" w:ascii="宋体" w:hAnsi="宋体" w:cs="宋体"/>
                <w:color w:val="auto"/>
                <w:kern w:val="0"/>
                <w:highlight w:val="none"/>
              </w:rPr>
              <w:t>评标过程中，不得去掉报价中的最高报价和最低报价。</w:t>
            </w:r>
          </w:p>
        </w:tc>
        <w:tc>
          <w:tcPr>
            <w:tcW w:w="725" w:type="dxa"/>
            <w:vAlign w:val="center"/>
          </w:tcPr>
          <w:p w14:paraId="182AE621">
            <w:pPr>
              <w:widowControl/>
              <w:adjustRightInd/>
              <w:spacing w:line="280" w:lineRule="exact"/>
              <w:jc w:val="center"/>
              <w:rPr>
                <w:rFonts w:hint="eastAsia" w:ascii="宋体" w:hAnsi="宋体" w:cs="宋体"/>
                <w:color w:val="auto"/>
                <w:kern w:val="0"/>
                <w:highlight w:val="none"/>
              </w:rPr>
            </w:pPr>
            <w:r>
              <w:rPr>
                <w:rFonts w:hint="eastAsia" w:ascii="宋体" w:hAnsi="宋体" w:cs="宋体"/>
                <w:color w:val="auto"/>
                <w:kern w:val="0"/>
                <w:highlight w:val="none"/>
              </w:rPr>
              <w:t>10</w:t>
            </w:r>
          </w:p>
        </w:tc>
        <w:tc>
          <w:tcPr>
            <w:tcW w:w="1047" w:type="dxa"/>
            <w:vAlign w:val="center"/>
          </w:tcPr>
          <w:p w14:paraId="40CB4273">
            <w:pPr>
              <w:widowControl/>
              <w:adjustRightInd/>
              <w:spacing w:line="280" w:lineRule="exact"/>
              <w:jc w:val="center"/>
              <w:rPr>
                <w:rFonts w:hint="eastAsia" w:ascii="宋体" w:hAnsi="宋体" w:cs="宋体"/>
                <w:color w:val="auto"/>
                <w:kern w:val="0"/>
                <w:highlight w:val="none"/>
              </w:rPr>
            </w:pPr>
            <w:r>
              <w:rPr>
                <w:rFonts w:hint="eastAsia" w:ascii="宋体" w:hAnsi="宋体" w:cs="宋体"/>
                <w:bCs/>
                <w:color w:val="auto"/>
                <w:highlight w:val="none"/>
              </w:rPr>
              <w:t>报价</w:t>
            </w:r>
          </w:p>
        </w:tc>
      </w:tr>
    </w:tbl>
    <w:p w14:paraId="1A2A8A71">
      <w:pPr>
        <w:rPr>
          <w:color w:val="auto"/>
          <w:highlight w:val="none"/>
        </w:rPr>
      </w:pPr>
    </w:p>
    <w:p w14:paraId="6D0DDD7A">
      <w:pPr>
        <w:snapToGrid w:val="0"/>
        <w:spacing w:line="360" w:lineRule="auto"/>
        <w:rPr>
          <w:rFonts w:hint="eastAsia" w:ascii="宋体" w:hAnsi="宋体" w:cs="宋体"/>
          <w:b/>
          <w:color w:val="auto"/>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highlight w:val="none"/>
        </w:rPr>
        <w:t>备注：</w:t>
      </w:r>
      <w:r>
        <w:rPr>
          <w:rFonts w:hint="eastAsia" w:ascii="宋体" w:hAnsi="宋体" w:cs="宋体"/>
          <w:color w:val="auto"/>
          <w:highlight w:val="none"/>
        </w:rPr>
        <w:t>供应商编制投标文件（商务技术文件部分）时，建议按此目录（序号和内容）提供评</w:t>
      </w:r>
      <w:r>
        <w:rPr>
          <w:rFonts w:hint="eastAsia" w:cs="仿宋_GB2312" w:asciiTheme="minorEastAsia" w:hAnsiTheme="minorEastAsia" w:eastAsiaTheme="minorEastAsia"/>
          <w:color w:val="auto"/>
          <w:highlight w:val="none"/>
        </w:rPr>
        <w:t>审</w:t>
      </w:r>
      <w:r>
        <w:rPr>
          <w:rFonts w:hint="eastAsia" w:ascii="宋体" w:hAnsi="宋体" w:cs="宋体"/>
          <w:color w:val="auto"/>
          <w:highlight w:val="none"/>
        </w:rPr>
        <w:t>标准相应的商务技术资料。 </w:t>
      </w:r>
    </w:p>
    <w:p w14:paraId="47F675A6">
      <w:pPr>
        <w:pStyle w:val="3"/>
        <w:rPr>
          <w:rFonts w:hint="eastAsia"/>
          <w:color w:val="auto"/>
          <w:highlight w:val="none"/>
        </w:rPr>
      </w:pPr>
      <w:r>
        <w:rPr>
          <w:rFonts w:hint="eastAsia"/>
          <w:color w:val="auto"/>
          <w:highlight w:val="none"/>
        </w:rPr>
        <w:t>一、评</w:t>
      </w:r>
      <w:r>
        <w:rPr>
          <w:rFonts w:hint="eastAsia"/>
          <w:color w:val="auto"/>
          <w:highlight w:val="none"/>
          <w:lang w:val="en-US"/>
        </w:rPr>
        <w:t>审</w:t>
      </w:r>
      <w:r>
        <w:rPr>
          <w:rFonts w:hint="eastAsia"/>
          <w:color w:val="auto"/>
          <w:highlight w:val="none"/>
        </w:rPr>
        <w:t>方法</w:t>
      </w:r>
    </w:p>
    <w:p w14:paraId="550C4389">
      <w:pPr>
        <w:adjustRightInd/>
        <w:spacing w:line="360" w:lineRule="auto"/>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1.本项目采用综合评分法。</w:t>
      </w:r>
      <w:r>
        <w:rPr>
          <w:rFonts w:hint="eastAsia" w:ascii="宋体" w:hAnsi="宋体" w:cs="宋体"/>
          <w:color w:val="auto"/>
          <w:kern w:val="0"/>
          <w:highlight w:val="none"/>
        </w:rPr>
        <w:t>综合评分法，是指投标文件满足采购文件全部实质性要求，且按照评审因素的量化指标评审得分最高的供应商为中标候选人的评</w:t>
      </w:r>
      <w:r>
        <w:rPr>
          <w:rFonts w:hint="eastAsia" w:cs="仿宋_GB2312" w:asciiTheme="minorEastAsia" w:hAnsiTheme="minorEastAsia" w:eastAsiaTheme="minorEastAsia"/>
          <w:color w:val="auto"/>
          <w:highlight w:val="none"/>
        </w:rPr>
        <w:t>审</w:t>
      </w:r>
      <w:r>
        <w:rPr>
          <w:rFonts w:hint="eastAsia" w:ascii="宋体" w:hAnsi="宋体" w:cs="宋体"/>
          <w:color w:val="auto"/>
          <w:kern w:val="0"/>
          <w:highlight w:val="none"/>
        </w:rPr>
        <w:t>方法。</w:t>
      </w:r>
    </w:p>
    <w:p w14:paraId="5287BDA1">
      <w:pPr>
        <w:pStyle w:val="3"/>
        <w:rPr>
          <w:rFonts w:hint="eastAsia"/>
          <w:color w:val="auto"/>
          <w:highlight w:val="none"/>
        </w:rPr>
      </w:pPr>
      <w:r>
        <w:rPr>
          <w:rFonts w:hint="eastAsia"/>
          <w:color w:val="auto"/>
          <w:highlight w:val="none"/>
        </w:rPr>
        <w:t>二、评</w:t>
      </w:r>
      <w:r>
        <w:rPr>
          <w:rFonts w:hint="eastAsia"/>
          <w:color w:val="auto"/>
          <w:highlight w:val="none"/>
          <w:lang w:val="en-US"/>
        </w:rPr>
        <w:t>审</w:t>
      </w:r>
      <w:r>
        <w:rPr>
          <w:rFonts w:hint="eastAsia"/>
          <w:color w:val="auto"/>
          <w:highlight w:val="none"/>
        </w:rPr>
        <w:t>标准</w:t>
      </w:r>
    </w:p>
    <w:p w14:paraId="3C82A1AE">
      <w:pPr>
        <w:spacing w:line="360" w:lineRule="auto"/>
        <w:ind w:firstLine="472" w:firstLineChars="196"/>
        <w:rPr>
          <w:rFonts w:hint="eastAsia" w:ascii="宋体" w:hAnsi="宋体" w:cs="宋体"/>
          <w:b/>
          <w:color w:val="auto"/>
          <w:highlight w:val="none"/>
        </w:rPr>
      </w:pPr>
      <w:r>
        <w:rPr>
          <w:rFonts w:hint="eastAsia" w:ascii="宋体" w:hAnsi="宋体" w:cs="宋体"/>
          <w:b/>
          <w:color w:val="auto"/>
          <w:highlight w:val="none"/>
        </w:rPr>
        <w:t>2.</w:t>
      </w:r>
      <w:r>
        <w:rPr>
          <w:rFonts w:hint="eastAsia" w:ascii="宋体" w:hAnsi="宋体" w:cs="宋体"/>
          <w:color w:val="auto"/>
          <w:highlight w:val="none"/>
        </w:rPr>
        <w:t xml:space="preserve"> </w:t>
      </w:r>
      <w:r>
        <w:rPr>
          <w:rFonts w:hint="eastAsia" w:ascii="宋体" w:hAnsi="宋体" w:cs="宋体"/>
          <w:b/>
          <w:color w:val="auto"/>
          <w:highlight w:val="none"/>
        </w:rPr>
        <w:t>评审标准：</w:t>
      </w:r>
      <w:r>
        <w:rPr>
          <w:rFonts w:hint="eastAsia" w:ascii="宋体" w:hAnsi="宋体" w:cs="宋体"/>
          <w:color w:val="auto"/>
          <w:kern w:val="0"/>
          <w:highlight w:val="none"/>
        </w:rPr>
        <w:t>见评</w:t>
      </w:r>
      <w:r>
        <w:rPr>
          <w:rFonts w:hint="eastAsia" w:cs="仿宋_GB2312" w:asciiTheme="minorEastAsia" w:hAnsiTheme="minorEastAsia" w:eastAsiaTheme="minorEastAsia"/>
          <w:color w:val="auto"/>
          <w:highlight w:val="none"/>
        </w:rPr>
        <w:t>审</w:t>
      </w:r>
      <w:r>
        <w:rPr>
          <w:rFonts w:hint="eastAsia" w:ascii="宋体" w:hAnsi="宋体" w:cs="宋体"/>
          <w:color w:val="auto"/>
          <w:kern w:val="0"/>
          <w:highlight w:val="none"/>
        </w:rPr>
        <w:t>办法前附表。</w:t>
      </w:r>
    </w:p>
    <w:p w14:paraId="7A816208">
      <w:pPr>
        <w:pStyle w:val="3"/>
        <w:rPr>
          <w:rFonts w:hint="eastAsia"/>
          <w:color w:val="auto"/>
          <w:highlight w:val="none"/>
        </w:rPr>
      </w:pPr>
      <w:r>
        <w:rPr>
          <w:rFonts w:hint="eastAsia"/>
          <w:color w:val="auto"/>
          <w:highlight w:val="none"/>
        </w:rPr>
        <w:t>三、评审程序</w:t>
      </w:r>
    </w:p>
    <w:p w14:paraId="509AB43B">
      <w:pPr>
        <w:spacing w:line="360" w:lineRule="auto"/>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3.1符合性审查。</w:t>
      </w:r>
      <w:r>
        <w:rPr>
          <w:rFonts w:hint="eastAsia" w:ascii="宋体" w:hAnsi="宋体" w:cs="宋体"/>
          <w:color w:val="auto"/>
          <w:kern w:val="0"/>
          <w:highlight w:val="none"/>
        </w:rPr>
        <w:t>评审小组应当对符合资格的供应商的投标文件进行符合性审查，以确定其是否满足采购文件的实质性要求。不满足采购文件的实质性要求的，投标无效。</w:t>
      </w:r>
    </w:p>
    <w:p w14:paraId="5A0127DB">
      <w:pPr>
        <w:spacing w:line="360" w:lineRule="auto"/>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3.2 比较与评价。</w:t>
      </w:r>
      <w:r>
        <w:rPr>
          <w:rFonts w:hint="eastAsia" w:ascii="宋体" w:hAnsi="宋体" w:cs="宋体"/>
          <w:color w:val="auto"/>
          <w:kern w:val="0"/>
          <w:highlight w:val="none"/>
        </w:rPr>
        <w:t>评审小组应当按照采购文件中规定的评</w:t>
      </w:r>
      <w:r>
        <w:rPr>
          <w:rFonts w:hint="eastAsia" w:cs="仿宋_GB2312" w:asciiTheme="minorEastAsia" w:hAnsiTheme="minorEastAsia" w:eastAsiaTheme="minorEastAsia"/>
          <w:color w:val="auto"/>
          <w:highlight w:val="none"/>
        </w:rPr>
        <w:t>审</w:t>
      </w:r>
      <w:r>
        <w:rPr>
          <w:rFonts w:hint="eastAsia" w:ascii="宋体" w:hAnsi="宋体" w:cs="宋体"/>
          <w:color w:val="auto"/>
          <w:kern w:val="0"/>
          <w:highlight w:val="none"/>
        </w:rPr>
        <w:t>方法和标准，对符合性审查合格的投标文件进行商务和技术评估，综合比较与评价。</w:t>
      </w:r>
    </w:p>
    <w:p w14:paraId="7962D007">
      <w:pPr>
        <w:spacing w:line="360" w:lineRule="auto"/>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3.3汇总商务技术得分。</w:t>
      </w:r>
      <w:r>
        <w:rPr>
          <w:rFonts w:hint="eastAsia" w:ascii="宋体" w:hAnsi="宋体" w:cs="宋体"/>
          <w:color w:val="auto"/>
          <w:kern w:val="0"/>
          <w:highlight w:val="none"/>
        </w:rPr>
        <w:t>评审小组各成员应当独立对每个供应商的商务和技术文件进行评价，并汇总商务技术得分情况。</w:t>
      </w:r>
    </w:p>
    <w:p w14:paraId="5ED383B8">
      <w:pPr>
        <w:spacing w:line="360" w:lineRule="auto"/>
        <w:ind w:firstLine="472" w:firstLineChars="196"/>
        <w:rPr>
          <w:rFonts w:hint="eastAsia" w:ascii="宋体" w:hAnsi="宋体" w:cs="宋体"/>
          <w:b/>
          <w:color w:val="auto"/>
          <w:kern w:val="0"/>
          <w:highlight w:val="none"/>
        </w:rPr>
      </w:pPr>
      <w:r>
        <w:rPr>
          <w:rFonts w:hint="eastAsia" w:ascii="宋体" w:hAnsi="宋体" w:cs="宋体"/>
          <w:b/>
          <w:color w:val="auto"/>
          <w:kern w:val="0"/>
          <w:highlight w:val="none"/>
        </w:rPr>
        <w:t>3.4报价评审。</w:t>
      </w:r>
    </w:p>
    <w:p w14:paraId="73710853">
      <w:pPr>
        <w:pStyle w:val="39"/>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2595A3A">
      <w:pPr>
        <w:pStyle w:val="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E7497F">
      <w:pPr>
        <w:pStyle w:val="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BFB7296">
      <w:pPr>
        <w:pStyle w:val="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2867E273">
      <w:pPr>
        <w:pStyle w:val="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67164B">
      <w:pPr>
        <w:pStyle w:val="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71CEFDC8">
      <w:pPr>
        <w:snapToGrid w:val="0"/>
        <w:spacing w:line="360" w:lineRule="auto"/>
        <w:ind w:firstLine="480" w:firstLineChars="200"/>
        <w:jc w:val="left"/>
        <w:rPr>
          <w:rFonts w:hint="eastAsia" w:ascii="宋体" w:hAnsi="宋体" w:cs="宋体"/>
          <w:color w:val="auto"/>
          <w:kern w:val="0"/>
          <w:highlight w:val="none"/>
        </w:rPr>
      </w:pPr>
      <w:r>
        <w:rPr>
          <w:rFonts w:hint="eastAsia" w:ascii="宋体" w:hAnsi="宋体" w:cs="宋体"/>
          <w:color w:val="auto"/>
          <w:kern w:val="0"/>
          <w:highlight w:val="none"/>
        </w:rPr>
        <w:t>3.4.2投标文件出现不是唯一的、有选择性投标报价的，投标无效。</w:t>
      </w:r>
    </w:p>
    <w:p w14:paraId="2CEAC6E3">
      <w:pPr>
        <w:snapToGrid w:val="0"/>
        <w:spacing w:line="360" w:lineRule="auto"/>
        <w:ind w:firstLine="480" w:firstLineChars="200"/>
        <w:jc w:val="left"/>
        <w:rPr>
          <w:rFonts w:hint="eastAsia" w:ascii="宋体" w:hAnsi="宋体" w:cs="宋体"/>
          <w:color w:val="auto"/>
          <w:kern w:val="0"/>
          <w:highlight w:val="none"/>
        </w:rPr>
      </w:pPr>
      <w:r>
        <w:rPr>
          <w:rFonts w:hint="eastAsia" w:ascii="宋体" w:hAnsi="宋体" w:cs="宋体"/>
          <w:color w:val="auto"/>
          <w:kern w:val="0"/>
          <w:highlight w:val="none"/>
        </w:rPr>
        <w:t>3.4.3投标报价超过采购文件中规定的预算金额或者最高限价的，投标无效。</w:t>
      </w:r>
    </w:p>
    <w:p w14:paraId="45DCB53A">
      <w:pPr>
        <w:pStyle w:val="39"/>
        <w:spacing w:before="0"/>
        <w:ind w:firstLine="480"/>
        <w:rPr>
          <w:rFonts w:hint="eastAsia"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投标处理。</w:t>
      </w:r>
    </w:p>
    <w:p w14:paraId="3F2145D7">
      <w:pPr>
        <w:spacing w:line="360" w:lineRule="auto"/>
        <w:ind w:firstLine="482" w:firstLineChars="200"/>
        <w:rPr>
          <w:rFonts w:hint="eastAsia" w:ascii="宋体" w:hAnsi="宋体" w:cs="宋体"/>
          <w:color w:val="auto"/>
          <w:kern w:val="0"/>
          <w:highlight w:val="none"/>
        </w:rPr>
      </w:pPr>
      <w:r>
        <w:rPr>
          <w:rFonts w:hint="eastAsia" w:ascii="宋体" w:hAnsi="宋体" w:cs="宋体"/>
          <w:b/>
          <w:color w:val="auto"/>
          <w:kern w:val="0"/>
          <w:highlight w:val="none"/>
        </w:rPr>
        <w:t>3.5排序与推荐。</w:t>
      </w:r>
      <w:r>
        <w:rPr>
          <w:rFonts w:hint="eastAsia" w:ascii="宋体" w:hAnsi="宋体" w:cs="宋体"/>
          <w:color w:val="auto"/>
          <w:kern w:val="0"/>
          <w:highlight w:val="none"/>
        </w:rPr>
        <w:t>采用综合评分法的，评</w:t>
      </w:r>
      <w:r>
        <w:rPr>
          <w:rFonts w:hint="eastAsia" w:cs="仿宋_GB2312" w:asciiTheme="minorEastAsia" w:hAnsiTheme="minorEastAsia" w:eastAsiaTheme="minorEastAsia"/>
          <w:color w:val="auto"/>
          <w:highlight w:val="none"/>
        </w:rPr>
        <w:t>审</w:t>
      </w:r>
      <w:r>
        <w:rPr>
          <w:rFonts w:hint="eastAsia" w:ascii="宋体" w:hAnsi="宋体" w:cs="宋体"/>
          <w:color w:val="auto"/>
          <w:kern w:val="0"/>
          <w:highlight w:val="none"/>
        </w:rPr>
        <w:t>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14:paraId="7A8125CA">
      <w:pPr>
        <w:spacing w:line="360" w:lineRule="auto"/>
        <w:ind w:firstLine="480" w:firstLineChars="200"/>
        <w:rPr>
          <w:rFonts w:hint="eastAsia" w:ascii="宋体" w:hAnsi="宋体" w:cs="宋体"/>
          <w:b/>
          <w:color w:val="auto"/>
          <w:kern w:val="0"/>
          <w:highlight w:val="none"/>
        </w:rPr>
      </w:pPr>
      <w:r>
        <w:rPr>
          <w:rFonts w:hint="eastAsia" w:ascii="宋体" w:hAnsi="宋体" w:cs="宋体"/>
          <w:color w:val="auto"/>
          <w:kern w:val="0"/>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供应商推荐资格；评审得分相同的，采取随机抽取方式确定，其他同品牌供应商不作为中标候选人。</w:t>
      </w:r>
    </w:p>
    <w:p w14:paraId="4793AAAC">
      <w:pPr>
        <w:spacing w:line="360" w:lineRule="auto"/>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3.6编写评审报告。</w:t>
      </w:r>
      <w:r>
        <w:rPr>
          <w:rFonts w:hint="eastAsia" w:ascii="宋体" w:hAnsi="宋体" w:cs="宋体"/>
          <w:color w:val="auto"/>
          <w:kern w:val="0"/>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07075EBB">
      <w:pPr>
        <w:pStyle w:val="3"/>
        <w:rPr>
          <w:rFonts w:hint="eastAsia"/>
          <w:color w:val="auto"/>
          <w:highlight w:val="none"/>
        </w:rPr>
      </w:pPr>
      <w:r>
        <w:rPr>
          <w:rFonts w:hint="eastAsia"/>
          <w:color w:val="auto"/>
          <w:highlight w:val="none"/>
        </w:rPr>
        <w:t>四、评审中的其他事项</w:t>
      </w:r>
    </w:p>
    <w:p w14:paraId="40C9E208">
      <w:pPr>
        <w:pStyle w:val="3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BF12C4B">
      <w:pPr>
        <w:pStyle w:val="7"/>
        <w:spacing w:line="360" w:lineRule="auto"/>
        <w:ind w:left="1021"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E3CF57E">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4.2.1供应商不具备采购文件中规定的资格要求的（供应商未提供有效的资格文件的，视为供应商不具备采购文件中规定的资格要求）；</w:t>
      </w:r>
    </w:p>
    <w:p w14:paraId="53A297BF">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4.2.2投标文件未按照采购文件要求签署、盖章的；</w:t>
      </w:r>
    </w:p>
    <w:p w14:paraId="1FA46456">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4.2.3投标文件含有采购人不能接受的附加条件的；</w:t>
      </w:r>
    </w:p>
    <w:p w14:paraId="00AA0AF1">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4.2.4投标文件中承诺的投标有效期少于采购文件中载明的投标有效期的；</w:t>
      </w:r>
    </w:p>
    <w:p w14:paraId="16726EE9">
      <w:pPr>
        <w:snapToGrid w:val="0"/>
        <w:spacing w:line="360" w:lineRule="auto"/>
        <w:ind w:firstLine="120" w:firstLineChars="50"/>
        <w:jc w:val="left"/>
        <w:rPr>
          <w:rFonts w:hint="eastAsia" w:ascii="宋体" w:hAnsi="宋体" w:cs="宋体"/>
          <w:color w:val="auto"/>
          <w:kern w:val="0"/>
          <w:highlight w:val="none"/>
        </w:rPr>
      </w:pPr>
      <w:r>
        <w:rPr>
          <w:rFonts w:hint="eastAsia" w:ascii="宋体" w:hAnsi="宋体" w:cs="宋体"/>
          <w:color w:val="auto"/>
          <w:kern w:val="0"/>
          <w:highlight w:val="none"/>
        </w:rPr>
        <w:t xml:space="preserve">   4.2.5投标文件出现不是唯一的、有选择性投标报价的；</w:t>
      </w:r>
    </w:p>
    <w:p w14:paraId="3F158C54">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4.2.6投标报价超过采购文件中规定的预算金额或者最高限价的；</w:t>
      </w:r>
    </w:p>
    <w:p w14:paraId="38B553E3">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4.2.7报价明显低于其他通过符合性审查供应商的报价，有可能影响产品质量或者不能诚信履约的，未能按要求提供书面说明或者提交相关证明材料，不能证明其报价合理性的；</w:t>
      </w:r>
    </w:p>
    <w:p w14:paraId="1F5FF3B3">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4.2.8供应商对根据修正原则修正后的报价不确认的；</w:t>
      </w:r>
    </w:p>
    <w:p w14:paraId="3F14D166">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4.2.9供应商提供虚假材料投标的；</w:t>
      </w:r>
    </w:p>
    <w:p w14:paraId="1CB218D0">
      <w:pPr>
        <w:spacing w:line="360" w:lineRule="auto"/>
        <w:ind w:firstLine="240" w:firstLineChars="100"/>
        <w:rPr>
          <w:rFonts w:hint="eastAsia" w:ascii="宋体" w:hAnsi="宋体" w:cs="宋体"/>
          <w:color w:val="auto"/>
          <w:kern w:val="0"/>
          <w:highlight w:val="none"/>
        </w:rPr>
      </w:pPr>
      <w:r>
        <w:rPr>
          <w:rFonts w:hint="eastAsia" w:ascii="宋体" w:hAnsi="宋体" w:cs="宋体"/>
          <w:color w:val="auto"/>
          <w:kern w:val="0"/>
          <w:highlight w:val="none"/>
        </w:rPr>
        <w:t xml:space="preserve">  4.2.10供应商有恶意串通、妨碍其他供应商的竞争行为、损害采购人或者其他供应商的合法权益情形的；</w:t>
      </w:r>
    </w:p>
    <w:p w14:paraId="776EA678">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4.2.11 参与同一个采购包（标段）的供应商存在下列情形之一且无法合理解释的，其投标（投标）文件无效：1.不同供应商的电子投标（投标）文件上传计算机的网卡MAC地址或硬盘序列号等硬件信息相同的；2.上传的电子投标（投标）文件若出现使用本项目其他投标（投标）供应商的数字证书加密的，或者加盖本项目其他投标（投标）供应商的电子印章的；3.不同供应商的投标（投标）文件的内容存在3处（含）以上错误一致的；4.不同供应商联系人为同一人或不同联系人的联系电话一致的</w:t>
      </w:r>
    </w:p>
    <w:p w14:paraId="6AF551A9">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4.2.12供应商仅提交备份投标文件，未在电子交易平台传输递交投标文件的，投标无效；</w:t>
      </w:r>
    </w:p>
    <w:p w14:paraId="604ABB33">
      <w:pPr>
        <w:pStyle w:val="7"/>
        <w:snapToGrid w:val="0"/>
        <w:spacing w:line="360" w:lineRule="auto"/>
        <w:rPr>
          <w:rFonts w:hint="eastAsia" w:cs="宋体"/>
          <w:color w:val="auto"/>
          <w:highlight w:val="none"/>
        </w:rPr>
      </w:pPr>
      <w:r>
        <w:rPr>
          <w:rFonts w:hint="eastAsia" w:cs="宋体"/>
          <w:color w:val="auto"/>
          <w:highlight w:val="none"/>
        </w:rPr>
        <w:t>4.2.13 投标文件不满足采购文件的其它实质性要求的；</w:t>
      </w:r>
    </w:p>
    <w:p w14:paraId="2DFC88A4">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4.2.14法律、法规、规章（适用本市的）及省级以上规范性文件（适用本市的）规定的其他无效情形。</w:t>
      </w:r>
    </w:p>
    <w:p w14:paraId="4C12D1BF">
      <w:pPr>
        <w:pStyle w:val="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090561E2">
      <w:pPr>
        <w:pStyle w:val="7"/>
        <w:snapToGrid w:val="0"/>
        <w:spacing w:line="360" w:lineRule="auto"/>
        <w:rPr>
          <w:rFonts w:hint="eastAsia" w:cs="宋体"/>
          <w:color w:val="auto"/>
          <w:highlight w:val="none"/>
        </w:rPr>
      </w:pPr>
      <w:r>
        <w:rPr>
          <w:rFonts w:hint="eastAsia" w:cs="宋体"/>
          <w:color w:val="auto"/>
          <w:highlight w:val="none"/>
        </w:rPr>
        <w:t>5.1符合专业条件的供应商或者对采购文件作实质投标的供应商不足3家的，且评审小组认为投标不具有竞争性的；</w:t>
      </w:r>
    </w:p>
    <w:p w14:paraId="2E88D83F">
      <w:pPr>
        <w:pStyle w:val="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2DCA4C1">
      <w:pPr>
        <w:pStyle w:val="7"/>
        <w:snapToGrid w:val="0"/>
        <w:spacing w:line="360" w:lineRule="auto"/>
        <w:rPr>
          <w:rFonts w:hint="eastAsia" w:cs="宋体"/>
          <w:color w:val="auto"/>
          <w:highlight w:val="none"/>
        </w:rPr>
      </w:pPr>
      <w:r>
        <w:rPr>
          <w:rFonts w:hint="eastAsia" w:cs="宋体"/>
          <w:color w:val="auto"/>
          <w:highlight w:val="none"/>
        </w:rPr>
        <w:t>5.3供应商的报价均超过了采购预算，采购人不能支付的；</w:t>
      </w:r>
    </w:p>
    <w:p w14:paraId="75A95EF8">
      <w:pPr>
        <w:pStyle w:val="7"/>
        <w:snapToGrid w:val="0"/>
        <w:spacing w:line="360" w:lineRule="auto"/>
        <w:rPr>
          <w:rFonts w:hint="eastAsia" w:cs="宋体"/>
          <w:color w:val="auto"/>
          <w:highlight w:val="none"/>
        </w:rPr>
      </w:pPr>
      <w:r>
        <w:rPr>
          <w:rFonts w:hint="eastAsia" w:cs="宋体"/>
          <w:color w:val="auto"/>
          <w:highlight w:val="none"/>
        </w:rPr>
        <w:t>5.4因重大变故，采购任务取消的。</w:t>
      </w:r>
    </w:p>
    <w:p w14:paraId="7DAD4EA5">
      <w:pPr>
        <w:pStyle w:val="7"/>
        <w:snapToGrid w:val="0"/>
        <w:spacing w:line="360" w:lineRule="auto"/>
        <w:rPr>
          <w:rFonts w:hint="eastAsia" w:cs="宋体"/>
          <w:color w:val="auto"/>
          <w:highlight w:val="none"/>
        </w:rPr>
      </w:pPr>
      <w:r>
        <w:rPr>
          <w:rFonts w:hint="eastAsia" w:cs="宋体"/>
          <w:color w:val="auto"/>
          <w:highlight w:val="none"/>
        </w:rPr>
        <w:t>废标后，采购代理机构应当将废标理由通知所有供应商。</w:t>
      </w:r>
    </w:p>
    <w:p w14:paraId="7CAF0833">
      <w:pPr>
        <w:pStyle w:val="7"/>
        <w:snapToGrid w:val="0"/>
        <w:spacing w:line="360" w:lineRule="auto"/>
        <w:ind w:firstLine="590" w:firstLineChars="245"/>
        <w:rPr>
          <w:rFonts w:hint="eastAsia"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61DA7AE5">
      <w:pPr>
        <w:pStyle w:val="7"/>
        <w:snapToGrid w:val="0"/>
        <w:spacing w:line="360" w:lineRule="auto"/>
        <w:ind w:firstLine="482"/>
        <w:rPr>
          <w:rFonts w:hint="eastAsia"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其他影响或者可能影响中标结果的，依照下列规定处理：</w:t>
      </w:r>
    </w:p>
    <w:p w14:paraId="15A99276">
      <w:pPr>
        <w:pStyle w:val="7"/>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25648898">
      <w:pPr>
        <w:pStyle w:val="7"/>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1CD8ECE3">
      <w:pPr>
        <w:pStyle w:val="7"/>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490486BF">
      <w:pPr>
        <w:pStyle w:val="7"/>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4DB235C3">
      <w:pPr>
        <w:pStyle w:val="39"/>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14:paraId="6F7F2403">
      <w:pPr>
        <w:widowControl/>
        <w:jc w:val="left"/>
        <w:rPr>
          <w:rFonts w:hint="eastAsia"/>
          <w:b/>
          <w:bCs/>
          <w:color w:val="auto"/>
          <w:sz w:val="32"/>
          <w:szCs w:val="32"/>
          <w:highlight w:val="none"/>
        </w:rPr>
        <w:sectPr>
          <w:pgSz w:w="11906" w:h="16838"/>
          <w:pgMar w:top="1440" w:right="1800" w:bottom="1440" w:left="1800" w:header="851" w:footer="992" w:gutter="0"/>
          <w:cols w:space="720" w:num="1"/>
          <w:docGrid w:type="lines" w:linePitch="312" w:charSpace="0"/>
        </w:sectPr>
      </w:pPr>
    </w:p>
    <w:p w14:paraId="3CB700C5">
      <w:pPr>
        <w:pStyle w:val="2"/>
        <w:rPr>
          <w:rFonts w:hint="eastAsia" w:ascii="宋体" w:hAnsi="宋体" w:cs="宋体"/>
          <w:color w:val="auto"/>
          <w:highlight w:val="none"/>
        </w:rPr>
      </w:pPr>
      <w:bookmarkStart w:id="14" w:name="_Toc24926"/>
      <w:r>
        <w:rPr>
          <w:rFonts w:hint="eastAsia" w:ascii="宋体" w:hAnsi="宋体" w:cs="宋体"/>
          <w:bCs/>
          <w:color w:val="auto"/>
          <w:highlight w:val="none"/>
        </w:rPr>
        <w:t xml:space="preserve">第五章  </w:t>
      </w:r>
      <w:bookmarkEnd w:id="14"/>
      <w:r>
        <w:rPr>
          <w:rFonts w:hint="eastAsia" w:ascii="宋体" w:hAnsi="宋体" w:cs="宋体"/>
          <w:color w:val="auto"/>
          <w:szCs w:val="32"/>
          <w:highlight w:val="none"/>
        </w:rPr>
        <w:t>拟签订的合同文本</w:t>
      </w:r>
    </w:p>
    <w:p w14:paraId="53A558F6">
      <w:pPr>
        <w:spacing w:line="360" w:lineRule="auto"/>
        <w:ind w:left="-161" w:leftChars="-67" w:right="420" w:firstLine="160" w:firstLineChars="67"/>
        <w:jc w:val="center"/>
        <w:rPr>
          <w:rFonts w:hint="eastAsia" w:ascii="宋体" w:hAnsi="宋体" w:cs="宋体"/>
          <w:b/>
          <w:color w:val="auto"/>
          <w:spacing w:val="-6"/>
          <w:highlight w:val="none"/>
        </w:rPr>
      </w:pPr>
      <w:r>
        <w:rPr>
          <w:rFonts w:hint="eastAsia" w:ascii="宋体" w:hAnsi="宋体" w:cs="宋体"/>
          <w:bCs/>
          <w:color w:val="auto"/>
          <w:highlight w:val="none"/>
        </w:rPr>
        <w:t>（最终合同由双方协商签订）</w:t>
      </w:r>
    </w:p>
    <w:p w14:paraId="0952B594">
      <w:pPr>
        <w:wordWrap w:val="0"/>
        <w:adjustRightInd/>
        <w:snapToGrid w:val="0"/>
        <w:spacing w:line="360" w:lineRule="auto"/>
        <w:jc w:val="right"/>
        <w:rPr>
          <w:rFonts w:hint="eastAsia" w:ascii="宋体" w:hAnsi="宋体" w:cs="宋体"/>
          <w:bCs/>
          <w:color w:val="auto"/>
          <w:highlight w:val="none"/>
          <w:u w:val="single"/>
        </w:rPr>
      </w:pPr>
      <w:r>
        <w:rPr>
          <w:rFonts w:hint="eastAsia" w:ascii="宋体" w:hAnsi="宋体" w:cs="宋体"/>
          <w:bCs/>
          <w:color w:val="auto"/>
          <w:highlight w:val="none"/>
        </w:rPr>
        <w:t xml:space="preserve"> 合同书编号：</w:t>
      </w:r>
      <w:r>
        <w:rPr>
          <w:rFonts w:hint="eastAsia" w:ascii="宋体" w:hAnsi="宋体" w:cs="宋体"/>
          <w:bCs/>
          <w:color w:val="auto"/>
          <w:highlight w:val="none"/>
          <w:u w:val="single"/>
        </w:rPr>
        <w:t xml:space="preserve">             </w:t>
      </w:r>
    </w:p>
    <w:p w14:paraId="25655D3F">
      <w:pPr>
        <w:jc w:val="center"/>
        <w:rPr>
          <w:rFonts w:ascii="宋体" w:hAnsi="宋体"/>
          <w:b/>
          <w:color w:val="auto"/>
          <w:highlight w:val="none"/>
        </w:rPr>
      </w:pPr>
    </w:p>
    <w:p w14:paraId="4138F57A">
      <w:pPr>
        <w:jc w:val="center"/>
        <w:rPr>
          <w:rFonts w:ascii="宋体" w:hAnsi="宋体"/>
          <w:b/>
          <w:color w:val="auto"/>
          <w:highlight w:val="none"/>
        </w:rPr>
      </w:pPr>
      <w:r>
        <w:rPr>
          <w:rFonts w:hint="eastAsia" w:ascii="宋体" w:hAnsi="宋体"/>
          <w:b/>
          <w:color w:val="auto"/>
          <w:highlight w:val="none"/>
        </w:rPr>
        <w:t>物业管理服务采购合同</w:t>
      </w:r>
    </w:p>
    <w:p w14:paraId="21B8A35B">
      <w:pPr>
        <w:jc w:val="center"/>
        <w:rPr>
          <w:rFonts w:hint="eastAsia" w:ascii="宋体" w:hAnsi="宋体"/>
          <w:b/>
          <w:color w:val="auto"/>
          <w:highlight w:val="none"/>
        </w:rPr>
      </w:pPr>
    </w:p>
    <w:p w14:paraId="412E2E53">
      <w:pPr>
        <w:spacing w:line="360" w:lineRule="auto"/>
        <w:rPr>
          <w:rFonts w:hint="eastAsia" w:ascii="宋体" w:hAnsi="宋体"/>
          <w:b/>
          <w:bCs/>
          <w:color w:val="auto"/>
          <w:highlight w:val="none"/>
          <w:u w:val="single"/>
        </w:rPr>
      </w:pPr>
      <w:r>
        <w:rPr>
          <w:rFonts w:hint="eastAsia" w:ascii="宋体" w:hAnsi="宋体"/>
          <w:b/>
          <w:bCs/>
          <w:color w:val="auto"/>
          <w:highlight w:val="none"/>
        </w:rPr>
        <w:t xml:space="preserve">采购单位（甲方）： </w:t>
      </w:r>
      <w:r>
        <w:rPr>
          <w:rFonts w:hint="eastAsia" w:ascii="宋体" w:hAnsi="宋体"/>
          <w:b/>
          <w:bCs/>
          <w:color w:val="auto"/>
          <w:highlight w:val="none"/>
          <w:u w:val="single"/>
        </w:rPr>
        <w:t>浙江省杭州市拱墅区半山街道杭玻阔板桥社区居民委员会</w:t>
      </w:r>
    </w:p>
    <w:p w14:paraId="23B3FA4D">
      <w:pPr>
        <w:spacing w:line="360" w:lineRule="auto"/>
        <w:rPr>
          <w:rFonts w:hint="eastAsia" w:ascii="宋体" w:hAnsi="宋体"/>
          <w:b/>
          <w:bCs/>
          <w:color w:val="auto"/>
          <w:highlight w:val="none"/>
        </w:rPr>
      </w:pPr>
    </w:p>
    <w:p w14:paraId="4A960EC6">
      <w:pPr>
        <w:spacing w:line="360" w:lineRule="auto"/>
        <w:rPr>
          <w:rFonts w:hint="eastAsia" w:ascii="宋体" w:hAnsi="宋体"/>
          <w:b/>
          <w:bCs/>
          <w:color w:val="auto"/>
          <w:highlight w:val="none"/>
          <w:u w:val="single"/>
        </w:rPr>
      </w:pPr>
      <w:r>
        <w:rPr>
          <w:rFonts w:hint="eastAsia" w:ascii="宋体" w:hAnsi="宋体"/>
          <w:b/>
          <w:bCs/>
          <w:color w:val="auto"/>
          <w:highlight w:val="none"/>
        </w:rPr>
        <w:t>服务单位（乙方）：</w:t>
      </w:r>
      <w:r>
        <w:rPr>
          <w:rFonts w:hint="eastAsia" w:ascii="宋体" w:hAnsi="宋体"/>
          <w:b/>
          <w:bCs/>
          <w:color w:val="auto"/>
          <w:highlight w:val="none"/>
          <w:u w:val="single"/>
        </w:rPr>
        <w:t xml:space="preserve">                                              </w:t>
      </w:r>
    </w:p>
    <w:p w14:paraId="79C1A19C">
      <w:pPr>
        <w:spacing w:line="360" w:lineRule="auto"/>
        <w:rPr>
          <w:rFonts w:hint="eastAsia" w:ascii="宋体" w:hAnsi="宋体"/>
          <w:b/>
          <w:bCs/>
          <w:color w:val="auto"/>
          <w:highlight w:val="none"/>
          <w:u w:val="single"/>
        </w:rPr>
      </w:pPr>
    </w:p>
    <w:p w14:paraId="1461DC27">
      <w:pPr>
        <w:spacing w:line="360" w:lineRule="auto"/>
        <w:rPr>
          <w:rFonts w:hint="eastAsia" w:ascii="宋体" w:hAnsi="宋体"/>
          <w:color w:val="auto"/>
          <w:highlight w:val="none"/>
        </w:rPr>
      </w:pPr>
    </w:p>
    <w:p w14:paraId="09478F06">
      <w:pPr>
        <w:spacing w:line="360" w:lineRule="auto"/>
        <w:ind w:firstLine="480" w:firstLineChars="200"/>
        <w:rPr>
          <w:rFonts w:hint="eastAsia" w:ascii="宋体" w:hAnsi="宋体" w:cs="仿宋_GB2312"/>
          <w:b/>
          <w:color w:val="auto"/>
          <w:highlight w:val="none"/>
        </w:rPr>
      </w:pPr>
      <w:r>
        <w:rPr>
          <w:rFonts w:hint="eastAsia" w:ascii="宋体" w:hAnsi="宋体" w:cs="仿宋_GB2312"/>
          <w:color w:val="auto"/>
          <w:highlight w:val="none"/>
        </w:rPr>
        <w:t>根据《中华人民共和国政府采购法》、《物业管理条例》等法律法规规定，就甲方委托乙方提供物业管理服务事宜，双方经协商一致，签订本合同，以资共同遂守。根据《中华人民共和国民法典》、地方有关物业管理法律、法规和政策，在平等、自愿、协商一致的基础上，就甲方（浙江省杭州市拱墅区半山街道杭玻阔板桥社区居民委员会）委托乙方（</w:t>
      </w:r>
      <w:r>
        <w:rPr>
          <w:rFonts w:hint="eastAsia" w:ascii="宋体" w:hAnsi="宋体" w:cs="仿宋_GB2312"/>
          <w:b/>
          <w:bCs/>
          <w:color w:val="auto"/>
          <w:highlight w:val="none"/>
          <w:u w:val="single"/>
        </w:rPr>
        <w:t xml:space="preserve">  </w:t>
      </w:r>
      <w:r>
        <w:rPr>
          <w:rFonts w:hint="eastAsia" w:ascii="宋体" w:hAnsi="宋体" w:cs="仿宋_GB2312"/>
          <w:color w:val="auto"/>
          <w:highlight w:val="none"/>
          <w:u w:val="single"/>
        </w:rPr>
        <w:t xml:space="preserve">                </w:t>
      </w:r>
      <w:r>
        <w:rPr>
          <w:rFonts w:hint="eastAsia" w:ascii="宋体" w:hAnsi="宋体" w:cs="仿宋_GB2312"/>
          <w:color w:val="auto"/>
          <w:highlight w:val="none"/>
        </w:rPr>
        <w:t>）对物业服务项目实行专业化、一体化的物业管理订立本合同。</w:t>
      </w:r>
    </w:p>
    <w:p w14:paraId="19469E44">
      <w:pPr>
        <w:spacing w:line="360" w:lineRule="auto"/>
        <w:ind w:firstLine="482" w:firstLineChars="200"/>
        <w:rPr>
          <w:rFonts w:hint="eastAsia" w:ascii="宋体" w:hAnsi="宋体" w:cs="宋体"/>
          <w:b/>
          <w:bCs/>
          <w:color w:val="auto"/>
          <w:highlight w:val="none"/>
        </w:rPr>
      </w:pPr>
    </w:p>
    <w:p w14:paraId="45325C50">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第一条 定义</w:t>
      </w:r>
    </w:p>
    <w:p w14:paraId="380C3916">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 “</w:t>
      </w:r>
      <w:r>
        <w:rPr>
          <w:rFonts w:hint="eastAsia" w:ascii="宋体" w:hAnsi="宋体" w:cs="仿宋_GB2312"/>
          <w:color w:val="auto"/>
          <w:kern w:val="0"/>
          <w:highlight w:val="none"/>
          <w:lang w:val="zh-CN"/>
        </w:rPr>
        <w:t>合同”</w:t>
      </w:r>
      <w:r>
        <w:rPr>
          <w:rFonts w:hint="eastAsia" w:ascii="宋体" w:hAnsi="宋体" w:cs="仿宋_GB2312"/>
          <w:color w:val="auto"/>
          <w:highlight w:val="none"/>
        </w:rPr>
        <w:t>即由</w:t>
      </w:r>
      <w:r>
        <w:rPr>
          <w:rFonts w:hint="eastAsia" w:ascii="宋体" w:hAnsi="宋体" w:cs="仿宋_GB2312"/>
          <w:color w:val="auto"/>
          <w:kern w:val="0"/>
          <w:highlight w:val="none"/>
          <w:lang w:val="zh-CN"/>
        </w:rPr>
        <w:t>甲乙方</w:t>
      </w:r>
      <w:r>
        <w:rPr>
          <w:rFonts w:hint="eastAsia" w:ascii="宋体" w:hAnsi="宋体" w:cs="仿宋_GB2312"/>
          <w:color w:val="auto"/>
          <w:highlight w:val="none"/>
        </w:rPr>
        <w:t>双方签订的合同格式中的文件，包括所有的附件、附录和组成合同部分的所有其他文件。</w:t>
      </w:r>
    </w:p>
    <w:p w14:paraId="47F6DA88">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合同将由浙江省杭州市拱墅区半山街道杭玻阔板桥社区居民委员会（以下简称甲方）与经评审最终确定的中标人（以下简称乙方）结合本项目具体情况协商后签订</w:t>
      </w:r>
      <w:r>
        <w:rPr>
          <w:rFonts w:hint="eastAsia" w:ascii="宋体" w:hAnsi="宋体" w:cs="仿宋_GB2312"/>
          <w:color w:val="auto"/>
          <w:kern w:val="0"/>
          <w:highlight w:val="none"/>
          <w:lang w:val="zh-CN"/>
        </w:rPr>
        <w:t>。以下为招标人提出涉及中标人的主要条款，投标人在投标文件中应对其进行确认或拒绝。如投标人在其投标文件中未做拒绝或提出修改要求的，招标人将视作认同</w:t>
      </w:r>
      <w:r>
        <w:rPr>
          <w:rFonts w:hint="eastAsia" w:ascii="宋体" w:hAnsi="宋体" w:cs="仿宋_GB2312"/>
          <w:color w:val="auto"/>
          <w:highlight w:val="none"/>
        </w:rPr>
        <w:t>。</w:t>
      </w:r>
    </w:p>
    <w:p w14:paraId="642A6F91">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2. “合同价格”系指根据合同规定，在投标人全面正确地履行合同义务时，招标人应支付给投标人的款项。</w:t>
      </w:r>
    </w:p>
    <w:p w14:paraId="4B06F78D">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3. “管理服务” 系指投标人按投标文件规定，结合本项目的设施配置及本物业使用性质特点，提出物业管理服务定位、目标，提供优质的物业服务。</w:t>
      </w:r>
    </w:p>
    <w:p w14:paraId="6553A8F3">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4. “甲方”系指通过招标接受合同及服务的浙江省杭州市拱墅区半山街道杭玻阔板桥社区居民委员会。</w:t>
      </w:r>
    </w:p>
    <w:p w14:paraId="55854C1E">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5. “乙方”系指</w:t>
      </w:r>
      <w:r>
        <w:rPr>
          <w:rFonts w:hint="eastAsia" w:ascii="宋体" w:hAnsi="宋体" w:cs="仿宋_GB2312"/>
          <w:color w:val="auto"/>
          <w:kern w:val="0"/>
          <w:highlight w:val="none"/>
          <w:lang w:val="zh-CN"/>
        </w:rPr>
        <w:t>经评审最终确定的</w:t>
      </w:r>
      <w:r>
        <w:rPr>
          <w:rFonts w:hint="eastAsia" w:ascii="宋体" w:hAnsi="宋体" w:cs="仿宋_GB2312"/>
          <w:color w:val="auto"/>
          <w:highlight w:val="none"/>
        </w:rPr>
        <w:t>中标人。</w:t>
      </w:r>
    </w:p>
    <w:p w14:paraId="75C5EC91">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6. “现场”系指将要提供物业管理与服务的地点。</w:t>
      </w:r>
    </w:p>
    <w:p w14:paraId="4511766E">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7. “验收”系指招标人依据国家有关规定接受合同所依据的程序和条件。</w:t>
      </w:r>
    </w:p>
    <w:p w14:paraId="49F92843">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第二条 适用范围</w:t>
      </w:r>
    </w:p>
    <w:p w14:paraId="768A650F">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本合同条款适用于本次采购活动，项目实施范围详见合同内容及附件。</w:t>
      </w:r>
    </w:p>
    <w:p w14:paraId="3653DEAB">
      <w:pPr>
        <w:spacing w:line="360" w:lineRule="auto"/>
        <w:rPr>
          <w:rFonts w:hint="eastAsia" w:ascii="宋体" w:hAnsi="宋体" w:cs="宋体"/>
          <w:color w:val="auto"/>
          <w:highlight w:val="none"/>
        </w:rPr>
      </w:pPr>
    </w:p>
    <w:p w14:paraId="4A922774">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第三条 物业基本情况</w:t>
      </w:r>
    </w:p>
    <w:p w14:paraId="6400651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物业项目名称：</w:t>
      </w:r>
      <w:r>
        <w:rPr>
          <w:rFonts w:hint="eastAsia" w:ascii="宋体" w:hAnsi="宋体" w:cs="宋体"/>
          <w:color w:val="auto"/>
          <w:highlight w:val="none"/>
          <w:u w:val="single"/>
        </w:rPr>
        <w:t>杭州市拱墅区半山街道杭玻阔板桥社区物业管理服务项目</w:t>
      </w:r>
    </w:p>
    <w:p w14:paraId="7E33A016">
      <w:pPr>
        <w:spacing w:line="360" w:lineRule="auto"/>
        <w:ind w:firstLine="480" w:firstLineChars="200"/>
        <w:rPr>
          <w:rFonts w:hint="eastAsia" w:ascii="宋体" w:hAnsi="宋体" w:cs="宋体"/>
          <w:color w:val="auto"/>
          <w:highlight w:val="none"/>
          <w:u w:val="single"/>
        </w:rPr>
      </w:pPr>
      <w:r>
        <w:rPr>
          <w:rFonts w:hint="eastAsia" w:ascii="宋体" w:hAnsi="宋体" w:cs="宋体"/>
          <w:color w:val="auto"/>
          <w:highlight w:val="none"/>
        </w:rPr>
        <w:t>物业类型：</w:t>
      </w:r>
      <w:r>
        <w:rPr>
          <w:rFonts w:hint="eastAsia" w:ascii="宋体" w:hAnsi="宋体" w:cs="宋体"/>
          <w:color w:val="auto"/>
          <w:highlight w:val="none"/>
          <w:u w:val="single"/>
        </w:rPr>
        <w:t xml:space="preserve"> 住宅小区</w:t>
      </w:r>
    </w:p>
    <w:p w14:paraId="1D915FAF">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座落位置：</w:t>
      </w:r>
      <w:r>
        <w:rPr>
          <w:rFonts w:hint="eastAsia" w:ascii="宋体" w:hAnsi="宋体" w:cs="宋体"/>
          <w:color w:val="auto"/>
          <w:highlight w:val="none"/>
          <w:u w:val="single"/>
        </w:rPr>
        <w:t xml:space="preserve"> 拱墅 </w:t>
      </w:r>
      <w:r>
        <w:rPr>
          <w:rFonts w:hint="eastAsia" w:ascii="宋体" w:hAnsi="宋体" w:cs="宋体"/>
          <w:color w:val="auto"/>
          <w:highlight w:val="none"/>
        </w:rPr>
        <w:t>区</w:t>
      </w:r>
      <w:r>
        <w:rPr>
          <w:rFonts w:hint="eastAsia" w:ascii="宋体" w:hAnsi="宋体" w:cs="宋体"/>
          <w:color w:val="auto"/>
          <w:highlight w:val="none"/>
          <w:u w:val="single"/>
        </w:rPr>
        <w:t xml:space="preserve"> 半山 </w:t>
      </w:r>
      <w:r>
        <w:rPr>
          <w:rFonts w:hint="eastAsia" w:ascii="宋体" w:hAnsi="宋体" w:cs="宋体"/>
          <w:color w:val="auto"/>
          <w:highlight w:val="none"/>
        </w:rPr>
        <w:t>街道</w:t>
      </w:r>
      <w:r>
        <w:rPr>
          <w:rFonts w:hint="eastAsia" w:ascii="宋体" w:hAnsi="宋体" w:cs="宋体"/>
          <w:color w:val="auto"/>
          <w:highlight w:val="none"/>
          <w:u w:val="single"/>
        </w:rPr>
        <w:t xml:space="preserve">  杭玻阔板桥 </w:t>
      </w:r>
      <w:r>
        <w:rPr>
          <w:rFonts w:hint="eastAsia" w:ascii="宋体" w:hAnsi="宋体" w:cs="宋体"/>
          <w:color w:val="auto"/>
          <w:highlight w:val="none"/>
        </w:rPr>
        <w:t>社区</w:t>
      </w:r>
    </w:p>
    <w:p w14:paraId="6D10816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物业管理区域四至范围（附：规划平面图）：</w:t>
      </w:r>
    </w:p>
    <w:p w14:paraId="2D425664">
      <w:pPr>
        <w:spacing w:line="360" w:lineRule="auto"/>
        <w:rPr>
          <w:rFonts w:hint="eastAsia" w:ascii="宋体" w:hAnsi="宋体" w:cs="宋体"/>
          <w:color w:val="auto"/>
          <w:highlight w:val="none"/>
        </w:rPr>
      </w:pPr>
      <w:r>
        <w:rPr>
          <w:rFonts w:hint="eastAsia" w:ascii="宋体" w:hAnsi="宋体" w:cs="宋体"/>
          <w:color w:val="auto"/>
          <w:highlight w:val="none"/>
        </w:rPr>
        <w:t>东至：</w:t>
      </w:r>
      <w:r>
        <w:rPr>
          <w:rFonts w:hint="eastAsia" w:ascii="宋体" w:hAnsi="宋体" w:cs="宋体"/>
          <w:color w:val="auto"/>
          <w:highlight w:val="none"/>
          <w:u w:val="single"/>
        </w:rPr>
        <w:t xml:space="preserve">杭钢南苑社区围墙   </w:t>
      </w:r>
      <w:r>
        <w:rPr>
          <w:rFonts w:hint="eastAsia" w:ascii="宋体" w:hAnsi="宋体" w:cs="宋体"/>
          <w:color w:val="auto"/>
          <w:highlight w:val="none"/>
        </w:rPr>
        <w:t>南至：</w:t>
      </w:r>
      <w:r>
        <w:rPr>
          <w:rFonts w:hint="eastAsia" w:ascii="宋体" w:hAnsi="宋体" w:cs="宋体"/>
          <w:color w:val="auto"/>
          <w:highlight w:val="none"/>
          <w:u w:val="single"/>
        </w:rPr>
        <w:t xml:space="preserve">沈半路  </w:t>
      </w:r>
      <w:r>
        <w:rPr>
          <w:rFonts w:hint="eastAsia" w:ascii="宋体" w:hAnsi="宋体" w:cs="宋体"/>
          <w:color w:val="auto"/>
          <w:highlight w:val="none"/>
        </w:rPr>
        <w:t>西至：</w:t>
      </w:r>
      <w:r>
        <w:rPr>
          <w:rFonts w:hint="eastAsia" w:ascii="宋体" w:hAnsi="宋体" w:cs="宋体"/>
          <w:color w:val="auto"/>
          <w:highlight w:val="none"/>
          <w:u w:val="single"/>
        </w:rPr>
        <w:t xml:space="preserve"> 半山路与沈半路岔口 </w:t>
      </w:r>
      <w:r>
        <w:rPr>
          <w:rFonts w:hint="eastAsia" w:ascii="宋体" w:hAnsi="宋体" w:cs="宋体"/>
          <w:color w:val="auto"/>
          <w:highlight w:val="none"/>
        </w:rPr>
        <w:t>北至：</w:t>
      </w:r>
      <w:r>
        <w:rPr>
          <w:rFonts w:hint="eastAsia" w:ascii="宋体" w:hAnsi="宋体" w:cs="宋体"/>
          <w:color w:val="auto"/>
          <w:highlight w:val="none"/>
          <w:u w:val="single"/>
        </w:rPr>
        <w:t xml:space="preserve">  半山路</w:t>
      </w:r>
    </w:p>
    <w:p w14:paraId="64F916DD">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（具体区域以实际平面图为准）</w:t>
      </w:r>
    </w:p>
    <w:p w14:paraId="42EF02A3">
      <w:p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物业管理区域占地面积约为：</w:t>
      </w:r>
      <w:r>
        <w:rPr>
          <w:rFonts w:hint="eastAsia" w:ascii="宋体" w:hAnsi="宋体" w:eastAsia="宋体" w:cs="宋体"/>
          <w:color w:val="auto"/>
          <w:highlight w:val="none"/>
          <w:u w:val="none"/>
        </w:rPr>
        <w:t>80000 平方米</w:t>
      </w:r>
    </w:p>
    <w:p w14:paraId="664505B3">
      <w:pPr>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物业管理区域住宅面积约为：</w:t>
      </w:r>
      <w:r>
        <w:rPr>
          <w:rFonts w:hint="eastAsia" w:ascii="宋体" w:hAnsi="宋体" w:eastAsia="宋体" w:cs="宋体"/>
          <w:color w:val="auto"/>
          <w:kern w:val="2"/>
          <w:highlight w:val="none"/>
          <w:u w:val="none"/>
        </w:rPr>
        <w:t xml:space="preserve"> 85411平方米</w:t>
      </w:r>
    </w:p>
    <w:p w14:paraId="00F87FBE">
      <w:pPr>
        <w:widowControl/>
        <w:snapToGrid w:val="0"/>
        <w:spacing w:line="360" w:lineRule="auto"/>
        <w:ind w:firstLine="480" w:firstLineChars="200"/>
        <w:rPr>
          <w:rFonts w:hint="eastAsia" w:ascii="宋体" w:hAnsi="宋体"/>
          <w:color w:val="auto"/>
          <w:kern w:val="0"/>
          <w:highlight w:val="none"/>
        </w:rPr>
      </w:pPr>
      <w:r>
        <w:rPr>
          <w:rFonts w:hint="eastAsia" w:ascii="宋体" w:hAnsi="宋体" w:cs="仿宋_GB2312"/>
          <w:color w:val="auto"/>
          <w:highlight w:val="none"/>
        </w:rPr>
        <w:t>物业管理区域车位数：</w:t>
      </w:r>
      <w:r>
        <w:rPr>
          <w:rFonts w:hint="eastAsia" w:ascii="宋体" w:hAnsi="宋体" w:cs="仿宋_GB2312"/>
          <w:color w:val="auto"/>
          <w:highlight w:val="none"/>
          <w:u w:val="single"/>
        </w:rPr>
        <w:t xml:space="preserve">  270个</w:t>
      </w:r>
    </w:p>
    <w:p w14:paraId="58495C16">
      <w:pPr>
        <w:spacing w:line="360" w:lineRule="auto"/>
        <w:ind w:firstLine="482" w:firstLineChars="200"/>
        <w:rPr>
          <w:rFonts w:hint="eastAsia" w:ascii="宋体" w:hAnsi="宋体" w:cs="宋体"/>
          <w:b/>
          <w:bCs/>
          <w:color w:val="auto"/>
          <w:highlight w:val="none"/>
        </w:rPr>
      </w:pPr>
    </w:p>
    <w:p w14:paraId="115E9D73">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第四条 委托管理事项</w:t>
      </w:r>
    </w:p>
    <w:p w14:paraId="75CB0177">
      <w:p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半山街道杭玻阔板桥社区（老旧小区）综合管理、列入本次综合物业管理的范围为：保洁（主要指楼道、公园椅、车库及车库顶保洁和凉亭、辖区小广告清理等，不含道路保洁，乙方对道路保洁负有监管监督职责），保安保序，工程维修，绿化养护，消防管理（消防整体管理，灭火器日常检查、更换），停车管理（含停车系统的维护，设施维修），垃圾分类管理，收费（物业费，停车费），房屋装修管理，监控查询，监控系统设备的维护，电动车充电管理，小区专项整治（物业职责范围内），家政服务（有偿服务），投诉处理，安全事故应急处理，违建防控、共用部位、共用设施设备日常运行、维护服务等和甲方交办的其他工作。</w:t>
      </w:r>
    </w:p>
    <w:p w14:paraId="08043762">
      <w:pPr>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包括（但不限于）以下具体内容：</w:t>
      </w:r>
    </w:p>
    <w:p w14:paraId="24CD558A">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综合管理服务（服务内容详见附件2）。</w:t>
      </w:r>
    </w:p>
    <w:p w14:paraId="745745AE">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公共区域清洁卫生服务（服务内容详见附件2）。</w:t>
      </w:r>
    </w:p>
    <w:p w14:paraId="5319070A">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公共区域秩序维护服务（服务内容详见附件2）。</w:t>
      </w:r>
    </w:p>
    <w:p w14:paraId="022FFAF4">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公共区域绿化日常养护服务（服务内容详见附件2）。</w:t>
      </w:r>
    </w:p>
    <w:p w14:paraId="05BB20D6">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共用部位、共用设施设备日常运行、维护服务（服务内容详见附件2）。</w:t>
      </w:r>
    </w:p>
    <w:p w14:paraId="76E75C13">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对街巷保洁服务工作进行监督。</w:t>
      </w:r>
    </w:p>
    <w:p w14:paraId="24C44DCA">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对小区进行常态化全方位的巡查管控，对于不文明养犬等各类不文明现象、违规行为要做到及时劝阻及纠正。</w:t>
      </w:r>
    </w:p>
    <w:p w14:paraId="19E9038B">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按甲方和上级要求，规范做好小区垃圾分类工作，对小区垃圾定时定点投放点和误时点做到定人定岗，执行垃圾分类</w:t>
      </w:r>
      <w:r>
        <w:rPr>
          <w:rFonts w:hint="eastAsia" w:ascii="宋体" w:hAnsi="宋体" w:cs="宋体"/>
          <w:color w:val="auto"/>
          <w:highlight w:val="none"/>
        </w:rPr>
        <w:t>督导员</w:t>
      </w:r>
      <w:r>
        <w:rPr>
          <w:rFonts w:hint="eastAsia" w:ascii="宋体" w:hAnsi="宋体" w:cs="仿宋_GB2312"/>
          <w:color w:val="auto"/>
          <w:highlight w:val="none"/>
        </w:rPr>
        <w:t>职责，在市、区、街、社四级督查、检查、巡查中，分类正确率100%。</w:t>
      </w:r>
    </w:p>
    <w:p w14:paraId="1B39B813">
      <w:pPr>
        <w:numPr>
          <w:ilvl w:val="0"/>
          <w:numId w:val="3"/>
        </w:numPr>
        <w:tabs>
          <w:tab w:val="left" w:pos="312"/>
        </w:tabs>
        <w:spacing w:line="360" w:lineRule="auto"/>
        <w:ind w:firstLine="540" w:firstLineChars="225"/>
        <w:rPr>
          <w:rFonts w:hint="eastAsia" w:ascii="宋体" w:hAnsi="宋体" w:cs="仿宋_GB2312"/>
          <w:color w:val="auto"/>
          <w:highlight w:val="none"/>
        </w:rPr>
      </w:pPr>
      <w:r>
        <w:rPr>
          <w:rFonts w:hint="eastAsia" w:ascii="宋体" w:hAnsi="宋体" w:cs="仿宋_GB2312"/>
          <w:color w:val="auto"/>
          <w:highlight w:val="none"/>
        </w:rPr>
        <w:t>做好装修备案和过程管理，违建管控、巡查、建筑材料登记、报告等工作，确保违建零新增。</w:t>
      </w:r>
    </w:p>
    <w:p w14:paraId="10577CCF">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10.负责小区居民门禁卡信息的登记、审核以及办理工作。</w:t>
      </w:r>
    </w:p>
    <w:p w14:paraId="075BC4C1">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11.业主提出动用房屋公共维修基金维保更换公共设施时，应做好基金申请、使用等各项工作。</w:t>
      </w:r>
    </w:p>
    <w:p w14:paraId="6697D263">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12.既有住宅加装的电梯等特种设备的管理、监督等。</w:t>
      </w:r>
    </w:p>
    <w:p w14:paraId="696F1B98">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13.做好雨、雪、台风等恶劣天气防范应对预案及实施；小区突发事件第一时间发现并做好临时应对，且能按照要求逐级汇报。</w:t>
      </w:r>
    </w:p>
    <w:p w14:paraId="66828B2E">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14.根据社区要求做好各类迎检、参观接待工作。</w:t>
      </w:r>
    </w:p>
    <w:p w14:paraId="3922524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15.</w:t>
      </w:r>
      <w:r>
        <w:rPr>
          <w:rFonts w:hint="eastAsia" w:ascii="宋体" w:hAnsi="宋体" w:cs="仿宋_GB2312"/>
          <w:color w:val="auto"/>
          <w:highlight w:val="none"/>
        </w:rPr>
        <w:t>按照《关于加强做好半山街道老旧小区物业管理服务工作的通知》，最新物业费收费标准从2023年1月1日起为0.5元/平方/月，全年收缴率不得低于上级部门要求及有关考核指标（收缴率90％为达标，按收缴金额计算）。</w:t>
      </w:r>
      <w:r>
        <w:rPr>
          <w:rFonts w:hint="eastAsia" w:ascii="宋体" w:hAnsi="宋体" w:cs="宋体"/>
          <w:color w:val="auto"/>
          <w:highlight w:val="none"/>
        </w:rPr>
        <w:t>收缴金额不足90%的由物业补足，超出90%的金额按50%的比例奖励给物业。</w:t>
      </w:r>
    </w:p>
    <w:p w14:paraId="74BC581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16.按照甲方要求完成机动车停车收费工作，完成全年停车管理收费</w:t>
      </w:r>
      <w:r>
        <w:rPr>
          <w:rFonts w:hint="eastAsia" w:ascii="宋体" w:hAnsi="宋体" w:cs="宋体"/>
          <w:color w:val="auto"/>
          <w:highlight w:val="none"/>
          <w:u w:val="single"/>
        </w:rPr>
        <w:t xml:space="preserve"> </w:t>
      </w:r>
      <w:r>
        <w:rPr>
          <w:rFonts w:ascii="Arial" w:hAnsi="Arial" w:cs="Arial"/>
          <w:color w:val="auto"/>
          <w:highlight w:val="none"/>
          <w:u w:val="single"/>
        </w:rPr>
        <w:t>¥</w:t>
      </w:r>
      <w:r>
        <w:rPr>
          <w:rFonts w:hint="eastAsia" w:ascii="宋体" w:hAnsi="宋体" w:cs="宋体"/>
          <w:color w:val="auto"/>
          <w:highlight w:val="none"/>
          <w:u w:val="single"/>
        </w:rPr>
        <w:t>65</w:t>
      </w:r>
      <w:r>
        <w:rPr>
          <w:rFonts w:hint="eastAsia" w:ascii="宋体" w:hAnsi="宋体" w:cs="宋体"/>
          <w:color w:val="auto"/>
          <w:highlight w:val="none"/>
        </w:rPr>
        <w:t>万元（大写：人民币</w:t>
      </w:r>
      <w:r>
        <w:rPr>
          <w:rFonts w:hint="eastAsia" w:ascii="宋体" w:hAnsi="宋体" w:cs="仿宋_GB2312"/>
          <w:color w:val="auto"/>
          <w:highlight w:val="none"/>
        </w:rPr>
        <w:t>陆拾伍万元整</w:t>
      </w:r>
      <w:r>
        <w:rPr>
          <w:rFonts w:hint="eastAsia" w:ascii="宋体" w:hAnsi="宋体" w:cs="宋体"/>
          <w:color w:val="auto"/>
          <w:highlight w:val="none"/>
        </w:rPr>
        <w:t>）为达标，收缴金额不足65万的由物业补足，超出65万的金额按照50%的比例奖励给物业。</w:t>
      </w:r>
    </w:p>
    <w:p w14:paraId="788B8D4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17、阔板桥4幢南拱指公园的绿化养护及保洁保序。</w:t>
      </w:r>
    </w:p>
    <w:p w14:paraId="1CB85FAC">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18.甲方交办的其他事项（具体事项需双方书面确认）。</w:t>
      </w:r>
    </w:p>
    <w:p w14:paraId="683B12D6">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第五条 合同期限</w:t>
      </w:r>
    </w:p>
    <w:p w14:paraId="3D4E9547">
      <w:pPr>
        <w:spacing w:line="360" w:lineRule="auto"/>
        <w:ind w:firstLine="480" w:firstLineChars="200"/>
        <w:rPr>
          <w:rFonts w:hint="eastAsia" w:ascii="宋体" w:hAnsi="宋体" w:cs="宋体"/>
          <w:color w:val="auto"/>
          <w:highlight w:val="none"/>
        </w:rPr>
      </w:pPr>
      <w:r>
        <w:rPr>
          <w:rFonts w:hint="eastAsia" w:ascii="宋体" w:hAnsi="宋体"/>
          <w:color w:val="auto"/>
          <w:highlight w:val="none"/>
        </w:rPr>
        <w:t>本次合同</w:t>
      </w:r>
      <w:r>
        <w:rPr>
          <w:rFonts w:hint="eastAsia" w:ascii="宋体" w:hAnsi="宋体" w:cs="宋体"/>
          <w:color w:val="auto"/>
          <w:highlight w:val="none"/>
        </w:rPr>
        <w:t>期限自</w:t>
      </w:r>
      <w:r>
        <w:rPr>
          <w:rFonts w:hint="eastAsia" w:ascii="宋体" w:hAnsi="宋体" w:cs="宋体"/>
          <w:color w:val="auto"/>
          <w:highlight w:val="none"/>
          <w:u w:val="single"/>
        </w:rPr>
        <w:t xml:space="preserve"> 2025</w:t>
      </w:r>
      <w:r>
        <w:rPr>
          <w:rFonts w:hint="eastAsia" w:ascii="宋体" w:hAnsi="宋体" w:cs="宋体"/>
          <w:color w:val="auto"/>
          <w:highlight w:val="none"/>
        </w:rPr>
        <w:t>年</w:t>
      </w:r>
      <w:r>
        <w:rPr>
          <w:rFonts w:hint="eastAsia" w:ascii="宋体" w:hAnsi="宋体" w:cs="宋体"/>
          <w:color w:val="auto"/>
          <w:highlight w:val="none"/>
          <w:u w:val="single"/>
        </w:rPr>
        <w:t xml:space="preserve"> 9 </w:t>
      </w:r>
      <w:r>
        <w:rPr>
          <w:rFonts w:hint="eastAsia" w:ascii="宋体" w:hAnsi="宋体" w:cs="宋体"/>
          <w:color w:val="auto"/>
          <w:highlight w:val="none"/>
        </w:rPr>
        <w:t>月</w:t>
      </w:r>
      <w:r>
        <w:rPr>
          <w:rFonts w:hint="eastAsia" w:ascii="宋体" w:hAnsi="宋体" w:cs="宋体"/>
          <w:color w:val="auto"/>
          <w:highlight w:val="none"/>
          <w:u w:val="single"/>
        </w:rPr>
        <w:t xml:space="preserve"> 1 </w:t>
      </w:r>
      <w:r>
        <w:rPr>
          <w:rFonts w:hint="eastAsia" w:ascii="宋体" w:hAnsi="宋体" w:cs="宋体"/>
          <w:color w:val="auto"/>
          <w:highlight w:val="none"/>
        </w:rPr>
        <w:t>日至</w:t>
      </w:r>
      <w:r>
        <w:rPr>
          <w:rFonts w:hint="eastAsia" w:ascii="宋体" w:hAnsi="宋体" w:cs="宋体"/>
          <w:color w:val="auto"/>
          <w:highlight w:val="none"/>
          <w:u w:val="single"/>
        </w:rPr>
        <w:t xml:space="preserve"> 2028 </w:t>
      </w:r>
      <w:r>
        <w:rPr>
          <w:rFonts w:hint="eastAsia" w:ascii="宋体" w:hAnsi="宋体" w:cs="宋体"/>
          <w:color w:val="auto"/>
          <w:highlight w:val="none"/>
        </w:rPr>
        <w:t>年</w:t>
      </w:r>
      <w:r>
        <w:rPr>
          <w:rFonts w:hint="eastAsia" w:ascii="宋体" w:hAnsi="宋体" w:cs="宋体"/>
          <w:color w:val="auto"/>
          <w:highlight w:val="none"/>
          <w:u w:val="single"/>
        </w:rPr>
        <w:t xml:space="preserve"> 12 </w:t>
      </w:r>
      <w:r>
        <w:rPr>
          <w:rFonts w:hint="eastAsia" w:ascii="宋体" w:hAnsi="宋体" w:cs="宋体"/>
          <w:color w:val="auto"/>
          <w:highlight w:val="none"/>
        </w:rPr>
        <w:t>月</w:t>
      </w:r>
      <w:r>
        <w:rPr>
          <w:rFonts w:hint="eastAsia" w:ascii="宋体" w:hAnsi="宋体" w:cs="宋体"/>
          <w:color w:val="auto"/>
          <w:highlight w:val="none"/>
          <w:u w:val="single"/>
        </w:rPr>
        <w:t xml:space="preserve"> 31 </w:t>
      </w:r>
      <w:r>
        <w:rPr>
          <w:rFonts w:hint="eastAsia" w:ascii="宋体" w:hAnsi="宋体" w:cs="宋体"/>
          <w:color w:val="auto"/>
          <w:highlight w:val="none"/>
        </w:rPr>
        <w:t>日，合同期三年零四个月。合同期满后，应按程序重新选聘。</w:t>
      </w:r>
    </w:p>
    <w:p w14:paraId="0AC19019">
      <w:pPr>
        <w:spacing w:line="360" w:lineRule="auto"/>
        <w:rPr>
          <w:rFonts w:hint="eastAsia" w:ascii="宋体" w:hAnsi="宋体" w:cs="宋体"/>
          <w:b/>
          <w:bCs/>
          <w:color w:val="auto"/>
          <w:highlight w:val="none"/>
        </w:rPr>
      </w:pPr>
    </w:p>
    <w:p w14:paraId="3EC1D79D">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第六条 物业装备、耗材的使用</w:t>
      </w:r>
    </w:p>
    <w:p w14:paraId="2D797548">
      <w:pPr>
        <w:spacing w:line="360" w:lineRule="auto"/>
        <w:ind w:firstLine="480" w:firstLineChars="200"/>
        <w:rPr>
          <w:rFonts w:hint="eastAsia" w:ascii="宋体" w:hAnsi="宋体" w:cs="宋体"/>
          <w:b/>
          <w:bCs/>
          <w:color w:val="auto"/>
          <w:highlight w:val="none"/>
        </w:rPr>
      </w:pPr>
      <w:r>
        <w:rPr>
          <w:rFonts w:hint="eastAsia" w:ascii="宋体" w:hAnsi="宋体" w:cs="宋体"/>
          <w:color w:val="auto"/>
          <w:highlight w:val="none"/>
        </w:rPr>
        <w:t>甲方免费提供物业管理的物业用房，但办公用品、（指办公桌、电脑、打印机、对讲机、文件柜等自身使用的办公用品等）水电费、通信费等由乙方自行解决。</w:t>
      </w:r>
    </w:p>
    <w:p w14:paraId="27951D6E">
      <w:pPr>
        <w:spacing w:line="360" w:lineRule="auto"/>
        <w:ind w:firstLine="482" w:firstLineChars="200"/>
        <w:rPr>
          <w:rFonts w:hint="eastAsia" w:ascii="宋体" w:hAnsi="宋体" w:cs="宋体"/>
          <w:b/>
          <w:bCs/>
          <w:color w:val="auto"/>
          <w:highlight w:val="none"/>
        </w:rPr>
      </w:pPr>
    </w:p>
    <w:p w14:paraId="1E96C95F">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第七条 物业管理收费及资金来源构成</w:t>
      </w:r>
    </w:p>
    <w:p w14:paraId="19B81522">
      <w:pPr>
        <w:spacing w:line="360" w:lineRule="auto"/>
        <w:ind w:firstLine="480" w:firstLineChars="200"/>
        <w:rPr>
          <w:rFonts w:hint="eastAsia" w:ascii="宋体" w:hAnsi="宋体" w:cs="宋体"/>
          <w:color w:val="auto"/>
          <w:highlight w:val="none"/>
        </w:rPr>
      </w:pPr>
      <w:r>
        <w:rPr>
          <w:rFonts w:hint="eastAsia" w:ascii="宋体" w:hAnsi="宋体" w:cs="仿宋_GB2312"/>
          <w:snapToGrid w:val="0"/>
          <w:color w:val="auto"/>
          <w:kern w:val="0"/>
          <w:highlight w:val="none"/>
        </w:rPr>
        <w:t>本合同期内</w:t>
      </w:r>
      <w:r>
        <w:rPr>
          <w:rFonts w:hint="eastAsia" w:ascii="宋体" w:hAnsi="宋体" w:cs="仿宋_GB2312"/>
          <w:color w:val="auto"/>
          <w:highlight w:val="none"/>
        </w:rPr>
        <w:t>物业服务模式为包干制</w:t>
      </w:r>
      <w:r>
        <w:rPr>
          <w:rFonts w:hint="eastAsia" w:ascii="宋体" w:hAnsi="宋体" w:cs="仿宋_GB2312"/>
          <w:b/>
          <w:color w:val="auto"/>
          <w:highlight w:val="none"/>
        </w:rPr>
        <w:t>，</w:t>
      </w:r>
      <w:r>
        <w:rPr>
          <w:rFonts w:hint="eastAsia" w:ascii="宋体" w:hAnsi="宋体" w:cs="仿宋_GB2312"/>
          <w:b w:val="0"/>
          <w:bCs/>
          <w:color w:val="auto"/>
          <w:highlight w:val="none"/>
          <w:lang w:val="en-US" w:eastAsia="zh-CN"/>
        </w:rPr>
        <w:t>合同总金额为</w:t>
      </w:r>
      <w:r>
        <w:rPr>
          <w:rFonts w:hint="eastAsia" w:ascii="宋体" w:hAnsi="宋体" w:cs="仿宋_GB2312"/>
          <w:b w:val="0"/>
          <w:bCs/>
          <w:color w:val="auto"/>
          <w:highlight w:val="none"/>
        </w:rPr>
        <w:t xml:space="preserve"> ¥</w:t>
      </w:r>
      <w:r>
        <w:rPr>
          <w:rFonts w:hint="eastAsia" w:ascii="宋体" w:hAnsi="宋体" w:cs="仿宋_GB2312"/>
          <w:b w:val="0"/>
          <w:bCs/>
          <w:color w:val="auto"/>
          <w:highlight w:val="none"/>
          <w:u w:val="single"/>
          <w:lang w:val="en-US" w:eastAsia="zh-CN"/>
        </w:rPr>
        <w:t xml:space="preserve">      </w:t>
      </w:r>
      <w:r>
        <w:rPr>
          <w:rFonts w:hint="eastAsia" w:ascii="宋体" w:hAnsi="宋体" w:cs="仿宋_GB2312"/>
          <w:b w:val="0"/>
          <w:bCs/>
          <w:color w:val="auto"/>
          <w:highlight w:val="none"/>
        </w:rPr>
        <w:t>元（大写：</w:t>
      </w:r>
      <w:r>
        <w:rPr>
          <w:rFonts w:hint="eastAsia" w:ascii="宋体" w:hAnsi="宋体" w:cs="仿宋_GB2312"/>
          <w:b w:val="0"/>
          <w:bCs/>
          <w:color w:val="auto"/>
          <w:highlight w:val="none"/>
          <w:u w:val="single"/>
          <w:lang w:val="en-US" w:eastAsia="zh-CN"/>
        </w:rPr>
        <w:t xml:space="preserve">         </w:t>
      </w:r>
      <w:r>
        <w:rPr>
          <w:rFonts w:hint="eastAsia" w:ascii="宋体" w:hAnsi="宋体" w:cs="仿宋_GB2312"/>
          <w:b w:val="0"/>
          <w:bCs/>
          <w:color w:val="auto"/>
          <w:highlight w:val="none"/>
        </w:rPr>
        <w:t>整）</w:t>
      </w:r>
      <w:r>
        <w:rPr>
          <w:rFonts w:hint="eastAsia" w:ascii="宋体" w:hAnsi="宋体" w:cs="仿宋_GB2312"/>
          <w:b w:val="0"/>
          <w:bCs/>
          <w:color w:val="auto"/>
          <w:highlight w:val="none"/>
          <w:lang w:eastAsia="zh-CN"/>
        </w:rPr>
        <w:t>。</w:t>
      </w:r>
      <w:r>
        <w:rPr>
          <w:rFonts w:hint="eastAsia" w:ascii="宋体" w:hAnsi="宋体" w:cs="仿宋_GB2312"/>
          <w:bCs/>
          <w:color w:val="auto"/>
          <w:highlight w:val="none"/>
        </w:rPr>
        <w:t>每年</w:t>
      </w:r>
      <w:r>
        <w:rPr>
          <w:rFonts w:hint="eastAsia" w:ascii="宋体" w:hAnsi="宋体" w:cs="仿宋_GB2312"/>
          <w:snapToGrid w:val="0"/>
          <w:color w:val="auto"/>
          <w:kern w:val="0"/>
          <w:highlight w:val="none"/>
        </w:rPr>
        <w:t>物业管理服务费（含垃圾分类督导员补贴、绿化补助）</w:t>
      </w:r>
      <w:r>
        <w:rPr>
          <w:rFonts w:hint="eastAsia" w:ascii="宋体" w:hAnsi="宋体" w:cs="仿宋_GB2312"/>
          <w:snapToGrid w:val="0"/>
          <w:color w:val="auto"/>
          <w:kern w:val="0"/>
          <w:highlight w:val="none"/>
          <w:lang w:val="en-US" w:eastAsia="zh-CN"/>
        </w:rPr>
        <w:t>为</w:t>
      </w:r>
      <w:r>
        <w:rPr>
          <w:rFonts w:hint="eastAsia" w:ascii="宋体" w:hAnsi="宋体" w:cs="宋体"/>
          <w:color w:val="auto"/>
          <w:highlight w:val="none"/>
          <w:u w:val="single"/>
        </w:rPr>
        <w:t xml:space="preserve"> </w:t>
      </w:r>
      <w:r>
        <w:rPr>
          <w:rFonts w:ascii="Arial" w:hAnsi="Arial" w:cs="Arial"/>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元/年（大写：</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整）由</w:t>
      </w:r>
      <w:r>
        <w:rPr>
          <w:rFonts w:hint="eastAsia" w:ascii="宋体" w:hAnsi="宋体" w:cs="仿宋_GB2312"/>
          <w:bCs/>
          <w:color w:val="auto"/>
          <w:highlight w:val="none"/>
        </w:rPr>
        <w:t>基础运营费+绩效考核奖励费两部组成，基础运营费占每年</w:t>
      </w:r>
      <w:r>
        <w:rPr>
          <w:rFonts w:hint="eastAsia" w:ascii="宋体" w:hAnsi="宋体" w:cs="仿宋_GB2312"/>
          <w:snapToGrid w:val="0"/>
          <w:color w:val="auto"/>
          <w:kern w:val="0"/>
          <w:highlight w:val="none"/>
        </w:rPr>
        <w:t>物业管理服务费</w:t>
      </w:r>
      <w:r>
        <w:rPr>
          <w:rFonts w:hint="eastAsia" w:ascii="宋体" w:hAnsi="宋体" w:cs="仿宋_GB2312"/>
          <w:bCs/>
          <w:color w:val="auto"/>
          <w:highlight w:val="none"/>
        </w:rPr>
        <w:t>的80%，绩效考核奖励费用占每年</w:t>
      </w:r>
      <w:r>
        <w:rPr>
          <w:rFonts w:hint="eastAsia" w:ascii="宋体" w:hAnsi="宋体" w:cs="仿宋_GB2312"/>
          <w:snapToGrid w:val="0"/>
          <w:color w:val="auto"/>
          <w:kern w:val="0"/>
          <w:highlight w:val="none"/>
        </w:rPr>
        <w:t>物业管理服务费</w:t>
      </w:r>
      <w:r>
        <w:rPr>
          <w:rFonts w:hint="eastAsia" w:ascii="宋体" w:hAnsi="宋体" w:cs="仿宋_GB2312"/>
          <w:bCs/>
          <w:color w:val="auto"/>
          <w:highlight w:val="none"/>
        </w:rPr>
        <w:t>的20%，</w:t>
      </w:r>
      <w:r>
        <w:rPr>
          <w:rFonts w:hint="eastAsia" w:ascii="宋体" w:hAnsi="宋体" w:cs="宋体"/>
          <w:bCs/>
          <w:color w:val="auto"/>
          <w:highlight w:val="none"/>
        </w:rPr>
        <w:t>基础运营费按每季度支付</w:t>
      </w:r>
      <w:r>
        <w:rPr>
          <w:rFonts w:hint="eastAsia" w:ascii="宋体" w:hAnsi="宋体" w:cs="仿宋_GB2312"/>
          <w:bCs/>
          <w:color w:val="auto"/>
          <w:highlight w:val="none"/>
        </w:rPr>
        <w:t>每年</w:t>
      </w:r>
      <w:r>
        <w:rPr>
          <w:rFonts w:hint="eastAsia" w:ascii="宋体" w:hAnsi="宋体" w:cs="仿宋_GB2312"/>
          <w:snapToGrid w:val="0"/>
          <w:color w:val="auto"/>
          <w:kern w:val="0"/>
          <w:highlight w:val="none"/>
        </w:rPr>
        <w:t>物业管理服务费</w:t>
      </w:r>
      <w:r>
        <w:rPr>
          <w:rFonts w:hint="eastAsia" w:ascii="宋体" w:hAnsi="宋体" w:cs="宋体"/>
          <w:bCs/>
          <w:color w:val="auto"/>
          <w:highlight w:val="none"/>
        </w:rPr>
        <w:t>20%（费用于收到发票后30个工作日内支付），甲方按照年度物业服务绩效考核等级对</w:t>
      </w:r>
      <w:r>
        <w:rPr>
          <w:rFonts w:hint="eastAsia" w:ascii="宋体" w:hAnsi="宋体" w:cs="仿宋_GB2312"/>
          <w:bCs/>
          <w:color w:val="auto"/>
          <w:highlight w:val="none"/>
        </w:rPr>
        <w:t>绩效考核奖励费用</w:t>
      </w:r>
      <w:r>
        <w:rPr>
          <w:rFonts w:hint="eastAsia" w:ascii="宋体" w:hAnsi="宋体" w:cs="宋体"/>
          <w:bCs/>
          <w:color w:val="auto"/>
          <w:highlight w:val="none"/>
        </w:rPr>
        <w:t>进行兑付。绩效考核奖励费兑付比例分别为优秀100%，良好90%，一般70%，合格50%，不合格为0。除本合同明确约定可以另行收取的费用外，所有物业管理及服务费用均包括在内，乙方不得另行向甲方或使用人收取任何费用。</w:t>
      </w:r>
    </w:p>
    <w:p w14:paraId="460F881A">
      <w:pPr>
        <w:spacing w:line="360" w:lineRule="auto"/>
        <w:ind w:firstLine="482" w:firstLineChars="200"/>
        <w:rPr>
          <w:rFonts w:hint="eastAsia" w:ascii="宋体" w:hAnsi="宋体" w:cs="宋体"/>
          <w:b/>
          <w:bCs/>
          <w:color w:val="auto"/>
          <w:highlight w:val="none"/>
        </w:rPr>
      </w:pPr>
    </w:p>
    <w:p w14:paraId="5CE5239D">
      <w:pPr>
        <w:numPr>
          <w:ilvl w:val="0"/>
          <w:numId w:val="4"/>
        </w:numPr>
        <w:adjustRightInd/>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费用结算方式</w:t>
      </w:r>
      <w:r>
        <w:rPr>
          <w:rFonts w:hint="eastAsia" w:ascii="宋体" w:hAnsi="宋体" w:cs="仿宋_GB2312"/>
          <w:snapToGrid w:val="0"/>
          <w:color w:val="auto"/>
          <w:kern w:val="0"/>
          <w:highlight w:val="none"/>
        </w:rPr>
        <w:t>。</w:t>
      </w:r>
    </w:p>
    <w:p w14:paraId="5D941387">
      <w:pPr>
        <w:spacing w:line="360" w:lineRule="auto"/>
        <w:ind w:firstLine="480" w:firstLineChars="200"/>
        <w:rPr>
          <w:rFonts w:hint="eastAsia" w:ascii="宋体" w:hAnsi="宋体" w:cs="宋体"/>
          <w:b/>
          <w:bCs/>
          <w:color w:val="auto"/>
          <w:highlight w:val="none"/>
        </w:rPr>
      </w:pPr>
      <w:r>
        <w:rPr>
          <w:rFonts w:hint="eastAsia" w:ascii="宋体" w:hAnsi="宋体" w:cs="仿宋_GB2312"/>
          <w:snapToGrid w:val="0"/>
          <w:color w:val="auto"/>
          <w:kern w:val="0"/>
          <w:highlight w:val="none"/>
        </w:rPr>
        <w:t>1、物业管理服务费，在服务周期前四个月（2025年9月1</w:t>
      </w:r>
      <w:r>
        <w:rPr>
          <w:rFonts w:hint="eastAsia" w:ascii="宋体" w:hAnsi="宋体" w:cs="仿宋_GB2312"/>
          <w:snapToGrid w:val="0"/>
          <w:color w:val="auto"/>
          <w:kern w:val="0"/>
          <w:highlight w:val="none"/>
          <w:lang w:eastAsia="zh-CN"/>
        </w:rPr>
        <w:t>日</w:t>
      </w:r>
      <w:r>
        <w:rPr>
          <w:rFonts w:hint="eastAsia" w:ascii="宋体" w:hAnsi="宋体" w:cs="仿宋_GB2312"/>
          <w:snapToGrid w:val="0"/>
          <w:color w:val="auto"/>
          <w:kern w:val="0"/>
          <w:highlight w:val="none"/>
        </w:rPr>
        <w:t>至2025年12</w:t>
      </w:r>
      <w:r>
        <w:rPr>
          <w:rFonts w:hint="eastAsia" w:ascii="宋体" w:hAnsi="宋体" w:cs="仿宋_GB2312"/>
          <w:snapToGrid w:val="0"/>
          <w:color w:val="auto"/>
          <w:kern w:val="0"/>
          <w:highlight w:val="none"/>
          <w:lang w:val="en-US" w:eastAsia="zh-CN"/>
        </w:rPr>
        <w:t>月</w:t>
      </w:r>
      <w:r>
        <w:rPr>
          <w:rFonts w:hint="eastAsia" w:ascii="宋体" w:hAnsi="宋体" w:cs="仿宋_GB2312"/>
          <w:snapToGrid w:val="0"/>
          <w:color w:val="auto"/>
          <w:kern w:val="0"/>
          <w:highlight w:val="none"/>
        </w:rPr>
        <w:t>31</w:t>
      </w:r>
      <w:r>
        <w:rPr>
          <w:rFonts w:hint="eastAsia" w:ascii="宋体" w:hAnsi="宋体" w:cs="仿宋_GB2312"/>
          <w:snapToGrid w:val="0"/>
          <w:color w:val="auto"/>
          <w:kern w:val="0"/>
          <w:highlight w:val="none"/>
          <w:lang w:eastAsia="zh-CN"/>
        </w:rPr>
        <w:t>日</w:t>
      </w:r>
      <w:r>
        <w:rPr>
          <w:rFonts w:hint="eastAsia" w:ascii="宋体" w:hAnsi="宋体" w:cs="仿宋_GB2312"/>
          <w:snapToGrid w:val="0"/>
          <w:color w:val="auto"/>
          <w:kern w:val="0"/>
          <w:highlight w:val="none"/>
        </w:rPr>
        <w:t>）为试用期，在试用期结束后30个工作日内，考核支付试用期期间的物业服务费，试用期物业服务费为年服务费除以12乘以4结算；2026年1月1日起每一季度支付一次，每季度支付金额为每年物业管理服务费的20%，</w:t>
      </w:r>
      <w:r>
        <w:rPr>
          <w:rFonts w:hint="eastAsia" w:ascii="宋体" w:hAnsi="宋体" w:cs="仿宋_GB2312"/>
          <w:bCs/>
          <w:snapToGrid w:val="0"/>
          <w:color w:val="auto"/>
          <w:kern w:val="0"/>
          <w:highlight w:val="none"/>
        </w:rPr>
        <w:t>绩效考核奖励费用</w:t>
      </w:r>
      <w:r>
        <w:rPr>
          <w:rFonts w:hint="eastAsia" w:ascii="宋体" w:hAnsi="宋体" w:cs="仿宋_GB2312"/>
          <w:bCs/>
          <w:color w:val="auto"/>
          <w:highlight w:val="none"/>
        </w:rPr>
        <w:t>每年</w:t>
      </w:r>
      <w:r>
        <w:rPr>
          <w:rFonts w:hint="eastAsia" w:ascii="宋体" w:hAnsi="宋体" w:cs="仿宋_GB2312"/>
          <w:snapToGrid w:val="0"/>
          <w:color w:val="auto"/>
          <w:kern w:val="0"/>
          <w:highlight w:val="none"/>
        </w:rPr>
        <w:t>物业管理服务费</w:t>
      </w:r>
      <w:r>
        <w:rPr>
          <w:rFonts w:hint="eastAsia" w:ascii="宋体" w:hAnsi="宋体" w:cs="仿宋_GB2312"/>
          <w:bCs/>
          <w:snapToGrid w:val="0"/>
          <w:color w:val="auto"/>
          <w:kern w:val="0"/>
          <w:highlight w:val="none"/>
        </w:rPr>
        <w:t>的20%，</w:t>
      </w:r>
      <w:r>
        <w:rPr>
          <w:rFonts w:hint="eastAsia" w:ascii="宋体" w:hAnsi="宋体" w:cs="仿宋_GB2312"/>
          <w:snapToGrid w:val="0"/>
          <w:color w:val="auto"/>
          <w:kern w:val="0"/>
          <w:highlight w:val="none"/>
        </w:rPr>
        <w:t>经</w:t>
      </w:r>
      <w:r>
        <w:rPr>
          <w:rFonts w:hint="eastAsia" w:ascii="宋体" w:hAnsi="宋体" w:cs="仿宋_GB2312"/>
          <w:bCs/>
          <w:snapToGrid w:val="0"/>
          <w:color w:val="auto"/>
          <w:kern w:val="0"/>
          <w:highlight w:val="none"/>
        </w:rPr>
        <w:t>甲方按照年度物业服务绩效考核等级对奖励费进行兑付。绩效考核奖励费兑付比例分别为优秀100%，良好90%，一般70%，合格50%，不合格为0。</w:t>
      </w:r>
      <w:r>
        <w:rPr>
          <w:rFonts w:hint="eastAsia" w:ascii="宋体" w:hAnsi="宋体" w:cs="仿宋_GB2312"/>
          <w:snapToGrid w:val="0"/>
          <w:color w:val="auto"/>
          <w:kern w:val="0"/>
          <w:highlight w:val="none"/>
        </w:rPr>
        <w:t>乙方应向甲方提交正式有效发票，</w:t>
      </w:r>
      <w:r>
        <w:rPr>
          <w:rFonts w:hint="eastAsia" w:ascii="宋体" w:hAnsi="宋体" w:cs="仿宋_GB2312"/>
          <w:color w:val="auto"/>
          <w:highlight w:val="none"/>
        </w:rPr>
        <w:t>如合同到期或协商一致终止，最后一期物业管理服务费待乙方离场交接并由甲方认可30日后的7个工作日内，甲方再予以支付。根据《中华人民共和国公司法》第十四条和《中华人民共和国发票管理办法》第十九条，在总公司授权并告知相对方后，可由分公司进行费用结算。</w:t>
      </w:r>
    </w:p>
    <w:p w14:paraId="14BE058D">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按照街道、社区垃圾分类考核要求开展垃圾分类工作，对小区垃圾定时定点投放点和误时点做到定人定岗（定时点3个，误时点3个），执行垃圾分类督导员职责，在市区街道社区四级督查、检查、巡查中，分类正确率100%。社区结合垃圾分类考核（被上级部门检查中因垃圾分类问题抄告扣分，社区抄告一次扣除绩效考核奖励费用的</w:t>
      </w:r>
      <w:r>
        <w:rPr>
          <w:rFonts w:ascii="Arial" w:hAnsi="Arial" w:cs="Arial"/>
          <w:color w:val="auto"/>
          <w:highlight w:val="none"/>
        </w:rPr>
        <w:t>¥</w:t>
      </w:r>
      <w:r>
        <w:rPr>
          <w:rFonts w:hint="eastAsia" w:ascii="宋体" w:hAnsi="宋体" w:cs="宋体"/>
          <w:color w:val="auto"/>
          <w:highlight w:val="none"/>
          <w:u w:val="single"/>
        </w:rPr>
        <w:t>100</w:t>
      </w:r>
      <w:r>
        <w:rPr>
          <w:rFonts w:hint="eastAsia" w:ascii="宋体" w:hAnsi="宋体" w:cs="宋体"/>
          <w:color w:val="auto"/>
          <w:highlight w:val="none"/>
        </w:rPr>
        <w:t>元；街道级抄告一次扣除绩效考核奖励费用的</w:t>
      </w:r>
      <w:r>
        <w:rPr>
          <w:rFonts w:ascii="Arial" w:hAnsi="Arial" w:cs="Arial"/>
          <w:color w:val="auto"/>
          <w:highlight w:val="none"/>
        </w:rPr>
        <w:t>¥</w:t>
      </w:r>
      <w:r>
        <w:rPr>
          <w:rFonts w:hint="eastAsia" w:ascii="宋体" w:hAnsi="宋体" w:cs="宋体"/>
          <w:color w:val="auto"/>
          <w:highlight w:val="none"/>
          <w:u w:val="single"/>
        </w:rPr>
        <w:t xml:space="preserve">500 </w:t>
      </w:r>
      <w:r>
        <w:rPr>
          <w:rFonts w:hint="eastAsia" w:ascii="宋体" w:hAnsi="宋体" w:cs="宋体"/>
          <w:color w:val="auto"/>
          <w:highlight w:val="none"/>
        </w:rPr>
        <w:t>元；区级抄告一次扣除绩效考核奖励费用的</w:t>
      </w:r>
      <w:r>
        <w:rPr>
          <w:rFonts w:ascii="Arial" w:hAnsi="Arial" w:cs="Arial"/>
          <w:color w:val="auto"/>
          <w:highlight w:val="none"/>
        </w:rPr>
        <w:t>¥</w:t>
      </w:r>
      <w:r>
        <w:rPr>
          <w:rFonts w:hint="eastAsia" w:ascii="宋体" w:hAnsi="宋体" w:cs="宋体"/>
          <w:color w:val="auto"/>
          <w:highlight w:val="none"/>
          <w:u w:val="single"/>
        </w:rPr>
        <w:t>1000</w:t>
      </w:r>
      <w:r>
        <w:rPr>
          <w:rFonts w:hint="eastAsia" w:ascii="宋体" w:hAnsi="宋体" w:cs="宋体"/>
          <w:color w:val="auto"/>
          <w:highlight w:val="none"/>
        </w:rPr>
        <w:t>元；市级抄告一次扣除绩效考核奖励费用的</w:t>
      </w:r>
      <w:r>
        <w:rPr>
          <w:rFonts w:ascii="Arial" w:hAnsi="Arial" w:cs="Arial"/>
          <w:color w:val="auto"/>
          <w:highlight w:val="none"/>
        </w:rPr>
        <w:t>¥</w:t>
      </w:r>
      <w:r>
        <w:rPr>
          <w:rFonts w:hint="eastAsia" w:ascii="宋体" w:hAnsi="宋体" w:cs="宋体"/>
          <w:color w:val="auto"/>
          <w:highlight w:val="none"/>
          <w:u w:val="single"/>
        </w:rPr>
        <w:t>2000</w:t>
      </w:r>
      <w:r>
        <w:rPr>
          <w:rFonts w:hint="eastAsia" w:ascii="宋体" w:hAnsi="宋体" w:cs="宋体"/>
          <w:color w:val="auto"/>
          <w:highlight w:val="none"/>
        </w:rPr>
        <w:t>元；省级抄告一次扣除绩效考核奖励费用的</w:t>
      </w:r>
      <w:r>
        <w:rPr>
          <w:rFonts w:ascii="Arial" w:hAnsi="Arial" w:cs="Arial"/>
          <w:color w:val="auto"/>
          <w:highlight w:val="none"/>
        </w:rPr>
        <w:t>¥</w:t>
      </w:r>
      <w:r>
        <w:rPr>
          <w:rFonts w:hint="eastAsia" w:ascii="宋体" w:hAnsi="宋体" w:cs="宋体"/>
          <w:color w:val="auto"/>
          <w:highlight w:val="none"/>
          <w:u w:val="single"/>
        </w:rPr>
        <w:t>3000</w:t>
      </w:r>
      <w:r>
        <w:rPr>
          <w:rFonts w:hint="eastAsia" w:ascii="宋体" w:hAnsi="宋体" w:cs="宋体"/>
          <w:color w:val="auto"/>
          <w:highlight w:val="none"/>
        </w:rPr>
        <w:t>元）给予垃圾分类督导员补贴，垃圾分类督导员补贴等占物业管理服务费的比例不超过15%，费用包含在物业管理服务费中。</w:t>
      </w:r>
    </w:p>
    <w:p w14:paraId="58E7AE17">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第九条 履约保证金</w:t>
      </w:r>
    </w:p>
    <w:p w14:paraId="4B0E873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 签订合同后10个工作日内，乙方须向甲方交纳相当于合同总额</w:t>
      </w:r>
      <w:r>
        <w:rPr>
          <w:rFonts w:hint="eastAsia" w:ascii="宋体" w:hAnsi="宋体" w:cs="宋体"/>
          <w:color w:val="auto"/>
          <w:highlight w:val="none"/>
          <w:u w:val="single"/>
        </w:rPr>
        <w:t>1%</w:t>
      </w:r>
      <w:r>
        <w:rPr>
          <w:rFonts w:hint="eastAsia" w:ascii="宋体" w:hAnsi="宋体" w:cs="宋体"/>
          <w:color w:val="auto"/>
          <w:highlight w:val="none"/>
        </w:rPr>
        <w:t>的履约保证金。以保证乙方遵守本合同的一切条款、条件和承诺，</w:t>
      </w:r>
      <w:r>
        <w:rPr>
          <w:rFonts w:hint="eastAsia" w:ascii="宋体" w:hAnsi="宋体" w:cs="仿宋_GB2312"/>
          <w:color w:val="auto"/>
          <w:highlight w:val="none"/>
        </w:rPr>
        <w:t>该保证金在甲方的规定存续期间不计息。</w:t>
      </w:r>
    </w:p>
    <w:p w14:paraId="0766212D">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 甲方有权从履约保证金中扣除用于修复乙方损坏甲方的设备、设施、场地或因乙方违约而导致损失的金额和违约金，且乙方应在接到扣除履约保证金通知之日起7日内补足扣除差额，保证合同期间履约保证金的完整。</w:t>
      </w:r>
    </w:p>
    <w:p w14:paraId="741366C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 甲方认为按照本合同约定，乙方在服务期内未存在应付而未付的款项、罚款、违约金或各项赔偿损失，甲方在服务期满之日或提前终止合同之日起30日内全额无息退还履约保证金，反之则甲方将在扣除乙方应付金额或违约金后退还履约保证金余额。</w:t>
      </w:r>
    </w:p>
    <w:p w14:paraId="275BD42A">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第十条 物业管理服务质量要求</w:t>
      </w:r>
    </w:p>
    <w:p w14:paraId="08E71552">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乙方须按下列约定，实现目标管理，如乙方服务未达到要求的，甲方可责令乙方整改，乙方应及时整改；如双方认为需要进一步细化的，可以通过附件形式进行进一步明确：</w:t>
      </w:r>
    </w:p>
    <w:p w14:paraId="242997E6">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w:t>
      </w:r>
      <w:r>
        <w:rPr>
          <w:rFonts w:hint="eastAsia" w:ascii="宋体" w:hAnsi="宋体" w:cs="仿宋_GB2312"/>
          <w:color w:val="auto"/>
          <w:highlight w:val="none"/>
        </w:rPr>
        <w:t>规范化：物业管理制度规范化，收费标准、岗位职责等制度要做到公开上墙，人员着装服务规范化，日常工作记录规范化，各项工作都要做好台账记录；</w:t>
      </w:r>
    </w:p>
    <w:p w14:paraId="6AB5135E">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2.外观：室内墙面完好，外观整洁，如出现墙面的一般损坏或污浊，乙方应在24小时内清理完毕；</w:t>
      </w:r>
    </w:p>
    <w:p w14:paraId="3FB4DB8F">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3.设备运行：设备良好，运行正常，定期保养，专人维护，无破损，消防系统可随时启用，如出现问题，乙方应立即进行处理或向特定维修机构报修。</w:t>
      </w:r>
    </w:p>
    <w:p w14:paraId="1857D1B2">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4.房屋及设施、设备的维修、养护：</w:t>
      </w:r>
      <w:r>
        <w:rPr>
          <w:rFonts w:hint="eastAsia" w:ascii="宋体" w:hAnsi="宋体" w:cs="仿宋_GB2312"/>
          <w:color w:val="auto"/>
          <w:highlight w:val="none"/>
        </w:rPr>
        <w:t>保证每月对房屋状况、设施、设备运行情况全面检查一次。乙方保证排污排水等的通畅，并保证随时发现问题，随时解决，除非确实存在不能克服的特殊情形，应在1-3个工作日内处理完毕；房屋需要大修的，做好维修基金的流程申报工作。</w:t>
      </w:r>
    </w:p>
    <w:p w14:paraId="7C145DD8">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5.</w:t>
      </w:r>
      <w:r>
        <w:rPr>
          <w:rFonts w:hint="eastAsia" w:ascii="宋体" w:hAnsi="宋体" w:cs="仿宋_GB2312"/>
          <w:color w:val="auto"/>
          <w:highlight w:val="none"/>
        </w:rPr>
        <w:t>急修：应立即到位（应在30分钟至1小时内上门查看），确保在最短时间内予以修复，除不能克服的特殊情况，乙方可以征得甲方同意后在半个工作日内修复。</w:t>
      </w:r>
    </w:p>
    <w:p w14:paraId="346132E9">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6.</w:t>
      </w:r>
      <w:r>
        <w:rPr>
          <w:rFonts w:hint="eastAsia" w:ascii="宋体" w:hAnsi="宋体" w:cs="仿宋_GB2312"/>
          <w:color w:val="auto"/>
          <w:highlight w:val="none"/>
        </w:rPr>
        <w:t>小修：应在一个工作日内修复，除非乙方征得甲方同意延迟。</w:t>
      </w:r>
    </w:p>
    <w:p w14:paraId="0FEAEFD6">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7.</w:t>
      </w:r>
      <w:r>
        <w:rPr>
          <w:rFonts w:hint="eastAsia" w:ascii="宋体" w:hAnsi="宋体" w:cs="仿宋_GB2312"/>
          <w:color w:val="auto"/>
          <w:highlight w:val="none"/>
        </w:rPr>
        <w:t>小区管控:违建零新增，无大件垃圾乱扔，小区内停车有序，无共享单车，无随意晾晒衣物；</w:t>
      </w:r>
    </w:p>
    <w:p w14:paraId="42FF9A64">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8.</w:t>
      </w:r>
      <w:r>
        <w:rPr>
          <w:rFonts w:hint="eastAsia" w:ascii="宋体" w:hAnsi="宋体" w:cs="仿宋_GB2312"/>
          <w:color w:val="auto"/>
          <w:highlight w:val="none"/>
        </w:rPr>
        <w:t>单元楼道：楼道无堆积物，保持楼道消防通道畅通；消防设施按照规定时间检查更新</w:t>
      </w:r>
    </w:p>
    <w:p w14:paraId="62D2CA43">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9.环境卫生：乙方根据招标需求每日需安排一定保洁人员进行清理，除每日进行全面清理外，保洁人员在工作时间随时清理垃圾，尘土，保持整体环境的整洁，乙方保证保洁人员工作规范，作风优良。</w:t>
      </w:r>
    </w:p>
    <w:p w14:paraId="4BA667AC">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10. 甲方工作人员及</w:t>
      </w:r>
      <w:r>
        <w:rPr>
          <w:rFonts w:hint="eastAsia" w:ascii="宋体" w:hAnsi="宋体" w:cs="仿宋_GB2312"/>
          <w:color w:val="auto"/>
          <w:highlight w:val="none"/>
        </w:rPr>
        <w:t>小区物管委成员</w:t>
      </w:r>
      <w:r>
        <w:rPr>
          <w:rFonts w:hint="eastAsia" w:ascii="宋体" w:hAnsi="宋体" w:cs="仿宋_GB2312"/>
          <w:snapToGrid w:val="0"/>
          <w:color w:val="auto"/>
          <w:kern w:val="0"/>
          <w:highlight w:val="none"/>
        </w:rPr>
        <w:t>可随时组织进行对乙方物业服务项目日常考核，</w:t>
      </w:r>
      <w:r>
        <w:rPr>
          <w:rFonts w:hint="eastAsia" w:ascii="宋体" w:hAnsi="宋体" w:cs="仿宋_GB2312"/>
          <w:color w:val="auto"/>
          <w:highlight w:val="none"/>
        </w:rPr>
        <w:t>如发现问题及时整改通过后销号处理，复检无法通过将根据“杭玻阔板桥社区老旧小区物业服务项目日常考核管理标准”进行扣分</w:t>
      </w:r>
      <w:r>
        <w:rPr>
          <w:rFonts w:hint="eastAsia" w:ascii="宋体" w:hAnsi="宋体" w:cs="仿宋_GB2312"/>
          <w:snapToGrid w:val="0"/>
          <w:color w:val="auto"/>
          <w:kern w:val="0"/>
          <w:highlight w:val="none"/>
        </w:rPr>
        <w:t>。</w:t>
      </w:r>
    </w:p>
    <w:p w14:paraId="49E40A93">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11.满意度考核标准。甲方每年组织开展物业满意度测评，测评对象范围包括但不限于全体业主、小区物管委成员、业主代表等。全年度满意度测评指标需达到80%以上，测评指数低于60%，书面通知整改期内仍不达标的，可直接终止合同</w:t>
      </w:r>
    </w:p>
    <w:p w14:paraId="4C76821E">
      <w:pPr>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12.乙方需做好辖区范围内的日常绿化养护工作，社区绿化养护必须通过市区两级绿化部门的考核验收。</w:t>
      </w:r>
    </w:p>
    <w:p w14:paraId="796A9522">
      <w:pPr>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13. 招标文件规定及双方约定的其他内容。</w:t>
      </w:r>
    </w:p>
    <w:p w14:paraId="08E82A33">
      <w:pPr>
        <w:spacing w:line="360" w:lineRule="auto"/>
        <w:ind w:firstLine="482" w:firstLineChars="200"/>
        <w:rPr>
          <w:rFonts w:hint="eastAsia" w:ascii="宋体" w:hAnsi="宋体" w:cs="宋体"/>
          <w:b/>
          <w:bCs/>
          <w:color w:val="auto"/>
          <w:highlight w:val="none"/>
        </w:rPr>
      </w:pPr>
    </w:p>
    <w:p w14:paraId="4DA788EB">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第十一条 经营制约</w:t>
      </w:r>
    </w:p>
    <w:p w14:paraId="2F3C878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 未经甲方同意，乙方不得在服务区域中从事广告或类似宣传活动，甲方有权责令乙方限期改正，乙方应在接到甲方限期改正通知后7日内改正，逾期未改正的，甲方可扣除乙方50%履约保证金。</w:t>
      </w:r>
    </w:p>
    <w:p w14:paraId="4027E59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 乙方不得以甲方的名义从事任何经济活动，如因此发生的一切债权、债务与甲方无关。若乙方以甲方的名义从事任何经济活动，产生的收益归甲方所有。</w:t>
      </w:r>
    </w:p>
    <w:p w14:paraId="559F9763">
      <w:pPr>
        <w:spacing w:line="360" w:lineRule="auto"/>
        <w:rPr>
          <w:rFonts w:hint="eastAsia" w:ascii="宋体" w:hAnsi="宋体" w:cs="仿宋_GB2312"/>
          <w:b/>
          <w:color w:val="auto"/>
          <w:highlight w:val="none"/>
        </w:rPr>
      </w:pPr>
      <w:r>
        <w:rPr>
          <w:rFonts w:hint="eastAsia" w:ascii="宋体" w:hAnsi="宋体" w:cs="仿宋_GB2312"/>
          <w:b/>
          <w:color w:val="auto"/>
          <w:highlight w:val="none"/>
        </w:rPr>
        <w:t xml:space="preserve">   </w:t>
      </w:r>
      <w:r>
        <w:rPr>
          <w:rFonts w:hint="eastAsia" w:ascii="宋体" w:hAnsi="宋体" w:cs="仿宋_GB2312"/>
          <w:color w:val="auto"/>
          <w:highlight w:val="none"/>
        </w:rPr>
        <w:t xml:space="preserve"> 3. 乙方在小区内组织开展的各类经营活动需征得甲方同意并保证不影响小区居民正常生活。</w:t>
      </w:r>
    </w:p>
    <w:p w14:paraId="667FA062">
      <w:pPr>
        <w:keepNext/>
        <w:keepLines/>
        <w:tabs>
          <w:tab w:val="left" w:pos="432"/>
        </w:tabs>
        <w:spacing w:line="360" w:lineRule="auto"/>
        <w:ind w:left="495" w:leftChars="202" w:hanging="10" w:hangingChars="4"/>
        <w:outlineLvl w:val="1"/>
        <w:rPr>
          <w:rFonts w:hint="eastAsia" w:ascii="宋体" w:hAnsi="宋体"/>
          <w:b/>
          <w:color w:val="auto"/>
          <w:highlight w:val="none"/>
        </w:rPr>
      </w:pPr>
      <w:r>
        <w:rPr>
          <w:rFonts w:hint="eastAsia" w:ascii="宋体" w:hAnsi="宋体"/>
          <w:b/>
          <w:color w:val="auto"/>
          <w:highlight w:val="none"/>
        </w:rPr>
        <w:t>第十二条 乙方对甲方作出如下承诺：</w:t>
      </w:r>
    </w:p>
    <w:p w14:paraId="4938AD43">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 不以任何形式转租、转让、抵押承包区域，在承包区域只从事甲方认可的服务工作。在承包期间，乙方的任何股份配置变动应通知甲方。未经甲方书面批准，任何占有支配地位的股份转让都将视为乙方转租、转让、抵押的行为。</w:t>
      </w:r>
    </w:p>
    <w:p w14:paraId="1E5BBF21">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2. 乙方应允许甲方或其授权的人员对承包区域内各项服务质量控制进行检查，有关费用由乙方承担。</w:t>
      </w:r>
    </w:p>
    <w:p w14:paraId="40C01C05">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3. 在承包区域的各项服务，其工作时间必须满足甲方的要求，包括星期天及公众假期。如遇特殊情况，甲方可要求乙方调整工作时间直至全天24小时工作。</w:t>
      </w:r>
    </w:p>
    <w:p w14:paraId="24FFCD26">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4. 乙方必须聘请(或指定)一位经理(负责人)，全权代表乙方与甲方保持密切联系并保证承包区域服务工作。根据综合考评或工作情况，甲方有权要求乙方在一个星期内更换不合格的经理（负责人）、相关骨干人员。</w:t>
      </w:r>
    </w:p>
    <w:p w14:paraId="046E02C6">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5. 为承包区域的服务工作配备承诺的人员及人员数量（不少于0</w:t>
      </w:r>
      <w:r>
        <w:rPr>
          <w:rFonts w:hint="eastAsia" w:ascii="宋体" w:hAnsi="宋体" w:cs="仿宋_GB2312"/>
          <w:snapToGrid w:val="0"/>
          <w:color w:val="auto"/>
          <w:kern w:val="0"/>
          <w:highlight w:val="none"/>
          <w:u w:val="single"/>
        </w:rPr>
        <w:t>人</w:t>
      </w:r>
      <w:r>
        <w:rPr>
          <w:rFonts w:hint="eastAsia" w:ascii="宋体" w:hAnsi="宋体" w:cs="仿宋_GB2312"/>
          <w:snapToGrid w:val="0"/>
          <w:color w:val="auto"/>
          <w:kern w:val="0"/>
          <w:highlight w:val="none"/>
        </w:rPr>
        <w:t>），甲方不定期抽查乙方投入的人员数量，如果抽查时发现乙方投入的人员数量少于合同约定的数量，甲方可以按缺少人数每人500元/天作为罚金。乙方聘用的工作人员必须符合劳动部门有关用工规定，并经乙方相关专业考核合格后持证上岗，甲方有权进行审核，该类费用开支由乙方负担。</w:t>
      </w:r>
    </w:p>
    <w:p w14:paraId="0B6D22DA">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74DEAC28">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7. 乙方工作人员上岗统一服装，服装须经甲方确认，费用和制作均由乙方负担。</w:t>
      </w:r>
    </w:p>
    <w:p w14:paraId="1D7F65C2">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8.乙方必须出具或办妥法律及甲方规定的与承包区域经营业务有关的执照和许可证，方可从事经营并在经营中遵守一切有关条例和规定。自行缴纳有关税费。</w:t>
      </w:r>
    </w:p>
    <w:p w14:paraId="3B6F7441">
      <w:pPr>
        <w:snapToGrid w:val="0"/>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9.乙方必须确保为甲方提供优质、高效的专业服务，并根据甲方要求改变不满意的服务状况。接受有关部门监督与检查。 同时，乙方应自觉参与甲方认为有助提高甲方形象的宣传活动。</w:t>
      </w:r>
    </w:p>
    <w:p w14:paraId="3DCBC4F8">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10.乙方在承包区域因作业所需增加机械、电力设备及设施应征得甲方同意，并聘请有资格的承造商进行安装、保养并将施工安装保养记录手册和图，交由甲方备案。</w:t>
      </w:r>
    </w:p>
    <w:p w14:paraId="4D503263">
      <w:pPr>
        <w:spacing w:line="360" w:lineRule="auto"/>
        <w:ind w:firstLine="480" w:firstLineChars="200"/>
        <w:textAlignment w:val="baseline"/>
        <w:rPr>
          <w:rFonts w:hint="eastAsia" w:ascii="宋体" w:hAnsi="宋体" w:cs="仿宋_GB2312"/>
          <w:snapToGrid w:val="0"/>
          <w:color w:val="auto"/>
          <w:kern w:val="0"/>
          <w:highlight w:val="none"/>
        </w:rPr>
      </w:pPr>
      <w:r>
        <w:rPr>
          <w:rFonts w:hint="eastAsia" w:ascii="宋体" w:hAnsi="宋体" w:cs="仿宋_GB2312"/>
          <w:color w:val="auto"/>
          <w:highlight w:val="none"/>
        </w:rPr>
        <w:t>11.</w:t>
      </w:r>
      <w:r>
        <w:rPr>
          <w:rFonts w:hint="eastAsia" w:ascii="宋体" w:hAnsi="宋体" w:cs="宋体"/>
          <w:color w:val="auto"/>
          <w:highlight w:val="none"/>
        </w:rPr>
        <w:t>按甲方要求及时收缴小区内住宅物业费，</w:t>
      </w:r>
      <w:r>
        <w:rPr>
          <w:rFonts w:hint="eastAsia" w:ascii="宋体" w:hAnsi="宋体" w:cs="仿宋_GB2312"/>
          <w:snapToGrid w:val="0"/>
          <w:color w:val="auto"/>
          <w:kern w:val="0"/>
          <w:highlight w:val="none"/>
        </w:rPr>
        <w:t>乙方设立银行专户（且此专户只能用于代甲方收取的物业费），乙方收到的物业费会计处理上做暂存款处理，按月全额交给甲方，不作为乙方收入。乙方每月需将收缴的</w:t>
      </w:r>
      <w:r>
        <w:rPr>
          <w:rFonts w:hint="eastAsia" w:ascii="宋体" w:hAnsi="宋体" w:cs="宋体"/>
          <w:color w:val="auto"/>
          <w:highlight w:val="none"/>
        </w:rPr>
        <w:t>物业费</w:t>
      </w:r>
      <w:r>
        <w:rPr>
          <w:rFonts w:hint="eastAsia" w:ascii="宋体" w:hAnsi="宋体" w:cs="仿宋_GB2312"/>
          <w:snapToGrid w:val="0"/>
          <w:color w:val="auto"/>
          <w:kern w:val="0"/>
          <w:highlight w:val="none"/>
        </w:rPr>
        <w:t>和收缴明细于次月15日（如遇节假日顺延）上交甲方（如居民需要物业费发票，先由乙方开具收款收据，居民凭此收据到甲方换发票）。</w:t>
      </w:r>
    </w:p>
    <w:p w14:paraId="18A9E712">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12. </w:t>
      </w:r>
      <w:r>
        <w:rPr>
          <w:rFonts w:hint="eastAsia" w:ascii="宋体" w:hAnsi="宋体" w:cs="仿宋_GB2312"/>
          <w:snapToGrid w:val="0"/>
          <w:color w:val="auto"/>
          <w:kern w:val="0"/>
          <w:highlight w:val="none"/>
        </w:rPr>
        <w:t>乙方确保小区停车秩序井然，</w:t>
      </w:r>
      <w:r>
        <w:rPr>
          <w:rFonts w:hint="eastAsia" w:ascii="宋体" w:hAnsi="宋体" w:cs="宋体"/>
          <w:color w:val="auto"/>
          <w:highlight w:val="none"/>
        </w:rPr>
        <w:t>按甲方要求及时收缴小区停车管理费（包年包月停车管理费和临时车辆收费）</w:t>
      </w:r>
      <w:r>
        <w:rPr>
          <w:rFonts w:hint="eastAsia" w:ascii="宋体" w:hAnsi="宋体" w:cs="仿宋_GB2312"/>
          <w:snapToGrid w:val="0"/>
          <w:color w:val="auto"/>
          <w:kern w:val="0"/>
          <w:highlight w:val="none"/>
        </w:rPr>
        <w:t>。乙方每月需将收缴的</w:t>
      </w:r>
      <w:r>
        <w:rPr>
          <w:rFonts w:hint="eastAsia" w:ascii="宋体" w:hAnsi="宋体" w:cs="宋体"/>
          <w:color w:val="auto"/>
          <w:highlight w:val="none"/>
        </w:rPr>
        <w:t>小区停车管理费（包年包月停车管理费和临时车辆收费）</w:t>
      </w:r>
      <w:r>
        <w:rPr>
          <w:rFonts w:hint="eastAsia" w:ascii="宋体" w:hAnsi="宋体" w:cs="仿宋_GB2312"/>
          <w:snapToGrid w:val="0"/>
          <w:color w:val="auto"/>
          <w:kern w:val="0"/>
          <w:highlight w:val="none"/>
        </w:rPr>
        <w:t>和收缴明细于次月15日（如遇节假日顺延）上交甲方</w:t>
      </w:r>
      <w:r>
        <w:rPr>
          <w:rFonts w:hint="eastAsia" w:ascii="宋体" w:hAnsi="宋体" w:cs="宋体"/>
          <w:color w:val="auto"/>
          <w:highlight w:val="none"/>
        </w:rPr>
        <w:t>（若包年包月居民需要停车费发票，先由乙方开具收款收据，居民凭此收据到甲方换发票；若临时车辆需要停车费发票，由乙方直接开具发票，税费由乙方承担，每月结算费用时扣除已开具临停发票的税费后上缴，乙方需提供已开具的临停发票）。</w:t>
      </w:r>
    </w:p>
    <w:p w14:paraId="49124E9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13.禁止事项</w:t>
      </w:r>
    </w:p>
    <w:p w14:paraId="5E5EDC4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13.1 乙方人员不得在工作场所住宿或从事非法活动，也不得从事有损甲方和全体业主利益的活动，同时不允许在承包区域对甲方活动进行滋扰性的行为。</w:t>
      </w:r>
    </w:p>
    <w:p w14:paraId="7834E08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13.2 除经甲方批准进行必要的维修工程外，乙方不得损毁承包区域原有的设施和装潢，不得更改已铺设的电缆、电线等电力装置。同时，也不得安装任何可能造成电缆负载过大的电器设备，以免无线电受干扰。</w:t>
      </w:r>
    </w:p>
    <w:p w14:paraId="1F95EA3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13.3 未获甲方书面同意，乙方任何时候都不能在承包区域存放易燃物品、挥发性大或气味浓烈的液体等危化品。</w:t>
      </w:r>
    </w:p>
    <w:p w14:paraId="5546232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 保险</w:t>
      </w:r>
    </w:p>
    <w:p w14:paraId="7EBF88B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乙方承诺为乙方工作人员购买以下保险，并于乙方进场前</w:t>
      </w:r>
      <w:r>
        <w:rPr>
          <w:rFonts w:hint="eastAsia" w:ascii="宋体" w:hAnsi="宋体" w:cs="宋体"/>
          <w:color w:val="auto"/>
          <w:highlight w:val="none"/>
          <w:u w:val="single"/>
        </w:rPr>
        <w:t>7个</w:t>
      </w:r>
      <w:r>
        <w:rPr>
          <w:rFonts w:hint="eastAsia" w:ascii="宋体" w:hAnsi="宋体" w:cs="宋体"/>
          <w:color w:val="auto"/>
          <w:highlight w:val="none"/>
        </w:rPr>
        <w:t>工作日内将已购买的保险信息以书面形式提交给甲方，若乙方未购买以下保险，乙方应该向甲方承担本合同总价款20%的违约金。</w:t>
      </w:r>
    </w:p>
    <w:p w14:paraId="14EC2CB2">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14.1 第三者责任保险（不低于100万元）</w:t>
      </w:r>
    </w:p>
    <w:p w14:paraId="437B714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乙方应对乙方人员以及第三方全权负责(如乙方应投保第三责任险)，在乙方的责任区内由于乙方原因导致自己员工或第三方的事故由乙方负责，甲方不承担任何责任。</w:t>
      </w:r>
    </w:p>
    <w:p w14:paraId="71B53E4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14.2 员工人身意外险（不低于50万元/人）</w:t>
      </w:r>
    </w:p>
    <w:p w14:paraId="51231E4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在承包期内，乙方所有人员的事故由乙方自行全权负责(如乙方应对其员工每人投保意外险不低于50万元)，以保证甲方在乙方工作人员索赔时不受任何责任的约束。</w:t>
      </w:r>
    </w:p>
    <w:p w14:paraId="4B4E818F">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14.3 其他保险及费用</w:t>
      </w:r>
    </w:p>
    <w:p w14:paraId="1DCD220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乙方须按《劳动合同法》和政府有关各部门规定为全体服务人员交纳所有相关的社会保险及其他相关费用。乙方对此全权负责。</w:t>
      </w:r>
    </w:p>
    <w:p w14:paraId="619ECFD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15. 乙方及其员工遵守管理、消防安全等规定和制度，保证承包区域的消防设施能正常使用，消防通道畅通，同时承担违规责任。</w:t>
      </w:r>
    </w:p>
    <w:p w14:paraId="2498438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16. 遇突发事件或安全检查时，乙方必须配合有关部门执行任务，并指定专职人员协助工作，直至完成。</w:t>
      </w:r>
    </w:p>
    <w:p w14:paraId="00632C0C">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17. 乙方须积极配合甲方对其进行的物业服务综合考评。</w:t>
      </w:r>
    </w:p>
    <w:p w14:paraId="779D7CF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18.如乙方服务过程中有违反上述承诺的，甲方可责令乙方整改，乙方收到甲方整改通知后应及时整改；如乙方未在七日内完成整改或整改后仍不满足甲方要求的，每发生一次，甲方可扣除乙方50%履约保证金，如甲方损失超过50%履约保证金的，乙方还应对甲方造成的损失承担损害赔偿责任。</w:t>
      </w:r>
    </w:p>
    <w:p w14:paraId="6FCFB079">
      <w:pPr>
        <w:spacing w:line="360" w:lineRule="auto"/>
        <w:ind w:firstLine="482" w:firstLineChars="200"/>
        <w:rPr>
          <w:rFonts w:hint="eastAsia" w:ascii="宋体" w:hAnsi="宋体" w:cs="宋体"/>
          <w:b/>
          <w:bCs/>
          <w:color w:val="auto"/>
          <w:highlight w:val="none"/>
        </w:rPr>
      </w:pPr>
    </w:p>
    <w:p w14:paraId="0DB208B9">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第十三条 甲方对乙方作出如下承诺</w:t>
      </w:r>
    </w:p>
    <w:p w14:paraId="020550F1">
      <w:pPr>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1.甲方在职权范围内保证乙方的正常经营不受干扰。</w:t>
      </w:r>
    </w:p>
    <w:p w14:paraId="20FED5B7">
      <w:pPr>
        <w:spacing w:line="360" w:lineRule="auto"/>
        <w:ind w:firstLine="480" w:firstLineChars="200"/>
        <w:rPr>
          <w:rFonts w:hint="eastAsia" w:ascii="宋体" w:hAnsi="宋体" w:cs="仿宋_GB2312"/>
          <w:b/>
          <w:color w:val="auto"/>
          <w:highlight w:val="none"/>
        </w:rPr>
      </w:pPr>
      <w:r>
        <w:rPr>
          <w:rFonts w:hint="eastAsia" w:ascii="宋体" w:hAnsi="宋体" w:cs="仿宋_GB2312"/>
          <w:snapToGrid w:val="0"/>
          <w:color w:val="auto"/>
          <w:kern w:val="0"/>
          <w:highlight w:val="none"/>
        </w:rPr>
        <w:t>2.保证乙方的员工按规定正常进入承包区域开展服务工作。</w:t>
      </w:r>
    </w:p>
    <w:p w14:paraId="6B598EBE">
      <w:pPr>
        <w:spacing w:line="360" w:lineRule="auto"/>
        <w:ind w:firstLine="482" w:firstLineChars="200"/>
        <w:rPr>
          <w:rFonts w:hint="eastAsia" w:ascii="宋体" w:hAnsi="宋体" w:cs="宋体"/>
          <w:b/>
          <w:bCs/>
          <w:color w:val="auto"/>
          <w:highlight w:val="none"/>
        </w:rPr>
      </w:pPr>
    </w:p>
    <w:p w14:paraId="65C607E1">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第十四条 合同生效和终止</w:t>
      </w:r>
    </w:p>
    <w:p w14:paraId="7929427D">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 xml:space="preserve">1. </w:t>
      </w:r>
      <w:r>
        <w:rPr>
          <w:rFonts w:hint="eastAsia" w:ascii="宋体" w:hAnsi="宋体" w:cs="仿宋_GB2312"/>
          <w:color w:val="auto"/>
          <w:highlight w:val="none"/>
        </w:rPr>
        <w:t>本合同经甲乙双方法定代表人或其委托人签字盖章，由乙方向甲方缴纳履约保证金</w:t>
      </w:r>
      <w:r>
        <w:rPr>
          <w:rFonts w:hint="eastAsia" w:ascii="宋体" w:hAnsi="宋体" w:cs="仿宋_GB2312"/>
          <w:color w:val="auto"/>
          <w:highlight w:val="none"/>
          <w:lang w:val="zh-CN"/>
        </w:rPr>
        <w:t>后生效</w:t>
      </w:r>
      <w:r>
        <w:rPr>
          <w:rFonts w:hint="eastAsia" w:ascii="宋体" w:hAnsi="宋体" w:cs="仿宋_GB2312"/>
          <w:snapToGrid w:val="0"/>
          <w:color w:val="auto"/>
          <w:kern w:val="0"/>
          <w:highlight w:val="none"/>
        </w:rPr>
        <w:t>。</w:t>
      </w:r>
    </w:p>
    <w:p w14:paraId="3EE8AA00">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 xml:space="preserve">2. </w:t>
      </w:r>
      <w:r>
        <w:rPr>
          <w:rFonts w:hint="eastAsia" w:ascii="宋体" w:hAnsi="宋体" w:cs="仿宋_GB2312"/>
          <w:b/>
          <w:snapToGrid w:val="0"/>
          <w:color w:val="auto"/>
          <w:kern w:val="0"/>
          <w:highlight w:val="none"/>
        </w:rPr>
        <w:t>终止</w:t>
      </w:r>
    </w:p>
    <w:p w14:paraId="7ECE8DC0">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2.1</w:t>
      </w:r>
      <w:r>
        <w:rPr>
          <w:rFonts w:hint="eastAsia" w:ascii="宋体" w:hAnsi="宋体" w:cs="仿宋_GB2312"/>
          <w:b/>
          <w:snapToGrid w:val="0"/>
          <w:color w:val="auto"/>
          <w:kern w:val="0"/>
          <w:highlight w:val="none"/>
        </w:rPr>
        <w:t>提前终止</w:t>
      </w:r>
    </w:p>
    <w:p w14:paraId="5520F117">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2.1.1 如果甲方在服务期内无理由终止合同，甲方须提前一个月向乙方发出书面通知终止承包，甲方支付给乙方月度物业管理服务费二倍金额的赔偿金。</w:t>
      </w:r>
    </w:p>
    <w:p w14:paraId="6BCDE063">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2.1.2 因乙方在服务期内物业服务满意度测评未达标，甲方可以单方面终止合约，且乙方须支付给甲方月度物业管理服务费二倍金额的赔偿金。</w:t>
      </w:r>
    </w:p>
    <w:p w14:paraId="5426186B">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2.1.3 如甲方发现乙方出现转租、转让、抵押承包等情况，甲方可以单方面终止承包，且乙方须支付给甲方月度物业管理服务费二倍金额的赔偿金。</w:t>
      </w:r>
    </w:p>
    <w:p w14:paraId="5483B4C9">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2.1.4 如果乙方在服务期内无理由终止合同，乙方须提前三个月向甲方发出书面通知终止承包，乙方须支付给甲方月度物业管理服务费二倍金额的赔偿金；如果乙方在服务期内突然无理由终止合同，未提前三个月向采购人发出书面通知终止承包，乙方须支付给甲方月度物业管理服务费三倍金额的赔偿金并承担因物业服务脱岗造成的损失。</w:t>
      </w:r>
    </w:p>
    <w:p w14:paraId="5BBB5CC8">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2.1.5 如果乙方在服务期内由于乙方原因造成重大责任事故或安全事故，甲方可以单方面终止承包，且乙方须赔偿给甲方造成的经济损失，并须支付给甲方月度物业管理服务费五倍金额的赔偿金。</w:t>
      </w:r>
    </w:p>
    <w:p w14:paraId="3DE355B9">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2.1.6如果乙方严重违反合同所规定之乙方责任给甲方造成较为严重的负面影响和损害，包括但不限于被媒体曝光（仅指负面事件）、上级通报批评、各级纪委问责等情形，因不可抗力或非乙方人员人为恶意行为等因素所引起的影响，不在此列，经甲方两次书面警告后仍无改正，甲方有权单方终止合同，且乙方须支付给甲方月度物业管理服务费二倍金额的赔偿金。</w:t>
      </w:r>
    </w:p>
    <w:p w14:paraId="555C77B7">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2.1.7 提前终止承包期早于月底最后一天，应视为月底最后一天期满，此条适用于上述2.1.1、2.1.2、2.1.3、2.1.4、2.1.5、2.1.6六条。</w:t>
      </w:r>
    </w:p>
    <w:p w14:paraId="57699BB1">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2.1.8 乙方未能履行合同和遵守有关规定，在甲方发出书面警告后一周内乙方仍无采取补救措施，甲方可立即终止承包，且乙方须支付给甲方月度物业管理服务费二倍金额的赔偿金。</w:t>
      </w:r>
    </w:p>
    <w:p w14:paraId="0986CAF1">
      <w:pPr>
        <w:spacing w:line="360" w:lineRule="auto"/>
        <w:ind w:firstLine="556"/>
        <w:rPr>
          <w:rFonts w:hint="eastAsia" w:ascii="宋体" w:hAnsi="宋体" w:cs="仿宋_GB2312"/>
          <w:color w:val="auto"/>
          <w:highlight w:val="none"/>
        </w:rPr>
      </w:pPr>
      <w:r>
        <w:rPr>
          <w:rFonts w:hint="eastAsia" w:ascii="宋体" w:hAnsi="宋体" w:cs="仿宋_GB2312"/>
          <w:color w:val="auto"/>
          <w:highlight w:val="none"/>
        </w:rPr>
        <w:t>2.1.9 乙方破产清处、重组及兼并等事实发生，或被债权人接管经营，甲方不必通知乙方即可终止承包。</w:t>
      </w:r>
    </w:p>
    <w:p w14:paraId="132439C6">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 xml:space="preserve">2.2 </w:t>
      </w:r>
      <w:r>
        <w:rPr>
          <w:rFonts w:hint="eastAsia" w:ascii="宋体" w:hAnsi="宋体" w:cs="仿宋_GB2312"/>
          <w:b/>
          <w:snapToGrid w:val="0"/>
          <w:color w:val="auto"/>
          <w:kern w:val="0"/>
          <w:highlight w:val="none"/>
        </w:rPr>
        <w:t>协议终止</w:t>
      </w:r>
    </w:p>
    <w:p w14:paraId="6FC91993">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经双方协商同意，可在任何时候终止承包。</w:t>
      </w:r>
    </w:p>
    <w:p w14:paraId="10E70288">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 xml:space="preserve">2.3 </w:t>
      </w:r>
      <w:r>
        <w:rPr>
          <w:rFonts w:hint="eastAsia" w:ascii="宋体" w:hAnsi="宋体" w:cs="仿宋_GB2312"/>
          <w:b/>
          <w:snapToGrid w:val="0"/>
          <w:color w:val="auto"/>
          <w:kern w:val="0"/>
          <w:highlight w:val="none"/>
        </w:rPr>
        <w:t>自然终止</w:t>
      </w:r>
    </w:p>
    <w:p w14:paraId="0958E510">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合同规定的承包服务期满，承包自然终止。</w:t>
      </w:r>
    </w:p>
    <w:p w14:paraId="32585F7E">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3.</w:t>
      </w:r>
      <w:r>
        <w:rPr>
          <w:rFonts w:hint="eastAsia" w:ascii="宋体" w:hAnsi="宋体" w:cs="仿宋_GB2312"/>
          <w:b/>
          <w:snapToGrid w:val="0"/>
          <w:color w:val="auto"/>
          <w:kern w:val="0"/>
          <w:highlight w:val="none"/>
        </w:rPr>
        <w:t>承包终止后果</w:t>
      </w:r>
    </w:p>
    <w:p w14:paraId="035445F6">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3.1 终止承包，不影响根据合同规定进行的赔偿、补偿，也不影响履约保证金的效力。</w:t>
      </w:r>
    </w:p>
    <w:p w14:paraId="530C9208">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3.2 承包终止时，双方应进行结算，甲方同时进行乙方承包区域设施、设备状况检查并要求乙方三天内将乙方物品撤离承包区域，否则甲方将代理处理，乙方支付甲方代理费及10%的手续费。</w:t>
      </w:r>
    </w:p>
    <w:p w14:paraId="244B286F">
      <w:pPr>
        <w:spacing w:line="360" w:lineRule="auto"/>
        <w:ind w:firstLine="556"/>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 xml:space="preserve">4. </w:t>
      </w:r>
      <w:r>
        <w:rPr>
          <w:rFonts w:hint="eastAsia" w:ascii="宋体" w:hAnsi="宋体" w:cs="仿宋_GB2312"/>
          <w:b/>
          <w:snapToGrid w:val="0"/>
          <w:color w:val="auto"/>
          <w:kern w:val="0"/>
          <w:highlight w:val="none"/>
        </w:rPr>
        <w:t>不放弃权利</w:t>
      </w:r>
    </w:p>
    <w:p w14:paraId="725AE78A">
      <w:pPr>
        <w:spacing w:line="360" w:lineRule="auto"/>
        <w:ind w:firstLine="480" w:firstLineChars="200"/>
        <w:rPr>
          <w:rFonts w:hint="eastAsia" w:ascii="宋体" w:hAnsi="宋体" w:cs="仿宋_GB2312"/>
          <w:snapToGrid w:val="0"/>
          <w:color w:val="auto"/>
          <w:kern w:val="0"/>
          <w:highlight w:val="none"/>
        </w:rPr>
      </w:pPr>
      <w:r>
        <w:rPr>
          <w:rFonts w:hint="eastAsia" w:ascii="宋体" w:hAnsi="宋体" w:cs="仿宋_GB2312"/>
          <w:snapToGrid w:val="0"/>
          <w:color w:val="auto"/>
          <w:kern w:val="0"/>
          <w:highlight w:val="none"/>
        </w:rPr>
        <w:t>甲方接受乙方的服务，但不放弃对乙方违约行为进行追究的权利；同时，若甲方对乙方某一违约行为放弃进行追究的权利，但不放弃对乙方其他违约行为进行追究的权利。</w:t>
      </w:r>
    </w:p>
    <w:p w14:paraId="24718256">
      <w:pPr>
        <w:spacing w:line="360" w:lineRule="auto"/>
        <w:rPr>
          <w:rFonts w:hint="eastAsia" w:ascii="宋体" w:hAnsi="宋体" w:cs="宋体"/>
          <w:b/>
          <w:bCs/>
          <w:color w:val="auto"/>
          <w:highlight w:val="none"/>
        </w:rPr>
      </w:pPr>
    </w:p>
    <w:p w14:paraId="31A1D19E">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第十五条 双方权利义务</w:t>
      </w:r>
    </w:p>
    <w:p w14:paraId="27F372F7">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1. 甲方权利义务</w:t>
      </w:r>
    </w:p>
    <w:p w14:paraId="418E3C0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（1）代表和维护产权人、使用人的合法权益；</w:t>
      </w:r>
    </w:p>
    <w:p w14:paraId="08A1D1A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（2）审定乙方拟定的物业管理制度；</w:t>
      </w:r>
    </w:p>
    <w:p w14:paraId="42F3D55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（3）检查监督乙方管理工作的实施及制度的执行情况；</w:t>
      </w:r>
    </w:p>
    <w:p w14:paraId="1F4C723A">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（4）审定乙方提出的物业管理服务年度计划、财务预算及决算；</w:t>
      </w:r>
    </w:p>
    <w:p w14:paraId="52C6EC1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（5）负责收集、整理物业管理所需全部图纸、档案、资料，根据管理需要向乙方提供房屋相关资料和设备、设施的安装、使用和维护保养技术资料；</w:t>
      </w:r>
    </w:p>
    <w:p w14:paraId="345B2F94">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（6）按期支付物业管理服务费用；</w:t>
      </w:r>
    </w:p>
    <w:p w14:paraId="293D0DB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（7）在不可预见的情况下，如发生煤气泄漏、漏电、火灾、救助人命、协助公安机关执行任务等突发事件的，甲方应积极配合乙方采取必要的紧急避险措施。</w:t>
      </w:r>
    </w:p>
    <w:p w14:paraId="2644143A">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（8）提供乙方所需的办公用房。</w:t>
      </w:r>
    </w:p>
    <w:p w14:paraId="1CC8BA62">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（9）甲方监督乙方依照本合同规定内容所进行的管理和服务活动，组织对乙方工作综合考评，如出现乙方管理不善造成甲方重大经济损失的情况，甲方有权终止合同并要求乙方给予赔偿。</w:t>
      </w:r>
    </w:p>
    <w:p w14:paraId="5BA2F5C0">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（10）各类能耗费用由乙方承担：</w:t>
      </w:r>
      <w:r>
        <w:rPr>
          <w:rFonts w:hint="eastAsia" w:ascii="宋体" w:hAnsi="宋体"/>
          <w:color w:val="auto"/>
          <w:kern w:val="0"/>
          <w:highlight w:val="none"/>
        </w:rPr>
        <w:t>物业用房水电费、监控室和门岗电费各类能耗费用等</w:t>
      </w:r>
      <w:r>
        <w:rPr>
          <w:rFonts w:hint="eastAsia" w:ascii="宋体" w:hAnsi="宋体" w:cs="宋体"/>
          <w:color w:val="auto"/>
          <w:highlight w:val="none"/>
        </w:rPr>
        <w:t>。</w:t>
      </w:r>
    </w:p>
    <w:p w14:paraId="15BAB0C7">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2.  乙方权利义务</w:t>
      </w:r>
    </w:p>
    <w:p w14:paraId="361C769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（1）根据有关法律法规、投标文件及本合同的约定，制订物业管理制度、方案，根据甲方核定的物业管理制度、方案自主开展物业日常管理服务活动；</w:t>
      </w:r>
    </w:p>
    <w:p w14:paraId="7CFE76D0">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（2）按甲方要求及时如实向甲方报告物业管理服务实施情况；</w:t>
      </w:r>
    </w:p>
    <w:p w14:paraId="49210259">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（3）征得甲方同意可选聘专营公司承担本物业的专项管理业务，但不得将本物业的管理责任转让给第三方；</w:t>
      </w:r>
    </w:p>
    <w:p w14:paraId="1263E2A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按甲方要求及时代为收取辖区内住宅物业费。按照《关于加强做好半山街道老旧小区物业管理服务工作的通知》，最新物业费收费标准从2023年1月1日起为0.5元/平方/月，全年收缴率不得低于上级部门要求及有关考核指标（收缴率 90％为达标，按收缴金额计算）。若乙方未完成达标基数，则由乙方承担实际收取金额与达标金额差价，按达标金额缴纳至甲方。乙方收缴率（收缴金额）超过目标的，超过部分的50%为招标人所有，50%作为承包人经费（该费用不含在物业管理服务费内）。</w:t>
      </w:r>
    </w:p>
    <w:p w14:paraId="1CFBF897">
      <w:pPr>
        <w:spacing w:line="360" w:lineRule="auto"/>
        <w:ind w:firstLine="480" w:firstLineChars="200"/>
        <w:rPr>
          <w:rFonts w:hint="eastAsia"/>
          <w:color w:val="auto"/>
          <w:sz w:val="21"/>
          <w:highlight w:val="none"/>
        </w:rPr>
      </w:pPr>
      <w:r>
        <w:rPr>
          <w:rFonts w:hint="eastAsia" w:ascii="宋体" w:hAnsi="宋体" w:cs="宋体"/>
          <w:color w:val="auto"/>
          <w:highlight w:val="none"/>
        </w:rPr>
        <w:t>（5）按甲方要求及时收缴小区停车管理费（包年包月停车管理费和临时车辆收费）。乙方每月需将收缴的小区停车管理费（包年包月停车管理费和临时车辆收费）和收缴明细于次月15日（如遇节假日顺延）上交甲方（若包年包月居民需要停车费发票，先由乙方开具收款收据，居民凭此收据到甲方换发票；若临时车辆需要停车费发票，由乙方直接开具发票，税费由乙方承担，每月结算费用时扣除已开具临停发票的税费后上缴，乙方需提供已开具的临停发票）</w:t>
      </w:r>
      <w:r>
        <w:rPr>
          <w:rFonts w:hint="eastAsia" w:ascii="宋体" w:hAnsi="宋体" w:cs="仿宋_GB2312"/>
          <w:snapToGrid w:val="0"/>
          <w:color w:val="auto"/>
          <w:kern w:val="0"/>
          <w:highlight w:val="none"/>
        </w:rPr>
        <w:t>。</w:t>
      </w:r>
      <w:r>
        <w:rPr>
          <w:rFonts w:hint="eastAsia" w:ascii="宋体" w:hAnsi="宋体" w:cs="宋体"/>
          <w:color w:val="auto"/>
          <w:highlight w:val="none"/>
        </w:rPr>
        <w:t>完成全年停车管理费</w:t>
      </w:r>
      <w:r>
        <w:rPr>
          <w:rFonts w:ascii="Arial" w:hAnsi="Arial" w:cs="Arial"/>
          <w:color w:val="auto"/>
          <w:highlight w:val="none"/>
        </w:rPr>
        <w:t>¥</w:t>
      </w:r>
      <w:r>
        <w:rPr>
          <w:rFonts w:hint="eastAsia" w:ascii="宋体" w:hAnsi="宋体" w:cs="宋体"/>
          <w:color w:val="auto"/>
          <w:highlight w:val="none"/>
          <w:u w:val="single"/>
        </w:rPr>
        <w:t>65</w:t>
      </w:r>
      <w:r>
        <w:rPr>
          <w:rFonts w:hint="eastAsia" w:ascii="宋体" w:hAnsi="宋体" w:cs="宋体"/>
          <w:color w:val="auto"/>
          <w:highlight w:val="none"/>
        </w:rPr>
        <w:t>万元以上，若乙方没有完成全年停车管理费</w:t>
      </w:r>
      <w:r>
        <w:rPr>
          <w:rFonts w:ascii="Arial" w:hAnsi="Arial" w:cs="Arial"/>
          <w:color w:val="auto"/>
          <w:highlight w:val="none"/>
        </w:rPr>
        <w:t>¥</w:t>
      </w:r>
      <w:r>
        <w:rPr>
          <w:rFonts w:hint="eastAsia" w:ascii="宋体" w:hAnsi="宋体" w:cs="宋体"/>
          <w:color w:val="auto"/>
          <w:highlight w:val="none"/>
          <w:u w:val="single"/>
        </w:rPr>
        <w:t>65</w:t>
      </w:r>
      <w:r>
        <w:rPr>
          <w:rFonts w:hint="eastAsia" w:ascii="宋体" w:hAnsi="宋体" w:cs="宋体"/>
          <w:color w:val="auto"/>
          <w:highlight w:val="none"/>
        </w:rPr>
        <w:t>万元，则由乙方承担差额部分，按</w:t>
      </w:r>
      <w:r>
        <w:rPr>
          <w:rFonts w:ascii="Arial" w:hAnsi="Arial" w:cs="Arial"/>
          <w:color w:val="auto"/>
          <w:highlight w:val="none"/>
        </w:rPr>
        <w:t>¥</w:t>
      </w:r>
      <w:r>
        <w:rPr>
          <w:rFonts w:hint="eastAsia" w:ascii="宋体" w:hAnsi="宋体" w:cs="宋体"/>
          <w:color w:val="auto"/>
          <w:highlight w:val="none"/>
          <w:u w:val="single"/>
        </w:rPr>
        <w:t>65</w:t>
      </w:r>
      <w:r>
        <w:rPr>
          <w:rFonts w:hint="eastAsia" w:ascii="宋体" w:hAnsi="宋体" w:cs="宋体"/>
          <w:color w:val="auto"/>
          <w:highlight w:val="none"/>
        </w:rPr>
        <w:t>万元停车管理费交于甲方。停车管理费收入超过基准金额的，超过部分的50%为招标人所有，50%作为承包人经费（该费用不含在物业管理服务费内）。</w:t>
      </w:r>
    </w:p>
    <w:p w14:paraId="097C885C">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负责编制房屋、附属建筑物、构筑物、设施、设备、绿化等的年度维修养护计划和大中修方案，经双方议定后由乙方组织实施。物业管理区域内单项或单批次维修成本不超过1000元的由乙方负责，涉及公共维修事项为中修及大修的则由物业使用人或物业公司公共维修基金承担。</w:t>
      </w:r>
    </w:p>
    <w:p w14:paraId="0987DA30">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（7）向甲方工作人员和其他使用人告知物业使用的有关规定，并负责监督。</w:t>
      </w:r>
    </w:p>
    <w:p w14:paraId="3BCA0FB9">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（8）建立、妥善保管和正确使用本物业相关的管理档案，并负责及时记载有关变更情况。</w:t>
      </w:r>
    </w:p>
    <w:p w14:paraId="51C9ED1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（9）对本物业的公用设施不得擅自占用和改变使用功能。</w:t>
      </w:r>
    </w:p>
    <w:p w14:paraId="4A999719">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（10）因乙方在管理中的过错或违反本合同的约定进行管理造成甲方或第三人损失的，乙方应依法承担赔偿责任。</w:t>
      </w:r>
    </w:p>
    <w:p w14:paraId="01466AB6">
      <w:pPr>
        <w:spacing w:line="360" w:lineRule="auto"/>
        <w:ind w:firstLine="480" w:firstLineChars="200"/>
        <w:rPr>
          <w:rFonts w:hint="eastAsia" w:ascii="宋体" w:hAnsi="宋体"/>
          <w:color w:val="auto"/>
          <w:kern w:val="0"/>
          <w:highlight w:val="none"/>
        </w:rPr>
      </w:pPr>
      <w:r>
        <w:rPr>
          <w:rFonts w:hint="eastAsia" w:ascii="宋体" w:hAnsi="宋体" w:cs="宋体"/>
          <w:color w:val="auto"/>
          <w:highlight w:val="none"/>
        </w:rPr>
        <w:t>（11）乙方自行承担办公桌、电脑、打印机、文件柜等自身使用的办公用品，自行承担所有人员服装费用，但服装样式需经过甲方认可。乙方自行承担物业办公、生活用水用电、网络通讯费</w:t>
      </w:r>
      <w:r>
        <w:rPr>
          <w:rFonts w:hint="eastAsia" w:ascii="宋体" w:hAnsi="宋体"/>
          <w:color w:val="auto"/>
          <w:kern w:val="0"/>
          <w:highlight w:val="none"/>
        </w:rPr>
        <w:t>、监控室和门岗电费等各类能耗费用。</w:t>
      </w:r>
    </w:p>
    <w:p w14:paraId="0578665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12）大件垃圾、特殊垃圾、园林垃圾以及垃圾清运及相关费用，垃圾桶破损维修、更换以及垃圾房设施设备维护产生的相关费用由乙方承担。如因设备维护不到位导致设备损坏或影响正常使用，乙方应承担相应的责任。</w:t>
      </w:r>
    </w:p>
    <w:p w14:paraId="76F9EC9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（13）居民日常生活垃圾清运费用由乙方和环卫所签订协议，费用由乙方与环卫所另行结算支付。</w:t>
      </w:r>
    </w:p>
    <w:p w14:paraId="6CF761C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（14）社区垃圾分类督导员补贴、绿化补贴等包含在全年物业服务费内。</w:t>
      </w:r>
    </w:p>
    <w:p w14:paraId="696E7A3C">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（15）小区内灭火器日常检查及维护更新，到期灭火器的统一充装更换，日常巡查中发现的灭火器问题如缺失、漏气、损坏、补充等，由乙方负责。上述更新维护费用均由乙方承担。</w:t>
      </w:r>
    </w:p>
    <w:p w14:paraId="4E544E80">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（16）小区各楼幢单元楼道灯的账户管理、电费支出由乙方承担。</w:t>
      </w:r>
    </w:p>
    <w:p w14:paraId="13546443">
      <w:pPr>
        <w:spacing w:line="360" w:lineRule="auto"/>
        <w:ind w:firstLine="480" w:firstLineChars="200"/>
        <w:rPr>
          <w:rFonts w:hint="eastAsia" w:ascii="宋体" w:hAnsi="宋体" w:cs="宋体"/>
          <w:b/>
          <w:bCs/>
          <w:color w:val="auto"/>
          <w:highlight w:val="none"/>
        </w:rPr>
      </w:pPr>
      <w:r>
        <w:rPr>
          <w:rFonts w:hint="eastAsia" w:ascii="宋体" w:hAnsi="宋体" w:cs="宋体"/>
          <w:color w:val="auto"/>
          <w:highlight w:val="none"/>
        </w:rPr>
        <w:t>（17）本合同终止时，乙方必须向甲方移交全部管理用房及物业管理的全部档案资料，确保移交的资料和设备、设施完好无缺。</w:t>
      </w:r>
    </w:p>
    <w:p w14:paraId="27971710">
      <w:pPr>
        <w:spacing w:line="360" w:lineRule="auto"/>
        <w:ind w:firstLine="480" w:firstLineChars="200"/>
        <w:rPr>
          <w:rFonts w:hint="eastAsia" w:ascii="宋体" w:hAnsi="宋体" w:cs="宋体"/>
          <w:bCs/>
          <w:color w:val="auto"/>
          <w:highlight w:val="none"/>
        </w:rPr>
      </w:pPr>
      <w:r>
        <w:rPr>
          <w:rFonts w:hint="eastAsia" w:ascii="宋体" w:hAnsi="宋体" w:cs="仿宋_GB2312"/>
          <w:color w:val="auto"/>
          <w:highlight w:val="none"/>
        </w:rPr>
        <w:t>（18）积极配合甲方，按甲方要求提供相关资料，做好相关经费、补贴的申请和审计等工作。</w:t>
      </w:r>
    </w:p>
    <w:p w14:paraId="6A5C878B">
      <w:pPr>
        <w:spacing w:line="360" w:lineRule="auto"/>
        <w:ind w:firstLine="482" w:firstLineChars="200"/>
        <w:rPr>
          <w:rFonts w:hint="eastAsia" w:ascii="宋体" w:hAnsi="宋体" w:cs="宋体"/>
          <w:b/>
          <w:bCs/>
          <w:color w:val="auto"/>
          <w:highlight w:val="none"/>
        </w:rPr>
      </w:pPr>
    </w:p>
    <w:p w14:paraId="12066732">
      <w:pPr>
        <w:spacing w:line="360" w:lineRule="auto"/>
        <w:ind w:firstLine="482" w:firstLineChars="200"/>
        <w:rPr>
          <w:rFonts w:ascii="宋体" w:hAnsi="宋体" w:cs="宋体"/>
          <w:b/>
          <w:bCs/>
          <w:color w:val="auto"/>
          <w:highlight w:val="none"/>
        </w:rPr>
      </w:pPr>
    </w:p>
    <w:p w14:paraId="7AC8CB51">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第十六条 乙方的人员配置</w:t>
      </w:r>
    </w:p>
    <w:p w14:paraId="042CCAE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  乙方的人员配置。（附件一：人员配置表）</w:t>
      </w:r>
    </w:p>
    <w:p w14:paraId="456FD54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1.1 乙方的项目总负责人</w:t>
      </w:r>
      <w:r>
        <w:rPr>
          <w:rFonts w:hint="eastAsia" w:ascii="宋体" w:hAnsi="宋体" w:cs="宋体"/>
          <w:color w:val="auto"/>
          <w:highlight w:val="none"/>
          <w:u w:val="single"/>
        </w:rPr>
        <w:t xml:space="preserve">      </w:t>
      </w: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E56FAAF">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1.2 乙方必须采取措施，确保乙方人员稳定，特别是骨干人员。骨干人员变动须经甲方同意，其他人员变动须在甲方处备案。</w:t>
      </w:r>
    </w:p>
    <w:p w14:paraId="19DBF440">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1.3 乙方项目总负责人及部门负责人须及时与甲方沟通，第一时间报告重大、紧急事件；每月须向甲方汇报上月工作情况，并提供相关报告。</w:t>
      </w:r>
    </w:p>
    <w:p w14:paraId="26360BA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 物业人员</w:t>
      </w:r>
    </w:p>
    <w:p w14:paraId="0269B554">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（1）所有相关人员的配备须获得相关主管部门认证的，须配证并持证上岗，且根据不同岗位统一着装。</w:t>
      </w:r>
    </w:p>
    <w:p w14:paraId="2C5DF8B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（2）所有的人员配置需在甲方处备案留底，具体包括：人员的组织架构、分布情况、各岗各责任点位的人员信息（包括人员姓名、年龄、联系电话、照片）。</w:t>
      </w:r>
    </w:p>
    <w:p w14:paraId="2C1B2381">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（3）所有相关人员要求政治上可靠，身体素质好，无不良行为记录。</w:t>
      </w:r>
    </w:p>
    <w:p w14:paraId="282DDDFD">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（4）重要岗位人员必须由甲方人事部门考核、政治审查通过方可录用。</w:t>
      </w:r>
    </w:p>
    <w:p w14:paraId="02A9E96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（5）为提高物业管理水平，所有物业人员还需进行相关的培训。除乙方对服务人员的培训外，需接受甲方对服务人员的集中进行培训，培训费用由乙方承担。</w:t>
      </w:r>
    </w:p>
    <w:p w14:paraId="4B6B3077">
      <w:pPr>
        <w:spacing w:line="360" w:lineRule="auto"/>
        <w:ind w:firstLine="480" w:firstLineChars="200"/>
        <w:rPr>
          <w:rFonts w:hint="eastAsia" w:ascii="宋体" w:hAnsi="宋体"/>
          <w:color w:val="auto"/>
          <w:kern w:val="0"/>
          <w:highlight w:val="none"/>
          <w:u w:val="single"/>
        </w:rPr>
      </w:pPr>
      <w:r>
        <w:rPr>
          <w:rFonts w:hint="eastAsia" w:ascii="宋体" w:hAnsi="宋体" w:cs="宋体"/>
          <w:color w:val="auto"/>
          <w:highlight w:val="none"/>
        </w:rPr>
        <w:t>（6）部分岗位需要保证一定的专业人员比例，具体约定如下：</w:t>
      </w:r>
      <w:r>
        <w:rPr>
          <w:rFonts w:hint="eastAsia" w:ascii="宋体" w:hAnsi="宋体"/>
          <w:color w:val="auto"/>
          <w:kern w:val="0"/>
          <w:highlight w:val="none"/>
          <w:u w:val="single"/>
        </w:rPr>
        <w:t xml:space="preserve">      无           </w:t>
      </w:r>
    </w:p>
    <w:p w14:paraId="6A2F133B">
      <w:pPr>
        <w:spacing w:line="360" w:lineRule="auto"/>
        <w:ind w:firstLine="480" w:firstLineChars="200"/>
        <w:rPr>
          <w:rFonts w:hint="eastAsia" w:ascii="宋体" w:hAnsi="宋体"/>
          <w:color w:val="auto"/>
          <w:kern w:val="0"/>
          <w:highlight w:val="none"/>
          <w:u w:val="single"/>
        </w:rPr>
      </w:pPr>
      <w:r>
        <w:rPr>
          <w:rFonts w:hint="eastAsia" w:ascii="宋体" w:hAnsi="宋体"/>
          <w:color w:val="auto"/>
          <w:kern w:val="0"/>
          <w:highlight w:val="none"/>
          <w:u w:val="single"/>
        </w:rPr>
        <w:t xml:space="preserve">                                                                        </w:t>
      </w:r>
    </w:p>
    <w:p w14:paraId="2B01B2A6">
      <w:pPr>
        <w:spacing w:line="360" w:lineRule="auto"/>
        <w:ind w:firstLine="480" w:firstLineChars="200"/>
        <w:rPr>
          <w:rFonts w:hint="eastAsia" w:ascii="宋体" w:hAnsi="宋体" w:cs="宋体"/>
          <w:b/>
          <w:bCs/>
          <w:color w:val="auto"/>
          <w:highlight w:val="none"/>
        </w:rPr>
      </w:pPr>
      <w:r>
        <w:rPr>
          <w:rFonts w:hint="eastAsia" w:ascii="宋体" w:hAnsi="宋体"/>
          <w:color w:val="auto"/>
          <w:kern w:val="0"/>
          <w:highlight w:val="none"/>
          <w:u w:val="single"/>
        </w:rPr>
        <w:t xml:space="preserve">                                                                         </w:t>
      </w:r>
    </w:p>
    <w:p w14:paraId="7B2F5993">
      <w:pPr>
        <w:spacing w:line="360" w:lineRule="auto"/>
        <w:ind w:firstLine="482" w:firstLineChars="200"/>
        <w:rPr>
          <w:rFonts w:hint="eastAsia" w:ascii="宋体" w:hAnsi="宋体" w:cs="宋体"/>
          <w:b/>
          <w:bCs/>
          <w:color w:val="auto"/>
          <w:highlight w:val="none"/>
        </w:rPr>
      </w:pPr>
    </w:p>
    <w:p w14:paraId="628C6359">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第十七条 争议处理</w:t>
      </w:r>
    </w:p>
    <w:p w14:paraId="3ECC2C6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因合同执行而产生问题的解决方式（请勾选，可多选，并按序依次协调）：</w:t>
      </w:r>
    </w:p>
    <w:p w14:paraId="39D0CB9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1.双方协商解决（ √ ）</w:t>
      </w:r>
    </w:p>
    <w:p w14:paraId="1A1FBEC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2.向街道反映并由街道最终裁决（ √ ）</w:t>
      </w:r>
    </w:p>
    <w:p w14:paraId="4EE64DA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3.向政府采购管理部门投诉（ ）</w:t>
      </w:r>
    </w:p>
    <w:p w14:paraId="743DE172">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4.提请仲裁（ ）</w:t>
      </w:r>
    </w:p>
    <w:p w14:paraId="04FED432">
      <w:pPr>
        <w:spacing w:line="360" w:lineRule="auto"/>
        <w:ind w:firstLine="480" w:firstLineChars="200"/>
        <w:rPr>
          <w:rFonts w:hint="eastAsia" w:ascii="宋体" w:hAnsi="宋体" w:cs="宋体"/>
          <w:b/>
          <w:bCs/>
          <w:color w:val="auto"/>
          <w:highlight w:val="none"/>
        </w:rPr>
      </w:pPr>
      <w:r>
        <w:rPr>
          <w:rFonts w:hint="eastAsia" w:ascii="宋体" w:hAnsi="宋体" w:cs="宋体"/>
          <w:color w:val="auto"/>
          <w:highlight w:val="none"/>
        </w:rPr>
        <w:t xml:space="preserve">5.向甲方所在地人民法院提起诉讼（√ ）。  </w:t>
      </w:r>
    </w:p>
    <w:p w14:paraId="3F1F265B">
      <w:pPr>
        <w:spacing w:line="360" w:lineRule="auto"/>
        <w:ind w:firstLine="482" w:firstLineChars="200"/>
        <w:rPr>
          <w:rFonts w:hint="eastAsia" w:ascii="宋体" w:hAnsi="宋体" w:cs="宋体"/>
          <w:b/>
          <w:bCs/>
          <w:color w:val="auto"/>
          <w:highlight w:val="none"/>
        </w:rPr>
      </w:pPr>
    </w:p>
    <w:p w14:paraId="290F40A2">
      <w:pPr>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第十八条 其他约定事项：</w:t>
      </w:r>
    </w:p>
    <w:p w14:paraId="492F5CF2">
      <w:pPr>
        <w:spacing w:line="360" w:lineRule="auto"/>
        <w:ind w:firstLine="480" w:firstLineChars="200"/>
        <w:rPr>
          <w:rFonts w:hint="eastAsia" w:ascii="宋体" w:hAnsi="宋体" w:cs="仿宋_GB2312"/>
          <w:color w:val="auto"/>
          <w:kern w:val="0"/>
          <w:highlight w:val="none"/>
          <w:lang w:val="zh-CN"/>
        </w:rPr>
      </w:pPr>
      <w:r>
        <w:rPr>
          <w:rFonts w:hint="eastAsia" w:ascii="宋体" w:hAnsi="宋体" w:cs="仿宋_GB2312"/>
          <w:color w:val="auto"/>
          <w:highlight w:val="none"/>
        </w:rPr>
        <w:t>1．</w:t>
      </w:r>
      <w:r>
        <w:rPr>
          <w:rFonts w:hint="eastAsia" w:ascii="宋体" w:hAnsi="宋体" w:cs="仿宋_GB2312"/>
          <w:color w:val="auto"/>
          <w:kern w:val="0"/>
          <w:highlight w:val="none"/>
          <w:lang w:val="zh-CN"/>
        </w:rPr>
        <w:t>未经过甲方的书面同意，乙方不得转让其应履行的合同项下的义务，和将部分合同项下的义务分包给其他单位完成。</w:t>
      </w:r>
    </w:p>
    <w:p w14:paraId="390D7E71">
      <w:pPr>
        <w:spacing w:line="360" w:lineRule="auto"/>
        <w:ind w:firstLine="480" w:firstLineChars="200"/>
        <w:rPr>
          <w:rFonts w:hint="eastAsia" w:ascii="宋体" w:hAnsi="宋体" w:cs="仿宋_GB2312"/>
          <w:color w:val="auto"/>
          <w:kern w:val="0"/>
          <w:highlight w:val="none"/>
          <w:lang w:val="zh-CN"/>
        </w:rPr>
      </w:pPr>
      <w:r>
        <w:rPr>
          <w:rFonts w:hint="eastAsia" w:ascii="宋体" w:hAnsi="宋体" w:cs="仿宋_GB2312"/>
          <w:color w:val="auto"/>
          <w:highlight w:val="none"/>
        </w:rPr>
        <w:t>2．</w:t>
      </w:r>
      <w:r>
        <w:rPr>
          <w:rFonts w:hint="eastAsia" w:ascii="宋体" w:hAnsi="宋体" w:cs="仿宋_GB2312"/>
          <w:color w:val="auto"/>
          <w:kern w:val="0"/>
          <w:highlight w:val="none"/>
          <w:lang w:val="zh-CN"/>
        </w:rPr>
        <w:t>乙方不得参与可能与合同规定的与甲方的利益相冲突的任何活动。</w:t>
      </w:r>
    </w:p>
    <w:p w14:paraId="55B87650">
      <w:pPr>
        <w:spacing w:line="360" w:lineRule="auto"/>
        <w:ind w:firstLine="480" w:firstLineChars="200"/>
        <w:rPr>
          <w:rFonts w:hint="eastAsia" w:ascii="宋体" w:hAnsi="宋体" w:cs="仿宋_GB2312"/>
          <w:color w:val="auto"/>
          <w:kern w:val="0"/>
          <w:highlight w:val="none"/>
          <w:lang w:val="zh-CN"/>
        </w:rPr>
      </w:pPr>
      <w:r>
        <w:rPr>
          <w:rFonts w:hint="eastAsia" w:ascii="宋体" w:hAnsi="宋体" w:cs="仿宋_GB2312"/>
          <w:color w:val="auto"/>
          <w:highlight w:val="none"/>
        </w:rPr>
        <w:t>3．</w:t>
      </w:r>
      <w:r>
        <w:rPr>
          <w:rFonts w:hint="eastAsia" w:ascii="宋体" w:hAnsi="宋体" w:cs="仿宋_GB2312"/>
          <w:color w:val="auto"/>
          <w:kern w:val="0"/>
          <w:highlight w:val="none"/>
          <w:lang w:val="zh-CN"/>
        </w:rPr>
        <w:t>乙方人员在甲方场地工作时，应遵守甲方相关规章、制度。</w:t>
      </w:r>
    </w:p>
    <w:p w14:paraId="209FBCEC">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4.杭玻阔板桥社区道闸收费软件系统的维护及3个通道的硬件维修及停车设备通道费，由物业公司进行支付。</w:t>
      </w:r>
    </w:p>
    <w:p w14:paraId="2B1F65C1">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5.小区监控摄像头，监控机房设备，维护由乙方承担，设备维修甲方承担设备采购费，维修费由乙方承担。监控设备损坏，3天内必须修复。</w:t>
      </w:r>
    </w:p>
    <w:p w14:paraId="6E8F638B">
      <w:pPr>
        <w:spacing w:line="360" w:lineRule="auto"/>
        <w:ind w:firstLine="480" w:firstLineChars="200"/>
        <w:textAlignment w:val="baseline"/>
        <w:rPr>
          <w:rFonts w:hint="eastAsia" w:ascii="宋体" w:hAnsi="宋体" w:cs="仿宋_GB2312"/>
          <w:color w:val="auto"/>
          <w:highlight w:val="none"/>
        </w:rPr>
      </w:pPr>
      <w:r>
        <w:rPr>
          <w:rFonts w:hint="eastAsia" w:ascii="宋体" w:hAnsi="宋体" w:cs="仿宋_GB2312"/>
          <w:color w:val="auto"/>
          <w:highlight w:val="none"/>
        </w:rPr>
        <w:t>6.小区所有公共部位能耗（如单元楼道灯、路灯、地下室车库照明等费用），由物业公司自行承担。</w:t>
      </w:r>
    </w:p>
    <w:p w14:paraId="0DEAC1D0">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7．本合同任何一方给另一方的通知，都应以书面或电传/传真/电报的形式发送，而另一方应以书面形式确认并发送到对方明确的地址。</w:t>
      </w:r>
    </w:p>
    <w:p w14:paraId="0219F4D9">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8．合同履行期内甲乙双方均不得随意变更或解除合同。合同若有未尽事宜，需经双方共同协商，订立补充协议，补充协议与本合同有同等法律效力。</w:t>
      </w:r>
    </w:p>
    <w:p w14:paraId="38D2E9B8">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9．投标文件（编号：GZHZ[2025]003 ）投标文件及评标过程中形成的文字资料、询标纪要均作为本合同的组成部分，具有同等效力。</w:t>
      </w:r>
    </w:p>
    <w:p w14:paraId="0E5D1D3A">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10．本合同一式五份，甲方、乙方各执二份、监管单位执一份。</w:t>
      </w:r>
    </w:p>
    <w:p w14:paraId="2536FB56">
      <w:pPr>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11．适用法律：本合同应按照中华人民共和国的法律进行解释。</w:t>
      </w:r>
    </w:p>
    <w:p w14:paraId="4954CDBC">
      <w:pPr>
        <w:spacing w:line="360" w:lineRule="auto"/>
        <w:rPr>
          <w:rFonts w:hint="eastAsia" w:ascii="宋体" w:hAnsi="宋体" w:cs="仿宋_GB2312"/>
          <w:color w:val="auto"/>
          <w:highlight w:val="none"/>
        </w:rPr>
      </w:pPr>
      <w:r>
        <w:rPr>
          <w:rFonts w:hint="eastAsia" w:ascii="宋体" w:hAnsi="宋体" w:cs="仿宋_GB2312"/>
          <w:color w:val="auto"/>
          <w:highlight w:val="none"/>
        </w:rPr>
        <w:t>附件一：人员配置表</w:t>
      </w:r>
    </w:p>
    <w:p w14:paraId="556587AD">
      <w:pPr>
        <w:spacing w:line="360" w:lineRule="auto"/>
        <w:rPr>
          <w:rFonts w:hint="eastAsia" w:ascii="宋体" w:hAnsi="宋体" w:cs="仿宋_GB2312"/>
          <w:color w:val="auto"/>
          <w:highlight w:val="none"/>
        </w:rPr>
      </w:pPr>
      <w:r>
        <w:rPr>
          <w:rFonts w:hint="eastAsia" w:ascii="宋体" w:hAnsi="宋体" w:cs="仿宋_GB2312"/>
          <w:color w:val="auto"/>
          <w:highlight w:val="none"/>
        </w:rPr>
        <w:t>附件二：半山街道杭玻阔板桥社区（老旧小区）物业菜单式服务标准</w:t>
      </w:r>
    </w:p>
    <w:p w14:paraId="3312E4A5">
      <w:pPr>
        <w:spacing w:line="360" w:lineRule="auto"/>
        <w:rPr>
          <w:rFonts w:hint="eastAsia" w:ascii="宋体" w:hAnsi="宋体" w:cs="仿宋_GB2312"/>
          <w:color w:val="auto"/>
          <w:highlight w:val="none"/>
        </w:rPr>
      </w:pPr>
      <w:r>
        <w:rPr>
          <w:rFonts w:hint="eastAsia" w:ascii="宋体" w:hAnsi="宋体" w:cs="仿宋_GB2312"/>
          <w:color w:val="auto"/>
          <w:highlight w:val="none"/>
        </w:rPr>
        <w:t>附件三: 杭玻阔板桥社区老旧小区服务项目日常考核管理标准</w:t>
      </w:r>
    </w:p>
    <w:p w14:paraId="76DA5DE3">
      <w:pPr>
        <w:spacing w:line="360" w:lineRule="auto"/>
        <w:rPr>
          <w:rFonts w:hint="eastAsia" w:ascii="宋体" w:hAnsi="宋体" w:cs="仿宋_GB2312"/>
          <w:color w:val="auto"/>
          <w:highlight w:val="none"/>
        </w:rPr>
      </w:pPr>
      <w:r>
        <w:rPr>
          <w:rFonts w:hint="eastAsia" w:ascii="宋体" w:hAnsi="宋体" w:cs="仿宋_GB2312"/>
          <w:color w:val="auto"/>
          <w:highlight w:val="none"/>
        </w:rPr>
        <w:t>附件四: 杭玻阔板桥社区垃圾分类考核管理标准</w:t>
      </w:r>
    </w:p>
    <w:p w14:paraId="3250C666">
      <w:pPr>
        <w:spacing w:line="360" w:lineRule="auto"/>
        <w:rPr>
          <w:rFonts w:hint="eastAsia" w:ascii="宋体" w:hAnsi="宋体" w:cs="仿宋_GB2312"/>
          <w:color w:val="auto"/>
          <w:highlight w:val="none"/>
        </w:rPr>
      </w:pPr>
      <w:r>
        <w:rPr>
          <w:rFonts w:hint="eastAsia" w:ascii="宋体" w:hAnsi="宋体" w:cs="仿宋_GB2312"/>
          <w:color w:val="auto"/>
          <w:highlight w:val="none"/>
        </w:rPr>
        <w:t>附件五：杭玻阔板桥社区年度物业服务满意度调查表</w:t>
      </w:r>
    </w:p>
    <w:p w14:paraId="5FD8177C">
      <w:pPr>
        <w:spacing w:line="360" w:lineRule="auto"/>
        <w:rPr>
          <w:rFonts w:hint="eastAsia" w:ascii="宋体" w:hAnsi="宋体" w:cs="宋体"/>
          <w:color w:val="auto"/>
          <w:highlight w:val="none"/>
        </w:rPr>
      </w:pPr>
    </w:p>
    <w:p w14:paraId="4D9309EB">
      <w:pPr>
        <w:spacing w:line="360" w:lineRule="auto"/>
        <w:rPr>
          <w:rFonts w:hint="eastAsia" w:ascii="宋体" w:hAnsi="宋体" w:cs="宋体"/>
          <w:color w:val="auto"/>
          <w:highlight w:val="none"/>
        </w:rPr>
      </w:pPr>
    </w:p>
    <w:p w14:paraId="1CF052C9">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甲方（公章）：                              乙方（公章）：   </w:t>
      </w:r>
    </w:p>
    <w:p w14:paraId="4AA4A530">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法定（授权）代表人：                       法定（授权）代表人：                                   </w:t>
      </w:r>
    </w:p>
    <w:p w14:paraId="2961F6CF">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开户银行：联合银行半山支行                 开户银行： </w:t>
      </w:r>
    </w:p>
    <w:p w14:paraId="2E462AE8">
      <w:pPr>
        <w:spacing w:line="360" w:lineRule="auto"/>
        <w:rPr>
          <w:rFonts w:hint="eastAsia" w:ascii="宋体" w:hAnsi="宋体" w:cs="宋体"/>
          <w:b/>
          <w:bCs/>
          <w:color w:val="auto"/>
          <w:highlight w:val="none"/>
        </w:rPr>
      </w:pPr>
      <w:r>
        <w:rPr>
          <w:rFonts w:hint="eastAsia" w:ascii="宋体" w:hAnsi="宋体" w:cs="宋体"/>
          <w:b/>
          <w:bCs/>
          <w:color w:val="auto"/>
          <w:highlight w:val="none"/>
        </w:rPr>
        <w:t>账号：                                     账号：</w:t>
      </w:r>
    </w:p>
    <w:p w14:paraId="54E8D99A">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签订日期：2025年    月    日                 签订日期：2025年   月   日 </w:t>
      </w:r>
    </w:p>
    <w:p w14:paraId="172F6735">
      <w:pPr>
        <w:adjustRightInd/>
        <w:snapToGrid w:val="0"/>
        <w:spacing w:line="360" w:lineRule="auto"/>
        <w:rPr>
          <w:rFonts w:ascii="宋体" w:hAnsi="宋体" w:cs="宋体"/>
          <w:b/>
          <w:bCs/>
          <w:color w:val="auto"/>
          <w:highlight w:val="none"/>
        </w:rPr>
      </w:pPr>
      <w:r>
        <w:rPr>
          <w:rFonts w:hint="eastAsia" w:ascii="宋体" w:hAnsi="宋体"/>
          <w:b/>
          <w:bCs/>
          <w:color w:val="auto"/>
          <w:highlight w:val="none"/>
        </w:rPr>
        <w:br w:type="page"/>
      </w:r>
    </w:p>
    <w:p w14:paraId="506990E8">
      <w:pPr>
        <w:spacing w:line="460" w:lineRule="exact"/>
        <w:rPr>
          <w:rFonts w:hint="eastAsia" w:ascii="宋体" w:hAnsi="宋体" w:cs="宋体"/>
          <w:b/>
          <w:bCs/>
          <w:color w:val="auto"/>
          <w:highlight w:val="none"/>
        </w:rPr>
      </w:pPr>
      <w:r>
        <w:rPr>
          <w:rFonts w:hint="eastAsia" w:ascii="宋体" w:hAnsi="宋体" w:cs="宋体"/>
          <w:b/>
          <w:bCs/>
          <w:color w:val="auto"/>
          <w:highlight w:val="none"/>
        </w:rPr>
        <w:t>附件一：</w:t>
      </w:r>
    </w:p>
    <w:p w14:paraId="7CE90532">
      <w:pPr>
        <w:spacing w:before="120" w:beforeLines="50" w:after="120" w:afterLines="50"/>
        <w:jc w:val="center"/>
        <w:rPr>
          <w:rFonts w:hint="eastAsia" w:ascii="宋体" w:hAnsi="宋体" w:cs="宋体"/>
          <w:b/>
          <w:bCs/>
          <w:color w:val="auto"/>
          <w:highlight w:val="none"/>
          <w:lang w:val="zh-CN"/>
        </w:rPr>
      </w:pPr>
      <w:r>
        <w:rPr>
          <w:rFonts w:hint="eastAsia" w:ascii="宋体" w:hAnsi="宋体" w:cs="宋体"/>
          <w:b/>
          <w:bCs/>
          <w:color w:val="auto"/>
          <w:highlight w:val="none"/>
          <w:lang w:val="zh-CN"/>
        </w:rPr>
        <w:t>人员配置</w:t>
      </w:r>
    </w:p>
    <w:tbl>
      <w:tblPr>
        <w:tblStyle w:val="18"/>
        <w:tblW w:w="4998" w:type="pct"/>
        <w:tblInd w:w="0" w:type="dxa"/>
        <w:tblLayout w:type="autofit"/>
        <w:tblCellMar>
          <w:top w:w="0" w:type="dxa"/>
          <w:left w:w="108" w:type="dxa"/>
          <w:bottom w:w="0" w:type="dxa"/>
          <w:right w:w="108" w:type="dxa"/>
        </w:tblCellMar>
      </w:tblPr>
      <w:tblGrid>
        <w:gridCol w:w="7"/>
        <w:gridCol w:w="584"/>
        <w:gridCol w:w="67"/>
        <w:gridCol w:w="934"/>
        <w:gridCol w:w="166"/>
        <w:gridCol w:w="1100"/>
        <w:gridCol w:w="2600"/>
        <w:gridCol w:w="20"/>
        <w:gridCol w:w="3804"/>
      </w:tblGrid>
      <w:tr w14:paraId="2C623775">
        <w:tblPrEx>
          <w:tblCellMar>
            <w:top w:w="0" w:type="dxa"/>
            <w:left w:w="108" w:type="dxa"/>
            <w:bottom w:w="0" w:type="dxa"/>
            <w:right w:w="108" w:type="dxa"/>
          </w:tblCellMar>
        </w:tblPrEx>
        <w:trPr>
          <w:trHeight w:val="499" w:hRule="atLeast"/>
        </w:trPr>
        <w:tc>
          <w:tcPr>
            <w:tcW w:w="357" w:type="pct"/>
            <w:gridSpan w:val="3"/>
            <w:vMerge w:val="restart"/>
            <w:tcBorders>
              <w:top w:val="single" w:color="auto" w:sz="4" w:space="0"/>
              <w:left w:val="single" w:color="auto" w:sz="4" w:space="0"/>
              <w:bottom w:val="single" w:color="auto" w:sz="4" w:space="0"/>
              <w:right w:val="single" w:color="auto" w:sz="4" w:space="0"/>
            </w:tcBorders>
            <w:noWrap/>
            <w:vAlign w:val="center"/>
          </w:tcPr>
          <w:p w14:paraId="1279451B">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589" w:type="pct"/>
            <w:gridSpan w:val="2"/>
            <w:vMerge w:val="restart"/>
            <w:tcBorders>
              <w:top w:val="single" w:color="auto" w:sz="4" w:space="0"/>
              <w:left w:val="single" w:color="auto" w:sz="4" w:space="0"/>
              <w:bottom w:val="single" w:color="auto" w:sz="4" w:space="0"/>
              <w:right w:val="single" w:color="auto" w:sz="4" w:space="0"/>
            </w:tcBorders>
            <w:noWrap/>
            <w:vAlign w:val="center"/>
          </w:tcPr>
          <w:p w14:paraId="515CCCB0">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岗位名称</w:t>
            </w:r>
          </w:p>
        </w:tc>
        <w:tc>
          <w:tcPr>
            <w:tcW w:w="550" w:type="pct"/>
            <w:vMerge w:val="restart"/>
            <w:tcBorders>
              <w:top w:val="single" w:color="auto" w:sz="4" w:space="0"/>
              <w:left w:val="single" w:color="auto" w:sz="4" w:space="0"/>
              <w:bottom w:val="single" w:color="auto" w:sz="4" w:space="0"/>
              <w:right w:val="single" w:color="auto" w:sz="4" w:space="0"/>
            </w:tcBorders>
            <w:noWrap/>
            <w:vAlign w:val="center"/>
          </w:tcPr>
          <w:p w14:paraId="70255865">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人数要求</w:t>
            </w:r>
          </w:p>
        </w:tc>
        <w:tc>
          <w:tcPr>
            <w:tcW w:w="1420" w:type="pct"/>
            <w:vMerge w:val="restart"/>
            <w:tcBorders>
              <w:top w:val="single" w:color="auto" w:sz="4" w:space="0"/>
              <w:left w:val="single" w:color="auto" w:sz="4" w:space="0"/>
              <w:bottom w:val="single" w:color="auto" w:sz="4" w:space="0"/>
              <w:right w:val="single" w:color="auto" w:sz="4" w:space="0"/>
            </w:tcBorders>
            <w:noWrap/>
            <w:vAlign w:val="center"/>
          </w:tcPr>
          <w:p w14:paraId="63BD2070">
            <w:pPr>
              <w:widowControl/>
              <w:jc w:val="left"/>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岗位说明</w:t>
            </w:r>
          </w:p>
        </w:tc>
        <w:tc>
          <w:tcPr>
            <w:tcW w:w="2082" w:type="pct"/>
            <w:gridSpan w:val="2"/>
            <w:vMerge w:val="restart"/>
            <w:tcBorders>
              <w:top w:val="single" w:color="auto" w:sz="4" w:space="0"/>
              <w:left w:val="single" w:color="auto" w:sz="4" w:space="0"/>
              <w:bottom w:val="single" w:color="auto" w:sz="4" w:space="0"/>
              <w:right w:val="single" w:color="auto" w:sz="4" w:space="0"/>
            </w:tcBorders>
            <w:noWrap/>
            <w:vAlign w:val="center"/>
          </w:tcPr>
          <w:p w14:paraId="69924B5E">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备注</w:t>
            </w:r>
          </w:p>
        </w:tc>
      </w:tr>
      <w:tr w14:paraId="21310069">
        <w:tblPrEx>
          <w:tblCellMar>
            <w:top w:w="0" w:type="dxa"/>
            <w:left w:w="108" w:type="dxa"/>
            <w:bottom w:w="0" w:type="dxa"/>
            <w:right w:w="108" w:type="dxa"/>
          </w:tblCellMar>
        </w:tblPrEx>
        <w:trPr>
          <w:trHeight w:val="499" w:hRule="atLeast"/>
        </w:trPr>
        <w:tc>
          <w:tcPr>
            <w:tcW w:w="357" w:type="pct"/>
            <w:gridSpan w:val="3"/>
            <w:vMerge w:val="continue"/>
            <w:tcBorders>
              <w:top w:val="single" w:color="auto" w:sz="4" w:space="0"/>
              <w:left w:val="single" w:color="auto" w:sz="4" w:space="0"/>
              <w:bottom w:val="single" w:color="auto" w:sz="4" w:space="0"/>
              <w:right w:val="single" w:color="auto" w:sz="4" w:space="0"/>
            </w:tcBorders>
            <w:vAlign w:val="center"/>
          </w:tcPr>
          <w:p w14:paraId="4EF642F8">
            <w:pPr>
              <w:widowControl/>
              <w:jc w:val="left"/>
              <w:rPr>
                <w:rFonts w:hint="eastAsia" w:ascii="宋体" w:hAnsi="宋体" w:cs="宋体"/>
                <w:b/>
                <w:bCs/>
                <w:color w:val="auto"/>
                <w:kern w:val="0"/>
                <w:sz w:val="22"/>
                <w:highlight w:val="none"/>
              </w:rPr>
            </w:pPr>
          </w:p>
        </w:tc>
        <w:tc>
          <w:tcPr>
            <w:tcW w:w="589" w:type="pct"/>
            <w:gridSpan w:val="2"/>
            <w:vMerge w:val="continue"/>
            <w:tcBorders>
              <w:top w:val="single" w:color="auto" w:sz="4" w:space="0"/>
              <w:left w:val="single" w:color="auto" w:sz="4" w:space="0"/>
              <w:bottom w:val="single" w:color="auto" w:sz="4" w:space="0"/>
              <w:right w:val="single" w:color="auto" w:sz="4" w:space="0"/>
            </w:tcBorders>
            <w:vAlign w:val="center"/>
          </w:tcPr>
          <w:p w14:paraId="5873F82A">
            <w:pPr>
              <w:widowControl/>
              <w:jc w:val="left"/>
              <w:rPr>
                <w:rFonts w:hint="eastAsia" w:ascii="宋体" w:hAnsi="宋体" w:cs="宋体"/>
                <w:b/>
                <w:bCs/>
                <w:color w:val="auto"/>
                <w:kern w:val="0"/>
                <w:sz w:val="22"/>
                <w:highlight w:val="none"/>
              </w:rPr>
            </w:pPr>
          </w:p>
        </w:tc>
        <w:tc>
          <w:tcPr>
            <w:tcW w:w="550" w:type="pct"/>
            <w:vMerge w:val="continue"/>
            <w:tcBorders>
              <w:top w:val="single" w:color="auto" w:sz="4" w:space="0"/>
              <w:left w:val="single" w:color="auto" w:sz="4" w:space="0"/>
              <w:bottom w:val="single" w:color="auto" w:sz="4" w:space="0"/>
              <w:right w:val="single" w:color="auto" w:sz="4" w:space="0"/>
            </w:tcBorders>
            <w:vAlign w:val="center"/>
          </w:tcPr>
          <w:p w14:paraId="74043574">
            <w:pPr>
              <w:widowControl/>
              <w:jc w:val="left"/>
              <w:rPr>
                <w:rFonts w:hint="eastAsia" w:ascii="宋体" w:hAnsi="宋体" w:cs="宋体"/>
                <w:b/>
                <w:bCs/>
                <w:color w:val="auto"/>
                <w:kern w:val="0"/>
                <w:sz w:val="22"/>
                <w:highlight w:val="none"/>
              </w:rPr>
            </w:pPr>
          </w:p>
        </w:tc>
        <w:tc>
          <w:tcPr>
            <w:tcW w:w="1420" w:type="pct"/>
            <w:vMerge w:val="continue"/>
            <w:tcBorders>
              <w:top w:val="single" w:color="auto" w:sz="4" w:space="0"/>
              <w:left w:val="single" w:color="auto" w:sz="4" w:space="0"/>
              <w:bottom w:val="single" w:color="auto" w:sz="4" w:space="0"/>
              <w:right w:val="single" w:color="auto" w:sz="4" w:space="0"/>
            </w:tcBorders>
            <w:vAlign w:val="center"/>
          </w:tcPr>
          <w:p w14:paraId="608386F2">
            <w:pPr>
              <w:widowControl/>
              <w:jc w:val="left"/>
              <w:rPr>
                <w:rFonts w:hint="eastAsia" w:ascii="宋体" w:hAnsi="宋体" w:cs="宋体"/>
                <w:b/>
                <w:bCs/>
                <w:color w:val="auto"/>
                <w:kern w:val="0"/>
                <w:sz w:val="22"/>
                <w:highlight w:val="none"/>
              </w:rPr>
            </w:pPr>
          </w:p>
        </w:tc>
        <w:tc>
          <w:tcPr>
            <w:tcW w:w="2082" w:type="pct"/>
            <w:gridSpan w:val="2"/>
            <w:vMerge w:val="continue"/>
            <w:tcBorders>
              <w:top w:val="single" w:color="auto" w:sz="4" w:space="0"/>
              <w:left w:val="single" w:color="auto" w:sz="4" w:space="0"/>
              <w:bottom w:val="single" w:color="auto" w:sz="4" w:space="0"/>
              <w:right w:val="single" w:color="auto" w:sz="4" w:space="0"/>
            </w:tcBorders>
            <w:vAlign w:val="center"/>
          </w:tcPr>
          <w:p w14:paraId="30DCC9A8">
            <w:pPr>
              <w:widowControl/>
              <w:jc w:val="left"/>
              <w:rPr>
                <w:rFonts w:hint="eastAsia" w:ascii="宋体" w:hAnsi="宋体" w:cs="宋体"/>
                <w:b/>
                <w:bCs/>
                <w:color w:val="auto"/>
                <w:kern w:val="0"/>
                <w:sz w:val="22"/>
                <w:highlight w:val="none"/>
              </w:rPr>
            </w:pPr>
          </w:p>
        </w:tc>
      </w:tr>
      <w:tr w14:paraId="696638B1">
        <w:tblPrEx>
          <w:tblCellMar>
            <w:top w:w="0" w:type="dxa"/>
            <w:left w:w="108" w:type="dxa"/>
            <w:bottom w:w="0" w:type="dxa"/>
            <w:right w:w="108" w:type="dxa"/>
          </w:tblCellMar>
        </w:tblPrEx>
        <w:trPr>
          <w:gridBefore w:val="1"/>
          <w:wBefore w:w="4" w:type="pct"/>
          <w:trHeight w:val="499" w:hRule="atLeast"/>
        </w:trPr>
        <w:tc>
          <w:tcPr>
            <w:tcW w:w="4995" w:type="pct"/>
            <w:gridSpan w:val="8"/>
            <w:tcBorders>
              <w:top w:val="single" w:color="auto" w:sz="4" w:space="0"/>
              <w:left w:val="single" w:color="auto" w:sz="4" w:space="0"/>
              <w:bottom w:val="single" w:color="auto" w:sz="4" w:space="0"/>
              <w:right w:val="single" w:color="auto" w:sz="4" w:space="0"/>
            </w:tcBorders>
            <w:noWrap/>
            <w:vAlign w:val="center"/>
          </w:tcPr>
          <w:p w14:paraId="6FE96F78">
            <w:pPr>
              <w:widowControl/>
              <w:jc w:val="left"/>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项目综合管理层（长白班、经理责任制）　</w:t>
            </w:r>
          </w:p>
        </w:tc>
      </w:tr>
      <w:tr w14:paraId="41E90C9A">
        <w:tblPrEx>
          <w:tblCellMar>
            <w:top w:w="0" w:type="dxa"/>
            <w:left w:w="108" w:type="dxa"/>
            <w:bottom w:w="0" w:type="dxa"/>
            <w:right w:w="108" w:type="dxa"/>
          </w:tblCellMar>
        </w:tblPrEx>
        <w:trPr>
          <w:gridBefore w:val="1"/>
          <w:wBefore w:w="4" w:type="pct"/>
          <w:trHeight w:val="810" w:hRule="atLeast"/>
        </w:trPr>
        <w:tc>
          <w:tcPr>
            <w:tcW w:w="317" w:type="pct"/>
            <w:tcBorders>
              <w:top w:val="nil"/>
              <w:left w:val="single" w:color="auto" w:sz="4" w:space="0"/>
              <w:bottom w:val="single" w:color="auto" w:sz="4" w:space="0"/>
              <w:right w:val="single" w:color="auto" w:sz="4" w:space="0"/>
            </w:tcBorders>
            <w:vAlign w:val="center"/>
          </w:tcPr>
          <w:p w14:paraId="1199BFEF">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535" w:type="pct"/>
            <w:gridSpan w:val="2"/>
            <w:tcBorders>
              <w:top w:val="nil"/>
              <w:left w:val="nil"/>
              <w:bottom w:val="single" w:color="auto" w:sz="4" w:space="0"/>
              <w:right w:val="single" w:color="auto" w:sz="4" w:space="0"/>
            </w:tcBorders>
            <w:vAlign w:val="center"/>
          </w:tcPr>
          <w:p w14:paraId="5265014D">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项目经理</w:t>
            </w:r>
          </w:p>
        </w:tc>
        <w:tc>
          <w:tcPr>
            <w:tcW w:w="640" w:type="pct"/>
            <w:gridSpan w:val="2"/>
            <w:tcBorders>
              <w:top w:val="nil"/>
              <w:left w:val="nil"/>
              <w:bottom w:val="single" w:color="auto" w:sz="4" w:space="0"/>
              <w:right w:val="single" w:color="auto" w:sz="4" w:space="0"/>
            </w:tcBorders>
            <w:vAlign w:val="center"/>
          </w:tcPr>
          <w:p w14:paraId="07EFB9C6">
            <w:pPr>
              <w:widowControl/>
              <w:jc w:val="center"/>
              <w:rPr>
                <w:rFonts w:hint="eastAsia" w:ascii="宋体" w:hAnsi="宋体" w:cs="宋体"/>
                <w:color w:val="auto"/>
                <w:kern w:val="0"/>
                <w:sz w:val="22"/>
                <w:highlight w:val="none"/>
              </w:rPr>
            </w:pPr>
            <w:r>
              <w:rPr>
                <w:rFonts w:ascii="宋体" w:hAnsi="宋体" w:cs="宋体"/>
                <w:color w:val="auto"/>
                <w:kern w:val="0"/>
                <w:sz w:val="22"/>
                <w:highlight w:val="none"/>
              </w:rPr>
              <w:t>1</w:t>
            </w:r>
          </w:p>
        </w:tc>
        <w:tc>
          <w:tcPr>
            <w:tcW w:w="1442" w:type="pct"/>
            <w:gridSpan w:val="2"/>
            <w:tcBorders>
              <w:top w:val="nil"/>
              <w:left w:val="nil"/>
              <w:bottom w:val="single" w:color="auto" w:sz="4" w:space="0"/>
              <w:right w:val="single" w:color="auto" w:sz="4" w:space="0"/>
            </w:tcBorders>
            <w:vAlign w:val="center"/>
          </w:tcPr>
          <w:p w14:paraId="12B68965">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全面负责本项目的日常物业管理事务与团队管理</w:t>
            </w:r>
          </w:p>
        </w:tc>
        <w:tc>
          <w:tcPr>
            <w:tcW w:w="2059" w:type="pct"/>
            <w:tcBorders>
              <w:top w:val="nil"/>
              <w:left w:val="nil"/>
              <w:bottom w:val="single" w:color="auto" w:sz="4" w:space="0"/>
              <w:right w:val="single" w:color="auto" w:sz="4" w:space="0"/>
            </w:tcBorders>
            <w:vAlign w:val="center"/>
          </w:tcPr>
          <w:p w14:paraId="7FC19E76">
            <w:pPr>
              <w:widowControl/>
              <w:jc w:val="left"/>
              <w:rPr>
                <w:rFonts w:hint="eastAsia" w:ascii="宋体" w:hAnsi="宋体" w:cs="宋体"/>
                <w:bCs/>
                <w:color w:val="auto"/>
                <w:kern w:val="0"/>
                <w:sz w:val="22"/>
                <w:highlight w:val="none"/>
              </w:rPr>
            </w:pPr>
            <w:r>
              <w:rPr>
                <w:rFonts w:hint="eastAsia" w:ascii="宋体" w:hAnsi="宋体" w:cs="宋体"/>
                <w:bCs/>
                <w:color w:val="auto"/>
                <w:kern w:val="0"/>
                <w:sz w:val="22"/>
                <w:highlight w:val="none"/>
              </w:rPr>
              <w:t>项目经理要求持证上岗，类似物业项目物业管理经验达2年以上（根据本项目的服务标准）</w:t>
            </w:r>
          </w:p>
        </w:tc>
      </w:tr>
      <w:tr w14:paraId="0FC3641B">
        <w:tblPrEx>
          <w:tblCellMar>
            <w:top w:w="0" w:type="dxa"/>
            <w:left w:w="108" w:type="dxa"/>
            <w:bottom w:w="0" w:type="dxa"/>
            <w:right w:w="108" w:type="dxa"/>
          </w:tblCellMar>
        </w:tblPrEx>
        <w:trPr>
          <w:gridBefore w:val="1"/>
          <w:wBefore w:w="4" w:type="pct"/>
          <w:trHeight w:val="432" w:hRule="atLeast"/>
        </w:trPr>
        <w:tc>
          <w:tcPr>
            <w:tcW w:w="4995" w:type="pct"/>
            <w:gridSpan w:val="8"/>
            <w:tcBorders>
              <w:top w:val="nil"/>
              <w:left w:val="single" w:color="auto" w:sz="4" w:space="0"/>
              <w:bottom w:val="single" w:color="auto" w:sz="4" w:space="0"/>
              <w:right w:val="single" w:color="auto" w:sz="4" w:space="0"/>
            </w:tcBorders>
            <w:vAlign w:val="center"/>
          </w:tcPr>
          <w:p w14:paraId="249553FA">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客户服务部（长白班）</w:t>
            </w:r>
          </w:p>
        </w:tc>
      </w:tr>
      <w:tr w14:paraId="61C81F6F">
        <w:tblPrEx>
          <w:tblCellMar>
            <w:top w:w="0" w:type="dxa"/>
            <w:left w:w="108" w:type="dxa"/>
            <w:bottom w:w="0" w:type="dxa"/>
            <w:right w:w="108" w:type="dxa"/>
          </w:tblCellMar>
        </w:tblPrEx>
        <w:trPr>
          <w:gridBefore w:val="1"/>
          <w:wBefore w:w="4" w:type="pct"/>
          <w:trHeight w:val="885" w:hRule="atLeast"/>
        </w:trPr>
        <w:tc>
          <w:tcPr>
            <w:tcW w:w="317" w:type="pct"/>
            <w:tcBorders>
              <w:top w:val="nil"/>
              <w:left w:val="single" w:color="auto" w:sz="4" w:space="0"/>
              <w:bottom w:val="single" w:color="auto" w:sz="4" w:space="0"/>
              <w:right w:val="single" w:color="auto" w:sz="4" w:space="0"/>
            </w:tcBorders>
            <w:vAlign w:val="center"/>
          </w:tcPr>
          <w:p w14:paraId="55E421D2">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535" w:type="pct"/>
            <w:gridSpan w:val="2"/>
            <w:tcBorders>
              <w:top w:val="nil"/>
              <w:left w:val="nil"/>
              <w:bottom w:val="single" w:color="auto" w:sz="4" w:space="0"/>
              <w:right w:val="single" w:color="auto" w:sz="4" w:space="0"/>
            </w:tcBorders>
            <w:vAlign w:val="center"/>
          </w:tcPr>
          <w:p w14:paraId="2BF2501B">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客服人员</w:t>
            </w:r>
          </w:p>
        </w:tc>
        <w:tc>
          <w:tcPr>
            <w:tcW w:w="640" w:type="pct"/>
            <w:gridSpan w:val="2"/>
            <w:tcBorders>
              <w:top w:val="nil"/>
              <w:left w:val="nil"/>
              <w:bottom w:val="single" w:color="auto" w:sz="4" w:space="0"/>
              <w:right w:val="single" w:color="auto" w:sz="4" w:space="0"/>
            </w:tcBorders>
            <w:vAlign w:val="center"/>
          </w:tcPr>
          <w:p w14:paraId="09F7D4FC">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442" w:type="pct"/>
            <w:gridSpan w:val="2"/>
            <w:tcBorders>
              <w:top w:val="nil"/>
              <w:left w:val="nil"/>
              <w:bottom w:val="single" w:color="auto" w:sz="4" w:space="0"/>
              <w:right w:val="single" w:color="auto" w:sz="4" w:space="0"/>
            </w:tcBorders>
            <w:vAlign w:val="center"/>
          </w:tcPr>
          <w:p w14:paraId="03B26B5E">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项目业主服务工作</w:t>
            </w:r>
          </w:p>
        </w:tc>
        <w:tc>
          <w:tcPr>
            <w:tcW w:w="2059" w:type="pct"/>
            <w:tcBorders>
              <w:top w:val="nil"/>
              <w:left w:val="nil"/>
              <w:bottom w:val="single" w:color="auto" w:sz="4" w:space="0"/>
              <w:right w:val="single" w:color="auto" w:sz="4" w:space="0"/>
            </w:tcBorders>
            <w:vAlign w:val="center"/>
          </w:tcPr>
          <w:p w14:paraId="6ECDA1E1">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目前项目交付总户数户，按照人均800户服务计算、包含办公室前台工作和来访人员前台接待工作</w:t>
            </w:r>
          </w:p>
        </w:tc>
      </w:tr>
      <w:tr w14:paraId="7EFA5479">
        <w:tblPrEx>
          <w:tblCellMar>
            <w:top w:w="0" w:type="dxa"/>
            <w:left w:w="108" w:type="dxa"/>
            <w:bottom w:w="0" w:type="dxa"/>
            <w:right w:w="108" w:type="dxa"/>
          </w:tblCellMar>
        </w:tblPrEx>
        <w:trPr>
          <w:gridBefore w:val="1"/>
          <w:wBefore w:w="4" w:type="pct"/>
          <w:trHeight w:val="424" w:hRule="atLeast"/>
        </w:trPr>
        <w:tc>
          <w:tcPr>
            <w:tcW w:w="4995" w:type="pct"/>
            <w:gridSpan w:val="8"/>
            <w:tcBorders>
              <w:top w:val="nil"/>
              <w:left w:val="single" w:color="auto" w:sz="4" w:space="0"/>
              <w:bottom w:val="single" w:color="auto" w:sz="4" w:space="0"/>
              <w:right w:val="single" w:color="auto" w:sz="4" w:space="0"/>
            </w:tcBorders>
            <w:vAlign w:val="center"/>
          </w:tcPr>
          <w:p w14:paraId="556AD857">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工程管理部(常白班）</w:t>
            </w:r>
          </w:p>
        </w:tc>
      </w:tr>
      <w:tr w14:paraId="73ACB6B4">
        <w:tblPrEx>
          <w:tblCellMar>
            <w:top w:w="0" w:type="dxa"/>
            <w:left w:w="108" w:type="dxa"/>
            <w:bottom w:w="0" w:type="dxa"/>
            <w:right w:w="108" w:type="dxa"/>
          </w:tblCellMar>
        </w:tblPrEx>
        <w:trPr>
          <w:gridBefore w:val="1"/>
          <w:wBefore w:w="4" w:type="pct"/>
          <w:trHeight w:val="885" w:hRule="atLeast"/>
        </w:trPr>
        <w:tc>
          <w:tcPr>
            <w:tcW w:w="317" w:type="pct"/>
            <w:tcBorders>
              <w:top w:val="nil"/>
              <w:left w:val="single" w:color="auto" w:sz="4" w:space="0"/>
              <w:bottom w:val="single" w:color="auto" w:sz="4" w:space="0"/>
              <w:right w:val="single" w:color="auto" w:sz="4" w:space="0"/>
            </w:tcBorders>
            <w:vAlign w:val="center"/>
          </w:tcPr>
          <w:p w14:paraId="6487A21C">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535" w:type="pct"/>
            <w:gridSpan w:val="2"/>
            <w:tcBorders>
              <w:top w:val="nil"/>
              <w:left w:val="nil"/>
              <w:bottom w:val="single" w:color="auto" w:sz="4" w:space="0"/>
              <w:right w:val="single" w:color="auto" w:sz="4" w:space="0"/>
            </w:tcBorders>
            <w:vAlign w:val="center"/>
          </w:tcPr>
          <w:p w14:paraId="42630BA0">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工程人员</w:t>
            </w:r>
          </w:p>
        </w:tc>
        <w:tc>
          <w:tcPr>
            <w:tcW w:w="640" w:type="pct"/>
            <w:gridSpan w:val="2"/>
            <w:tcBorders>
              <w:top w:val="nil"/>
              <w:left w:val="nil"/>
              <w:bottom w:val="single" w:color="auto" w:sz="4" w:space="0"/>
              <w:right w:val="single" w:color="auto" w:sz="4" w:space="0"/>
            </w:tcBorders>
            <w:vAlign w:val="center"/>
          </w:tcPr>
          <w:p w14:paraId="6CC1D1D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442" w:type="pct"/>
            <w:gridSpan w:val="2"/>
            <w:tcBorders>
              <w:top w:val="nil"/>
              <w:left w:val="nil"/>
              <w:bottom w:val="single" w:color="auto" w:sz="4" w:space="0"/>
              <w:right w:val="single" w:color="auto" w:sz="4" w:space="0"/>
            </w:tcBorders>
            <w:vAlign w:val="center"/>
          </w:tcPr>
          <w:p w14:paraId="629C0157">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负责小区内各类设备设施的运行、维护保养以及维修</w:t>
            </w:r>
          </w:p>
          <w:p w14:paraId="15EC5786">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事宜</w:t>
            </w:r>
          </w:p>
        </w:tc>
        <w:tc>
          <w:tcPr>
            <w:tcW w:w="2059" w:type="pct"/>
            <w:tcBorders>
              <w:top w:val="nil"/>
              <w:left w:val="nil"/>
              <w:bottom w:val="single" w:color="auto" w:sz="4" w:space="0"/>
              <w:right w:val="single" w:color="auto" w:sz="4" w:space="0"/>
            </w:tcBorders>
            <w:vAlign w:val="center"/>
          </w:tcPr>
          <w:p w14:paraId="26E67F41">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p>
        </w:tc>
      </w:tr>
      <w:tr w14:paraId="04E5E76C">
        <w:tblPrEx>
          <w:tblCellMar>
            <w:top w:w="0" w:type="dxa"/>
            <w:left w:w="108" w:type="dxa"/>
            <w:bottom w:w="0" w:type="dxa"/>
            <w:right w:w="108" w:type="dxa"/>
          </w:tblCellMar>
        </w:tblPrEx>
        <w:trPr>
          <w:gridBefore w:val="1"/>
          <w:wBefore w:w="4" w:type="pct"/>
          <w:trHeight w:val="499" w:hRule="atLeast"/>
        </w:trPr>
        <w:tc>
          <w:tcPr>
            <w:tcW w:w="4995" w:type="pct"/>
            <w:gridSpan w:val="8"/>
            <w:tcBorders>
              <w:top w:val="nil"/>
              <w:left w:val="single" w:color="auto" w:sz="4" w:space="0"/>
              <w:bottom w:val="single" w:color="auto" w:sz="4" w:space="0"/>
              <w:right w:val="single" w:color="auto" w:sz="4" w:space="0"/>
            </w:tcBorders>
            <w:vAlign w:val="center"/>
          </w:tcPr>
          <w:p w14:paraId="43EA0C47">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秩序维护部(24小时工作制）</w:t>
            </w:r>
          </w:p>
        </w:tc>
      </w:tr>
      <w:tr w14:paraId="459E01EB">
        <w:tblPrEx>
          <w:tblCellMar>
            <w:top w:w="0" w:type="dxa"/>
            <w:left w:w="108" w:type="dxa"/>
            <w:bottom w:w="0" w:type="dxa"/>
            <w:right w:w="108" w:type="dxa"/>
          </w:tblCellMar>
        </w:tblPrEx>
        <w:trPr>
          <w:gridBefore w:val="1"/>
          <w:wBefore w:w="4" w:type="pct"/>
          <w:trHeight w:val="630" w:hRule="atLeast"/>
        </w:trPr>
        <w:tc>
          <w:tcPr>
            <w:tcW w:w="317" w:type="pct"/>
            <w:tcBorders>
              <w:top w:val="nil"/>
              <w:left w:val="single" w:color="auto" w:sz="4" w:space="0"/>
              <w:bottom w:val="single" w:color="auto" w:sz="4" w:space="0"/>
              <w:right w:val="single" w:color="auto" w:sz="4" w:space="0"/>
            </w:tcBorders>
            <w:vAlign w:val="center"/>
          </w:tcPr>
          <w:p w14:paraId="02EBD5BB">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1</w:t>
            </w:r>
          </w:p>
        </w:tc>
        <w:tc>
          <w:tcPr>
            <w:tcW w:w="535" w:type="pct"/>
            <w:gridSpan w:val="2"/>
            <w:tcBorders>
              <w:top w:val="nil"/>
              <w:left w:val="nil"/>
              <w:bottom w:val="single" w:color="auto" w:sz="4" w:space="0"/>
              <w:right w:val="single" w:color="auto" w:sz="4" w:space="0"/>
            </w:tcBorders>
            <w:vAlign w:val="center"/>
          </w:tcPr>
          <w:p w14:paraId="2C7322F4">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安保队长</w:t>
            </w:r>
          </w:p>
        </w:tc>
        <w:tc>
          <w:tcPr>
            <w:tcW w:w="640" w:type="pct"/>
            <w:gridSpan w:val="2"/>
            <w:tcBorders>
              <w:top w:val="nil"/>
              <w:left w:val="nil"/>
              <w:bottom w:val="single" w:color="auto" w:sz="4" w:space="0"/>
              <w:right w:val="single" w:color="auto" w:sz="4" w:space="0"/>
            </w:tcBorders>
            <w:vAlign w:val="center"/>
          </w:tcPr>
          <w:p w14:paraId="5810B113">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442" w:type="pct"/>
            <w:gridSpan w:val="2"/>
            <w:tcBorders>
              <w:top w:val="nil"/>
              <w:left w:val="nil"/>
              <w:bottom w:val="single" w:color="auto" w:sz="4" w:space="0"/>
              <w:right w:val="single" w:color="auto" w:sz="4" w:space="0"/>
            </w:tcBorders>
            <w:vAlign w:val="center"/>
          </w:tcPr>
          <w:p w14:paraId="13660CDB">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负责项目秩序维护统筹安排等工作</w:t>
            </w:r>
          </w:p>
        </w:tc>
        <w:tc>
          <w:tcPr>
            <w:tcW w:w="2059" w:type="pct"/>
            <w:tcBorders>
              <w:top w:val="nil"/>
              <w:left w:val="nil"/>
              <w:bottom w:val="single" w:color="auto" w:sz="4" w:space="0"/>
              <w:right w:val="single" w:color="auto" w:sz="4" w:space="0"/>
            </w:tcBorders>
            <w:vAlign w:val="center"/>
          </w:tcPr>
          <w:p w14:paraId="4D07F710">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项目两班倒</w:t>
            </w:r>
          </w:p>
        </w:tc>
      </w:tr>
      <w:tr w14:paraId="43880189">
        <w:tblPrEx>
          <w:tblCellMar>
            <w:top w:w="0" w:type="dxa"/>
            <w:left w:w="108" w:type="dxa"/>
            <w:bottom w:w="0" w:type="dxa"/>
            <w:right w:w="108" w:type="dxa"/>
          </w:tblCellMar>
        </w:tblPrEx>
        <w:trPr>
          <w:gridBefore w:val="1"/>
          <w:wBefore w:w="4" w:type="pct"/>
          <w:trHeight w:val="963" w:hRule="atLeast"/>
        </w:trPr>
        <w:tc>
          <w:tcPr>
            <w:tcW w:w="317" w:type="pct"/>
            <w:tcBorders>
              <w:top w:val="nil"/>
              <w:left w:val="single" w:color="auto" w:sz="4" w:space="0"/>
              <w:bottom w:val="single" w:color="auto" w:sz="4" w:space="0"/>
              <w:right w:val="single" w:color="auto" w:sz="4" w:space="0"/>
            </w:tcBorders>
            <w:vAlign w:val="center"/>
          </w:tcPr>
          <w:p w14:paraId="59BC7DCB">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2</w:t>
            </w:r>
          </w:p>
        </w:tc>
        <w:tc>
          <w:tcPr>
            <w:tcW w:w="535" w:type="pct"/>
            <w:gridSpan w:val="2"/>
            <w:tcBorders>
              <w:top w:val="nil"/>
              <w:left w:val="nil"/>
              <w:bottom w:val="single" w:color="auto" w:sz="4" w:space="0"/>
              <w:right w:val="single" w:color="auto" w:sz="4" w:space="0"/>
            </w:tcBorders>
            <w:vAlign w:val="center"/>
          </w:tcPr>
          <w:p w14:paraId="2F32C464">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门岗执勤人员</w:t>
            </w:r>
          </w:p>
        </w:tc>
        <w:tc>
          <w:tcPr>
            <w:tcW w:w="640" w:type="pct"/>
            <w:gridSpan w:val="2"/>
            <w:tcBorders>
              <w:top w:val="nil"/>
              <w:left w:val="nil"/>
              <w:bottom w:val="single" w:color="auto" w:sz="4" w:space="0"/>
              <w:right w:val="single" w:color="auto" w:sz="4" w:space="0"/>
            </w:tcBorders>
            <w:vAlign w:val="center"/>
          </w:tcPr>
          <w:p w14:paraId="49A4FC88">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442" w:type="pct"/>
            <w:gridSpan w:val="2"/>
            <w:tcBorders>
              <w:top w:val="nil"/>
              <w:left w:val="nil"/>
              <w:bottom w:val="single" w:color="auto" w:sz="4" w:space="0"/>
              <w:right w:val="single" w:color="auto" w:sz="4" w:space="0"/>
            </w:tcBorders>
            <w:vAlign w:val="center"/>
          </w:tcPr>
          <w:p w14:paraId="5978BCD4">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负责项目门岗执勤工作，白班及晚班</w:t>
            </w:r>
          </w:p>
        </w:tc>
        <w:tc>
          <w:tcPr>
            <w:tcW w:w="2059" w:type="pct"/>
            <w:tcBorders>
              <w:top w:val="nil"/>
              <w:left w:val="nil"/>
              <w:bottom w:val="single" w:color="auto" w:sz="4" w:space="0"/>
              <w:right w:val="single" w:color="auto" w:sz="4" w:space="0"/>
            </w:tcBorders>
            <w:vAlign w:val="center"/>
          </w:tcPr>
          <w:p w14:paraId="07F0FF8A">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项目主门岗2个，主岀入口及人行岀入口，门岗采用车辆/人脸识别系统，主管外来人员机动车及非机动车车辆进岀等）</w:t>
            </w:r>
          </w:p>
        </w:tc>
      </w:tr>
      <w:tr w14:paraId="469380C3">
        <w:tblPrEx>
          <w:tblCellMar>
            <w:top w:w="0" w:type="dxa"/>
            <w:left w:w="108" w:type="dxa"/>
            <w:bottom w:w="0" w:type="dxa"/>
            <w:right w:w="108" w:type="dxa"/>
          </w:tblCellMar>
        </w:tblPrEx>
        <w:trPr>
          <w:gridBefore w:val="1"/>
          <w:wBefore w:w="4" w:type="pct"/>
          <w:trHeight w:val="540" w:hRule="atLeast"/>
        </w:trPr>
        <w:tc>
          <w:tcPr>
            <w:tcW w:w="317" w:type="pct"/>
            <w:tcBorders>
              <w:top w:val="nil"/>
              <w:left w:val="single" w:color="auto" w:sz="4" w:space="0"/>
              <w:bottom w:val="single" w:color="auto" w:sz="4" w:space="0"/>
              <w:right w:val="single" w:color="auto" w:sz="4" w:space="0"/>
            </w:tcBorders>
            <w:vAlign w:val="center"/>
          </w:tcPr>
          <w:p w14:paraId="53AFCBA5">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3</w:t>
            </w:r>
          </w:p>
        </w:tc>
        <w:tc>
          <w:tcPr>
            <w:tcW w:w="535" w:type="pct"/>
            <w:gridSpan w:val="2"/>
            <w:tcBorders>
              <w:top w:val="nil"/>
              <w:left w:val="nil"/>
              <w:bottom w:val="single" w:color="auto" w:sz="4" w:space="0"/>
              <w:right w:val="single" w:color="auto" w:sz="4" w:space="0"/>
            </w:tcBorders>
            <w:vAlign w:val="center"/>
          </w:tcPr>
          <w:p w14:paraId="1A2461D8">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监控岗</w:t>
            </w:r>
          </w:p>
        </w:tc>
        <w:tc>
          <w:tcPr>
            <w:tcW w:w="640" w:type="pct"/>
            <w:gridSpan w:val="2"/>
            <w:tcBorders>
              <w:top w:val="nil"/>
              <w:left w:val="nil"/>
              <w:bottom w:val="single" w:color="auto" w:sz="4" w:space="0"/>
              <w:right w:val="single" w:color="auto" w:sz="4" w:space="0"/>
            </w:tcBorders>
            <w:vAlign w:val="center"/>
          </w:tcPr>
          <w:p w14:paraId="00CA5A5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442" w:type="pct"/>
            <w:gridSpan w:val="2"/>
            <w:tcBorders>
              <w:top w:val="nil"/>
              <w:left w:val="nil"/>
              <w:bottom w:val="single" w:color="auto" w:sz="4" w:space="0"/>
              <w:right w:val="single" w:color="auto" w:sz="4" w:space="0"/>
            </w:tcBorders>
            <w:vAlign w:val="center"/>
          </w:tcPr>
          <w:p w14:paraId="6DF857ED">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负责项目监控室执勤工作，白晚班各一人</w:t>
            </w:r>
          </w:p>
        </w:tc>
        <w:tc>
          <w:tcPr>
            <w:tcW w:w="2059" w:type="pct"/>
            <w:tcBorders>
              <w:top w:val="nil"/>
              <w:left w:val="nil"/>
              <w:bottom w:val="single" w:color="auto" w:sz="4" w:space="0"/>
              <w:right w:val="single" w:color="auto" w:sz="4" w:space="0"/>
            </w:tcBorders>
            <w:vAlign w:val="center"/>
          </w:tcPr>
          <w:p w14:paraId="6B521243">
            <w:pPr>
              <w:widowControl/>
              <w:jc w:val="left"/>
              <w:rPr>
                <w:rFonts w:hint="eastAsia" w:ascii="宋体" w:hAnsi="宋体" w:cs="宋体"/>
                <w:color w:val="auto"/>
                <w:kern w:val="0"/>
                <w:sz w:val="22"/>
                <w:highlight w:val="none"/>
              </w:rPr>
            </w:pPr>
          </w:p>
        </w:tc>
      </w:tr>
      <w:tr w14:paraId="442493F3">
        <w:tblPrEx>
          <w:tblCellMar>
            <w:top w:w="0" w:type="dxa"/>
            <w:left w:w="108" w:type="dxa"/>
            <w:bottom w:w="0" w:type="dxa"/>
            <w:right w:w="108" w:type="dxa"/>
          </w:tblCellMar>
        </w:tblPrEx>
        <w:trPr>
          <w:gridBefore w:val="1"/>
          <w:wBefore w:w="4" w:type="pct"/>
          <w:trHeight w:val="1080" w:hRule="atLeast"/>
        </w:trPr>
        <w:tc>
          <w:tcPr>
            <w:tcW w:w="317" w:type="pct"/>
            <w:tcBorders>
              <w:top w:val="nil"/>
              <w:left w:val="single" w:color="auto" w:sz="4" w:space="0"/>
              <w:bottom w:val="single" w:color="auto" w:sz="4" w:space="0"/>
              <w:right w:val="single" w:color="auto" w:sz="4" w:space="0"/>
            </w:tcBorders>
            <w:vAlign w:val="center"/>
          </w:tcPr>
          <w:p w14:paraId="23BF8C63">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4</w:t>
            </w:r>
          </w:p>
        </w:tc>
        <w:tc>
          <w:tcPr>
            <w:tcW w:w="535" w:type="pct"/>
            <w:gridSpan w:val="2"/>
            <w:tcBorders>
              <w:top w:val="nil"/>
              <w:left w:val="nil"/>
              <w:bottom w:val="single" w:color="auto" w:sz="4" w:space="0"/>
              <w:right w:val="single" w:color="auto" w:sz="4" w:space="0"/>
            </w:tcBorders>
            <w:vAlign w:val="center"/>
          </w:tcPr>
          <w:p w14:paraId="067979C0">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巡逻岗（车管员）</w:t>
            </w:r>
          </w:p>
        </w:tc>
        <w:tc>
          <w:tcPr>
            <w:tcW w:w="640" w:type="pct"/>
            <w:gridSpan w:val="2"/>
            <w:tcBorders>
              <w:top w:val="nil"/>
              <w:left w:val="nil"/>
              <w:bottom w:val="single" w:color="auto" w:sz="4" w:space="0"/>
              <w:right w:val="single" w:color="auto" w:sz="4" w:space="0"/>
            </w:tcBorders>
            <w:vAlign w:val="center"/>
          </w:tcPr>
          <w:p w14:paraId="7D406EAC">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442" w:type="pct"/>
            <w:gridSpan w:val="2"/>
            <w:tcBorders>
              <w:top w:val="nil"/>
              <w:left w:val="nil"/>
              <w:bottom w:val="single" w:color="auto" w:sz="4" w:space="0"/>
              <w:right w:val="single" w:color="auto" w:sz="4" w:space="0"/>
            </w:tcBorders>
            <w:vAlign w:val="center"/>
          </w:tcPr>
          <w:p w14:paraId="2BE2B7F8">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负责各交付区域内秩序维护工作、园区路面主干道管 控工作（包含车辆、堆积物等）</w:t>
            </w:r>
          </w:p>
        </w:tc>
        <w:tc>
          <w:tcPr>
            <w:tcW w:w="2059" w:type="pct"/>
            <w:tcBorders>
              <w:top w:val="nil"/>
              <w:left w:val="nil"/>
              <w:bottom w:val="single" w:color="auto" w:sz="4" w:space="0"/>
              <w:right w:val="single" w:color="auto" w:sz="4" w:space="0"/>
            </w:tcBorders>
            <w:vAlign w:val="center"/>
          </w:tcPr>
          <w:p w14:paraId="33B865C2">
            <w:pPr>
              <w:widowControl/>
              <w:jc w:val="left"/>
              <w:rPr>
                <w:rFonts w:hint="eastAsia" w:ascii="宋体" w:hAnsi="宋体" w:cs="宋体"/>
                <w:color w:val="auto"/>
                <w:kern w:val="0"/>
                <w:sz w:val="22"/>
                <w:highlight w:val="none"/>
              </w:rPr>
            </w:pPr>
          </w:p>
        </w:tc>
      </w:tr>
      <w:tr w14:paraId="7AC62A23">
        <w:tblPrEx>
          <w:tblCellMar>
            <w:top w:w="0" w:type="dxa"/>
            <w:left w:w="108" w:type="dxa"/>
            <w:bottom w:w="0" w:type="dxa"/>
            <w:right w:w="108" w:type="dxa"/>
          </w:tblCellMar>
        </w:tblPrEx>
        <w:trPr>
          <w:gridBefore w:val="1"/>
          <w:wBefore w:w="4" w:type="pct"/>
          <w:trHeight w:val="499" w:hRule="atLeast"/>
        </w:trPr>
        <w:tc>
          <w:tcPr>
            <w:tcW w:w="4995" w:type="pct"/>
            <w:gridSpan w:val="8"/>
            <w:tcBorders>
              <w:top w:val="nil"/>
              <w:left w:val="single" w:color="auto" w:sz="4" w:space="0"/>
              <w:bottom w:val="single" w:color="auto" w:sz="4" w:space="0"/>
              <w:right w:val="single" w:color="auto" w:sz="4" w:space="0"/>
            </w:tcBorders>
            <w:vAlign w:val="center"/>
          </w:tcPr>
          <w:p w14:paraId="4A4CAE43">
            <w:pPr>
              <w:widowControl/>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环境管理部（常白班）</w:t>
            </w:r>
          </w:p>
        </w:tc>
      </w:tr>
      <w:tr w14:paraId="4F3E8EE0">
        <w:tblPrEx>
          <w:tblCellMar>
            <w:top w:w="0" w:type="dxa"/>
            <w:left w:w="108" w:type="dxa"/>
            <w:bottom w:w="0" w:type="dxa"/>
            <w:right w:w="108" w:type="dxa"/>
          </w:tblCellMar>
        </w:tblPrEx>
        <w:trPr>
          <w:gridBefore w:val="1"/>
          <w:wBefore w:w="4" w:type="pct"/>
          <w:trHeight w:val="540" w:hRule="atLeast"/>
        </w:trPr>
        <w:tc>
          <w:tcPr>
            <w:tcW w:w="317" w:type="pct"/>
            <w:tcBorders>
              <w:top w:val="nil"/>
              <w:left w:val="single" w:color="auto" w:sz="4" w:space="0"/>
              <w:bottom w:val="single" w:color="auto" w:sz="4" w:space="0"/>
              <w:right w:val="single" w:color="auto" w:sz="4" w:space="0"/>
            </w:tcBorders>
            <w:vAlign w:val="center"/>
          </w:tcPr>
          <w:p w14:paraId="1F4B6CD7">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1</w:t>
            </w:r>
          </w:p>
        </w:tc>
        <w:tc>
          <w:tcPr>
            <w:tcW w:w="535" w:type="pct"/>
            <w:gridSpan w:val="2"/>
            <w:tcBorders>
              <w:top w:val="nil"/>
              <w:left w:val="nil"/>
              <w:bottom w:val="single" w:color="auto" w:sz="4" w:space="0"/>
              <w:right w:val="single" w:color="auto" w:sz="4" w:space="0"/>
            </w:tcBorders>
            <w:vAlign w:val="center"/>
          </w:tcPr>
          <w:p w14:paraId="2B9B2BC7">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保洁员</w:t>
            </w:r>
          </w:p>
        </w:tc>
        <w:tc>
          <w:tcPr>
            <w:tcW w:w="1266" w:type="dxa"/>
            <w:gridSpan w:val="2"/>
            <w:tcBorders>
              <w:top w:val="nil"/>
              <w:left w:val="nil"/>
              <w:bottom w:val="single" w:color="auto" w:sz="4" w:space="0"/>
              <w:right w:val="single" w:color="auto" w:sz="4" w:space="0"/>
            </w:tcBorders>
            <w:vAlign w:val="center"/>
          </w:tcPr>
          <w:p w14:paraId="7AEB498E">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1442" w:type="pct"/>
            <w:gridSpan w:val="2"/>
            <w:tcBorders>
              <w:top w:val="nil"/>
              <w:left w:val="nil"/>
              <w:bottom w:val="single" w:color="auto" w:sz="4" w:space="0"/>
              <w:right w:val="single" w:color="auto" w:sz="4" w:space="0"/>
            </w:tcBorders>
            <w:vAlign w:val="center"/>
          </w:tcPr>
          <w:p w14:paraId="2F71CBBE">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负责项目现场公共区域的环境卫生工作</w:t>
            </w:r>
          </w:p>
        </w:tc>
        <w:tc>
          <w:tcPr>
            <w:tcW w:w="2059" w:type="pct"/>
            <w:vMerge w:val="restart"/>
            <w:tcBorders>
              <w:top w:val="nil"/>
              <w:left w:val="single" w:color="auto" w:sz="4" w:space="0"/>
              <w:right w:val="single" w:color="auto" w:sz="4" w:space="0"/>
            </w:tcBorders>
            <w:vAlign w:val="center"/>
          </w:tcPr>
          <w:p w14:paraId="3BA1F4F1">
            <w:pPr>
              <w:widowControl/>
              <w:jc w:val="left"/>
              <w:rPr>
                <w:rFonts w:hint="eastAsia" w:ascii="宋体" w:hAnsi="宋体" w:cs="宋体"/>
                <w:b/>
                <w:color w:val="auto"/>
                <w:kern w:val="0"/>
                <w:sz w:val="22"/>
                <w:highlight w:val="none"/>
              </w:rPr>
            </w:pPr>
            <w:r>
              <w:rPr>
                <w:rFonts w:hint="eastAsia" w:ascii="宋体" w:hAnsi="宋体" w:cs="宋体"/>
                <w:bCs/>
                <w:color w:val="auto"/>
                <w:kern w:val="0"/>
                <w:sz w:val="22"/>
                <w:highlight w:val="none"/>
              </w:rPr>
              <w:t>目前项目总交付建筑面积为90562.09平方米，以人机结合为前提。</w:t>
            </w:r>
          </w:p>
        </w:tc>
      </w:tr>
      <w:tr w14:paraId="679C1B37">
        <w:tblPrEx>
          <w:tblCellMar>
            <w:top w:w="0" w:type="dxa"/>
            <w:left w:w="108" w:type="dxa"/>
            <w:bottom w:w="0" w:type="dxa"/>
            <w:right w:w="108" w:type="dxa"/>
          </w:tblCellMar>
        </w:tblPrEx>
        <w:trPr>
          <w:gridBefore w:val="1"/>
          <w:wBefore w:w="4" w:type="pct"/>
          <w:trHeight w:val="545" w:hRule="atLeast"/>
        </w:trPr>
        <w:tc>
          <w:tcPr>
            <w:tcW w:w="317" w:type="pct"/>
            <w:tcBorders>
              <w:top w:val="nil"/>
              <w:left w:val="single" w:color="auto" w:sz="4" w:space="0"/>
              <w:bottom w:val="single" w:color="auto" w:sz="4" w:space="0"/>
              <w:right w:val="single" w:color="auto" w:sz="4" w:space="0"/>
            </w:tcBorders>
            <w:vAlign w:val="center"/>
          </w:tcPr>
          <w:p w14:paraId="2DFC1299">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2</w:t>
            </w:r>
          </w:p>
        </w:tc>
        <w:tc>
          <w:tcPr>
            <w:tcW w:w="535" w:type="pct"/>
            <w:gridSpan w:val="2"/>
            <w:tcBorders>
              <w:top w:val="nil"/>
              <w:left w:val="nil"/>
              <w:bottom w:val="single" w:color="auto" w:sz="4" w:space="0"/>
              <w:right w:val="single" w:color="auto" w:sz="4" w:space="0"/>
            </w:tcBorders>
            <w:vAlign w:val="center"/>
          </w:tcPr>
          <w:p w14:paraId="3A624EA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垃圾分类专管员</w:t>
            </w:r>
          </w:p>
        </w:tc>
        <w:tc>
          <w:tcPr>
            <w:tcW w:w="1266" w:type="dxa"/>
            <w:gridSpan w:val="2"/>
            <w:tcBorders>
              <w:top w:val="nil"/>
              <w:left w:val="nil"/>
              <w:bottom w:val="single" w:color="auto" w:sz="4" w:space="0"/>
              <w:right w:val="single" w:color="auto" w:sz="4" w:space="0"/>
            </w:tcBorders>
            <w:vAlign w:val="center"/>
          </w:tcPr>
          <w:p w14:paraId="687012B0">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3</w:t>
            </w:r>
          </w:p>
        </w:tc>
        <w:tc>
          <w:tcPr>
            <w:tcW w:w="1442" w:type="pct"/>
            <w:gridSpan w:val="2"/>
            <w:tcBorders>
              <w:top w:val="nil"/>
              <w:left w:val="nil"/>
              <w:bottom w:val="single" w:color="auto" w:sz="4" w:space="0"/>
              <w:right w:val="single" w:color="auto" w:sz="4" w:space="0"/>
            </w:tcBorders>
            <w:vAlign w:val="center"/>
          </w:tcPr>
          <w:p w14:paraId="2E89E8B8">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负责小区内整体垃圾分类工作</w:t>
            </w:r>
          </w:p>
        </w:tc>
        <w:tc>
          <w:tcPr>
            <w:tcW w:w="2059" w:type="pct"/>
            <w:vMerge w:val="continue"/>
            <w:tcBorders>
              <w:left w:val="single" w:color="auto" w:sz="4" w:space="0"/>
              <w:right w:val="single" w:color="auto" w:sz="4" w:space="0"/>
            </w:tcBorders>
            <w:vAlign w:val="center"/>
          </w:tcPr>
          <w:p w14:paraId="7BB19B34">
            <w:pPr>
              <w:widowControl/>
              <w:jc w:val="left"/>
              <w:rPr>
                <w:rFonts w:hint="eastAsia" w:ascii="宋体" w:hAnsi="宋体" w:cs="宋体"/>
                <w:b/>
                <w:color w:val="auto"/>
                <w:kern w:val="0"/>
                <w:sz w:val="22"/>
                <w:highlight w:val="none"/>
              </w:rPr>
            </w:pPr>
          </w:p>
        </w:tc>
      </w:tr>
      <w:tr w14:paraId="1B598B97">
        <w:tblPrEx>
          <w:tblCellMar>
            <w:top w:w="0" w:type="dxa"/>
            <w:left w:w="108" w:type="dxa"/>
            <w:bottom w:w="0" w:type="dxa"/>
            <w:right w:w="108" w:type="dxa"/>
          </w:tblCellMar>
        </w:tblPrEx>
        <w:trPr>
          <w:gridBefore w:val="1"/>
          <w:wBefore w:w="4" w:type="pct"/>
          <w:trHeight w:val="496" w:hRule="atLeast"/>
        </w:trPr>
        <w:tc>
          <w:tcPr>
            <w:tcW w:w="317" w:type="pct"/>
            <w:tcBorders>
              <w:top w:val="nil"/>
              <w:left w:val="single" w:color="auto" w:sz="4" w:space="0"/>
              <w:bottom w:val="single" w:color="auto" w:sz="4" w:space="0"/>
              <w:right w:val="single" w:color="auto" w:sz="4" w:space="0"/>
            </w:tcBorders>
            <w:vAlign w:val="center"/>
          </w:tcPr>
          <w:p w14:paraId="6ACCFA99">
            <w:pPr>
              <w:widowControl/>
              <w:jc w:val="center"/>
              <w:rPr>
                <w:rFonts w:hint="eastAsia" w:ascii="宋体" w:hAnsi="宋体" w:cs="宋体"/>
                <w:b/>
                <w:color w:val="auto"/>
                <w:kern w:val="0"/>
                <w:sz w:val="22"/>
                <w:highlight w:val="none"/>
              </w:rPr>
            </w:pPr>
            <w:r>
              <w:rPr>
                <w:rFonts w:hint="eastAsia" w:ascii="宋体" w:hAnsi="宋体" w:cs="宋体"/>
                <w:b/>
                <w:color w:val="auto"/>
                <w:kern w:val="0"/>
                <w:sz w:val="22"/>
                <w:highlight w:val="none"/>
              </w:rPr>
              <w:t>3</w:t>
            </w:r>
          </w:p>
        </w:tc>
        <w:tc>
          <w:tcPr>
            <w:tcW w:w="535" w:type="pct"/>
            <w:gridSpan w:val="2"/>
            <w:tcBorders>
              <w:top w:val="nil"/>
              <w:left w:val="nil"/>
              <w:bottom w:val="single" w:color="auto" w:sz="4" w:space="0"/>
              <w:right w:val="single" w:color="auto" w:sz="4" w:space="0"/>
            </w:tcBorders>
            <w:vAlign w:val="center"/>
          </w:tcPr>
          <w:p w14:paraId="54B6B5D1">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绿化工</w:t>
            </w:r>
          </w:p>
        </w:tc>
        <w:tc>
          <w:tcPr>
            <w:tcW w:w="1266" w:type="dxa"/>
            <w:gridSpan w:val="2"/>
            <w:tcBorders>
              <w:top w:val="nil"/>
              <w:left w:val="nil"/>
              <w:bottom w:val="single" w:color="auto" w:sz="4" w:space="0"/>
              <w:right w:val="single" w:color="auto" w:sz="4" w:space="0"/>
            </w:tcBorders>
            <w:vAlign w:val="center"/>
          </w:tcPr>
          <w:p w14:paraId="006A050C">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442" w:type="pct"/>
            <w:gridSpan w:val="2"/>
            <w:tcBorders>
              <w:top w:val="nil"/>
              <w:left w:val="nil"/>
              <w:bottom w:val="single" w:color="auto" w:sz="4" w:space="0"/>
              <w:right w:val="single" w:color="auto" w:sz="4" w:space="0"/>
            </w:tcBorders>
            <w:vAlign w:val="center"/>
          </w:tcPr>
          <w:p w14:paraId="7E5042F8">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负责现场的绿化工作</w:t>
            </w:r>
          </w:p>
        </w:tc>
        <w:tc>
          <w:tcPr>
            <w:tcW w:w="2059" w:type="pct"/>
            <w:vMerge w:val="continue"/>
            <w:tcBorders>
              <w:left w:val="single" w:color="auto" w:sz="4" w:space="0"/>
              <w:bottom w:val="single" w:color="auto" w:sz="4" w:space="0"/>
              <w:right w:val="single" w:color="auto" w:sz="4" w:space="0"/>
            </w:tcBorders>
            <w:vAlign w:val="center"/>
          </w:tcPr>
          <w:p w14:paraId="68262B57">
            <w:pPr>
              <w:widowControl/>
              <w:jc w:val="left"/>
              <w:rPr>
                <w:rFonts w:hint="eastAsia" w:ascii="宋体" w:hAnsi="宋体" w:cs="宋体"/>
                <w:b/>
                <w:color w:val="auto"/>
                <w:kern w:val="0"/>
                <w:sz w:val="22"/>
                <w:highlight w:val="none"/>
              </w:rPr>
            </w:pPr>
          </w:p>
        </w:tc>
      </w:tr>
      <w:tr w14:paraId="074312E0">
        <w:tblPrEx>
          <w:tblCellMar>
            <w:top w:w="0" w:type="dxa"/>
            <w:left w:w="108" w:type="dxa"/>
            <w:bottom w:w="0" w:type="dxa"/>
            <w:right w:w="108" w:type="dxa"/>
          </w:tblCellMar>
        </w:tblPrEx>
        <w:trPr>
          <w:gridBefore w:val="1"/>
          <w:wBefore w:w="4" w:type="pct"/>
          <w:trHeight w:val="512" w:hRule="atLeast"/>
        </w:trPr>
        <w:tc>
          <w:tcPr>
            <w:tcW w:w="853" w:type="pct"/>
            <w:gridSpan w:val="3"/>
            <w:tcBorders>
              <w:top w:val="nil"/>
              <w:left w:val="single" w:color="auto" w:sz="4" w:space="0"/>
              <w:bottom w:val="single" w:color="auto" w:sz="4" w:space="0"/>
              <w:right w:val="single" w:color="auto" w:sz="4" w:space="0"/>
            </w:tcBorders>
            <w:vAlign w:val="center"/>
          </w:tcPr>
          <w:p w14:paraId="554CD14F">
            <w:pPr>
              <w:widowControl/>
              <w:jc w:val="center"/>
              <w:rPr>
                <w:rFonts w:hint="eastAsia" w:ascii="宋体" w:hAnsi="宋体" w:cs="宋体"/>
                <w:bCs/>
                <w:color w:val="auto"/>
                <w:kern w:val="0"/>
                <w:sz w:val="22"/>
                <w:highlight w:val="none"/>
              </w:rPr>
            </w:pPr>
            <w:r>
              <w:rPr>
                <w:rFonts w:hint="eastAsia" w:ascii="宋体" w:hAnsi="宋体" w:cs="宋体"/>
                <w:b/>
                <w:color w:val="auto"/>
                <w:kern w:val="0"/>
                <w:sz w:val="22"/>
                <w:highlight w:val="none"/>
              </w:rPr>
              <w:t>　</w:t>
            </w:r>
            <w:r>
              <w:rPr>
                <w:rFonts w:hint="eastAsia" w:ascii="宋体" w:hAnsi="宋体" w:cs="宋体"/>
                <w:bCs/>
                <w:color w:val="auto"/>
                <w:kern w:val="0"/>
                <w:sz w:val="22"/>
                <w:highlight w:val="none"/>
              </w:rPr>
              <w:t>合计</w:t>
            </w:r>
          </w:p>
        </w:tc>
        <w:tc>
          <w:tcPr>
            <w:tcW w:w="1266" w:type="dxa"/>
            <w:gridSpan w:val="2"/>
            <w:tcBorders>
              <w:top w:val="nil"/>
              <w:left w:val="nil"/>
              <w:bottom w:val="single" w:color="auto" w:sz="4" w:space="0"/>
              <w:right w:val="single" w:color="auto" w:sz="4" w:space="0"/>
            </w:tcBorders>
            <w:vAlign w:val="center"/>
          </w:tcPr>
          <w:p w14:paraId="7F06990A">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25</w:t>
            </w:r>
          </w:p>
        </w:tc>
        <w:tc>
          <w:tcPr>
            <w:tcW w:w="3502" w:type="pct"/>
            <w:gridSpan w:val="3"/>
            <w:tcBorders>
              <w:top w:val="nil"/>
              <w:left w:val="nil"/>
              <w:bottom w:val="single" w:color="auto" w:sz="4" w:space="0"/>
              <w:right w:val="single" w:color="auto" w:sz="4" w:space="0"/>
            </w:tcBorders>
            <w:vAlign w:val="center"/>
          </w:tcPr>
          <w:p w14:paraId="3B2A1091">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p w14:paraId="57CA4EEF">
            <w:pPr>
              <w:widowControl/>
              <w:jc w:val="center"/>
              <w:rPr>
                <w:rFonts w:hint="eastAsia" w:ascii="宋体" w:hAnsi="宋体" w:cs="宋体"/>
                <w:b/>
                <w:color w:val="auto"/>
                <w:kern w:val="0"/>
                <w:sz w:val="22"/>
                <w:highlight w:val="none"/>
              </w:rPr>
            </w:pPr>
            <w:r>
              <w:rPr>
                <w:rFonts w:hint="eastAsia" w:ascii="宋体" w:hAnsi="宋体" w:cs="宋体"/>
                <w:bCs/>
                <w:color w:val="auto"/>
                <w:kern w:val="0"/>
                <w:sz w:val="22"/>
                <w:highlight w:val="none"/>
              </w:rPr>
              <w:t>/　</w:t>
            </w:r>
          </w:p>
        </w:tc>
      </w:tr>
    </w:tbl>
    <w:p w14:paraId="3337CC01">
      <w:pPr>
        <w:rPr>
          <w:rFonts w:hint="eastAsia" w:ascii="宋体" w:hAnsi="宋体" w:cs="宋体"/>
          <w:b/>
          <w:bCs/>
          <w:color w:val="auto"/>
          <w:highlight w:val="none"/>
        </w:rPr>
      </w:pPr>
    </w:p>
    <w:p w14:paraId="7E9A17C7">
      <w:pPr>
        <w:spacing w:line="460" w:lineRule="exact"/>
        <w:rPr>
          <w:rFonts w:hint="eastAsia" w:ascii="宋体" w:hAnsi="宋体" w:cs="宋体"/>
          <w:b/>
          <w:bCs/>
          <w:color w:val="auto"/>
          <w:highlight w:val="none"/>
        </w:rPr>
        <w:sectPr>
          <w:pgSz w:w="11906" w:h="16838"/>
          <w:pgMar w:top="1276" w:right="1418" w:bottom="1247" w:left="1418" w:header="851" w:footer="992" w:gutter="0"/>
          <w:cols w:space="720" w:num="1"/>
          <w:titlePg/>
          <w:docGrid w:linePitch="312" w:charSpace="0"/>
        </w:sectPr>
      </w:pPr>
    </w:p>
    <w:p w14:paraId="788F3031">
      <w:pPr>
        <w:spacing w:line="360" w:lineRule="auto"/>
        <w:jc w:val="left"/>
        <w:textAlignment w:val="baseline"/>
        <w:rPr>
          <w:rFonts w:hint="eastAsia" w:ascii="宋体" w:hAnsi="宋体"/>
          <w:b/>
          <w:bCs/>
          <w:color w:val="auto"/>
          <w:highlight w:val="none"/>
        </w:rPr>
      </w:pPr>
      <w:r>
        <w:rPr>
          <w:rFonts w:hint="eastAsia" w:ascii="宋体" w:hAnsi="宋体"/>
          <w:b/>
          <w:bCs/>
          <w:color w:val="auto"/>
          <w:highlight w:val="none"/>
        </w:rPr>
        <w:t xml:space="preserve">附件二：                    </w:t>
      </w:r>
    </w:p>
    <w:p w14:paraId="2838AE3B">
      <w:pPr>
        <w:spacing w:line="360" w:lineRule="auto"/>
        <w:ind w:firstLine="4337" w:firstLineChars="1800"/>
        <w:jc w:val="left"/>
        <w:textAlignment w:val="baseline"/>
        <w:rPr>
          <w:rFonts w:hint="eastAsia" w:ascii="宋体" w:hAnsi="宋体" w:cs="宋体"/>
          <w:b/>
          <w:bCs/>
          <w:color w:val="auto"/>
          <w:highlight w:val="none"/>
        </w:rPr>
      </w:pPr>
      <w:r>
        <w:rPr>
          <w:rFonts w:hint="eastAsia" w:ascii="宋体" w:hAnsi="宋体" w:cs="宋体"/>
          <w:b/>
          <w:color w:val="auto"/>
          <w:highlight w:val="none"/>
        </w:rPr>
        <w:t>半</w:t>
      </w:r>
      <w:r>
        <w:rPr>
          <w:rFonts w:hint="eastAsia" w:ascii="宋体" w:hAnsi="宋体" w:cs="宋体"/>
          <w:b/>
          <w:bCs/>
          <w:color w:val="auto"/>
          <w:highlight w:val="none"/>
        </w:rPr>
        <w:t>山街道杭玻阔板桥社区（老旧小区）物业菜单式服务标准</w:t>
      </w:r>
    </w:p>
    <w:p w14:paraId="2180CC9A">
      <w:pPr>
        <w:widowControl/>
        <w:spacing w:before="225"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一、综合管理服务标准</w:t>
      </w:r>
    </w:p>
    <w:tbl>
      <w:tblPr>
        <w:tblStyle w:val="18"/>
        <w:tblW w:w="1329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1"/>
        <w:gridCol w:w="1074"/>
        <w:gridCol w:w="11596"/>
      </w:tblGrid>
      <w:tr w14:paraId="3BB2C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blCellSpacing w:w="0" w:type="dxa"/>
          <w:jc w:val="center"/>
        </w:trPr>
        <w:tc>
          <w:tcPr>
            <w:tcW w:w="621" w:type="dxa"/>
            <w:vAlign w:val="center"/>
          </w:tcPr>
          <w:p w14:paraId="6535E824">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序号</w:t>
            </w:r>
          </w:p>
        </w:tc>
        <w:tc>
          <w:tcPr>
            <w:tcW w:w="1074" w:type="dxa"/>
            <w:vAlign w:val="center"/>
          </w:tcPr>
          <w:p w14:paraId="60178FC2">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11596" w:type="dxa"/>
            <w:vAlign w:val="center"/>
          </w:tcPr>
          <w:p w14:paraId="02F2E7C9">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01D6B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jc w:val="center"/>
        </w:trPr>
        <w:tc>
          <w:tcPr>
            <w:tcW w:w="621" w:type="dxa"/>
            <w:vAlign w:val="center"/>
          </w:tcPr>
          <w:p w14:paraId="54E86E1E">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w:t>
            </w:r>
          </w:p>
        </w:tc>
        <w:tc>
          <w:tcPr>
            <w:tcW w:w="1074" w:type="dxa"/>
            <w:vAlign w:val="center"/>
          </w:tcPr>
          <w:p w14:paraId="73D55E1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管理处/服务中心设置</w:t>
            </w:r>
          </w:p>
        </w:tc>
        <w:tc>
          <w:tcPr>
            <w:tcW w:w="11596" w:type="dxa"/>
            <w:vAlign w:val="center"/>
          </w:tcPr>
          <w:p w14:paraId="5B87BFD2">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小区内设置专门的管理处/服务中心办公机构，办公设施设备较先进完备，应用计算机等现代化管理手段进行科学管理，办公场所整洁有序。</w:t>
            </w:r>
          </w:p>
        </w:tc>
      </w:tr>
      <w:tr w14:paraId="7652B4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jc w:val="center"/>
        </w:trPr>
        <w:tc>
          <w:tcPr>
            <w:tcW w:w="621" w:type="dxa"/>
            <w:vAlign w:val="center"/>
          </w:tcPr>
          <w:p w14:paraId="24C186B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2</w:t>
            </w:r>
          </w:p>
        </w:tc>
        <w:tc>
          <w:tcPr>
            <w:tcW w:w="1074" w:type="dxa"/>
            <w:vAlign w:val="center"/>
          </w:tcPr>
          <w:p w14:paraId="2F5A828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管理服务</w:t>
            </w:r>
          </w:p>
          <w:p w14:paraId="3E4EA101">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人员要求</w:t>
            </w:r>
          </w:p>
        </w:tc>
        <w:tc>
          <w:tcPr>
            <w:tcW w:w="11596" w:type="dxa"/>
            <w:vAlign w:val="center"/>
          </w:tcPr>
          <w:p w14:paraId="69837808">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1.管理人员、专业操作人员按照国家有关规定取得物业管理职业资格证书或岗位证书。</w:t>
            </w:r>
          </w:p>
          <w:p w14:paraId="73A0AE7C">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2.管理服务人员着装统一、佩戴标志，行为规范，服务主动、热情。</w:t>
            </w:r>
          </w:p>
        </w:tc>
      </w:tr>
      <w:tr w14:paraId="0D1721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 w:hRule="atLeast"/>
          <w:tblCellSpacing w:w="0" w:type="dxa"/>
          <w:jc w:val="center"/>
        </w:trPr>
        <w:tc>
          <w:tcPr>
            <w:tcW w:w="621" w:type="dxa"/>
            <w:vAlign w:val="center"/>
          </w:tcPr>
          <w:p w14:paraId="5DD9AFA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3</w:t>
            </w:r>
          </w:p>
        </w:tc>
        <w:tc>
          <w:tcPr>
            <w:tcW w:w="1074" w:type="dxa"/>
            <w:vAlign w:val="center"/>
          </w:tcPr>
          <w:p w14:paraId="033365C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服务时间</w:t>
            </w:r>
          </w:p>
        </w:tc>
        <w:tc>
          <w:tcPr>
            <w:tcW w:w="11596" w:type="dxa"/>
            <w:vAlign w:val="center"/>
          </w:tcPr>
          <w:p w14:paraId="65D3E578">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周一至周日在管理处/服务中心进行业务接待，并提供服务,每天接待时间不少于8小时。</w:t>
            </w:r>
          </w:p>
        </w:tc>
      </w:tr>
      <w:tr w14:paraId="44562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jc w:val="center"/>
        </w:trPr>
        <w:tc>
          <w:tcPr>
            <w:tcW w:w="621" w:type="dxa"/>
            <w:vAlign w:val="center"/>
          </w:tcPr>
          <w:p w14:paraId="4B6F4A2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4</w:t>
            </w:r>
          </w:p>
        </w:tc>
        <w:tc>
          <w:tcPr>
            <w:tcW w:w="1074" w:type="dxa"/>
            <w:vAlign w:val="center"/>
          </w:tcPr>
          <w:p w14:paraId="077DC1B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日常管理与服务</w:t>
            </w:r>
          </w:p>
        </w:tc>
        <w:tc>
          <w:tcPr>
            <w:tcW w:w="11596" w:type="dxa"/>
            <w:vAlign w:val="center"/>
          </w:tcPr>
          <w:p w14:paraId="7E7E799A">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1.服务规范应符合杭州市物业管理行业规范要求，物业服务企业实施ISO9000质量管理体系，对服务过程进行控制。</w:t>
            </w:r>
          </w:p>
          <w:p w14:paraId="550BF225">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2.设有服务接待中心，公示24小时服务电话。急修半小时内，其他报修按双方约定时间到达现场，有完整的报修、维修和回访记录。</w:t>
            </w:r>
          </w:p>
          <w:p w14:paraId="4655502E">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3.对业主或使用人的投诉在24小时内答复处理。</w:t>
            </w:r>
          </w:p>
          <w:p w14:paraId="51F1CD47">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4.服务与被服务双方签订规范的物业服务合同，双方权利义务关系明确。</w:t>
            </w:r>
          </w:p>
          <w:p w14:paraId="445CEB18">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5.按照住宅装饰装修管理有关规定和管理规约（临时管理规约）要求，建立完善的住宅装饰装修管理制度。装修前，依规定审核业主（使用人）的装修方案，书面告知装修人有关装饰装修的禁止行为和注意事项。根据装修进度情况每周不少于3次巡查装修施工现场，发现影响房屋外观、危及房屋结构安全及拆改共用管线等损害公共利益现象的，及时劝阻并报告社区物业管理委员会和有关主管部门。</w:t>
            </w:r>
          </w:p>
          <w:p w14:paraId="3BB3CA71">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6.按有关规定和合同约定公布物业服务资金的收支情况或物业经营性收支情况。</w:t>
            </w:r>
          </w:p>
          <w:p w14:paraId="7B6A18E7">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7.按有关规定规范使用物业专项维修资金。</w:t>
            </w:r>
          </w:p>
          <w:p w14:paraId="304A5D8A">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8.有完善的物业管理方案，质量管理、财务管理、档案管理等制度健全。</w:t>
            </w:r>
          </w:p>
          <w:p w14:paraId="2FF34848">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9.制定小区物业管理与物业服务工作计划，并组织实施。</w:t>
            </w:r>
          </w:p>
          <w:p w14:paraId="2328C122">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10.每年至少1次征询业主对物业服务的意见，满意率80%以上，对合理的意见与建议及时整改。</w:t>
            </w:r>
          </w:p>
          <w:p w14:paraId="6D85FA0F">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11.服务窗口应公开办事制度、办事纪律、收费项目和标准。</w:t>
            </w:r>
          </w:p>
          <w:p w14:paraId="47D700F1">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12.对违反规划私搭乱建和擅自改变房屋用途的行为及时劝阻，并报告业主委员会和相关主管部门。</w:t>
            </w:r>
          </w:p>
          <w:p w14:paraId="1E4C022F">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13.小区主出入口设有小区平面示意图，主要路口设有路标。各组团、栋及单元（门）、户和公共配套设施、场地有明显标志。</w:t>
            </w:r>
          </w:p>
          <w:p w14:paraId="64FC7660">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14.承接项目时，对住宅小区共用部位、共用设施设备进行认真查验，签订物业管理交接验收协议，验收手续齐全。</w:t>
            </w:r>
          </w:p>
        </w:tc>
      </w:tr>
    </w:tbl>
    <w:p w14:paraId="39484DC1">
      <w:pPr>
        <w:widowControl/>
        <w:spacing w:before="225" w:line="360" w:lineRule="auto"/>
        <w:jc w:val="center"/>
        <w:textAlignment w:val="baseline"/>
        <w:rPr>
          <w:rFonts w:hint="eastAsia" w:ascii="宋体" w:hAnsi="宋体" w:cs="微软雅黑"/>
          <w:color w:val="auto"/>
          <w:kern w:val="0"/>
          <w:highlight w:val="none"/>
        </w:rPr>
      </w:pPr>
      <w:r>
        <w:rPr>
          <w:rFonts w:hint="eastAsia" w:ascii="宋体" w:hAnsi="宋体" w:cs="宋体"/>
          <w:b/>
          <w:color w:val="auto"/>
          <w:kern w:val="0"/>
          <w:highlight w:val="none"/>
        </w:rPr>
        <w:t>二、公共区域清洁卫生服务标准</w:t>
      </w:r>
    </w:p>
    <w:tbl>
      <w:tblPr>
        <w:tblStyle w:val="18"/>
        <w:tblW w:w="13202"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1068"/>
        <w:gridCol w:w="1740"/>
        <w:gridCol w:w="9727"/>
      </w:tblGrid>
      <w:tr w14:paraId="6695DD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blCellSpacing w:w="0" w:type="dxa"/>
        </w:trPr>
        <w:tc>
          <w:tcPr>
            <w:tcW w:w="667" w:type="dxa"/>
            <w:vAlign w:val="center"/>
          </w:tcPr>
          <w:p w14:paraId="25DBA87A">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项目</w:t>
            </w:r>
          </w:p>
        </w:tc>
        <w:tc>
          <w:tcPr>
            <w:tcW w:w="1068" w:type="dxa"/>
            <w:vAlign w:val="center"/>
          </w:tcPr>
          <w:p w14:paraId="76DB0F1B">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序号</w:t>
            </w:r>
          </w:p>
        </w:tc>
        <w:tc>
          <w:tcPr>
            <w:tcW w:w="1740" w:type="dxa"/>
            <w:vAlign w:val="center"/>
          </w:tcPr>
          <w:p w14:paraId="4CDF8741">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9727" w:type="dxa"/>
            <w:vAlign w:val="center"/>
          </w:tcPr>
          <w:p w14:paraId="3654999D">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58C893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restart"/>
            <w:vAlign w:val="center"/>
          </w:tcPr>
          <w:p w14:paraId="1E4EEED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楼内公共区域</w:t>
            </w:r>
          </w:p>
        </w:tc>
        <w:tc>
          <w:tcPr>
            <w:tcW w:w="1068" w:type="dxa"/>
            <w:vAlign w:val="center"/>
          </w:tcPr>
          <w:p w14:paraId="552E0FF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w:t>
            </w:r>
          </w:p>
        </w:tc>
        <w:tc>
          <w:tcPr>
            <w:tcW w:w="1740" w:type="dxa"/>
            <w:vAlign w:val="center"/>
          </w:tcPr>
          <w:p w14:paraId="632655D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地面</w:t>
            </w:r>
          </w:p>
        </w:tc>
        <w:tc>
          <w:tcPr>
            <w:tcW w:w="9727" w:type="dxa"/>
            <w:vAlign w:val="center"/>
          </w:tcPr>
          <w:p w14:paraId="50B8B36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每周清扫二次</w:t>
            </w:r>
          </w:p>
        </w:tc>
      </w:tr>
      <w:tr w14:paraId="3624AE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21C997FF">
            <w:pPr>
              <w:spacing w:line="360" w:lineRule="auto"/>
              <w:textAlignment w:val="baseline"/>
              <w:rPr>
                <w:rFonts w:hint="eastAsia" w:ascii="宋体" w:hAnsi="宋体" w:cs="微软雅黑"/>
                <w:color w:val="auto"/>
                <w:highlight w:val="none"/>
              </w:rPr>
            </w:pPr>
          </w:p>
        </w:tc>
        <w:tc>
          <w:tcPr>
            <w:tcW w:w="1068" w:type="dxa"/>
            <w:vAlign w:val="center"/>
          </w:tcPr>
          <w:p w14:paraId="4DD8E33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2</w:t>
            </w:r>
          </w:p>
        </w:tc>
        <w:tc>
          <w:tcPr>
            <w:tcW w:w="1740" w:type="dxa"/>
            <w:vAlign w:val="center"/>
          </w:tcPr>
          <w:p w14:paraId="1492473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扶手、开关盒、表箱盖、单元门、信报箱</w:t>
            </w:r>
          </w:p>
        </w:tc>
        <w:tc>
          <w:tcPr>
            <w:tcW w:w="9727" w:type="dxa"/>
            <w:vAlign w:val="center"/>
          </w:tcPr>
          <w:p w14:paraId="4AC301B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扶手、信报箱、2M以下单元门、开关盒、表箱盖每周擦抹二次，2M以上单元门、开关盒、表箱盖每月清洁一次。</w:t>
            </w:r>
          </w:p>
        </w:tc>
      </w:tr>
      <w:tr w14:paraId="15A50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384E18B6">
            <w:pPr>
              <w:spacing w:line="360" w:lineRule="auto"/>
              <w:textAlignment w:val="baseline"/>
              <w:rPr>
                <w:rFonts w:hint="eastAsia" w:ascii="宋体" w:hAnsi="宋体" w:cs="微软雅黑"/>
                <w:color w:val="auto"/>
                <w:highlight w:val="none"/>
              </w:rPr>
            </w:pPr>
          </w:p>
        </w:tc>
        <w:tc>
          <w:tcPr>
            <w:tcW w:w="1068" w:type="dxa"/>
            <w:vAlign w:val="center"/>
          </w:tcPr>
          <w:p w14:paraId="2716CD3E">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3</w:t>
            </w:r>
          </w:p>
        </w:tc>
        <w:tc>
          <w:tcPr>
            <w:tcW w:w="1740" w:type="dxa"/>
            <w:vAlign w:val="center"/>
          </w:tcPr>
          <w:p w14:paraId="30CC962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栏杆</w:t>
            </w:r>
          </w:p>
        </w:tc>
        <w:tc>
          <w:tcPr>
            <w:tcW w:w="9727" w:type="dxa"/>
            <w:vAlign w:val="center"/>
          </w:tcPr>
          <w:p w14:paraId="33A9D6E0">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每周擦抹一次。</w:t>
            </w:r>
          </w:p>
        </w:tc>
      </w:tr>
      <w:tr w14:paraId="5B2E5A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7825E2F3">
            <w:pPr>
              <w:spacing w:line="360" w:lineRule="auto"/>
              <w:textAlignment w:val="baseline"/>
              <w:rPr>
                <w:rFonts w:hint="eastAsia" w:ascii="宋体" w:hAnsi="宋体" w:cs="微软雅黑"/>
                <w:color w:val="auto"/>
                <w:highlight w:val="none"/>
              </w:rPr>
            </w:pPr>
          </w:p>
        </w:tc>
        <w:tc>
          <w:tcPr>
            <w:tcW w:w="1068" w:type="dxa"/>
            <w:vAlign w:val="center"/>
          </w:tcPr>
          <w:p w14:paraId="60806F3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4</w:t>
            </w:r>
          </w:p>
        </w:tc>
        <w:tc>
          <w:tcPr>
            <w:tcW w:w="1740" w:type="dxa"/>
            <w:vAlign w:val="center"/>
          </w:tcPr>
          <w:p w14:paraId="3A36D92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天花板、公共灯具</w:t>
            </w:r>
          </w:p>
        </w:tc>
        <w:tc>
          <w:tcPr>
            <w:tcW w:w="9727" w:type="dxa"/>
            <w:vAlign w:val="center"/>
          </w:tcPr>
          <w:p w14:paraId="6535C75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每月除尘一次。</w:t>
            </w:r>
          </w:p>
        </w:tc>
      </w:tr>
      <w:tr w14:paraId="46699C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1C4B5787">
            <w:pPr>
              <w:spacing w:line="360" w:lineRule="auto"/>
              <w:textAlignment w:val="baseline"/>
              <w:rPr>
                <w:rFonts w:hint="eastAsia" w:ascii="宋体" w:hAnsi="宋体" w:cs="微软雅黑"/>
                <w:color w:val="auto"/>
                <w:highlight w:val="none"/>
              </w:rPr>
            </w:pPr>
          </w:p>
        </w:tc>
        <w:tc>
          <w:tcPr>
            <w:tcW w:w="1068" w:type="dxa"/>
            <w:vAlign w:val="center"/>
          </w:tcPr>
          <w:p w14:paraId="11698CD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5</w:t>
            </w:r>
          </w:p>
        </w:tc>
        <w:tc>
          <w:tcPr>
            <w:tcW w:w="1740" w:type="dxa"/>
            <w:vAlign w:val="center"/>
          </w:tcPr>
          <w:p w14:paraId="194BFF4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单元门</w:t>
            </w:r>
          </w:p>
        </w:tc>
        <w:tc>
          <w:tcPr>
            <w:tcW w:w="9727" w:type="dxa"/>
            <w:vAlign w:val="center"/>
          </w:tcPr>
          <w:p w14:paraId="138DEA7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每周擦抹一次。</w:t>
            </w:r>
          </w:p>
        </w:tc>
      </w:tr>
      <w:tr w14:paraId="07A6F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5C971B84">
            <w:pPr>
              <w:spacing w:line="360" w:lineRule="auto"/>
              <w:textAlignment w:val="baseline"/>
              <w:rPr>
                <w:rFonts w:hint="eastAsia" w:ascii="宋体" w:hAnsi="宋体" w:cs="微软雅黑"/>
                <w:color w:val="auto"/>
                <w:highlight w:val="none"/>
              </w:rPr>
            </w:pPr>
          </w:p>
        </w:tc>
        <w:tc>
          <w:tcPr>
            <w:tcW w:w="1068" w:type="dxa"/>
            <w:vAlign w:val="center"/>
          </w:tcPr>
          <w:p w14:paraId="2C07710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6</w:t>
            </w:r>
          </w:p>
        </w:tc>
        <w:tc>
          <w:tcPr>
            <w:tcW w:w="1740" w:type="dxa"/>
            <w:vAlign w:val="center"/>
          </w:tcPr>
          <w:p w14:paraId="34878D0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楼道玻璃</w:t>
            </w:r>
          </w:p>
        </w:tc>
        <w:tc>
          <w:tcPr>
            <w:tcW w:w="9727" w:type="dxa"/>
            <w:vAlign w:val="center"/>
          </w:tcPr>
          <w:p w14:paraId="4F3A38E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每月清洁一次。</w:t>
            </w:r>
          </w:p>
        </w:tc>
      </w:tr>
      <w:tr w14:paraId="7A8DA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2B8B9789">
            <w:pPr>
              <w:spacing w:line="360" w:lineRule="auto"/>
              <w:textAlignment w:val="baseline"/>
              <w:rPr>
                <w:rFonts w:hint="eastAsia" w:ascii="宋体" w:hAnsi="宋体" w:cs="微软雅黑"/>
                <w:color w:val="auto"/>
                <w:highlight w:val="none"/>
              </w:rPr>
            </w:pPr>
          </w:p>
        </w:tc>
        <w:tc>
          <w:tcPr>
            <w:tcW w:w="1068" w:type="dxa"/>
            <w:vAlign w:val="center"/>
          </w:tcPr>
          <w:p w14:paraId="25413DA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7</w:t>
            </w:r>
          </w:p>
        </w:tc>
        <w:tc>
          <w:tcPr>
            <w:tcW w:w="1740" w:type="dxa"/>
            <w:vAlign w:val="center"/>
          </w:tcPr>
          <w:p w14:paraId="52E73C8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天台、屋顶</w:t>
            </w:r>
          </w:p>
        </w:tc>
        <w:tc>
          <w:tcPr>
            <w:tcW w:w="9727" w:type="dxa"/>
            <w:vAlign w:val="center"/>
          </w:tcPr>
          <w:p w14:paraId="0C0A19D5">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每季度清理一次。</w:t>
            </w:r>
          </w:p>
        </w:tc>
      </w:tr>
      <w:tr w14:paraId="35D263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blCellSpacing w:w="0" w:type="dxa"/>
        </w:trPr>
        <w:tc>
          <w:tcPr>
            <w:tcW w:w="667" w:type="dxa"/>
            <w:vMerge w:val="continue"/>
            <w:vAlign w:val="center"/>
          </w:tcPr>
          <w:p w14:paraId="2845553A">
            <w:pPr>
              <w:spacing w:line="360" w:lineRule="auto"/>
              <w:textAlignment w:val="baseline"/>
              <w:rPr>
                <w:rFonts w:hint="eastAsia" w:ascii="宋体" w:hAnsi="宋体" w:cs="微软雅黑"/>
                <w:color w:val="auto"/>
                <w:highlight w:val="none"/>
              </w:rPr>
            </w:pPr>
          </w:p>
        </w:tc>
        <w:tc>
          <w:tcPr>
            <w:tcW w:w="1068" w:type="dxa"/>
            <w:vAlign w:val="center"/>
          </w:tcPr>
          <w:p w14:paraId="06E34A3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8</w:t>
            </w:r>
          </w:p>
        </w:tc>
        <w:tc>
          <w:tcPr>
            <w:tcW w:w="1740" w:type="dxa"/>
            <w:vAlign w:val="center"/>
          </w:tcPr>
          <w:p w14:paraId="58A2158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电梯轿厢</w:t>
            </w:r>
          </w:p>
        </w:tc>
        <w:tc>
          <w:tcPr>
            <w:tcW w:w="9727" w:type="dxa"/>
            <w:vAlign w:val="center"/>
          </w:tcPr>
          <w:p w14:paraId="5D20290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每周擦拭、清扫二次，每周拖洗一次。</w:t>
            </w:r>
          </w:p>
        </w:tc>
      </w:tr>
      <w:tr w14:paraId="0DD628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blCellSpacing w:w="0" w:type="dxa"/>
        </w:trPr>
        <w:tc>
          <w:tcPr>
            <w:tcW w:w="667" w:type="dxa"/>
            <w:vMerge w:val="continue"/>
            <w:vAlign w:val="center"/>
          </w:tcPr>
          <w:p w14:paraId="634F92DF">
            <w:pPr>
              <w:spacing w:line="360" w:lineRule="auto"/>
              <w:textAlignment w:val="baseline"/>
              <w:rPr>
                <w:rFonts w:hint="eastAsia" w:ascii="宋体" w:hAnsi="宋体" w:cs="微软雅黑"/>
                <w:color w:val="auto"/>
                <w:highlight w:val="none"/>
              </w:rPr>
            </w:pPr>
          </w:p>
        </w:tc>
        <w:tc>
          <w:tcPr>
            <w:tcW w:w="1068" w:type="dxa"/>
            <w:vAlign w:val="center"/>
          </w:tcPr>
          <w:p w14:paraId="7EC25BC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9</w:t>
            </w:r>
          </w:p>
        </w:tc>
        <w:tc>
          <w:tcPr>
            <w:tcW w:w="1740" w:type="dxa"/>
            <w:vAlign w:val="center"/>
          </w:tcPr>
          <w:p w14:paraId="01491C7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车库</w:t>
            </w:r>
          </w:p>
        </w:tc>
        <w:tc>
          <w:tcPr>
            <w:tcW w:w="9727" w:type="dxa"/>
            <w:vAlign w:val="center"/>
          </w:tcPr>
          <w:p w14:paraId="6CD6F732">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每周清扫一次。车库顶一季度一次</w:t>
            </w:r>
          </w:p>
        </w:tc>
      </w:tr>
      <w:tr w14:paraId="33BAB9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restart"/>
            <w:vAlign w:val="center"/>
          </w:tcPr>
          <w:p w14:paraId="6BE864F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楼外公共区域</w:t>
            </w:r>
          </w:p>
        </w:tc>
        <w:tc>
          <w:tcPr>
            <w:tcW w:w="1068" w:type="dxa"/>
            <w:vAlign w:val="center"/>
          </w:tcPr>
          <w:p w14:paraId="4D753FE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10</w:t>
            </w:r>
          </w:p>
        </w:tc>
        <w:tc>
          <w:tcPr>
            <w:tcW w:w="1740" w:type="dxa"/>
            <w:vAlign w:val="center"/>
          </w:tcPr>
          <w:p w14:paraId="262240F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垃圾收集</w:t>
            </w:r>
          </w:p>
        </w:tc>
        <w:tc>
          <w:tcPr>
            <w:tcW w:w="9727" w:type="dxa"/>
            <w:vAlign w:val="center"/>
          </w:tcPr>
          <w:p w14:paraId="0B2208DD">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设置垃圾收集点，每日清理二次，配置垃圾分类督导员，进行垃圾分类管理，收集点周围地面无散落垃圾、无污迹、无异味。</w:t>
            </w:r>
          </w:p>
        </w:tc>
      </w:tr>
      <w:tr w14:paraId="74C991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1D64004A">
            <w:pPr>
              <w:spacing w:line="360" w:lineRule="auto"/>
              <w:textAlignment w:val="baseline"/>
              <w:rPr>
                <w:rFonts w:hint="eastAsia" w:ascii="宋体" w:hAnsi="宋体" w:cs="微软雅黑"/>
                <w:color w:val="auto"/>
                <w:highlight w:val="none"/>
              </w:rPr>
            </w:pPr>
          </w:p>
        </w:tc>
        <w:tc>
          <w:tcPr>
            <w:tcW w:w="1068" w:type="dxa"/>
            <w:vAlign w:val="center"/>
          </w:tcPr>
          <w:p w14:paraId="206BE2A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11</w:t>
            </w:r>
          </w:p>
        </w:tc>
        <w:tc>
          <w:tcPr>
            <w:tcW w:w="1740" w:type="dxa"/>
            <w:vAlign w:val="center"/>
          </w:tcPr>
          <w:p w14:paraId="65E25331">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道路地面、绿地、明沟</w:t>
            </w:r>
          </w:p>
        </w:tc>
        <w:tc>
          <w:tcPr>
            <w:tcW w:w="9727" w:type="dxa"/>
            <w:vAlign w:val="center"/>
          </w:tcPr>
          <w:p w14:paraId="369E5FA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道路地面、绿地每日清扫二次，并巡回保洁，做到无明显暴露垃圾、无卫生死角；明沟每周清扫一次。</w:t>
            </w:r>
          </w:p>
        </w:tc>
      </w:tr>
      <w:tr w14:paraId="09B438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73D01B5C">
            <w:pPr>
              <w:spacing w:line="360" w:lineRule="auto"/>
              <w:textAlignment w:val="baseline"/>
              <w:rPr>
                <w:rFonts w:hint="eastAsia" w:ascii="宋体" w:hAnsi="宋体" w:cs="微软雅黑"/>
                <w:color w:val="auto"/>
                <w:highlight w:val="none"/>
              </w:rPr>
            </w:pPr>
          </w:p>
        </w:tc>
        <w:tc>
          <w:tcPr>
            <w:tcW w:w="1068" w:type="dxa"/>
            <w:vAlign w:val="center"/>
          </w:tcPr>
          <w:p w14:paraId="11B689F1">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12</w:t>
            </w:r>
          </w:p>
        </w:tc>
        <w:tc>
          <w:tcPr>
            <w:tcW w:w="1740" w:type="dxa"/>
            <w:vAlign w:val="center"/>
          </w:tcPr>
          <w:p w14:paraId="22D69D3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宣传栏、小品等</w:t>
            </w:r>
          </w:p>
        </w:tc>
        <w:tc>
          <w:tcPr>
            <w:tcW w:w="9727" w:type="dxa"/>
            <w:vAlign w:val="center"/>
          </w:tcPr>
          <w:p w14:paraId="1E5A4FCD">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每半月清洁一次。</w:t>
            </w:r>
          </w:p>
        </w:tc>
      </w:tr>
      <w:tr w14:paraId="36377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61F6B533">
            <w:pPr>
              <w:spacing w:line="360" w:lineRule="auto"/>
              <w:textAlignment w:val="baseline"/>
              <w:rPr>
                <w:rFonts w:hint="eastAsia" w:ascii="宋体" w:hAnsi="宋体" w:cs="微软雅黑"/>
                <w:color w:val="auto"/>
                <w:highlight w:val="none"/>
              </w:rPr>
            </w:pPr>
          </w:p>
        </w:tc>
        <w:tc>
          <w:tcPr>
            <w:tcW w:w="1068" w:type="dxa"/>
            <w:vAlign w:val="center"/>
          </w:tcPr>
          <w:p w14:paraId="50925ED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13</w:t>
            </w:r>
          </w:p>
        </w:tc>
        <w:tc>
          <w:tcPr>
            <w:tcW w:w="1740" w:type="dxa"/>
            <w:vAlign w:val="center"/>
          </w:tcPr>
          <w:p w14:paraId="1A4D148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垃圾厢房</w:t>
            </w:r>
          </w:p>
        </w:tc>
        <w:tc>
          <w:tcPr>
            <w:tcW w:w="9727" w:type="dxa"/>
            <w:vAlign w:val="center"/>
          </w:tcPr>
          <w:p w14:paraId="1A186DC2">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监督垃圾房每天冲洗一次，垃圾桶内胆夏天每天冲洗一次，冬天隔天冲洗一次。</w:t>
            </w:r>
          </w:p>
        </w:tc>
      </w:tr>
      <w:tr w14:paraId="6192F1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09DA336C">
            <w:pPr>
              <w:spacing w:line="360" w:lineRule="auto"/>
              <w:textAlignment w:val="baseline"/>
              <w:rPr>
                <w:rFonts w:hint="eastAsia" w:ascii="宋体" w:hAnsi="宋体" w:cs="微软雅黑"/>
                <w:color w:val="auto"/>
                <w:highlight w:val="none"/>
              </w:rPr>
            </w:pPr>
          </w:p>
        </w:tc>
        <w:tc>
          <w:tcPr>
            <w:tcW w:w="1068" w:type="dxa"/>
            <w:vAlign w:val="center"/>
          </w:tcPr>
          <w:p w14:paraId="12F36BB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14</w:t>
            </w:r>
          </w:p>
        </w:tc>
        <w:tc>
          <w:tcPr>
            <w:tcW w:w="1740" w:type="dxa"/>
            <w:vAlign w:val="center"/>
          </w:tcPr>
          <w:p w14:paraId="1F78D94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果皮箱、垃圾桶</w:t>
            </w:r>
          </w:p>
        </w:tc>
        <w:tc>
          <w:tcPr>
            <w:tcW w:w="9727" w:type="dxa"/>
            <w:vAlign w:val="center"/>
          </w:tcPr>
          <w:p w14:paraId="7A3515D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合理设置。监督每日清理一次，擦拭一次，箱（桶）无满溢、无异味、无污迹。</w:t>
            </w:r>
          </w:p>
        </w:tc>
      </w:tr>
      <w:tr w14:paraId="1D04E3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67" w:type="dxa"/>
            <w:vMerge w:val="continue"/>
            <w:vAlign w:val="center"/>
          </w:tcPr>
          <w:p w14:paraId="5D4C8D52">
            <w:pPr>
              <w:spacing w:line="360" w:lineRule="auto"/>
              <w:textAlignment w:val="baseline"/>
              <w:rPr>
                <w:rFonts w:hint="eastAsia" w:ascii="宋体" w:hAnsi="宋体" w:cs="微软雅黑"/>
                <w:color w:val="auto"/>
                <w:highlight w:val="none"/>
              </w:rPr>
            </w:pPr>
          </w:p>
        </w:tc>
        <w:tc>
          <w:tcPr>
            <w:tcW w:w="1068" w:type="dxa"/>
            <w:vAlign w:val="center"/>
          </w:tcPr>
          <w:p w14:paraId="5CD668D7">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15</w:t>
            </w:r>
          </w:p>
        </w:tc>
        <w:tc>
          <w:tcPr>
            <w:tcW w:w="1740" w:type="dxa"/>
            <w:vAlign w:val="center"/>
          </w:tcPr>
          <w:p w14:paraId="2880E91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消毒灭害</w:t>
            </w:r>
          </w:p>
        </w:tc>
        <w:tc>
          <w:tcPr>
            <w:tcW w:w="9727" w:type="dxa"/>
            <w:vAlign w:val="center"/>
          </w:tcPr>
          <w:p w14:paraId="747A9076">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每季对窨井、明沟、垃圾房喷洒药水一次（6、7、8、9月每月喷洒一次），每年灭鼠三次。</w:t>
            </w:r>
          </w:p>
        </w:tc>
      </w:tr>
    </w:tbl>
    <w:p w14:paraId="5FA3D65C">
      <w:pPr>
        <w:spacing w:line="360" w:lineRule="auto"/>
        <w:jc w:val="center"/>
        <w:textAlignment w:val="baseline"/>
        <w:rPr>
          <w:rFonts w:hint="eastAsia" w:ascii="宋体" w:hAnsi="宋体" w:cs="宋体"/>
          <w:b/>
          <w:color w:val="auto"/>
          <w:highlight w:val="none"/>
        </w:rPr>
        <w:sectPr>
          <w:pgSz w:w="16838" w:h="11906" w:orient="landscape"/>
          <w:pgMar w:top="1803" w:right="1440" w:bottom="1803" w:left="1440" w:header="851" w:footer="992" w:gutter="0"/>
          <w:cols w:space="720" w:num="1"/>
          <w:docGrid w:type="lines" w:linePitch="319" w:charSpace="0"/>
        </w:sectPr>
      </w:pPr>
    </w:p>
    <w:p w14:paraId="2B636BAD">
      <w:pPr>
        <w:spacing w:line="360" w:lineRule="auto"/>
        <w:jc w:val="center"/>
        <w:textAlignment w:val="baseline"/>
        <w:rPr>
          <w:rFonts w:hint="eastAsia" w:ascii="宋体" w:hAnsi="宋体" w:cs="微软雅黑"/>
          <w:color w:val="auto"/>
          <w:highlight w:val="none"/>
        </w:rPr>
      </w:pPr>
      <w:r>
        <w:rPr>
          <w:rFonts w:hint="eastAsia" w:ascii="宋体" w:hAnsi="宋体" w:cs="宋体"/>
          <w:b/>
          <w:color w:val="auto"/>
          <w:highlight w:val="none"/>
        </w:rPr>
        <w:t>三、公共区域秩序维护服务标准</w:t>
      </w:r>
    </w:p>
    <w:tbl>
      <w:tblPr>
        <w:tblStyle w:val="18"/>
        <w:tblW w:w="13252"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57"/>
        <w:gridCol w:w="1055"/>
        <w:gridCol w:w="11540"/>
      </w:tblGrid>
      <w:tr w14:paraId="33CD9B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blCellSpacing w:w="0" w:type="dxa"/>
        </w:trPr>
        <w:tc>
          <w:tcPr>
            <w:tcW w:w="657" w:type="dxa"/>
            <w:vAlign w:val="center"/>
          </w:tcPr>
          <w:p w14:paraId="2026A70A">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序号</w:t>
            </w:r>
          </w:p>
        </w:tc>
        <w:tc>
          <w:tcPr>
            <w:tcW w:w="1055" w:type="dxa"/>
            <w:vAlign w:val="center"/>
          </w:tcPr>
          <w:p w14:paraId="05E2E049">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11540" w:type="dxa"/>
            <w:vAlign w:val="center"/>
          </w:tcPr>
          <w:p w14:paraId="6BC30617">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314AC1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trPr>
        <w:tc>
          <w:tcPr>
            <w:tcW w:w="657" w:type="dxa"/>
            <w:vAlign w:val="center"/>
          </w:tcPr>
          <w:p w14:paraId="71DA882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1</w:t>
            </w:r>
          </w:p>
        </w:tc>
        <w:tc>
          <w:tcPr>
            <w:tcW w:w="1055" w:type="dxa"/>
            <w:vAlign w:val="center"/>
          </w:tcPr>
          <w:p w14:paraId="67A70CFF">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人员要求</w:t>
            </w:r>
          </w:p>
        </w:tc>
        <w:tc>
          <w:tcPr>
            <w:tcW w:w="11540" w:type="dxa"/>
            <w:vAlign w:val="center"/>
          </w:tcPr>
          <w:p w14:paraId="0EAA8D26">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（1）专职人员，身体健康，工作认真负责并定期接受培训。</w:t>
            </w:r>
          </w:p>
          <w:p w14:paraId="3FF59D9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（2）能处理和应对小区公共秩序维护工作，能正确使用各类消防、物防、技防器械和设备，能够熟悉、掌握各类刑事、治安案件和各类灾害事故的应急预案。</w:t>
            </w:r>
          </w:p>
          <w:p w14:paraId="4CAC22F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（3）上岗时佩带统一标志，按需求穿戴统一制服（精致），装备佩戴规范，仪容仪表规范整齐，当值时坐姿挺直，站岗时不倚不靠。</w:t>
            </w:r>
          </w:p>
          <w:p w14:paraId="02C74265">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（4）配备对讲装置和其他必备的安全护卫器械。</w:t>
            </w:r>
          </w:p>
        </w:tc>
      </w:tr>
      <w:tr w14:paraId="3D5829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blCellSpacing w:w="0" w:type="dxa"/>
        </w:trPr>
        <w:tc>
          <w:tcPr>
            <w:tcW w:w="657" w:type="dxa"/>
            <w:vAlign w:val="center"/>
          </w:tcPr>
          <w:p w14:paraId="1BE1ED2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2</w:t>
            </w:r>
          </w:p>
        </w:tc>
        <w:tc>
          <w:tcPr>
            <w:tcW w:w="1055" w:type="dxa"/>
            <w:vAlign w:val="center"/>
          </w:tcPr>
          <w:p w14:paraId="45541A8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门岗</w:t>
            </w:r>
          </w:p>
        </w:tc>
        <w:tc>
          <w:tcPr>
            <w:tcW w:w="11540" w:type="dxa"/>
            <w:vAlign w:val="center"/>
          </w:tcPr>
          <w:p w14:paraId="4689B42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（1）小区主出入口24 小时值班看守，6：00—22：00站岗值勤，其中主入口高峰期单人值勤，有详细的交接班记录和外来车辆的登记记录。</w:t>
            </w:r>
          </w:p>
          <w:p w14:paraId="2BD24970">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（2）对进出小区的车辆进行管理和疏导，保持出入口环境整洁、有序、道路畅通；对大型物件搬出小区实行登记。</w:t>
            </w:r>
          </w:p>
        </w:tc>
      </w:tr>
      <w:tr w14:paraId="7403F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5" w:hRule="atLeast"/>
          <w:tblCellSpacing w:w="0" w:type="dxa"/>
        </w:trPr>
        <w:tc>
          <w:tcPr>
            <w:tcW w:w="657" w:type="dxa"/>
            <w:vAlign w:val="center"/>
          </w:tcPr>
          <w:p w14:paraId="7A4773D5">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3</w:t>
            </w:r>
          </w:p>
        </w:tc>
        <w:tc>
          <w:tcPr>
            <w:tcW w:w="1055" w:type="dxa"/>
            <w:vAlign w:val="center"/>
          </w:tcPr>
          <w:p w14:paraId="2233A99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巡逻岗</w:t>
            </w:r>
          </w:p>
        </w:tc>
        <w:tc>
          <w:tcPr>
            <w:tcW w:w="11540" w:type="dxa"/>
            <w:vAlign w:val="center"/>
          </w:tcPr>
          <w:p w14:paraId="32FDDF65">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（1）按指定的时间和路线进行巡查，对重点区域、重点部位每2小时至少巡查一次，配有安全监控设施的，实施24小时监控。</w:t>
            </w:r>
          </w:p>
          <w:p w14:paraId="507001DA">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（2）接到火灾等险情或住户紧急求助后五分钟内到达现场，并及时报告社区、物业管理委员会和有关部门，并协助采取相应措施。</w:t>
            </w:r>
          </w:p>
        </w:tc>
      </w:tr>
      <w:tr w14:paraId="459D0C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57" w:type="dxa"/>
            <w:vAlign w:val="center"/>
          </w:tcPr>
          <w:p w14:paraId="566A6944">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4</w:t>
            </w:r>
          </w:p>
        </w:tc>
        <w:tc>
          <w:tcPr>
            <w:tcW w:w="1055" w:type="dxa"/>
            <w:vAlign w:val="center"/>
          </w:tcPr>
          <w:p w14:paraId="4B552F8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技防设施和救助</w:t>
            </w:r>
          </w:p>
          <w:p w14:paraId="1E0DB92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（监控岗）</w:t>
            </w:r>
          </w:p>
        </w:tc>
        <w:tc>
          <w:tcPr>
            <w:tcW w:w="11540" w:type="dxa"/>
            <w:vAlign w:val="center"/>
          </w:tcPr>
          <w:p w14:paraId="0F85800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（1）小区设有监控中心，具备录像监控、楼宇对讲、周界报警、门锁智能卡等技防设施设备的，应24小时开通，并有人驻守，注视各设备所传达的信息。</w:t>
            </w:r>
          </w:p>
          <w:p w14:paraId="0F8CC15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（2）监控中心接到报警信号后，秩序维护员五分钟内赶到现场进行处理，同时中心应接受用户救助的要求，解答用户的询问。</w:t>
            </w:r>
          </w:p>
          <w:p w14:paraId="25E10C2E">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（3）对火灾、治安、公共卫生等突发事件有应急预案，并在监控中心控制室内悬挂；每年应组织不少于3次的应急预案演习。</w:t>
            </w:r>
          </w:p>
        </w:tc>
      </w:tr>
      <w:tr w14:paraId="52FF53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tblCellSpacing w:w="0" w:type="dxa"/>
        </w:trPr>
        <w:tc>
          <w:tcPr>
            <w:tcW w:w="657" w:type="dxa"/>
            <w:vAlign w:val="center"/>
          </w:tcPr>
          <w:p w14:paraId="34FC9CD2">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5</w:t>
            </w:r>
          </w:p>
        </w:tc>
        <w:tc>
          <w:tcPr>
            <w:tcW w:w="1055" w:type="dxa"/>
            <w:vAlign w:val="center"/>
          </w:tcPr>
          <w:p w14:paraId="5A18F8C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车辆管理</w:t>
            </w:r>
          </w:p>
        </w:tc>
        <w:tc>
          <w:tcPr>
            <w:tcW w:w="11540" w:type="dxa"/>
            <w:vAlign w:val="center"/>
          </w:tcPr>
          <w:p w14:paraId="0B0DF2D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（1）地面、墙面按车辆道路行驶要求设立指示牌和地标，车辆行驶有规定路线，车辆停放有序。</w:t>
            </w:r>
          </w:p>
          <w:p w14:paraId="312A138C">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（2）有专职人员24小时巡视和协助停车事宜。</w:t>
            </w:r>
          </w:p>
          <w:p w14:paraId="363CBBD9">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（3）车辆停放有序，地面、墙面按车辆道路行驶要求设立指示牌和地标，照明、消防器械配置齐全，无易燃、易爆及危险物品存放。</w:t>
            </w:r>
          </w:p>
        </w:tc>
      </w:tr>
    </w:tbl>
    <w:p w14:paraId="2830E733">
      <w:pPr>
        <w:spacing w:line="360" w:lineRule="auto"/>
        <w:jc w:val="center"/>
        <w:textAlignment w:val="baseline"/>
        <w:rPr>
          <w:rFonts w:hint="eastAsia" w:ascii="宋体" w:hAnsi="宋体" w:cs="微软雅黑"/>
          <w:color w:val="auto"/>
          <w:highlight w:val="none"/>
        </w:rPr>
      </w:pPr>
      <w:r>
        <w:rPr>
          <w:rFonts w:hint="eastAsia" w:ascii="宋体" w:hAnsi="宋体" w:cs="宋体"/>
          <w:b/>
          <w:color w:val="auto"/>
          <w:highlight w:val="none"/>
        </w:rPr>
        <w:br w:type="page"/>
      </w:r>
    </w:p>
    <w:p w14:paraId="77225E80">
      <w:pPr>
        <w:spacing w:line="360" w:lineRule="auto"/>
        <w:jc w:val="center"/>
        <w:textAlignment w:val="baseline"/>
        <w:rPr>
          <w:rFonts w:hint="eastAsia" w:ascii="宋体" w:hAnsi="宋体" w:cs="微软雅黑"/>
          <w:color w:val="auto"/>
          <w:highlight w:val="none"/>
        </w:rPr>
      </w:pPr>
      <w:r>
        <w:rPr>
          <w:rFonts w:hint="eastAsia" w:ascii="宋体" w:hAnsi="宋体" w:cs="宋体"/>
          <w:b/>
          <w:color w:val="auto"/>
          <w:highlight w:val="none"/>
        </w:rPr>
        <w:t>四、公共区域绿化日常养护服务标准</w:t>
      </w:r>
    </w:p>
    <w:tbl>
      <w:tblPr>
        <w:tblStyle w:val="18"/>
        <w:tblW w:w="1353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92"/>
        <w:gridCol w:w="1992"/>
        <w:gridCol w:w="10855"/>
      </w:tblGrid>
      <w:tr w14:paraId="13C07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692" w:type="dxa"/>
            <w:vAlign w:val="center"/>
          </w:tcPr>
          <w:p w14:paraId="7C903F92">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内容</w:t>
            </w:r>
          </w:p>
        </w:tc>
        <w:tc>
          <w:tcPr>
            <w:tcW w:w="1992" w:type="dxa"/>
            <w:vAlign w:val="center"/>
          </w:tcPr>
          <w:p w14:paraId="44E3B39B">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要素</w:t>
            </w:r>
          </w:p>
        </w:tc>
        <w:tc>
          <w:tcPr>
            <w:tcW w:w="10855" w:type="dxa"/>
            <w:vAlign w:val="center"/>
          </w:tcPr>
          <w:p w14:paraId="6E6E2CFA">
            <w:pPr>
              <w:widowControl/>
              <w:spacing w:line="360" w:lineRule="auto"/>
              <w:jc w:val="center"/>
              <w:textAlignment w:val="baseline"/>
              <w:rPr>
                <w:rFonts w:hint="eastAsia" w:ascii="宋体" w:hAnsi="宋体"/>
                <w:color w:val="auto"/>
                <w:kern w:val="0"/>
                <w:highlight w:val="none"/>
              </w:rPr>
            </w:pPr>
            <w:r>
              <w:rPr>
                <w:rFonts w:hint="eastAsia" w:ascii="宋体" w:hAnsi="宋体" w:cs="宋体"/>
                <w:b/>
                <w:color w:val="auto"/>
                <w:kern w:val="0"/>
                <w:highlight w:val="none"/>
              </w:rPr>
              <w:t>服务标准</w:t>
            </w:r>
          </w:p>
        </w:tc>
      </w:tr>
      <w:tr w14:paraId="5E2132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restart"/>
            <w:vAlign w:val="center"/>
          </w:tcPr>
          <w:p w14:paraId="59235DB0">
            <w:pPr>
              <w:spacing w:line="360" w:lineRule="auto"/>
              <w:jc w:val="center"/>
              <w:textAlignment w:val="baseline"/>
              <w:rPr>
                <w:rFonts w:hint="eastAsia" w:ascii="宋体" w:hAnsi="宋体" w:cs="微软雅黑"/>
                <w:color w:val="auto"/>
                <w:highlight w:val="none"/>
              </w:rPr>
            </w:pPr>
            <w:r>
              <w:rPr>
                <w:rFonts w:hint="eastAsia" w:ascii="宋体" w:hAnsi="宋体" w:cs="宋体"/>
                <w:color w:val="auto"/>
                <w:kern w:val="0"/>
                <w:highlight w:val="none"/>
              </w:rPr>
              <w:t>草坪</w:t>
            </w:r>
          </w:p>
        </w:tc>
        <w:tc>
          <w:tcPr>
            <w:tcW w:w="1992" w:type="dxa"/>
            <w:vAlign w:val="center"/>
          </w:tcPr>
          <w:p w14:paraId="3CCE039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清杂草</w:t>
            </w:r>
          </w:p>
        </w:tc>
        <w:tc>
          <w:tcPr>
            <w:tcW w:w="10855" w:type="dxa"/>
            <w:vAlign w:val="center"/>
          </w:tcPr>
          <w:p w14:paraId="466CFC8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每年清除杂草四遍以上。</w:t>
            </w:r>
          </w:p>
        </w:tc>
      </w:tr>
      <w:tr w14:paraId="4D7A3F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3AAB33B8">
            <w:pPr>
              <w:spacing w:line="360" w:lineRule="auto"/>
              <w:jc w:val="center"/>
              <w:textAlignment w:val="baseline"/>
              <w:rPr>
                <w:rFonts w:hint="eastAsia" w:ascii="宋体" w:hAnsi="宋体" w:cs="微软雅黑"/>
                <w:color w:val="auto"/>
                <w:highlight w:val="none"/>
              </w:rPr>
            </w:pPr>
          </w:p>
        </w:tc>
        <w:tc>
          <w:tcPr>
            <w:tcW w:w="1992" w:type="dxa"/>
            <w:vAlign w:val="center"/>
          </w:tcPr>
          <w:p w14:paraId="54EBE53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灌、排水</w:t>
            </w:r>
          </w:p>
        </w:tc>
        <w:tc>
          <w:tcPr>
            <w:tcW w:w="10855" w:type="dxa"/>
            <w:vAlign w:val="center"/>
          </w:tcPr>
          <w:p w14:paraId="78C58B3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及时灌溉，保证有效供水，有积水及时排除。</w:t>
            </w:r>
          </w:p>
        </w:tc>
      </w:tr>
      <w:tr w14:paraId="702226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65DE3EE2">
            <w:pPr>
              <w:spacing w:line="360" w:lineRule="auto"/>
              <w:jc w:val="center"/>
              <w:textAlignment w:val="baseline"/>
              <w:rPr>
                <w:rFonts w:hint="eastAsia" w:ascii="宋体" w:hAnsi="宋体" w:cs="微软雅黑"/>
                <w:color w:val="auto"/>
                <w:highlight w:val="none"/>
              </w:rPr>
            </w:pPr>
          </w:p>
        </w:tc>
        <w:tc>
          <w:tcPr>
            <w:tcW w:w="1992" w:type="dxa"/>
            <w:vAlign w:val="center"/>
          </w:tcPr>
          <w:p w14:paraId="1A1F4B5B">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施肥</w:t>
            </w:r>
          </w:p>
        </w:tc>
        <w:tc>
          <w:tcPr>
            <w:tcW w:w="10855" w:type="dxa"/>
            <w:vAlign w:val="center"/>
          </w:tcPr>
          <w:p w14:paraId="3D9AA113">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每年普施有机肥一遍。</w:t>
            </w:r>
          </w:p>
        </w:tc>
      </w:tr>
      <w:tr w14:paraId="5331AA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692CCD9A">
            <w:pPr>
              <w:spacing w:line="360" w:lineRule="auto"/>
              <w:jc w:val="center"/>
              <w:textAlignment w:val="baseline"/>
              <w:rPr>
                <w:rFonts w:hint="eastAsia" w:ascii="宋体" w:hAnsi="宋体" w:cs="微软雅黑"/>
                <w:color w:val="auto"/>
                <w:highlight w:val="none"/>
              </w:rPr>
            </w:pPr>
          </w:p>
        </w:tc>
        <w:tc>
          <w:tcPr>
            <w:tcW w:w="1992" w:type="dxa"/>
            <w:vAlign w:val="center"/>
          </w:tcPr>
          <w:p w14:paraId="76D86E9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病虫害防治</w:t>
            </w:r>
          </w:p>
        </w:tc>
        <w:tc>
          <w:tcPr>
            <w:tcW w:w="10855" w:type="dxa"/>
            <w:vAlign w:val="center"/>
          </w:tcPr>
          <w:p w14:paraId="6816F13D">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及时做好病虫害防治。</w:t>
            </w:r>
          </w:p>
        </w:tc>
      </w:tr>
      <w:tr w14:paraId="3A9520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33659A5B">
            <w:pPr>
              <w:spacing w:line="360" w:lineRule="auto"/>
              <w:jc w:val="center"/>
              <w:textAlignment w:val="baseline"/>
              <w:rPr>
                <w:rFonts w:hint="eastAsia" w:ascii="宋体" w:hAnsi="宋体" w:cs="微软雅黑"/>
                <w:color w:val="auto"/>
                <w:highlight w:val="none"/>
              </w:rPr>
            </w:pPr>
          </w:p>
        </w:tc>
        <w:tc>
          <w:tcPr>
            <w:tcW w:w="1992" w:type="dxa"/>
            <w:vAlign w:val="center"/>
          </w:tcPr>
          <w:p w14:paraId="5BDF69F3">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其它</w:t>
            </w:r>
          </w:p>
        </w:tc>
        <w:tc>
          <w:tcPr>
            <w:tcW w:w="10855" w:type="dxa"/>
            <w:vAlign w:val="center"/>
          </w:tcPr>
          <w:p w14:paraId="24F087C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草地生长正常。</w:t>
            </w:r>
          </w:p>
        </w:tc>
      </w:tr>
      <w:tr w14:paraId="58E43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restart"/>
            <w:vAlign w:val="center"/>
          </w:tcPr>
          <w:p w14:paraId="061368B7">
            <w:pPr>
              <w:widowControl/>
              <w:spacing w:line="360" w:lineRule="auto"/>
              <w:jc w:val="center"/>
              <w:textAlignment w:val="baseline"/>
              <w:rPr>
                <w:rFonts w:hint="eastAsia" w:ascii="宋体" w:hAnsi="宋体"/>
                <w:color w:val="auto"/>
                <w:kern w:val="0"/>
                <w:highlight w:val="none"/>
              </w:rPr>
            </w:pPr>
            <w:bookmarkStart w:id="15" w:name="_Hlk200698981"/>
            <w:r>
              <w:rPr>
                <w:rFonts w:hint="eastAsia" w:ascii="宋体" w:hAnsi="宋体" w:cs="宋体"/>
                <w:color w:val="auto"/>
                <w:kern w:val="0"/>
                <w:highlight w:val="none"/>
              </w:rPr>
              <w:t>树木</w:t>
            </w:r>
          </w:p>
        </w:tc>
        <w:tc>
          <w:tcPr>
            <w:tcW w:w="1992" w:type="dxa"/>
            <w:vAlign w:val="center"/>
          </w:tcPr>
          <w:p w14:paraId="31A4DC1E">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修剪</w:t>
            </w:r>
          </w:p>
        </w:tc>
        <w:tc>
          <w:tcPr>
            <w:tcW w:w="10855" w:type="dxa"/>
            <w:vAlign w:val="center"/>
          </w:tcPr>
          <w:p w14:paraId="1C9D481D">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小区内造型植物及时修剪，每年不少于四遍，做到表面圆整，基本无脱节，每年不少于二次，日常养护；乔、灌木修剪每年二次以上，基本做到无枯枝、萌蘖枝；蓠、球、造型植物及时修剪，每年不少于四遍，做到表面圆整，基本无脱节；地被、攀援植物适时修剪，每年不少于二次。对居民提出的临时修剪需求，及时登记处理，大型树木修剪由物业按小区实际情况开展。</w:t>
            </w:r>
          </w:p>
        </w:tc>
      </w:tr>
      <w:bookmarkEnd w:id="15"/>
      <w:tr w14:paraId="48DF2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4572AB59">
            <w:pPr>
              <w:spacing w:line="360" w:lineRule="auto"/>
              <w:textAlignment w:val="baseline"/>
              <w:rPr>
                <w:rFonts w:hint="eastAsia" w:ascii="宋体" w:hAnsi="宋体" w:cs="微软雅黑"/>
                <w:color w:val="auto"/>
                <w:highlight w:val="none"/>
              </w:rPr>
            </w:pPr>
          </w:p>
        </w:tc>
        <w:tc>
          <w:tcPr>
            <w:tcW w:w="1992" w:type="dxa"/>
            <w:vAlign w:val="center"/>
          </w:tcPr>
          <w:p w14:paraId="5B24546A">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中耕除草、松土</w:t>
            </w:r>
          </w:p>
        </w:tc>
        <w:tc>
          <w:tcPr>
            <w:tcW w:w="10855" w:type="dxa"/>
            <w:vAlign w:val="center"/>
          </w:tcPr>
          <w:p w14:paraId="1BC7539B">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适时中耕除草,做到基本无杂草，土壤疏松。</w:t>
            </w:r>
          </w:p>
        </w:tc>
      </w:tr>
      <w:tr w14:paraId="6C3B0E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33DF15A7">
            <w:pPr>
              <w:spacing w:line="360" w:lineRule="auto"/>
              <w:textAlignment w:val="baseline"/>
              <w:rPr>
                <w:rFonts w:hint="eastAsia" w:ascii="宋体" w:hAnsi="宋体" w:cs="微软雅黑"/>
                <w:color w:val="auto"/>
                <w:highlight w:val="none"/>
              </w:rPr>
            </w:pPr>
          </w:p>
        </w:tc>
        <w:tc>
          <w:tcPr>
            <w:tcW w:w="1992" w:type="dxa"/>
            <w:vAlign w:val="center"/>
          </w:tcPr>
          <w:p w14:paraId="104E8974">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施肥</w:t>
            </w:r>
          </w:p>
        </w:tc>
        <w:tc>
          <w:tcPr>
            <w:tcW w:w="10855" w:type="dxa"/>
            <w:vAlign w:val="center"/>
          </w:tcPr>
          <w:p w14:paraId="2FFBDC31">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按植物品种、生长状况、土壤条件适当施肥；每年普施基肥一遍，部分花灌木增施追肥一次。</w:t>
            </w:r>
          </w:p>
        </w:tc>
      </w:tr>
      <w:tr w14:paraId="4065B2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30A288A2">
            <w:pPr>
              <w:spacing w:line="360" w:lineRule="auto"/>
              <w:textAlignment w:val="baseline"/>
              <w:rPr>
                <w:rFonts w:hint="eastAsia" w:ascii="宋体" w:hAnsi="宋体" w:cs="微软雅黑"/>
                <w:color w:val="auto"/>
                <w:highlight w:val="none"/>
              </w:rPr>
            </w:pPr>
          </w:p>
        </w:tc>
        <w:tc>
          <w:tcPr>
            <w:tcW w:w="1992" w:type="dxa"/>
            <w:vAlign w:val="center"/>
          </w:tcPr>
          <w:p w14:paraId="66608518">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病虫害防治</w:t>
            </w:r>
          </w:p>
        </w:tc>
        <w:tc>
          <w:tcPr>
            <w:tcW w:w="10855" w:type="dxa"/>
            <w:vAlign w:val="center"/>
          </w:tcPr>
          <w:p w14:paraId="1FDEC62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防治结合、及时灭治。</w:t>
            </w:r>
          </w:p>
        </w:tc>
      </w:tr>
      <w:tr w14:paraId="28999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186E2554">
            <w:pPr>
              <w:spacing w:line="360" w:lineRule="auto"/>
              <w:textAlignment w:val="baseline"/>
              <w:rPr>
                <w:rFonts w:hint="eastAsia" w:ascii="宋体" w:hAnsi="宋体" w:cs="微软雅黑"/>
                <w:color w:val="auto"/>
                <w:highlight w:val="none"/>
              </w:rPr>
            </w:pPr>
          </w:p>
        </w:tc>
        <w:tc>
          <w:tcPr>
            <w:tcW w:w="1992" w:type="dxa"/>
            <w:vAlign w:val="center"/>
          </w:tcPr>
          <w:p w14:paraId="549ABC7D">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扶正</w:t>
            </w:r>
          </w:p>
          <w:p w14:paraId="4F3DF15C">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加固</w:t>
            </w:r>
          </w:p>
        </w:tc>
        <w:tc>
          <w:tcPr>
            <w:tcW w:w="10855" w:type="dxa"/>
            <w:vAlign w:val="center"/>
          </w:tcPr>
          <w:p w14:paraId="16612A1F">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树木基本无倾斜。</w:t>
            </w:r>
          </w:p>
        </w:tc>
      </w:tr>
      <w:tr w14:paraId="148F6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2733FD72">
            <w:pPr>
              <w:spacing w:line="360" w:lineRule="auto"/>
              <w:textAlignment w:val="baseline"/>
              <w:rPr>
                <w:rFonts w:hint="eastAsia" w:ascii="宋体" w:hAnsi="宋体" w:cs="微软雅黑"/>
                <w:color w:val="auto"/>
                <w:highlight w:val="none"/>
              </w:rPr>
            </w:pPr>
          </w:p>
        </w:tc>
        <w:tc>
          <w:tcPr>
            <w:tcW w:w="1992" w:type="dxa"/>
            <w:vAlign w:val="center"/>
          </w:tcPr>
          <w:p w14:paraId="108ED44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其它</w:t>
            </w:r>
          </w:p>
        </w:tc>
        <w:tc>
          <w:tcPr>
            <w:tcW w:w="10855" w:type="dxa"/>
            <w:vAlign w:val="center"/>
          </w:tcPr>
          <w:p w14:paraId="5272AE23">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乔灌木生长良好，树冠完整；花灌木基本开花；球、篱、地被生长正常,缺枝、空档不明显。</w:t>
            </w:r>
          </w:p>
        </w:tc>
      </w:tr>
      <w:tr w14:paraId="03F42E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5CB0A21F">
            <w:pPr>
              <w:spacing w:line="360" w:lineRule="auto"/>
              <w:textAlignment w:val="baseline"/>
              <w:rPr>
                <w:rFonts w:hint="eastAsia" w:ascii="宋体" w:hAnsi="宋体" w:cs="微软雅黑"/>
                <w:color w:val="auto"/>
                <w:highlight w:val="none"/>
              </w:rPr>
            </w:pPr>
          </w:p>
        </w:tc>
        <w:tc>
          <w:tcPr>
            <w:tcW w:w="1992" w:type="dxa"/>
            <w:vAlign w:val="center"/>
          </w:tcPr>
          <w:p w14:paraId="7F486C34">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灌、排水</w:t>
            </w:r>
          </w:p>
        </w:tc>
        <w:tc>
          <w:tcPr>
            <w:tcW w:w="10855" w:type="dxa"/>
            <w:vAlign w:val="center"/>
          </w:tcPr>
          <w:p w14:paraId="186C0B24">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保持有效供水，无积水。</w:t>
            </w:r>
          </w:p>
        </w:tc>
      </w:tr>
      <w:tr w14:paraId="05171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49A80CAF">
            <w:pPr>
              <w:spacing w:line="360" w:lineRule="auto"/>
              <w:textAlignment w:val="baseline"/>
              <w:rPr>
                <w:rFonts w:hint="eastAsia" w:ascii="宋体" w:hAnsi="宋体" w:cs="微软雅黑"/>
                <w:color w:val="auto"/>
                <w:highlight w:val="none"/>
              </w:rPr>
            </w:pPr>
          </w:p>
        </w:tc>
        <w:tc>
          <w:tcPr>
            <w:tcW w:w="1992" w:type="dxa"/>
            <w:vAlign w:val="center"/>
          </w:tcPr>
          <w:p w14:paraId="4EFB73E9">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补种</w:t>
            </w:r>
          </w:p>
        </w:tc>
        <w:tc>
          <w:tcPr>
            <w:tcW w:w="10855" w:type="dxa"/>
            <w:vAlign w:val="center"/>
          </w:tcPr>
          <w:p w14:paraId="1F9A7F6C">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缺枝倒伏不超过十处。</w:t>
            </w:r>
          </w:p>
        </w:tc>
      </w:tr>
      <w:tr w14:paraId="5FD612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626204D6">
            <w:pPr>
              <w:spacing w:line="360" w:lineRule="auto"/>
              <w:textAlignment w:val="baseline"/>
              <w:rPr>
                <w:rFonts w:hint="eastAsia" w:ascii="宋体" w:hAnsi="宋体" w:cs="微软雅黑"/>
                <w:color w:val="auto"/>
                <w:highlight w:val="none"/>
              </w:rPr>
            </w:pPr>
          </w:p>
        </w:tc>
        <w:tc>
          <w:tcPr>
            <w:tcW w:w="1992" w:type="dxa"/>
            <w:vAlign w:val="center"/>
          </w:tcPr>
          <w:p w14:paraId="65606460">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修剪、施肥</w:t>
            </w:r>
          </w:p>
        </w:tc>
        <w:tc>
          <w:tcPr>
            <w:tcW w:w="10855" w:type="dxa"/>
            <w:vAlign w:val="center"/>
          </w:tcPr>
          <w:p w14:paraId="3DF7A086">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保持花卉生长良好。</w:t>
            </w:r>
          </w:p>
        </w:tc>
      </w:tr>
      <w:tr w14:paraId="097E77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92" w:type="dxa"/>
            <w:vMerge w:val="continue"/>
            <w:vAlign w:val="center"/>
          </w:tcPr>
          <w:p w14:paraId="329E8E7D">
            <w:pPr>
              <w:spacing w:line="360" w:lineRule="auto"/>
              <w:textAlignment w:val="baseline"/>
              <w:rPr>
                <w:rFonts w:hint="eastAsia" w:ascii="宋体" w:hAnsi="宋体" w:cs="微软雅黑"/>
                <w:color w:val="auto"/>
                <w:highlight w:val="none"/>
              </w:rPr>
            </w:pPr>
          </w:p>
        </w:tc>
        <w:tc>
          <w:tcPr>
            <w:tcW w:w="1992" w:type="dxa"/>
            <w:vAlign w:val="center"/>
          </w:tcPr>
          <w:p w14:paraId="07CD21F6">
            <w:pPr>
              <w:widowControl/>
              <w:spacing w:line="360" w:lineRule="auto"/>
              <w:jc w:val="center"/>
              <w:textAlignment w:val="baseline"/>
              <w:rPr>
                <w:rFonts w:hint="eastAsia" w:ascii="宋体" w:hAnsi="宋体"/>
                <w:color w:val="auto"/>
                <w:kern w:val="0"/>
                <w:highlight w:val="none"/>
              </w:rPr>
            </w:pPr>
            <w:r>
              <w:rPr>
                <w:rFonts w:hint="eastAsia" w:ascii="宋体" w:hAnsi="宋体" w:cs="宋体"/>
                <w:color w:val="auto"/>
                <w:kern w:val="0"/>
                <w:highlight w:val="none"/>
              </w:rPr>
              <w:t>病虫害防治</w:t>
            </w:r>
          </w:p>
        </w:tc>
        <w:tc>
          <w:tcPr>
            <w:tcW w:w="10855" w:type="dxa"/>
            <w:vAlign w:val="center"/>
          </w:tcPr>
          <w:p w14:paraId="639C97F5">
            <w:pPr>
              <w:widowControl/>
              <w:spacing w:line="360" w:lineRule="auto"/>
              <w:jc w:val="left"/>
              <w:textAlignment w:val="baseline"/>
              <w:rPr>
                <w:rFonts w:hint="eastAsia" w:ascii="宋体" w:hAnsi="宋体"/>
                <w:color w:val="auto"/>
                <w:kern w:val="0"/>
                <w:highlight w:val="none"/>
              </w:rPr>
            </w:pPr>
            <w:r>
              <w:rPr>
                <w:rFonts w:hint="eastAsia" w:ascii="宋体" w:hAnsi="宋体" w:cs="宋体"/>
                <w:color w:val="auto"/>
                <w:kern w:val="0"/>
                <w:highlight w:val="none"/>
              </w:rPr>
              <w:t>及时做好病虫害防治。</w:t>
            </w:r>
          </w:p>
        </w:tc>
      </w:tr>
    </w:tbl>
    <w:p w14:paraId="53C23AB5">
      <w:pPr>
        <w:spacing w:line="360" w:lineRule="auto"/>
        <w:rPr>
          <w:rFonts w:hint="eastAsia" w:ascii="宋体" w:hAnsi="宋体" w:cs="宋体"/>
          <w:b/>
          <w:color w:val="auto"/>
          <w:highlight w:val="none"/>
        </w:rPr>
      </w:pPr>
      <w:r>
        <w:rPr>
          <w:rFonts w:hint="eastAsia" w:ascii="宋体" w:hAnsi="宋体" w:cs="宋体"/>
          <w:b/>
          <w:color w:val="auto"/>
          <w:highlight w:val="none"/>
        </w:rPr>
        <w:br w:type="page"/>
      </w:r>
    </w:p>
    <w:p w14:paraId="5D530C31">
      <w:pPr>
        <w:widowControl/>
        <w:spacing w:before="225" w:line="360" w:lineRule="auto"/>
        <w:jc w:val="center"/>
        <w:textAlignment w:val="baseline"/>
        <w:rPr>
          <w:rFonts w:hint="eastAsia" w:ascii="宋体" w:hAnsi="宋体" w:cs="微软雅黑"/>
          <w:color w:val="auto"/>
          <w:kern w:val="0"/>
          <w:highlight w:val="none"/>
        </w:rPr>
      </w:pPr>
      <w:r>
        <w:rPr>
          <w:rFonts w:hint="eastAsia" w:ascii="宋体" w:hAnsi="宋体" w:cs="宋体"/>
          <w:b/>
          <w:color w:val="auto"/>
          <w:kern w:val="0"/>
          <w:highlight w:val="none"/>
        </w:rPr>
        <w:t>五、共用部位、共用设施设备日常运行、维护服务标准</w:t>
      </w:r>
    </w:p>
    <w:tbl>
      <w:tblPr>
        <w:tblStyle w:val="18"/>
        <w:tblW w:w="13246"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7"/>
        <w:gridCol w:w="1973"/>
        <w:gridCol w:w="10546"/>
      </w:tblGrid>
      <w:tr w14:paraId="6ED1A8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blHeader/>
          <w:tblCellSpacing w:w="0" w:type="dxa"/>
        </w:trPr>
        <w:tc>
          <w:tcPr>
            <w:tcW w:w="727" w:type="dxa"/>
            <w:vAlign w:val="center"/>
          </w:tcPr>
          <w:p w14:paraId="560796DB">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序号</w:t>
            </w:r>
          </w:p>
        </w:tc>
        <w:tc>
          <w:tcPr>
            <w:tcW w:w="1973" w:type="dxa"/>
            <w:vAlign w:val="center"/>
          </w:tcPr>
          <w:p w14:paraId="7C332E57">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内容</w:t>
            </w:r>
          </w:p>
        </w:tc>
        <w:tc>
          <w:tcPr>
            <w:tcW w:w="10546" w:type="dxa"/>
            <w:vAlign w:val="center"/>
          </w:tcPr>
          <w:p w14:paraId="5285B731">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b/>
                <w:color w:val="auto"/>
                <w:kern w:val="0"/>
                <w:highlight w:val="none"/>
              </w:rPr>
              <w:t>服务标准</w:t>
            </w:r>
          </w:p>
        </w:tc>
      </w:tr>
      <w:tr w14:paraId="405C31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7C4367F9">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w:t>
            </w:r>
          </w:p>
        </w:tc>
        <w:tc>
          <w:tcPr>
            <w:tcW w:w="1973" w:type="dxa"/>
            <w:vAlign w:val="center"/>
          </w:tcPr>
          <w:p w14:paraId="40F8AB7A">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楼内墙面、顶面、地面</w:t>
            </w:r>
          </w:p>
        </w:tc>
        <w:tc>
          <w:tcPr>
            <w:tcW w:w="10546" w:type="dxa"/>
            <w:vAlign w:val="center"/>
          </w:tcPr>
          <w:p w14:paraId="1ED73014">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墙面、顶面粉刷层无剥落，面砖、地砖平整不起壳、无缺损。发现损坏，单次</w:t>
            </w:r>
            <w:r>
              <w:rPr>
                <w:rFonts w:hint="eastAsia" w:ascii="宋体" w:hAnsi="宋体" w:cs="宋体"/>
                <w:color w:val="auto"/>
                <w:kern w:val="0"/>
                <w:highlight w:val="none"/>
                <w:u w:val="single" w:color="000000"/>
              </w:rPr>
              <w:t>1000</w:t>
            </w:r>
            <w:r>
              <w:rPr>
                <w:rFonts w:hint="eastAsia" w:ascii="宋体" w:hAnsi="宋体" w:cs="宋体"/>
                <w:color w:val="auto"/>
                <w:kern w:val="0"/>
                <w:highlight w:val="none"/>
              </w:rPr>
              <w:t>元以内的属小修范围，及时组织修复；属于大、中修范围或者需要更新改造的，及时编制维修、更新改造计划和物业专项维修资金使用计划，向社区或物业管委员会提出报告与建议，根据社区的决定，组织实施。</w:t>
            </w:r>
          </w:p>
        </w:tc>
      </w:tr>
      <w:tr w14:paraId="3647C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2BD2ABF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2</w:t>
            </w:r>
          </w:p>
        </w:tc>
        <w:tc>
          <w:tcPr>
            <w:tcW w:w="1973" w:type="dxa"/>
            <w:vAlign w:val="center"/>
          </w:tcPr>
          <w:p w14:paraId="4C1D1B2B">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路灯、楼道灯</w:t>
            </w:r>
          </w:p>
        </w:tc>
        <w:tc>
          <w:tcPr>
            <w:tcW w:w="10546" w:type="dxa"/>
            <w:vAlign w:val="center"/>
          </w:tcPr>
          <w:p w14:paraId="13A8300B">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完好率不低于90%。</w:t>
            </w:r>
          </w:p>
        </w:tc>
      </w:tr>
      <w:tr w14:paraId="68AA6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7B9B9208">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3</w:t>
            </w:r>
          </w:p>
        </w:tc>
        <w:tc>
          <w:tcPr>
            <w:tcW w:w="1973" w:type="dxa"/>
            <w:vAlign w:val="center"/>
          </w:tcPr>
          <w:p w14:paraId="1A3E2A4E">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雨、污水管道</w:t>
            </w:r>
          </w:p>
        </w:tc>
        <w:tc>
          <w:tcPr>
            <w:tcW w:w="10546" w:type="dxa"/>
            <w:vAlign w:val="center"/>
          </w:tcPr>
          <w:p w14:paraId="5DE9AD4E">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共用雨、污水管道每年疏通一次，雨、污水井每半年检查一次，并视检查情况及时清掏。</w:t>
            </w:r>
          </w:p>
        </w:tc>
      </w:tr>
      <w:tr w14:paraId="2FC159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6B63AA40">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4</w:t>
            </w:r>
          </w:p>
        </w:tc>
        <w:tc>
          <w:tcPr>
            <w:tcW w:w="1973" w:type="dxa"/>
            <w:vAlign w:val="center"/>
          </w:tcPr>
          <w:p w14:paraId="69874CF0">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化粪池</w:t>
            </w:r>
          </w:p>
        </w:tc>
        <w:tc>
          <w:tcPr>
            <w:tcW w:w="10546" w:type="dxa"/>
            <w:vAlign w:val="center"/>
          </w:tcPr>
          <w:p w14:paraId="069F7E6A">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每两个月检查一次，每半年清掏一次，发现异常及时清掏。</w:t>
            </w:r>
          </w:p>
        </w:tc>
      </w:tr>
      <w:tr w14:paraId="1173A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27884901">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5</w:t>
            </w:r>
          </w:p>
        </w:tc>
        <w:tc>
          <w:tcPr>
            <w:tcW w:w="1973" w:type="dxa"/>
            <w:vAlign w:val="center"/>
          </w:tcPr>
          <w:p w14:paraId="326583C8">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围墙</w:t>
            </w:r>
          </w:p>
        </w:tc>
        <w:tc>
          <w:tcPr>
            <w:tcW w:w="10546" w:type="dxa"/>
            <w:vAlign w:val="center"/>
          </w:tcPr>
          <w:p w14:paraId="7B7D5004">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每月巡查一次，发现损坏，单次</w:t>
            </w:r>
            <w:r>
              <w:rPr>
                <w:rFonts w:hint="eastAsia" w:ascii="宋体" w:hAnsi="宋体" w:cs="宋体"/>
                <w:color w:val="auto"/>
                <w:kern w:val="0"/>
                <w:highlight w:val="none"/>
                <w:u w:val="single" w:color="000000"/>
              </w:rPr>
              <w:t>1000</w:t>
            </w:r>
            <w:r>
              <w:rPr>
                <w:rFonts w:hint="eastAsia" w:ascii="宋体" w:hAnsi="宋体" w:cs="宋体"/>
                <w:color w:val="auto"/>
                <w:kern w:val="0"/>
                <w:highlight w:val="none"/>
              </w:rPr>
              <w:t>元以内的属小修范围，及时组织修复；属于大、中修范围或者需要更新改造的，及时编制维修、更新改造计划和物业专项维修资金使用计划，向社区或物业管理委员会提出报告与建议，根据社区的决定，组织实施。</w:t>
            </w:r>
          </w:p>
        </w:tc>
      </w:tr>
      <w:tr w14:paraId="1C09A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7" w:type="dxa"/>
            <w:vAlign w:val="center"/>
          </w:tcPr>
          <w:p w14:paraId="1D6B81EA">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6</w:t>
            </w:r>
          </w:p>
        </w:tc>
        <w:tc>
          <w:tcPr>
            <w:tcW w:w="1973" w:type="dxa"/>
            <w:vAlign w:val="center"/>
          </w:tcPr>
          <w:p w14:paraId="4063BDE2">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道路、场地等</w:t>
            </w:r>
          </w:p>
        </w:tc>
        <w:tc>
          <w:tcPr>
            <w:tcW w:w="10546" w:type="dxa"/>
            <w:vAlign w:val="center"/>
          </w:tcPr>
          <w:p w14:paraId="4D7852B4">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每月对道路路面、侧石、井盖等巡查一次，发现损坏，单次</w:t>
            </w:r>
            <w:r>
              <w:rPr>
                <w:rFonts w:hint="eastAsia" w:ascii="宋体" w:hAnsi="宋体" w:cs="宋体"/>
                <w:color w:val="auto"/>
                <w:kern w:val="0"/>
                <w:highlight w:val="none"/>
                <w:u w:val="single" w:color="000000"/>
              </w:rPr>
              <w:t>1000</w:t>
            </w:r>
            <w:r>
              <w:rPr>
                <w:rFonts w:hint="eastAsia" w:ascii="宋体" w:hAnsi="宋体" w:cs="宋体"/>
                <w:color w:val="auto"/>
                <w:kern w:val="0"/>
                <w:highlight w:val="none"/>
              </w:rPr>
              <w:t>元以内的属小修范围，及时组织修复；属于大、中修范围或者需要更新改造的，及时编制维修、更新改造计划和物业专项维修资金使用计划，向社区或物业管委员会提出报告与建议，根据社区的决定，组织实施。</w:t>
            </w:r>
          </w:p>
        </w:tc>
      </w:tr>
      <w:tr w14:paraId="1B26B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3976FFDF">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7</w:t>
            </w:r>
          </w:p>
        </w:tc>
        <w:tc>
          <w:tcPr>
            <w:tcW w:w="1973" w:type="dxa"/>
            <w:vAlign w:val="center"/>
          </w:tcPr>
          <w:p w14:paraId="2542E1C9">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休闲椅、凉亭、</w:t>
            </w:r>
          </w:p>
          <w:p w14:paraId="11DC9258">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雕塑、景观小品</w:t>
            </w:r>
          </w:p>
        </w:tc>
        <w:tc>
          <w:tcPr>
            <w:tcW w:w="10546" w:type="dxa"/>
            <w:vAlign w:val="center"/>
          </w:tcPr>
          <w:p w14:paraId="55E707E5">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每日对休闲椅、凉亭、雕塑、景观小品等巡查一次，发现损坏立即修复，保持原有面貌，保证其安全使用。</w:t>
            </w:r>
          </w:p>
        </w:tc>
      </w:tr>
      <w:tr w14:paraId="1C23C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369828C9">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8</w:t>
            </w:r>
          </w:p>
        </w:tc>
        <w:tc>
          <w:tcPr>
            <w:tcW w:w="1973" w:type="dxa"/>
            <w:vAlign w:val="center"/>
          </w:tcPr>
          <w:p w14:paraId="06618668">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室外健身设施、</w:t>
            </w:r>
          </w:p>
          <w:p w14:paraId="666E0006">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儿童乐园等</w:t>
            </w:r>
          </w:p>
        </w:tc>
        <w:tc>
          <w:tcPr>
            <w:tcW w:w="10546" w:type="dxa"/>
            <w:vAlign w:val="center"/>
          </w:tcPr>
          <w:p w14:paraId="2503C185">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每日巡查一次，发现损坏立即修复，保证器械、设施的安全使用（如需更换的除外〕。</w:t>
            </w:r>
          </w:p>
        </w:tc>
      </w:tr>
      <w:tr w14:paraId="533B9F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24C5479D">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9</w:t>
            </w:r>
          </w:p>
        </w:tc>
        <w:tc>
          <w:tcPr>
            <w:tcW w:w="1973" w:type="dxa"/>
            <w:vAlign w:val="center"/>
          </w:tcPr>
          <w:p w14:paraId="3F5927C1">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安全标识等</w:t>
            </w:r>
          </w:p>
        </w:tc>
        <w:tc>
          <w:tcPr>
            <w:tcW w:w="10546" w:type="dxa"/>
            <w:vAlign w:val="center"/>
          </w:tcPr>
          <w:p w14:paraId="5A56E929">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对危险隐患部位设置安全防范警示标识，并在主要通道设置安全疏散指示和事故照明设施，每周检查一次，保证标识清晰完整，设施正常运行。</w:t>
            </w:r>
          </w:p>
        </w:tc>
      </w:tr>
      <w:tr w14:paraId="291908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trPr>
        <w:tc>
          <w:tcPr>
            <w:tcW w:w="727" w:type="dxa"/>
            <w:vAlign w:val="center"/>
          </w:tcPr>
          <w:p w14:paraId="316CDBD3">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10</w:t>
            </w:r>
          </w:p>
        </w:tc>
        <w:tc>
          <w:tcPr>
            <w:tcW w:w="1973" w:type="dxa"/>
            <w:vAlign w:val="center"/>
          </w:tcPr>
          <w:p w14:paraId="3839FB47">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房屋结构</w:t>
            </w:r>
          </w:p>
        </w:tc>
        <w:tc>
          <w:tcPr>
            <w:tcW w:w="10546" w:type="dxa"/>
            <w:vAlign w:val="center"/>
          </w:tcPr>
          <w:p w14:paraId="2369B387">
            <w:pPr>
              <w:widowControl/>
              <w:spacing w:line="360" w:lineRule="auto"/>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每年对房屋结构检查二次以上，涉及使用安全的部位每季检查一次，并有记录，发现损坏，属小修范围的（1000元以内），及时组织修复；属于大、中修范围或者需要更新改造的，及时编制维修、更新改造计划和物业专项维修资金使用计划，向社区或物业管理委员会提出报告与建议，根据社区的决定，组织实施。</w:t>
            </w:r>
          </w:p>
        </w:tc>
      </w:tr>
      <w:tr w14:paraId="40DD9B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03" w:hRule="atLeast"/>
          <w:tblCellSpacing w:w="0" w:type="dxa"/>
        </w:trPr>
        <w:tc>
          <w:tcPr>
            <w:tcW w:w="727" w:type="dxa"/>
            <w:vAlign w:val="center"/>
          </w:tcPr>
          <w:p w14:paraId="406CC003">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11</w:t>
            </w:r>
          </w:p>
        </w:tc>
        <w:tc>
          <w:tcPr>
            <w:tcW w:w="1973" w:type="dxa"/>
            <w:vAlign w:val="center"/>
          </w:tcPr>
          <w:p w14:paraId="270EFD6C">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消防系统</w:t>
            </w:r>
          </w:p>
        </w:tc>
        <w:tc>
          <w:tcPr>
            <w:tcW w:w="10546" w:type="dxa"/>
            <w:vAlign w:val="center"/>
          </w:tcPr>
          <w:p w14:paraId="051CD2E8">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1.消防泵每月启动一次并作记录，每年保养一次，保证其正常运行。</w:t>
            </w:r>
          </w:p>
          <w:p w14:paraId="3DD3CA60">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2.消防栓每月巡查一次，消防栓箱内各种配件完好。</w:t>
            </w:r>
          </w:p>
          <w:p w14:paraId="01079248">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3.每半年检查一次消防水带、阀杆处加注润滑油并作一次放水检查。</w:t>
            </w:r>
          </w:p>
          <w:p w14:paraId="1A83799F">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4.每月检查一次灭火器，及时更新或充压。</w:t>
            </w:r>
          </w:p>
        </w:tc>
      </w:tr>
      <w:tr w14:paraId="72286D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8" w:hRule="atLeast"/>
          <w:tblCellSpacing w:w="0" w:type="dxa"/>
        </w:trPr>
        <w:tc>
          <w:tcPr>
            <w:tcW w:w="727" w:type="dxa"/>
            <w:vAlign w:val="center"/>
          </w:tcPr>
          <w:p w14:paraId="10AB5705">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12</w:t>
            </w:r>
          </w:p>
        </w:tc>
        <w:tc>
          <w:tcPr>
            <w:tcW w:w="1973" w:type="dxa"/>
            <w:vAlign w:val="center"/>
          </w:tcPr>
          <w:p w14:paraId="183617F6">
            <w:pPr>
              <w:widowControl/>
              <w:spacing w:line="360" w:lineRule="auto"/>
              <w:jc w:val="center"/>
              <w:textAlignment w:val="baseline"/>
              <w:rPr>
                <w:rFonts w:hint="eastAsia" w:ascii="宋体" w:hAnsi="宋体" w:cs="宋体"/>
                <w:color w:val="auto"/>
                <w:kern w:val="0"/>
                <w:highlight w:val="none"/>
              </w:rPr>
            </w:pPr>
            <w:r>
              <w:rPr>
                <w:rFonts w:hint="eastAsia" w:ascii="宋体" w:hAnsi="宋体" w:cs="宋体"/>
                <w:color w:val="auto"/>
                <w:kern w:val="0"/>
                <w:highlight w:val="none"/>
              </w:rPr>
              <w:t>排水系统</w:t>
            </w:r>
          </w:p>
        </w:tc>
        <w:tc>
          <w:tcPr>
            <w:tcW w:w="10546" w:type="dxa"/>
            <w:vAlign w:val="center"/>
          </w:tcPr>
          <w:p w14:paraId="6E41F43B">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1.每周对污水泵、提升泵、排出泵检查二次。</w:t>
            </w:r>
          </w:p>
          <w:p w14:paraId="734380A7">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2.污水处理系统正常运行，周边基本无异味，过滤格栅无堵塞，每半年污水管道冲洗疏通一次。保证污水排放正常。</w:t>
            </w:r>
          </w:p>
          <w:p w14:paraId="7FAB855E">
            <w:pPr>
              <w:widowControl/>
              <w:spacing w:line="360" w:lineRule="auto"/>
              <w:textAlignment w:val="baseline"/>
              <w:rPr>
                <w:rFonts w:hint="eastAsia" w:ascii="宋体" w:hAnsi="宋体" w:cs="宋体"/>
                <w:color w:val="auto"/>
                <w:kern w:val="0"/>
                <w:highlight w:val="none"/>
              </w:rPr>
            </w:pPr>
            <w:r>
              <w:rPr>
                <w:rFonts w:hint="eastAsia" w:ascii="宋体" w:hAnsi="宋体" w:cs="宋体"/>
                <w:color w:val="auto"/>
                <w:kern w:val="0"/>
                <w:highlight w:val="none"/>
              </w:rPr>
              <w:t>3.每半年对屋面檐沟排水设施进行巡查一次，在汛期需要每月对屋面檐沟排水设施进行巡查一次，特别在防汛抗台期间每周对屋面檐沟排水设施进行巡查。</w:t>
            </w:r>
          </w:p>
        </w:tc>
      </w:tr>
    </w:tbl>
    <w:p w14:paraId="13F7AF19">
      <w:pPr>
        <w:spacing w:line="360" w:lineRule="auto"/>
        <w:rPr>
          <w:rFonts w:hint="eastAsia" w:ascii="宋体" w:hAnsi="宋体"/>
          <w:color w:val="auto"/>
          <w:highlight w:val="none"/>
        </w:rPr>
      </w:pPr>
    </w:p>
    <w:p w14:paraId="20051BBD">
      <w:pPr>
        <w:rPr>
          <w:rFonts w:hint="eastAsia" w:ascii="宋体" w:hAnsi="宋体" w:cs="黑体"/>
          <w:color w:val="auto"/>
          <w:highlight w:val="none"/>
        </w:rPr>
      </w:pPr>
    </w:p>
    <w:p w14:paraId="7F05EA56">
      <w:pPr>
        <w:rPr>
          <w:rFonts w:hint="eastAsia" w:ascii="宋体" w:hAnsi="宋体" w:cs="黑体"/>
          <w:color w:val="auto"/>
          <w:highlight w:val="none"/>
        </w:rPr>
      </w:pPr>
    </w:p>
    <w:p w14:paraId="20FBECCA">
      <w:pPr>
        <w:rPr>
          <w:rFonts w:hint="eastAsia" w:ascii="宋体" w:hAnsi="宋体" w:cs="黑体"/>
          <w:color w:val="auto"/>
          <w:highlight w:val="none"/>
        </w:rPr>
      </w:pPr>
    </w:p>
    <w:p w14:paraId="7BB7CB7C">
      <w:pPr>
        <w:rPr>
          <w:rFonts w:hint="eastAsia" w:ascii="宋体" w:hAnsi="宋体" w:cs="黑体"/>
          <w:color w:val="auto"/>
          <w:highlight w:val="none"/>
        </w:rPr>
      </w:pPr>
    </w:p>
    <w:p w14:paraId="55064689">
      <w:pPr>
        <w:rPr>
          <w:rFonts w:hint="eastAsia" w:ascii="宋体" w:hAnsi="宋体" w:cs="黑体"/>
          <w:color w:val="auto"/>
          <w:highlight w:val="none"/>
        </w:rPr>
      </w:pPr>
    </w:p>
    <w:p w14:paraId="6CCCE496">
      <w:pPr>
        <w:rPr>
          <w:rFonts w:hint="eastAsia" w:ascii="宋体" w:hAnsi="宋体" w:cs="黑体"/>
          <w:color w:val="auto"/>
          <w:highlight w:val="none"/>
        </w:rPr>
      </w:pPr>
    </w:p>
    <w:p w14:paraId="0B6A4123">
      <w:pPr>
        <w:rPr>
          <w:rFonts w:hint="eastAsia" w:ascii="宋体" w:hAnsi="宋体" w:cs="黑体"/>
          <w:color w:val="auto"/>
          <w:highlight w:val="none"/>
        </w:rPr>
      </w:pPr>
    </w:p>
    <w:p w14:paraId="06518BE6">
      <w:pPr>
        <w:rPr>
          <w:rFonts w:hint="eastAsia" w:ascii="宋体" w:hAnsi="宋体" w:cs="黑体"/>
          <w:color w:val="auto"/>
          <w:highlight w:val="none"/>
        </w:rPr>
        <w:sectPr>
          <w:pgSz w:w="16838" w:h="11906" w:orient="landscape"/>
          <w:pgMar w:top="1803" w:right="1440" w:bottom="1803" w:left="1440" w:header="851" w:footer="992" w:gutter="0"/>
          <w:cols w:space="720" w:num="1"/>
          <w:docGrid w:type="lines" w:linePitch="319" w:charSpace="0"/>
        </w:sectPr>
      </w:pPr>
    </w:p>
    <w:p w14:paraId="0170A22B">
      <w:pPr>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附件三：</w:t>
      </w:r>
    </w:p>
    <w:p w14:paraId="5909F428">
      <w:pPr>
        <w:spacing w:line="360" w:lineRule="auto"/>
        <w:jc w:val="center"/>
        <w:rPr>
          <w:rFonts w:hint="eastAsia" w:ascii="宋体" w:hAnsi="宋体" w:cs="宋体"/>
          <w:color w:val="auto"/>
          <w:kern w:val="0"/>
          <w:highlight w:val="none"/>
        </w:rPr>
      </w:pPr>
      <w:r>
        <w:rPr>
          <w:rFonts w:hint="eastAsia" w:ascii="宋体" w:hAnsi="宋体" w:cs="宋体"/>
          <w:b/>
          <w:bCs/>
          <w:color w:val="auto"/>
          <w:kern w:val="0"/>
          <w:highlight w:val="none"/>
        </w:rPr>
        <w:t>杭玻阔板桥社区老旧小区物业服务项目日常考核管理标准</w:t>
      </w:r>
    </w:p>
    <w:tbl>
      <w:tblPr>
        <w:tblStyle w:val="18"/>
        <w:tblW w:w="14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19"/>
        <w:gridCol w:w="2050"/>
        <w:gridCol w:w="7684"/>
        <w:gridCol w:w="1845"/>
      </w:tblGrid>
      <w:tr w14:paraId="355F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993" w:type="dxa"/>
            <w:shd w:val="clear" w:color="auto" w:fill="auto"/>
            <w:vAlign w:val="center"/>
          </w:tcPr>
          <w:p w14:paraId="6DE886A2">
            <w:pPr>
              <w:widowControl/>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序号</w:t>
            </w:r>
          </w:p>
        </w:tc>
        <w:tc>
          <w:tcPr>
            <w:tcW w:w="1819" w:type="dxa"/>
            <w:shd w:val="clear" w:color="auto" w:fill="auto"/>
            <w:vAlign w:val="center"/>
          </w:tcPr>
          <w:p w14:paraId="0C81F3EF">
            <w:pPr>
              <w:widowControl/>
              <w:spacing w:line="360" w:lineRule="auto"/>
              <w:jc w:val="center"/>
              <w:rPr>
                <w:rFonts w:hint="eastAsia" w:ascii="宋体" w:hAnsi="宋体" w:cs="宋体"/>
                <w:b/>
                <w:color w:val="auto"/>
                <w:kern w:val="0"/>
                <w:highlight w:val="none"/>
              </w:rPr>
            </w:pPr>
            <w:r>
              <w:rPr>
                <w:rFonts w:hint="eastAsia" w:ascii="宋体" w:hAnsi="宋体" w:cs="宋体"/>
                <w:b/>
                <w:color w:val="auto"/>
                <w:kern w:val="0"/>
                <w:highlight w:val="none"/>
              </w:rPr>
              <w:t>类别</w:t>
            </w:r>
          </w:p>
        </w:tc>
        <w:tc>
          <w:tcPr>
            <w:tcW w:w="2050" w:type="dxa"/>
            <w:shd w:val="clear" w:color="auto" w:fill="auto"/>
            <w:vAlign w:val="center"/>
          </w:tcPr>
          <w:p w14:paraId="7077CDB2">
            <w:pPr>
              <w:widowControl/>
              <w:spacing w:line="360" w:lineRule="auto"/>
              <w:jc w:val="center"/>
              <w:rPr>
                <w:rFonts w:hint="eastAsia" w:ascii="宋体" w:hAnsi="宋体" w:cs="宋体"/>
                <w:b/>
                <w:color w:val="auto"/>
                <w:kern w:val="0"/>
                <w:highlight w:val="none"/>
              </w:rPr>
            </w:pPr>
            <w:r>
              <w:rPr>
                <w:rFonts w:hint="eastAsia" w:ascii="宋体" w:hAnsi="宋体" w:cs="宋体"/>
                <w:b/>
                <w:color w:val="auto"/>
                <w:kern w:val="0"/>
                <w:highlight w:val="none"/>
              </w:rPr>
              <w:t>检查项目</w:t>
            </w:r>
          </w:p>
        </w:tc>
        <w:tc>
          <w:tcPr>
            <w:tcW w:w="7684" w:type="dxa"/>
            <w:shd w:val="clear" w:color="auto" w:fill="auto"/>
            <w:vAlign w:val="center"/>
          </w:tcPr>
          <w:p w14:paraId="3F1B1682">
            <w:pPr>
              <w:widowControl/>
              <w:spacing w:line="360" w:lineRule="auto"/>
              <w:jc w:val="center"/>
              <w:rPr>
                <w:rFonts w:hint="eastAsia" w:ascii="宋体" w:hAnsi="宋体" w:cs="宋体"/>
                <w:b/>
                <w:color w:val="auto"/>
                <w:kern w:val="0"/>
                <w:highlight w:val="none"/>
              </w:rPr>
            </w:pPr>
            <w:r>
              <w:rPr>
                <w:rFonts w:hint="eastAsia" w:ascii="宋体" w:hAnsi="宋体" w:cs="宋体"/>
                <w:b/>
                <w:color w:val="auto"/>
                <w:kern w:val="0"/>
                <w:highlight w:val="none"/>
              </w:rPr>
              <w:t>管理考核标准</w:t>
            </w:r>
          </w:p>
        </w:tc>
        <w:tc>
          <w:tcPr>
            <w:tcW w:w="1845" w:type="dxa"/>
            <w:shd w:val="clear" w:color="auto" w:fill="auto"/>
            <w:vAlign w:val="center"/>
          </w:tcPr>
          <w:p w14:paraId="0D3B41FC">
            <w:pPr>
              <w:widowControl/>
              <w:spacing w:line="360" w:lineRule="auto"/>
              <w:jc w:val="center"/>
              <w:rPr>
                <w:rFonts w:hint="eastAsia" w:ascii="宋体" w:hAnsi="宋体" w:cs="宋体"/>
                <w:b/>
                <w:color w:val="auto"/>
                <w:kern w:val="0"/>
                <w:highlight w:val="none"/>
              </w:rPr>
            </w:pPr>
            <w:r>
              <w:rPr>
                <w:rFonts w:hint="eastAsia" w:ascii="宋体" w:hAnsi="宋体" w:cs="宋体"/>
                <w:b/>
                <w:color w:val="auto"/>
                <w:kern w:val="0"/>
                <w:highlight w:val="none"/>
              </w:rPr>
              <w:t>评分标准</w:t>
            </w:r>
          </w:p>
        </w:tc>
      </w:tr>
      <w:tr w14:paraId="0B9F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restart"/>
            <w:shd w:val="clear" w:color="auto" w:fill="auto"/>
            <w:noWrap/>
            <w:vAlign w:val="center"/>
          </w:tcPr>
          <w:p w14:paraId="1DB50327">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1</w:t>
            </w:r>
          </w:p>
        </w:tc>
        <w:tc>
          <w:tcPr>
            <w:tcW w:w="1819" w:type="dxa"/>
            <w:vMerge w:val="restart"/>
            <w:shd w:val="clear" w:color="auto" w:fill="auto"/>
            <w:vAlign w:val="center"/>
          </w:tcPr>
          <w:p w14:paraId="4446B4B4">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规范化管理</w:t>
            </w:r>
          </w:p>
          <w:p w14:paraId="678F2672">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（15分）</w:t>
            </w:r>
          </w:p>
        </w:tc>
        <w:tc>
          <w:tcPr>
            <w:tcW w:w="2050" w:type="dxa"/>
            <w:shd w:val="clear" w:color="auto" w:fill="auto"/>
            <w:vAlign w:val="center"/>
          </w:tcPr>
          <w:p w14:paraId="79C2C112">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信息公开（3分）</w:t>
            </w:r>
          </w:p>
        </w:tc>
        <w:tc>
          <w:tcPr>
            <w:tcW w:w="7684" w:type="dxa"/>
            <w:shd w:val="clear" w:color="auto" w:fill="auto"/>
            <w:vAlign w:val="center"/>
          </w:tcPr>
          <w:p w14:paraId="3F75D1B1">
            <w:pPr>
              <w:spacing w:line="360" w:lineRule="auto"/>
              <w:jc w:val="left"/>
              <w:rPr>
                <w:rFonts w:hint="eastAsia" w:ascii="宋体" w:hAnsi="宋体" w:cs="仿宋"/>
                <w:color w:val="auto"/>
                <w:kern w:val="0"/>
                <w:highlight w:val="none"/>
              </w:rPr>
            </w:pPr>
            <w:r>
              <w:rPr>
                <w:rFonts w:hint="eastAsia" w:ascii="宋体" w:hAnsi="宋体" w:cs="仿宋"/>
                <w:color w:val="auto"/>
                <w:highlight w:val="none"/>
              </w:rPr>
              <w:t>1.服务项目、服务标准在公共区域显著位置公开；2、服务电话、监督电话在公共区域显著位置公开；3.岗位人员、岗位职责在相应岗位公开；4.各类信息在“智慧物业管理平台”及时填报公开。</w:t>
            </w:r>
          </w:p>
        </w:tc>
        <w:tc>
          <w:tcPr>
            <w:tcW w:w="1845" w:type="dxa"/>
            <w:shd w:val="clear" w:color="auto" w:fill="auto"/>
            <w:vAlign w:val="center"/>
          </w:tcPr>
          <w:p w14:paraId="25FA3A69">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不符合的，扣3分。</w:t>
            </w:r>
          </w:p>
        </w:tc>
      </w:tr>
      <w:tr w14:paraId="3DF7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14:paraId="0367497A">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2C7A8A9D">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742472D6">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人员到岗（5分）</w:t>
            </w:r>
          </w:p>
        </w:tc>
        <w:tc>
          <w:tcPr>
            <w:tcW w:w="7684" w:type="dxa"/>
            <w:shd w:val="clear" w:color="auto" w:fill="auto"/>
            <w:vAlign w:val="center"/>
          </w:tcPr>
          <w:p w14:paraId="355678B9">
            <w:pPr>
              <w:spacing w:line="360" w:lineRule="auto"/>
              <w:jc w:val="left"/>
              <w:rPr>
                <w:rFonts w:hint="eastAsia" w:ascii="宋体" w:hAnsi="宋体" w:cs="仿宋"/>
                <w:color w:val="auto"/>
                <w:kern w:val="0"/>
                <w:highlight w:val="none"/>
              </w:rPr>
            </w:pPr>
            <w:r>
              <w:rPr>
                <w:rFonts w:hint="eastAsia" w:ascii="宋体" w:hAnsi="宋体" w:cs="仿宋"/>
                <w:color w:val="auto"/>
                <w:highlight w:val="none"/>
              </w:rPr>
              <w:t>设立打点、打卡等签到制度，1.</w:t>
            </w:r>
            <w:r>
              <w:rPr>
                <w:rFonts w:hint="eastAsia" w:ascii="宋体" w:hAnsi="宋体" w:cs="仿宋"/>
                <w:color w:val="auto"/>
                <w:kern w:val="0"/>
                <w:highlight w:val="none"/>
              </w:rPr>
              <w:t>保安、2.保洁、3.巡逻、4.客服、5.垃圾分类等人员按规定按时到岗。</w:t>
            </w:r>
          </w:p>
        </w:tc>
        <w:tc>
          <w:tcPr>
            <w:tcW w:w="1845" w:type="dxa"/>
            <w:vAlign w:val="center"/>
          </w:tcPr>
          <w:p w14:paraId="51622A25">
            <w:pPr>
              <w:spacing w:line="360" w:lineRule="auto"/>
              <w:jc w:val="left"/>
              <w:rPr>
                <w:rFonts w:hint="eastAsia" w:ascii="宋体" w:hAnsi="宋体" w:cs="仿宋"/>
                <w:color w:val="auto"/>
                <w:highlight w:val="none"/>
              </w:rPr>
            </w:pPr>
            <w:r>
              <w:rPr>
                <w:rFonts w:hint="eastAsia" w:ascii="宋体" w:hAnsi="宋体" w:cs="仿宋"/>
                <w:color w:val="auto"/>
                <w:highlight w:val="none"/>
              </w:rPr>
              <w:t>每查实一次扣5分。</w:t>
            </w:r>
          </w:p>
        </w:tc>
      </w:tr>
      <w:tr w14:paraId="42FC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3" w:type="dxa"/>
            <w:vMerge w:val="continue"/>
            <w:vAlign w:val="center"/>
          </w:tcPr>
          <w:p w14:paraId="64573E9B">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0209B068">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48C12F11">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服务质量（5分）</w:t>
            </w:r>
          </w:p>
        </w:tc>
        <w:tc>
          <w:tcPr>
            <w:tcW w:w="7684" w:type="dxa"/>
            <w:shd w:val="clear" w:color="auto" w:fill="auto"/>
            <w:vAlign w:val="center"/>
          </w:tcPr>
          <w:p w14:paraId="36377C3D">
            <w:pPr>
              <w:spacing w:line="360" w:lineRule="auto"/>
              <w:jc w:val="left"/>
              <w:rPr>
                <w:rFonts w:hint="eastAsia" w:ascii="宋体" w:hAnsi="宋体" w:cs="仿宋"/>
                <w:color w:val="auto"/>
                <w:kern w:val="0"/>
                <w:highlight w:val="none"/>
              </w:rPr>
            </w:pPr>
            <w:r>
              <w:rPr>
                <w:rFonts w:hint="eastAsia" w:ascii="宋体" w:hAnsi="宋体" w:cs="仿宋"/>
                <w:color w:val="auto"/>
                <w:highlight w:val="none"/>
              </w:rPr>
              <w:t>1.员工统一着装、挂牌上岗；2.工作规范、作风严谨；3.服务主动、态度积极；4、值班值守、在岗在位；5.及时回应、回访反映的问题和事务。</w:t>
            </w:r>
          </w:p>
        </w:tc>
        <w:tc>
          <w:tcPr>
            <w:tcW w:w="1845" w:type="dxa"/>
            <w:vAlign w:val="center"/>
          </w:tcPr>
          <w:p w14:paraId="09A61192">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0220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3" w:type="dxa"/>
            <w:vMerge w:val="continue"/>
            <w:vAlign w:val="center"/>
          </w:tcPr>
          <w:p w14:paraId="765C2DD4">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49571214">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2C5D710B">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工作台账（2分）</w:t>
            </w:r>
          </w:p>
        </w:tc>
        <w:tc>
          <w:tcPr>
            <w:tcW w:w="7684" w:type="dxa"/>
            <w:shd w:val="clear" w:color="auto" w:fill="auto"/>
            <w:vAlign w:val="center"/>
          </w:tcPr>
          <w:p w14:paraId="17C67C6E">
            <w:pPr>
              <w:spacing w:line="360" w:lineRule="auto"/>
              <w:jc w:val="left"/>
              <w:rPr>
                <w:rFonts w:hint="eastAsia" w:ascii="宋体" w:hAnsi="宋体" w:cs="仿宋"/>
                <w:color w:val="auto"/>
                <w:kern w:val="0"/>
                <w:highlight w:val="none"/>
              </w:rPr>
            </w:pPr>
            <w:r>
              <w:rPr>
                <w:rFonts w:hint="eastAsia" w:ascii="宋体" w:hAnsi="宋体" w:cs="仿宋"/>
                <w:color w:val="auto"/>
                <w:highlight w:val="none"/>
              </w:rPr>
              <w:t>1.保安，保洁，巡逻，垃圾分类，人员、车辆进出，房屋装修，消防违建，工程维修，投诉信访等各类物业工作台账建立完备，记录完整。2.停水停电，防汛抗台，消防，治安，抗疫等各类突发事件应急预案齐全。3.各类交接资料齐全。</w:t>
            </w:r>
          </w:p>
        </w:tc>
        <w:tc>
          <w:tcPr>
            <w:tcW w:w="1845" w:type="dxa"/>
            <w:vAlign w:val="center"/>
          </w:tcPr>
          <w:p w14:paraId="34A03BBD">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不符合的，扣2分。</w:t>
            </w:r>
          </w:p>
        </w:tc>
      </w:tr>
      <w:tr w14:paraId="473C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93" w:type="dxa"/>
            <w:vMerge w:val="restart"/>
            <w:shd w:val="clear" w:color="auto" w:fill="auto"/>
            <w:noWrap/>
            <w:vAlign w:val="center"/>
          </w:tcPr>
          <w:p w14:paraId="352E8F60">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2</w:t>
            </w:r>
          </w:p>
        </w:tc>
        <w:tc>
          <w:tcPr>
            <w:tcW w:w="1819" w:type="dxa"/>
            <w:vMerge w:val="restart"/>
            <w:shd w:val="clear" w:color="auto" w:fill="auto"/>
            <w:vAlign w:val="center"/>
          </w:tcPr>
          <w:p w14:paraId="563F259A">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安全管理及秩序维护</w:t>
            </w:r>
          </w:p>
          <w:p w14:paraId="4F92599D">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（25分）</w:t>
            </w:r>
          </w:p>
        </w:tc>
        <w:tc>
          <w:tcPr>
            <w:tcW w:w="2050" w:type="dxa"/>
            <w:shd w:val="clear" w:color="auto" w:fill="auto"/>
            <w:vAlign w:val="center"/>
          </w:tcPr>
          <w:p w14:paraId="3C84BF9E">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门口保安（5分）</w:t>
            </w:r>
          </w:p>
        </w:tc>
        <w:tc>
          <w:tcPr>
            <w:tcW w:w="7684" w:type="dxa"/>
            <w:shd w:val="clear" w:color="auto" w:fill="auto"/>
            <w:vAlign w:val="center"/>
          </w:tcPr>
          <w:p w14:paraId="4BB7D33C">
            <w:pPr>
              <w:widowControl/>
              <w:spacing w:line="360" w:lineRule="auto"/>
              <w:jc w:val="left"/>
              <w:rPr>
                <w:rFonts w:hint="eastAsia" w:ascii="宋体" w:hAnsi="宋体" w:cs="仿宋"/>
                <w:color w:val="auto"/>
                <w:kern w:val="0"/>
                <w:highlight w:val="none"/>
              </w:rPr>
            </w:pPr>
            <w:r>
              <w:rPr>
                <w:rFonts w:hint="eastAsia" w:ascii="宋体" w:hAnsi="宋体" w:cs="仿宋"/>
                <w:color w:val="auto"/>
                <w:highlight w:val="none"/>
              </w:rPr>
              <w:t>1.小区门口保安需有保安证，持证上岗；2.小区保安上下班高峰期（上午7:00～9:00,下午17:00～19:00）必须站在小区门口；3.保安装备整齐、标识完备，有交接班记录；4.外来人员、车辆登记管理记录完备。</w:t>
            </w:r>
          </w:p>
        </w:tc>
        <w:tc>
          <w:tcPr>
            <w:tcW w:w="1845" w:type="dxa"/>
            <w:shd w:val="clear" w:color="auto" w:fill="auto"/>
            <w:vAlign w:val="center"/>
          </w:tcPr>
          <w:p w14:paraId="662F7F88">
            <w:pPr>
              <w:spacing w:line="360" w:lineRule="auto"/>
              <w:jc w:val="left"/>
              <w:rPr>
                <w:rFonts w:hint="eastAsia" w:ascii="宋体" w:hAnsi="宋体" w:cs="仿宋"/>
                <w:color w:val="auto"/>
                <w:highlight w:val="none"/>
              </w:rPr>
            </w:pPr>
            <w:r>
              <w:rPr>
                <w:rFonts w:hint="eastAsia" w:ascii="宋体" w:hAnsi="宋体" w:cs="仿宋"/>
                <w:color w:val="auto"/>
                <w:highlight w:val="none"/>
              </w:rPr>
              <w:t>每查实一次扣5分.</w:t>
            </w:r>
          </w:p>
        </w:tc>
      </w:tr>
      <w:tr w14:paraId="5525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93" w:type="dxa"/>
            <w:vMerge w:val="continue"/>
            <w:shd w:val="clear" w:color="auto" w:fill="auto"/>
            <w:noWrap/>
            <w:vAlign w:val="center"/>
          </w:tcPr>
          <w:p w14:paraId="7787488A">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1BF6CF38">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66785F33">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巡逻保安（5分）</w:t>
            </w:r>
          </w:p>
        </w:tc>
        <w:tc>
          <w:tcPr>
            <w:tcW w:w="7684" w:type="dxa"/>
            <w:shd w:val="clear" w:color="auto" w:fill="auto"/>
            <w:vAlign w:val="center"/>
          </w:tcPr>
          <w:p w14:paraId="32E908C9">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1.按照规定时间、规定路线进行巡查；2.发现飞线充电、流动摊贩、乱停乱放、家庭装修、地下室堆物、违章搭建等进行处置和上报。</w:t>
            </w:r>
          </w:p>
        </w:tc>
        <w:tc>
          <w:tcPr>
            <w:tcW w:w="1845" w:type="dxa"/>
            <w:shd w:val="clear" w:color="auto" w:fill="auto"/>
            <w:vAlign w:val="center"/>
          </w:tcPr>
          <w:p w14:paraId="3102D805">
            <w:pPr>
              <w:spacing w:line="360" w:lineRule="auto"/>
              <w:jc w:val="left"/>
              <w:rPr>
                <w:rFonts w:hint="eastAsia" w:ascii="宋体" w:hAnsi="宋体" w:cs="仿宋"/>
                <w:color w:val="auto"/>
                <w:highlight w:val="none"/>
              </w:rPr>
            </w:pPr>
            <w:r>
              <w:rPr>
                <w:rFonts w:hint="eastAsia" w:ascii="宋体" w:hAnsi="宋体" w:cs="仿宋"/>
                <w:color w:val="auto"/>
                <w:highlight w:val="none"/>
              </w:rPr>
              <w:t>每查实一次扣5分。</w:t>
            </w:r>
          </w:p>
        </w:tc>
      </w:tr>
      <w:tr w14:paraId="5356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shd w:val="clear" w:color="auto" w:fill="auto"/>
            <w:noWrap/>
            <w:vAlign w:val="center"/>
          </w:tcPr>
          <w:p w14:paraId="2CC8B683">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2B0E87F9">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678320C3">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停车管理（5分）</w:t>
            </w:r>
          </w:p>
        </w:tc>
        <w:tc>
          <w:tcPr>
            <w:tcW w:w="7684" w:type="dxa"/>
            <w:shd w:val="clear" w:color="auto" w:fill="auto"/>
            <w:vAlign w:val="center"/>
          </w:tcPr>
          <w:p w14:paraId="2C8CD9B8">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1.机动车、非机动车停放有序；2.无占用消防通道、消防登高场地行为；3.无电动车入楼道、飞线充电等违规行为；4.保持道闸系统、设施设备运行良好。</w:t>
            </w:r>
          </w:p>
        </w:tc>
        <w:tc>
          <w:tcPr>
            <w:tcW w:w="1845" w:type="dxa"/>
            <w:shd w:val="clear" w:color="auto" w:fill="auto"/>
            <w:vAlign w:val="center"/>
          </w:tcPr>
          <w:p w14:paraId="32892B81">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6ED7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93" w:type="dxa"/>
            <w:vMerge w:val="continue"/>
            <w:shd w:val="clear" w:color="auto" w:fill="auto"/>
            <w:noWrap/>
            <w:vAlign w:val="center"/>
          </w:tcPr>
          <w:p w14:paraId="443DE2A4">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152C8001">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67375258">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装修管理及违建管控（3分）</w:t>
            </w:r>
          </w:p>
        </w:tc>
        <w:tc>
          <w:tcPr>
            <w:tcW w:w="7684" w:type="dxa"/>
            <w:shd w:val="clear" w:color="auto" w:fill="auto"/>
            <w:vAlign w:val="center"/>
          </w:tcPr>
          <w:p w14:paraId="505EEBB6">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1.家庭装修进行登记备案并签订管理服务协议；2.建筑材料进小区登记备案；3.对小区地下室、楼道、天台等公共区域定期巡查及做好台账，发现违章搭建及时上报。</w:t>
            </w:r>
          </w:p>
        </w:tc>
        <w:tc>
          <w:tcPr>
            <w:tcW w:w="1845" w:type="dxa"/>
            <w:shd w:val="clear" w:color="auto" w:fill="auto"/>
            <w:vAlign w:val="center"/>
          </w:tcPr>
          <w:p w14:paraId="6485749D">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不符合的，扣3分。</w:t>
            </w:r>
          </w:p>
        </w:tc>
      </w:tr>
      <w:tr w14:paraId="6F4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93" w:type="dxa"/>
            <w:vMerge w:val="continue"/>
            <w:shd w:val="clear" w:color="auto" w:fill="auto"/>
            <w:noWrap/>
            <w:vAlign w:val="center"/>
          </w:tcPr>
          <w:p w14:paraId="61360753">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70C3E27A">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25D44EAB">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消防管理（5分）</w:t>
            </w:r>
          </w:p>
        </w:tc>
        <w:tc>
          <w:tcPr>
            <w:tcW w:w="7684" w:type="dxa"/>
            <w:shd w:val="clear" w:color="auto" w:fill="auto"/>
            <w:vAlign w:val="center"/>
          </w:tcPr>
          <w:p w14:paraId="5CDAC2C5">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公共场所消防器材按规定要求配备；2.定期检查、点检记录完备；2.消防设施设备完好无缺失、无故障、无过期，确保器材正常；3.消防通道、楼道内无乱停乱放、飞线充电行为；4.公共区域显著位置有海报、标语、标识等消防安全宣传。</w:t>
            </w:r>
          </w:p>
        </w:tc>
        <w:tc>
          <w:tcPr>
            <w:tcW w:w="1845" w:type="dxa"/>
            <w:shd w:val="clear" w:color="auto" w:fill="auto"/>
            <w:vAlign w:val="center"/>
          </w:tcPr>
          <w:p w14:paraId="4F6EF8CD">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2653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93" w:type="dxa"/>
            <w:vMerge w:val="continue"/>
            <w:shd w:val="clear" w:color="auto" w:fill="auto"/>
            <w:noWrap/>
            <w:vAlign w:val="center"/>
          </w:tcPr>
          <w:p w14:paraId="443657B8">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73CFFF96">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0D8D2437">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出租房、流动人口管理（2分）</w:t>
            </w:r>
          </w:p>
        </w:tc>
        <w:tc>
          <w:tcPr>
            <w:tcW w:w="7684" w:type="dxa"/>
            <w:shd w:val="clear" w:color="auto" w:fill="auto"/>
            <w:vAlign w:val="center"/>
          </w:tcPr>
          <w:p w14:paraId="7AB31C3B">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1.外来人员登记完备；2.协助社区民警做好出租房承租人员信息登记，做到人来登记、人走注销。</w:t>
            </w:r>
          </w:p>
        </w:tc>
        <w:tc>
          <w:tcPr>
            <w:tcW w:w="1845" w:type="dxa"/>
            <w:shd w:val="clear" w:color="auto" w:fill="auto"/>
            <w:vAlign w:val="center"/>
          </w:tcPr>
          <w:p w14:paraId="444F03DC">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不符合的，扣2分。</w:t>
            </w:r>
          </w:p>
        </w:tc>
      </w:tr>
      <w:tr w14:paraId="0B7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93" w:type="dxa"/>
            <w:vMerge w:val="restart"/>
            <w:shd w:val="clear" w:color="auto" w:fill="auto"/>
            <w:noWrap/>
            <w:vAlign w:val="center"/>
          </w:tcPr>
          <w:p w14:paraId="7E03BC44">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3</w:t>
            </w:r>
          </w:p>
          <w:p w14:paraId="705A6A2C">
            <w:pPr>
              <w:widowControl/>
              <w:spacing w:line="360" w:lineRule="auto"/>
              <w:jc w:val="center"/>
              <w:rPr>
                <w:rFonts w:hint="eastAsia" w:ascii="宋体" w:hAnsi="宋体" w:cs="仿宋"/>
                <w:color w:val="auto"/>
                <w:kern w:val="0"/>
                <w:highlight w:val="none"/>
              </w:rPr>
            </w:pPr>
          </w:p>
        </w:tc>
        <w:tc>
          <w:tcPr>
            <w:tcW w:w="1819" w:type="dxa"/>
            <w:vMerge w:val="restart"/>
            <w:shd w:val="clear" w:color="auto" w:fill="auto"/>
            <w:vAlign w:val="center"/>
          </w:tcPr>
          <w:p w14:paraId="57A8025C">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环境卫生及绿化养护管理</w:t>
            </w:r>
          </w:p>
          <w:p w14:paraId="636F5E4F">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（25分）</w:t>
            </w:r>
          </w:p>
        </w:tc>
        <w:tc>
          <w:tcPr>
            <w:tcW w:w="2050" w:type="dxa"/>
            <w:shd w:val="clear" w:color="auto" w:fill="auto"/>
            <w:vAlign w:val="center"/>
          </w:tcPr>
          <w:p w14:paraId="4281E334">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楼道保洁（5分）</w:t>
            </w:r>
          </w:p>
        </w:tc>
        <w:tc>
          <w:tcPr>
            <w:tcW w:w="7684" w:type="dxa"/>
            <w:shd w:val="clear" w:color="auto" w:fill="auto"/>
            <w:vAlign w:val="center"/>
          </w:tcPr>
          <w:p w14:paraId="0BF607F4">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1.每周清扫2次，在楼道显著位置进行公示；2.发现楼道堆物第一次提醒、第二次贴通知、第三次清理；3.楼道进行立体清洁，保持楼道、天花板、窗户、扶手等处的干净整洁；4.墙面无牛皮癣、小广告等。</w:t>
            </w:r>
          </w:p>
        </w:tc>
        <w:tc>
          <w:tcPr>
            <w:tcW w:w="1845" w:type="dxa"/>
            <w:shd w:val="clear" w:color="auto" w:fill="auto"/>
            <w:vAlign w:val="center"/>
          </w:tcPr>
          <w:p w14:paraId="789BC8BF">
            <w:pPr>
              <w:spacing w:line="360" w:lineRule="auto"/>
              <w:jc w:val="left"/>
              <w:rPr>
                <w:rFonts w:hint="eastAsia" w:ascii="宋体" w:hAnsi="宋体" w:cs="仿宋"/>
                <w:color w:val="auto"/>
                <w:highlight w:val="none"/>
              </w:rPr>
            </w:pPr>
            <w:r>
              <w:rPr>
                <w:rFonts w:hint="eastAsia" w:ascii="宋体" w:hAnsi="宋体" w:cs="仿宋"/>
                <w:color w:val="auto"/>
                <w:highlight w:val="none"/>
              </w:rPr>
              <w:t>每查实一次扣5分。</w:t>
            </w:r>
          </w:p>
        </w:tc>
      </w:tr>
      <w:tr w14:paraId="7B1A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93" w:type="dxa"/>
            <w:vMerge w:val="continue"/>
            <w:shd w:val="clear" w:color="auto" w:fill="auto"/>
            <w:noWrap/>
            <w:vAlign w:val="center"/>
          </w:tcPr>
          <w:p w14:paraId="101428CD">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706DF5D2">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457C5FB7">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垃圾分类（5分）</w:t>
            </w:r>
          </w:p>
        </w:tc>
        <w:tc>
          <w:tcPr>
            <w:tcW w:w="7684" w:type="dxa"/>
            <w:shd w:val="clear" w:color="auto" w:fill="auto"/>
            <w:vAlign w:val="center"/>
          </w:tcPr>
          <w:p w14:paraId="4F70D502">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1.垃圾投放时间段内垃圾分类符合规定；2.保持垃圾房、垃圾桶、标志标识等设施设备齐全、整洁、干净；3.生活垃圾日产日清，及时清理误时垃圾包。</w:t>
            </w:r>
          </w:p>
        </w:tc>
        <w:tc>
          <w:tcPr>
            <w:tcW w:w="1845" w:type="dxa"/>
            <w:shd w:val="clear" w:color="auto" w:fill="auto"/>
            <w:vAlign w:val="center"/>
          </w:tcPr>
          <w:p w14:paraId="36A88C49">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51F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93" w:type="dxa"/>
            <w:vMerge w:val="continue"/>
            <w:vAlign w:val="center"/>
          </w:tcPr>
          <w:p w14:paraId="49C019D5">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69ABE634">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02AB5354">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大件垃圾处置及清运（5分）</w:t>
            </w:r>
          </w:p>
        </w:tc>
        <w:tc>
          <w:tcPr>
            <w:tcW w:w="7684" w:type="dxa"/>
            <w:shd w:val="clear" w:color="auto" w:fill="auto"/>
            <w:vAlign w:val="center"/>
          </w:tcPr>
          <w:p w14:paraId="01A8695A">
            <w:pPr>
              <w:widowControl/>
              <w:spacing w:line="360" w:lineRule="auto"/>
              <w:rPr>
                <w:rFonts w:hint="eastAsia" w:ascii="宋体" w:hAnsi="宋体" w:cs="仿宋"/>
                <w:color w:val="auto"/>
                <w:kern w:val="0"/>
                <w:highlight w:val="none"/>
              </w:rPr>
            </w:pPr>
            <w:r>
              <w:rPr>
                <w:rFonts w:hint="eastAsia" w:ascii="宋体" w:hAnsi="宋体" w:cs="仿宋"/>
                <w:color w:val="auto"/>
                <w:kern w:val="0"/>
                <w:highlight w:val="none"/>
              </w:rPr>
              <w:t>1.无主大件垃圾即查即清，在临时堆放点做好标识；2.有主大件垃圾做好登记，明确清运时限并做好标识。</w:t>
            </w:r>
          </w:p>
        </w:tc>
        <w:tc>
          <w:tcPr>
            <w:tcW w:w="1845" w:type="dxa"/>
            <w:shd w:val="clear" w:color="auto" w:fill="auto"/>
            <w:vAlign w:val="center"/>
          </w:tcPr>
          <w:p w14:paraId="34DE5F24">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7597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93" w:type="dxa"/>
            <w:vMerge w:val="continue"/>
            <w:vAlign w:val="center"/>
          </w:tcPr>
          <w:p w14:paraId="33222AAB">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40CBC015">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6394B6ED">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街巷保洁（5分）</w:t>
            </w:r>
          </w:p>
        </w:tc>
        <w:tc>
          <w:tcPr>
            <w:tcW w:w="7684" w:type="dxa"/>
            <w:shd w:val="clear" w:color="auto" w:fill="auto"/>
            <w:vAlign w:val="center"/>
          </w:tcPr>
          <w:p w14:paraId="5B3A7F02">
            <w:pPr>
              <w:widowControl/>
              <w:spacing w:line="360" w:lineRule="auto"/>
              <w:rPr>
                <w:rFonts w:hint="eastAsia" w:ascii="宋体" w:hAnsi="宋体" w:cs="仿宋"/>
                <w:color w:val="auto"/>
                <w:kern w:val="0"/>
                <w:highlight w:val="none"/>
              </w:rPr>
            </w:pPr>
            <w:r>
              <w:rPr>
                <w:rFonts w:hint="eastAsia" w:ascii="宋体" w:hAnsi="宋体" w:cs="仿宋"/>
                <w:color w:val="auto"/>
                <w:kern w:val="0"/>
                <w:highlight w:val="none"/>
              </w:rPr>
              <w:t>1.道路平整；2.公共区域整洁，无垃圾散落、堆放，防四害除治；3.保洁期间及时清理误时垃圾包。详细标准以二类街巷保洁标准为准。</w:t>
            </w:r>
          </w:p>
        </w:tc>
        <w:tc>
          <w:tcPr>
            <w:tcW w:w="1845" w:type="dxa"/>
            <w:shd w:val="clear" w:color="auto" w:fill="auto"/>
            <w:vAlign w:val="center"/>
          </w:tcPr>
          <w:p w14:paraId="6E27528E">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4B23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vMerge w:val="continue"/>
            <w:vAlign w:val="center"/>
          </w:tcPr>
          <w:p w14:paraId="3D2DFFC0">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28B94B95">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67955D02">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绿化养护及管理（5分）</w:t>
            </w:r>
          </w:p>
        </w:tc>
        <w:tc>
          <w:tcPr>
            <w:tcW w:w="7684" w:type="dxa"/>
            <w:shd w:val="clear" w:color="auto" w:fill="auto"/>
            <w:vAlign w:val="center"/>
          </w:tcPr>
          <w:p w14:paraId="681DF34F">
            <w:pPr>
              <w:widowControl/>
              <w:spacing w:line="360" w:lineRule="auto"/>
              <w:rPr>
                <w:rFonts w:hint="eastAsia" w:ascii="宋体" w:hAnsi="宋体" w:cs="仿宋"/>
                <w:color w:val="auto"/>
                <w:kern w:val="0"/>
                <w:highlight w:val="none"/>
              </w:rPr>
            </w:pPr>
            <w:r>
              <w:rPr>
                <w:rFonts w:hint="eastAsia" w:ascii="宋体" w:hAnsi="宋体" w:cs="仿宋"/>
                <w:color w:val="auto"/>
                <w:kern w:val="0"/>
                <w:highlight w:val="none"/>
              </w:rPr>
              <w:t>1.绿化养护及时；2.无缺株、无死株；3.无泥土裸露、无毁绿占压；4.绿化上干净整洁、无乱堆乱放、无晾晒行为。</w:t>
            </w:r>
          </w:p>
        </w:tc>
        <w:tc>
          <w:tcPr>
            <w:tcW w:w="1845" w:type="dxa"/>
            <w:shd w:val="clear" w:color="auto" w:fill="auto"/>
            <w:vAlign w:val="center"/>
          </w:tcPr>
          <w:p w14:paraId="600C18E1">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0870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3" w:type="dxa"/>
            <w:vMerge w:val="restart"/>
            <w:vAlign w:val="center"/>
          </w:tcPr>
          <w:p w14:paraId="2756DB93">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4</w:t>
            </w:r>
          </w:p>
        </w:tc>
        <w:tc>
          <w:tcPr>
            <w:tcW w:w="1819" w:type="dxa"/>
            <w:vMerge w:val="restart"/>
            <w:vAlign w:val="center"/>
          </w:tcPr>
          <w:p w14:paraId="4A324B87">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维修维护管理</w:t>
            </w:r>
          </w:p>
          <w:p w14:paraId="06884B92">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（15分）</w:t>
            </w:r>
          </w:p>
          <w:p w14:paraId="35C7C521">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4BE25975">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房屋维护（3分）</w:t>
            </w:r>
          </w:p>
        </w:tc>
        <w:tc>
          <w:tcPr>
            <w:tcW w:w="7684" w:type="dxa"/>
            <w:shd w:val="clear" w:color="auto" w:fill="auto"/>
            <w:vAlign w:val="center"/>
          </w:tcPr>
          <w:p w14:paraId="458EA882">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1.住宅公共屋顶平台一年清理2次，涉及维修做好协助工作；2.楼道口平台、车库顶棚、雨篷每季度清理一次；3.全年有重点工作计划。</w:t>
            </w:r>
          </w:p>
        </w:tc>
        <w:tc>
          <w:tcPr>
            <w:tcW w:w="1845" w:type="dxa"/>
            <w:shd w:val="clear" w:color="auto" w:fill="auto"/>
            <w:vAlign w:val="center"/>
          </w:tcPr>
          <w:p w14:paraId="0CE35640">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不符合的，扣3分。</w:t>
            </w:r>
          </w:p>
        </w:tc>
      </w:tr>
      <w:tr w14:paraId="2071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3" w:type="dxa"/>
            <w:vMerge w:val="continue"/>
            <w:shd w:val="clear" w:color="auto" w:fill="auto"/>
            <w:noWrap/>
            <w:vAlign w:val="center"/>
          </w:tcPr>
          <w:p w14:paraId="61B5882B">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0C35D27C">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07D89200">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设施设备维护</w:t>
            </w:r>
          </w:p>
          <w:p w14:paraId="1A65D142">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（5分）</w:t>
            </w:r>
          </w:p>
        </w:tc>
        <w:tc>
          <w:tcPr>
            <w:tcW w:w="7684" w:type="dxa"/>
            <w:shd w:val="clear" w:color="auto" w:fill="auto"/>
            <w:vAlign w:val="center"/>
          </w:tcPr>
          <w:p w14:paraId="4F19A0D9">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住宅公用部位雨水管、污水管、窨井等设施设备保持运行正常，涉及维修做好协助工作；2.积水、倒灌、倒伏等容易危及人身安全的地方和行为，设置明显的警示标志、温馨提示和采取相应防范措施等；3.住宅内公用部位发生漏水、堵塞等第一时间做好应急处置；4.做好小区信报箱、宣传栏、指示牌、小品等公共设施的清洁及维护工作。</w:t>
            </w:r>
          </w:p>
        </w:tc>
        <w:tc>
          <w:tcPr>
            <w:tcW w:w="1845" w:type="dxa"/>
            <w:shd w:val="clear" w:color="auto" w:fill="auto"/>
            <w:vAlign w:val="center"/>
          </w:tcPr>
          <w:p w14:paraId="253C96CD">
            <w:pPr>
              <w:spacing w:line="360" w:lineRule="auto"/>
              <w:jc w:val="left"/>
              <w:rPr>
                <w:rFonts w:hint="eastAsia" w:ascii="宋体" w:hAnsi="宋体" w:cs="仿宋"/>
                <w:color w:val="auto"/>
                <w:highlight w:val="none"/>
              </w:rPr>
            </w:pPr>
            <w:r>
              <w:rPr>
                <w:rFonts w:hint="eastAsia" w:ascii="宋体" w:hAnsi="宋体" w:cs="仿宋"/>
                <w:color w:val="auto"/>
                <w:highlight w:val="none"/>
              </w:rPr>
              <w:t>不符合的，扣5分。</w:t>
            </w:r>
          </w:p>
        </w:tc>
      </w:tr>
      <w:tr w14:paraId="4CFE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vAlign w:val="center"/>
          </w:tcPr>
          <w:p w14:paraId="4EBE2EB7">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7112F63F">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7F7DD1EF">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楼道灯维护（5分）</w:t>
            </w:r>
          </w:p>
        </w:tc>
        <w:tc>
          <w:tcPr>
            <w:tcW w:w="7684" w:type="dxa"/>
            <w:shd w:val="clear" w:color="auto" w:fill="auto"/>
            <w:vAlign w:val="center"/>
          </w:tcPr>
          <w:p w14:paraId="18EBB231">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即报即修，根据情况24小时内维修或更换并做好记录。</w:t>
            </w:r>
          </w:p>
        </w:tc>
        <w:tc>
          <w:tcPr>
            <w:tcW w:w="1845" w:type="dxa"/>
            <w:shd w:val="clear" w:color="auto" w:fill="auto"/>
            <w:vAlign w:val="center"/>
          </w:tcPr>
          <w:p w14:paraId="251FB8BA">
            <w:pPr>
              <w:spacing w:line="360" w:lineRule="auto"/>
              <w:jc w:val="left"/>
              <w:rPr>
                <w:rFonts w:hint="eastAsia" w:ascii="宋体" w:hAnsi="宋体" w:cs="仿宋"/>
                <w:color w:val="auto"/>
                <w:highlight w:val="none"/>
              </w:rPr>
            </w:pPr>
            <w:r>
              <w:rPr>
                <w:rFonts w:hint="eastAsia" w:ascii="宋体" w:hAnsi="宋体" w:cs="仿宋"/>
                <w:color w:val="auto"/>
                <w:highlight w:val="none"/>
              </w:rPr>
              <w:t>因维修不及时导致居民投诉或抄告的，每次5分。</w:t>
            </w:r>
          </w:p>
        </w:tc>
      </w:tr>
      <w:tr w14:paraId="074F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93" w:type="dxa"/>
            <w:vMerge w:val="continue"/>
            <w:vAlign w:val="center"/>
          </w:tcPr>
          <w:p w14:paraId="582F5397">
            <w:pPr>
              <w:widowControl/>
              <w:spacing w:line="360" w:lineRule="auto"/>
              <w:jc w:val="center"/>
              <w:rPr>
                <w:rFonts w:hint="eastAsia" w:ascii="宋体" w:hAnsi="宋体" w:cs="仿宋"/>
                <w:color w:val="auto"/>
                <w:kern w:val="0"/>
                <w:highlight w:val="none"/>
              </w:rPr>
            </w:pPr>
          </w:p>
        </w:tc>
        <w:tc>
          <w:tcPr>
            <w:tcW w:w="1819" w:type="dxa"/>
            <w:vMerge w:val="continue"/>
            <w:vAlign w:val="center"/>
          </w:tcPr>
          <w:p w14:paraId="2AA6A751">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566D91A3">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楼道电控门维护</w:t>
            </w:r>
          </w:p>
          <w:p w14:paraId="4478F16E">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（2分）</w:t>
            </w:r>
          </w:p>
        </w:tc>
        <w:tc>
          <w:tcPr>
            <w:tcW w:w="7684" w:type="dxa"/>
            <w:shd w:val="clear" w:color="auto" w:fill="auto"/>
            <w:vAlign w:val="center"/>
          </w:tcPr>
          <w:p w14:paraId="6ED2F348">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即报即修，根据情况三天内完成维修或更换并做好记录。</w:t>
            </w:r>
          </w:p>
        </w:tc>
        <w:tc>
          <w:tcPr>
            <w:tcW w:w="1845" w:type="dxa"/>
            <w:shd w:val="clear" w:color="auto" w:fill="auto"/>
            <w:vAlign w:val="center"/>
          </w:tcPr>
          <w:p w14:paraId="2DCC07B2">
            <w:pPr>
              <w:spacing w:line="360" w:lineRule="auto"/>
              <w:jc w:val="left"/>
              <w:rPr>
                <w:rFonts w:hint="eastAsia" w:ascii="宋体" w:hAnsi="宋体" w:cs="仿宋"/>
                <w:color w:val="auto"/>
                <w:highlight w:val="none"/>
              </w:rPr>
            </w:pPr>
            <w:r>
              <w:rPr>
                <w:rFonts w:hint="eastAsia" w:ascii="宋体" w:hAnsi="宋体" w:cs="仿宋"/>
                <w:color w:val="auto"/>
                <w:highlight w:val="none"/>
              </w:rPr>
              <w:t>没有按时维修、更换每发现一处扣2分。</w:t>
            </w:r>
          </w:p>
        </w:tc>
      </w:tr>
      <w:tr w14:paraId="6652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restart"/>
            <w:vAlign w:val="center"/>
          </w:tcPr>
          <w:p w14:paraId="220D7DF5">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5</w:t>
            </w:r>
          </w:p>
        </w:tc>
        <w:tc>
          <w:tcPr>
            <w:tcW w:w="1819" w:type="dxa"/>
            <w:vMerge w:val="restart"/>
            <w:vAlign w:val="center"/>
          </w:tcPr>
          <w:p w14:paraId="7AA5DC05">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其他事项</w:t>
            </w:r>
          </w:p>
          <w:p w14:paraId="47F6989D">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（20分）</w:t>
            </w:r>
          </w:p>
        </w:tc>
        <w:tc>
          <w:tcPr>
            <w:tcW w:w="2050" w:type="dxa"/>
            <w:shd w:val="clear" w:color="auto" w:fill="auto"/>
            <w:vAlign w:val="center"/>
          </w:tcPr>
          <w:p w14:paraId="5A498EFB">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监控室、消控室、应急管理（5分）</w:t>
            </w:r>
          </w:p>
        </w:tc>
        <w:tc>
          <w:tcPr>
            <w:tcW w:w="7684" w:type="dxa"/>
            <w:shd w:val="clear" w:color="auto" w:fill="auto"/>
            <w:vAlign w:val="center"/>
          </w:tcPr>
          <w:p w14:paraId="52FF2C1E">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监控室、消控室、应急队伍24小时有人在岗、备勤；2.电话号码对外公开，并保持畅通；3.发生突发、紧急事件迅速到场处置并第一时间上报社区；4.制定各类管理制度、应急预案等并上墙，定期组织安全巡查、培训、演练等；5、监控探头等运行正常，监控录像保存期不低于30日。</w:t>
            </w:r>
          </w:p>
        </w:tc>
        <w:tc>
          <w:tcPr>
            <w:tcW w:w="1845" w:type="dxa"/>
            <w:shd w:val="clear" w:color="auto" w:fill="auto"/>
            <w:vAlign w:val="center"/>
          </w:tcPr>
          <w:p w14:paraId="224C5B2F">
            <w:pPr>
              <w:spacing w:line="360" w:lineRule="auto"/>
              <w:jc w:val="left"/>
              <w:rPr>
                <w:rFonts w:hint="eastAsia" w:ascii="宋体" w:hAnsi="宋体" w:cs="仿宋"/>
                <w:color w:val="auto"/>
                <w:highlight w:val="none"/>
              </w:rPr>
            </w:pPr>
            <w:r>
              <w:rPr>
                <w:rFonts w:hint="eastAsia" w:ascii="宋体" w:hAnsi="宋体" w:cs="仿宋"/>
                <w:color w:val="auto"/>
                <w:highlight w:val="none"/>
              </w:rPr>
              <w:t>每查实一次扣5分5。</w:t>
            </w:r>
          </w:p>
        </w:tc>
      </w:tr>
      <w:tr w14:paraId="72C2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14:paraId="13FD30DE">
            <w:pPr>
              <w:widowControl/>
              <w:spacing w:line="360" w:lineRule="auto"/>
              <w:jc w:val="left"/>
              <w:rPr>
                <w:rFonts w:hint="eastAsia" w:ascii="宋体" w:hAnsi="宋体" w:cs="仿宋"/>
                <w:color w:val="auto"/>
                <w:kern w:val="0"/>
                <w:highlight w:val="none"/>
              </w:rPr>
            </w:pPr>
          </w:p>
        </w:tc>
        <w:tc>
          <w:tcPr>
            <w:tcW w:w="1819" w:type="dxa"/>
            <w:vMerge w:val="continue"/>
            <w:vAlign w:val="center"/>
          </w:tcPr>
          <w:p w14:paraId="73487CBA">
            <w:pPr>
              <w:widowControl/>
              <w:spacing w:line="360" w:lineRule="auto"/>
              <w:jc w:val="left"/>
              <w:rPr>
                <w:rFonts w:hint="eastAsia" w:ascii="宋体" w:hAnsi="宋体" w:cs="仿宋"/>
                <w:b/>
                <w:color w:val="auto"/>
                <w:kern w:val="0"/>
                <w:highlight w:val="none"/>
              </w:rPr>
            </w:pPr>
          </w:p>
        </w:tc>
        <w:tc>
          <w:tcPr>
            <w:tcW w:w="2050" w:type="dxa"/>
            <w:shd w:val="clear" w:color="auto" w:fill="auto"/>
            <w:vAlign w:val="center"/>
          </w:tcPr>
          <w:p w14:paraId="3EE5E1BC">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投诉、信访管理</w:t>
            </w:r>
          </w:p>
          <w:p w14:paraId="1411AE02">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（5分）</w:t>
            </w:r>
          </w:p>
        </w:tc>
        <w:tc>
          <w:tcPr>
            <w:tcW w:w="7684" w:type="dxa"/>
            <w:shd w:val="clear" w:color="auto" w:fill="auto"/>
            <w:vAlign w:val="center"/>
          </w:tcPr>
          <w:p w14:paraId="054D4BDC">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1.在“12345”等政府平台上投诉的；2.在各类电视、报纸、网络等媒体上投诉的；3.直接向区级以上有关部门或者领导投诉的；4.在杭州市“智慧物业管理平台”反映后没有整改的。</w:t>
            </w:r>
          </w:p>
        </w:tc>
        <w:tc>
          <w:tcPr>
            <w:tcW w:w="1845" w:type="dxa"/>
            <w:shd w:val="clear" w:color="auto" w:fill="auto"/>
            <w:vAlign w:val="center"/>
          </w:tcPr>
          <w:p w14:paraId="0163F531">
            <w:pPr>
              <w:spacing w:line="360" w:lineRule="auto"/>
              <w:jc w:val="left"/>
              <w:rPr>
                <w:rFonts w:hint="eastAsia" w:ascii="宋体" w:hAnsi="宋体" w:cs="仿宋"/>
                <w:color w:val="auto"/>
                <w:highlight w:val="none"/>
              </w:rPr>
            </w:pPr>
            <w:r>
              <w:rPr>
                <w:rFonts w:hint="eastAsia" w:ascii="宋体" w:hAnsi="宋体" w:cs="仿宋"/>
                <w:color w:val="auto"/>
                <w:highlight w:val="none"/>
              </w:rPr>
              <w:t>经核实物业负有责任的，扣5分。</w:t>
            </w:r>
          </w:p>
        </w:tc>
      </w:tr>
      <w:tr w14:paraId="7D49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3" w:type="dxa"/>
            <w:vMerge w:val="continue"/>
            <w:shd w:val="clear" w:color="auto" w:fill="auto"/>
            <w:noWrap/>
            <w:vAlign w:val="center"/>
          </w:tcPr>
          <w:p w14:paraId="190A7538">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413FA868">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422C6710">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重点工作管理</w:t>
            </w:r>
          </w:p>
          <w:p w14:paraId="3C7A9D04">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（10分）</w:t>
            </w:r>
          </w:p>
        </w:tc>
        <w:tc>
          <w:tcPr>
            <w:tcW w:w="7684" w:type="dxa"/>
            <w:shd w:val="clear" w:color="auto" w:fill="auto"/>
            <w:vAlign w:val="center"/>
          </w:tcPr>
          <w:p w14:paraId="46E671E1">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1.街道、社区确定的重点工作，在检查、考核中被扣分；2.出现重大责任事故。</w:t>
            </w:r>
          </w:p>
        </w:tc>
        <w:tc>
          <w:tcPr>
            <w:tcW w:w="1845" w:type="dxa"/>
            <w:shd w:val="clear" w:color="auto" w:fill="auto"/>
            <w:vAlign w:val="center"/>
          </w:tcPr>
          <w:p w14:paraId="11AB8CE6">
            <w:pPr>
              <w:spacing w:line="360" w:lineRule="auto"/>
              <w:jc w:val="left"/>
              <w:rPr>
                <w:rFonts w:hint="eastAsia" w:ascii="宋体" w:hAnsi="宋体" w:cs="仿宋"/>
                <w:color w:val="auto"/>
                <w:highlight w:val="none"/>
              </w:rPr>
            </w:pPr>
            <w:r>
              <w:rPr>
                <w:rFonts w:hint="eastAsia" w:ascii="宋体" w:hAnsi="宋体" w:cs="仿宋"/>
                <w:color w:val="auto"/>
                <w:highlight w:val="none"/>
              </w:rPr>
              <w:t>经核实物业负有责任的，扣10分或启动合同退出机制。</w:t>
            </w:r>
          </w:p>
        </w:tc>
      </w:tr>
      <w:tr w14:paraId="186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93" w:type="dxa"/>
            <w:vMerge w:val="continue"/>
            <w:shd w:val="clear" w:color="auto" w:fill="auto"/>
            <w:noWrap/>
            <w:vAlign w:val="center"/>
          </w:tcPr>
          <w:p w14:paraId="7529B4E1">
            <w:pPr>
              <w:widowControl/>
              <w:spacing w:line="360" w:lineRule="auto"/>
              <w:jc w:val="center"/>
              <w:rPr>
                <w:rFonts w:hint="eastAsia" w:ascii="宋体" w:hAnsi="宋体" w:cs="仿宋"/>
                <w:color w:val="auto"/>
                <w:kern w:val="0"/>
                <w:highlight w:val="none"/>
              </w:rPr>
            </w:pPr>
          </w:p>
        </w:tc>
        <w:tc>
          <w:tcPr>
            <w:tcW w:w="1819" w:type="dxa"/>
            <w:vMerge w:val="continue"/>
            <w:shd w:val="clear" w:color="auto" w:fill="auto"/>
            <w:vAlign w:val="center"/>
          </w:tcPr>
          <w:p w14:paraId="5C0D04B6">
            <w:pPr>
              <w:widowControl/>
              <w:spacing w:line="360" w:lineRule="auto"/>
              <w:jc w:val="center"/>
              <w:rPr>
                <w:rFonts w:hint="eastAsia" w:ascii="宋体" w:hAnsi="宋体" w:cs="仿宋"/>
                <w:b/>
                <w:color w:val="auto"/>
                <w:kern w:val="0"/>
                <w:highlight w:val="none"/>
              </w:rPr>
            </w:pPr>
          </w:p>
        </w:tc>
        <w:tc>
          <w:tcPr>
            <w:tcW w:w="2050" w:type="dxa"/>
            <w:shd w:val="clear" w:color="auto" w:fill="auto"/>
            <w:vAlign w:val="center"/>
          </w:tcPr>
          <w:p w14:paraId="7A7AA663">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重大突出表现</w:t>
            </w:r>
          </w:p>
        </w:tc>
        <w:tc>
          <w:tcPr>
            <w:tcW w:w="7684" w:type="dxa"/>
            <w:shd w:val="clear" w:color="auto" w:fill="auto"/>
            <w:vAlign w:val="center"/>
          </w:tcPr>
          <w:p w14:paraId="4E4E0FDC">
            <w:pPr>
              <w:widowControl/>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1.在重大检查、考核中表现突出的；2.在重大突发事件处置中表现突出的；3.有重大特色创新的；4.获得省级以上荣誉的。</w:t>
            </w:r>
          </w:p>
        </w:tc>
        <w:tc>
          <w:tcPr>
            <w:tcW w:w="1845" w:type="dxa"/>
            <w:shd w:val="clear" w:color="auto" w:fill="auto"/>
            <w:vAlign w:val="center"/>
          </w:tcPr>
          <w:p w14:paraId="23C35A58">
            <w:pPr>
              <w:spacing w:line="360" w:lineRule="auto"/>
              <w:jc w:val="left"/>
              <w:rPr>
                <w:rFonts w:hint="eastAsia" w:ascii="宋体" w:hAnsi="宋体" w:cs="仿宋"/>
                <w:color w:val="auto"/>
                <w:highlight w:val="none"/>
              </w:rPr>
            </w:pPr>
            <w:r>
              <w:rPr>
                <w:rFonts w:hint="eastAsia" w:ascii="宋体" w:hAnsi="宋体" w:cs="仿宋"/>
                <w:color w:val="auto"/>
                <w:highlight w:val="none"/>
              </w:rPr>
              <w:t>经社区申报，街道同意，给予5~10加分奖励。</w:t>
            </w:r>
          </w:p>
        </w:tc>
      </w:tr>
      <w:tr w14:paraId="666A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93" w:type="dxa"/>
            <w:shd w:val="clear" w:color="auto" w:fill="auto"/>
            <w:noWrap/>
            <w:vAlign w:val="center"/>
          </w:tcPr>
          <w:p w14:paraId="3F9DA17E">
            <w:pPr>
              <w:widowControl/>
              <w:spacing w:line="360" w:lineRule="auto"/>
              <w:jc w:val="center"/>
              <w:rPr>
                <w:rFonts w:hint="eastAsia" w:ascii="宋体" w:hAnsi="宋体" w:cs="仿宋"/>
                <w:color w:val="auto"/>
                <w:kern w:val="0"/>
                <w:highlight w:val="none"/>
              </w:rPr>
            </w:pPr>
            <w:r>
              <w:rPr>
                <w:rFonts w:hint="eastAsia" w:ascii="宋体" w:hAnsi="宋体" w:cs="仿宋"/>
                <w:color w:val="auto"/>
                <w:kern w:val="0"/>
                <w:highlight w:val="none"/>
              </w:rPr>
              <w:t>6</w:t>
            </w:r>
          </w:p>
        </w:tc>
        <w:tc>
          <w:tcPr>
            <w:tcW w:w="1819" w:type="dxa"/>
            <w:shd w:val="clear" w:color="auto" w:fill="auto"/>
            <w:vAlign w:val="center"/>
          </w:tcPr>
          <w:p w14:paraId="1D4925CF">
            <w:pPr>
              <w:widowControl/>
              <w:spacing w:line="360" w:lineRule="auto"/>
              <w:jc w:val="center"/>
              <w:rPr>
                <w:rFonts w:hint="eastAsia" w:ascii="宋体" w:hAnsi="宋体" w:cs="仿宋"/>
                <w:b/>
                <w:color w:val="auto"/>
                <w:kern w:val="0"/>
                <w:highlight w:val="none"/>
              </w:rPr>
            </w:pPr>
            <w:r>
              <w:rPr>
                <w:rFonts w:hint="eastAsia" w:ascii="宋体" w:hAnsi="宋体" w:cs="仿宋"/>
                <w:b/>
                <w:color w:val="auto"/>
                <w:kern w:val="0"/>
                <w:highlight w:val="none"/>
              </w:rPr>
              <w:t>绩效考核奖励费兑付</w:t>
            </w:r>
          </w:p>
        </w:tc>
        <w:tc>
          <w:tcPr>
            <w:tcW w:w="11579" w:type="dxa"/>
            <w:gridSpan w:val="3"/>
            <w:shd w:val="clear" w:color="auto" w:fill="auto"/>
            <w:vAlign w:val="center"/>
          </w:tcPr>
          <w:p w14:paraId="1A3C312C">
            <w:pPr>
              <w:spacing w:line="360" w:lineRule="auto"/>
              <w:jc w:val="left"/>
              <w:rPr>
                <w:rFonts w:hint="eastAsia" w:ascii="宋体" w:hAnsi="宋体" w:cs="仿宋"/>
                <w:color w:val="auto"/>
                <w:kern w:val="0"/>
                <w:highlight w:val="none"/>
              </w:rPr>
            </w:pPr>
            <w:r>
              <w:rPr>
                <w:rFonts w:hint="eastAsia" w:ascii="宋体" w:hAnsi="宋体" w:cs="仿宋"/>
                <w:color w:val="auto"/>
                <w:kern w:val="0"/>
                <w:highlight w:val="none"/>
              </w:rPr>
              <w:t>考核成绩90分及以上的为优秀，90-80（含）分为良好，80-70（含）分为一般，70-60（含）分为合格，60分以下为不合格。</w:t>
            </w:r>
          </w:p>
          <w:p w14:paraId="12371697">
            <w:pPr>
              <w:spacing w:line="360" w:lineRule="auto"/>
              <w:jc w:val="left"/>
              <w:rPr>
                <w:rFonts w:hint="eastAsia" w:ascii="宋体" w:hAnsi="宋体" w:cs="仿宋"/>
                <w:color w:val="auto"/>
                <w:highlight w:val="none"/>
              </w:rPr>
            </w:pPr>
            <w:r>
              <w:rPr>
                <w:rFonts w:hint="eastAsia" w:ascii="宋体" w:hAnsi="宋体" w:cs="仿宋"/>
                <w:color w:val="auto"/>
                <w:kern w:val="0"/>
                <w:highlight w:val="none"/>
              </w:rPr>
              <w:t>绩效考核奖励费兑付比例分别为优秀100%，良好90%，一般70%，合格50%，不合格为0。</w:t>
            </w:r>
          </w:p>
        </w:tc>
      </w:tr>
    </w:tbl>
    <w:p w14:paraId="194F8842">
      <w:pPr>
        <w:rPr>
          <w:rFonts w:hint="eastAsia" w:ascii="宋体" w:hAnsi="宋体" w:cs="宋体"/>
          <w:b/>
          <w:bCs/>
          <w:color w:val="auto"/>
          <w:highlight w:val="none"/>
        </w:rPr>
      </w:pPr>
      <w:r>
        <w:rPr>
          <w:rFonts w:hint="eastAsia" w:ascii="宋体" w:hAnsi="宋体" w:cs="宋体"/>
          <w:b/>
          <w:bCs/>
          <w:color w:val="auto"/>
          <w:highlight w:val="none"/>
        </w:rPr>
        <w:br w:type="page"/>
      </w:r>
    </w:p>
    <w:p w14:paraId="1B2B10D7">
      <w:pPr>
        <w:spacing w:line="460" w:lineRule="exact"/>
        <w:rPr>
          <w:rFonts w:hint="eastAsia" w:ascii="宋体" w:hAnsi="宋体" w:cs="宋体"/>
          <w:b/>
          <w:bCs/>
          <w:color w:val="auto"/>
          <w:highlight w:val="none"/>
        </w:rPr>
        <w:sectPr>
          <w:pgSz w:w="16838" w:h="11906" w:orient="landscape"/>
          <w:pgMar w:top="1418" w:right="1276" w:bottom="1418" w:left="1247" w:header="851" w:footer="992" w:gutter="0"/>
          <w:cols w:space="720" w:num="1"/>
          <w:titlePg/>
          <w:docGrid w:linePitch="312" w:charSpace="0"/>
        </w:sectPr>
      </w:pPr>
    </w:p>
    <w:p w14:paraId="5E31B8CF">
      <w:pPr>
        <w:jc w:val="left"/>
        <w:rPr>
          <w:rFonts w:hint="eastAsia" w:ascii="宋体" w:hAnsi="宋体"/>
          <w:b/>
          <w:color w:val="auto"/>
          <w:highlight w:val="none"/>
        </w:rPr>
      </w:pPr>
      <w:r>
        <w:rPr>
          <w:rFonts w:hint="eastAsia" w:ascii="宋体" w:hAnsi="宋体"/>
          <w:b/>
          <w:color w:val="auto"/>
          <w:highlight w:val="none"/>
        </w:rPr>
        <w:t>附件四:</w:t>
      </w:r>
    </w:p>
    <w:p w14:paraId="348BB996">
      <w:pPr>
        <w:jc w:val="center"/>
        <w:rPr>
          <w:rFonts w:hint="eastAsia" w:ascii="宋体" w:hAnsi="宋体"/>
          <w:b/>
          <w:color w:val="auto"/>
          <w:highlight w:val="none"/>
        </w:rPr>
      </w:pPr>
      <w:r>
        <w:rPr>
          <w:rFonts w:hint="eastAsia" w:ascii="宋体" w:hAnsi="宋体" w:cs="宋体"/>
          <w:b/>
          <w:bCs/>
          <w:color w:val="auto"/>
          <w:kern w:val="0"/>
          <w:highlight w:val="none"/>
        </w:rPr>
        <w:t>杭玻阔板桥社区</w:t>
      </w:r>
      <w:r>
        <w:rPr>
          <w:rFonts w:hint="eastAsia" w:ascii="宋体" w:hAnsi="宋体"/>
          <w:b/>
          <w:color w:val="auto"/>
          <w:highlight w:val="none"/>
        </w:rPr>
        <w:t>垃圾分类考核管理标准</w:t>
      </w:r>
    </w:p>
    <w:tbl>
      <w:tblPr>
        <w:tblStyle w:val="18"/>
        <w:tblW w:w="8329" w:type="dxa"/>
        <w:tblInd w:w="0" w:type="dxa"/>
        <w:tblLayout w:type="fixed"/>
        <w:tblCellMar>
          <w:top w:w="0" w:type="dxa"/>
          <w:left w:w="0" w:type="dxa"/>
          <w:bottom w:w="0" w:type="dxa"/>
          <w:right w:w="0" w:type="dxa"/>
        </w:tblCellMar>
      </w:tblPr>
      <w:tblGrid>
        <w:gridCol w:w="1050"/>
        <w:gridCol w:w="2235"/>
        <w:gridCol w:w="5044"/>
      </w:tblGrid>
      <w:tr w14:paraId="74A93E47">
        <w:tblPrEx>
          <w:tblCellMar>
            <w:top w:w="0" w:type="dxa"/>
            <w:left w:w="0" w:type="dxa"/>
            <w:bottom w:w="0" w:type="dxa"/>
            <w:right w:w="0" w:type="dxa"/>
          </w:tblCellMar>
        </w:tblPrEx>
        <w:trPr>
          <w:trHeight w:val="28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B87E8">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类别</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9B603">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项目</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845C4">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内容</w:t>
            </w:r>
          </w:p>
        </w:tc>
      </w:tr>
      <w:tr w14:paraId="27D683A3">
        <w:tblPrEx>
          <w:tblCellMar>
            <w:top w:w="0" w:type="dxa"/>
            <w:left w:w="0" w:type="dxa"/>
            <w:bottom w:w="0" w:type="dxa"/>
            <w:right w:w="0" w:type="dxa"/>
          </w:tblCellMar>
        </w:tblPrEx>
        <w:trPr>
          <w:trHeight w:val="28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70DF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分类质量（40分）</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FDDC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垃圾分类</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AF5D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分类质量不合格的</w:t>
            </w:r>
          </w:p>
        </w:tc>
      </w:tr>
      <w:tr w14:paraId="3FED4F1C">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4DD14">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23270">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5DB5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存在轻微混投，每处扣5分</w:t>
            </w:r>
          </w:p>
        </w:tc>
      </w:tr>
      <w:tr w14:paraId="69F73175">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0B439">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EBA62">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12CF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存在混投现象，每处扣10分</w:t>
            </w:r>
          </w:p>
        </w:tc>
      </w:tr>
      <w:tr w14:paraId="7EA080B9">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15003">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75C41">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B094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未开展“定时定点”</w:t>
            </w:r>
          </w:p>
        </w:tc>
      </w:tr>
      <w:tr w14:paraId="3B9103EF">
        <w:tblPrEx>
          <w:tblCellMar>
            <w:top w:w="0" w:type="dxa"/>
            <w:left w:w="0" w:type="dxa"/>
            <w:bottom w:w="0" w:type="dxa"/>
            <w:right w:w="0" w:type="dxa"/>
          </w:tblCellMar>
        </w:tblPrEx>
        <w:trPr>
          <w:trHeight w:val="312"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72A6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分类设施（30分）</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35CC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分类设施设置</w:t>
            </w:r>
          </w:p>
        </w:tc>
        <w:tc>
          <w:tcPr>
            <w:tcW w:w="5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A4B2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分类投放点未配齐四类垃圾投放设施，或无法正常启用的，每处15分</w:t>
            </w:r>
          </w:p>
        </w:tc>
      </w:tr>
      <w:tr w14:paraId="5FCC0BD4">
        <w:tblPrEx>
          <w:tblCellMar>
            <w:top w:w="0" w:type="dxa"/>
            <w:left w:w="0" w:type="dxa"/>
            <w:bottom w:w="0" w:type="dxa"/>
            <w:right w:w="0" w:type="dxa"/>
          </w:tblCellMar>
        </w:tblPrEx>
        <w:trPr>
          <w:trHeight w:val="312"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0C496">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28363">
            <w:pPr>
              <w:jc w:val="center"/>
              <w:rPr>
                <w:rFonts w:hint="eastAsia" w:ascii="宋体" w:hAnsi="宋体" w:cs="宋体"/>
                <w:color w:val="auto"/>
                <w:sz w:val="22"/>
                <w:highlight w:val="none"/>
              </w:rPr>
            </w:pPr>
          </w:p>
        </w:tc>
        <w:tc>
          <w:tcPr>
            <w:tcW w:w="5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73F15">
            <w:pPr>
              <w:jc w:val="center"/>
              <w:rPr>
                <w:rFonts w:hint="eastAsia" w:ascii="宋体" w:hAnsi="宋体" w:cs="宋体"/>
                <w:color w:val="auto"/>
                <w:sz w:val="22"/>
                <w:highlight w:val="none"/>
              </w:rPr>
            </w:pPr>
          </w:p>
        </w:tc>
      </w:tr>
      <w:tr w14:paraId="77032E8D">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E9FF4">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B289C">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1C1C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发现杂色桶，每处5分</w:t>
            </w:r>
          </w:p>
        </w:tc>
      </w:tr>
      <w:tr w14:paraId="39B7091C">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DD9D2">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A3E35">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146D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未对误时投放方式进行说明的，每处5分</w:t>
            </w:r>
          </w:p>
        </w:tc>
      </w:tr>
      <w:tr w14:paraId="2A67DA0B">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545B2">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FA54B">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4E9B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分类设施过于陈旧、褪色、破损、脏污</w:t>
            </w:r>
          </w:p>
        </w:tc>
      </w:tr>
      <w:tr w14:paraId="6803A022">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49E6D">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EB1E9">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C0A4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分类设施脏污或地面油污的，每处10分</w:t>
            </w:r>
          </w:p>
        </w:tc>
      </w:tr>
      <w:tr w14:paraId="295E1DC9">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31DBA">
            <w:pPr>
              <w:jc w:val="center"/>
              <w:rPr>
                <w:rFonts w:hint="eastAsia" w:ascii="宋体" w:hAnsi="宋体" w:cs="宋体"/>
                <w:color w:val="auto"/>
                <w:sz w:val="22"/>
                <w:highlight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85F8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再生资源站点</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6B58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未设置再生资源站点或挪作他用</w:t>
            </w:r>
          </w:p>
        </w:tc>
      </w:tr>
      <w:tr w14:paraId="4E5BD0A8">
        <w:tblPrEx>
          <w:tblCellMar>
            <w:top w:w="0" w:type="dxa"/>
            <w:left w:w="0" w:type="dxa"/>
            <w:bottom w:w="0" w:type="dxa"/>
            <w:right w:w="0" w:type="dxa"/>
          </w:tblCellMar>
        </w:tblPrEx>
        <w:trPr>
          <w:trHeight w:val="576"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96E88">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207F5">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836D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共用的再生资源站点未设置在公共区域，覆盖距离、户数不达标的</w:t>
            </w:r>
          </w:p>
        </w:tc>
      </w:tr>
      <w:tr w14:paraId="670B99DD">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0AA0E">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89994">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888F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站点面积未达要求</w:t>
            </w:r>
          </w:p>
        </w:tc>
      </w:tr>
      <w:tr w14:paraId="15984B17">
        <w:tblPrEx>
          <w:tblCellMar>
            <w:top w:w="0" w:type="dxa"/>
            <w:left w:w="0" w:type="dxa"/>
            <w:bottom w:w="0" w:type="dxa"/>
            <w:right w:w="0" w:type="dxa"/>
          </w:tblCellMar>
        </w:tblPrEx>
        <w:trPr>
          <w:trHeight w:val="576"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A9238">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84D80">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21B9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站点内管理制度、兑换价目表、回收单位及人员等信息公示不全</w:t>
            </w:r>
          </w:p>
        </w:tc>
      </w:tr>
      <w:tr w14:paraId="3375672C">
        <w:tblPrEx>
          <w:tblCellMar>
            <w:top w:w="0" w:type="dxa"/>
            <w:left w:w="0" w:type="dxa"/>
            <w:bottom w:w="0" w:type="dxa"/>
            <w:right w:w="0" w:type="dxa"/>
          </w:tblCellMar>
        </w:tblPrEx>
        <w:trPr>
          <w:trHeight w:val="576"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57ACA">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44B29">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42B1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再生资源站点位指引不准确、过期与实际位置不符</w:t>
            </w:r>
          </w:p>
        </w:tc>
      </w:tr>
      <w:tr w14:paraId="2570185A">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3D2B5">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74DC9">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FDE4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站点运营时间未达标</w:t>
            </w:r>
          </w:p>
        </w:tc>
      </w:tr>
      <w:tr w14:paraId="6FEE874C">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2E938">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9EFD8">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31DE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站点台账记录不全</w:t>
            </w:r>
          </w:p>
        </w:tc>
      </w:tr>
      <w:tr w14:paraId="4AD4ABD4">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955CA">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CDE81">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0D69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站点环境卫生情况差</w:t>
            </w:r>
          </w:p>
        </w:tc>
      </w:tr>
      <w:tr w14:paraId="7449984E">
        <w:tblPrEx>
          <w:tblCellMar>
            <w:top w:w="0" w:type="dxa"/>
            <w:left w:w="0" w:type="dxa"/>
            <w:bottom w:w="0" w:type="dxa"/>
            <w:right w:w="0" w:type="dxa"/>
          </w:tblCellMar>
        </w:tblPrEx>
        <w:trPr>
          <w:trHeight w:val="576"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0C978">
            <w:pPr>
              <w:jc w:val="center"/>
              <w:rPr>
                <w:rFonts w:hint="eastAsia" w:ascii="宋体" w:hAnsi="宋体" w:cs="宋体"/>
                <w:color w:val="auto"/>
                <w:sz w:val="22"/>
                <w:highlight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DD82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特殊垃圾临时堆放点</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B69E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特殊垃圾临时堆放点未设置，未公布收运方式</w:t>
            </w:r>
          </w:p>
        </w:tc>
      </w:tr>
      <w:tr w14:paraId="1C30DC3C">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4D1AF">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D0F67">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49A5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临时堆放点未规范设置围挡</w:t>
            </w:r>
          </w:p>
        </w:tc>
      </w:tr>
      <w:tr w14:paraId="2B76517D">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DB63A">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48D0A">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3746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临时堆放点地面未硬化</w:t>
            </w:r>
          </w:p>
        </w:tc>
      </w:tr>
      <w:tr w14:paraId="312D7D6A">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104B8">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EFEA8">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C379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特殊垃圾临时堆放点未分区或混投</w:t>
            </w:r>
          </w:p>
        </w:tc>
      </w:tr>
      <w:tr w14:paraId="7AC2AA05">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11204">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CFA5F">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DDCF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临时堆放点杂乱，环境卫生差</w:t>
            </w:r>
          </w:p>
        </w:tc>
      </w:tr>
      <w:tr w14:paraId="721178FD">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18E4F">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D365A">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B09B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临时堆放点挪作他用</w:t>
            </w:r>
          </w:p>
        </w:tc>
      </w:tr>
      <w:tr w14:paraId="289D6CE1">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B803E">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38798">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5871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临时堆放点未设置告示牌</w:t>
            </w:r>
          </w:p>
        </w:tc>
      </w:tr>
      <w:tr w14:paraId="52BA6A04">
        <w:tblPrEx>
          <w:tblCellMar>
            <w:top w:w="0" w:type="dxa"/>
            <w:left w:w="0" w:type="dxa"/>
            <w:bottom w:w="0" w:type="dxa"/>
            <w:right w:w="0" w:type="dxa"/>
          </w:tblCellMar>
        </w:tblPrEx>
        <w:trPr>
          <w:trHeight w:val="864"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6CB8E">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BDBEF">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10F0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告示牌信息（清运单位、责任人姓名、电话、清运频次、清运时间）公示不全的，每类1分</w:t>
            </w:r>
          </w:p>
        </w:tc>
      </w:tr>
      <w:tr w14:paraId="7128799F">
        <w:tblPrEx>
          <w:tblCellMar>
            <w:top w:w="0" w:type="dxa"/>
            <w:left w:w="0" w:type="dxa"/>
            <w:bottom w:w="0" w:type="dxa"/>
            <w:right w:w="0" w:type="dxa"/>
          </w:tblCellMar>
        </w:tblPrEx>
        <w:trPr>
          <w:trHeight w:val="288" w:hRule="atLeast"/>
        </w:trPr>
        <w:tc>
          <w:tcPr>
            <w:tcW w:w="1050"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481F99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分类辅导（20分）</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FE88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分类指示牌设置</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9178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未设置或遮挡分类指示牌</w:t>
            </w:r>
          </w:p>
        </w:tc>
      </w:tr>
      <w:tr w14:paraId="4248F253">
        <w:tblPrEx>
          <w:tblCellMar>
            <w:top w:w="0" w:type="dxa"/>
            <w:left w:w="0" w:type="dxa"/>
            <w:bottom w:w="0" w:type="dxa"/>
            <w:right w:w="0" w:type="dxa"/>
          </w:tblCellMar>
        </w:tblPrEx>
        <w:trPr>
          <w:trHeight w:val="1152"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8CEB1F6">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E051A">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6B56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指示牌公示信息（各类垃圾投放点位置、投放方式，督导员信息，再生资源回收站点位置，特殊垃圾投放方式、联系电话）不到位的，每类1分</w:t>
            </w:r>
          </w:p>
        </w:tc>
      </w:tr>
      <w:tr w14:paraId="66E03203">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3853AD0">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DFD2E">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6895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指示牌存在破损、脏污的，每处1分</w:t>
            </w:r>
          </w:p>
        </w:tc>
      </w:tr>
      <w:tr w14:paraId="1A7B4B40">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1EB81A5">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967A5">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9CA1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分类宣传标识样式、颜色错误的，每处2分</w:t>
            </w:r>
          </w:p>
        </w:tc>
      </w:tr>
      <w:tr w14:paraId="633A272E">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7028DC7">
            <w:pPr>
              <w:jc w:val="center"/>
              <w:rPr>
                <w:rFonts w:hint="eastAsia" w:ascii="宋体" w:hAnsi="宋体" w:cs="宋体"/>
                <w:color w:val="auto"/>
                <w:sz w:val="22"/>
                <w:highlight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5AF4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定时定点</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1580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未按要求设置督导员</w:t>
            </w:r>
          </w:p>
        </w:tc>
      </w:tr>
      <w:tr w14:paraId="31F45983">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8FE037A">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82B26">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C23C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督导员不具备开展分类工作能力</w:t>
            </w:r>
          </w:p>
        </w:tc>
      </w:tr>
      <w:tr w14:paraId="0086905F">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61ACB7D">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D262B">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E1C7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发现现场二次分拣</w:t>
            </w:r>
          </w:p>
        </w:tc>
      </w:tr>
      <w:tr w14:paraId="1D226FB8">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55D3426">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67305">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7444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“定时定点”小区投放时段无人值守</w:t>
            </w:r>
          </w:p>
        </w:tc>
      </w:tr>
      <w:tr w14:paraId="4646C2FF">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D24B438">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2A209">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EF70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“定时定点”小区非投放时段未及时撤桶</w:t>
            </w:r>
          </w:p>
        </w:tc>
      </w:tr>
      <w:tr w14:paraId="073C8E88">
        <w:tblPrEx>
          <w:tblCellMar>
            <w:top w:w="0" w:type="dxa"/>
            <w:left w:w="0" w:type="dxa"/>
            <w:bottom w:w="0" w:type="dxa"/>
            <w:right w:w="0" w:type="dxa"/>
          </w:tblCellMar>
        </w:tblPrEx>
        <w:trPr>
          <w:trHeight w:val="576"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3B37E1D">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9F155">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C18B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非投放时间存在垃圾包，每个扣5分（上限100分）</w:t>
            </w:r>
          </w:p>
        </w:tc>
      </w:tr>
      <w:tr w14:paraId="154BBB1B">
        <w:tblPrEx>
          <w:tblCellMar>
            <w:top w:w="0" w:type="dxa"/>
            <w:left w:w="0" w:type="dxa"/>
            <w:bottom w:w="0" w:type="dxa"/>
            <w:right w:w="0" w:type="dxa"/>
          </w:tblCellMar>
        </w:tblPrEx>
        <w:trPr>
          <w:trHeight w:val="576" w:hRule="atLeast"/>
        </w:trPr>
        <w:tc>
          <w:tcPr>
            <w:tcW w:w="105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934A26A">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7A063">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0D4A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小区内存在垃圾散落的，每处扣20（上限100分）</w:t>
            </w:r>
          </w:p>
        </w:tc>
      </w:tr>
      <w:tr w14:paraId="4D129BA2">
        <w:tblPrEx>
          <w:tblCellMar>
            <w:top w:w="0" w:type="dxa"/>
            <w:left w:w="0" w:type="dxa"/>
            <w:bottom w:w="0" w:type="dxa"/>
            <w:right w:w="0" w:type="dxa"/>
          </w:tblCellMar>
        </w:tblPrEx>
        <w:trPr>
          <w:trHeight w:val="28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5AE8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分类清运（10分）</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497C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垃圾清运</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086D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未及时清运，堆积</w:t>
            </w:r>
          </w:p>
        </w:tc>
      </w:tr>
      <w:tr w14:paraId="416F072A">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97D67">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CB34E">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79DD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特殊垃圾未及时清运，堆积</w:t>
            </w:r>
          </w:p>
        </w:tc>
      </w:tr>
      <w:tr w14:paraId="714292DA">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2A9BA">
            <w:pPr>
              <w:jc w:val="center"/>
              <w:rPr>
                <w:rFonts w:hint="eastAsia" w:ascii="宋体" w:hAnsi="宋体" w:cs="宋体"/>
                <w:color w:val="auto"/>
                <w:sz w:val="22"/>
                <w:highlight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62BB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集置点环境</w:t>
            </w: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91CC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堆放高度超过围挡</w:t>
            </w:r>
          </w:p>
        </w:tc>
      </w:tr>
      <w:tr w14:paraId="3C88BFC6">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89FBF">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52140">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97D4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集置点垃圾桶摆放杂乱</w:t>
            </w:r>
          </w:p>
        </w:tc>
      </w:tr>
      <w:tr w14:paraId="1718D24F">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1EFBC">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6F336">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D386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垃圾超过桶身，无法合盖，每处4分</w:t>
            </w:r>
          </w:p>
        </w:tc>
      </w:tr>
      <w:tr w14:paraId="420EE26A">
        <w:tblPrEx>
          <w:tblCellMar>
            <w:top w:w="0" w:type="dxa"/>
            <w:left w:w="0" w:type="dxa"/>
            <w:bottom w:w="0" w:type="dxa"/>
            <w:right w:w="0" w:type="dxa"/>
          </w:tblCellMar>
        </w:tblPrEx>
        <w:trPr>
          <w:trHeight w:val="28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8D7D9">
            <w:pPr>
              <w:jc w:val="center"/>
              <w:rPr>
                <w:rFonts w:hint="eastAsia" w:ascii="宋体" w:hAnsi="宋体" w:cs="宋体"/>
                <w:color w:val="auto"/>
                <w:sz w:val="22"/>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D6DAF">
            <w:pPr>
              <w:jc w:val="center"/>
              <w:rPr>
                <w:rFonts w:hint="eastAsia" w:ascii="宋体" w:hAnsi="宋体" w:cs="宋体"/>
                <w:color w:val="auto"/>
                <w:sz w:val="22"/>
                <w:highlight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5A1D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集置点环境卫生情况差</w:t>
            </w:r>
          </w:p>
        </w:tc>
      </w:tr>
    </w:tbl>
    <w:p w14:paraId="5010DB84">
      <w:pPr>
        <w:jc w:val="left"/>
        <w:rPr>
          <w:rFonts w:hint="eastAsia" w:ascii="宋体" w:hAnsi="宋体"/>
          <w:b/>
          <w:color w:val="auto"/>
          <w:highlight w:val="none"/>
        </w:rPr>
      </w:pPr>
    </w:p>
    <w:p w14:paraId="31C23D15">
      <w:pPr>
        <w:jc w:val="left"/>
        <w:rPr>
          <w:rFonts w:hint="eastAsia" w:ascii="宋体" w:hAnsi="宋体"/>
          <w:b/>
          <w:color w:val="auto"/>
          <w:highlight w:val="none"/>
        </w:rPr>
      </w:pPr>
    </w:p>
    <w:p w14:paraId="03AE1836">
      <w:pPr>
        <w:jc w:val="left"/>
        <w:rPr>
          <w:rFonts w:hint="eastAsia" w:ascii="宋体" w:hAnsi="宋体"/>
          <w:b/>
          <w:color w:val="auto"/>
          <w:highlight w:val="none"/>
        </w:rPr>
      </w:pPr>
    </w:p>
    <w:p w14:paraId="48E39154">
      <w:pPr>
        <w:jc w:val="left"/>
        <w:rPr>
          <w:rFonts w:hint="eastAsia" w:ascii="宋体" w:hAnsi="宋体"/>
          <w:b/>
          <w:color w:val="auto"/>
          <w:highlight w:val="none"/>
        </w:rPr>
      </w:pPr>
    </w:p>
    <w:p w14:paraId="5D4B28D1">
      <w:pPr>
        <w:jc w:val="left"/>
        <w:rPr>
          <w:rFonts w:hint="eastAsia" w:ascii="宋体" w:hAnsi="宋体"/>
          <w:b/>
          <w:color w:val="auto"/>
          <w:highlight w:val="none"/>
        </w:rPr>
      </w:pPr>
    </w:p>
    <w:p w14:paraId="2769C9F2">
      <w:pPr>
        <w:jc w:val="left"/>
        <w:rPr>
          <w:rFonts w:hint="eastAsia" w:ascii="宋体" w:hAnsi="宋体"/>
          <w:b/>
          <w:color w:val="auto"/>
          <w:highlight w:val="none"/>
        </w:rPr>
      </w:pPr>
    </w:p>
    <w:p w14:paraId="20751199">
      <w:pPr>
        <w:jc w:val="left"/>
        <w:rPr>
          <w:rFonts w:hint="eastAsia" w:ascii="宋体" w:hAnsi="宋体"/>
          <w:b/>
          <w:color w:val="auto"/>
          <w:highlight w:val="none"/>
        </w:rPr>
      </w:pPr>
    </w:p>
    <w:p w14:paraId="4630D567">
      <w:pPr>
        <w:jc w:val="left"/>
        <w:rPr>
          <w:rFonts w:hint="eastAsia" w:ascii="宋体" w:hAnsi="宋体"/>
          <w:b/>
          <w:color w:val="auto"/>
          <w:highlight w:val="none"/>
        </w:rPr>
      </w:pPr>
    </w:p>
    <w:p w14:paraId="5A779A72">
      <w:pPr>
        <w:jc w:val="left"/>
        <w:rPr>
          <w:rFonts w:hint="eastAsia" w:ascii="宋体" w:hAnsi="宋体"/>
          <w:b/>
          <w:color w:val="auto"/>
          <w:highlight w:val="none"/>
        </w:rPr>
      </w:pPr>
    </w:p>
    <w:p w14:paraId="396CF2F0">
      <w:pPr>
        <w:jc w:val="left"/>
        <w:rPr>
          <w:rFonts w:hint="eastAsia" w:ascii="宋体" w:hAnsi="宋体"/>
          <w:b/>
          <w:color w:val="auto"/>
          <w:highlight w:val="none"/>
        </w:rPr>
      </w:pPr>
    </w:p>
    <w:p w14:paraId="23B0ADC4">
      <w:pPr>
        <w:jc w:val="left"/>
        <w:rPr>
          <w:rFonts w:hint="eastAsia" w:ascii="宋体" w:hAnsi="宋体"/>
          <w:b/>
          <w:color w:val="auto"/>
          <w:highlight w:val="none"/>
        </w:rPr>
      </w:pPr>
    </w:p>
    <w:p w14:paraId="4C07041B">
      <w:pPr>
        <w:jc w:val="left"/>
        <w:rPr>
          <w:rFonts w:hint="eastAsia" w:ascii="宋体" w:hAnsi="宋体"/>
          <w:b/>
          <w:color w:val="auto"/>
          <w:highlight w:val="none"/>
        </w:rPr>
      </w:pPr>
    </w:p>
    <w:p w14:paraId="443559B9">
      <w:pPr>
        <w:jc w:val="left"/>
        <w:rPr>
          <w:rFonts w:hint="eastAsia" w:ascii="宋体" w:hAnsi="宋体"/>
          <w:b/>
          <w:color w:val="auto"/>
          <w:highlight w:val="none"/>
        </w:rPr>
      </w:pPr>
    </w:p>
    <w:p w14:paraId="4DBFE6D9">
      <w:pPr>
        <w:jc w:val="left"/>
        <w:rPr>
          <w:rFonts w:hint="eastAsia" w:ascii="宋体" w:hAnsi="宋体"/>
          <w:b/>
          <w:color w:val="auto"/>
          <w:highlight w:val="none"/>
        </w:rPr>
      </w:pPr>
    </w:p>
    <w:p w14:paraId="5607E819">
      <w:pPr>
        <w:jc w:val="left"/>
        <w:rPr>
          <w:rFonts w:hint="eastAsia" w:ascii="宋体" w:hAnsi="宋体"/>
          <w:b/>
          <w:color w:val="auto"/>
          <w:highlight w:val="none"/>
        </w:rPr>
      </w:pPr>
    </w:p>
    <w:p w14:paraId="085FFC0C">
      <w:pPr>
        <w:jc w:val="left"/>
        <w:rPr>
          <w:rFonts w:hint="eastAsia" w:ascii="宋体" w:hAnsi="宋体"/>
          <w:b/>
          <w:color w:val="auto"/>
          <w:highlight w:val="none"/>
        </w:rPr>
      </w:pPr>
    </w:p>
    <w:p w14:paraId="65552097">
      <w:pPr>
        <w:jc w:val="left"/>
        <w:rPr>
          <w:rFonts w:hint="eastAsia" w:ascii="宋体" w:hAnsi="宋体"/>
          <w:b/>
          <w:color w:val="auto"/>
          <w:highlight w:val="none"/>
        </w:rPr>
      </w:pPr>
    </w:p>
    <w:p w14:paraId="0DD01E98">
      <w:pPr>
        <w:jc w:val="left"/>
        <w:rPr>
          <w:rFonts w:hint="eastAsia" w:ascii="宋体" w:hAnsi="宋体"/>
          <w:b/>
          <w:color w:val="auto"/>
          <w:highlight w:val="none"/>
        </w:rPr>
      </w:pPr>
    </w:p>
    <w:p w14:paraId="0432699D">
      <w:pPr>
        <w:jc w:val="left"/>
        <w:rPr>
          <w:rFonts w:hint="eastAsia" w:ascii="宋体" w:hAnsi="宋体"/>
          <w:b/>
          <w:color w:val="auto"/>
          <w:highlight w:val="none"/>
        </w:rPr>
      </w:pPr>
    </w:p>
    <w:p w14:paraId="1D0A6EF3">
      <w:pPr>
        <w:jc w:val="left"/>
        <w:rPr>
          <w:rFonts w:hint="eastAsia" w:ascii="宋体" w:hAnsi="宋体"/>
          <w:b/>
          <w:color w:val="auto"/>
          <w:highlight w:val="none"/>
        </w:rPr>
      </w:pPr>
    </w:p>
    <w:p w14:paraId="344F1B9F">
      <w:pPr>
        <w:jc w:val="left"/>
        <w:rPr>
          <w:rFonts w:hint="eastAsia" w:ascii="宋体" w:hAnsi="宋体"/>
          <w:b/>
          <w:color w:val="auto"/>
          <w:highlight w:val="none"/>
        </w:rPr>
      </w:pPr>
    </w:p>
    <w:p w14:paraId="59E37734">
      <w:pPr>
        <w:jc w:val="left"/>
        <w:rPr>
          <w:rFonts w:hint="eastAsia" w:ascii="宋体" w:hAnsi="宋体"/>
          <w:b/>
          <w:color w:val="auto"/>
          <w:highlight w:val="none"/>
        </w:rPr>
      </w:pPr>
    </w:p>
    <w:p w14:paraId="0660FAEF">
      <w:pPr>
        <w:jc w:val="left"/>
        <w:rPr>
          <w:rFonts w:hint="eastAsia" w:ascii="宋体" w:hAnsi="宋体"/>
          <w:b/>
          <w:color w:val="auto"/>
          <w:highlight w:val="none"/>
        </w:rPr>
      </w:pPr>
    </w:p>
    <w:p w14:paraId="51874BA9">
      <w:pPr>
        <w:jc w:val="left"/>
        <w:rPr>
          <w:rFonts w:hint="eastAsia" w:ascii="宋体" w:hAnsi="宋体"/>
          <w:b/>
          <w:color w:val="auto"/>
          <w:highlight w:val="none"/>
        </w:rPr>
      </w:pPr>
    </w:p>
    <w:p w14:paraId="4E6E6C02">
      <w:pPr>
        <w:jc w:val="left"/>
        <w:rPr>
          <w:rFonts w:hint="eastAsia" w:ascii="宋体" w:hAnsi="宋体"/>
          <w:b/>
          <w:color w:val="auto"/>
          <w:highlight w:val="none"/>
        </w:rPr>
      </w:pPr>
    </w:p>
    <w:p w14:paraId="7D326BDA">
      <w:pPr>
        <w:jc w:val="left"/>
        <w:rPr>
          <w:rFonts w:hint="eastAsia" w:ascii="宋体" w:hAnsi="宋体"/>
          <w:b/>
          <w:color w:val="auto"/>
          <w:highlight w:val="none"/>
        </w:rPr>
      </w:pPr>
    </w:p>
    <w:p w14:paraId="12609650">
      <w:pPr>
        <w:jc w:val="left"/>
        <w:rPr>
          <w:rFonts w:hint="eastAsia" w:ascii="宋体" w:hAnsi="宋体"/>
          <w:b/>
          <w:color w:val="auto"/>
          <w:highlight w:val="none"/>
        </w:rPr>
      </w:pPr>
    </w:p>
    <w:p w14:paraId="1E734851">
      <w:pPr>
        <w:widowControl/>
        <w:spacing w:before="120" w:beforeLines="50" w:after="120" w:afterLines="50"/>
        <w:jc w:val="left"/>
        <w:outlineLvl w:val="2"/>
        <w:rPr>
          <w:rFonts w:hint="eastAsia" w:ascii="宋体" w:hAnsi="宋体"/>
          <w:b/>
          <w:color w:val="auto"/>
          <w:kern w:val="0"/>
          <w:highlight w:val="none"/>
        </w:rPr>
      </w:pPr>
    </w:p>
    <w:p w14:paraId="47AA0951">
      <w:pPr>
        <w:widowControl/>
        <w:spacing w:before="120" w:beforeLines="50" w:after="120" w:afterLines="50"/>
        <w:jc w:val="left"/>
        <w:outlineLvl w:val="2"/>
        <w:rPr>
          <w:rFonts w:hint="eastAsia" w:ascii="宋体" w:hAnsi="宋体"/>
          <w:b/>
          <w:color w:val="auto"/>
          <w:kern w:val="0"/>
          <w:highlight w:val="none"/>
        </w:rPr>
      </w:pPr>
    </w:p>
    <w:p w14:paraId="6134439D">
      <w:pPr>
        <w:jc w:val="left"/>
        <w:rPr>
          <w:rFonts w:hint="eastAsia" w:ascii="宋体" w:hAnsi="宋体"/>
          <w:b/>
          <w:color w:val="auto"/>
          <w:highlight w:val="none"/>
        </w:rPr>
      </w:pPr>
      <w:r>
        <w:rPr>
          <w:rFonts w:hint="eastAsia" w:ascii="宋体" w:hAnsi="宋体"/>
          <w:b/>
          <w:color w:val="auto"/>
          <w:highlight w:val="none"/>
        </w:rPr>
        <w:br w:type="page"/>
      </w:r>
    </w:p>
    <w:p w14:paraId="2D12BA0C">
      <w:pPr>
        <w:jc w:val="left"/>
        <w:rPr>
          <w:rFonts w:hint="eastAsia" w:ascii="宋体" w:hAnsi="宋体"/>
          <w:b/>
          <w:color w:val="auto"/>
          <w:highlight w:val="none"/>
        </w:rPr>
      </w:pPr>
      <w:r>
        <w:rPr>
          <w:rFonts w:hint="eastAsia" w:ascii="宋体" w:hAnsi="宋体"/>
          <w:b/>
          <w:color w:val="auto"/>
          <w:highlight w:val="none"/>
        </w:rPr>
        <w:t>附件五:</w:t>
      </w:r>
    </w:p>
    <w:p w14:paraId="42783A4C">
      <w:pPr>
        <w:jc w:val="center"/>
        <w:rPr>
          <w:rFonts w:hint="eastAsia" w:ascii="宋体" w:hAnsi="宋体"/>
          <w:b/>
          <w:color w:val="auto"/>
          <w:highlight w:val="none"/>
        </w:rPr>
      </w:pPr>
      <w:r>
        <w:rPr>
          <w:rFonts w:hint="eastAsia" w:ascii="宋体" w:hAnsi="宋体" w:cs="宋体"/>
          <w:b/>
          <w:bCs/>
          <w:color w:val="auto"/>
          <w:kern w:val="0"/>
          <w:highlight w:val="none"/>
        </w:rPr>
        <w:t>杭玻阔板桥社区</w:t>
      </w:r>
      <w:r>
        <w:rPr>
          <w:rFonts w:hint="eastAsia" w:ascii="宋体" w:hAnsi="宋体"/>
          <w:b/>
          <w:color w:val="auto"/>
          <w:highlight w:val="none"/>
        </w:rPr>
        <w:t>年度物业服务满意度调查表</w:t>
      </w:r>
    </w:p>
    <w:p w14:paraId="19614A95">
      <w:pPr>
        <w:rPr>
          <w:rFonts w:hint="eastAsia" w:ascii="宋体" w:hAnsi="宋体"/>
          <w:color w:val="auto"/>
          <w:highlight w:val="none"/>
        </w:rPr>
      </w:pPr>
    </w:p>
    <w:p w14:paraId="4476E8DB">
      <w:pPr>
        <w:rPr>
          <w:rFonts w:hint="eastAsia" w:ascii="宋体" w:hAnsi="宋体"/>
          <w:color w:val="auto"/>
          <w:highlight w:val="none"/>
        </w:rPr>
      </w:pPr>
      <w:r>
        <w:rPr>
          <w:rFonts w:hint="eastAsia" w:ascii="宋体" w:hAnsi="宋体"/>
          <w:color w:val="auto"/>
          <w:highlight w:val="none"/>
        </w:rPr>
        <w:t xml:space="preserve">尊敬的各位居民：您好! </w:t>
      </w:r>
    </w:p>
    <w:p w14:paraId="20CFF247">
      <w:pPr>
        <w:ind w:firstLine="480" w:firstLineChars="200"/>
        <w:jc w:val="left"/>
        <w:rPr>
          <w:rFonts w:hint="eastAsia" w:ascii="宋体" w:hAnsi="宋体"/>
          <w:color w:val="auto"/>
          <w:highlight w:val="none"/>
        </w:rPr>
      </w:pPr>
      <w:r>
        <w:rPr>
          <w:rFonts w:hint="eastAsia" w:ascii="宋体" w:hAnsi="宋体"/>
          <w:color w:val="auto"/>
          <w:highlight w:val="none"/>
        </w:rPr>
        <w:t>为客观统计了解近期物业整体工作开展情况，进一步督促提高物业管理服务水平，共创和谐美丽新社区，现向您进行物业服务满意度调查，请客观填写下表，非常感谢您的配合!</w:t>
      </w:r>
    </w:p>
    <w:p w14:paraId="648E43AA">
      <w:pPr>
        <w:ind w:firstLine="480" w:firstLineChars="200"/>
        <w:rPr>
          <w:rFonts w:hint="eastAsia" w:ascii="宋体" w:hAnsi="宋体"/>
          <w:color w:val="auto"/>
          <w:highlight w:val="none"/>
        </w:rPr>
      </w:pPr>
      <w:r>
        <w:rPr>
          <w:rFonts w:hint="eastAsia" w:ascii="宋体" w:hAnsi="宋体"/>
          <w:color w:val="auto"/>
          <w:highlight w:val="none"/>
        </w:rPr>
        <w:t>请在适当的表格内填上“√”号，有意见或建议的请填在意见/建议栏内。</w:t>
      </w:r>
    </w:p>
    <w:p w14:paraId="40C6C19A">
      <w:pPr>
        <w:widowControl/>
        <w:spacing w:before="120" w:beforeLines="50" w:after="120" w:afterLines="50"/>
        <w:jc w:val="left"/>
        <w:outlineLvl w:val="2"/>
        <w:rPr>
          <w:rFonts w:hint="eastAsia" w:ascii="宋体" w:hAnsi="宋体"/>
          <w:color w:val="auto"/>
          <w:kern w:val="0"/>
          <w:highlight w:val="none"/>
        </w:rPr>
      </w:pPr>
    </w:p>
    <w:p w14:paraId="23FDF98E">
      <w:pPr>
        <w:widowControl/>
        <w:spacing w:before="120" w:beforeLines="50" w:after="120" w:afterLines="50"/>
        <w:jc w:val="left"/>
        <w:outlineLvl w:val="2"/>
        <w:rPr>
          <w:rFonts w:hint="eastAsia" w:ascii="宋体" w:hAnsi="宋体" w:cs="宋体"/>
          <w:color w:val="auto"/>
          <w:kern w:val="0"/>
          <w:highlight w:val="none"/>
        </w:rPr>
      </w:pPr>
      <w:r>
        <w:rPr>
          <w:rFonts w:hint="eastAsia" w:ascii="宋体" w:hAnsi="宋体" w:cs="宋体"/>
          <w:color w:val="auto"/>
          <w:kern w:val="0"/>
          <w:szCs w:val="21"/>
          <w:highlight w:val="none"/>
        </w:rPr>
        <w:t>房    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；物业类型：</w:t>
      </w:r>
      <w:r>
        <w:rPr>
          <w:rFonts w:hint="eastAsia" w:ascii="宋体" w:hAnsi="宋体" w:cs="宋体"/>
          <w:color w:val="auto"/>
          <w:kern w:val="0"/>
          <w:sz w:val="28"/>
          <w:szCs w:val="21"/>
          <w:highlight w:val="none"/>
          <w:u w:val="single"/>
        </w:rPr>
        <w:t xml:space="preserve">      □</w:t>
      </w:r>
      <w:r>
        <w:rPr>
          <w:rFonts w:hint="eastAsia" w:ascii="宋体" w:hAnsi="宋体" w:cs="宋体"/>
          <w:color w:val="auto"/>
          <w:kern w:val="0"/>
          <w:szCs w:val="21"/>
          <w:highlight w:val="none"/>
          <w:u w:val="single"/>
        </w:rPr>
        <w:t xml:space="preserve"> 住宅      </w:t>
      </w:r>
      <w:r>
        <w:rPr>
          <w:rFonts w:hint="eastAsia" w:ascii="宋体" w:hAnsi="宋体" w:cs="宋体"/>
          <w:color w:val="auto"/>
          <w:kern w:val="0"/>
          <w:szCs w:val="21"/>
          <w:highlight w:val="none"/>
        </w:rPr>
        <w:t>；</w:t>
      </w:r>
    </w:p>
    <w:tbl>
      <w:tblPr>
        <w:tblStyle w:val="18"/>
        <w:tblW w:w="9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5"/>
        <w:gridCol w:w="1506"/>
        <w:gridCol w:w="1490"/>
        <w:gridCol w:w="1510"/>
        <w:gridCol w:w="1372"/>
        <w:gridCol w:w="1383"/>
      </w:tblGrid>
      <w:tr w14:paraId="5BAB6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jc w:val="center"/>
        </w:trPr>
        <w:tc>
          <w:tcPr>
            <w:tcW w:w="1945" w:type="dxa"/>
            <w:tcBorders>
              <w:right w:val="single" w:color="auto" w:sz="4" w:space="0"/>
            </w:tcBorders>
            <w:vAlign w:val="center"/>
          </w:tcPr>
          <w:p w14:paraId="615B706F">
            <w:pPr>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事项</w:t>
            </w:r>
          </w:p>
        </w:tc>
        <w:tc>
          <w:tcPr>
            <w:tcW w:w="7261" w:type="dxa"/>
            <w:gridSpan w:val="5"/>
            <w:tcBorders>
              <w:left w:val="single" w:color="auto" w:sz="4" w:space="0"/>
            </w:tcBorders>
            <w:vAlign w:val="center"/>
          </w:tcPr>
          <w:p w14:paraId="0BF546D7">
            <w:pPr>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表决意见</w:t>
            </w:r>
          </w:p>
        </w:tc>
      </w:tr>
      <w:tr w14:paraId="36747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7" w:hRule="atLeast"/>
          <w:jc w:val="center"/>
        </w:trPr>
        <w:tc>
          <w:tcPr>
            <w:tcW w:w="1945" w:type="dxa"/>
            <w:vMerge w:val="restart"/>
            <w:tcBorders>
              <w:right w:val="single" w:color="auto" w:sz="4" w:space="0"/>
            </w:tcBorders>
            <w:vAlign w:val="center"/>
          </w:tcPr>
          <w:p w14:paraId="5A307CED">
            <w:pPr>
              <w:jc w:val="center"/>
              <w:rPr>
                <w:rFonts w:hint="eastAsia" w:ascii="宋体" w:hAnsi="宋体" w:cs="宋体"/>
                <w:color w:val="auto"/>
                <w:highlight w:val="none"/>
              </w:rPr>
            </w:pPr>
            <w:r>
              <w:rPr>
                <w:rFonts w:hint="eastAsia" w:ascii="宋体" w:hAnsi="宋体" w:cs="宋体"/>
                <w:color w:val="auto"/>
                <w:highlight w:val="none"/>
              </w:rPr>
              <w:t>对物业管理服务的评价</w:t>
            </w:r>
          </w:p>
        </w:tc>
        <w:tc>
          <w:tcPr>
            <w:tcW w:w="1506" w:type="dxa"/>
            <w:tcBorders>
              <w:left w:val="single" w:color="auto" w:sz="4" w:space="0"/>
            </w:tcBorders>
            <w:vAlign w:val="center"/>
          </w:tcPr>
          <w:p w14:paraId="1135709C">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非常满意</w:t>
            </w:r>
          </w:p>
          <w:p w14:paraId="4A2DC259">
            <w:pPr>
              <w:ind w:left="240" w:hanging="240" w:hangingChars="100"/>
              <w:jc w:val="center"/>
              <w:rPr>
                <w:rFonts w:hint="eastAsia" w:ascii="宋体" w:hAnsi="宋体" w:cs="宋体"/>
                <w:color w:val="auto"/>
                <w:highlight w:val="none"/>
              </w:rPr>
            </w:pPr>
          </w:p>
        </w:tc>
        <w:tc>
          <w:tcPr>
            <w:tcW w:w="1490" w:type="dxa"/>
            <w:tcBorders>
              <w:left w:val="single" w:color="auto" w:sz="4" w:space="0"/>
            </w:tcBorders>
            <w:vAlign w:val="center"/>
          </w:tcPr>
          <w:p w14:paraId="5885BA94">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满意</w:t>
            </w:r>
          </w:p>
          <w:p w14:paraId="1D53AF56">
            <w:pPr>
              <w:ind w:left="240" w:hanging="240" w:hangingChars="100"/>
              <w:jc w:val="center"/>
              <w:rPr>
                <w:rFonts w:hint="eastAsia" w:ascii="宋体" w:hAnsi="宋体" w:cs="宋体"/>
                <w:color w:val="auto"/>
                <w:highlight w:val="none"/>
              </w:rPr>
            </w:pPr>
          </w:p>
        </w:tc>
        <w:tc>
          <w:tcPr>
            <w:tcW w:w="1510" w:type="dxa"/>
            <w:tcBorders>
              <w:left w:val="single" w:color="auto" w:sz="4" w:space="0"/>
            </w:tcBorders>
            <w:vAlign w:val="center"/>
          </w:tcPr>
          <w:p w14:paraId="2E7A3B7A">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基本满意</w:t>
            </w:r>
          </w:p>
          <w:p w14:paraId="22488ADE">
            <w:pPr>
              <w:ind w:left="240" w:hanging="240" w:hangingChars="100"/>
              <w:jc w:val="center"/>
              <w:rPr>
                <w:rFonts w:hint="eastAsia" w:ascii="宋体" w:hAnsi="宋体" w:cs="宋体"/>
                <w:color w:val="auto"/>
                <w:highlight w:val="none"/>
              </w:rPr>
            </w:pPr>
          </w:p>
        </w:tc>
        <w:tc>
          <w:tcPr>
            <w:tcW w:w="1372" w:type="dxa"/>
            <w:tcBorders>
              <w:left w:val="single" w:color="auto" w:sz="4" w:space="0"/>
            </w:tcBorders>
            <w:vAlign w:val="center"/>
          </w:tcPr>
          <w:p w14:paraId="54042E6E">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不满意</w:t>
            </w:r>
          </w:p>
          <w:p w14:paraId="3F760C40">
            <w:pPr>
              <w:ind w:left="240" w:hanging="240" w:hangingChars="100"/>
              <w:jc w:val="center"/>
              <w:rPr>
                <w:rFonts w:hint="eastAsia" w:ascii="宋体" w:hAnsi="宋体" w:cs="宋体"/>
                <w:color w:val="auto"/>
                <w:highlight w:val="none"/>
              </w:rPr>
            </w:pPr>
          </w:p>
        </w:tc>
        <w:tc>
          <w:tcPr>
            <w:tcW w:w="1383" w:type="dxa"/>
            <w:tcBorders>
              <w:left w:val="single" w:color="auto" w:sz="4" w:space="0"/>
            </w:tcBorders>
            <w:vAlign w:val="center"/>
          </w:tcPr>
          <w:p w14:paraId="2EC0C85F">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非常不满</w:t>
            </w:r>
          </w:p>
          <w:p w14:paraId="34D3A52D">
            <w:pPr>
              <w:ind w:left="240" w:hanging="240" w:hangingChars="100"/>
              <w:jc w:val="center"/>
              <w:rPr>
                <w:rFonts w:hint="eastAsia" w:ascii="宋体" w:hAnsi="宋体" w:cs="宋体"/>
                <w:color w:val="auto"/>
                <w:highlight w:val="none"/>
              </w:rPr>
            </w:pPr>
          </w:p>
        </w:tc>
      </w:tr>
      <w:tr w14:paraId="6930A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7" w:hRule="atLeast"/>
          <w:jc w:val="center"/>
        </w:trPr>
        <w:tc>
          <w:tcPr>
            <w:tcW w:w="1945" w:type="dxa"/>
            <w:vMerge w:val="continue"/>
            <w:tcBorders>
              <w:right w:val="single" w:color="auto" w:sz="4" w:space="0"/>
            </w:tcBorders>
            <w:vAlign w:val="center"/>
          </w:tcPr>
          <w:p w14:paraId="2E587847">
            <w:pPr>
              <w:ind w:left="240" w:hanging="240" w:hangingChars="100"/>
              <w:rPr>
                <w:rFonts w:hint="eastAsia" w:ascii="宋体" w:hAnsi="宋体" w:cs="宋体"/>
                <w:color w:val="auto"/>
                <w:highlight w:val="none"/>
              </w:rPr>
            </w:pPr>
          </w:p>
        </w:tc>
        <w:tc>
          <w:tcPr>
            <w:tcW w:w="1506" w:type="dxa"/>
            <w:tcBorders>
              <w:left w:val="single" w:color="auto" w:sz="4" w:space="0"/>
            </w:tcBorders>
            <w:vAlign w:val="center"/>
          </w:tcPr>
          <w:p w14:paraId="130AFF3B">
            <w:pPr>
              <w:ind w:left="240" w:hanging="240" w:hangingChars="100"/>
              <w:rPr>
                <w:rFonts w:hint="eastAsia" w:ascii="宋体" w:hAnsi="宋体" w:cs="宋体"/>
                <w:color w:val="auto"/>
                <w:highlight w:val="none"/>
              </w:rPr>
            </w:pPr>
          </w:p>
        </w:tc>
        <w:tc>
          <w:tcPr>
            <w:tcW w:w="1490" w:type="dxa"/>
            <w:tcBorders>
              <w:left w:val="single" w:color="auto" w:sz="4" w:space="0"/>
            </w:tcBorders>
            <w:vAlign w:val="center"/>
          </w:tcPr>
          <w:p w14:paraId="27EE4032">
            <w:pPr>
              <w:ind w:left="240" w:hanging="240" w:hangingChars="100"/>
              <w:rPr>
                <w:rFonts w:hint="eastAsia" w:ascii="宋体" w:hAnsi="宋体" w:cs="宋体"/>
                <w:color w:val="auto"/>
                <w:highlight w:val="none"/>
              </w:rPr>
            </w:pPr>
          </w:p>
        </w:tc>
        <w:tc>
          <w:tcPr>
            <w:tcW w:w="1510" w:type="dxa"/>
            <w:tcBorders>
              <w:left w:val="single" w:color="auto" w:sz="4" w:space="0"/>
            </w:tcBorders>
            <w:vAlign w:val="center"/>
          </w:tcPr>
          <w:p w14:paraId="7A2175C2">
            <w:pPr>
              <w:ind w:left="240" w:hanging="240" w:hangingChars="100"/>
              <w:rPr>
                <w:rFonts w:hint="eastAsia" w:ascii="宋体" w:hAnsi="宋体" w:cs="宋体"/>
                <w:color w:val="auto"/>
                <w:highlight w:val="none"/>
              </w:rPr>
            </w:pPr>
          </w:p>
        </w:tc>
        <w:tc>
          <w:tcPr>
            <w:tcW w:w="1372" w:type="dxa"/>
            <w:tcBorders>
              <w:left w:val="single" w:color="auto" w:sz="4" w:space="0"/>
            </w:tcBorders>
            <w:vAlign w:val="center"/>
          </w:tcPr>
          <w:p w14:paraId="70AF8B22">
            <w:pPr>
              <w:ind w:left="240" w:hanging="240" w:hangingChars="100"/>
              <w:rPr>
                <w:rFonts w:hint="eastAsia" w:ascii="宋体" w:hAnsi="宋体" w:cs="宋体"/>
                <w:color w:val="auto"/>
                <w:highlight w:val="none"/>
              </w:rPr>
            </w:pPr>
          </w:p>
        </w:tc>
        <w:tc>
          <w:tcPr>
            <w:tcW w:w="1383" w:type="dxa"/>
            <w:tcBorders>
              <w:left w:val="single" w:color="auto" w:sz="4" w:space="0"/>
            </w:tcBorders>
            <w:vAlign w:val="center"/>
          </w:tcPr>
          <w:p w14:paraId="19799AB4">
            <w:pPr>
              <w:ind w:left="240" w:hanging="240" w:hangingChars="100"/>
              <w:rPr>
                <w:rFonts w:hint="eastAsia" w:ascii="宋体" w:hAnsi="宋体" w:cs="宋体"/>
                <w:color w:val="auto"/>
                <w:highlight w:val="none"/>
              </w:rPr>
            </w:pPr>
          </w:p>
        </w:tc>
      </w:tr>
      <w:tr w14:paraId="2654A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7" w:hRule="atLeast"/>
          <w:jc w:val="center"/>
        </w:trPr>
        <w:tc>
          <w:tcPr>
            <w:tcW w:w="1945" w:type="dxa"/>
            <w:tcBorders>
              <w:right w:val="single" w:color="auto" w:sz="4" w:space="0"/>
            </w:tcBorders>
            <w:vAlign w:val="center"/>
          </w:tcPr>
          <w:p w14:paraId="0BB2A0A6">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您对小区物业</w:t>
            </w:r>
          </w:p>
          <w:p w14:paraId="5EC9B3C7">
            <w:pPr>
              <w:ind w:left="240" w:hanging="240" w:hangingChars="100"/>
              <w:jc w:val="center"/>
              <w:rPr>
                <w:rFonts w:hint="eastAsia" w:ascii="宋体" w:hAnsi="宋体" w:cs="宋体"/>
                <w:color w:val="auto"/>
                <w:highlight w:val="none"/>
              </w:rPr>
            </w:pPr>
            <w:r>
              <w:rPr>
                <w:rFonts w:hint="eastAsia" w:ascii="宋体" w:hAnsi="宋体" w:cs="宋体"/>
                <w:color w:val="auto"/>
                <w:highlight w:val="none"/>
              </w:rPr>
              <w:t>服务有何合理化意见和建议</w:t>
            </w:r>
          </w:p>
        </w:tc>
        <w:tc>
          <w:tcPr>
            <w:tcW w:w="7261" w:type="dxa"/>
            <w:gridSpan w:val="5"/>
            <w:tcBorders>
              <w:left w:val="single" w:color="auto" w:sz="4" w:space="0"/>
            </w:tcBorders>
            <w:vAlign w:val="center"/>
          </w:tcPr>
          <w:p w14:paraId="7B02D153">
            <w:pPr>
              <w:ind w:left="240" w:hanging="240" w:hangingChars="100"/>
              <w:rPr>
                <w:rFonts w:hint="eastAsia" w:ascii="宋体" w:hAnsi="宋体" w:cs="宋体"/>
                <w:color w:val="auto"/>
                <w:highlight w:val="none"/>
              </w:rPr>
            </w:pPr>
          </w:p>
          <w:p w14:paraId="36255CE8">
            <w:pPr>
              <w:widowControl/>
              <w:spacing w:before="120" w:beforeLines="50" w:after="120" w:afterLines="50"/>
              <w:jc w:val="left"/>
              <w:outlineLvl w:val="2"/>
              <w:rPr>
                <w:rFonts w:hint="eastAsia" w:ascii="宋体" w:hAnsi="宋体" w:cs="宋体"/>
                <w:color w:val="auto"/>
                <w:kern w:val="0"/>
                <w:highlight w:val="none"/>
              </w:rPr>
            </w:pPr>
          </w:p>
          <w:p w14:paraId="5269FE95">
            <w:pPr>
              <w:widowControl/>
              <w:spacing w:before="120" w:beforeLines="50" w:after="120" w:afterLines="50"/>
              <w:jc w:val="left"/>
              <w:outlineLvl w:val="2"/>
              <w:rPr>
                <w:rFonts w:hint="eastAsia" w:ascii="宋体" w:hAnsi="宋体" w:cs="宋体"/>
                <w:color w:val="auto"/>
                <w:kern w:val="0"/>
                <w:highlight w:val="none"/>
              </w:rPr>
            </w:pPr>
          </w:p>
          <w:p w14:paraId="47586CDA">
            <w:pPr>
              <w:widowControl/>
              <w:spacing w:before="120" w:beforeLines="50" w:after="120" w:afterLines="50"/>
              <w:jc w:val="left"/>
              <w:outlineLvl w:val="2"/>
              <w:rPr>
                <w:rFonts w:hint="eastAsia" w:ascii="宋体" w:hAnsi="宋体" w:cs="宋体"/>
                <w:color w:val="auto"/>
                <w:kern w:val="0"/>
                <w:highlight w:val="none"/>
              </w:rPr>
            </w:pPr>
          </w:p>
        </w:tc>
      </w:tr>
    </w:tbl>
    <w:p w14:paraId="19CC66FB">
      <w:pPr>
        <w:rPr>
          <w:rFonts w:hint="eastAsia" w:ascii="宋体" w:hAnsi="宋体" w:cs="宋体"/>
          <w:color w:val="auto"/>
          <w:highlight w:val="none"/>
        </w:rPr>
      </w:pPr>
    </w:p>
    <w:p w14:paraId="51977C2E">
      <w:pPr>
        <w:widowControl/>
        <w:spacing w:before="120" w:beforeLines="50" w:after="120" w:afterLines="50"/>
        <w:outlineLvl w:val="2"/>
        <w:rPr>
          <w:rFonts w:hint="eastAsia" w:ascii="宋体" w:hAnsi="宋体" w:cs="宋体"/>
          <w:color w:val="auto"/>
          <w:kern w:val="0"/>
          <w:szCs w:val="21"/>
          <w:highlight w:val="none"/>
        </w:rPr>
      </w:pPr>
    </w:p>
    <w:p w14:paraId="3B83D81D">
      <w:pPr>
        <w:spacing w:line="400" w:lineRule="exact"/>
        <w:rPr>
          <w:rFonts w:hint="eastAsia" w:ascii="宋体" w:hAnsi="宋体" w:cs="宋体"/>
          <w:bCs/>
          <w:color w:val="auto"/>
          <w:highlight w:val="none"/>
        </w:rPr>
      </w:pPr>
      <w:r>
        <w:rPr>
          <w:rFonts w:hint="eastAsia" w:ascii="宋体" w:hAnsi="宋体" w:cs="宋体"/>
          <w:color w:val="auto"/>
          <w:highlight w:val="none"/>
        </w:rPr>
        <w:t xml:space="preserve">                                          </w:t>
      </w:r>
      <w:r>
        <w:rPr>
          <w:rFonts w:hint="eastAsia" w:ascii="宋体" w:hAnsi="宋体" w:cs="宋体"/>
          <w:color w:val="auto"/>
          <w:kern w:val="0"/>
          <w:highlight w:val="none"/>
        </w:rPr>
        <w:t>填写时间：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4C069D7C">
      <w:pPr>
        <w:pStyle w:val="39"/>
        <w:ind w:firstLine="508" w:firstLineChars="212"/>
        <w:rPr>
          <w:rFonts w:hint="eastAsia" w:ascii="宋体" w:hAnsi="宋体" w:cs="宋体"/>
          <w:color w:val="auto"/>
          <w:kern w:val="0"/>
          <w:highlight w:val="none"/>
        </w:rPr>
      </w:pPr>
    </w:p>
    <w:p w14:paraId="34D48CCB">
      <w:pPr>
        <w:pStyle w:val="39"/>
        <w:ind w:firstLine="508" w:firstLineChars="212"/>
        <w:rPr>
          <w:rFonts w:hint="eastAsia" w:ascii="宋体" w:hAnsi="宋体" w:cs="宋体"/>
          <w:color w:val="auto"/>
          <w:kern w:val="0"/>
          <w:highlight w:val="none"/>
        </w:rPr>
      </w:pPr>
    </w:p>
    <w:p w14:paraId="592A0D0E">
      <w:pPr>
        <w:pStyle w:val="39"/>
        <w:ind w:firstLine="508" w:firstLineChars="212"/>
        <w:rPr>
          <w:rFonts w:hint="eastAsia" w:ascii="宋体" w:hAnsi="宋体" w:cs="宋体"/>
          <w:color w:val="auto"/>
          <w:kern w:val="0"/>
          <w:highlight w:val="none"/>
        </w:rPr>
      </w:pPr>
    </w:p>
    <w:p w14:paraId="3D43AC9A">
      <w:pPr>
        <w:rPr>
          <w:color w:val="auto"/>
          <w:highlight w:val="none"/>
        </w:rPr>
      </w:pPr>
      <w:r>
        <w:rPr>
          <w:rFonts w:hint="eastAsia"/>
          <w:color w:val="auto"/>
          <w:highlight w:val="none"/>
        </w:rPr>
        <w:br w:type="page"/>
      </w:r>
    </w:p>
    <w:p w14:paraId="6841539A">
      <w:pPr>
        <w:pStyle w:val="2"/>
        <w:rPr>
          <w:color w:val="auto"/>
          <w:highlight w:val="none"/>
        </w:rPr>
        <w:sectPr>
          <w:pgSz w:w="11906" w:h="16838"/>
          <w:pgMar w:top="1276" w:right="1418" w:bottom="1247" w:left="1418" w:header="851" w:footer="992" w:gutter="0"/>
          <w:cols w:space="720" w:num="1"/>
          <w:titlePg/>
          <w:docGrid w:linePitch="312" w:charSpace="0"/>
        </w:sectPr>
      </w:pPr>
    </w:p>
    <w:p w14:paraId="2D313BF9">
      <w:pPr>
        <w:pStyle w:val="2"/>
        <w:rPr>
          <w:rFonts w:hint="eastAsia" w:ascii="宋体" w:hAnsi="宋体" w:cs="宋体"/>
          <w:color w:val="auto"/>
          <w:kern w:val="0"/>
          <w:szCs w:val="36"/>
          <w:highlight w:val="none"/>
        </w:rPr>
      </w:pPr>
      <w:r>
        <w:rPr>
          <w:rFonts w:hint="eastAsia"/>
          <w:color w:val="auto"/>
          <w:highlight w:val="none"/>
        </w:rPr>
        <w:t>第六章 应提交的有关格式范例</w:t>
      </w:r>
    </w:p>
    <w:p w14:paraId="54D6910E">
      <w:pPr>
        <w:pStyle w:val="3"/>
        <w:jc w:val="center"/>
        <w:rPr>
          <w:rFonts w:hint="eastAsia"/>
          <w:color w:val="auto"/>
          <w:highlight w:val="none"/>
        </w:rPr>
      </w:pPr>
      <w:r>
        <w:rPr>
          <w:rFonts w:hint="eastAsia"/>
          <w:color w:val="auto"/>
          <w:highlight w:val="none"/>
        </w:rPr>
        <w:t>资格文件部分</w:t>
      </w:r>
    </w:p>
    <w:p w14:paraId="46879882">
      <w:pPr>
        <w:jc w:val="center"/>
        <w:rPr>
          <w:b/>
          <w:bCs/>
          <w:color w:val="auto"/>
          <w:sz w:val="32"/>
          <w:szCs w:val="32"/>
          <w:highlight w:val="none"/>
        </w:rPr>
      </w:pPr>
      <w:r>
        <w:rPr>
          <w:rFonts w:hint="eastAsia"/>
          <w:b/>
          <w:bCs/>
          <w:color w:val="auto"/>
          <w:sz w:val="32"/>
          <w:szCs w:val="32"/>
          <w:highlight w:val="none"/>
        </w:rPr>
        <w:t>目录</w:t>
      </w:r>
    </w:p>
    <w:p w14:paraId="5AF28592">
      <w:pPr>
        <w:rPr>
          <w:color w:val="auto"/>
          <w:highlight w:val="none"/>
        </w:rPr>
      </w:pPr>
    </w:p>
    <w:p w14:paraId="24FB23C8">
      <w:pPr>
        <w:snapToGrid w:val="0"/>
        <w:spacing w:line="360" w:lineRule="auto"/>
        <w:rPr>
          <w:rFonts w:hint="eastAsia" w:ascii="宋体" w:hAnsi="宋体" w:cs="宋体"/>
          <w:color w:val="auto"/>
          <w:highlight w:val="none"/>
        </w:rPr>
      </w:pPr>
      <w:r>
        <w:rPr>
          <w:rFonts w:hint="eastAsia" w:ascii="宋体" w:hAnsi="宋体" w:cs="宋体"/>
          <w:color w:val="auto"/>
          <w:highlight w:val="none"/>
        </w:rPr>
        <w:t>（1）符合参加采购活动应当具备的一般条件的承诺函………………………（页码）</w:t>
      </w:r>
    </w:p>
    <w:p w14:paraId="51987F28">
      <w:pPr>
        <w:snapToGrid w:val="0"/>
        <w:spacing w:line="360" w:lineRule="auto"/>
        <w:rPr>
          <w:rFonts w:hint="eastAsia" w:ascii="宋体" w:hAnsi="宋体" w:cs="宋体"/>
          <w:color w:val="auto"/>
          <w:highlight w:val="none"/>
        </w:rPr>
      </w:pPr>
      <w:r>
        <w:rPr>
          <w:rFonts w:hint="eastAsia" w:ascii="宋体" w:hAnsi="宋体" w:cs="宋体"/>
          <w:snapToGrid w:val="0"/>
          <w:color w:val="auto"/>
          <w:kern w:val="28"/>
          <w:szCs w:val="20"/>
          <w:highlight w:val="none"/>
        </w:rPr>
        <w:t>（2）联合协议</w:t>
      </w:r>
      <w:r>
        <w:rPr>
          <w:rFonts w:hint="eastAsia" w:ascii="宋体" w:hAnsi="宋体" w:cs="宋体"/>
          <w:color w:val="auto"/>
          <w:highlight w:val="none"/>
        </w:rPr>
        <w:t>……………………………………………………………………（页码）</w:t>
      </w:r>
    </w:p>
    <w:p w14:paraId="6252F0A7">
      <w:pPr>
        <w:snapToGrid w:val="0"/>
        <w:spacing w:line="360" w:lineRule="auto"/>
        <w:rPr>
          <w:rFonts w:hint="eastAsia" w:ascii="宋体" w:hAnsi="宋体" w:cs="宋体"/>
          <w:color w:val="auto"/>
          <w:highlight w:val="none"/>
        </w:rPr>
      </w:pPr>
      <w:r>
        <w:rPr>
          <w:rFonts w:hint="eastAsia" w:ascii="宋体" w:hAnsi="宋体" w:cs="宋体"/>
          <w:color w:val="auto"/>
          <w:highlight w:val="none"/>
        </w:rPr>
        <w:t>（3）本项目的特定资格要求……………………………………………………（页码）</w:t>
      </w:r>
    </w:p>
    <w:p w14:paraId="22E72FAE">
      <w:pPr>
        <w:snapToGrid w:val="0"/>
        <w:spacing w:line="360" w:lineRule="auto"/>
        <w:ind w:firstLine="480" w:firstLineChars="200"/>
        <w:rPr>
          <w:rFonts w:hint="eastAsia" w:ascii="宋体" w:hAnsi="宋体" w:cs="宋体"/>
          <w:color w:val="auto"/>
          <w:highlight w:val="none"/>
        </w:rPr>
      </w:pPr>
    </w:p>
    <w:p w14:paraId="1A1CE71A">
      <w:pPr>
        <w:spacing w:line="360" w:lineRule="auto"/>
        <w:ind w:firstLine="480" w:firstLineChars="200"/>
        <w:rPr>
          <w:rFonts w:hint="eastAsia" w:ascii="宋体" w:hAnsi="宋体" w:cs="宋体"/>
          <w:color w:val="auto"/>
          <w:highlight w:val="none"/>
        </w:rPr>
      </w:pPr>
    </w:p>
    <w:p w14:paraId="61DA8F7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18BE727E">
      <w:pPr>
        <w:snapToGrid w:val="0"/>
        <w:spacing w:line="360" w:lineRule="auto"/>
        <w:rPr>
          <w:rFonts w:hint="eastAsia" w:ascii="宋体" w:hAnsi="宋体" w:cs="宋体"/>
          <w:color w:val="auto"/>
          <w:highlight w:val="none"/>
        </w:rPr>
      </w:pPr>
      <w:r>
        <w:rPr>
          <w:rFonts w:hint="eastAsia" w:ascii="宋体" w:hAnsi="宋体" w:cs="宋体"/>
          <w:color w:val="auto"/>
          <w:highlight w:val="none"/>
        </w:rPr>
        <w:t>浙江省杭州市拱墅区半山街道杭玻阔板桥社区居民委员会、浙江正浩招标代理有限公司：</w:t>
      </w:r>
    </w:p>
    <w:p w14:paraId="5D3B1055">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我方参与</w:t>
      </w:r>
      <w:r>
        <w:rPr>
          <w:rFonts w:hint="eastAsia" w:ascii="宋体" w:hAnsi="宋体" w:cs="宋体"/>
          <w:color w:val="auto"/>
          <w:highlight w:val="none"/>
          <w:u w:val="single"/>
        </w:rPr>
        <w:t>（项目名称）</w:t>
      </w:r>
      <w:r>
        <w:rPr>
          <w:rFonts w:hint="eastAsia" w:ascii="宋体" w:hAnsi="宋体" w:cs="宋体"/>
          <w:color w:val="auto"/>
          <w:highlight w:val="none"/>
        </w:rPr>
        <w:t>【项目编号：（采购编号）】采购活动，郑重承诺：</w:t>
      </w:r>
    </w:p>
    <w:p w14:paraId="3DEE6E70">
      <w:pPr>
        <w:snapToGrid w:val="0"/>
        <w:spacing w:line="360" w:lineRule="auto"/>
        <w:ind w:firstLine="360" w:firstLineChars="150"/>
        <w:rPr>
          <w:rFonts w:hint="eastAsia" w:ascii="宋体" w:hAnsi="宋体" w:cs="宋体"/>
          <w:color w:val="auto"/>
          <w:highlight w:val="none"/>
        </w:rPr>
      </w:pPr>
      <w:r>
        <w:rPr>
          <w:rFonts w:hint="eastAsia" w:ascii="宋体" w:hAnsi="宋体" w:cs="宋体"/>
          <w:color w:val="auto"/>
          <w:highlight w:val="none"/>
        </w:rPr>
        <w:t>（一）具备以下条件：</w:t>
      </w:r>
    </w:p>
    <w:p w14:paraId="7F0F853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1、具有独立承担民事责任的能力；</w:t>
      </w:r>
    </w:p>
    <w:p w14:paraId="1175A61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14:paraId="69714214">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3、具有履行合同所必需的设备和专业技术能力；</w:t>
      </w:r>
    </w:p>
    <w:p w14:paraId="3900D9ED">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4、有依法缴纳税收和社会保障资金的良好记录；</w:t>
      </w:r>
    </w:p>
    <w:p w14:paraId="70B518B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6E81E01F">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6、具有法律、行政法规规定的其他条件。</w:t>
      </w:r>
    </w:p>
    <w:p w14:paraId="077FF595">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52FD1365">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（三）不存在以下情况：</w:t>
      </w:r>
    </w:p>
    <w:p w14:paraId="51DDE15B">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1、单位负责人为同一人或者存在直接控股、管理关系的不同供应商参加同一合同项下的采购活动的；</w:t>
      </w:r>
    </w:p>
    <w:p w14:paraId="481B4DD4">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14:paraId="5A859BD3">
      <w:pPr>
        <w:snapToGrid w:val="0"/>
        <w:spacing w:line="360" w:lineRule="auto"/>
        <w:ind w:firstLine="5520" w:firstLineChars="2300"/>
        <w:rPr>
          <w:rFonts w:hint="eastAsia" w:ascii="宋体" w:hAnsi="宋体" w:cs="宋体"/>
          <w:color w:val="auto"/>
          <w:kern w:val="0"/>
          <w:highlight w:val="none"/>
        </w:rPr>
      </w:pPr>
      <w:r>
        <w:rPr>
          <w:rFonts w:hint="eastAsia" w:ascii="宋体" w:hAnsi="宋体" w:cs="宋体"/>
          <w:color w:val="auto"/>
          <w:kern w:val="0"/>
          <w:highlight w:val="none"/>
          <w:lang w:val="zh-CN"/>
        </w:rPr>
        <w:t>供应商名称(电子签名)：</w:t>
      </w:r>
    </w:p>
    <w:p w14:paraId="52B7D760">
      <w:pPr>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71CE6307">
      <w:pPr>
        <w:snapToGrid w:val="0"/>
        <w:spacing w:line="360" w:lineRule="auto"/>
        <w:ind w:right="480"/>
        <w:jc w:val="center"/>
        <w:rPr>
          <w:rFonts w:hint="eastAsia" w:ascii="宋体" w:hAnsi="宋体" w:cs="宋体"/>
          <w:b/>
          <w:color w:val="auto"/>
          <w:kern w:val="0"/>
          <w:sz w:val="32"/>
          <w:szCs w:val="32"/>
          <w:highlight w:val="none"/>
        </w:rPr>
      </w:pPr>
    </w:p>
    <w:p w14:paraId="15B9E5A1">
      <w:pPr>
        <w:snapToGrid w:val="0"/>
        <w:spacing w:line="360" w:lineRule="auto"/>
        <w:ind w:right="480"/>
        <w:jc w:val="center"/>
        <w:rPr>
          <w:rFonts w:hint="eastAsia" w:ascii="宋体" w:hAnsi="宋体" w:cs="宋体"/>
          <w:b/>
          <w:color w:val="auto"/>
          <w:kern w:val="0"/>
          <w:sz w:val="32"/>
          <w:szCs w:val="32"/>
          <w:highlight w:val="none"/>
        </w:rPr>
      </w:pPr>
    </w:p>
    <w:p w14:paraId="17AAFC20">
      <w:pPr>
        <w:snapToGrid w:val="0"/>
        <w:spacing w:line="360" w:lineRule="auto"/>
        <w:ind w:right="480"/>
        <w:jc w:val="center"/>
        <w:rPr>
          <w:rFonts w:hint="eastAsia" w:ascii="宋体" w:hAnsi="宋体" w:cs="宋体"/>
          <w:b/>
          <w:color w:val="auto"/>
          <w:kern w:val="0"/>
          <w:sz w:val="32"/>
          <w:szCs w:val="32"/>
          <w:highlight w:val="none"/>
        </w:rPr>
      </w:pPr>
    </w:p>
    <w:p w14:paraId="159718AA">
      <w:pPr>
        <w:rPr>
          <w:rFonts w:hint="eastAsia" w:ascii="宋体" w:hAnsi="宋体" w:cs="宋体"/>
          <w:color w:val="auto"/>
          <w:highlight w:val="none"/>
        </w:rPr>
      </w:pPr>
    </w:p>
    <w:p w14:paraId="6099FEB5">
      <w:pPr>
        <w:snapToGrid w:val="0"/>
        <w:spacing w:line="360" w:lineRule="auto"/>
        <w:ind w:right="480"/>
        <w:jc w:val="center"/>
        <w:rPr>
          <w:rFonts w:hint="eastAsia" w:ascii="宋体" w:hAnsi="宋体" w:cs="宋体"/>
          <w:b/>
          <w:color w:val="auto"/>
          <w:kern w:val="0"/>
          <w:sz w:val="32"/>
          <w:szCs w:val="32"/>
          <w:highlight w:val="none"/>
        </w:rPr>
      </w:pPr>
    </w:p>
    <w:p w14:paraId="0ECD5480">
      <w:pPr>
        <w:snapToGrid w:val="0"/>
        <w:spacing w:line="360" w:lineRule="auto"/>
        <w:ind w:right="480"/>
        <w:jc w:val="center"/>
        <w:rPr>
          <w:rFonts w:hint="eastAsia" w:ascii="宋体" w:hAnsi="宋体" w:cs="宋体"/>
          <w:b/>
          <w:color w:val="auto"/>
          <w:kern w:val="0"/>
          <w:sz w:val="32"/>
          <w:szCs w:val="32"/>
          <w:highlight w:val="none"/>
        </w:rPr>
      </w:pPr>
    </w:p>
    <w:p w14:paraId="762F77CE">
      <w:pPr>
        <w:snapToGrid w:val="0"/>
        <w:spacing w:line="360" w:lineRule="auto"/>
        <w:ind w:right="480"/>
        <w:jc w:val="center"/>
        <w:rPr>
          <w:rFonts w:hint="eastAsia" w:ascii="宋体" w:hAnsi="宋体" w:cs="宋体"/>
          <w:b/>
          <w:color w:val="auto"/>
          <w:kern w:val="0"/>
          <w:sz w:val="32"/>
          <w:szCs w:val="32"/>
          <w:highlight w:val="none"/>
        </w:rPr>
      </w:pPr>
    </w:p>
    <w:p w14:paraId="16141AB7">
      <w:pPr>
        <w:widowControl/>
        <w:spacing w:line="360" w:lineRule="auto"/>
        <w:ind w:firstLine="643" w:firstLineChars="200"/>
        <w:jc w:val="center"/>
        <w:rPr>
          <w:rFonts w:hint="eastAsia" w:ascii="宋体" w:hAnsi="宋体" w:cs="宋体"/>
          <w:b/>
          <w:color w:val="auto"/>
          <w:kern w:val="0"/>
          <w:sz w:val="32"/>
          <w:szCs w:val="32"/>
          <w:highlight w:val="none"/>
        </w:rPr>
      </w:pPr>
    </w:p>
    <w:p w14:paraId="1C51A225">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C619BF">
      <w:pPr>
        <w:widowControl/>
        <w:spacing w:line="360" w:lineRule="auto"/>
        <w:ind w:firstLine="482" w:firstLineChars="200"/>
        <w:jc w:val="left"/>
        <w:rPr>
          <w:rFonts w:hint="eastAsia" w:ascii="宋体" w:hAnsi="宋体" w:cs="宋体"/>
          <w:b/>
          <w:color w:val="auto"/>
          <w:highlight w:val="none"/>
        </w:rPr>
      </w:pPr>
      <w:r>
        <w:rPr>
          <w:rFonts w:hint="eastAsia" w:ascii="宋体" w:hAnsi="宋体" w:cs="宋体"/>
          <w:b/>
          <w:color w:val="auto"/>
          <w:highlight w:val="none"/>
        </w:rPr>
        <w:t>[以联合体形式投标的，提供联合协议（附件5）；本项目不接受联合体投标或者供应商不以联合体形式投标的，则不需要提供]</w:t>
      </w:r>
    </w:p>
    <w:p w14:paraId="04D65FA0">
      <w:pPr>
        <w:snapToGrid w:val="0"/>
        <w:spacing w:line="360" w:lineRule="auto"/>
        <w:ind w:right="480"/>
        <w:jc w:val="center"/>
        <w:rPr>
          <w:rFonts w:hint="eastAsia" w:ascii="宋体" w:hAnsi="宋体" w:cs="宋体"/>
          <w:b/>
          <w:color w:val="auto"/>
          <w:kern w:val="0"/>
          <w:sz w:val="32"/>
          <w:szCs w:val="32"/>
          <w:highlight w:val="none"/>
        </w:rPr>
      </w:pPr>
    </w:p>
    <w:p w14:paraId="2F1F2930">
      <w:pPr>
        <w:snapToGrid w:val="0"/>
        <w:spacing w:line="360" w:lineRule="auto"/>
        <w:ind w:right="480"/>
        <w:jc w:val="center"/>
        <w:rPr>
          <w:rFonts w:hint="eastAsia" w:ascii="宋体" w:hAnsi="宋体" w:cs="宋体"/>
          <w:b/>
          <w:color w:val="auto"/>
          <w:kern w:val="0"/>
          <w:sz w:val="32"/>
          <w:szCs w:val="32"/>
          <w:highlight w:val="none"/>
        </w:rPr>
      </w:pPr>
    </w:p>
    <w:p w14:paraId="597BD96A">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7F5090EE">
      <w:pPr>
        <w:spacing w:line="360" w:lineRule="auto"/>
        <w:jc w:val="center"/>
        <w:rPr>
          <w:rFonts w:hint="eastAsia" w:ascii="宋体" w:hAnsi="宋体" w:cs="宋体"/>
          <w:color w:val="auto"/>
          <w:highlight w:val="none"/>
        </w:rPr>
      </w:pPr>
      <w:r>
        <w:rPr>
          <w:rFonts w:hint="eastAsia" w:ascii="宋体" w:hAnsi="宋体" w:cs="宋体"/>
          <w:color w:val="auto"/>
          <w:highlight w:val="none"/>
        </w:rPr>
        <w:t>（根据招标公告本项目的特定资格要求提供相应的材料；未要求的，无需提供）</w:t>
      </w:r>
    </w:p>
    <w:p w14:paraId="50D505AD">
      <w:pPr>
        <w:rPr>
          <w:rFonts w:hint="eastAsia" w:ascii="宋体" w:hAnsi="宋体" w:cs="宋体"/>
          <w:color w:val="auto"/>
          <w:highlight w:val="none"/>
        </w:rPr>
      </w:pPr>
    </w:p>
    <w:p w14:paraId="1747AA9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3676C05">
      <w:pPr>
        <w:pStyle w:val="3"/>
        <w:jc w:val="center"/>
        <w:rPr>
          <w:rFonts w:hint="eastAsia"/>
          <w:color w:val="auto"/>
          <w:highlight w:val="none"/>
        </w:rPr>
      </w:pPr>
      <w:r>
        <w:rPr>
          <w:rFonts w:hint="eastAsia"/>
          <w:color w:val="auto"/>
          <w:highlight w:val="none"/>
        </w:rPr>
        <w:t>商务技术文件部分</w:t>
      </w:r>
    </w:p>
    <w:p w14:paraId="21A7D283">
      <w:pPr>
        <w:jc w:val="center"/>
        <w:rPr>
          <w:b/>
          <w:bCs/>
          <w:color w:val="auto"/>
          <w:sz w:val="30"/>
          <w:szCs w:val="30"/>
          <w:highlight w:val="none"/>
        </w:rPr>
      </w:pPr>
      <w:r>
        <w:rPr>
          <w:rFonts w:hint="eastAsia"/>
          <w:b/>
          <w:bCs/>
          <w:color w:val="auto"/>
          <w:sz w:val="30"/>
          <w:szCs w:val="30"/>
          <w:highlight w:val="none"/>
        </w:rPr>
        <w:t>目录</w:t>
      </w:r>
    </w:p>
    <w:p w14:paraId="3E43A523">
      <w:pPr>
        <w:pStyle w:val="11"/>
        <w:ind w:left="-410" w:right="-586" w:firstLine="430"/>
        <w:rPr>
          <w:color w:val="auto"/>
          <w:highlight w:val="none"/>
        </w:rPr>
      </w:pPr>
    </w:p>
    <w:p w14:paraId="4422F65F">
      <w:pPr>
        <w:snapToGrid w:val="0"/>
        <w:spacing w:line="360" w:lineRule="auto"/>
        <w:ind w:left="547" w:leftChars="228"/>
        <w:rPr>
          <w:rFonts w:hint="eastAsia" w:ascii="宋体" w:hAnsi="宋体" w:cs="宋体"/>
          <w:color w:val="auto"/>
          <w:highlight w:val="none"/>
        </w:rPr>
      </w:pPr>
      <w:r>
        <w:rPr>
          <w:rFonts w:hint="eastAsia" w:ascii="宋体" w:hAnsi="宋体" w:cs="宋体"/>
          <w:color w:val="auto"/>
          <w:highlight w:val="none"/>
        </w:rPr>
        <w:t>（1）投标函………………………………………………………………………（页码）（2）授权委托书或法定代表人（单位负责人）身份证明……………………（页码）</w:t>
      </w:r>
    </w:p>
    <w:p w14:paraId="0C527F5E">
      <w:pPr>
        <w:snapToGrid w:val="0"/>
        <w:spacing w:line="360" w:lineRule="auto"/>
        <w:ind w:left="547" w:leftChars="228"/>
        <w:rPr>
          <w:rFonts w:hint="eastAsia" w:ascii="宋体" w:hAnsi="宋体" w:cs="宋体"/>
          <w:color w:val="auto"/>
          <w:highlight w:val="none"/>
        </w:rPr>
      </w:pPr>
      <w:r>
        <w:rPr>
          <w:rFonts w:hint="eastAsia" w:ascii="宋体" w:hAnsi="宋体" w:cs="宋体"/>
          <w:color w:val="auto"/>
          <w:highlight w:val="none"/>
        </w:rPr>
        <w:t>（3）分包意向协议………………………………………………………………（页码）</w:t>
      </w:r>
    </w:p>
    <w:p w14:paraId="53ECFF5B">
      <w:pPr>
        <w:snapToGrid w:val="0"/>
        <w:spacing w:line="360" w:lineRule="auto"/>
        <w:ind w:left="547" w:leftChars="228"/>
        <w:rPr>
          <w:rFonts w:hint="eastAsia" w:ascii="宋体" w:hAnsi="宋体" w:cs="宋体"/>
          <w:color w:val="auto"/>
          <w:highlight w:val="none"/>
        </w:rPr>
      </w:pPr>
      <w:r>
        <w:rPr>
          <w:rFonts w:hint="eastAsia" w:ascii="宋体" w:hAnsi="宋体" w:cs="宋体"/>
          <w:color w:val="auto"/>
          <w:highlight w:val="none"/>
        </w:rPr>
        <w:t>（4）符合性审查资料……………………………………………………………（页码）</w:t>
      </w:r>
    </w:p>
    <w:p w14:paraId="460D2777">
      <w:pPr>
        <w:snapToGrid w:val="0"/>
        <w:spacing w:line="360" w:lineRule="auto"/>
        <w:ind w:left="547" w:leftChars="228"/>
        <w:rPr>
          <w:rFonts w:hint="eastAsia" w:ascii="宋体" w:hAnsi="宋体" w:cs="宋体"/>
          <w:color w:val="auto"/>
          <w:highlight w:val="none"/>
        </w:rPr>
      </w:pPr>
      <w:r>
        <w:rPr>
          <w:rFonts w:hint="eastAsia" w:ascii="宋体" w:hAnsi="宋体" w:cs="宋体"/>
          <w:color w:val="auto"/>
          <w:highlight w:val="none"/>
        </w:rPr>
        <w:t>（5）评审标准相应的商务技术资料……………………………………………（页码）（6）投标标的清单………………………………………………………………（页码）（7）商务技术偏离表……………………………………………………………（页码）</w:t>
      </w:r>
    </w:p>
    <w:p w14:paraId="01AFDF2B">
      <w:pPr>
        <w:snapToGrid w:val="0"/>
        <w:spacing w:line="360" w:lineRule="auto"/>
        <w:ind w:left="547" w:leftChars="228"/>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）采购供应商廉洁自律承诺书</w:t>
      </w:r>
      <w:r>
        <w:rPr>
          <w:rFonts w:hint="eastAsia" w:ascii="宋体" w:hAnsi="宋体" w:cs="宋体"/>
          <w:color w:val="auto"/>
          <w:highlight w:val="none"/>
        </w:rPr>
        <w:t>………………………………………………（页码）</w:t>
      </w:r>
    </w:p>
    <w:p w14:paraId="53112D6A">
      <w:pPr>
        <w:rPr>
          <w:color w:val="auto"/>
          <w:highlight w:val="none"/>
        </w:rPr>
      </w:pPr>
    </w:p>
    <w:p w14:paraId="55082F9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15F2B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一、投标函</w:t>
      </w:r>
    </w:p>
    <w:p w14:paraId="030E42C9">
      <w:pPr>
        <w:snapToGrid w:val="0"/>
        <w:spacing w:line="360" w:lineRule="auto"/>
        <w:rPr>
          <w:rFonts w:hint="eastAsia" w:ascii="宋体" w:hAnsi="宋体" w:cs="宋体"/>
          <w:color w:val="auto"/>
          <w:highlight w:val="none"/>
        </w:rPr>
      </w:pPr>
      <w:r>
        <w:rPr>
          <w:rFonts w:hint="eastAsia" w:ascii="宋体" w:hAnsi="宋体" w:cs="宋体"/>
          <w:color w:val="auto"/>
          <w:highlight w:val="none"/>
        </w:rPr>
        <w:t>浙江省杭州市拱墅区半山街道杭玻阔板桥社区居民委员会、浙江正浩招标代理有限公司：</w:t>
      </w:r>
    </w:p>
    <w:p w14:paraId="5524D1BD">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我方参加你方组织的</w:t>
      </w:r>
      <w:r>
        <w:rPr>
          <w:rFonts w:hint="eastAsia" w:ascii="宋体" w:hAnsi="宋体" w:cs="宋体"/>
          <w:color w:val="auto"/>
          <w:highlight w:val="none"/>
          <w:u w:val="single"/>
        </w:rPr>
        <w:t>（项目名称）</w:t>
      </w:r>
      <w:r>
        <w:rPr>
          <w:rFonts w:hint="eastAsia" w:ascii="宋体" w:hAnsi="宋体" w:cs="宋体"/>
          <w:color w:val="auto"/>
          <w:highlight w:val="none"/>
        </w:rPr>
        <w:t>【项目编号：（采购编号）】采购的有关活动，并对此项目进行投标。为此：</w:t>
      </w:r>
    </w:p>
    <w:p w14:paraId="008F2CC3">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0FB4EAF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2、我方的投标文件包括以下内容：</w:t>
      </w:r>
    </w:p>
    <w:p w14:paraId="2AA5D893">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2.1资格文件：</w:t>
      </w:r>
    </w:p>
    <w:p w14:paraId="37724726">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2.1.1承诺函；</w:t>
      </w:r>
    </w:p>
    <w:p w14:paraId="3620406E">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2.1.2</w:t>
      </w:r>
      <w:r>
        <w:rPr>
          <w:rFonts w:hint="eastAsia" w:ascii="宋体" w:hAnsi="宋体" w:cs="宋体"/>
          <w:snapToGrid w:val="0"/>
          <w:color w:val="auto"/>
          <w:kern w:val="28"/>
          <w:szCs w:val="20"/>
          <w:highlight w:val="none"/>
        </w:rPr>
        <w:t>联合协议（如果有)；</w:t>
      </w:r>
    </w:p>
    <w:p w14:paraId="0E548000">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2.1.3本项目的特定资格要求</w:t>
      </w:r>
      <w:r>
        <w:rPr>
          <w:rFonts w:hint="eastAsia" w:ascii="宋体" w:hAnsi="宋体" w:cs="宋体"/>
          <w:snapToGrid w:val="0"/>
          <w:color w:val="auto"/>
          <w:kern w:val="28"/>
          <w:szCs w:val="20"/>
          <w:highlight w:val="none"/>
        </w:rPr>
        <w:t>（如果有）</w:t>
      </w:r>
      <w:r>
        <w:rPr>
          <w:rFonts w:hint="eastAsia" w:ascii="宋体" w:hAnsi="宋体" w:cs="宋体"/>
          <w:color w:val="auto"/>
          <w:highlight w:val="none"/>
        </w:rPr>
        <w:t>。</w:t>
      </w:r>
    </w:p>
    <w:p w14:paraId="5ABF30C7">
      <w:pPr>
        <w:snapToGrid w:val="0"/>
        <w:spacing w:line="360" w:lineRule="auto"/>
        <w:ind w:left="240" w:leftChars="100" w:firstLine="480" w:firstLineChars="20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 xml:space="preserve"> </w:t>
      </w:r>
      <w:r>
        <w:rPr>
          <w:rFonts w:hint="eastAsia" w:ascii="宋体" w:hAnsi="宋体" w:cs="宋体"/>
          <w:color w:val="auto"/>
          <w:highlight w:val="none"/>
        </w:rPr>
        <w:t>商务技术</w:t>
      </w:r>
      <w:r>
        <w:rPr>
          <w:rFonts w:hint="eastAsia" w:ascii="宋体" w:hAnsi="宋体" w:cs="宋体"/>
          <w:color w:val="auto"/>
          <w:highlight w:val="none"/>
          <w:lang w:val="zh-CN"/>
        </w:rPr>
        <w:t>文件：</w:t>
      </w:r>
    </w:p>
    <w:p w14:paraId="73BF25A5">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2.2.1投标函；</w:t>
      </w:r>
      <w:r>
        <w:rPr>
          <w:rFonts w:hint="eastAsia" w:ascii="宋体" w:hAnsi="宋体" w:cs="宋体"/>
          <w:color w:val="auto"/>
          <w:highlight w:val="none"/>
          <w:lang w:val="zh-CN"/>
        </w:rPr>
        <w:t xml:space="preserve"> </w:t>
      </w:r>
    </w:p>
    <w:p w14:paraId="0714259A">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2.2.2授权委托书或法定代表人（单位负责人）身份证明；</w:t>
      </w:r>
    </w:p>
    <w:p w14:paraId="2AF345C3">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w:t>
      </w:r>
      <w:r>
        <w:rPr>
          <w:rFonts w:ascii="宋体" w:hAnsi="宋体" w:cs="宋体"/>
          <w:color w:val="auto"/>
          <w:highlight w:val="none"/>
        </w:rPr>
        <w:t>3</w:t>
      </w:r>
      <w:r>
        <w:rPr>
          <w:rFonts w:hint="eastAsia" w:ascii="宋体" w:hAnsi="宋体" w:cs="宋体"/>
          <w:color w:val="auto"/>
          <w:highlight w:val="none"/>
        </w:rPr>
        <w:t>分包意向协议</w:t>
      </w:r>
      <w:r>
        <w:rPr>
          <w:rFonts w:hint="eastAsia" w:ascii="宋体" w:hAnsi="宋体" w:cs="宋体"/>
          <w:snapToGrid w:val="0"/>
          <w:color w:val="auto"/>
          <w:kern w:val="28"/>
          <w:szCs w:val="20"/>
          <w:highlight w:val="none"/>
        </w:rPr>
        <w:t>（如果有）</w:t>
      </w:r>
      <w:r>
        <w:rPr>
          <w:rFonts w:hint="eastAsia" w:ascii="宋体" w:hAnsi="宋体" w:cs="宋体"/>
          <w:color w:val="auto"/>
          <w:highlight w:val="none"/>
        </w:rPr>
        <w:t>；</w:t>
      </w:r>
    </w:p>
    <w:p w14:paraId="51C801E3">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w:t>
      </w:r>
      <w:r>
        <w:rPr>
          <w:rFonts w:ascii="宋体" w:hAnsi="宋体" w:cs="宋体"/>
          <w:color w:val="auto"/>
          <w:highlight w:val="none"/>
        </w:rPr>
        <w:t>4</w:t>
      </w:r>
      <w:r>
        <w:rPr>
          <w:rFonts w:hint="eastAsia" w:ascii="宋体" w:hAnsi="宋体" w:cs="宋体"/>
          <w:color w:val="auto"/>
          <w:highlight w:val="none"/>
        </w:rPr>
        <w:t>符合性审查资料；</w:t>
      </w:r>
    </w:p>
    <w:p w14:paraId="00FD3637">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w:t>
      </w:r>
      <w:r>
        <w:rPr>
          <w:rFonts w:ascii="宋体" w:hAnsi="宋体" w:cs="宋体"/>
          <w:color w:val="auto"/>
          <w:highlight w:val="none"/>
        </w:rPr>
        <w:t>5</w:t>
      </w:r>
      <w:r>
        <w:rPr>
          <w:rFonts w:hint="eastAsia" w:ascii="宋体" w:hAnsi="宋体" w:cs="宋体"/>
          <w:color w:val="auto"/>
          <w:highlight w:val="none"/>
        </w:rPr>
        <w:t>评审标准相应的商务技术资料；</w:t>
      </w:r>
    </w:p>
    <w:p w14:paraId="0D1579CE">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w:t>
      </w:r>
      <w:r>
        <w:rPr>
          <w:rFonts w:ascii="宋体" w:hAnsi="宋体" w:cs="宋体"/>
          <w:color w:val="auto"/>
          <w:highlight w:val="none"/>
        </w:rPr>
        <w:t>6</w:t>
      </w:r>
      <w:r>
        <w:rPr>
          <w:rFonts w:hint="eastAsia" w:ascii="宋体" w:hAnsi="宋体" w:cs="宋体"/>
          <w:color w:val="auto"/>
          <w:highlight w:val="none"/>
        </w:rPr>
        <w:t>投标标的清单；</w:t>
      </w:r>
    </w:p>
    <w:p w14:paraId="0BEE928E">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2.2.</w:t>
      </w:r>
      <w:r>
        <w:rPr>
          <w:rFonts w:ascii="宋体" w:hAnsi="宋体" w:cs="宋体"/>
          <w:color w:val="auto"/>
          <w:highlight w:val="none"/>
        </w:rPr>
        <w:t>7</w:t>
      </w:r>
      <w:r>
        <w:rPr>
          <w:rFonts w:hint="eastAsia" w:ascii="宋体" w:hAnsi="宋体" w:cs="宋体"/>
          <w:color w:val="auto"/>
          <w:highlight w:val="none"/>
        </w:rPr>
        <w:t>商务技术偏离表；</w:t>
      </w:r>
    </w:p>
    <w:p w14:paraId="5A7911D6">
      <w:pPr>
        <w:snapToGrid w:val="0"/>
        <w:spacing w:line="360" w:lineRule="auto"/>
        <w:ind w:left="480" w:leftChars="200" w:firstLine="480" w:firstLineChars="20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w:t>
      </w:r>
      <w:r>
        <w:rPr>
          <w:rFonts w:ascii="宋体" w:hAnsi="宋体" w:cs="宋体"/>
          <w:color w:val="auto"/>
          <w:highlight w:val="none"/>
        </w:rPr>
        <w:t>8</w:t>
      </w:r>
      <w:r>
        <w:rPr>
          <w:rFonts w:hint="eastAsia" w:ascii="宋体" w:hAnsi="宋体" w:cs="宋体"/>
          <w:color w:val="auto"/>
          <w:highlight w:val="none"/>
          <w:lang w:val="zh-CN"/>
        </w:rPr>
        <w:t>采购供应商廉洁自律承诺书；</w:t>
      </w:r>
    </w:p>
    <w:p w14:paraId="71AE226E">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3报价文件</w:t>
      </w:r>
    </w:p>
    <w:p w14:paraId="406BDCD5">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2.3.1开标一览表（报价表）；</w:t>
      </w:r>
    </w:p>
    <w:p w14:paraId="0503AF6C">
      <w:pPr>
        <w:snapToGrid w:val="0"/>
        <w:spacing w:line="360" w:lineRule="auto"/>
        <w:ind w:left="480" w:leftChars="200" w:firstLine="480" w:firstLineChars="200"/>
        <w:rPr>
          <w:rFonts w:hint="eastAsia" w:ascii="宋体" w:hAnsi="宋体" w:cs="宋体"/>
          <w:color w:val="auto"/>
          <w:highlight w:val="none"/>
        </w:rPr>
      </w:pPr>
      <w:r>
        <w:rPr>
          <w:rFonts w:hint="eastAsia" w:ascii="宋体" w:hAnsi="宋体" w:cs="宋体"/>
          <w:color w:val="auto"/>
          <w:highlight w:val="none"/>
        </w:rPr>
        <w:t>2.3.2报价明细表；</w:t>
      </w:r>
    </w:p>
    <w:p w14:paraId="796D861E">
      <w:pPr>
        <w:snapToGrid w:val="0"/>
        <w:spacing w:line="360" w:lineRule="auto"/>
        <w:ind w:left="480" w:leftChars="200" w:firstLine="480" w:firstLineChars="200"/>
        <w:rPr>
          <w:rFonts w:eastAsia="仿宋_GB2312"/>
          <w:color w:val="auto"/>
          <w:highlight w:val="none"/>
        </w:rPr>
      </w:pPr>
      <w:r>
        <w:rPr>
          <w:rFonts w:hint="eastAsia" w:ascii="宋体" w:hAnsi="宋体" w:cs="宋体"/>
          <w:color w:val="auto"/>
          <w:highlight w:val="none"/>
        </w:rPr>
        <w:t>2.3.3 报价情况说明（如果有）。</w:t>
      </w:r>
    </w:p>
    <w:p w14:paraId="79BF1C77">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3、我方承诺除商务技术偏离表列出的偏离外，我方投标采购文件的全部要求。对投标文件中材料的真实性、合法性负责。</w:t>
      </w:r>
    </w:p>
    <w:p w14:paraId="33B3ECE7">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4、如我方成为中标供应商，我方承诺：</w:t>
      </w:r>
    </w:p>
    <w:p w14:paraId="18943482">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 xml:space="preserve">4.1在收到中标确认通知书后，在通知书规定的期限内与你方签订合同； </w:t>
      </w:r>
    </w:p>
    <w:p w14:paraId="08AF29DC">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 xml:space="preserve">4.2在签订合同时不向你方提出附加条件； </w:t>
      </w:r>
    </w:p>
    <w:p w14:paraId="42E58D1A">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 xml:space="preserve">4.3按照采购文件要求提交履约保证金； </w:t>
      </w:r>
    </w:p>
    <w:p w14:paraId="7B62F06A">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 xml:space="preserve">4.4在合同约定的期限内完成合同规定的全部义务。 </w:t>
      </w:r>
    </w:p>
    <w:p w14:paraId="1DAE07C6">
      <w:pPr>
        <w:snapToGrid w:val="0"/>
        <w:spacing w:line="360" w:lineRule="auto"/>
        <w:ind w:left="240" w:leftChars="100" w:firstLine="480" w:firstLineChars="200"/>
        <w:rPr>
          <w:rFonts w:hint="eastAsia" w:ascii="宋体" w:hAnsi="宋体" w:cs="宋体"/>
          <w:color w:val="auto"/>
          <w:highlight w:val="none"/>
        </w:rPr>
      </w:pPr>
      <w:r>
        <w:rPr>
          <w:rFonts w:hint="eastAsia" w:ascii="宋体" w:hAnsi="宋体" w:cs="宋体"/>
          <w:color w:val="auto"/>
          <w:highlight w:val="none"/>
        </w:rPr>
        <w:t>5、其他补充说明: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6CF4BF">
      <w:pPr>
        <w:spacing w:line="360" w:lineRule="auto"/>
        <w:ind w:firstLine="3600" w:firstLineChars="1500"/>
        <w:rPr>
          <w:rFonts w:hint="eastAsia" w:ascii="宋体" w:hAnsi="宋体" w:cs="宋体"/>
          <w:color w:val="auto"/>
          <w:highlight w:val="none"/>
        </w:rPr>
      </w:pPr>
      <w:r>
        <w:rPr>
          <w:rFonts w:hint="eastAsia" w:ascii="宋体" w:hAnsi="宋体" w:cs="宋体"/>
          <w:color w:val="auto"/>
          <w:highlight w:val="none"/>
        </w:rPr>
        <w:t xml:space="preserve">供应商名称（电子签名）：                          </w:t>
      </w:r>
    </w:p>
    <w:p w14:paraId="46F6179B">
      <w:pPr>
        <w:spacing w:line="360" w:lineRule="auto"/>
        <w:jc w:val="center"/>
        <w:rPr>
          <w:rFonts w:hint="eastAsia" w:ascii="宋体" w:hAnsi="宋体" w:cs="宋体"/>
          <w:color w:val="auto"/>
          <w:highlight w:val="none"/>
        </w:rPr>
      </w:pPr>
      <w:r>
        <w:rPr>
          <w:rFonts w:hint="eastAsia" w:ascii="宋体" w:hAnsi="宋体" w:cs="宋体"/>
          <w:color w:val="auto"/>
          <w:highlight w:val="none"/>
        </w:rPr>
        <w:t xml:space="preserve">     日期：  年   月   日</w:t>
      </w:r>
    </w:p>
    <w:p w14:paraId="69F47570">
      <w:pPr>
        <w:snapToGrid w:val="0"/>
        <w:spacing w:line="360" w:lineRule="auto"/>
        <w:ind w:left="480" w:leftChars="200" w:firstLine="4200" w:firstLineChars="1750"/>
        <w:rPr>
          <w:rFonts w:hint="eastAsia" w:ascii="宋体" w:hAnsi="宋体" w:cs="宋体"/>
          <w:color w:val="auto"/>
          <w:kern w:val="0"/>
          <w:highlight w:val="none"/>
          <w:u w:val="single"/>
        </w:rPr>
      </w:pPr>
    </w:p>
    <w:p w14:paraId="624A4B9D">
      <w:pPr>
        <w:spacing w:line="360" w:lineRule="auto"/>
        <w:ind w:right="420"/>
        <w:rPr>
          <w:rFonts w:hint="eastAsia" w:ascii="宋体" w:hAnsi="宋体" w:cs="宋体"/>
          <w:color w:val="auto"/>
          <w:highlight w:val="none"/>
        </w:rPr>
      </w:pPr>
      <w:r>
        <w:rPr>
          <w:rFonts w:hint="eastAsia" w:ascii="宋体" w:hAnsi="宋体" w:cs="宋体"/>
          <w:color w:val="auto"/>
          <w:highlight w:val="none"/>
        </w:rPr>
        <w:t>注：按本格式和要求提供。</w:t>
      </w:r>
    </w:p>
    <w:p w14:paraId="57439E86">
      <w:pPr>
        <w:snapToGrid w:val="0"/>
        <w:spacing w:line="360" w:lineRule="auto"/>
        <w:jc w:val="center"/>
        <w:rPr>
          <w:rFonts w:hint="eastAsia" w:ascii="宋体" w:hAnsi="宋体" w:cs="宋体"/>
          <w:b/>
          <w:color w:val="auto"/>
          <w:kern w:val="0"/>
          <w:sz w:val="32"/>
          <w:szCs w:val="32"/>
          <w:highlight w:val="none"/>
        </w:rPr>
      </w:pPr>
    </w:p>
    <w:p w14:paraId="58256860">
      <w:pPr>
        <w:snapToGrid w:val="0"/>
        <w:spacing w:line="360" w:lineRule="auto"/>
        <w:rPr>
          <w:rFonts w:hint="eastAsia" w:ascii="宋体" w:hAnsi="宋体" w:cs="宋体"/>
          <w:color w:val="auto"/>
          <w:highlight w:val="none"/>
        </w:rPr>
      </w:pPr>
    </w:p>
    <w:p w14:paraId="2E2201B8">
      <w:pPr>
        <w:jc w:val="center"/>
        <w:rPr>
          <w:rFonts w:hint="eastAsia" w:ascii="宋体" w:hAnsi="宋体" w:cs="宋体"/>
          <w:b/>
          <w:color w:val="auto"/>
          <w:kern w:val="0"/>
          <w:sz w:val="32"/>
          <w:szCs w:val="32"/>
          <w:highlight w:val="none"/>
        </w:rPr>
      </w:pPr>
    </w:p>
    <w:p w14:paraId="69A8B753">
      <w:pPr>
        <w:jc w:val="center"/>
        <w:rPr>
          <w:rFonts w:hint="eastAsia" w:ascii="宋体" w:hAnsi="宋体" w:cs="宋体"/>
          <w:b/>
          <w:color w:val="auto"/>
          <w:kern w:val="0"/>
          <w:sz w:val="32"/>
          <w:szCs w:val="32"/>
          <w:highlight w:val="none"/>
        </w:rPr>
      </w:pPr>
    </w:p>
    <w:p w14:paraId="088DCFEF">
      <w:pPr>
        <w:jc w:val="center"/>
        <w:rPr>
          <w:rFonts w:hint="eastAsia" w:ascii="宋体" w:hAnsi="宋体" w:cs="宋体"/>
          <w:b/>
          <w:color w:val="auto"/>
          <w:kern w:val="0"/>
          <w:sz w:val="32"/>
          <w:szCs w:val="32"/>
          <w:highlight w:val="none"/>
        </w:rPr>
      </w:pPr>
    </w:p>
    <w:p w14:paraId="436EC310">
      <w:pPr>
        <w:jc w:val="center"/>
        <w:rPr>
          <w:rFonts w:hint="eastAsia" w:ascii="宋体" w:hAnsi="宋体" w:cs="宋体"/>
          <w:b/>
          <w:color w:val="auto"/>
          <w:kern w:val="0"/>
          <w:sz w:val="32"/>
          <w:szCs w:val="32"/>
          <w:highlight w:val="none"/>
        </w:rPr>
      </w:pPr>
    </w:p>
    <w:p w14:paraId="0B3E2258">
      <w:pPr>
        <w:jc w:val="center"/>
        <w:rPr>
          <w:rFonts w:hint="eastAsia" w:ascii="宋体" w:hAnsi="宋体" w:cs="宋体"/>
          <w:b/>
          <w:color w:val="auto"/>
          <w:kern w:val="0"/>
          <w:sz w:val="32"/>
          <w:szCs w:val="32"/>
          <w:highlight w:val="none"/>
        </w:rPr>
      </w:pPr>
    </w:p>
    <w:p w14:paraId="69B8422A">
      <w:pPr>
        <w:jc w:val="center"/>
        <w:rPr>
          <w:rFonts w:hint="eastAsia" w:ascii="宋体" w:hAnsi="宋体" w:cs="宋体"/>
          <w:b/>
          <w:color w:val="auto"/>
          <w:kern w:val="0"/>
          <w:sz w:val="32"/>
          <w:szCs w:val="32"/>
          <w:highlight w:val="none"/>
        </w:rPr>
      </w:pPr>
    </w:p>
    <w:p w14:paraId="5CCF27F0">
      <w:pPr>
        <w:jc w:val="center"/>
        <w:rPr>
          <w:rFonts w:hint="eastAsia" w:ascii="宋体" w:hAnsi="宋体" w:cs="宋体"/>
          <w:b/>
          <w:color w:val="auto"/>
          <w:kern w:val="0"/>
          <w:sz w:val="32"/>
          <w:szCs w:val="32"/>
          <w:highlight w:val="none"/>
        </w:rPr>
      </w:pPr>
    </w:p>
    <w:p w14:paraId="123C047F">
      <w:pPr>
        <w:jc w:val="center"/>
        <w:rPr>
          <w:rFonts w:hint="eastAsia" w:ascii="宋体" w:hAnsi="宋体" w:cs="宋体"/>
          <w:b/>
          <w:color w:val="auto"/>
          <w:kern w:val="0"/>
          <w:sz w:val="32"/>
          <w:szCs w:val="32"/>
          <w:highlight w:val="none"/>
        </w:rPr>
      </w:pPr>
    </w:p>
    <w:p w14:paraId="23853B9A">
      <w:pPr>
        <w:jc w:val="center"/>
        <w:rPr>
          <w:rFonts w:hint="eastAsia" w:ascii="宋体" w:hAnsi="宋体" w:cs="宋体"/>
          <w:b/>
          <w:color w:val="auto"/>
          <w:kern w:val="0"/>
          <w:sz w:val="32"/>
          <w:szCs w:val="32"/>
          <w:highlight w:val="none"/>
        </w:rPr>
      </w:pPr>
    </w:p>
    <w:p w14:paraId="494C5704">
      <w:pPr>
        <w:jc w:val="center"/>
        <w:rPr>
          <w:rFonts w:hint="eastAsia" w:ascii="宋体" w:hAnsi="宋体" w:cs="宋体"/>
          <w:b/>
          <w:color w:val="auto"/>
          <w:kern w:val="0"/>
          <w:sz w:val="32"/>
          <w:szCs w:val="32"/>
          <w:highlight w:val="none"/>
        </w:rPr>
      </w:pPr>
    </w:p>
    <w:p w14:paraId="10B306A7">
      <w:pPr>
        <w:jc w:val="center"/>
        <w:rPr>
          <w:rFonts w:hint="eastAsia" w:ascii="宋体" w:hAnsi="宋体" w:cs="宋体"/>
          <w:b/>
          <w:color w:val="auto"/>
          <w:kern w:val="0"/>
          <w:sz w:val="32"/>
          <w:szCs w:val="32"/>
          <w:highlight w:val="none"/>
        </w:rPr>
      </w:pPr>
    </w:p>
    <w:p w14:paraId="3F12F21C">
      <w:pPr>
        <w:jc w:val="center"/>
        <w:rPr>
          <w:rFonts w:hint="eastAsia" w:ascii="宋体" w:hAnsi="宋体" w:cs="宋体"/>
          <w:b/>
          <w:color w:val="auto"/>
          <w:kern w:val="0"/>
          <w:sz w:val="32"/>
          <w:szCs w:val="32"/>
          <w:highlight w:val="none"/>
        </w:rPr>
      </w:pPr>
    </w:p>
    <w:p w14:paraId="54DEF3E9">
      <w:pPr>
        <w:jc w:val="center"/>
        <w:rPr>
          <w:rFonts w:hint="eastAsia" w:ascii="宋体" w:hAnsi="宋体" w:cs="宋体"/>
          <w:b/>
          <w:color w:val="auto"/>
          <w:kern w:val="0"/>
          <w:sz w:val="32"/>
          <w:szCs w:val="32"/>
          <w:highlight w:val="none"/>
        </w:rPr>
      </w:pPr>
    </w:p>
    <w:p w14:paraId="08402663">
      <w:pPr>
        <w:jc w:val="center"/>
        <w:rPr>
          <w:rFonts w:hint="eastAsia" w:ascii="宋体" w:hAnsi="宋体" w:cs="宋体"/>
          <w:b/>
          <w:color w:val="auto"/>
          <w:kern w:val="0"/>
          <w:sz w:val="32"/>
          <w:szCs w:val="32"/>
          <w:highlight w:val="none"/>
        </w:rPr>
      </w:pPr>
    </w:p>
    <w:p w14:paraId="200D574B">
      <w:pPr>
        <w:jc w:val="center"/>
        <w:rPr>
          <w:rFonts w:hint="eastAsia" w:ascii="宋体" w:hAnsi="宋体" w:cs="宋体"/>
          <w:b/>
          <w:color w:val="auto"/>
          <w:kern w:val="0"/>
          <w:sz w:val="32"/>
          <w:szCs w:val="32"/>
          <w:highlight w:val="none"/>
        </w:rPr>
      </w:pPr>
    </w:p>
    <w:p w14:paraId="3ADA9BFB">
      <w:pPr>
        <w:jc w:val="center"/>
        <w:rPr>
          <w:rFonts w:hint="eastAsia" w:ascii="宋体" w:hAnsi="宋体" w:cs="宋体"/>
          <w:b/>
          <w:color w:val="auto"/>
          <w:kern w:val="0"/>
          <w:sz w:val="32"/>
          <w:szCs w:val="32"/>
          <w:highlight w:val="none"/>
        </w:rPr>
      </w:pPr>
    </w:p>
    <w:p w14:paraId="6F9ECDD0">
      <w:pPr>
        <w:jc w:val="center"/>
        <w:rPr>
          <w:rFonts w:hint="eastAsia" w:ascii="宋体" w:hAnsi="宋体" w:cs="宋体"/>
          <w:b/>
          <w:color w:val="auto"/>
          <w:kern w:val="0"/>
          <w:sz w:val="32"/>
          <w:szCs w:val="32"/>
          <w:highlight w:val="none"/>
        </w:rPr>
      </w:pPr>
    </w:p>
    <w:p w14:paraId="3A4A9867">
      <w:pPr>
        <w:jc w:val="center"/>
        <w:rPr>
          <w:rFonts w:hint="eastAsia" w:ascii="宋体" w:hAnsi="宋体" w:cs="宋体"/>
          <w:b/>
          <w:color w:val="auto"/>
          <w:kern w:val="0"/>
          <w:sz w:val="32"/>
          <w:szCs w:val="32"/>
          <w:highlight w:val="none"/>
        </w:rPr>
      </w:pPr>
    </w:p>
    <w:p w14:paraId="5AC57A5D">
      <w:pPr>
        <w:jc w:val="center"/>
        <w:rPr>
          <w:rFonts w:hint="eastAsia" w:ascii="宋体" w:hAnsi="宋体" w:cs="宋体"/>
          <w:b/>
          <w:color w:val="auto"/>
          <w:kern w:val="0"/>
          <w:sz w:val="32"/>
          <w:szCs w:val="32"/>
          <w:highlight w:val="none"/>
        </w:rPr>
      </w:pPr>
    </w:p>
    <w:p w14:paraId="64F41E8B">
      <w:pPr>
        <w:jc w:val="center"/>
        <w:rPr>
          <w:rFonts w:hint="eastAsia" w:ascii="宋体" w:hAnsi="宋体" w:cs="宋体"/>
          <w:b/>
          <w:color w:val="auto"/>
          <w:kern w:val="0"/>
          <w:sz w:val="32"/>
          <w:szCs w:val="32"/>
          <w:highlight w:val="none"/>
        </w:rPr>
      </w:pPr>
    </w:p>
    <w:p w14:paraId="0444B5C2">
      <w:pPr>
        <w:jc w:val="center"/>
        <w:rPr>
          <w:rFonts w:hint="eastAsia" w:ascii="宋体" w:hAnsi="宋体" w:cs="宋体"/>
          <w:b/>
          <w:color w:val="auto"/>
          <w:kern w:val="0"/>
          <w:sz w:val="32"/>
          <w:szCs w:val="32"/>
          <w:highlight w:val="none"/>
        </w:rPr>
      </w:pPr>
    </w:p>
    <w:p w14:paraId="5AFD7F3C">
      <w:pPr>
        <w:jc w:val="center"/>
        <w:rPr>
          <w:rFonts w:hint="eastAsia" w:ascii="宋体" w:hAnsi="宋体" w:cs="宋体"/>
          <w:b/>
          <w:color w:val="auto"/>
          <w:kern w:val="0"/>
          <w:sz w:val="32"/>
          <w:szCs w:val="32"/>
          <w:highlight w:val="none"/>
        </w:rPr>
      </w:pPr>
    </w:p>
    <w:p w14:paraId="4A06FDA2">
      <w:pPr>
        <w:jc w:val="center"/>
        <w:rPr>
          <w:rFonts w:hint="eastAsia" w:ascii="宋体" w:hAnsi="宋体" w:cs="宋体"/>
          <w:b/>
          <w:color w:val="auto"/>
          <w:kern w:val="0"/>
          <w:sz w:val="32"/>
          <w:szCs w:val="32"/>
          <w:highlight w:val="none"/>
        </w:rPr>
      </w:pPr>
    </w:p>
    <w:p w14:paraId="093D0BB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5F7397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786500E4">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14:paraId="55E02988">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3A6263E">
      <w:pPr>
        <w:snapToGrid w:val="0"/>
        <w:spacing w:line="360" w:lineRule="auto"/>
        <w:rPr>
          <w:rFonts w:hint="eastAsia" w:ascii="宋体" w:hAnsi="宋体" w:cs="宋体"/>
          <w:color w:val="auto"/>
          <w:kern w:val="0"/>
          <w:highlight w:val="none"/>
        </w:rPr>
      </w:pPr>
      <w:r>
        <w:rPr>
          <w:rFonts w:hint="eastAsia" w:ascii="宋体" w:hAnsi="宋体" w:cs="宋体"/>
          <w:color w:val="auto"/>
          <w:highlight w:val="none"/>
        </w:rPr>
        <w:t>浙江省杭州市拱墅区半山街道杭玻阔板桥社区居民委员会、浙江正浩招标代理有限公司</w:t>
      </w:r>
      <w:r>
        <w:rPr>
          <w:rFonts w:hint="eastAsia" w:ascii="宋体" w:hAnsi="宋体" w:cs="宋体"/>
          <w:color w:val="auto"/>
          <w:kern w:val="0"/>
          <w:highlight w:val="none"/>
          <w:lang w:val="zh-CN"/>
        </w:rPr>
        <w:t>：</w:t>
      </w:r>
    </w:p>
    <w:p w14:paraId="6815D836">
      <w:pPr>
        <w:snapToGrid w:val="0"/>
        <w:spacing w:line="360" w:lineRule="auto"/>
        <w:ind w:firstLine="576"/>
        <w:rPr>
          <w:rFonts w:hint="eastAsia"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（姓名）</w:t>
      </w:r>
      <w:r>
        <w:rPr>
          <w:rFonts w:hint="eastAsia" w:ascii="宋体" w:hAnsi="宋体" w:cs="宋体"/>
          <w:color w:val="auto"/>
          <w:kern w:val="0"/>
          <w:highlight w:val="none"/>
          <w:lang w:val="zh-CN"/>
        </w:rPr>
        <w:t>为我方代理人（身份证号码：</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，所在单位：</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u w:val="single"/>
        </w:rPr>
        <w:t>（项目名称）</w:t>
      </w:r>
      <w:r>
        <w:rPr>
          <w:rFonts w:hint="eastAsia" w:ascii="宋体" w:hAnsi="宋体" w:cs="宋体"/>
          <w:color w:val="auto"/>
          <w:highlight w:val="none"/>
        </w:rPr>
        <w:t>【项目编号：</w:t>
      </w:r>
      <w:r>
        <w:rPr>
          <w:rFonts w:hint="eastAsia" w:ascii="宋体" w:hAnsi="宋体" w:cs="宋体"/>
          <w:color w:val="auto"/>
          <w:highlight w:val="none"/>
          <w:u w:val="single"/>
        </w:rPr>
        <w:t>（采购编号）</w:t>
      </w:r>
      <w:r>
        <w:rPr>
          <w:rFonts w:hint="eastAsia" w:ascii="宋体" w:hAnsi="宋体" w:cs="宋体"/>
          <w:color w:val="auto"/>
          <w:highlight w:val="none"/>
        </w:rPr>
        <w:t>】</w:t>
      </w:r>
      <w:r>
        <w:rPr>
          <w:rFonts w:hint="eastAsia" w:ascii="宋体" w:hAnsi="宋体" w:cs="宋体"/>
          <w:color w:val="auto"/>
          <w:kern w:val="0"/>
          <w:highlight w:val="none"/>
          <w:lang w:val="zh-CN"/>
        </w:rPr>
        <w:t>采购投标的一切事项，其法律后果由我方承担。</w:t>
      </w:r>
    </w:p>
    <w:p w14:paraId="29147898">
      <w:pPr>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1163250E">
      <w:pPr>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val="zh-CN"/>
        </w:rPr>
        <w:t>特此告知。</w:t>
      </w:r>
    </w:p>
    <w:p w14:paraId="239148A7">
      <w:pPr>
        <w:snapToGrid w:val="0"/>
        <w:spacing w:line="360" w:lineRule="auto"/>
        <w:rPr>
          <w:rFonts w:hint="eastAsia" w:ascii="宋体" w:hAnsi="宋体" w:cs="宋体"/>
          <w:color w:val="auto"/>
          <w:kern w:val="0"/>
          <w:highlight w:val="none"/>
        </w:rPr>
      </w:pPr>
    </w:p>
    <w:p w14:paraId="179CFBD9">
      <w:pPr>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val="zh-CN"/>
        </w:rPr>
        <w:t xml:space="preserve">                                                 供应商名称(电子签名)：</w:t>
      </w:r>
    </w:p>
    <w:p w14:paraId="7C766AC0">
      <w:pPr>
        <w:snapToGri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签发日期：  年  月   日</w:t>
      </w:r>
    </w:p>
    <w:p w14:paraId="65EA4D6C">
      <w:pPr>
        <w:snapToGrid w:val="0"/>
        <w:spacing w:line="360" w:lineRule="auto"/>
        <w:rPr>
          <w:rFonts w:hint="eastAsia" w:ascii="宋体" w:hAnsi="宋体" w:cs="宋体"/>
          <w:color w:val="auto"/>
          <w:highlight w:val="none"/>
        </w:rPr>
      </w:pPr>
    </w:p>
    <w:p w14:paraId="68A903DF">
      <w:pPr>
        <w:snapToGrid w:val="0"/>
        <w:spacing w:line="360" w:lineRule="auto"/>
        <w:rPr>
          <w:rFonts w:hint="eastAsia" w:ascii="宋体" w:hAnsi="宋体" w:cs="宋体"/>
          <w:color w:val="auto"/>
          <w:highlight w:val="none"/>
        </w:rPr>
      </w:pPr>
    </w:p>
    <w:p w14:paraId="37066179">
      <w:pPr>
        <w:snapToGrid w:val="0"/>
        <w:spacing w:line="360" w:lineRule="auto"/>
        <w:rPr>
          <w:rFonts w:hint="eastAsia" w:ascii="宋体" w:hAnsi="宋体" w:cs="宋体"/>
          <w:color w:val="auto"/>
          <w:highlight w:val="none"/>
        </w:rPr>
      </w:pPr>
    </w:p>
    <w:p w14:paraId="0AD6222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3E9A2D6">
      <w:pPr>
        <w:snapToGrid w:val="0"/>
        <w:spacing w:line="360" w:lineRule="auto"/>
        <w:rPr>
          <w:rFonts w:hint="eastAsia" w:ascii="宋体" w:hAnsi="宋体" w:cs="宋体"/>
          <w:color w:val="auto"/>
          <w:kern w:val="0"/>
          <w:highlight w:val="none"/>
        </w:rPr>
      </w:pPr>
      <w:r>
        <w:rPr>
          <w:rFonts w:hint="eastAsia" w:ascii="宋体" w:hAnsi="宋体" w:cs="宋体"/>
          <w:color w:val="auto"/>
          <w:highlight w:val="none"/>
        </w:rPr>
        <w:t>浙江省杭州市拱墅区半山街道杭玻阔板桥社区居民委员会、浙江正浩招标代理有限公司</w:t>
      </w:r>
      <w:r>
        <w:rPr>
          <w:rFonts w:hint="eastAsia" w:ascii="宋体" w:hAnsi="宋体" w:cs="宋体"/>
          <w:color w:val="auto"/>
          <w:kern w:val="0"/>
          <w:highlight w:val="none"/>
          <w:lang w:val="zh-CN"/>
        </w:rPr>
        <w:t>：</w:t>
      </w:r>
    </w:p>
    <w:p w14:paraId="4518D611">
      <w:pPr>
        <w:snapToGrid w:val="0"/>
        <w:spacing w:line="360" w:lineRule="auto"/>
        <w:ind w:firstLine="576"/>
        <w:rPr>
          <w:rFonts w:hint="eastAsia"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（姓名）</w:t>
      </w:r>
      <w:r>
        <w:rPr>
          <w:rFonts w:hint="eastAsia" w:ascii="宋体" w:hAnsi="宋体" w:cs="宋体"/>
          <w:color w:val="auto"/>
          <w:kern w:val="0"/>
          <w:highlight w:val="none"/>
          <w:lang w:val="zh-CN"/>
        </w:rPr>
        <w:t>为我方代理人（身份证号码：</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所在单位：</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u w:val="single"/>
        </w:rPr>
        <w:t>（项目名称）</w:t>
      </w:r>
      <w:r>
        <w:rPr>
          <w:rFonts w:hint="eastAsia" w:ascii="宋体" w:hAnsi="宋体" w:cs="宋体"/>
          <w:color w:val="auto"/>
          <w:highlight w:val="none"/>
        </w:rPr>
        <w:t>【项目编号：</w:t>
      </w:r>
      <w:r>
        <w:rPr>
          <w:rFonts w:hint="eastAsia" w:ascii="宋体" w:hAnsi="宋体" w:cs="宋体"/>
          <w:color w:val="auto"/>
          <w:highlight w:val="none"/>
          <w:u w:val="single"/>
        </w:rPr>
        <w:t>（采购编号）</w:t>
      </w:r>
      <w:r>
        <w:rPr>
          <w:rFonts w:hint="eastAsia" w:ascii="宋体" w:hAnsi="宋体" w:cs="宋体"/>
          <w:color w:val="auto"/>
          <w:highlight w:val="none"/>
        </w:rPr>
        <w:t>】</w:t>
      </w:r>
      <w:r>
        <w:rPr>
          <w:rFonts w:hint="eastAsia" w:ascii="宋体" w:hAnsi="宋体" w:cs="宋体"/>
          <w:color w:val="auto"/>
          <w:kern w:val="0"/>
          <w:highlight w:val="none"/>
          <w:lang w:val="zh-CN"/>
        </w:rPr>
        <w:t>采购投标的一切事项，其法律后果由我方承担。</w:t>
      </w:r>
    </w:p>
    <w:p w14:paraId="64D91A59">
      <w:pPr>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77D4AFCE">
      <w:pPr>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val="zh-CN"/>
        </w:rPr>
        <w:t>特此告知。</w:t>
      </w:r>
    </w:p>
    <w:p w14:paraId="35696C1F">
      <w:pPr>
        <w:snapToGrid w:val="0"/>
        <w:spacing w:line="360" w:lineRule="auto"/>
        <w:rPr>
          <w:rFonts w:hint="eastAsia" w:ascii="宋体" w:hAnsi="宋体" w:cs="宋体"/>
          <w:color w:val="auto"/>
          <w:kern w:val="0"/>
          <w:highlight w:val="none"/>
        </w:rPr>
      </w:pPr>
    </w:p>
    <w:p w14:paraId="2865A586">
      <w:pPr>
        <w:jc w:val="center"/>
        <w:rPr>
          <w:rFonts w:hint="eastAsia" w:ascii="宋体" w:hAnsi="宋体" w:cs="宋体"/>
          <w:b/>
          <w:color w:val="auto"/>
          <w:kern w:val="0"/>
          <w:sz w:val="32"/>
          <w:szCs w:val="32"/>
          <w:highlight w:val="none"/>
        </w:rPr>
      </w:pPr>
    </w:p>
    <w:p w14:paraId="5E8BCB5D">
      <w:pPr>
        <w:jc w:val="center"/>
        <w:rPr>
          <w:rFonts w:hint="eastAsia" w:ascii="宋体" w:hAnsi="宋体" w:cs="宋体"/>
          <w:b/>
          <w:color w:val="auto"/>
          <w:kern w:val="0"/>
          <w:sz w:val="32"/>
          <w:szCs w:val="32"/>
          <w:highlight w:val="none"/>
        </w:rPr>
      </w:pPr>
    </w:p>
    <w:p w14:paraId="340585C7">
      <w:pPr>
        <w:jc w:val="center"/>
        <w:rPr>
          <w:rFonts w:hint="eastAsia" w:ascii="宋体" w:hAnsi="宋体" w:cs="宋体"/>
          <w:b/>
          <w:color w:val="auto"/>
          <w:kern w:val="0"/>
          <w:sz w:val="32"/>
          <w:szCs w:val="32"/>
          <w:highlight w:val="none"/>
        </w:rPr>
      </w:pPr>
    </w:p>
    <w:p w14:paraId="52E9F8B6">
      <w:pPr>
        <w:rPr>
          <w:rFonts w:hint="eastAsia" w:ascii="宋体" w:hAnsi="宋体" w:cs="宋体"/>
          <w:color w:val="auto"/>
          <w:highlight w:val="none"/>
        </w:rPr>
      </w:pPr>
    </w:p>
    <w:p w14:paraId="74F73AA7">
      <w:pPr>
        <w:snapToGrid w:val="0"/>
        <w:spacing w:line="360" w:lineRule="auto"/>
        <w:ind w:firstLine="5040" w:firstLineChars="21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4B91FF05">
      <w:pPr>
        <w:snapToGrid w:val="0"/>
        <w:spacing w:line="360" w:lineRule="auto"/>
        <w:ind w:firstLine="5040" w:firstLineChars="21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3AF14174">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highlight w:val="none"/>
          <w:lang w:val="zh-CN"/>
        </w:rPr>
        <w:t>……</w:t>
      </w:r>
    </w:p>
    <w:p w14:paraId="5468C26D">
      <w:pPr>
        <w:snapToGri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51F7ADC8">
      <w:pPr>
        <w:autoSpaceDE w:val="0"/>
        <w:autoSpaceDN w:val="0"/>
        <w:spacing w:line="360" w:lineRule="auto"/>
        <w:jc w:val="center"/>
        <w:rPr>
          <w:rFonts w:hint="eastAsia" w:ascii="宋体" w:hAnsi="宋体" w:cs="宋体"/>
          <w:b/>
          <w:color w:val="auto"/>
          <w:kern w:val="0"/>
          <w:sz w:val="32"/>
          <w:szCs w:val="32"/>
          <w:highlight w:val="none"/>
          <w:lang w:val="zh-CN"/>
        </w:rPr>
      </w:pPr>
    </w:p>
    <w:p w14:paraId="25D2B7DC">
      <w:pPr>
        <w:autoSpaceDE w:val="0"/>
        <w:autoSpaceDN w:val="0"/>
        <w:spacing w:line="360" w:lineRule="auto"/>
        <w:jc w:val="center"/>
        <w:rPr>
          <w:rFonts w:hint="eastAsia" w:ascii="宋体" w:hAnsi="宋体" w:cs="宋体"/>
          <w:b/>
          <w:color w:val="auto"/>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1FE44379">
      <w:pPr>
        <w:pStyle w:val="44"/>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FD368D">
            <w:pPr>
              <w:pStyle w:val="44"/>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7227E8A">
            <w:pPr>
              <w:pStyle w:val="44"/>
              <w:adjustRightInd w:val="0"/>
              <w:spacing w:line="360" w:lineRule="auto"/>
              <w:rPr>
                <w:rFonts w:hint="eastAsia" w:hAnsi="宋体" w:cs="宋体"/>
                <w:bCs/>
                <w:color w:val="auto"/>
                <w:sz w:val="24"/>
                <w:highlight w:val="none"/>
              </w:rPr>
            </w:pPr>
          </w:p>
        </w:tc>
      </w:tr>
    </w:tbl>
    <w:p w14:paraId="10911D25">
      <w:pPr>
        <w:snapToGrid w:val="0"/>
        <w:spacing w:line="360" w:lineRule="auto"/>
        <w:ind w:firstLine="576"/>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2A17D123">
      <w:pPr>
        <w:snapToGrid w:val="0"/>
        <w:spacing w:line="360" w:lineRule="auto"/>
        <w:ind w:firstLine="576"/>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供应商名称(电子签名)：                              </w:t>
      </w:r>
    </w:p>
    <w:p w14:paraId="6EBEE422">
      <w:pPr>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2C42E3F0">
      <w:pPr>
        <w:jc w:val="center"/>
        <w:rPr>
          <w:rFonts w:hint="eastAsia" w:ascii="宋体" w:hAnsi="宋体" w:cs="宋体"/>
          <w:b/>
          <w:color w:val="auto"/>
          <w:kern w:val="0"/>
          <w:sz w:val="32"/>
          <w:szCs w:val="32"/>
          <w:highlight w:val="none"/>
        </w:rPr>
      </w:pPr>
    </w:p>
    <w:p w14:paraId="1D2F4422">
      <w:pPr>
        <w:jc w:val="center"/>
        <w:rPr>
          <w:rFonts w:hint="eastAsia" w:ascii="宋体" w:hAnsi="宋体" w:cs="宋体"/>
          <w:b/>
          <w:color w:val="auto"/>
          <w:kern w:val="0"/>
          <w:sz w:val="32"/>
          <w:szCs w:val="32"/>
          <w:highlight w:val="none"/>
        </w:rPr>
      </w:pPr>
    </w:p>
    <w:p w14:paraId="39558CF1">
      <w:pPr>
        <w:jc w:val="center"/>
        <w:rPr>
          <w:rFonts w:hint="eastAsia" w:ascii="宋体" w:hAnsi="宋体" w:cs="宋体"/>
          <w:b/>
          <w:color w:val="auto"/>
          <w:kern w:val="0"/>
          <w:sz w:val="32"/>
          <w:szCs w:val="32"/>
          <w:highlight w:val="none"/>
        </w:rPr>
      </w:pPr>
    </w:p>
    <w:p w14:paraId="220CC30F">
      <w:pPr>
        <w:jc w:val="center"/>
        <w:rPr>
          <w:rFonts w:hint="eastAsia" w:ascii="宋体" w:hAnsi="宋体" w:cs="宋体"/>
          <w:b/>
          <w:color w:val="auto"/>
          <w:kern w:val="0"/>
          <w:sz w:val="32"/>
          <w:szCs w:val="32"/>
          <w:highlight w:val="none"/>
        </w:rPr>
      </w:pPr>
    </w:p>
    <w:p w14:paraId="5EA3D131">
      <w:pPr>
        <w:jc w:val="center"/>
        <w:rPr>
          <w:rFonts w:hint="eastAsia" w:ascii="宋体" w:hAnsi="宋体" w:cs="宋体"/>
          <w:b/>
          <w:color w:val="auto"/>
          <w:kern w:val="0"/>
          <w:sz w:val="32"/>
          <w:szCs w:val="32"/>
          <w:highlight w:val="none"/>
        </w:rPr>
      </w:pPr>
    </w:p>
    <w:p w14:paraId="4D9D2E39">
      <w:pPr>
        <w:jc w:val="center"/>
        <w:rPr>
          <w:rFonts w:hint="eastAsia" w:ascii="宋体" w:hAnsi="宋体" w:cs="宋体"/>
          <w:b/>
          <w:color w:val="auto"/>
          <w:kern w:val="0"/>
          <w:sz w:val="32"/>
          <w:szCs w:val="32"/>
          <w:highlight w:val="none"/>
        </w:rPr>
      </w:pPr>
    </w:p>
    <w:p w14:paraId="2203305A">
      <w:pPr>
        <w:jc w:val="center"/>
        <w:rPr>
          <w:rFonts w:hint="eastAsia" w:ascii="宋体" w:hAnsi="宋体" w:cs="宋体"/>
          <w:b/>
          <w:color w:val="auto"/>
          <w:kern w:val="0"/>
          <w:sz w:val="32"/>
          <w:szCs w:val="32"/>
          <w:highlight w:val="none"/>
        </w:rPr>
      </w:pPr>
    </w:p>
    <w:p w14:paraId="6F62B8E5">
      <w:pPr>
        <w:jc w:val="center"/>
        <w:rPr>
          <w:rFonts w:hint="eastAsia" w:ascii="宋体" w:hAnsi="宋体" w:cs="宋体"/>
          <w:b/>
          <w:color w:val="auto"/>
          <w:kern w:val="0"/>
          <w:sz w:val="32"/>
          <w:szCs w:val="32"/>
          <w:highlight w:val="none"/>
        </w:rPr>
      </w:pPr>
    </w:p>
    <w:p w14:paraId="395C1EFB">
      <w:pPr>
        <w:jc w:val="center"/>
        <w:rPr>
          <w:rFonts w:hint="eastAsia" w:ascii="宋体" w:hAnsi="宋体" w:cs="宋体"/>
          <w:b/>
          <w:color w:val="auto"/>
          <w:kern w:val="0"/>
          <w:sz w:val="32"/>
          <w:szCs w:val="32"/>
          <w:highlight w:val="none"/>
        </w:rPr>
      </w:pPr>
    </w:p>
    <w:p w14:paraId="1E1D4B58">
      <w:pPr>
        <w:jc w:val="center"/>
        <w:rPr>
          <w:rFonts w:hint="eastAsia" w:ascii="宋体" w:hAnsi="宋体" w:cs="宋体"/>
          <w:b/>
          <w:color w:val="auto"/>
          <w:kern w:val="0"/>
          <w:sz w:val="32"/>
          <w:szCs w:val="32"/>
          <w:highlight w:val="none"/>
        </w:rPr>
      </w:pPr>
    </w:p>
    <w:p w14:paraId="64E01F5F">
      <w:pPr>
        <w:snapToGrid w:val="0"/>
        <w:spacing w:line="360" w:lineRule="auto"/>
        <w:ind w:right="48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520666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704CCDD">
      <w:pPr>
        <w:widowControl/>
        <w:spacing w:line="360" w:lineRule="auto"/>
        <w:ind w:firstLine="120" w:firstLineChars="50"/>
        <w:jc w:val="left"/>
        <w:rPr>
          <w:rFonts w:hint="eastAsia" w:ascii="宋体" w:hAnsi="宋体" w:cs="宋体"/>
          <w:color w:val="auto"/>
          <w:highlight w:val="none"/>
        </w:rPr>
      </w:pPr>
      <w:bookmarkStart w:id="16" w:name="_Hlk101169080"/>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中标后以分包方式履行合同的，提供分包意向协议(附件5</w:t>
      </w:r>
      <w:r>
        <w:rPr>
          <w:rFonts w:ascii="宋体" w:hAnsi="宋体" w:cs="宋体"/>
          <w:b/>
          <w:color w:val="auto"/>
          <w:highlight w:val="none"/>
        </w:rPr>
        <w:t>)</w:t>
      </w:r>
      <w:r>
        <w:rPr>
          <w:rFonts w:hint="eastAsia" w:ascii="宋体" w:hAnsi="宋体" w:cs="宋体"/>
          <w:b/>
          <w:color w:val="auto"/>
          <w:highlight w:val="none"/>
        </w:rPr>
        <w:t>；采购人不同意分包或者供应商中标后不以分包方式履行合同的，则不需要提供。</w:t>
      </w:r>
      <w:r>
        <w:rPr>
          <w:rFonts w:hint="eastAsia" w:ascii="宋体" w:hAnsi="宋体" w:cs="宋体"/>
          <w:color w:val="auto"/>
          <w:highlight w:val="none"/>
        </w:rPr>
        <w:t>]</w:t>
      </w:r>
    </w:p>
    <w:bookmarkEnd w:id="16"/>
    <w:p w14:paraId="1E341F84">
      <w:pPr>
        <w:jc w:val="center"/>
        <w:rPr>
          <w:rFonts w:hint="eastAsia" w:ascii="宋体" w:hAnsi="宋体" w:cs="宋体"/>
          <w:b/>
          <w:color w:val="auto"/>
          <w:kern w:val="0"/>
          <w:sz w:val="32"/>
          <w:szCs w:val="32"/>
          <w:highlight w:val="none"/>
        </w:rPr>
      </w:pPr>
    </w:p>
    <w:p w14:paraId="50A9CDA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D42D962">
      <w:pPr>
        <w:jc w:val="center"/>
        <w:rPr>
          <w:rFonts w:hint="eastAsia" w:ascii="宋体" w:hAnsi="宋体" w:cs="宋体"/>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0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9A3F0C">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序号</w:t>
            </w:r>
          </w:p>
        </w:tc>
        <w:tc>
          <w:tcPr>
            <w:tcW w:w="4991" w:type="dxa"/>
            <w:vAlign w:val="center"/>
          </w:tcPr>
          <w:p w14:paraId="40717CE9">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实质性要求</w:t>
            </w:r>
          </w:p>
        </w:tc>
        <w:tc>
          <w:tcPr>
            <w:tcW w:w="2551" w:type="dxa"/>
            <w:vAlign w:val="center"/>
          </w:tcPr>
          <w:p w14:paraId="5CD1D068">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需要提供的符合性审查资料</w:t>
            </w:r>
          </w:p>
        </w:tc>
        <w:tc>
          <w:tcPr>
            <w:tcW w:w="1418" w:type="dxa"/>
            <w:vAlign w:val="center"/>
          </w:tcPr>
          <w:p w14:paraId="783516D8">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投标文件中的</w:t>
            </w:r>
          </w:p>
          <w:p w14:paraId="27BA6058">
            <w:pPr>
              <w:snapToGrid w:val="0"/>
              <w:spacing w:line="240" w:lineRule="atLeast"/>
              <w:jc w:val="center"/>
              <w:rPr>
                <w:rFonts w:hint="eastAsia" w:ascii="宋体" w:hAnsi="宋体" w:cs="宋体"/>
                <w:b/>
                <w:color w:val="auto"/>
                <w:highlight w:val="none"/>
              </w:rPr>
            </w:pPr>
            <w:r>
              <w:rPr>
                <w:rFonts w:hint="eastAsia" w:ascii="宋体" w:hAnsi="宋体" w:cs="宋体"/>
                <w:b/>
                <w:color w:val="auto"/>
                <w:highlight w:val="none"/>
              </w:rPr>
              <w:t>页码位置</w:t>
            </w:r>
          </w:p>
        </w:tc>
      </w:tr>
      <w:tr w14:paraId="5E04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609090">
            <w:pPr>
              <w:jc w:val="center"/>
              <w:rPr>
                <w:rFonts w:hint="eastAsia" w:ascii="宋体" w:hAnsi="宋体" w:cs="宋体"/>
                <w:color w:val="auto"/>
                <w:highlight w:val="none"/>
              </w:rPr>
            </w:pPr>
            <w:r>
              <w:rPr>
                <w:rFonts w:hint="eastAsia" w:ascii="宋体" w:hAnsi="宋体" w:cs="宋体"/>
                <w:color w:val="auto"/>
                <w:highlight w:val="none"/>
              </w:rPr>
              <w:t>1</w:t>
            </w:r>
          </w:p>
        </w:tc>
        <w:tc>
          <w:tcPr>
            <w:tcW w:w="4991" w:type="dxa"/>
          </w:tcPr>
          <w:p w14:paraId="4896C4E5">
            <w:pPr>
              <w:spacing w:line="360" w:lineRule="auto"/>
              <w:rPr>
                <w:rFonts w:hint="eastAsia" w:ascii="宋体" w:hAnsi="宋体" w:cs="宋体"/>
                <w:color w:val="auto"/>
                <w:highlight w:val="none"/>
              </w:rPr>
            </w:pPr>
            <w:r>
              <w:rPr>
                <w:rFonts w:hint="eastAsia" w:ascii="宋体" w:hAnsi="宋体" w:cs="宋体"/>
                <w:color w:val="auto"/>
                <w:highlight w:val="none"/>
              </w:rPr>
              <w:t>投标文件按照采购文件要求签署、盖章。</w:t>
            </w:r>
          </w:p>
        </w:tc>
        <w:tc>
          <w:tcPr>
            <w:tcW w:w="2551" w:type="dxa"/>
            <w:vAlign w:val="center"/>
          </w:tcPr>
          <w:p w14:paraId="5B0C6433">
            <w:pPr>
              <w:rPr>
                <w:rFonts w:hint="eastAsia"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18" w:type="dxa"/>
          </w:tcPr>
          <w:p w14:paraId="056CDEA9">
            <w:pPr>
              <w:rPr>
                <w:rFonts w:hint="eastAsia" w:ascii="宋体" w:hAnsi="宋体" w:cs="宋体"/>
                <w:color w:val="auto"/>
                <w:highlight w:val="none"/>
              </w:rPr>
            </w:pPr>
          </w:p>
          <w:p w14:paraId="3CA69C9D">
            <w:pPr>
              <w:rPr>
                <w:rFonts w:hint="eastAsia" w:ascii="宋体" w:hAnsi="宋体" w:cs="宋体"/>
                <w:color w:val="auto"/>
                <w:highlight w:val="none"/>
              </w:rPr>
            </w:pPr>
            <w:r>
              <w:rPr>
                <w:rFonts w:hint="eastAsia" w:ascii="宋体" w:hAnsi="宋体" w:cs="宋体"/>
                <w:color w:val="auto"/>
                <w:highlight w:val="none"/>
              </w:rPr>
              <w:t>见投标文件</w:t>
            </w:r>
          </w:p>
          <w:p w14:paraId="5ED2F4BF">
            <w:pP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492B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99D7F4">
            <w:pPr>
              <w:jc w:val="center"/>
              <w:rPr>
                <w:rFonts w:hint="eastAsia" w:ascii="宋体" w:hAnsi="宋体" w:cs="宋体"/>
                <w:color w:val="auto"/>
                <w:highlight w:val="none"/>
              </w:rPr>
            </w:pPr>
            <w:r>
              <w:rPr>
                <w:rFonts w:hint="eastAsia" w:ascii="宋体" w:hAnsi="宋体" w:cs="宋体"/>
                <w:color w:val="auto"/>
                <w:highlight w:val="none"/>
              </w:rPr>
              <w:t>2</w:t>
            </w:r>
          </w:p>
        </w:tc>
        <w:tc>
          <w:tcPr>
            <w:tcW w:w="4991" w:type="dxa"/>
          </w:tcPr>
          <w:p w14:paraId="08FE9AB0">
            <w:pPr>
              <w:spacing w:line="360" w:lineRule="auto"/>
              <w:rPr>
                <w:rFonts w:hint="eastAsia" w:ascii="宋体" w:hAnsi="宋体" w:cs="宋体"/>
                <w:color w:val="auto"/>
                <w:highlight w:val="none"/>
              </w:rPr>
            </w:pPr>
            <w:r>
              <w:rPr>
                <w:rFonts w:hint="eastAsia" w:ascii="宋体" w:hAnsi="宋体" w:cs="宋体"/>
                <w:color w:val="auto"/>
                <w:highlight w:val="none"/>
              </w:rPr>
              <w:t>投标文件中承诺的投标有效期不少于采购文件中载明的投标有效期。</w:t>
            </w:r>
          </w:p>
        </w:tc>
        <w:tc>
          <w:tcPr>
            <w:tcW w:w="2551" w:type="dxa"/>
            <w:vAlign w:val="center"/>
          </w:tcPr>
          <w:p w14:paraId="2A810CC2">
            <w:pPr>
              <w:rPr>
                <w:rFonts w:hint="eastAsia" w:ascii="宋体" w:hAnsi="宋体" w:cs="宋体"/>
                <w:color w:val="auto"/>
                <w:highlight w:val="none"/>
              </w:rPr>
            </w:pPr>
            <w:r>
              <w:rPr>
                <w:rFonts w:hint="eastAsia" w:ascii="宋体" w:hAnsi="宋体" w:cs="宋体"/>
                <w:color w:val="auto"/>
                <w:highlight w:val="none"/>
              </w:rPr>
              <w:t>投标函</w:t>
            </w:r>
          </w:p>
        </w:tc>
        <w:tc>
          <w:tcPr>
            <w:tcW w:w="1418" w:type="dxa"/>
          </w:tcPr>
          <w:p w14:paraId="33D33882">
            <w:pPr>
              <w:rPr>
                <w:rFonts w:hint="eastAsia"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231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1DA8B">
            <w:pPr>
              <w:jc w:val="center"/>
              <w:rPr>
                <w:rFonts w:hint="eastAsia" w:ascii="宋体" w:hAnsi="宋体" w:cs="宋体"/>
                <w:color w:val="auto"/>
                <w:highlight w:val="none"/>
              </w:rPr>
            </w:pPr>
            <w:r>
              <w:rPr>
                <w:rFonts w:hint="eastAsia" w:ascii="宋体" w:hAnsi="宋体" w:cs="宋体"/>
                <w:color w:val="auto"/>
                <w:highlight w:val="none"/>
              </w:rPr>
              <w:t>3</w:t>
            </w:r>
          </w:p>
        </w:tc>
        <w:tc>
          <w:tcPr>
            <w:tcW w:w="4991" w:type="dxa"/>
          </w:tcPr>
          <w:p w14:paraId="18A9D267">
            <w:pPr>
              <w:spacing w:line="360" w:lineRule="auto"/>
              <w:rPr>
                <w:rFonts w:hint="eastAsia" w:ascii="宋体" w:hAnsi="宋体" w:cs="宋体"/>
                <w:color w:val="auto"/>
                <w:highlight w:val="none"/>
              </w:rPr>
            </w:pPr>
            <w:r>
              <w:rPr>
                <w:rFonts w:hint="eastAsia" w:ascii="宋体" w:hAnsi="宋体" w:cs="宋体"/>
                <w:color w:val="auto"/>
                <w:highlight w:val="none"/>
              </w:rPr>
              <w:t>投标文件满足采购文件的其它实质性要求。</w:t>
            </w:r>
          </w:p>
        </w:tc>
        <w:tc>
          <w:tcPr>
            <w:tcW w:w="2551" w:type="dxa"/>
            <w:vAlign w:val="center"/>
          </w:tcPr>
          <w:p w14:paraId="45F96CF8">
            <w:pPr>
              <w:rPr>
                <w:rFonts w:hint="eastAsia" w:ascii="宋体" w:hAnsi="宋体" w:cs="宋体"/>
                <w:color w:val="auto"/>
                <w:highlight w:val="none"/>
              </w:rPr>
            </w:pPr>
            <w:r>
              <w:rPr>
                <w:rFonts w:hint="eastAsia" w:ascii="宋体" w:hAnsi="宋体" w:cs="宋体"/>
                <w:color w:val="auto"/>
                <w:kern w:val="0"/>
                <w:highlight w:val="none"/>
              </w:rPr>
              <w:t>采购文件其它实质性要求相应的材料（“▲” 系指实质性要求条款，采购文件无其它实质性要求的，无需提供）</w:t>
            </w:r>
          </w:p>
        </w:tc>
        <w:tc>
          <w:tcPr>
            <w:tcW w:w="1418" w:type="dxa"/>
          </w:tcPr>
          <w:p w14:paraId="0CD63EBD">
            <w:pPr>
              <w:rPr>
                <w:rFonts w:hint="eastAsia"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112A9447">
      <w:pPr>
        <w:spacing w:line="360" w:lineRule="auto"/>
        <w:ind w:right="420"/>
        <w:rPr>
          <w:rFonts w:hint="eastAsia" w:ascii="宋体" w:hAnsi="宋体" w:cs="宋体"/>
          <w:color w:val="auto"/>
          <w:highlight w:val="none"/>
        </w:rPr>
      </w:pPr>
      <w:r>
        <w:rPr>
          <w:rFonts w:hint="eastAsia" w:ascii="宋体" w:hAnsi="宋体" w:cs="宋体"/>
          <w:color w:val="auto"/>
          <w:highlight w:val="none"/>
        </w:rPr>
        <w:t>注：按本格式和要求提供。</w:t>
      </w:r>
    </w:p>
    <w:p w14:paraId="29873007">
      <w:pPr>
        <w:jc w:val="center"/>
        <w:rPr>
          <w:rFonts w:hint="eastAsia" w:ascii="宋体" w:hAnsi="宋体" w:cs="宋体"/>
          <w:b/>
          <w:color w:val="auto"/>
          <w:kern w:val="0"/>
          <w:sz w:val="32"/>
          <w:szCs w:val="32"/>
          <w:highlight w:val="none"/>
        </w:rPr>
      </w:pPr>
    </w:p>
    <w:p w14:paraId="424A33E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B67AC4">
      <w:pPr>
        <w:jc w:val="center"/>
        <w:rPr>
          <w:rFonts w:hint="eastAsia" w:ascii="宋体" w:hAnsi="宋体" w:cs="宋体"/>
          <w:b/>
          <w:color w:val="auto"/>
          <w:kern w:val="0"/>
          <w:sz w:val="32"/>
          <w:szCs w:val="32"/>
          <w:highlight w:val="none"/>
        </w:rPr>
      </w:pPr>
    </w:p>
    <w:p w14:paraId="7A90741C">
      <w:pPr>
        <w:jc w:val="center"/>
        <w:rPr>
          <w:rFonts w:hint="eastAsia" w:ascii="宋体" w:hAnsi="宋体" w:cs="宋体"/>
          <w:b/>
          <w:color w:val="auto"/>
          <w:kern w:val="0"/>
          <w:sz w:val="32"/>
          <w:szCs w:val="32"/>
          <w:highlight w:val="none"/>
        </w:rPr>
      </w:pPr>
    </w:p>
    <w:p w14:paraId="12C35E3F">
      <w:pPr>
        <w:jc w:val="center"/>
        <w:rPr>
          <w:rFonts w:hint="eastAsia" w:ascii="宋体" w:hAnsi="宋体" w:cs="宋体"/>
          <w:b/>
          <w:color w:val="auto"/>
          <w:kern w:val="0"/>
          <w:sz w:val="32"/>
          <w:szCs w:val="32"/>
          <w:highlight w:val="none"/>
        </w:rPr>
      </w:pPr>
    </w:p>
    <w:p w14:paraId="6C0344F7">
      <w:pPr>
        <w:jc w:val="center"/>
        <w:rPr>
          <w:rFonts w:hint="eastAsia" w:ascii="宋体" w:hAnsi="宋体" w:cs="宋体"/>
          <w:b/>
          <w:color w:val="auto"/>
          <w:kern w:val="0"/>
          <w:sz w:val="32"/>
          <w:szCs w:val="32"/>
          <w:highlight w:val="none"/>
        </w:rPr>
      </w:pPr>
    </w:p>
    <w:p w14:paraId="5479ACC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AE5D0EA">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3D8C888F">
      <w:pPr>
        <w:snapToGrid w:val="0"/>
        <w:spacing w:line="360" w:lineRule="auto"/>
        <w:jc w:val="left"/>
        <w:rPr>
          <w:rFonts w:hint="eastAsia" w:ascii="宋体" w:hAnsi="宋体" w:cs="宋体"/>
          <w:b/>
          <w:color w:val="auto"/>
          <w:highlight w:val="none"/>
        </w:rPr>
      </w:pPr>
      <w:r>
        <w:rPr>
          <w:rFonts w:hint="eastAsia" w:ascii="宋体" w:hAnsi="宋体" w:cs="宋体"/>
          <w:b/>
          <w:color w:val="auto"/>
          <w:highlight w:val="none"/>
        </w:rPr>
        <w:t>（按采购文件第四部分评审办法前附表中“投标文件中评审标准相应的商务技术资料目录”提供资料。）</w:t>
      </w:r>
    </w:p>
    <w:p w14:paraId="535FB0D6">
      <w:pPr>
        <w:jc w:val="center"/>
        <w:rPr>
          <w:rFonts w:hint="eastAsia" w:ascii="宋体" w:hAnsi="宋体" w:cs="宋体"/>
          <w:b/>
          <w:color w:val="auto"/>
          <w:kern w:val="0"/>
          <w:sz w:val="32"/>
          <w:szCs w:val="32"/>
          <w:highlight w:val="none"/>
        </w:rPr>
      </w:pPr>
    </w:p>
    <w:p w14:paraId="190FE83F">
      <w:pPr>
        <w:jc w:val="center"/>
        <w:rPr>
          <w:rFonts w:hint="eastAsia" w:ascii="宋体" w:hAnsi="宋体" w:cs="宋体"/>
          <w:b/>
          <w:color w:val="auto"/>
          <w:kern w:val="0"/>
          <w:sz w:val="32"/>
          <w:szCs w:val="32"/>
          <w:highlight w:val="none"/>
        </w:rPr>
      </w:pPr>
    </w:p>
    <w:p w14:paraId="124D7EF3">
      <w:pPr>
        <w:jc w:val="center"/>
        <w:rPr>
          <w:rFonts w:hint="eastAsia" w:ascii="宋体" w:hAnsi="宋体" w:cs="宋体"/>
          <w:b/>
          <w:color w:val="auto"/>
          <w:kern w:val="0"/>
          <w:sz w:val="32"/>
          <w:szCs w:val="32"/>
          <w:highlight w:val="none"/>
        </w:rPr>
      </w:pPr>
    </w:p>
    <w:p w14:paraId="420BDD62">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58"/>
        <w:gridCol w:w="1320"/>
        <w:gridCol w:w="2471"/>
        <w:gridCol w:w="930"/>
        <w:gridCol w:w="1526"/>
      </w:tblGrid>
      <w:tr w14:paraId="163E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38DFC7">
            <w:pPr>
              <w:spacing w:line="360" w:lineRule="auto"/>
              <w:jc w:val="center"/>
              <w:rPr>
                <w:rFonts w:hint="eastAsia" w:ascii="宋体" w:hAnsi="宋体" w:cs="宋体"/>
                <w:b/>
                <w:color w:val="auto"/>
                <w:highlight w:val="none"/>
              </w:rPr>
            </w:pPr>
            <w:r>
              <w:rPr>
                <w:rFonts w:hint="eastAsia" w:ascii="宋体" w:hAnsi="宋体" w:cs="宋体"/>
                <w:b/>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DB3B5">
            <w:pPr>
              <w:spacing w:line="360" w:lineRule="auto"/>
              <w:jc w:val="center"/>
              <w:rPr>
                <w:rFonts w:hint="eastAsia" w:ascii="宋体" w:hAnsi="宋体" w:cs="宋体"/>
                <w:b/>
                <w:color w:val="auto"/>
                <w:highlight w:val="none"/>
              </w:rPr>
            </w:pPr>
            <w:r>
              <w:rPr>
                <w:rFonts w:hint="eastAsia" w:ascii="宋体" w:hAnsi="宋体" w:cs="宋体"/>
                <w:b/>
                <w:color w:val="auto"/>
                <w:highlight w:val="none"/>
              </w:rPr>
              <w:t>名称</w:t>
            </w:r>
          </w:p>
        </w:tc>
        <w:tc>
          <w:tcPr>
            <w:tcW w:w="1358" w:type="dxa"/>
            <w:tcBorders>
              <w:top w:val="single" w:color="auto" w:sz="4" w:space="0"/>
              <w:left w:val="single" w:color="auto" w:sz="4" w:space="0"/>
              <w:bottom w:val="single" w:color="auto" w:sz="4" w:space="0"/>
              <w:right w:val="single" w:color="auto" w:sz="4" w:space="0"/>
            </w:tcBorders>
            <w:vAlign w:val="center"/>
          </w:tcPr>
          <w:p w14:paraId="1613D523">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11E463E7">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服务要求</w:t>
            </w:r>
          </w:p>
        </w:tc>
        <w:tc>
          <w:tcPr>
            <w:tcW w:w="2471" w:type="dxa"/>
            <w:tcBorders>
              <w:top w:val="single" w:color="auto" w:sz="4" w:space="0"/>
              <w:left w:val="single" w:color="auto" w:sz="4" w:space="0"/>
              <w:bottom w:val="single" w:color="auto" w:sz="4" w:space="0"/>
              <w:right w:val="single" w:color="auto" w:sz="4" w:space="0"/>
            </w:tcBorders>
            <w:vAlign w:val="center"/>
          </w:tcPr>
          <w:p w14:paraId="01D953A3">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6A48F8">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7E00C7">
            <w:pPr>
              <w:spacing w:line="360" w:lineRule="auto"/>
              <w:jc w:val="center"/>
              <w:rPr>
                <w:rFonts w:hint="eastAsia" w:ascii="宋体" w:hAnsi="宋体" w:cs="宋体"/>
                <w:b/>
                <w:color w:val="auto"/>
                <w:highlight w:val="none"/>
              </w:rPr>
            </w:pPr>
          </w:p>
          <w:p w14:paraId="75F0A2FA">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备注</w:t>
            </w:r>
          </w:p>
          <w:p w14:paraId="2BA959CA">
            <w:pPr>
              <w:spacing w:line="360" w:lineRule="auto"/>
              <w:jc w:val="center"/>
              <w:rPr>
                <w:rFonts w:hint="eastAsia" w:ascii="宋体" w:hAnsi="宋体" w:cs="宋体"/>
                <w:b/>
                <w:color w:val="auto"/>
                <w:highlight w:val="none"/>
              </w:rPr>
            </w:pPr>
            <w:r>
              <w:rPr>
                <w:rFonts w:hint="eastAsia" w:ascii="宋体" w:hAnsi="宋体" w:cs="宋体"/>
                <w:b/>
                <w:color w:val="auto"/>
                <w:highlight w:val="none"/>
              </w:rPr>
              <w:t>（如果有）</w:t>
            </w:r>
          </w:p>
          <w:p w14:paraId="1AE675B9">
            <w:pPr>
              <w:spacing w:line="360" w:lineRule="auto"/>
              <w:jc w:val="center"/>
              <w:rPr>
                <w:rFonts w:hint="eastAsia" w:ascii="宋体" w:hAnsi="宋体" w:cs="宋体"/>
                <w:b/>
                <w:color w:val="auto"/>
                <w:highlight w:val="none"/>
              </w:rPr>
            </w:pPr>
          </w:p>
        </w:tc>
      </w:tr>
      <w:tr w14:paraId="4D0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9B2872">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6B4CC5">
            <w:pPr>
              <w:snapToGrid w:val="0"/>
              <w:spacing w:line="360" w:lineRule="auto"/>
              <w:jc w:val="center"/>
              <w:rPr>
                <w:rFonts w:hint="eastAsia" w:ascii="宋体" w:hAnsi="宋体" w:cs="宋体"/>
                <w:color w:val="auto"/>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4F6CF39D">
            <w:pPr>
              <w:snapToGrid w:val="0"/>
              <w:spacing w:line="360" w:lineRule="auto"/>
              <w:jc w:val="center"/>
              <w:rPr>
                <w:rFonts w:hint="eastAsia"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1CAA3E8">
            <w:pPr>
              <w:snapToGrid w:val="0"/>
              <w:spacing w:line="360" w:lineRule="auto"/>
              <w:jc w:val="center"/>
              <w:rPr>
                <w:rFonts w:hint="eastAsia" w:ascii="宋体" w:hAnsi="宋体" w:cs="宋体"/>
                <w:color w:val="auto"/>
                <w:highlight w:val="none"/>
              </w:rPr>
            </w:pPr>
          </w:p>
        </w:tc>
        <w:tc>
          <w:tcPr>
            <w:tcW w:w="2471" w:type="dxa"/>
            <w:tcBorders>
              <w:top w:val="single" w:color="auto" w:sz="4" w:space="0"/>
              <w:left w:val="single" w:color="auto" w:sz="4" w:space="0"/>
              <w:bottom w:val="single" w:color="auto" w:sz="4" w:space="0"/>
              <w:right w:val="single" w:color="auto" w:sz="4" w:space="0"/>
            </w:tcBorders>
            <w:vAlign w:val="center"/>
          </w:tcPr>
          <w:p w14:paraId="75FEB4E6">
            <w:pPr>
              <w:spacing w:line="360" w:lineRule="auto"/>
              <w:jc w:val="center"/>
              <w:rPr>
                <w:rFonts w:hint="eastAsia"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76ECF8B">
            <w:pPr>
              <w:spacing w:line="360" w:lineRule="auto"/>
              <w:jc w:val="center"/>
              <w:rPr>
                <w:rFonts w:hint="eastAsia"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1CE83C">
            <w:pPr>
              <w:spacing w:line="360" w:lineRule="auto"/>
              <w:jc w:val="center"/>
              <w:rPr>
                <w:rFonts w:hint="eastAsia" w:ascii="宋体" w:hAnsi="宋体" w:cs="宋体"/>
                <w:color w:val="auto"/>
                <w:highlight w:val="none"/>
              </w:rPr>
            </w:pPr>
          </w:p>
        </w:tc>
      </w:tr>
      <w:tr w14:paraId="6F05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560556">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17B066">
            <w:pPr>
              <w:snapToGrid w:val="0"/>
              <w:spacing w:line="360" w:lineRule="auto"/>
              <w:jc w:val="center"/>
              <w:rPr>
                <w:rFonts w:hint="eastAsia" w:ascii="宋体" w:hAnsi="宋体" w:cs="宋体"/>
                <w:color w:val="auto"/>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0D71224">
            <w:pPr>
              <w:snapToGrid w:val="0"/>
              <w:spacing w:line="360" w:lineRule="auto"/>
              <w:jc w:val="center"/>
              <w:rPr>
                <w:rFonts w:hint="eastAsia"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5DFEE29">
            <w:pPr>
              <w:snapToGrid w:val="0"/>
              <w:spacing w:line="360" w:lineRule="auto"/>
              <w:jc w:val="center"/>
              <w:rPr>
                <w:rFonts w:hint="eastAsia" w:ascii="宋体" w:hAnsi="宋体" w:cs="宋体"/>
                <w:color w:val="auto"/>
                <w:highlight w:val="none"/>
              </w:rPr>
            </w:pPr>
          </w:p>
        </w:tc>
        <w:tc>
          <w:tcPr>
            <w:tcW w:w="2471" w:type="dxa"/>
            <w:tcBorders>
              <w:top w:val="single" w:color="auto" w:sz="4" w:space="0"/>
              <w:left w:val="single" w:color="auto" w:sz="4" w:space="0"/>
              <w:bottom w:val="single" w:color="auto" w:sz="4" w:space="0"/>
              <w:right w:val="single" w:color="auto" w:sz="4" w:space="0"/>
            </w:tcBorders>
            <w:vAlign w:val="center"/>
          </w:tcPr>
          <w:p w14:paraId="7AC050C4">
            <w:pPr>
              <w:spacing w:line="360" w:lineRule="auto"/>
              <w:jc w:val="center"/>
              <w:rPr>
                <w:rFonts w:hint="eastAsia"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E7600C">
            <w:pPr>
              <w:spacing w:line="360" w:lineRule="auto"/>
              <w:jc w:val="center"/>
              <w:rPr>
                <w:rFonts w:hint="eastAsia"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D5C751D">
            <w:pPr>
              <w:spacing w:line="360" w:lineRule="auto"/>
              <w:jc w:val="center"/>
              <w:rPr>
                <w:rFonts w:hint="eastAsia" w:ascii="宋体" w:hAnsi="宋体" w:cs="宋体"/>
                <w:color w:val="auto"/>
                <w:highlight w:val="none"/>
              </w:rPr>
            </w:pPr>
          </w:p>
        </w:tc>
      </w:tr>
      <w:tr w14:paraId="34BD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442D8">
            <w:pPr>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E54471">
            <w:pPr>
              <w:snapToGrid w:val="0"/>
              <w:spacing w:line="360" w:lineRule="auto"/>
              <w:jc w:val="center"/>
              <w:rPr>
                <w:rFonts w:hint="eastAsia" w:ascii="宋体" w:hAnsi="宋体" w:cs="宋体"/>
                <w:color w:val="auto"/>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437F7313">
            <w:pPr>
              <w:snapToGrid w:val="0"/>
              <w:spacing w:line="360" w:lineRule="auto"/>
              <w:jc w:val="center"/>
              <w:rPr>
                <w:rFonts w:hint="eastAsia"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B6E7972">
            <w:pPr>
              <w:snapToGrid w:val="0"/>
              <w:spacing w:line="360" w:lineRule="auto"/>
              <w:jc w:val="center"/>
              <w:rPr>
                <w:rFonts w:hint="eastAsia" w:ascii="宋体" w:hAnsi="宋体" w:cs="宋体"/>
                <w:color w:val="auto"/>
                <w:highlight w:val="none"/>
              </w:rPr>
            </w:pPr>
          </w:p>
        </w:tc>
        <w:tc>
          <w:tcPr>
            <w:tcW w:w="2471" w:type="dxa"/>
            <w:tcBorders>
              <w:top w:val="single" w:color="auto" w:sz="4" w:space="0"/>
              <w:left w:val="single" w:color="auto" w:sz="4" w:space="0"/>
              <w:bottom w:val="single" w:color="auto" w:sz="4" w:space="0"/>
              <w:right w:val="single" w:color="auto" w:sz="4" w:space="0"/>
            </w:tcBorders>
            <w:vAlign w:val="center"/>
          </w:tcPr>
          <w:p w14:paraId="2835C037">
            <w:pPr>
              <w:spacing w:line="360" w:lineRule="auto"/>
              <w:jc w:val="center"/>
              <w:rPr>
                <w:rFonts w:hint="eastAsia"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1BC17E">
            <w:pPr>
              <w:spacing w:line="360" w:lineRule="auto"/>
              <w:jc w:val="center"/>
              <w:rPr>
                <w:rFonts w:hint="eastAsia"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DACB81">
            <w:pPr>
              <w:spacing w:line="360" w:lineRule="auto"/>
              <w:jc w:val="center"/>
              <w:rPr>
                <w:rFonts w:hint="eastAsia" w:ascii="宋体" w:hAnsi="宋体" w:cs="宋体"/>
                <w:color w:val="auto"/>
                <w:highlight w:val="none"/>
              </w:rPr>
            </w:pPr>
          </w:p>
        </w:tc>
      </w:tr>
    </w:tbl>
    <w:p w14:paraId="6F952646">
      <w:pPr>
        <w:spacing w:line="360" w:lineRule="auto"/>
        <w:ind w:right="420"/>
        <w:rPr>
          <w:rFonts w:hint="eastAsia" w:ascii="宋体" w:hAnsi="宋体" w:cs="宋体"/>
          <w:color w:val="auto"/>
          <w:highlight w:val="none"/>
        </w:rPr>
      </w:pPr>
      <w:r>
        <w:rPr>
          <w:rFonts w:hint="eastAsia" w:ascii="宋体" w:hAnsi="宋体" w:cs="宋体"/>
          <w:color w:val="auto"/>
          <w:highlight w:val="none"/>
        </w:rPr>
        <w:t>注：按本格式和要求提供。</w:t>
      </w:r>
    </w:p>
    <w:p w14:paraId="47EA4B2F">
      <w:pPr>
        <w:jc w:val="center"/>
        <w:rPr>
          <w:rFonts w:hint="eastAsia" w:ascii="宋体" w:hAnsi="宋体" w:cs="宋体"/>
          <w:b/>
          <w:color w:val="auto"/>
          <w:kern w:val="0"/>
          <w:sz w:val="32"/>
          <w:szCs w:val="32"/>
          <w:highlight w:val="none"/>
        </w:rPr>
      </w:pPr>
    </w:p>
    <w:p w14:paraId="02531861">
      <w:pPr>
        <w:jc w:val="center"/>
        <w:rPr>
          <w:rFonts w:hint="eastAsia" w:ascii="宋体" w:hAnsi="宋体" w:cs="宋体"/>
          <w:b/>
          <w:color w:val="auto"/>
          <w:kern w:val="0"/>
          <w:sz w:val="32"/>
          <w:szCs w:val="32"/>
          <w:highlight w:val="none"/>
        </w:rPr>
      </w:pPr>
    </w:p>
    <w:p w14:paraId="48DAED9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DBA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D9CE72">
            <w:pPr>
              <w:ind w:left="-410" w:right="-586" w:firstLine="576"/>
              <w:jc w:val="center"/>
              <w:rPr>
                <w:rFonts w:hint="eastAsia" w:ascii="宋体" w:hAnsi="宋体" w:cs="宋体"/>
                <w:b/>
                <w:bCs/>
                <w:color w:val="auto"/>
                <w:kern w:val="0"/>
                <w:highlight w:val="none"/>
              </w:rPr>
            </w:pPr>
            <w:r>
              <w:rPr>
                <w:rFonts w:hint="eastAsia" w:ascii="宋体" w:hAnsi="宋体" w:cs="宋体"/>
                <w:b/>
                <w:bCs/>
                <w:color w:val="auto"/>
                <w:kern w:val="0"/>
                <w:highlight w:val="none"/>
              </w:rPr>
              <w:t>序号</w:t>
            </w:r>
          </w:p>
        </w:tc>
        <w:tc>
          <w:tcPr>
            <w:tcW w:w="3683" w:type="dxa"/>
          </w:tcPr>
          <w:p w14:paraId="6BD196F2">
            <w:pPr>
              <w:ind w:left="-410" w:right="-586" w:firstLine="576"/>
              <w:jc w:val="center"/>
              <w:rPr>
                <w:rFonts w:hint="eastAsia" w:ascii="宋体" w:hAnsi="宋体" w:cs="宋体"/>
                <w:b/>
                <w:bCs/>
                <w:color w:val="auto"/>
                <w:kern w:val="0"/>
                <w:highlight w:val="none"/>
              </w:rPr>
            </w:pPr>
            <w:r>
              <w:rPr>
                <w:rFonts w:hint="eastAsia" w:ascii="宋体" w:hAnsi="宋体" w:cs="宋体"/>
                <w:b/>
                <w:bCs/>
                <w:color w:val="auto"/>
                <w:kern w:val="0"/>
                <w:highlight w:val="none"/>
              </w:rPr>
              <w:t>采购文件章节及具体内容</w:t>
            </w:r>
          </w:p>
        </w:tc>
        <w:tc>
          <w:tcPr>
            <w:tcW w:w="3546" w:type="dxa"/>
          </w:tcPr>
          <w:p w14:paraId="6298B035">
            <w:pPr>
              <w:ind w:left="-410" w:right="-586" w:firstLine="576"/>
              <w:jc w:val="center"/>
              <w:rPr>
                <w:rFonts w:hint="eastAsia" w:ascii="宋体" w:hAnsi="宋体" w:cs="宋体"/>
                <w:b/>
                <w:bCs/>
                <w:color w:val="auto"/>
                <w:kern w:val="0"/>
                <w:highlight w:val="none"/>
              </w:rPr>
            </w:pPr>
            <w:r>
              <w:rPr>
                <w:rFonts w:hint="eastAsia" w:ascii="宋体" w:hAnsi="宋体" w:cs="宋体"/>
                <w:b/>
                <w:bCs/>
                <w:color w:val="auto"/>
                <w:kern w:val="0"/>
                <w:highlight w:val="none"/>
              </w:rPr>
              <w:t>投标文件章节及具体内容</w:t>
            </w:r>
          </w:p>
        </w:tc>
        <w:tc>
          <w:tcPr>
            <w:tcW w:w="1276" w:type="dxa"/>
          </w:tcPr>
          <w:p w14:paraId="16ACC97B">
            <w:pPr>
              <w:ind w:left="-410" w:right="-586" w:firstLine="576"/>
              <w:jc w:val="center"/>
              <w:rPr>
                <w:rFonts w:hint="eastAsia" w:ascii="宋体" w:hAnsi="宋体" w:cs="宋体"/>
                <w:b/>
                <w:bCs/>
                <w:color w:val="auto"/>
                <w:kern w:val="0"/>
                <w:highlight w:val="none"/>
              </w:rPr>
            </w:pPr>
            <w:r>
              <w:rPr>
                <w:rFonts w:hint="eastAsia" w:ascii="宋体" w:hAnsi="宋体" w:cs="宋体"/>
                <w:b/>
                <w:bCs/>
                <w:color w:val="auto"/>
                <w:kern w:val="0"/>
                <w:highlight w:val="none"/>
              </w:rPr>
              <w:t>偏离说明</w:t>
            </w:r>
          </w:p>
        </w:tc>
      </w:tr>
      <w:tr w14:paraId="4F4F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4B95B9">
            <w:pPr>
              <w:ind w:left="-410" w:right="-586" w:firstLine="574"/>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3683" w:type="dxa"/>
          </w:tcPr>
          <w:p w14:paraId="07BBCA14">
            <w:pPr>
              <w:ind w:left="-410" w:right="-586" w:firstLine="768"/>
              <w:jc w:val="center"/>
              <w:rPr>
                <w:rFonts w:hint="eastAsia" w:ascii="宋体" w:hAnsi="宋体" w:cs="宋体"/>
                <w:b/>
                <w:color w:val="auto"/>
                <w:kern w:val="0"/>
                <w:sz w:val="32"/>
                <w:szCs w:val="32"/>
                <w:highlight w:val="none"/>
              </w:rPr>
            </w:pPr>
          </w:p>
        </w:tc>
        <w:tc>
          <w:tcPr>
            <w:tcW w:w="3546" w:type="dxa"/>
          </w:tcPr>
          <w:p w14:paraId="4A441C16">
            <w:pPr>
              <w:ind w:left="-410" w:right="-586" w:firstLine="768"/>
              <w:jc w:val="center"/>
              <w:rPr>
                <w:rFonts w:hint="eastAsia" w:ascii="宋体" w:hAnsi="宋体" w:cs="宋体"/>
                <w:b/>
                <w:color w:val="auto"/>
                <w:kern w:val="0"/>
                <w:sz w:val="32"/>
                <w:szCs w:val="32"/>
                <w:highlight w:val="none"/>
              </w:rPr>
            </w:pPr>
          </w:p>
        </w:tc>
        <w:tc>
          <w:tcPr>
            <w:tcW w:w="1276" w:type="dxa"/>
          </w:tcPr>
          <w:p w14:paraId="31F64206">
            <w:pPr>
              <w:ind w:left="-410" w:right="-586" w:firstLine="768"/>
              <w:jc w:val="center"/>
              <w:rPr>
                <w:rFonts w:hint="eastAsia" w:ascii="宋体" w:hAnsi="宋体" w:cs="宋体"/>
                <w:b/>
                <w:color w:val="auto"/>
                <w:kern w:val="0"/>
                <w:sz w:val="32"/>
                <w:szCs w:val="32"/>
                <w:highlight w:val="none"/>
              </w:rPr>
            </w:pPr>
          </w:p>
        </w:tc>
      </w:tr>
      <w:tr w14:paraId="7CEC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86C72F">
            <w:pPr>
              <w:ind w:left="-410" w:right="-586" w:firstLine="574"/>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3683" w:type="dxa"/>
          </w:tcPr>
          <w:p w14:paraId="769421F9">
            <w:pPr>
              <w:ind w:left="-410" w:right="-586" w:firstLine="768"/>
              <w:jc w:val="center"/>
              <w:rPr>
                <w:rFonts w:hint="eastAsia" w:ascii="宋体" w:hAnsi="宋体" w:cs="宋体"/>
                <w:b/>
                <w:color w:val="auto"/>
                <w:kern w:val="0"/>
                <w:sz w:val="32"/>
                <w:szCs w:val="32"/>
                <w:highlight w:val="none"/>
              </w:rPr>
            </w:pPr>
          </w:p>
        </w:tc>
        <w:tc>
          <w:tcPr>
            <w:tcW w:w="3546" w:type="dxa"/>
          </w:tcPr>
          <w:p w14:paraId="2BE84DBC">
            <w:pPr>
              <w:ind w:left="-410" w:right="-586" w:firstLine="768"/>
              <w:jc w:val="center"/>
              <w:rPr>
                <w:rFonts w:hint="eastAsia" w:ascii="宋体" w:hAnsi="宋体" w:cs="宋体"/>
                <w:b/>
                <w:color w:val="auto"/>
                <w:kern w:val="0"/>
                <w:sz w:val="32"/>
                <w:szCs w:val="32"/>
                <w:highlight w:val="none"/>
              </w:rPr>
            </w:pPr>
          </w:p>
        </w:tc>
        <w:tc>
          <w:tcPr>
            <w:tcW w:w="1276" w:type="dxa"/>
          </w:tcPr>
          <w:p w14:paraId="09FAFDF1">
            <w:pPr>
              <w:ind w:left="-410" w:right="-586" w:firstLine="768"/>
              <w:jc w:val="center"/>
              <w:rPr>
                <w:rFonts w:hint="eastAsia" w:ascii="宋体" w:hAnsi="宋体" w:cs="宋体"/>
                <w:b/>
                <w:color w:val="auto"/>
                <w:kern w:val="0"/>
                <w:sz w:val="32"/>
                <w:szCs w:val="32"/>
                <w:highlight w:val="none"/>
              </w:rPr>
            </w:pPr>
          </w:p>
        </w:tc>
      </w:tr>
      <w:tr w14:paraId="57D1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FA181B">
            <w:pPr>
              <w:ind w:left="-410" w:right="-586" w:firstLine="574"/>
              <w:jc w:val="center"/>
              <w:rPr>
                <w:rFonts w:hint="eastAsia" w:ascii="宋体" w:hAnsi="宋体" w:cs="宋体"/>
                <w:color w:val="auto"/>
                <w:kern w:val="0"/>
                <w:highlight w:val="none"/>
              </w:rPr>
            </w:pPr>
            <w:r>
              <w:rPr>
                <w:rFonts w:hint="eastAsia" w:ascii="宋体" w:hAnsi="宋体" w:cs="宋体"/>
                <w:color w:val="auto"/>
                <w:kern w:val="0"/>
                <w:highlight w:val="none"/>
              </w:rPr>
              <w:t>……</w:t>
            </w:r>
          </w:p>
        </w:tc>
        <w:tc>
          <w:tcPr>
            <w:tcW w:w="3683" w:type="dxa"/>
          </w:tcPr>
          <w:p w14:paraId="587B8C1D">
            <w:pPr>
              <w:ind w:left="-410" w:right="-586" w:firstLine="768"/>
              <w:jc w:val="center"/>
              <w:rPr>
                <w:rFonts w:hint="eastAsia" w:ascii="宋体" w:hAnsi="宋体" w:cs="宋体"/>
                <w:b/>
                <w:color w:val="auto"/>
                <w:kern w:val="0"/>
                <w:sz w:val="32"/>
                <w:szCs w:val="32"/>
                <w:highlight w:val="none"/>
              </w:rPr>
            </w:pPr>
          </w:p>
        </w:tc>
        <w:tc>
          <w:tcPr>
            <w:tcW w:w="3546" w:type="dxa"/>
          </w:tcPr>
          <w:p w14:paraId="16BB193E">
            <w:pPr>
              <w:ind w:left="-410" w:right="-586" w:firstLine="768"/>
              <w:jc w:val="center"/>
              <w:rPr>
                <w:rFonts w:hint="eastAsia" w:ascii="宋体" w:hAnsi="宋体" w:cs="宋体"/>
                <w:b/>
                <w:color w:val="auto"/>
                <w:kern w:val="0"/>
                <w:sz w:val="32"/>
                <w:szCs w:val="32"/>
                <w:highlight w:val="none"/>
              </w:rPr>
            </w:pPr>
          </w:p>
        </w:tc>
        <w:tc>
          <w:tcPr>
            <w:tcW w:w="1276" w:type="dxa"/>
          </w:tcPr>
          <w:p w14:paraId="22C417CC">
            <w:pPr>
              <w:ind w:left="-410" w:right="-586" w:firstLine="768"/>
              <w:jc w:val="center"/>
              <w:rPr>
                <w:rFonts w:hint="eastAsia" w:ascii="宋体" w:hAnsi="宋体" w:cs="宋体"/>
                <w:b/>
                <w:color w:val="auto"/>
                <w:kern w:val="0"/>
                <w:sz w:val="32"/>
                <w:szCs w:val="32"/>
                <w:highlight w:val="none"/>
              </w:rPr>
            </w:pPr>
          </w:p>
        </w:tc>
      </w:tr>
    </w:tbl>
    <w:p w14:paraId="2268F0E1">
      <w:pPr>
        <w:jc w:val="left"/>
        <w:rPr>
          <w:rFonts w:hint="eastAsia" w:ascii="宋体" w:hAnsi="宋体" w:cs="宋体"/>
          <w:color w:val="auto"/>
          <w:kern w:val="0"/>
          <w:highlight w:val="none"/>
        </w:rPr>
      </w:pPr>
      <w:r>
        <w:rPr>
          <w:rFonts w:hint="eastAsia" w:ascii="宋体" w:hAnsi="宋体" w:cs="宋体"/>
          <w:color w:val="auto"/>
          <w:kern w:val="0"/>
          <w:highlight w:val="none"/>
        </w:rPr>
        <w:t>供应商保证：除商务技术偏离表列出的偏离外，供应商响应采购文件的全部要求</w:t>
      </w:r>
    </w:p>
    <w:p w14:paraId="2EEDA794">
      <w:pPr>
        <w:jc w:val="center"/>
        <w:rPr>
          <w:rFonts w:hint="eastAsia" w:ascii="宋体" w:hAnsi="宋体" w:cs="宋体"/>
          <w:b/>
          <w:color w:val="auto"/>
          <w:kern w:val="0"/>
          <w:sz w:val="32"/>
          <w:szCs w:val="32"/>
          <w:highlight w:val="none"/>
        </w:rPr>
      </w:pPr>
    </w:p>
    <w:p w14:paraId="6E42A950">
      <w:pPr>
        <w:spacing w:line="360" w:lineRule="auto"/>
        <w:ind w:right="420"/>
        <w:rPr>
          <w:rFonts w:hint="eastAsia" w:ascii="宋体" w:hAnsi="宋体" w:cs="宋体"/>
          <w:color w:val="auto"/>
          <w:highlight w:val="none"/>
        </w:rPr>
      </w:pPr>
      <w:r>
        <w:rPr>
          <w:rFonts w:hint="eastAsia" w:ascii="宋体" w:hAnsi="宋体" w:cs="宋体"/>
          <w:color w:val="auto"/>
          <w:highlight w:val="none"/>
        </w:rPr>
        <w:t>注：按本格式和要求提供。</w:t>
      </w:r>
    </w:p>
    <w:p w14:paraId="0E664605">
      <w:pPr>
        <w:ind w:firstLine="1911" w:firstLineChars="595"/>
        <w:rPr>
          <w:rFonts w:hint="eastAsia" w:ascii="宋体" w:hAnsi="宋体" w:cs="宋体"/>
          <w:b/>
          <w:bCs/>
          <w:color w:val="auto"/>
          <w:sz w:val="32"/>
          <w:szCs w:val="32"/>
          <w:highlight w:val="none"/>
        </w:rPr>
      </w:pPr>
    </w:p>
    <w:p w14:paraId="0498ED49">
      <w:pPr>
        <w:ind w:firstLine="1911" w:firstLineChars="595"/>
        <w:rPr>
          <w:rFonts w:hint="eastAsia" w:ascii="宋体" w:hAnsi="宋体" w:cs="宋体"/>
          <w:b/>
          <w:bCs/>
          <w:color w:val="auto"/>
          <w:sz w:val="32"/>
          <w:szCs w:val="32"/>
          <w:highlight w:val="none"/>
        </w:rPr>
      </w:pPr>
    </w:p>
    <w:p w14:paraId="79D3B739">
      <w:pPr>
        <w:ind w:firstLine="1911" w:firstLineChars="595"/>
        <w:rPr>
          <w:rFonts w:hint="eastAsia" w:ascii="宋体" w:hAnsi="宋体" w:cs="宋体"/>
          <w:b/>
          <w:bCs/>
          <w:color w:val="auto"/>
          <w:sz w:val="32"/>
          <w:szCs w:val="32"/>
          <w:highlight w:val="none"/>
        </w:rPr>
      </w:pPr>
    </w:p>
    <w:p w14:paraId="4A28FE44">
      <w:pPr>
        <w:ind w:firstLine="1911" w:firstLineChars="595"/>
        <w:rPr>
          <w:rFonts w:hint="eastAsia" w:ascii="宋体" w:hAnsi="宋体" w:cs="宋体"/>
          <w:b/>
          <w:bCs/>
          <w:color w:val="auto"/>
          <w:sz w:val="32"/>
          <w:szCs w:val="32"/>
          <w:highlight w:val="none"/>
        </w:rPr>
      </w:pPr>
    </w:p>
    <w:p w14:paraId="21AF5A96">
      <w:pPr>
        <w:ind w:firstLine="1911" w:firstLineChars="595"/>
        <w:rPr>
          <w:rFonts w:hint="eastAsia" w:ascii="宋体" w:hAnsi="宋体" w:cs="宋体"/>
          <w:b/>
          <w:bCs/>
          <w:color w:val="auto"/>
          <w:sz w:val="32"/>
          <w:szCs w:val="32"/>
          <w:highlight w:val="none"/>
        </w:rPr>
      </w:pPr>
    </w:p>
    <w:p w14:paraId="5F32E4D6">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3E81D65C">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609617D">
      <w:pPr>
        <w:snapToGrid w:val="0"/>
        <w:spacing w:line="360" w:lineRule="auto"/>
        <w:rPr>
          <w:rFonts w:hint="eastAsia" w:ascii="宋体" w:hAnsi="宋体" w:cs="宋体"/>
          <w:color w:val="auto"/>
          <w:highlight w:val="none"/>
        </w:rPr>
      </w:pPr>
    </w:p>
    <w:p w14:paraId="00EDB8A1">
      <w:pPr>
        <w:snapToGrid w:val="0"/>
        <w:spacing w:line="360" w:lineRule="auto"/>
        <w:rPr>
          <w:rFonts w:hint="eastAsia" w:ascii="宋体" w:hAnsi="宋体" w:cs="宋体"/>
          <w:color w:val="auto"/>
          <w:highlight w:val="none"/>
        </w:rPr>
      </w:pPr>
      <w:r>
        <w:rPr>
          <w:rFonts w:hint="eastAsia" w:ascii="宋体" w:hAnsi="宋体" w:cs="宋体"/>
          <w:color w:val="auto"/>
          <w:highlight w:val="none"/>
        </w:rPr>
        <w:t>浙江省杭州市拱墅区半山街道杭玻阔板桥社区居民委员会、浙江正浩招标代理有限公司</w:t>
      </w:r>
      <w:r>
        <w:rPr>
          <w:rFonts w:hint="eastAsia" w:ascii="宋体" w:hAnsi="宋体" w:cs="宋体"/>
          <w:color w:val="auto"/>
          <w:highlight w:val="none"/>
          <w:lang w:val="zh-CN"/>
        </w:rPr>
        <w:t>：</w:t>
      </w:r>
    </w:p>
    <w:p w14:paraId="3AD09F27">
      <w:pPr>
        <w:autoSpaceDE w:val="0"/>
        <w:autoSpaceDN w:val="0"/>
        <w:spacing w:line="360" w:lineRule="auto"/>
        <w:ind w:left="2" w:leftChars="1"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我单位投标你</w:t>
      </w:r>
      <w:r>
        <w:rPr>
          <w:rFonts w:hint="eastAsia" w:ascii="宋体" w:hAnsi="宋体" w:cs="宋体"/>
          <w:color w:val="auto"/>
          <w:highlight w:val="none"/>
        </w:rPr>
        <w:t>单位</w:t>
      </w:r>
      <w:r>
        <w:rPr>
          <w:rFonts w:hint="eastAsia" w:ascii="宋体" w:hAnsi="宋体" w:cs="宋体"/>
          <w:color w:val="auto"/>
          <w:kern w:val="0"/>
          <w:highlight w:val="none"/>
          <w:lang w:val="zh-CN"/>
        </w:rPr>
        <w:t>项目采购要求。在这次投标过程中和</w:t>
      </w:r>
      <w:r>
        <w:rPr>
          <w:rFonts w:hint="eastAsia" w:ascii="宋体" w:hAnsi="宋体" w:cs="宋体"/>
          <w:color w:val="auto"/>
          <w:kern w:val="0"/>
          <w:highlight w:val="none"/>
        </w:rPr>
        <w:t>中标</w:t>
      </w:r>
      <w:r>
        <w:rPr>
          <w:rFonts w:hint="eastAsia" w:ascii="宋体" w:hAnsi="宋体" w:cs="宋体"/>
          <w:color w:val="auto"/>
          <w:kern w:val="0"/>
          <w:highlight w:val="none"/>
          <w:lang w:val="zh-CN"/>
        </w:rPr>
        <w:t>后，我们将严格遵守国家法律法规要求，并郑重承诺：</w:t>
      </w:r>
    </w:p>
    <w:p w14:paraId="70766A84">
      <w:pPr>
        <w:autoSpaceDE w:val="0"/>
        <w:autoSpaceDN w:val="0"/>
        <w:spacing w:line="360" w:lineRule="auto"/>
        <w:ind w:left="2" w:leftChars="1"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一、不向项目有关人员及部门赠送礼金礼物、有价证券、回扣以及中介费、介绍费、咨询费等好处费； </w:t>
      </w:r>
    </w:p>
    <w:p w14:paraId="09E13CF9">
      <w:pPr>
        <w:autoSpaceDE w:val="0"/>
        <w:autoSpaceDN w:val="0"/>
        <w:spacing w:line="360" w:lineRule="auto"/>
        <w:ind w:left="2" w:leftChars="1"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二、不为项目有关人员及部门报销应由你方单位或个人支付的费用； </w:t>
      </w:r>
    </w:p>
    <w:p w14:paraId="20ECC90B">
      <w:pPr>
        <w:autoSpaceDE w:val="0"/>
        <w:autoSpaceDN w:val="0"/>
        <w:spacing w:line="360" w:lineRule="auto"/>
        <w:ind w:left="2" w:leftChars="1"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三、不向项目有关人员及部门提供有可能影响公正的宴请和健身娱乐等活动； </w:t>
      </w:r>
    </w:p>
    <w:p w14:paraId="36E96165">
      <w:pPr>
        <w:autoSpaceDE w:val="0"/>
        <w:autoSpaceDN w:val="0"/>
        <w:spacing w:line="360" w:lineRule="auto"/>
        <w:ind w:left="2" w:leftChars="1"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四、不为项目有关人员及部门出国（境）、旅游等提供方便；</w:t>
      </w:r>
    </w:p>
    <w:p w14:paraId="324A3496">
      <w:pPr>
        <w:autoSpaceDE w:val="0"/>
        <w:autoSpaceDN w:val="0"/>
        <w:spacing w:line="360" w:lineRule="auto"/>
        <w:ind w:left="550" w:leftChars="229"/>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五、不为项目有关人员个人装修住房、婚丧嫁娶、配偶子女工作安排等提供</w:t>
      </w:r>
    </w:p>
    <w:p w14:paraId="63D0309D">
      <w:pPr>
        <w:autoSpaceDE w:val="0"/>
        <w:autoSpaceDN w:val="0"/>
        <w:spacing w:line="360" w:lineRule="auto"/>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好处；</w:t>
      </w:r>
    </w:p>
    <w:p w14:paraId="44E5D3DF">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六、严格遵守《中华人民共和国政府采购法》《中华人民共和国招标投标法》《中华人民共和国民法典》等法律法规，诚实守信，合法经营，坚决抵制各种违法违纪行为。 </w:t>
      </w:r>
    </w:p>
    <w:p w14:paraId="3FFDEDE0">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如违反上述承诺，你</w:t>
      </w:r>
      <w:r>
        <w:rPr>
          <w:rFonts w:hint="eastAsia" w:ascii="宋体" w:hAnsi="宋体" w:cs="宋体"/>
          <w:color w:val="auto"/>
          <w:highlight w:val="none"/>
        </w:rPr>
        <w:t>单位</w:t>
      </w:r>
      <w:r>
        <w:rPr>
          <w:rFonts w:hint="eastAsia" w:ascii="宋体" w:hAnsi="宋体" w:cs="宋体"/>
          <w:color w:val="auto"/>
          <w:kern w:val="0"/>
          <w:highlight w:val="none"/>
          <w:lang w:val="zh-CN"/>
        </w:rPr>
        <w:t>有权立即取消我单位投标、</w:t>
      </w:r>
      <w:r>
        <w:rPr>
          <w:rFonts w:hint="eastAsia" w:ascii="宋体" w:hAnsi="宋体" w:cs="宋体"/>
          <w:color w:val="auto"/>
          <w:kern w:val="0"/>
          <w:highlight w:val="none"/>
        </w:rPr>
        <w:t>中标</w:t>
      </w:r>
      <w:r>
        <w:rPr>
          <w:rFonts w:hint="eastAsia" w:ascii="宋体" w:hAnsi="宋体" w:cs="宋体"/>
          <w:color w:val="auto"/>
          <w:kern w:val="0"/>
          <w:highlight w:val="none"/>
          <w:lang w:val="zh-CN"/>
        </w:rPr>
        <w:t>或在建项目的建设资格，有权拒绝我单位在一定时期内进入你</w:t>
      </w:r>
      <w:r>
        <w:rPr>
          <w:rFonts w:hint="eastAsia" w:ascii="宋体" w:hAnsi="宋体" w:cs="宋体"/>
          <w:color w:val="auto"/>
          <w:highlight w:val="none"/>
        </w:rPr>
        <w:t>单位</w:t>
      </w:r>
      <w:r>
        <w:rPr>
          <w:rFonts w:hint="eastAsia" w:ascii="宋体" w:hAnsi="宋体" w:cs="宋体"/>
          <w:color w:val="auto"/>
          <w:kern w:val="0"/>
          <w:highlight w:val="none"/>
          <w:lang w:val="zh-CN"/>
        </w:rPr>
        <w:t>进行项目建设或其他经营活动，并通报市财政局。由此引起的相应损失均由我单位承担。</w:t>
      </w:r>
    </w:p>
    <w:p w14:paraId="0B9B7861">
      <w:pPr>
        <w:autoSpaceDE w:val="0"/>
        <w:autoSpaceDN w:val="0"/>
        <w:spacing w:line="360" w:lineRule="auto"/>
        <w:ind w:left="2"/>
        <w:jc w:val="left"/>
        <w:rPr>
          <w:rFonts w:hint="eastAsia" w:ascii="宋体" w:hAnsi="宋体" w:cs="宋体"/>
          <w:color w:val="auto"/>
          <w:kern w:val="0"/>
          <w:highlight w:val="none"/>
          <w:lang w:val="zh-CN"/>
        </w:rPr>
      </w:pPr>
    </w:p>
    <w:p w14:paraId="6665D815">
      <w:pPr>
        <w:autoSpaceDE w:val="0"/>
        <w:autoSpaceDN w:val="0"/>
        <w:spacing w:line="360" w:lineRule="auto"/>
        <w:ind w:left="2"/>
        <w:jc w:val="left"/>
        <w:rPr>
          <w:rFonts w:hint="eastAsia" w:ascii="宋体" w:hAnsi="宋体" w:cs="宋体"/>
          <w:color w:val="auto"/>
          <w:kern w:val="0"/>
          <w:highlight w:val="none"/>
          <w:lang w:val="zh-CN"/>
        </w:rPr>
      </w:pPr>
    </w:p>
    <w:p w14:paraId="6C1F9C55">
      <w:pPr>
        <w:autoSpaceDE w:val="0"/>
        <w:autoSpaceDN w:val="0"/>
        <w:spacing w:line="360" w:lineRule="auto"/>
        <w:ind w:left="2"/>
        <w:jc w:val="left"/>
        <w:rPr>
          <w:rFonts w:hint="eastAsia" w:ascii="宋体" w:hAnsi="宋体" w:cs="宋体"/>
          <w:color w:val="auto"/>
          <w:kern w:val="0"/>
          <w:highlight w:val="none"/>
          <w:lang w:val="zh-CN"/>
        </w:rPr>
      </w:pPr>
    </w:p>
    <w:p w14:paraId="13BD48A4">
      <w:pPr>
        <w:autoSpaceDE w:val="0"/>
        <w:autoSpaceDN w:val="0"/>
        <w:spacing w:line="360" w:lineRule="auto"/>
        <w:ind w:left="2" w:leftChars="1" w:right="1120" w:firstLine="4560" w:firstLineChars="19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供应商名称（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14:paraId="5F987472">
      <w:pPr>
        <w:spacing w:line="360" w:lineRule="auto"/>
        <w:ind w:left="5280" w:leftChars="2200"/>
        <w:rPr>
          <w:rFonts w:hint="eastAsia"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lang w:val="zh-CN"/>
        </w:rPr>
        <w:t xml:space="preserve">   年   月   日</w:t>
      </w:r>
    </w:p>
    <w:p w14:paraId="76B83471">
      <w:pPr>
        <w:spacing w:line="360" w:lineRule="auto"/>
        <w:jc w:val="center"/>
        <w:rPr>
          <w:rFonts w:hint="eastAsia" w:ascii="宋体" w:hAnsi="宋体" w:cs="宋体"/>
          <w:b/>
          <w:bCs/>
          <w:color w:val="auto"/>
          <w:highlight w:val="none"/>
        </w:rPr>
      </w:pPr>
    </w:p>
    <w:p w14:paraId="13C0DCFF">
      <w:pPr>
        <w:spacing w:line="360" w:lineRule="auto"/>
        <w:ind w:right="420"/>
        <w:rPr>
          <w:rFonts w:hint="eastAsia" w:ascii="宋体" w:hAnsi="宋体" w:cs="宋体"/>
          <w:color w:val="auto"/>
          <w:highlight w:val="none"/>
        </w:rPr>
      </w:pPr>
      <w:r>
        <w:rPr>
          <w:rFonts w:hint="eastAsia" w:ascii="宋体" w:hAnsi="宋体" w:cs="宋体"/>
          <w:color w:val="auto"/>
          <w:highlight w:val="none"/>
        </w:rPr>
        <w:t>注：按本格式和要求提供。</w:t>
      </w:r>
    </w:p>
    <w:p w14:paraId="68EAE58C">
      <w:pPr>
        <w:spacing w:line="360" w:lineRule="auto"/>
        <w:jc w:val="center"/>
        <w:rPr>
          <w:rFonts w:hint="eastAsia" w:ascii="宋体" w:hAnsi="宋体" w:cs="宋体"/>
          <w:b/>
          <w:bCs/>
          <w:color w:val="auto"/>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6750D92">
      <w:pPr>
        <w:pStyle w:val="3"/>
        <w:jc w:val="center"/>
        <w:rPr>
          <w:rFonts w:hint="eastAsia"/>
          <w:color w:val="auto"/>
          <w:highlight w:val="none"/>
        </w:rPr>
      </w:pPr>
      <w:r>
        <w:rPr>
          <w:rFonts w:hint="eastAsia"/>
          <w:color w:val="auto"/>
          <w:highlight w:val="none"/>
        </w:rPr>
        <w:t>报价文件部分</w:t>
      </w:r>
    </w:p>
    <w:p w14:paraId="2396481F">
      <w:pPr>
        <w:jc w:val="center"/>
        <w:rPr>
          <w:b/>
          <w:bCs/>
          <w:color w:val="auto"/>
          <w:sz w:val="36"/>
          <w:szCs w:val="36"/>
          <w:highlight w:val="none"/>
        </w:rPr>
      </w:pPr>
      <w:r>
        <w:rPr>
          <w:rFonts w:hint="eastAsia"/>
          <w:b/>
          <w:bCs/>
          <w:color w:val="auto"/>
          <w:sz w:val="36"/>
          <w:szCs w:val="36"/>
          <w:highlight w:val="none"/>
        </w:rPr>
        <w:t>目录</w:t>
      </w:r>
    </w:p>
    <w:p w14:paraId="57599BEF">
      <w:pPr>
        <w:jc w:val="left"/>
        <w:rPr>
          <w:color w:val="auto"/>
          <w:highlight w:val="none"/>
        </w:rPr>
      </w:pPr>
    </w:p>
    <w:p w14:paraId="23C01564">
      <w:pPr>
        <w:numPr>
          <w:ilvl w:val="0"/>
          <w:numId w:val="5"/>
        </w:numPr>
        <w:snapToGrid w:val="0"/>
        <w:spacing w:line="360" w:lineRule="auto"/>
        <w:rPr>
          <w:rFonts w:hint="eastAsia" w:ascii="宋体" w:hAnsi="宋体" w:cs="宋体"/>
          <w:color w:val="auto"/>
          <w:highlight w:val="none"/>
        </w:rPr>
      </w:pPr>
      <w:r>
        <w:rPr>
          <w:rFonts w:hint="eastAsia" w:ascii="宋体" w:hAnsi="宋体" w:cs="宋体"/>
          <w:color w:val="auto"/>
          <w:highlight w:val="none"/>
        </w:rPr>
        <w:t>开标一览表（报价表）………………………………………………………（页码）</w:t>
      </w:r>
    </w:p>
    <w:p w14:paraId="1B015095">
      <w:pPr>
        <w:snapToGrid w:val="0"/>
        <w:spacing w:line="360" w:lineRule="auto"/>
        <w:rPr>
          <w:rFonts w:hint="eastAsia" w:ascii="宋体" w:hAnsi="宋体" w:cs="宋体"/>
          <w:color w:val="auto"/>
          <w:highlight w:val="none"/>
        </w:rPr>
      </w:pPr>
      <w:r>
        <w:rPr>
          <w:rFonts w:hint="eastAsia" w:ascii="宋体" w:hAnsi="宋体" w:cs="宋体"/>
          <w:color w:val="auto"/>
          <w:highlight w:val="none"/>
        </w:rPr>
        <w:t>（2）报价明细表……………………………………………………………………（页码）</w:t>
      </w:r>
    </w:p>
    <w:p w14:paraId="1C7D20E6">
      <w:pPr>
        <w:snapToGrid w:val="0"/>
        <w:spacing w:line="360" w:lineRule="auto"/>
        <w:rPr>
          <w:color w:val="auto"/>
          <w:highlight w:val="none"/>
        </w:rPr>
      </w:pPr>
      <w:r>
        <w:rPr>
          <w:rFonts w:hint="eastAsia" w:ascii="宋体" w:hAnsi="宋体" w:cs="宋体"/>
          <w:color w:val="auto"/>
          <w:highlight w:val="none"/>
        </w:rPr>
        <w:t>（3）</w:t>
      </w:r>
      <w:r>
        <w:rPr>
          <w:rFonts w:hint="eastAsia" w:hAnsi="仿宋_GB2312" w:cs="仿宋_GB2312"/>
          <w:bCs/>
          <w:snapToGrid w:val="0"/>
          <w:color w:val="auto"/>
          <w:highlight w:val="none"/>
        </w:rPr>
        <w:t>报价情况说明</w:t>
      </w:r>
      <w:r>
        <w:rPr>
          <w:rFonts w:hint="eastAsia" w:ascii="宋体" w:hAnsi="宋体" w:cs="宋体"/>
          <w:color w:val="auto"/>
          <w:highlight w:val="none"/>
        </w:rPr>
        <w:t>…………………………………………………………………（页码）</w:t>
      </w:r>
    </w:p>
    <w:p w14:paraId="0763D6F3">
      <w:pPr>
        <w:pStyle w:val="37"/>
        <w:rPr>
          <w:rFonts w:hint="eastAsia"/>
          <w:strike/>
          <w:color w:val="auto"/>
          <w:highlight w:val="none"/>
        </w:rPr>
      </w:pPr>
    </w:p>
    <w:p w14:paraId="1C39CF05">
      <w:pPr>
        <w:snapToGrid w:val="0"/>
        <w:spacing w:line="360" w:lineRule="auto"/>
        <w:ind w:right="480"/>
        <w:jc w:val="center"/>
        <w:rPr>
          <w:rFonts w:hint="eastAsia" w:ascii="宋体" w:hAnsi="宋体" w:cs="宋体"/>
          <w:b/>
          <w:color w:val="auto"/>
          <w:kern w:val="0"/>
          <w:sz w:val="32"/>
          <w:szCs w:val="32"/>
          <w:highlight w:val="none"/>
        </w:rPr>
      </w:pPr>
    </w:p>
    <w:p w14:paraId="70C7A2C5">
      <w:pPr>
        <w:snapToGrid w:val="0"/>
        <w:spacing w:line="360" w:lineRule="auto"/>
        <w:ind w:right="480"/>
        <w:jc w:val="center"/>
        <w:rPr>
          <w:rFonts w:hint="eastAsia" w:ascii="宋体" w:hAnsi="宋体" w:cs="宋体"/>
          <w:b/>
          <w:color w:val="auto"/>
          <w:kern w:val="0"/>
          <w:sz w:val="32"/>
          <w:szCs w:val="32"/>
          <w:highlight w:val="none"/>
        </w:rPr>
      </w:pPr>
    </w:p>
    <w:p w14:paraId="35BC42FF">
      <w:pPr>
        <w:snapToGrid w:val="0"/>
        <w:spacing w:line="360" w:lineRule="auto"/>
        <w:ind w:right="480"/>
        <w:jc w:val="center"/>
        <w:rPr>
          <w:rFonts w:hint="eastAsia" w:ascii="宋体" w:hAnsi="宋体" w:cs="宋体"/>
          <w:b/>
          <w:color w:val="auto"/>
          <w:kern w:val="0"/>
          <w:sz w:val="32"/>
          <w:szCs w:val="32"/>
          <w:highlight w:val="none"/>
        </w:rPr>
      </w:pPr>
    </w:p>
    <w:p w14:paraId="12630BFA">
      <w:pPr>
        <w:snapToGrid w:val="0"/>
        <w:spacing w:line="360" w:lineRule="auto"/>
        <w:ind w:right="480"/>
        <w:jc w:val="center"/>
        <w:rPr>
          <w:rFonts w:hint="eastAsia" w:ascii="宋体" w:hAnsi="宋体" w:cs="宋体"/>
          <w:b/>
          <w:color w:val="auto"/>
          <w:kern w:val="0"/>
          <w:sz w:val="32"/>
          <w:szCs w:val="32"/>
          <w:highlight w:val="none"/>
        </w:rPr>
      </w:pPr>
    </w:p>
    <w:p w14:paraId="7CCF3967">
      <w:pPr>
        <w:snapToGrid w:val="0"/>
        <w:spacing w:line="360" w:lineRule="auto"/>
        <w:ind w:right="480"/>
        <w:jc w:val="center"/>
        <w:rPr>
          <w:rFonts w:hint="eastAsia" w:ascii="宋体" w:hAnsi="宋体" w:cs="宋体"/>
          <w:b/>
          <w:color w:val="auto"/>
          <w:kern w:val="0"/>
          <w:sz w:val="32"/>
          <w:szCs w:val="32"/>
          <w:highlight w:val="none"/>
        </w:rPr>
      </w:pPr>
    </w:p>
    <w:p w14:paraId="34DA1E7A">
      <w:pPr>
        <w:snapToGrid w:val="0"/>
        <w:spacing w:line="360" w:lineRule="auto"/>
        <w:ind w:right="480"/>
        <w:jc w:val="center"/>
        <w:rPr>
          <w:rFonts w:hint="eastAsia" w:ascii="宋体" w:hAnsi="宋体" w:cs="宋体"/>
          <w:b/>
          <w:color w:val="auto"/>
          <w:kern w:val="0"/>
          <w:sz w:val="32"/>
          <w:szCs w:val="32"/>
          <w:highlight w:val="none"/>
        </w:rPr>
      </w:pPr>
    </w:p>
    <w:p w14:paraId="2ED0041D">
      <w:pPr>
        <w:snapToGrid w:val="0"/>
        <w:spacing w:line="360" w:lineRule="auto"/>
        <w:ind w:right="480"/>
        <w:jc w:val="center"/>
        <w:rPr>
          <w:rFonts w:hint="eastAsia" w:ascii="宋体" w:hAnsi="宋体" w:cs="宋体"/>
          <w:b/>
          <w:color w:val="auto"/>
          <w:kern w:val="0"/>
          <w:sz w:val="32"/>
          <w:szCs w:val="32"/>
          <w:highlight w:val="none"/>
        </w:rPr>
      </w:pPr>
    </w:p>
    <w:p w14:paraId="7D3AA58C">
      <w:pPr>
        <w:snapToGrid w:val="0"/>
        <w:spacing w:line="360" w:lineRule="auto"/>
        <w:ind w:right="480"/>
        <w:jc w:val="center"/>
        <w:rPr>
          <w:rFonts w:hint="eastAsia" w:ascii="宋体" w:hAnsi="宋体" w:cs="宋体"/>
          <w:b/>
          <w:color w:val="auto"/>
          <w:kern w:val="0"/>
          <w:sz w:val="32"/>
          <w:szCs w:val="32"/>
          <w:highlight w:val="none"/>
        </w:rPr>
      </w:pPr>
    </w:p>
    <w:p w14:paraId="4DEDE3F8">
      <w:pPr>
        <w:snapToGrid w:val="0"/>
        <w:spacing w:line="360" w:lineRule="auto"/>
        <w:ind w:right="480"/>
        <w:jc w:val="center"/>
        <w:rPr>
          <w:rFonts w:hint="eastAsia" w:ascii="宋体" w:hAnsi="宋体" w:cs="宋体"/>
          <w:b/>
          <w:color w:val="auto"/>
          <w:kern w:val="0"/>
          <w:sz w:val="32"/>
          <w:szCs w:val="32"/>
          <w:highlight w:val="none"/>
        </w:rPr>
      </w:pPr>
    </w:p>
    <w:p w14:paraId="3A4F8187">
      <w:pPr>
        <w:snapToGrid w:val="0"/>
        <w:spacing w:line="360" w:lineRule="auto"/>
        <w:ind w:right="480"/>
        <w:jc w:val="center"/>
        <w:rPr>
          <w:rFonts w:hint="eastAsia" w:ascii="宋体" w:hAnsi="宋体" w:cs="宋体"/>
          <w:b/>
          <w:color w:val="auto"/>
          <w:kern w:val="0"/>
          <w:sz w:val="32"/>
          <w:szCs w:val="32"/>
          <w:highlight w:val="none"/>
        </w:rPr>
      </w:pPr>
    </w:p>
    <w:p w14:paraId="1728E91E">
      <w:pPr>
        <w:snapToGrid w:val="0"/>
        <w:spacing w:line="360" w:lineRule="auto"/>
        <w:ind w:right="480"/>
        <w:jc w:val="center"/>
        <w:rPr>
          <w:rFonts w:hint="eastAsia" w:ascii="宋体" w:hAnsi="宋体" w:cs="宋体"/>
          <w:b/>
          <w:color w:val="auto"/>
          <w:kern w:val="0"/>
          <w:sz w:val="32"/>
          <w:szCs w:val="32"/>
          <w:highlight w:val="none"/>
        </w:rPr>
      </w:pPr>
    </w:p>
    <w:p w14:paraId="1783EBE8">
      <w:pPr>
        <w:snapToGrid w:val="0"/>
        <w:spacing w:line="360" w:lineRule="auto"/>
        <w:ind w:right="480"/>
        <w:jc w:val="center"/>
        <w:rPr>
          <w:rFonts w:hint="eastAsia" w:ascii="宋体" w:hAnsi="宋体" w:cs="宋体"/>
          <w:b/>
          <w:color w:val="auto"/>
          <w:kern w:val="0"/>
          <w:sz w:val="32"/>
          <w:szCs w:val="32"/>
          <w:highlight w:val="none"/>
        </w:rPr>
      </w:pPr>
    </w:p>
    <w:p w14:paraId="3AFDEC1D">
      <w:pPr>
        <w:snapToGrid w:val="0"/>
        <w:spacing w:line="360" w:lineRule="auto"/>
        <w:ind w:right="480"/>
        <w:jc w:val="center"/>
        <w:rPr>
          <w:rFonts w:hint="eastAsia" w:ascii="宋体" w:hAnsi="宋体" w:cs="宋体"/>
          <w:b/>
          <w:color w:val="auto"/>
          <w:kern w:val="0"/>
          <w:sz w:val="32"/>
          <w:szCs w:val="32"/>
          <w:highlight w:val="none"/>
        </w:rPr>
      </w:pPr>
    </w:p>
    <w:p w14:paraId="3A57DD4B">
      <w:pPr>
        <w:snapToGrid w:val="0"/>
        <w:spacing w:line="360" w:lineRule="auto"/>
        <w:ind w:right="480"/>
        <w:jc w:val="center"/>
        <w:rPr>
          <w:rFonts w:hint="eastAsia" w:ascii="宋体" w:hAnsi="宋体" w:cs="宋体"/>
          <w:b/>
          <w:color w:val="auto"/>
          <w:kern w:val="0"/>
          <w:sz w:val="32"/>
          <w:szCs w:val="32"/>
          <w:highlight w:val="none"/>
        </w:rPr>
      </w:pPr>
    </w:p>
    <w:p w14:paraId="57D14808">
      <w:pPr>
        <w:snapToGrid w:val="0"/>
        <w:spacing w:line="360" w:lineRule="auto"/>
        <w:ind w:right="480"/>
        <w:jc w:val="center"/>
        <w:rPr>
          <w:rFonts w:hint="eastAsia" w:ascii="宋体" w:hAnsi="宋体" w:cs="宋体"/>
          <w:b/>
          <w:color w:val="auto"/>
          <w:kern w:val="0"/>
          <w:sz w:val="32"/>
          <w:szCs w:val="32"/>
          <w:highlight w:val="none"/>
        </w:rPr>
      </w:pPr>
    </w:p>
    <w:p w14:paraId="12C5472E">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548753F">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7C6BAF1">
      <w:pPr>
        <w:snapToGrid w:val="0"/>
        <w:spacing w:line="360" w:lineRule="auto"/>
        <w:rPr>
          <w:rFonts w:hint="eastAsia" w:ascii="宋体" w:hAnsi="宋体" w:cs="宋体"/>
          <w:color w:val="auto"/>
          <w:highlight w:val="none"/>
        </w:rPr>
      </w:pPr>
      <w:r>
        <w:rPr>
          <w:rFonts w:hint="eastAsia" w:ascii="宋体" w:hAnsi="宋体" w:cs="宋体"/>
          <w:color w:val="auto"/>
          <w:highlight w:val="none"/>
        </w:rPr>
        <w:t>浙江省杭州市拱墅区半山街道杭玻阔板桥社区居民委员会、浙江正浩招标代理有限公司</w:t>
      </w:r>
      <w:r>
        <w:rPr>
          <w:rFonts w:hint="eastAsia" w:ascii="宋体" w:hAnsi="宋体" w:cs="宋体"/>
          <w:color w:val="auto"/>
          <w:highlight w:val="none"/>
          <w:lang w:val="zh-CN"/>
        </w:rPr>
        <w:t>：</w:t>
      </w:r>
    </w:p>
    <w:p w14:paraId="5DFE8D36">
      <w:pPr>
        <w:snapToGrid w:val="0"/>
        <w:spacing w:line="360" w:lineRule="auto"/>
        <w:ind w:firstLine="482"/>
        <w:rPr>
          <w:rFonts w:hint="eastAsia" w:ascii="宋体" w:hAnsi="宋体" w:cs="宋体"/>
          <w:color w:val="auto"/>
          <w:kern w:val="0"/>
          <w:highlight w:val="none"/>
          <w:lang w:val="zh-CN"/>
        </w:rPr>
      </w:pPr>
      <w:r>
        <w:rPr>
          <w:rFonts w:hint="eastAsia" w:ascii="宋体" w:hAnsi="宋体" w:cs="宋体"/>
          <w:color w:val="auto"/>
          <w:kern w:val="0"/>
          <w:highlight w:val="none"/>
          <w:lang w:val="zh-CN"/>
        </w:rPr>
        <w:t>按你方采购文件要求，我们，本投标文件签字方，谨此向你方发出要约如下：如你方接受本投标，我方承诺按照如下</w:t>
      </w:r>
      <w:r>
        <w:rPr>
          <w:rFonts w:hint="eastAsia" w:ascii="宋体" w:hAnsi="宋体" w:cs="宋体"/>
          <w:color w:val="auto"/>
          <w:kern w:val="0"/>
          <w:highlight w:val="none"/>
          <w:u w:val="single"/>
          <w:lang w:val="zh-CN"/>
        </w:rPr>
        <w:t>开标一览表</w:t>
      </w:r>
      <w:r>
        <w:rPr>
          <w:rFonts w:hint="eastAsia" w:ascii="宋体" w:hAnsi="宋体" w:cs="宋体"/>
          <w:color w:val="auto"/>
          <w:kern w:val="0"/>
          <w:highlight w:val="none"/>
          <w:lang w:val="zh-CN"/>
        </w:rPr>
        <w:t>（报价表）的价格完成</w:t>
      </w:r>
      <w:r>
        <w:rPr>
          <w:rFonts w:hint="eastAsia" w:ascii="宋体" w:hAnsi="宋体" w:cs="宋体"/>
          <w:color w:val="auto"/>
          <w:highlight w:val="none"/>
        </w:rPr>
        <w:t>杭州市拱墅区半山街道杭玻阔板桥社区物业管理服务项目</w:t>
      </w:r>
      <w:r>
        <w:rPr>
          <w:rFonts w:hint="eastAsia" w:ascii="宋体" w:hAnsi="宋体" w:cs="宋体"/>
          <w:color w:val="auto"/>
          <w:kern w:val="0"/>
          <w:highlight w:val="none"/>
          <w:lang w:val="zh-CN"/>
        </w:rPr>
        <w:t>【</w:t>
      </w:r>
      <w:r>
        <w:rPr>
          <w:rFonts w:hint="eastAsia" w:ascii="宋体" w:hAnsi="宋体" w:cs="宋体"/>
          <w:color w:val="auto"/>
          <w:kern w:val="0"/>
          <w:highlight w:val="none"/>
        </w:rPr>
        <w:t>项目</w:t>
      </w:r>
      <w:r>
        <w:rPr>
          <w:rFonts w:hint="eastAsia" w:ascii="宋体" w:hAnsi="宋体" w:cs="宋体"/>
          <w:color w:val="auto"/>
          <w:kern w:val="0"/>
          <w:highlight w:val="none"/>
          <w:lang w:val="zh-CN"/>
        </w:rPr>
        <w:t>编号：ZHZB-2025HBKBQSQ-01</w:t>
      </w:r>
      <w:r>
        <w:rPr>
          <w:rFonts w:hint="eastAsia" w:ascii="宋体" w:hAnsi="宋体" w:cs="宋体"/>
          <w:color w:val="auto"/>
          <w:highlight w:val="none"/>
        </w:rPr>
        <w:t>】的实施</w:t>
      </w:r>
      <w:r>
        <w:rPr>
          <w:rFonts w:hint="eastAsia" w:ascii="宋体" w:hAnsi="宋体" w:cs="宋体"/>
          <w:color w:val="auto"/>
          <w:kern w:val="0"/>
          <w:highlight w:val="none"/>
          <w:lang w:val="zh-CN"/>
        </w:rPr>
        <w:t>。</w:t>
      </w:r>
    </w:p>
    <w:p w14:paraId="097C2C68">
      <w:pPr>
        <w:spacing w:line="360" w:lineRule="auto"/>
        <w:jc w:val="center"/>
        <w:rPr>
          <w:rFonts w:hint="eastAsia" w:ascii="宋体" w:hAnsi="宋体" w:cs="宋体"/>
          <w:b/>
          <w:color w:val="auto"/>
          <w:kern w:val="0"/>
          <w:highlight w:val="none"/>
          <w:lang w:val="zh-CN"/>
        </w:rPr>
      </w:pPr>
      <w:r>
        <w:rPr>
          <w:rFonts w:hint="eastAsia" w:ascii="宋体" w:hAnsi="宋体" w:cs="宋体"/>
          <w:b/>
          <w:color w:val="auto"/>
          <w:kern w:val="0"/>
          <w:highlight w:val="none"/>
          <w:lang w:val="zh-CN"/>
        </w:rPr>
        <w:t>开标一览表（报价表）(单位均为人民币元)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72"/>
        <w:gridCol w:w="2745"/>
        <w:gridCol w:w="1950"/>
        <w:gridCol w:w="1219"/>
      </w:tblGrid>
      <w:tr w14:paraId="2DAC64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9" w:hRule="atLeast"/>
          <w:tblHeader/>
          <w:jc w:val="center"/>
        </w:trPr>
        <w:tc>
          <w:tcPr>
            <w:tcW w:w="3372" w:type="dxa"/>
            <w:tcBorders>
              <w:right w:val="single" w:color="auto" w:sz="4" w:space="0"/>
            </w:tcBorders>
            <w:vAlign w:val="center"/>
          </w:tcPr>
          <w:p w14:paraId="7BC058CF">
            <w:pPr>
              <w:spacing w:line="360" w:lineRule="auto"/>
              <w:jc w:val="center"/>
              <w:rPr>
                <w:rFonts w:hint="eastAsia" w:ascii="宋体" w:hAnsi="宋体" w:cs="宋体"/>
                <w:color w:val="auto"/>
                <w:highlight w:val="none"/>
                <w:lang w:val="en-GB"/>
              </w:rPr>
            </w:pPr>
            <w:r>
              <w:rPr>
                <w:rFonts w:hint="eastAsia" w:ascii="宋体" w:hAnsi="宋体" w:cs="宋体"/>
                <w:color w:val="auto"/>
                <w:highlight w:val="none"/>
                <w:lang w:val="en-GB"/>
              </w:rPr>
              <w:t>项目名称</w:t>
            </w:r>
          </w:p>
        </w:tc>
        <w:tc>
          <w:tcPr>
            <w:tcW w:w="2745" w:type="dxa"/>
            <w:vAlign w:val="center"/>
          </w:tcPr>
          <w:p w14:paraId="1D1C04E6">
            <w:pPr>
              <w:spacing w:line="360" w:lineRule="auto"/>
              <w:jc w:val="center"/>
              <w:rPr>
                <w:rFonts w:hint="eastAsia" w:ascii="宋体" w:hAnsi="宋体" w:cs="宋体"/>
                <w:color w:val="auto"/>
                <w:highlight w:val="none"/>
                <w:lang w:val="en-GB"/>
              </w:rPr>
            </w:pPr>
            <w:r>
              <w:rPr>
                <w:rFonts w:hint="eastAsia" w:ascii="宋体" w:hAnsi="宋体" w:cs="宋体"/>
                <w:color w:val="auto"/>
                <w:highlight w:val="none"/>
                <w:lang w:val="en-GB"/>
              </w:rPr>
              <w:t>投标总价（</w:t>
            </w:r>
            <w:r>
              <w:rPr>
                <w:rFonts w:hint="eastAsia" w:ascii="宋体" w:hAnsi="宋体" w:cs="宋体"/>
                <w:color w:val="auto"/>
                <w:highlight w:val="none"/>
              </w:rPr>
              <w:t>元</w:t>
            </w:r>
            <w:r>
              <w:rPr>
                <w:rFonts w:hint="eastAsia" w:ascii="宋体" w:hAnsi="宋体" w:cs="宋体"/>
                <w:color w:val="auto"/>
                <w:highlight w:val="none"/>
                <w:lang w:val="en-GB"/>
              </w:rPr>
              <w:t>）</w:t>
            </w:r>
          </w:p>
        </w:tc>
        <w:tc>
          <w:tcPr>
            <w:tcW w:w="1950" w:type="dxa"/>
            <w:vAlign w:val="center"/>
          </w:tcPr>
          <w:p w14:paraId="56F49D3B">
            <w:pPr>
              <w:spacing w:line="360" w:lineRule="auto"/>
              <w:jc w:val="center"/>
              <w:rPr>
                <w:rFonts w:hint="eastAsia" w:ascii="宋体" w:hAnsi="宋体" w:cs="宋体"/>
                <w:color w:val="auto"/>
                <w:highlight w:val="none"/>
                <w:lang w:val="en-GB"/>
              </w:rPr>
            </w:pPr>
            <w:r>
              <w:rPr>
                <w:rFonts w:hint="eastAsia" w:ascii="宋体" w:hAnsi="宋体" w:cs="宋体"/>
                <w:color w:val="auto"/>
                <w:highlight w:val="none"/>
                <w:lang w:val="en-GB"/>
              </w:rPr>
              <w:t>服务期</w:t>
            </w:r>
          </w:p>
        </w:tc>
        <w:tc>
          <w:tcPr>
            <w:tcW w:w="1219" w:type="dxa"/>
            <w:vAlign w:val="center"/>
          </w:tcPr>
          <w:p w14:paraId="0140CAB0">
            <w:pPr>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383B4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27" w:hRule="atLeast"/>
          <w:jc w:val="center"/>
        </w:trPr>
        <w:tc>
          <w:tcPr>
            <w:tcW w:w="3372" w:type="dxa"/>
            <w:tcBorders>
              <w:top w:val="single" w:color="auto" w:sz="4" w:space="0"/>
              <w:right w:val="single" w:color="auto" w:sz="4" w:space="0"/>
            </w:tcBorders>
            <w:vAlign w:val="center"/>
          </w:tcPr>
          <w:p w14:paraId="49A311E4">
            <w:pPr>
              <w:spacing w:line="360" w:lineRule="auto"/>
              <w:jc w:val="center"/>
              <w:rPr>
                <w:rFonts w:hint="eastAsia" w:ascii="宋体" w:hAnsi="宋体" w:cs="宋体"/>
                <w:color w:val="auto"/>
                <w:highlight w:val="none"/>
                <w:lang w:val="en-GB"/>
              </w:rPr>
            </w:pPr>
            <w:r>
              <w:rPr>
                <w:rFonts w:hint="eastAsia" w:ascii="宋体" w:hAnsi="宋体" w:cs="宋体"/>
                <w:color w:val="auto"/>
                <w:highlight w:val="none"/>
                <w:lang w:val="zh-CN"/>
              </w:rPr>
              <w:t>杭州市拱墅区半山街道杭玻阔板桥社区物业管理服务项目</w:t>
            </w:r>
          </w:p>
        </w:tc>
        <w:tc>
          <w:tcPr>
            <w:tcW w:w="2745" w:type="dxa"/>
            <w:tcBorders>
              <w:top w:val="single" w:color="auto" w:sz="4" w:space="0"/>
              <w:left w:val="single" w:color="auto" w:sz="4" w:space="0"/>
            </w:tcBorders>
            <w:vAlign w:val="center"/>
          </w:tcPr>
          <w:p w14:paraId="0FF236E1">
            <w:pPr>
              <w:spacing w:line="360" w:lineRule="auto"/>
              <w:jc w:val="left"/>
              <w:rPr>
                <w:rFonts w:hint="eastAsia" w:ascii="宋体" w:hAnsi="宋体" w:cs="宋体"/>
                <w:color w:val="auto"/>
                <w:highlight w:val="none"/>
                <w:lang w:val="en-GB"/>
              </w:rPr>
            </w:pPr>
            <w:r>
              <w:rPr>
                <w:rFonts w:hint="eastAsia" w:ascii="宋体" w:hAnsi="宋体" w:cs="宋体"/>
                <w:color w:val="auto"/>
                <w:highlight w:val="none"/>
                <w:lang w:val="en-GB"/>
              </w:rPr>
              <w:t xml:space="preserve">大写： </w:t>
            </w:r>
          </w:p>
          <w:p w14:paraId="5A3005D7">
            <w:pPr>
              <w:spacing w:line="360" w:lineRule="auto"/>
              <w:jc w:val="left"/>
              <w:rPr>
                <w:rFonts w:hint="eastAsia" w:ascii="宋体" w:hAnsi="宋体" w:cs="宋体"/>
                <w:color w:val="auto"/>
                <w:highlight w:val="none"/>
                <w:lang w:val="en-GB"/>
              </w:rPr>
            </w:pPr>
            <w:r>
              <w:rPr>
                <w:rFonts w:hint="eastAsia" w:ascii="宋体" w:hAnsi="宋体" w:cs="宋体"/>
                <w:color w:val="auto"/>
                <w:highlight w:val="none"/>
                <w:lang w:val="en-GB"/>
              </w:rPr>
              <w:t>小写：</w:t>
            </w:r>
          </w:p>
        </w:tc>
        <w:tc>
          <w:tcPr>
            <w:tcW w:w="1950" w:type="dxa"/>
            <w:vAlign w:val="center"/>
          </w:tcPr>
          <w:p w14:paraId="7F5CFA78">
            <w:pPr>
              <w:spacing w:line="360" w:lineRule="auto"/>
              <w:jc w:val="center"/>
              <w:rPr>
                <w:rFonts w:hint="eastAsia" w:ascii="宋体" w:hAnsi="宋体" w:cs="宋体"/>
                <w:color w:val="auto"/>
                <w:highlight w:val="none"/>
              </w:rPr>
            </w:pPr>
            <w:r>
              <w:rPr>
                <w:rFonts w:hint="eastAsia" w:ascii="宋体" w:hAnsi="宋体" w:cs="宋体"/>
                <w:color w:val="auto"/>
                <w:highlight w:val="none"/>
              </w:rPr>
              <w:t>三年零四个月（</w:t>
            </w:r>
            <w:r>
              <w:rPr>
                <w:rFonts w:hint="eastAsia" w:ascii="宋体" w:hAnsi="宋体" w:cs="宋体"/>
                <w:snapToGrid w:val="0"/>
                <w:color w:val="auto"/>
                <w:highlight w:val="none"/>
              </w:rPr>
              <w:t>40个月</w:t>
            </w:r>
            <w:r>
              <w:rPr>
                <w:rFonts w:hint="eastAsia" w:ascii="宋体" w:hAnsi="宋体" w:cs="宋体"/>
                <w:color w:val="auto"/>
                <w:highlight w:val="none"/>
              </w:rPr>
              <w:t>）</w:t>
            </w:r>
          </w:p>
        </w:tc>
        <w:tc>
          <w:tcPr>
            <w:tcW w:w="1219" w:type="dxa"/>
            <w:vAlign w:val="center"/>
          </w:tcPr>
          <w:p w14:paraId="2D01C6FB">
            <w:pPr>
              <w:spacing w:line="360" w:lineRule="auto"/>
              <w:jc w:val="center"/>
              <w:rPr>
                <w:rFonts w:hint="eastAsia" w:ascii="宋体" w:hAnsi="宋体" w:cs="宋体"/>
                <w:color w:val="auto"/>
                <w:highlight w:val="none"/>
                <w:lang w:val="en-GB"/>
              </w:rPr>
            </w:pPr>
          </w:p>
        </w:tc>
      </w:tr>
    </w:tbl>
    <w:p w14:paraId="555B19FF">
      <w:pPr>
        <w:snapToGrid w:val="0"/>
        <w:spacing w:line="360" w:lineRule="auto"/>
        <w:ind w:left="480"/>
        <w:rPr>
          <w:rFonts w:hint="eastAsia" w:ascii="宋体" w:hAnsi="宋体" w:cs="宋体"/>
          <w:b/>
          <w:color w:val="auto"/>
          <w:kern w:val="0"/>
          <w:highlight w:val="none"/>
          <w:lang w:val="zh-CN"/>
        </w:rPr>
      </w:pPr>
      <w:r>
        <w:rPr>
          <w:rFonts w:hint="eastAsia" w:ascii="宋体" w:hAnsi="宋体" w:cs="宋体"/>
          <w:b/>
          <w:color w:val="auto"/>
          <w:kern w:val="0"/>
          <w:highlight w:val="none"/>
          <w:lang w:val="zh-CN"/>
        </w:rPr>
        <w:t>注：</w:t>
      </w:r>
    </w:p>
    <w:p w14:paraId="23011E23">
      <w:pPr>
        <w:spacing w:line="360" w:lineRule="auto"/>
        <w:ind w:left="-2" w:leftChars="-1"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1、供应商需按本表格式填写</w:t>
      </w:r>
      <w:r>
        <w:rPr>
          <w:rFonts w:hint="eastAsia" w:ascii="宋体" w:hAnsi="宋体" w:cs="宋体"/>
          <w:b/>
          <w:color w:val="auto"/>
          <w:kern w:val="0"/>
          <w:highlight w:val="none"/>
          <w:lang w:val="zh-CN"/>
        </w:rPr>
        <w:t>，</w:t>
      </w:r>
      <w:r>
        <w:rPr>
          <w:rFonts w:hint="eastAsia" w:ascii="宋体" w:hAnsi="宋体" w:cs="宋体"/>
          <w:b/>
          <w:color w:val="auto"/>
          <w:kern w:val="0"/>
          <w:highlight w:val="none"/>
        </w:rPr>
        <w:t>否则视为</w:t>
      </w:r>
      <w:r>
        <w:rPr>
          <w:rFonts w:hint="eastAsia" w:ascii="宋体" w:hAnsi="宋体" w:cs="宋体"/>
          <w:b/>
          <w:color w:val="auto"/>
          <w:highlight w:val="none"/>
        </w:rPr>
        <w:t>投标文件含有采购人不能接受的附加条件，投标无效</w:t>
      </w:r>
      <w:r>
        <w:rPr>
          <w:rFonts w:hint="eastAsia" w:ascii="宋体" w:hAnsi="宋体" w:cs="宋体"/>
          <w:color w:val="auto"/>
          <w:kern w:val="0"/>
          <w:highlight w:val="none"/>
          <w:lang w:val="zh-CN"/>
        </w:rPr>
        <w:t>。</w:t>
      </w:r>
    </w:p>
    <w:p w14:paraId="7CEDD7AA">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宋体" w:hAnsi="宋体" w:cs="宋体"/>
          <w:b/>
          <w:color w:val="auto"/>
          <w:kern w:val="0"/>
          <w:highlight w:val="none"/>
          <w:lang w:val="zh-CN"/>
        </w:rPr>
        <w:t>采购内容未包含在《开标一览表（报价表）》名称栏中，供应商不能作出合理解释的，</w:t>
      </w:r>
      <w:r>
        <w:rPr>
          <w:rFonts w:hint="eastAsia" w:ascii="宋体" w:hAnsi="宋体" w:cs="宋体"/>
          <w:b/>
          <w:color w:val="auto"/>
          <w:kern w:val="0"/>
          <w:highlight w:val="none"/>
        </w:rPr>
        <w:t>视为</w:t>
      </w:r>
      <w:r>
        <w:rPr>
          <w:rFonts w:hint="eastAsia" w:ascii="宋体" w:hAnsi="宋体" w:cs="宋体"/>
          <w:b/>
          <w:color w:val="auto"/>
          <w:highlight w:val="none"/>
        </w:rPr>
        <w:t>投标文件含有采购人不能接受的附加条件的，投标无效。</w:t>
      </w:r>
    </w:p>
    <w:p w14:paraId="4B778261">
      <w:pPr>
        <w:snapToGrid w:val="0"/>
        <w:spacing w:before="120" w:after="120"/>
        <w:ind w:firstLine="480" w:firstLineChars="200"/>
        <w:rPr>
          <w:rFonts w:hint="eastAsia" w:ascii="宋体" w:hAnsi="宋体" w:cs="宋体"/>
          <w:color w:val="auto"/>
          <w:kern w:val="0"/>
          <w:highlight w:val="none"/>
          <w:lang w:val="zh-CN"/>
        </w:rPr>
      </w:pPr>
    </w:p>
    <w:p w14:paraId="42D19330">
      <w:pPr>
        <w:autoSpaceDE w:val="0"/>
        <w:autoSpaceDN w:val="0"/>
        <w:spacing w:line="360" w:lineRule="auto"/>
        <w:ind w:left="2" w:leftChars="1" w:right="1120" w:firstLine="4560" w:firstLineChars="19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供应商名称（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14:paraId="7D086B01">
      <w:pPr>
        <w:autoSpaceDE w:val="0"/>
        <w:autoSpaceDN w:val="0"/>
        <w:ind w:left="2" w:leftChars="1" w:right="1120" w:firstLine="4560" w:firstLineChars="1900"/>
        <w:jc w:val="left"/>
        <w:rPr>
          <w:rFonts w:hint="eastAsia" w:ascii="宋体" w:hAnsi="宋体" w:cs="宋体"/>
          <w:color w:val="auto"/>
          <w:highlight w:val="none"/>
        </w:rPr>
        <w:sectPr>
          <w:pgSz w:w="11906" w:h="16838"/>
          <w:pgMar w:top="1247" w:right="1418" w:bottom="1276" w:left="1418" w:header="851" w:footer="992" w:gutter="0"/>
          <w:cols w:space="720" w:num="1"/>
          <w:titlePg/>
          <w:docGrid w:linePitch="312" w:charSpace="0"/>
        </w:sectPr>
      </w:pPr>
      <w:r>
        <w:rPr>
          <w:rFonts w:hint="eastAsia" w:ascii="宋体" w:hAnsi="宋体" w:cs="宋体"/>
          <w:color w:val="auto"/>
          <w:highlight w:val="none"/>
          <w:lang w:val="zh-CN"/>
        </w:rPr>
        <w:t>日期</w:t>
      </w:r>
      <w:r>
        <w:rPr>
          <w:rFonts w:hint="eastAsia" w:ascii="宋体" w:hAnsi="宋体" w:cs="宋体"/>
          <w:color w:val="auto"/>
          <w:highlight w:val="none"/>
        </w:rPr>
        <w:t>：</w:t>
      </w:r>
      <w:r>
        <w:rPr>
          <w:rFonts w:hint="eastAsia" w:ascii="宋体" w:hAnsi="宋体" w:cs="宋体"/>
          <w:color w:val="auto"/>
          <w:highlight w:val="none"/>
          <w:lang w:val="zh-CN"/>
        </w:rPr>
        <w:t xml:space="preserve">   年   月   日</w:t>
      </w:r>
    </w:p>
    <w:p w14:paraId="46FE0C02">
      <w:pPr>
        <w:pStyle w:val="46"/>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报价明细表</w:t>
      </w:r>
    </w:p>
    <w:p w14:paraId="1B1F924E">
      <w:pPr>
        <w:widowControl/>
        <w:spacing w:line="360" w:lineRule="auto"/>
        <w:jc w:val="left"/>
        <w:rPr>
          <w:rFonts w:hint="eastAsia" w:ascii="宋体" w:hAnsi="宋体" w:cs="宋体"/>
          <w:color w:val="auto"/>
          <w:kern w:val="0"/>
          <w:highlight w:val="none"/>
          <w:u w:val="single"/>
        </w:rPr>
      </w:pPr>
      <w:r>
        <w:rPr>
          <w:rFonts w:hint="eastAsia" w:ascii="宋体" w:hAnsi="宋体" w:cs="宋体"/>
          <w:color w:val="auto"/>
          <w:kern w:val="0"/>
          <w:highlight w:val="none"/>
        </w:rPr>
        <w:t>项目名称：</w:t>
      </w:r>
      <w:r>
        <w:rPr>
          <w:rFonts w:hint="eastAsia" w:ascii="宋体" w:hAnsi="宋体" w:cs="宋体"/>
          <w:color w:val="auto"/>
          <w:kern w:val="0"/>
          <w:highlight w:val="none"/>
          <w:u w:val="single"/>
        </w:rPr>
        <w:t xml:space="preserve">                    </w:t>
      </w:r>
    </w:p>
    <w:p w14:paraId="253C6B31">
      <w:pPr>
        <w:widowControl/>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t>招标项目编号：</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（价格单位：元人民币）</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4288"/>
        <w:gridCol w:w="808"/>
        <w:gridCol w:w="808"/>
        <w:gridCol w:w="936"/>
        <w:gridCol w:w="772"/>
      </w:tblGrid>
      <w:tr w14:paraId="02A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33" w:type="pct"/>
            <w:vAlign w:val="center"/>
          </w:tcPr>
          <w:p w14:paraId="19E8FAC3">
            <w:pPr>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2515" w:type="pct"/>
            <w:vAlign w:val="center"/>
          </w:tcPr>
          <w:p w14:paraId="19E8DB04">
            <w:pPr>
              <w:spacing w:line="360" w:lineRule="auto"/>
              <w:jc w:val="center"/>
              <w:rPr>
                <w:rFonts w:hint="eastAsia" w:ascii="宋体" w:hAnsi="宋体" w:cs="宋体"/>
                <w:color w:val="auto"/>
                <w:highlight w:val="none"/>
              </w:rPr>
            </w:pPr>
            <w:r>
              <w:rPr>
                <w:rFonts w:hint="eastAsia" w:ascii="宋体" w:hAnsi="宋体" w:cs="宋体"/>
                <w:color w:val="auto"/>
                <w:highlight w:val="none"/>
              </w:rPr>
              <w:t>服务内容</w:t>
            </w:r>
          </w:p>
        </w:tc>
        <w:tc>
          <w:tcPr>
            <w:tcW w:w="474" w:type="pct"/>
            <w:vAlign w:val="center"/>
          </w:tcPr>
          <w:p w14:paraId="1526E992">
            <w:pPr>
              <w:spacing w:line="360" w:lineRule="auto"/>
              <w:jc w:val="center"/>
              <w:rPr>
                <w:rFonts w:hint="eastAsia" w:ascii="宋体" w:hAnsi="宋体" w:cs="宋体"/>
                <w:color w:val="auto"/>
                <w:highlight w:val="none"/>
              </w:rPr>
            </w:pPr>
            <w:r>
              <w:rPr>
                <w:rFonts w:hint="eastAsia" w:ascii="宋体" w:hAnsi="宋体" w:cs="宋体"/>
                <w:color w:val="auto"/>
                <w:highlight w:val="none"/>
              </w:rPr>
              <w:t>单价（元/月）</w:t>
            </w:r>
          </w:p>
        </w:tc>
        <w:tc>
          <w:tcPr>
            <w:tcW w:w="474" w:type="pct"/>
            <w:vAlign w:val="center"/>
          </w:tcPr>
          <w:p w14:paraId="10DB3399">
            <w:pPr>
              <w:spacing w:line="360" w:lineRule="auto"/>
              <w:jc w:val="center"/>
              <w:rPr>
                <w:rFonts w:hint="eastAsia" w:ascii="宋体" w:hAnsi="宋体" w:cs="宋体"/>
                <w:color w:val="auto"/>
                <w:highlight w:val="none"/>
              </w:rPr>
            </w:pPr>
            <w:r>
              <w:rPr>
                <w:rFonts w:hint="eastAsia" w:ascii="宋体" w:hAnsi="宋体" w:cs="宋体"/>
                <w:color w:val="auto"/>
                <w:highlight w:val="none"/>
              </w:rPr>
              <w:t>小计（元/年）</w:t>
            </w:r>
          </w:p>
        </w:tc>
        <w:tc>
          <w:tcPr>
            <w:tcW w:w="549" w:type="pct"/>
            <w:vAlign w:val="center"/>
          </w:tcPr>
          <w:p w14:paraId="445738D7">
            <w:pPr>
              <w:spacing w:line="360" w:lineRule="auto"/>
              <w:jc w:val="center"/>
              <w:rPr>
                <w:rFonts w:hint="eastAsia" w:ascii="宋体" w:hAnsi="宋体" w:cs="宋体"/>
                <w:color w:val="auto"/>
                <w:highlight w:val="none"/>
              </w:rPr>
            </w:pPr>
            <w:r>
              <w:rPr>
                <w:rFonts w:hint="eastAsia" w:ascii="宋体" w:hAnsi="宋体" w:cs="宋体"/>
                <w:color w:val="auto"/>
                <w:highlight w:val="none"/>
              </w:rPr>
              <w:t>合计（元）</w:t>
            </w:r>
          </w:p>
        </w:tc>
        <w:tc>
          <w:tcPr>
            <w:tcW w:w="453" w:type="pct"/>
            <w:vAlign w:val="center"/>
          </w:tcPr>
          <w:p w14:paraId="612C7C26">
            <w:pPr>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3A8F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pct"/>
            <w:vAlign w:val="center"/>
          </w:tcPr>
          <w:p w14:paraId="5E4FE950">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2515" w:type="pct"/>
            <w:vAlign w:val="center"/>
          </w:tcPr>
          <w:p w14:paraId="3AB67E9A">
            <w:pPr>
              <w:spacing w:line="360" w:lineRule="auto"/>
              <w:jc w:val="center"/>
              <w:rPr>
                <w:rFonts w:hint="eastAsia" w:ascii="宋体" w:hAnsi="宋体" w:cs="宋体"/>
                <w:color w:val="auto"/>
                <w:highlight w:val="none"/>
              </w:rPr>
            </w:pPr>
          </w:p>
        </w:tc>
        <w:tc>
          <w:tcPr>
            <w:tcW w:w="474" w:type="pct"/>
            <w:vAlign w:val="center"/>
          </w:tcPr>
          <w:p w14:paraId="0623B0F1">
            <w:pPr>
              <w:spacing w:line="360" w:lineRule="auto"/>
              <w:jc w:val="center"/>
              <w:rPr>
                <w:rFonts w:hint="eastAsia" w:ascii="宋体" w:hAnsi="宋体" w:cs="宋体"/>
                <w:color w:val="auto"/>
                <w:highlight w:val="none"/>
              </w:rPr>
            </w:pPr>
          </w:p>
        </w:tc>
        <w:tc>
          <w:tcPr>
            <w:tcW w:w="474" w:type="pct"/>
            <w:vAlign w:val="center"/>
          </w:tcPr>
          <w:p w14:paraId="2247BC9C">
            <w:pPr>
              <w:spacing w:line="360" w:lineRule="auto"/>
              <w:jc w:val="center"/>
              <w:rPr>
                <w:rFonts w:hint="eastAsia" w:ascii="宋体" w:hAnsi="宋体" w:cs="宋体"/>
                <w:color w:val="auto"/>
                <w:highlight w:val="none"/>
              </w:rPr>
            </w:pPr>
          </w:p>
        </w:tc>
        <w:tc>
          <w:tcPr>
            <w:tcW w:w="549" w:type="pct"/>
            <w:vAlign w:val="center"/>
          </w:tcPr>
          <w:p w14:paraId="351B62D9">
            <w:pPr>
              <w:spacing w:line="360" w:lineRule="auto"/>
              <w:jc w:val="center"/>
              <w:rPr>
                <w:rFonts w:hint="eastAsia" w:ascii="宋体" w:hAnsi="宋体" w:cs="宋体"/>
                <w:color w:val="auto"/>
                <w:highlight w:val="none"/>
              </w:rPr>
            </w:pPr>
          </w:p>
        </w:tc>
        <w:tc>
          <w:tcPr>
            <w:tcW w:w="453" w:type="pct"/>
            <w:vAlign w:val="center"/>
          </w:tcPr>
          <w:p w14:paraId="76ABDED1">
            <w:pPr>
              <w:spacing w:line="360" w:lineRule="auto"/>
              <w:jc w:val="center"/>
              <w:rPr>
                <w:rFonts w:hint="eastAsia" w:ascii="宋体" w:hAnsi="宋体" w:cs="宋体"/>
                <w:color w:val="auto"/>
                <w:highlight w:val="none"/>
              </w:rPr>
            </w:pPr>
          </w:p>
        </w:tc>
      </w:tr>
      <w:tr w14:paraId="17B2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pct"/>
            <w:vAlign w:val="center"/>
          </w:tcPr>
          <w:p w14:paraId="40E113B8">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2515" w:type="pct"/>
            <w:vAlign w:val="center"/>
          </w:tcPr>
          <w:p w14:paraId="15BE40E1">
            <w:pPr>
              <w:spacing w:line="360" w:lineRule="auto"/>
              <w:jc w:val="center"/>
              <w:rPr>
                <w:rFonts w:hint="eastAsia" w:ascii="宋体" w:hAnsi="宋体" w:cs="宋体"/>
                <w:color w:val="auto"/>
                <w:highlight w:val="none"/>
              </w:rPr>
            </w:pPr>
          </w:p>
        </w:tc>
        <w:tc>
          <w:tcPr>
            <w:tcW w:w="474" w:type="pct"/>
            <w:vAlign w:val="center"/>
          </w:tcPr>
          <w:p w14:paraId="3ECBB2B5">
            <w:pPr>
              <w:spacing w:line="360" w:lineRule="auto"/>
              <w:jc w:val="center"/>
              <w:rPr>
                <w:rFonts w:hint="eastAsia" w:ascii="宋体" w:hAnsi="宋体" w:cs="宋体"/>
                <w:color w:val="auto"/>
                <w:highlight w:val="none"/>
              </w:rPr>
            </w:pPr>
          </w:p>
        </w:tc>
        <w:tc>
          <w:tcPr>
            <w:tcW w:w="474" w:type="pct"/>
            <w:vAlign w:val="center"/>
          </w:tcPr>
          <w:p w14:paraId="2793A1B9">
            <w:pPr>
              <w:spacing w:line="360" w:lineRule="auto"/>
              <w:jc w:val="center"/>
              <w:rPr>
                <w:rFonts w:hint="eastAsia" w:ascii="宋体" w:hAnsi="宋体" w:cs="宋体"/>
                <w:color w:val="auto"/>
                <w:highlight w:val="none"/>
              </w:rPr>
            </w:pPr>
          </w:p>
        </w:tc>
        <w:tc>
          <w:tcPr>
            <w:tcW w:w="549" w:type="pct"/>
            <w:vAlign w:val="center"/>
          </w:tcPr>
          <w:p w14:paraId="65AFF31F">
            <w:pPr>
              <w:spacing w:line="360" w:lineRule="auto"/>
              <w:jc w:val="center"/>
              <w:rPr>
                <w:rFonts w:hint="eastAsia" w:ascii="宋体" w:hAnsi="宋体" w:cs="宋体"/>
                <w:color w:val="auto"/>
                <w:highlight w:val="none"/>
              </w:rPr>
            </w:pPr>
          </w:p>
        </w:tc>
        <w:tc>
          <w:tcPr>
            <w:tcW w:w="453" w:type="pct"/>
            <w:vAlign w:val="center"/>
          </w:tcPr>
          <w:p w14:paraId="2A0EDFF4">
            <w:pPr>
              <w:spacing w:line="360" w:lineRule="auto"/>
              <w:jc w:val="center"/>
              <w:rPr>
                <w:rFonts w:hint="eastAsia" w:ascii="宋体" w:hAnsi="宋体" w:cs="宋体"/>
                <w:color w:val="auto"/>
                <w:highlight w:val="none"/>
              </w:rPr>
            </w:pPr>
          </w:p>
        </w:tc>
      </w:tr>
      <w:tr w14:paraId="32BC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pct"/>
            <w:vAlign w:val="center"/>
          </w:tcPr>
          <w:p w14:paraId="2FF9FD91">
            <w:pPr>
              <w:spacing w:line="360" w:lineRule="auto"/>
              <w:jc w:val="center"/>
              <w:rPr>
                <w:rFonts w:hint="eastAsia" w:ascii="宋体" w:hAnsi="宋体" w:cs="宋体"/>
                <w:color w:val="auto"/>
                <w:highlight w:val="none"/>
              </w:rPr>
            </w:pPr>
          </w:p>
        </w:tc>
        <w:tc>
          <w:tcPr>
            <w:tcW w:w="2515" w:type="pct"/>
            <w:vAlign w:val="center"/>
          </w:tcPr>
          <w:p w14:paraId="24818010">
            <w:pPr>
              <w:spacing w:line="360" w:lineRule="auto"/>
              <w:jc w:val="center"/>
              <w:rPr>
                <w:rFonts w:hint="eastAsia" w:ascii="宋体" w:hAnsi="宋体" w:cs="宋体"/>
                <w:color w:val="auto"/>
                <w:highlight w:val="none"/>
              </w:rPr>
            </w:pPr>
          </w:p>
        </w:tc>
        <w:tc>
          <w:tcPr>
            <w:tcW w:w="474" w:type="pct"/>
            <w:vAlign w:val="center"/>
          </w:tcPr>
          <w:p w14:paraId="171ABE3B">
            <w:pPr>
              <w:spacing w:line="360" w:lineRule="auto"/>
              <w:jc w:val="center"/>
              <w:rPr>
                <w:rFonts w:hint="eastAsia" w:ascii="宋体" w:hAnsi="宋体" w:cs="宋体"/>
                <w:color w:val="auto"/>
                <w:highlight w:val="none"/>
              </w:rPr>
            </w:pPr>
          </w:p>
        </w:tc>
        <w:tc>
          <w:tcPr>
            <w:tcW w:w="474" w:type="pct"/>
            <w:vAlign w:val="center"/>
          </w:tcPr>
          <w:p w14:paraId="78009DCB">
            <w:pPr>
              <w:spacing w:line="360" w:lineRule="auto"/>
              <w:jc w:val="center"/>
              <w:rPr>
                <w:rFonts w:hint="eastAsia" w:ascii="宋体" w:hAnsi="宋体" w:cs="宋体"/>
                <w:color w:val="auto"/>
                <w:highlight w:val="none"/>
              </w:rPr>
            </w:pPr>
          </w:p>
        </w:tc>
        <w:tc>
          <w:tcPr>
            <w:tcW w:w="549" w:type="pct"/>
            <w:vAlign w:val="center"/>
          </w:tcPr>
          <w:p w14:paraId="4AB27612">
            <w:pPr>
              <w:spacing w:line="360" w:lineRule="auto"/>
              <w:jc w:val="center"/>
              <w:rPr>
                <w:rFonts w:hint="eastAsia" w:ascii="宋体" w:hAnsi="宋体" w:cs="宋体"/>
                <w:color w:val="auto"/>
                <w:highlight w:val="none"/>
              </w:rPr>
            </w:pPr>
          </w:p>
        </w:tc>
        <w:tc>
          <w:tcPr>
            <w:tcW w:w="453" w:type="pct"/>
            <w:vAlign w:val="center"/>
          </w:tcPr>
          <w:p w14:paraId="3B687E29">
            <w:pPr>
              <w:spacing w:line="360" w:lineRule="auto"/>
              <w:jc w:val="center"/>
              <w:rPr>
                <w:rFonts w:hint="eastAsia" w:ascii="宋体" w:hAnsi="宋体" w:cs="宋体"/>
                <w:color w:val="auto"/>
                <w:highlight w:val="none"/>
              </w:rPr>
            </w:pPr>
          </w:p>
        </w:tc>
      </w:tr>
      <w:tr w14:paraId="3EFD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pct"/>
            <w:vAlign w:val="center"/>
          </w:tcPr>
          <w:p w14:paraId="0D55E32C">
            <w:pPr>
              <w:spacing w:line="360" w:lineRule="auto"/>
              <w:jc w:val="center"/>
              <w:rPr>
                <w:rFonts w:hint="eastAsia" w:ascii="宋体" w:hAnsi="宋体" w:cs="宋体"/>
                <w:color w:val="auto"/>
                <w:highlight w:val="none"/>
              </w:rPr>
            </w:pPr>
          </w:p>
        </w:tc>
        <w:tc>
          <w:tcPr>
            <w:tcW w:w="2515" w:type="pct"/>
            <w:vAlign w:val="center"/>
          </w:tcPr>
          <w:p w14:paraId="32F8CD07">
            <w:pPr>
              <w:spacing w:line="360" w:lineRule="auto"/>
              <w:jc w:val="center"/>
              <w:rPr>
                <w:rFonts w:hint="eastAsia" w:ascii="宋体" w:hAnsi="宋体" w:cs="宋体"/>
                <w:color w:val="auto"/>
                <w:highlight w:val="none"/>
              </w:rPr>
            </w:pPr>
          </w:p>
        </w:tc>
        <w:tc>
          <w:tcPr>
            <w:tcW w:w="474" w:type="pct"/>
            <w:vAlign w:val="center"/>
          </w:tcPr>
          <w:p w14:paraId="0DDE484F">
            <w:pPr>
              <w:spacing w:line="360" w:lineRule="auto"/>
              <w:jc w:val="center"/>
              <w:rPr>
                <w:rFonts w:hint="eastAsia" w:ascii="宋体" w:hAnsi="宋体" w:cs="宋体"/>
                <w:color w:val="auto"/>
                <w:highlight w:val="none"/>
              </w:rPr>
            </w:pPr>
          </w:p>
        </w:tc>
        <w:tc>
          <w:tcPr>
            <w:tcW w:w="474" w:type="pct"/>
            <w:vAlign w:val="center"/>
          </w:tcPr>
          <w:p w14:paraId="2388AC1C">
            <w:pPr>
              <w:spacing w:line="360" w:lineRule="auto"/>
              <w:jc w:val="center"/>
              <w:rPr>
                <w:rFonts w:hint="eastAsia" w:ascii="宋体" w:hAnsi="宋体" w:cs="宋体"/>
                <w:color w:val="auto"/>
                <w:highlight w:val="none"/>
              </w:rPr>
            </w:pPr>
          </w:p>
        </w:tc>
        <w:tc>
          <w:tcPr>
            <w:tcW w:w="549" w:type="pct"/>
            <w:vAlign w:val="center"/>
          </w:tcPr>
          <w:p w14:paraId="4D3F647F">
            <w:pPr>
              <w:spacing w:line="360" w:lineRule="auto"/>
              <w:jc w:val="center"/>
              <w:rPr>
                <w:rFonts w:hint="eastAsia" w:ascii="宋体" w:hAnsi="宋体" w:cs="宋体"/>
                <w:color w:val="auto"/>
                <w:highlight w:val="none"/>
              </w:rPr>
            </w:pPr>
          </w:p>
        </w:tc>
        <w:tc>
          <w:tcPr>
            <w:tcW w:w="453" w:type="pct"/>
            <w:vAlign w:val="center"/>
          </w:tcPr>
          <w:p w14:paraId="13FF2A11">
            <w:pPr>
              <w:spacing w:line="360" w:lineRule="auto"/>
              <w:jc w:val="center"/>
              <w:rPr>
                <w:rFonts w:hint="eastAsia" w:ascii="宋体" w:hAnsi="宋体" w:cs="宋体"/>
                <w:color w:val="auto"/>
                <w:highlight w:val="none"/>
              </w:rPr>
            </w:pPr>
          </w:p>
        </w:tc>
      </w:tr>
      <w:tr w14:paraId="3F53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pct"/>
            <w:vAlign w:val="center"/>
          </w:tcPr>
          <w:p w14:paraId="1DD9BB8D">
            <w:pPr>
              <w:spacing w:line="360" w:lineRule="auto"/>
              <w:jc w:val="center"/>
              <w:rPr>
                <w:rFonts w:hint="eastAsia" w:ascii="宋体" w:hAnsi="宋体" w:cs="宋体"/>
                <w:color w:val="auto"/>
                <w:highlight w:val="none"/>
              </w:rPr>
            </w:pPr>
          </w:p>
        </w:tc>
        <w:tc>
          <w:tcPr>
            <w:tcW w:w="2515" w:type="pct"/>
            <w:vAlign w:val="center"/>
          </w:tcPr>
          <w:p w14:paraId="44FCC93E">
            <w:pPr>
              <w:spacing w:line="360" w:lineRule="auto"/>
              <w:jc w:val="center"/>
              <w:rPr>
                <w:rFonts w:hint="eastAsia" w:ascii="宋体" w:hAnsi="宋体" w:cs="宋体"/>
                <w:color w:val="auto"/>
                <w:highlight w:val="none"/>
              </w:rPr>
            </w:pPr>
          </w:p>
        </w:tc>
        <w:tc>
          <w:tcPr>
            <w:tcW w:w="474" w:type="pct"/>
            <w:vAlign w:val="center"/>
          </w:tcPr>
          <w:p w14:paraId="30C13221">
            <w:pPr>
              <w:spacing w:line="360" w:lineRule="auto"/>
              <w:jc w:val="center"/>
              <w:rPr>
                <w:rFonts w:hint="eastAsia" w:ascii="宋体" w:hAnsi="宋体" w:cs="宋体"/>
                <w:color w:val="auto"/>
                <w:highlight w:val="none"/>
              </w:rPr>
            </w:pPr>
          </w:p>
        </w:tc>
        <w:tc>
          <w:tcPr>
            <w:tcW w:w="474" w:type="pct"/>
            <w:vAlign w:val="center"/>
          </w:tcPr>
          <w:p w14:paraId="7EACF753">
            <w:pPr>
              <w:spacing w:line="360" w:lineRule="auto"/>
              <w:jc w:val="center"/>
              <w:rPr>
                <w:rFonts w:hint="eastAsia" w:ascii="宋体" w:hAnsi="宋体" w:cs="宋体"/>
                <w:color w:val="auto"/>
                <w:highlight w:val="none"/>
              </w:rPr>
            </w:pPr>
          </w:p>
        </w:tc>
        <w:tc>
          <w:tcPr>
            <w:tcW w:w="549" w:type="pct"/>
            <w:vAlign w:val="center"/>
          </w:tcPr>
          <w:p w14:paraId="4C99151A">
            <w:pPr>
              <w:spacing w:line="360" w:lineRule="auto"/>
              <w:jc w:val="center"/>
              <w:rPr>
                <w:rFonts w:hint="eastAsia" w:ascii="宋体" w:hAnsi="宋体" w:cs="宋体"/>
                <w:color w:val="auto"/>
                <w:highlight w:val="none"/>
              </w:rPr>
            </w:pPr>
          </w:p>
        </w:tc>
        <w:tc>
          <w:tcPr>
            <w:tcW w:w="453" w:type="pct"/>
            <w:vAlign w:val="center"/>
          </w:tcPr>
          <w:p w14:paraId="27CB5A4B">
            <w:pPr>
              <w:spacing w:line="360" w:lineRule="auto"/>
              <w:jc w:val="center"/>
              <w:rPr>
                <w:rFonts w:hint="eastAsia" w:ascii="宋体" w:hAnsi="宋体" w:cs="宋体"/>
                <w:color w:val="auto"/>
                <w:highlight w:val="none"/>
              </w:rPr>
            </w:pPr>
          </w:p>
        </w:tc>
      </w:tr>
      <w:tr w14:paraId="4189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pct"/>
            <w:vAlign w:val="center"/>
          </w:tcPr>
          <w:p w14:paraId="080EF3F1">
            <w:pPr>
              <w:spacing w:line="360" w:lineRule="auto"/>
              <w:jc w:val="center"/>
              <w:rPr>
                <w:rFonts w:hint="eastAsia" w:ascii="宋体" w:hAnsi="宋体" w:cs="宋体"/>
                <w:color w:val="auto"/>
                <w:highlight w:val="none"/>
              </w:rPr>
            </w:pPr>
          </w:p>
        </w:tc>
        <w:tc>
          <w:tcPr>
            <w:tcW w:w="2515" w:type="pct"/>
            <w:vAlign w:val="center"/>
          </w:tcPr>
          <w:p w14:paraId="40B114CE">
            <w:pPr>
              <w:spacing w:line="360" w:lineRule="auto"/>
              <w:jc w:val="center"/>
              <w:rPr>
                <w:rFonts w:hint="eastAsia" w:ascii="宋体" w:hAnsi="宋体" w:cs="宋体"/>
                <w:color w:val="auto"/>
                <w:highlight w:val="none"/>
              </w:rPr>
            </w:pPr>
          </w:p>
        </w:tc>
        <w:tc>
          <w:tcPr>
            <w:tcW w:w="474" w:type="pct"/>
            <w:vAlign w:val="center"/>
          </w:tcPr>
          <w:p w14:paraId="6477FBC6">
            <w:pPr>
              <w:spacing w:line="360" w:lineRule="auto"/>
              <w:jc w:val="center"/>
              <w:rPr>
                <w:rFonts w:hint="eastAsia" w:ascii="宋体" w:hAnsi="宋体" w:cs="宋体"/>
                <w:color w:val="auto"/>
                <w:highlight w:val="none"/>
              </w:rPr>
            </w:pPr>
          </w:p>
        </w:tc>
        <w:tc>
          <w:tcPr>
            <w:tcW w:w="474" w:type="pct"/>
            <w:vAlign w:val="center"/>
          </w:tcPr>
          <w:p w14:paraId="6A02CC12">
            <w:pPr>
              <w:spacing w:line="360" w:lineRule="auto"/>
              <w:jc w:val="center"/>
              <w:rPr>
                <w:rFonts w:hint="eastAsia" w:ascii="宋体" w:hAnsi="宋体" w:cs="宋体"/>
                <w:color w:val="auto"/>
                <w:highlight w:val="none"/>
              </w:rPr>
            </w:pPr>
          </w:p>
        </w:tc>
        <w:tc>
          <w:tcPr>
            <w:tcW w:w="549" w:type="pct"/>
            <w:vAlign w:val="center"/>
          </w:tcPr>
          <w:p w14:paraId="085BB306">
            <w:pPr>
              <w:spacing w:line="360" w:lineRule="auto"/>
              <w:jc w:val="center"/>
              <w:rPr>
                <w:rFonts w:hint="eastAsia" w:ascii="宋体" w:hAnsi="宋体" w:cs="宋体"/>
                <w:color w:val="auto"/>
                <w:highlight w:val="none"/>
              </w:rPr>
            </w:pPr>
          </w:p>
        </w:tc>
        <w:tc>
          <w:tcPr>
            <w:tcW w:w="453" w:type="pct"/>
            <w:vAlign w:val="center"/>
          </w:tcPr>
          <w:p w14:paraId="40EF908C">
            <w:pPr>
              <w:spacing w:line="360" w:lineRule="auto"/>
              <w:jc w:val="center"/>
              <w:rPr>
                <w:rFonts w:hint="eastAsia" w:ascii="宋体" w:hAnsi="宋体" w:cs="宋体"/>
                <w:color w:val="auto"/>
                <w:highlight w:val="none"/>
              </w:rPr>
            </w:pPr>
          </w:p>
        </w:tc>
      </w:tr>
      <w:tr w14:paraId="2585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9" w:type="pct"/>
            <w:gridSpan w:val="2"/>
            <w:vAlign w:val="center"/>
          </w:tcPr>
          <w:p w14:paraId="43CACA4A">
            <w:pPr>
              <w:spacing w:line="360" w:lineRule="auto"/>
              <w:jc w:val="center"/>
              <w:rPr>
                <w:rFonts w:hint="eastAsia" w:ascii="宋体" w:hAnsi="宋体" w:cs="宋体"/>
                <w:color w:val="auto"/>
                <w:highlight w:val="none"/>
              </w:rPr>
            </w:pPr>
            <w:r>
              <w:rPr>
                <w:rFonts w:hint="eastAsia" w:ascii="宋体" w:hAnsi="宋体" w:cs="宋体"/>
                <w:color w:val="auto"/>
                <w:highlight w:val="none"/>
              </w:rPr>
              <w:t>年服务费（元）</w:t>
            </w:r>
          </w:p>
        </w:tc>
        <w:tc>
          <w:tcPr>
            <w:tcW w:w="1950" w:type="pct"/>
            <w:gridSpan w:val="4"/>
            <w:vAlign w:val="center"/>
          </w:tcPr>
          <w:p w14:paraId="55BF4349">
            <w:pPr>
              <w:spacing w:line="360" w:lineRule="auto"/>
              <w:jc w:val="center"/>
              <w:rPr>
                <w:rFonts w:hint="eastAsia" w:ascii="宋体" w:hAnsi="宋体" w:cs="宋体"/>
                <w:color w:val="auto"/>
                <w:highlight w:val="none"/>
              </w:rPr>
            </w:pPr>
          </w:p>
        </w:tc>
      </w:tr>
      <w:tr w14:paraId="5201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9" w:type="pct"/>
            <w:gridSpan w:val="2"/>
            <w:vAlign w:val="center"/>
          </w:tcPr>
          <w:p w14:paraId="017CDFA8">
            <w:pPr>
              <w:spacing w:line="360" w:lineRule="auto"/>
              <w:jc w:val="center"/>
              <w:rPr>
                <w:rFonts w:hint="eastAsia" w:ascii="宋体" w:hAnsi="宋体" w:cs="宋体"/>
                <w:color w:val="auto"/>
                <w:highlight w:val="none"/>
              </w:rPr>
            </w:pPr>
            <w:r>
              <w:rPr>
                <w:rFonts w:hint="eastAsia" w:ascii="宋体" w:hAnsi="宋体" w:cs="宋体"/>
                <w:color w:val="auto"/>
                <w:highlight w:val="none"/>
              </w:rPr>
              <w:t>总计（元）</w:t>
            </w:r>
          </w:p>
        </w:tc>
        <w:tc>
          <w:tcPr>
            <w:tcW w:w="1950" w:type="pct"/>
            <w:gridSpan w:val="4"/>
            <w:vAlign w:val="center"/>
          </w:tcPr>
          <w:p w14:paraId="2E9CD772">
            <w:pPr>
              <w:spacing w:line="360" w:lineRule="auto"/>
              <w:jc w:val="center"/>
              <w:rPr>
                <w:rFonts w:hint="eastAsia" w:ascii="宋体" w:hAnsi="宋体" w:cs="宋体"/>
                <w:color w:val="auto"/>
                <w:highlight w:val="none"/>
              </w:rPr>
            </w:pPr>
          </w:p>
        </w:tc>
      </w:tr>
    </w:tbl>
    <w:p w14:paraId="30AF9B0D">
      <w:pPr>
        <w:ind w:firstLine="420"/>
        <w:rPr>
          <w:rFonts w:hint="eastAsia" w:ascii="宋体" w:hAnsi="宋体" w:cs="宋体"/>
          <w:color w:val="auto"/>
          <w:highlight w:val="none"/>
        </w:rPr>
      </w:pPr>
    </w:p>
    <w:p w14:paraId="5BDC089A">
      <w:pPr>
        <w:ind w:firstLine="420"/>
        <w:rPr>
          <w:rFonts w:hint="eastAsia" w:ascii="宋体" w:hAnsi="宋体" w:cs="宋体"/>
          <w:color w:val="auto"/>
          <w:highlight w:val="none"/>
        </w:rPr>
      </w:pPr>
    </w:p>
    <w:p w14:paraId="2342F5B5">
      <w:pPr>
        <w:widowControl/>
        <w:snapToGrid w:val="0"/>
        <w:spacing w:before="120" w:after="120" w:line="360" w:lineRule="auto"/>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lang w:val="zh-CN"/>
        </w:rPr>
        <w:t>1、</w:t>
      </w:r>
      <w:r>
        <w:rPr>
          <w:rFonts w:hint="eastAsia" w:ascii="宋体" w:hAnsi="宋体" w:cs="宋体"/>
          <w:color w:val="auto"/>
          <w:kern w:val="0"/>
          <w:highlight w:val="none"/>
          <w:lang w:val="zh-CN"/>
        </w:rPr>
        <w:t>各小计金额</w:t>
      </w:r>
      <w:r>
        <w:rPr>
          <w:rFonts w:ascii="宋体" w:hAnsi="宋体" w:cs="宋体"/>
          <w:color w:val="auto"/>
          <w:kern w:val="0"/>
          <w:highlight w:val="none"/>
          <w:lang w:val="zh-CN"/>
        </w:rPr>
        <w:t>=</w:t>
      </w:r>
      <w:r>
        <w:rPr>
          <w:rFonts w:hint="eastAsia" w:ascii="宋体" w:hAnsi="宋体" w:cs="宋体"/>
          <w:color w:val="auto"/>
          <w:kern w:val="0"/>
          <w:highlight w:val="none"/>
          <w:lang w:val="zh-CN"/>
        </w:rPr>
        <w:t>单价</w:t>
      </w:r>
      <w:r>
        <w:rPr>
          <w:rFonts w:ascii="宋体" w:hAnsi="宋体" w:cs="宋体"/>
          <w:color w:val="auto"/>
          <w:kern w:val="0"/>
          <w:highlight w:val="none"/>
          <w:lang w:val="zh-CN"/>
        </w:rPr>
        <w:t>*12</w:t>
      </w:r>
      <w:r>
        <w:rPr>
          <w:rFonts w:hint="eastAsia" w:ascii="宋体" w:hAnsi="宋体" w:cs="宋体"/>
          <w:color w:val="auto"/>
          <w:kern w:val="0"/>
          <w:highlight w:val="none"/>
          <w:lang w:val="zh-CN"/>
        </w:rPr>
        <w:t>个月；</w:t>
      </w:r>
    </w:p>
    <w:p w14:paraId="5AD8DA99">
      <w:pPr>
        <w:widowControl/>
        <w:numPr>
          <w:ilvl w:val="0"/>
          <w:numId w:val="7"/>
        </w:numPr>
        <w:snapToGrid w:val="0"/>
        <w:spacing w:before="120" w:after="120"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合计金额</w:t>
      </w:r>
      <w:r>
        <w:rPr>
          <w:rFonts w:ascii="宋体" w:hAnsi="宋体" w:cs="宋体"/>
          <w:color w:val="auto"/>
          <w:kern w:val="0"/>
          <w:highlight w:val="none"/>
          <w:lang w:val="zh-CN"/>
        </w:rPr>
        <w:t>=</w:t>
      </w:r>
      <w:r>
        <w:rPr>
          <w:rFonts w:hint="eastAsia" w:ascii="宋体" w:hAnsi="宋体" w:cs="宋体"/>
          <w:color w:val="auto"/>
          <w:kern w:val="0"/>
          <w:highlight w:val="none"/>
          <w:lang w:val="zh-CN"/>
        </w:rPr>
        <w:t>单价</w:t>
      </w:r>
      <w:r>
        <w:rPr>
          <w:rFonts w:ascii="宋体" w:hAnsi="宋体" w:cs="宋体"/>
          <w:color w:val="auto"/>
          <w:kern w:val="0"/>
          <w:highlight w:val="none"/>
          <w:lang w:val="zh-CN"/>
        </w:rPr>
        <w:t>*40</w:t>
      </w:r>
      <w:r>
        <w:rPr>
          <w:rFonts w:hint="eastAsia" w:ascii="宋体" w:hAnsi="宋体" w:cs="宋体"/>
          <w:color w:val="auto"/>
          <w:kern w:val="0"/>
          <w:highlight w:val="none"/>
          <w:lang w:val="zh-CN"/>
        </w:rPr>
        <w:t>个月；</w:t>
      </w:r>
    </w:p>
    <w:p w14:paraId="4C47021D">
      <w:pPr>
        <w:widowControl/>
        <w:numPr>
          <w:ilvl w:val="0"/>
          <w:numId w:val="7"/>
        </w:numPr>
        <w:snapToGrid w:val="0"/>
        <w:spacing w:before="120" w:after="120"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rPr>
        <w:t>年服务费金额为所有小计金额之和；</w:t>
      </w:r>
    </w:p>
    <w:p w14:paraId="5B28E6E7">
      <w:pPr>
        <w:widowControl/>
        <w:numPr>
          <w:ilvl w:val="0"/>
          <w:numId w:val="7"/>
        </w:numPr>
        <w:snapToGrid w:val="0"/>
        <w:spacing w:before="120" w:after="120"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本表总计金额为所有合计金额</w:t>
      </w:r>
      <w:r>
        <w:rPr>
          <w:rFonts w:hint="eastAsia" w:ascii="宋体" w:hAnsi="宋体" w:cs="宋体"/>
          <w:color w:val="auto"/>
          <w:kern w:val="0"/>
          <w:highlight w:val="none"/>
        </w:rPr>
        <w:t>之</w:t>
      </w:r>
      <w:r>
        <w:rPr>
          <w:rFonts w:hint="eastAsia" w:ascii="宋体" w:hAnsi="宋体" w:cs="宋体"/>
          <w:color w:val="auto"/>
          <w:kern w:val="0"/>
          <w:highlight w:val="none"/>
          <w:lang w:val="zh-CN"/>
        </w:rPr>
        <w:t>和，总计金额应与“开标一览表”中投标总价相一致；</w:t>
      </w:r>
    </w:p>
    <w:p w14:paraId="4B2F19FD">
      <w:pPr>
        <w:widowControl/>
        <w:snapToGrid w:val="0"/>
        <w:spacing w:before="120" w:after="120"/>
        <w:ind w:firstLine="480" w:firstLineChars="200"/>
        <w:jc w:val="left"/>
        <w:rPr>
          <w:rFonts w:hint="eastAsia" w:ascii="宋体" w:hAnsi="宋体" w:cs="宋体"/>
          <w:color w:val="auto"/>
          <w:kern w:val="0"/>
          <w:highlight w:val="none"/>
        </w:rPr>
      </w:pPr>
      <w:r>
        <w:rPr>
          <w:rFonts w:hint="eastAsia" w:ascii="宋体" w:hAnsi="宋体" w:cs="宋体"/>
          <w:color w:val="auto"/>
          <w:kern w:val="0"/>
          <w:highlight w:val="none"/>
        </w:rPr>
        <w:t>5</w:t>
      </w:r>
      <w:r>
        <w:rPr>
          <w:rFonts w:hint="eastAsia" w:ascii="宋体" w:hAnsi="宋体" w:cs="宋体"/>
          <w:color w:val="auto"/>
          <w:kern w:val="0"/>
          <w:highlight w:val="none"/>
          <w:lang w:val="zh-CN"/>
        </w:rPr>
        <w:t>、本表可进一步细分，栏目可另加，应包括为完成本项目可能发生的全部费用。</w:t>
      </w:r>
    </w:p>
    <w:p w14:paraId="6904D23A">
      <w:pPr>
        <w:autoSpaceDE w:val="0"/>
        <w:autoSpaceDN w:val="0"/>
        <w:spacing w:line="360" w:lineRule="auto"/>
        <w:ind w:left="2" w:leftChars="1" w:right="1120" w:firstLine="4560" w:firstLineChars="19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供应商名称（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14:paraId="7901FAAC">
      <w:pPr>
        <w:autoSpaceDE w:val="0"/>
        <w:autoSpaceDN w:val="0"/>
        <w:ind w:left="2" w:leftChars="1" w:right="1120" w:firstLine="4560" w:firstLineChars="1900"/>
        <w:jc w:val="left"/>
        <w:rPr>
          <w:rFonts w:hint="eastAsia" w:ascii="宋体" w:hAnsi="宋体" w:cs="宋体"/>
          <w:color w:val="auto"/>
          <w:sz w:val="32"/>
          <w:szCs w:val="32"/>
          <w:highlight w:val="none"/>
        </w:rPr>
      </w:pPr>
      <w:r>
        <w:rPr>
          <w:rFonts w:hint="eastAsia" w:ascii="宋体" w:hAnsi="宋体" w:cs="宋体"/>
          <w:color w:val="auto"/>
          <w:highlight w:val="none"/>
          <w:lang w:val="zh-CN"/>
        </w:rPr>
        <w:t>日期</w:t>
      </w:r>
      <w:r>
        <w:rPr>
          <w:rFonts w:hint="eastAsia" w:ascii="宋体" w:hAnsi="宋体" w:cs="宋体"/>
          <w:color w:val="auto"/>
          <w:highlight w:val="none"/>
        </w:rPr>
        <w:t>：</w:t>
      </w:r>
      <w:r>
        <w:rPr>
          <w:rFonts w:hint="eastAsia" w:ascii="宋体" w:hAnsi="宋体" w:cs="宋体"/>
          <w:color w:val="auto"/>
          <w:highlight w:val="none"/>
          <w:lang w:val="zh-CN"/>
        </w:rPr>
        <w:t xml:space="preserve">   年   月   日</w:t>
      </w:r>
    </w:p>
    <w:p w14:paraId="5BFA7F23">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33EC35DC">
      <w:pPr>
        <w:pStyle w:val="46"/>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7DB1217">
      <w:pPr>
        <w:spacing w:line="360" w:lineRule="auto"/>
        <w:rPr>
          <w:rFonts w:hint="eastAsia" w:ascii="宋体" w:hAnsi="宋体" w:cs="宋体"/>
          <w:color w:val="auto"/>
          <w:highlight w:val="none"/>
        </w:rPr>
      </w:pPr>
      <w:bookmarkStart w:id="17" w:name="_Toc465665161"/>
      <w:r>
        <w:rPr>
          <w:rFonts w:hint="eastAsia" w:ascii="宋体" w:hAnsi="宋体" w:cs="宋体"/>
          <w:color w:val="auto"/>
          <w:highlight w:val="none"/>
        </w:rPr>
        <w:t>（如供应商报价低于项目预算50%的，应当提交本文档，详细阐述不影响产品质量或者诚信履约的具体原因。）</w:t>
      </w:r>
    </w:p>
    <w:p w14:paraId="7A51B5AC">
      <w:pPr>
        <w:rPr>
          <w:rFonts w:hint="eastAsia" w:ascii="宋体" w:hAnsi="宋体" w:cs="宋体"/>
          <w:color w:val="auto"/>
          <w:highlight w:val="none"/>
        </w:rPr>
      </w:pPr>
    </w:p>
    <w:p w14:paraId="2BB385F7">
      <w:pPr>
        <w:rPr>
          <w:rFonts w:hint="eastAsia" w:ascii="宋体" w:hAnsi="宋体" w:cs="宋体"/>
          <w:color w:val="auto"/>
          <w:highlight w:val="none"/>
        </w:rPr>
      </w:pPr>
      <w:r>
        <w:rPr>
          <w:rFonts w:hint="eastAsia" w:ascii="宋体" w:hAnsi="宋体" w:cs="宋体"/>
          <w:color w:val="auto"/>
          <w:highlight w:val="none"/>
        </w:rPr>
        <w:br w:type="page"/>
      </w:r>
    </w:p>
    <w:p w14:paraId="21271F96">
      <w:pPr>
        <w:pStyle w:val="3"/>
        <w:jc w:val="center"/>
        <w:rPr>
          <w:rFonts w:hint="eastAsia"/>
          <w:color w:val="auto"/>
          <w:highlight w:val="none"/>
        </w:rPr>
      </w:pPr>
      <w:r>
        <w:rPr>
          <w:rFonts w:hint="eastAsia"/>
          <w:color w:val="auto"/>
          <w:highlight w:val="none"/>
        </w:rPr>
        <w:t>附件</w:t>
      </w:r>
      <w:bookmarkEnd w:id="17"/>
    </w:p>
    <w:p w14:paraId="74F38293">
      <w:pPr>
        <w:pStyle w:val="3"/>
        <w:rPr>
          <w:rFonts w:hint="eastAsia"/>
          <w:color w:val="auto"/>
          <w:highlight w:val="none"/>
        </w:rPr>
      </w:pPr>
      <w:r>
        <w:rPr>
          <w:rFonts w:hint="eastAsia"/>
          <w:color w:val="auto"/>
          <w:highlight w:val="none"/>
        </w:rPr>
        <w:t>附件</w:t>
      </w:r>
      <w:r>
        <w:rPr>
          <w:rFonts w:hint="eastAsia"/>
          <w:color w:val="auto"/>
          <w:highlight w:val="none"/>
          <w:lang w:val="en-US"/>
        </w:rPr>
        <w:t>1</w:t>
      </w:r>
      <w:r>
        <w:rPr>
          <w:rFonts w:hint="eastAsia"/>
          <w:color w:val="auto"/>
          <w:highlight w:val="none"/>
        </w:rPr>
        <w:t>：质疑函范本及制作说明</w:t>
      </w:r>
    </w:p>
    <w:p w14:paraId="3CE52D6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F0A8BF9">
      <w:pPr>
        <w:snapToGrid w:val="0"/>
        <w:spacing w:before="312" w:beforeLines="100" w:line="360" w:lineRule="auto"/>
        <w:rPr>
          <w:rFonts w:hint="eastAsia" w:ascii="宋体" w:hAnsi="宋体" w:cs="宋体"/>
          <w:bCs/>
          <w:color w:val="auto"/>
          <w:highlight w:val="none"/>
        </w:rPr>
      </w:pPr>
      <w:r>
        <w:rPr>
          <w:rFonts w:hint="eastAsia" w:ascii="宋体" w:hAnsi="宋体" w:cs="宋体"/>
          <w:bCs/>
          <w:color w:val="auto"/>
          <w:highlight w:val="none"/>
        </w:rPr>
        <w:t>一、质疑供应商基本信息</w:t>
      </w:r>
    </w:p>
    <w:p w14:paraId="12A8AFF8">
      <w:pPr>
        <w:snapToGrid w:val="0"/>
        <w:spacing w:line="360" w:lineRule="auto"/>
        <w:rPr>
          <w:rFonts w:hint="eastAsia"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14:paraId="6C736EC5">
      <w:pPr>
        <w:snapToGrid w:val="0"/>
        <w:spacing w:line="360" w:lineRule="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236D65D1">
      <w:pPr>
        <w:snapToGrid w:val="0"/>
        <w:spacing w:line="360" w:lineRule="auto"/>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36E7CC48">
      <w:pPr>
        <w:snapToGrid w:val="0"/>
        <w:spacing w:line="360" w:lineRule="auto"/>
        <w:rPr>
          <w:rFonts w:hint="eastAsia"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14:paraId="7594B953">
      <w:pPr>
        <w:snapToGrid w:val="0"/>
        <w:spacing w:line="360" w:lineRule="auto"/>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659696D1">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地址： </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5D24BEE5">
      <w:pPr>
        <w:snapToGrid w:val="0"/>
        <w:spacing w:line="360" w:lineRule="auto"/>
        <w:rPr>
          <w:rFonts w:hint="eastAsia" w:ascii="宋体" w:hAnsi="宋体" w:cs="宋体"/>
          <w:bCs/>
          <w:color w:val="auto"/>
          <w:highlight w:val="none"/>
        </w:rPr>
      </w:pPr>
      <w:r>
        <w:rPr>
          <w:rFonts w:hint="eastAsia" w:ascii="宋体" w:hAnsi="宋体" w:cs="宋体"/>
          <w:bCs/>
          <w:color w:val="auto"/>
          <w:highlight w:val="none"/>
        </w:rPr>
        <w:t>二、质疑项目基本情况</w:t>
      </w:r>
    </w:p>
    <w:p w14:paraId="65BC3167">
      <w:pPr>
        <w:snapToGrid w:val="0"/>
        <w:spacing w:line="360" w:lineRule="auto"/>
        <w:rPr>
          <w:rFonts w:hint="eastAsia"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14:paraId="7FC030EE">
      <w:pPr>
        <w:snapToGrid w:val="0"/>
        <w:spacing w:line="360" w:lineRule="auto"/>
        <w:rPr>
          <w:rFonts w:hint="eastAsia" w:ascii="宋体" w:hAnsi="宋体" w:cs="宋体"/>
          <w:color w:val="auto"/>
          <w:highlight w:val="none"/>
        </w:rPr>
      </w:pPr>
      <w:r>
        <w:rPr>
          <w:rFonts w:hint="eastAsia" w:ascii="宋体" w:hAnsi="宋体" w:cs="宋体"/>
          <w:color w:val="auto"/>
          <w:highlight w:val="none"/>
        </w:rPr>
        <w:t>质疑项目的编号：</w:t>
      </w:r>
      <w:r>
        <w:rPr>
          <w:rFonts w:hint="eastAsia" w:ascii="宋体" w:hAnsi="宋体" w:cs="宋体"/>
          <w:color w:val="auto"/>
          <w:highlight w:val="none"/>
          <w:u w:val="dotted"/>
        </w:rPr>
        <w:t xml:space="preserve">               </w:t>
      </w:r>
      <w:r>
        <w:rPr>
          <w:rFonts w:hint="eastAsia" w:ascii="宋体" w:hAnsi="宋体" w:cs="宋体"/>
          <w:color w:val="auto"/>
          <w:highlight w:val="none"/>
        </w:rPr>
        <w:t>包号：</w:t>
      </w:r>
      <w:r>
        <w:rPr>
          <w:rFonts w:hint="eastAsia" w:ascii="宋体" w:hAnsi="宋体" w:cs="宋体"/>
          <w:color w:val="auto"/>
          <w:highlight w:val="none"/>
          <w:u w:val="dotted"/>
        </w:rPr>
        <w:t xml:space="preserve">                 </w:t>
      </w:r>
    </w:p>
    <w:p w14:paraId="0B22059D">
      <w:pPr>
        <w:snapToGrid w:val="0"/>
        <w:spacing w:line="360" w:lineRule="auto"/>
        <w:rPr>
          <w:rFonts w:hint="eastAsia"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14:paraId="333E01EC">
      <w:pPr>
        <w:snapToGrid w:val="0"/>
        <w:spacing w:line="360" w:lineRule="auto"/>
        <w:rPr>
          <w:rFonts w:hint="eastAsia"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14:paraId="6CDC82D0">
      <w:pPr>
        <w:snapToGrid w:val="0"/>
        <w:spacing w:line="360" w:lineRule="auto"/>
        <w:rPr>
          <w:rFonts w:hint="eastAsia" w:ascii="宋体" w:hAnsi="宋体" w:cs="宋体"/>
          <w:bCs/>
          <w:color w:val="auto"/>
          <w:highlight w:val="none"/>
        </w:rPr>
      </w:pPr>
      <w:r>
        <w:rPr>
          <w:rFonts w:hint="eastAsia" w:ascii="宋体" w:hAnsi="宋体" w:cs="宋体"/>
          <w:bCs/>
          <w:color w:val="auto"/>
          <w:highlight w:val="none"/>
        </w:rPr>
        <w:t>三、质疑事项具体内容</w:t>
      </w:r>
    </w:p>
    <w:p w14:paraId="62935BB9">
      <w:pPr>
        <w:snapToGrid w:val="0"/>
        <w:spacing w:line="360" w:lineRule="auto"/>
        <w:rPr>
          <w:rFonts w:hint="eastAsia" w:ascii="宋体" w:hAnsi="宋体" w:cs="宋体"/>
          <w:color w:val="auto"/>
          <w:highlight w:val="none"/>
          <w:u w:val="dotted"/>
        </w:rPr>
      </w:pPr>
      <w:r>
        <w:rPr>
          <w:rFonts w:hint="eastAsia" w:ascii="宋体" w:hAnsi="宋体" w:cs="宋体"/>
          <w:color w:val="auto"/>
          <w:highlight w:val="none"/>
        </w:rPr>
        <w:t>质疑事项1：</w:t>
      </w:r>
      <w:r>
        <w:rPr>
          <w:rFonts w:hint="eastAsia" w:ascii="宋体" w:hAnsi="宋体" w:cs="宋体"/>
          <w:color w:val="auto"/>
          <w:highlight w:val="none"/>
          <w:u w:val="dotted"/>
        </w:rPr>
        <w:t xml:space="preserve">                                         </w:t>
      </w:r>
    </w:p>
    <w:p w14:paraId="4A32B347">
      <w:pPr>
        <w:snapToGrid w:val="0"/>
        <w:spacing w:line="360" w:lineRule="auto"/>
        <w:rPr>
          <w:rFonts w:hint="eastAsia" w:ascii="宋体" w:hAnsi="宋体" w:cs="宋体"/>
          <w:color w:val="auto"/>
          <w:highlight w:val="none"/>
          <w:u w:val="dotted"/>
        </w:rPr>
      </w:pPr>
      <w:r>
        <w:rPr>
          <w:rFonts w:hint="eastAsia" w:ascii="宋体" w:hAnsi="宋体" w:cs="宋体"/>
          <w:strike/>
          <w:color w:val="auto"/>
          <w:highlight w:val="none"/>
        </w:rPr>
        <w:t>事实</w:t>
      </w:r>
      <w:r>
        <w:rPr>
          <w:rFonts w:hint="eastAsia" w:ascii="宋体" w:hAnsi="宋体" w:cs="宋体"/>
          <w:color w:val="auto"/>
          <w:highlight w:val="none"/>
        </w:rPr>
        <w:t>依据：</w:t>
      </w:r>
      <w:r>
        <w:rPr>
          <w:rFonts w:hint="eastAsia" w:ascii="宋体" w:hAnsi="宋体" w:cs="宋体"/>
          <w:color w:val="auto"/>
          <w:highlight w:val="none"/>
          <w:u w:val="dotted"/>
        </w:rPr>
        <w:t xml:space="preserve">                                          </w:t>
      </w:r>
    </w:p>
    <w:p w14:paraId="16149A4A">
      <w:pPr>
        <w:snapToGrid w:val="0"/>
        <w:spacing w:line="360" w:lineRule="auto"/>
        <w:rPr>
          <w:rFonts w:hint="eastAsia" w:ascii="宋体" w:hAnsi="宋体" w:cs="宋体"/>
          <w:color w:val="auto"/>
          <w:highlight w:val="none"/>
        </w:rPr>
      </w:pPr>
      <w:r>
        <w:rPr>
          <w:rFonts w:hint="eastAsia" w:ascii="宋体" w:hAnsi="宋体" w:cs="宋体"/>
          <w:color w:val="auto"/>
          <w:highlight w:val="none"/>
          <w:u w:val="dotted"/>
        </w:rPr>
        <w:t xml:space="preserve">                                                       </w:t>
      </w:r>
    </w:p>
    <w:p w14:paraId="2F6FC726">
      <w:pPr>
        <w:snapToGrid w:val="0"/>
        <w:spacing w:line="360" w:lineRule="auto"/>
        <w:rPr>
          <w:rFonts w:hint="eastAsia" w:ascii="宋体" w:hAnsi="宋体" w:cs="宋体"/>
          <w:color w:val="auto"/>
          <w:highlight w:val="none"/>
          <w:u w:val="dotted"/>
        </w:rPr>
      </w:pPr>
      <w:r>
        <w:rPr>
          <w:rFonts w:hint="eastAsia" w:ascii="宋体" w:hAnsi="宋体" w:cs="宋体"/>
          <w:color w:val="auto"/>
          <w:highlight w:val="none"/>
        </w:rPr>
        <w:t>质疑事项2</w:t>
      </w:r>
    </w:p>
    <w:p w14:paraId="6E37D478">
      <w:pPr>
        <w:snapToGrid w:val="0"/>
        <w:spacing w:line="360" w:lineRule="auto"/>
        <w:rPr>
          <w:rFonts w:hint="eastAsia" w:ascii="宋体" w:hAnsi="宋体" w:cs="宋体"/>
          <w:color w:val="auto"/>
          <w:highlight w:val="none"/>
        </w:rPr>
      </w:pPr>
      <w:r>
        <w:rPr>
          <w:rFonts w:hint="eastAsia" w:ascii="宋体" w:hAnsi="宋体" w:cs="宋体"/>
          <w:color w:val="auto"/>
          <w:highlight w:val="none"/>
        </w:rPr>
        <w:t>……</w:t>
      </w:r>
    </w:p>
    <w:p w14:paraId="6EDEED5C">
      <w:pPr>
        <w:snapToGrid w:val="0"/>
        <w:spacing w:line="360" w:lineRule="auto"/>
        <w:rPr>
          <w:rFonts w:hint="eastAsia" w:ascii="宋体" w:hAnsi="宋体" w:cs="宋体"/>
          <w:bCs/>
          <w:color w:val="auto"/>
          <w:highlight w:val="none"/>
        </w:rPr>
      </w:pPr>
      <w:r>
        <w:rPr>
          <w:rFonts w:hint="eastAsia" w:ascii="宋体" w:hAnsi="宋体" w:cs="宋体"/>
          <w:bCs/>
          <w:color w:val="auto"/>
          <w:highlight w:val="none"/>
        </w:rPr>
        <w:t>四、与质疑事项相关的质疑请求</w:t>
      </w:r>
    </w:p>
    <w:p w14:paraId="7944E6AB">
      <w:pPr>
        <w:snapToGrid w:val="0"/>
        <w:spacing w:line="360" w:lineRule="auto"/>
        <w:rPr>
          <w:rFonts w:hint="eastAsia"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14:paraId="63521EE3">
      <w:pPr>
        <w:spacing w:line="360" w:lineRule="auto"/>
        <w:rPr>
          <w:rFonts w:hint="eastAsia" w:ascii="宋体" w:hAnsi="宋体" w:cs="宋体"/>
          <w:color w:val="auto"/>
          <w:highlight w:val="none"/>
        </w:rPr>
      </w:pPr>
      <w:r>
        <w:rPr>
          <w:rFonts w:hint="eastAsia" w:ascii="宋体" w:hAnsi="宋体" w:cs="宋体"/>
          <w:color w:val="auto"/>
          <w:highlight w:val="none"/>
        </w:rPr>
        <w:t xml:space="preserve">签字(签章)：                   公章：                      </w:t>
      </w:r>
    </w:p>
    <w:p w14:paraId="6077D28A">
      <w:pPr>
        <w:spacing w:line="360" w:lineRule="auto"/>
        <w:rPr>
          <w:rFonts w:hint="eastAsia" w:ascii="宋体" w:hAnsi="宋体" w:cs="宋体"/>
          <w:color w:val="auto"/>
          <w:highlight w:val="none"/>
        </w:rPr>
      </w:pPr>
      <w:r>
        <w:rPr>
          <w:rFonts w:hint="eastAsia" w:ascii="宋体" w:hAnsi="宋体" w:cs="宋体"/>
          <w:color w:val="auto"/>
          <w:highlight w:val="none"/>
        </w:rPr>
        <w:t xml:space="preserve">日期：    </w:t>
      </w:r>
    </w:p>
    <w:p w14:paraId="6FD4DD6F">
      <w:pPr>
        <w:spacing w:line="360" w:lineRule="auto"/>
        <w:jc w:val="center"/>
        <w:rPr>
          <w:rFonts w:hint="eastAsia" w:ascii="宋体" w:hAnsi="宋体" w:cs="宋体"/>
          <w:b/>
          <w:bCs/>
          <w:color w:val="auto"/>
          <w:highlight w:val="none"/>
        </w:rPr>
      </w:pPr>
    </w:p>
    <w:p w14:paraId="543FDB57">
      <w:pPr>
        <w:spacing w:line="360" w:lineRule="auto"/>
        <w:rPr>
          <w:rFonts w:hint="eastAsia" w:ascii="宋体" w:hAnsi="宋体" w:cs="宋体"/>
          <w:b/>
          <w:color w:val="auto"/>
          <w:highlight w:val="none"/>
        </w:rPr>
      </w:pPr>
    </w:p>
    <w:p w14:paraId="30CE87BA">
      <w:pPr>
        <w:spacing w:line="360" w:lineRule="auto"/>
        <w:rPr>
          <w:rFonts w:hint="eastAsia" w:ascii="宋体" w:hAnsi="宋体" w:cs="宋体"/>
          <w:b/>
          <w:color w:val="auto"/>
          <w:highlight w:val="none"/>
        </w:rPr>
      </w:pPr>
    </w:p>
    <w:p w14:paraId="7E39AC5B">
      <w:pPr>
        <w:spacing w:line="360" w:lineRule="auto"/>
        <w:rPr>
          <w:rFonts w:hint="eastAsia" w:ascii="宋体" w:hAnsi="宋体" w:cs="宋体"/>
          <w:b/>
          <w:color w:val="auto"/>
          <w:highlight w:val="none"/>
        </w:rPr>
      </w:pPr>
    </w:p>
    <w:p w14:paraId="05960B55">
      <w:pPr>
        <w:spacing w:line="360" w:lineRule="auto"/>
        <w:rPr>
          <w:rFonts w:hint="eastAsia" w:ascii="宋体" w:hAnsi="宋体" w:cs="宋体"/>
          <w:b/>
          <w:color w:val="auto"/>
          <w:highlight w:val="none"/>
        </w:rPr>
      </w:pPr>
      <w:r>
        <w:rPr>
          <w:rFonts w:hint="eastAsia" w:ascii="宋体" w:hAnsi="宋体" w:cs="宋体"/>
          <w:b/>
          <w:color w:val="auto"/>
          <w:highlight w:val="none"/>
        </w:rPr>
        <w:t>质疑函制作说明：</w:t>
      </w:r>
    </w:p>
    <w:p w14:paraId="683D817C">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1A9D6870">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14:paraId="23BC43DE">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08845173">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57356C49">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5.质疑函的质疑请求应与质疑事项相关。</w:t>
      </w:r>
    </w:p>
    <w:p w14:paraId="37881F9C">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6.质疑函应由法定代表人、主要负责人，或者其授权代表签字或者盖章，并加盖公章。</w:t>
      </w:r>
    </w:p>
    <w:p w14:paraId="7C317D82">
      <w:pPr>
        <w:widowControl/>
        <w:spacing w:line="360" w:lineRule="auto"/>
        <w:ind w:firstLine="600" w:firstLineChars="200"/>
        <w:jc w:val="left"/>
        <w:rPr>
          <w:rFonts w:hint="eastAsia" w:ascii="宋体" w:hAnsi="宋体" w:cs="宋体"/>
          <w:color w:val="auto"/>
          <w:sz w:val="30"/>
          <w:szCs w:val="30"/>
          <w:highlight w:val="none"/>
        </w:rPr>
      </w:pPr>
    </w:p>
    <w:p w14:paraId="11A8DC44">
      <w:pPr>
        <w:spacing w:line="360" w:lineRule="auto"/>
        <w:jc w:val="center"/>
        <w:rPr>
          <w:rFonts w:hint="eastAsia" w:ascii="宋体" w:hAnsi="宋体" w:cs="宋体"/>
          <w:b/>
          <w:color w:val="auto"/>
          <w:spacing w:val="6"/>
          <w:sz w:val="32"/>
          <w:szCs w:val="32"/>
          <w:highlight w:val="none"/>
        </w:rPr>
      </w:pPr>
    </w:p>
    <w:p w14:paraId="1616CFE2">
      <w:pPr>
        <w:spacing w:line="360" w:lineRule="auto"/>
        <w:jc w:val="center"/>
        <w:rPr>
          <w:rFonts w:hint="eastAsia" w:ascii="宋体" w:hAnsi="宋体" w:cs="宋体"/>
          <w:b/>
          <w:color w:val="auto"/>
          <w:spacing w:val="6"/>
          <w:sz w:val="32"/>
          <w:szCs w:val="32"/>
          <w:highlight w:val="none"/>
        </w:rPr>
      </w:pPr>
    </w:p>
    <w:p w14:paraId="0431C6E7">
      <w:pPr>
        <w:spacing w:line="360" w:lineRule="auto"/>
        <w:jc w:val="center"/>
        <w:rPr>
          <w:rFonts w:hint="eastAsia" w:ascii="宋体" w:hAnsi="宋体" w:cs="宋体"/>
          <w:b/>
          <w:color w:val="auto"/>
          <w:spacing w:val="6"/>
          <w:sz w:val="32"/>
          <w:szCs w:val="32"/>
          <w:highlight w:val="none"/>
        </w:rPr>
      </w:pPr>
    </w:p>
    <w:p w14:paraId="04A84F6F">
      <w:pPr>
        <w:spacing w:line="360" w:lineRule="auto"/>
        <w:jc w:val="center"/>
        <w:rPr>
          <w:rFonts w:hint="eastAsia" w:ascii="宋体" w:hAnsi="宋体" w:cs="宋体"/>
          <w:b/>
          <w:color w:val="auto"/>
          <w:spacing w:val="6"/>
          <w:sz w:val="32"/>
          <w:szCs w:val="32"/>
          <w:highlight w:val="none"/>
        </w:rPr>
      </w:pPr>
    </w:p>
    <w:p w14:paraId="47FBFBB0">
      <w:pPr>
        <w:spacing w:line="360" w:lineRule="auto"/>
        <w:jc w:val="center"/>
        <w:rPr>
          <w:rFonts w:hint="eastAsia" w:ascii="宋体" w:hAnsi="宋体" w:cs="宋体"/>
          <w:b/>
          <w:color w:val="auto"/>
          <w:spacing w:val="6"/>
          <w:sz w:val="32"/>
          <w:szCs w:val="32"/>
          <w:highlight w:val="none"/>
        </w:rPr>
      </w:pPr>
    </w:p>
    <w:p w14:paraId="28F368C7">
      <w:pPr>
        <w:spacing w:line="360" w:lineRule="auto"/>
        <w:jc w:val="center"/>
        <w:rPr>
          <w:rFonts w:hint="eastAsia" w:ascii="宋体" w:hAnsi="宋体" w:cs="宋体"/>
          <w:b/>
          <w:color w:val="auto"/>
          <w:spacing w:val="6"/>
          <w:sz w:val="32"/>
          <w:szCs w:val="32"/>
          <w:highlight w:val="none"/>
        </w:rPr>
      </w:pPr>
    </w:p>
    <w:p w14:paraId="1D076BF8">
      <w:pPr>
        <w:spacing w:line="360" w:lineRule="auto"/>
        <w:jc w:val="center"/>
        <w:rPr>
          <w:rFonts w:hint="eastAsia" w:ascii="宋体" w:hAnsi="宋体" w:cs="宋体"/>
          <w:b/>
          <w:color w:val="auto"/>
          <w:spacing w:val="6"/>
          <w:sz w:val="32"/>
          <w:szCs w:val="32"/>
          <w:highlight w:val="none"/>
        </w:rPr>
      </w:pPr>
    </w:p>
    <w:p w14:paraId="40C5BC1F">
      <w:pPr>
        <w:spacing w:line="360" w:lineRule="auto"/>
        <w:jc w:val="center"/>
        <w:rPr>
          <w:rFonts w:hint="eastAsia" w:ascii="宋体" w:hAnsi="宋体" w:cs="宋体"/>
          <w:b/>
          <w:color w:val="auto"/>
          <w:spacing w:val="6"/>
          <w:sz w:val="32"/>
          <w:szCs w:val="32"/>
          <w:highlight w:val="none"/>
        </w:rPr>
      </w:pPr>
    </w:p>
    <w:p w14:paraId="7CCEBF7C">
      <w:pPr>
        <w:spacing w:line="360" w:lineRule="auto"/>
        <w:jc w:val="center"/>
        <w:rPr>
          <w:rFonts w:hint="eastAsia" w:ascii="宋体" w:hAnsi="宋体" w:cs="宋体"/>
          <w:b/>
          <w:color w:val="auto"/>
          <w:spacing w:val="6"/>
          <w:sz w:val="32"/>
          <w:szCs w:val="32"/>
          <w:highlight w:val="none"/>
        </w:rPr>
      </w:pPr>
    </w:p>
    <w:p w14:paraId="2294EA2A">
      <w:pPr>
        <w:spacing w:line="360" w:lineRule="auto"/>
        <w:jc w:val="center"/>
        <w:rPr>
          <w:rFonts w:hint="eastAsia" w:ascii="宋体" w:hAnsi="宋体" w:cs="宋体"/>
          <w:b/>
          <w:color w:val="auto"/>
          <w:spacing w:val="6"/>
          <w:sz w:val="32"/>
          <w:szCs w:val="32"/>
          <w:highlight w:val="none"/>
        </w:rPr>
      </w:pPr>
    </w:p>
    <w:p w14:paraId="45E8194F">
      <w:pPr>
        <w:spacing w:line="360" w:lineRule="auto"/>
        <w:jc w:val="center"/>
        <w:rPr>
          <w:rFonts w:hint="eastAsia" w:ascii="宋体" w:hAnsi="宋体" w:cs="宋体"/>
          <w:b/>
          <w:color w:val="auto"/>
          <w:spacing w:val="6"/>
          <w:sz w:val="32"/>
          <w:szCs w:val="32"/>
          <w:highlight w:val="none"/>
        </w:rPr>
      </w:pPr>
    </w:p>
    <w:p w14:paraId="741FD38C">
      <w:pPr>
        <w:spacing w:line="360" w:lineRule="auto"/>
        <w:jc w:val="left"/>
        <w:rPr>
          <w:rFonts w:hint="eastAsia" w:ascii="宋体" w:hAnsi="宋体" w:cs="宋体"/>
          <w:b/>
          <w:color w:val="auto"/>
          <w:spacing w:val="6"/>
          <w:sz w:val="32"/>
          <w:szCs w:val="32"/>
          <w:highlight w:val="none"/>
        </w:rPr>
      </w:pPr>
    </w:p>
    <w:p w14:paraId="040398A0">
      <w:pPr>
        <w:pStyle w:val="3"/>
        <w:rPr>
          <w:rFonts w:hint="eastAsia"/>
          <w:color w:val="auto"/>
          <w:highlight w:val="none"/>
        </w:rPr>
      </w:pPr>
      <w:r>
        <w:rPr>
          <w:rFonts w:hint="eastAsia"/>
          <w:color w:val="auto"/>
          <w:highlight w:val="none"/>
        </w:rPr>
        <w:t>附件</w:t>
      </w:r>
      <w:r>
        <w:rPr>
          <w:rFonts w:hint="eastAsia"/>
          <w:color w:val="auto"/>
          <w:highlight w:val="none"/>
          <w:lang w:val="en-US"/>
        </w:rPr>
        <w:t>2</w:t>
      </w:r>
      <w:r>
        <w:rPr>
          <w:rFonts w:hint="eastAsia"/>
          <w:color w:val="auto"/>
          <w:highlight w:val="none"/>
        </w:rPr>
        <w:t>：投诉书范本及制作说明</w:t>
      </w:r>
    </w:p>
    <w:p w14:paraId="1902E1DB">
      <w:pPr>
        <w:spacing w:line="360" w:lineRule="auto"/>
        <w:jc w:val="center"/>
        <w:rPr>
          <w:rFonts w:hint="eastAsia" w:ascii="宋体" w:hAnsi="宋体" w:cs="宋体"/>
          <w:b/>
          <w:color w:val="auto"/>
          <w:highlight w:val="none"/>
        </w:rPr>
      </w:pPr>
    </w:p>
    <w:p w14:paraId="1E9F5D1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C2D641">
      <w:pPr>
        <w:spacing w:line="360" w:lineRule="auto"/>
        <w:rPr>
          <w:rFonts w:hint="eastAsia" w:ascii="宋体" w:hAnsi="宋体" w:cs="宋体"/>
          <w:color w:val="auto"/>
          <w:highlight w:val="none"/>
        </w:rPr>
      </w:pPr>
      <w:r>
        <w:rPr>
          <w:rFonts w:hint="eastAsia" w:ascii="宋体" w:hAnsi="宋体" w:cs="宋体"/>
          <w:color w:val="auto"/>
          <w:highlight w:val="none"/>
        </w:rPr>
        <w:t>一、投诉相关主体基本情况</w:t>
      </w:r>
    </w:p>
    <w:p w14:paraId="67A25D78">
      <w:pPr>
        <w:spacing w:line="360" w:lineRule="auto"/>
        <w:rPr>
          <w:rFonts w:hint="eastAsia" w:ascii="宋体" w:hAnsi="宋体" w:cs="宋体"/>
          <w:color w:val="auto"/>
          <w:highlight w:val="none"/>
          <w:u w:val="dotted"/>
        </w:rPr>
      </w:pPr>
      <w:r>
        <w:rPr>
          <w:rFonts w:hint="eastAsia" w:ascii="宋体" w:hAnsi="宋体" w:cs="宋体"/>
          <w:color w:val="auto"/>
          <w:highlight w:val="none"/>
        </w:rPr>
        <w:t>投诉人：</w:t>
      </w:r>
      <w:r>
        <w:rPr>
          <w:rFonts w:hint="eastAsia" w:ascii="宋体" w:hAnsi="宋体" w:cs="宋体"/>
          <w:color w:val="auto"/>
          <w:highlight w:val="none"/>
          <w:u w:val="dotted"/>
        </w:rPr>
        <w:t xml:space="preserve">                                               </w:t>
      </w:r>
    </w:p>
    <w:p w14:paraId="5AE8A6F9">
      <w:pPr>
        <w:spacing w:line="360" w:lineRule="auto"/>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2A5A8B41">
      <w:pPr>
        <w:tabs>
          <w:tab w:val="left" w:pos="6510"/>
        </w:tabs>
        <w:spacing w:line="360" w:lineRule="auto"/>
        <w:jc w:val="left"/>
        <w:rPr>
          <w:rFonts w:hint="eastAsia" w:ascii="宋体" w:hAnsi="宋体" w:cs="宋体"/>
          <w:color w:val="auto"/>
          <w:highlight w:val="none"/>
        </w:rPr>
      </w:pPr>
      <w:r>
        <w:rPr>
          <w:rFonts w:hint="eastAsia" w:ascii="宋体" w:hAnsi="宋体" w:cs="宋体"/>
          <w:color w:val="auto"/>
          <w:highlight w:val="none"/>
        </w:rPr>
        <w:t>法定代表人/主要负责人：</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6E9D0C8F">
      <w:pPr>
        <w:tabs>
          <w:tab w:val="left" w:pos="6510"/>
        </w:tabs>
        <w:spacing w:line="360" w:lineRule="auto"/>
        <w:rPr>
          <w:rFonts w:hint="eastAsia" w:ascii="宋体" w:hAnsi="宋体" w:cs="宋体"/>
          <w:color w:val="auto"/>
          <w:highlight w:val="none"/>
          <w:u w:val="dotted"/>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19F7C2E3">
      <w:pPr>
        <w:spacing w:line="360" w:lineRule="auto"/>
        <w:rPr>
          <w:rFonts w:hint="eastAsia"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50FC3889">
      <w:pPr>
        <w:spacing w:line="360" w:lineRule="auto"/>
        <w:rPr>
          <w:rFonts w:hint="eastAsia" w:ascii="宋体" w:hAnsi="宋体" w:cs="宋体"/>
          <w:color w:val="auto"/>
          <w:highlight w:val="none"/>
          <w:u w:val="dotted"/>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dotted"/>
        </w:rPr>
        <w:t xml:space="preserve">                   </w:t>
      </w:r>
    </w:p>
    <w:p w14:paraId="7711B0D7">
      <w:pPr>
        <w:spacing w:line="360" w:lineRule="auto"/>
        <w:rPr>
          <w:rFonts w:hint="eastAsia" w:ascii="宋体" w:hAnsi="宋体" w:cs="宋体"/>
          <w:color w:val="auto"/>
          <w:highlight w:val="none"/>
          <w:u w:val="single"/>
        </w:rPr>
      </w:pPr>
      <w:r>
        <w:rPr>
          <w:rFonts w:hint="eastAsia" w:ascii="宋体" w:hAnsi="宋体" w:cs="宋体"/>
          <w:color w:val="auto"/>
          <w:highlight w:val="none"/>
        </w:rPr>
        <w:t>被投诉人1：</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7CBA1679">
      <w:pPr>
        <w:spacing w:line="360" w:lineRule="auto"/>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09FD0F3B">
      <w:pPr>
        <w:spacing w:line="360" w:lineRule="auto"/>
        <w:rPr>
          <w:rFonts w:hint="eastAsia"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4C3DF3DE">
      <w:pPr>
        <w:spacing w:line="360" w:lineRule="auto"/>
        <w:rPr>
          <w:rFonts w:hint="eastAsia" w:ascii="宋体" w:hAnsi="宋体" w:cs="宋体"/>
          <w:color w:val="auto"/>
          <w:highlight w:val="none"/>
        </w:rPr>
      </w:pPr>
      <w:r>
        <w:rPr>
          <w:rFonts w:hint="eastAsia" w:ascii="宋体" w:hAnsi="宋体" w:cs="宋体"/>
          <w:color w:val="auto"/>
          <w:highlight w:val="none"/>
        </w:rPr>
        <w:t>被投诉人2</w:t>
      </w:r>
    </w:p>
    <w:p w14:paraId="7FC176A4">
      <w:pPr>
        <w:spacing w:line="360" w:lineRule="auto"/>
        <w:rPr>
          <w:rFonts w:hint="eastAsia" w:ascii="宋体" w:hAnsi="宋体" w:cs="宋体"/>
          <w:color w:val="auto"/>
          <w:highlight w:val="none"/>
          <w:u w:val="dotted"/>
        </w:rPr>
      </w:pPr>
      <w:r>
        <w:rPr>
          <w:rFonts w:hint="eastAsia" w:ascii="宋体" w:hAnsi="宋体" w:cs="宋体"/>
          <w:color w:val="auto"/>
          <w:highlight w:val="none"/>
        </w:rPr>
        <w:t>……</w:t>
      </w:r>
    </w:p>
    <w:p w14:paraId="3BF18078">
      <w:pPr>
        <w:spacing w:line="360" w:lineRule="auto"/>
        <w:rPr>
          <w:rFonts w:hint="eastAsia" w:ascii="宋体" w:hAnsi="宋体" w:cs="宋体"/>
          <w:color w:val="auto"/>
          <w:highlight w:val="none"/>
          <w:u w:val="single"/>
        </w:rPr>
      </w:pPr>
      <w:r>
        <w:rPr>
          <w:rFonts w:hint="eastAsia" w:ascii="宋体" w:hAnsi="宋体" w:cs="宋体"/>
          <w:color w:val="auto"/>
          <w:highlight w:val="none"/>
        </w:rPr>
        <w:t>相关供应商：</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3ADA3E0E">
      <w:pPr>
        <w:spacing w:line="360" w:lineRule="auto"/>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618B7D58">
      <w:pPr>
        <w:spacing w:line="360" w:lineRule="auto"/>
        <w:rPr>
          <w:rFonts w:hint="eastAsia"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3F548624">
      <w:pPr>
        <w:spacing w:line="360" w:lineRule="auto"/>
        <w:rPr>
          <w:rFonts w:hint="eastAsia" w:ascii="宋体" w:hAnsi="宋体" w:cs="宋体"/>
          <w:color w:val="auto"/>
          <w:highlight w:val="none"/>
        </w:rPr>
      </w:pPr>
      <w:r>
        <w:rPr>
          <w:rFonts w:hint="eastAsia" w:ascii="宋体" w:hAnsi="宋体" w:cs="宋体"/>
          <w:color w:val="auto"/>
          <w:highlight w:val="none"/>
        </w:rPr>
        <w:t>二、投诉项目基本情况</w:t>
      </w:r>
    </w:p>
    <w:p w14:paraId="28AADF82">
      <w:pPr>
        <w:spacing w:line="360" w:lineRule="auto"/>
        <w:rPr>
          <w:rFonts w:hint="eastAsia" w:ascii="宋体" w:hAnsi="宋体" w:cs="宋体"/>
          <w:color w:val="auto"/>
          <w:highlight w:val="none"/>
          <w:u w:val="dotted"/>
        </w:rPr>
      </w:pPr>
      <w:r>
        <w:rPr>
          <w:rFonts w:hint="eastAsia" w:ascii="宋体" w:hAnsi="宋体" w:cs="宋体"/>
          <w:color w:val="auto"/>
          <w:highlight w:val="none"/>
        </w:rPr>
        <w:t>采购项目名称：</w:t>
      </w:r>
      <w:r>
        <w:rPr>
          <w:rFonts w:hint="eastAsia" w:ascii="宋体" w:hAnsi="宋体" w:cs="宋体"/>
          <w:color w:val="auto"/>
          <w:highlight w:val="none"/>
          <w:u w:val="dotted"/>
        </w:rPr>
        <w:t xml:space="preserve">                                        </w:t>
      </w:r>
    </w:p>
    <w:p w14:paraId="3E4D3C31">
      <w:pPr>
        <w:spacing w:line="360" w:lineRule="auto"/>
        <w:rPr>
          <w:rFonts w:hint="eastAsia" w:ascii="宋体" w:hAnsi="宋体" w:cs="宋体"/>
          <w:color w:val="auto"/>
          <w:highlight w:val="none"/>
          <w:u w:val="single"/>
        </w:rPr>
      </w:pPr>
      <w:r>
        <w:rPr>
          <w:rFonts w:hint="eastAsia" w:ascii="宋体" w:hAnsi="宋体" w:cs="宋体"/>
          <w:color w:val="auto"/>
          <w:highlight w:val="none"/>
        </w:rPr>
        <w:t>采购项目编号：</w:t>
      </w:r>
      <w:r>
        <w:rPr>
          <w:rFonts w:hint="eastAsia" w:ascii="宋体" w:hAnsi="宋体" w:cs="宋体"/>
          <w:color w:val="auto"/>
          <w:highlight w:val="none"/>
          <w:u w:val="dotted"/>
        </w:rPr>
        <w:t xml:space="preserve">                 </w:t>
      </w:r>
      <w:r>
        <w:rPr>
          <w:rFonts w:hint="eastAsia" w:ascii="宋体" w:hAnsi="宋体" w:cs="宋体"/>
          <w:color w:val="auto"/>
          <w:highlight w:val="none"/>
        </w:rPr>
        <w:t>包号：</w:t>
      </w:r>
      <w:r>
        <w:rPr>
          <w:rFonts w:hint="eastAsia" w:ascii="宋体" w:hAnsi="宋体" w:cs="宋体"/>
          <w:color w:val="auto"/>
          <w:highlight w:val="none"/>
          <w:u w:val="dotted"/>
        </w:rPr>
        <w:t xml:space="preserve">              </w:t>
      </w:r>
    </w:p>
    <w:p w14:paraId="340B05F5">
      <w:pPr>
        <w:spacing w:line="360" w:lineRule="auto"/>
        <w:rPr>
          <w:rFonts w:hint="eastAsia" w:ascii="宋体" w:hAnsi="宋体" w:cs="宋体"/>
          <w:color w:val="auto"/>
          <w:highlight w:val="none"/>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25F05FE6">
      <w:pPr>
        <w:spacing w:line="360" w:lineRule="auto"/>
        <w:rPr>
          <w:rFonts w:hint="eastAsia" w:ascii="宋体" w:hAnsi="宋体" w:cs="宋体"/>
          <w:color w:val="auto"/>
          <w:highlight w:val="none"/>
          <w:u w:val="single"/>
        </w:rPr>
      </w:pPr>
      <w:r>
        <w:rPr>
          <w:rFonts w:hint="eastAsia" w:ascii="宋体" w:hAnsi="宋体" w:cs="宋体"/>
          <w:color w:val="auto"/>
          <w:highlight w:val="none"/>
        </w:rPr>
        <w:t>代理机构名称：</w:t>
      </w:r>
      <w:r>
        <w:rPr>
          <w:rFonts w:hint="eastAsia" w:ascii="宋体" w:hAnsi="宋体" w:cs="宋体"/>
          <w:color w:val="auto"/>
          <w:highlight w:val="none"/>
          <w:u w:val="dotted"/>
        </w:rPr>
        <w:t xml:space="preserve">                                         </w:t>
      </w:r>
    </w:p>
    <w:p w14:paraId="119BB082">
      <w:pPr>
        <w:spacing w:line="360" w:lineRule="auto"/>
        <w:rPr>
          <w:rFonts w:hint="eastAsia" w:ascii="宋体" w:hAnsi="宋体" w:cs="宋体"/>
          <w:color w:val="auto"/>
          <w:highlight w:val="none"/>
          <w:u w:val="dotted"/>
        </w:rPr>
      </w:pPr>
      <w:r>
        <w:rPr>
          <w:rFonts w:hint="eastAsia" w:ascii="宋体" w:hAnsi="宋体" w:cs="宋体"/>
          <w:color w:val="auto"/>
          <w:highlight w:val="none"/>
        </w:rPr>
        <w:t>采购文件公告:</w:t>
      </w:r>
      <w:r>
        <w:rPr>
          <w:rFonts w:hint="eastAsia" w:ascii="宋体" w:hAnsi="宋体" w:cs="宋体"/>
          <w:color w:val="auto"/>
          <w:highlight w:val="none"/>
          <w:u w:val="dotted"/>
        </w:rPr>
        <w:t xml:space="preserve">是/否 </w:t>
      </w:r>
      <w:r>
        <w:rPr>
          <w:rFonts w:hint="eastAsia" w:ascii="宋体" w:hAnsi="宋体" w:cs="宋体"/>
          <w:color w:val="auto"/>
          <w:highlight w:val="none"/>
        </w:rPr>
        <w:t>公告期限：</w:t>
      </w:r>
      <w:r>
        <w:rPr>
          <w:rFonts w:hint="eastAsia" w:ascii="宋体" w:hAnsi="宋体" w:cs="宋体"/>
          <w:color w:val="auto"/>
          <w:highlight w:val="none"/>
          <w:u w:val="dotted"/>
        </w:rPr>
        <w:t xml:space="preserve">                                 </w:t>
      </w:r>
    </w:p>
    <w:p w14:paraId="1CCF1650">
      <w:pPr>
        <w:spacing w:line="360" w:lineRule="auto"/>
        <w:rPr>
          <w:rFonts w:hint="eastAsia" w:ascii="宋体" w:hAnsi="宋体" w:cs="宋体"/>
          <w:color w:val="auto"/>
          <w:highlight w:val="none"/>
          <w:u w:val="single"/>
        </w:rPr>
      </w:pPr>
      <w:r>
        <w:rPr>
          <w:rFonts w:hint="eastAsia" w:ascii="宋体" w:hAnsi="宋体" w:cs="宋体"/>
          <w:color w:val="auto"/>
          <w:highlight w:val="none"/>
        </w:rPr>
        <w:t>采购结果公告:</w:t>
      </w:r>
      <w:r>
        <w:rPr>
          <w:rFonts w:hint="eastAsia" w:ascii="宋体" w:hAnsi="宋体" w:cs="宋体"/>
          <w:color w:val="auto"/>
          <w:highlight w:val="none"/>
          <w:u w:val="dotted"/>
        </w:rPr>
        <w:t xml:space="preserve">是/否 </w:t>
      </w:r>
      <w:r>
        <w:rPr>
          <w:rFonts w:hint="eastAsia" w:ascii="宋体" w:hAnsi="宋体" w:cs="宋体"/>
          <w:color w:val="auto"/>
          <w:highlight w:val="none"/>
        </w:rPr>
        <w:t>公告期限：</w:t>
      </w:r>
      <w:r>
        <w:rPr>
          <w:rFonts w:hint="eastAsia" w:ascii="宋体" w:hAnsi="宋体" w:cs="宋体"/>
          <w:color w:val="auto"/>
          <w:highlight w:val="none"/>
          <w:u w:val="dotted"/>
        </w:rPr>
        <w:t xml:space="preserve">                        </w:t>
      </w:r>
    </w:p>
    <w:p w14:paraId="4F97BF8C">
      <w:pPr>
        <w:spacing w:line="360" w:lineRule="auto"/>
        <w:rPr>
          <w:rFonts w:hint="eastAsia" w:ascii="宋体" w:hAnsi="宋体" w:cs="宋体"/>
          <w:color w:val="auto"/>
          <w:highlight w:val="none"/>
        </w:rPr>
      </w:pPr>
      <w:r>
        <w:rPr>
          <w:rFonts w:hint="eastAsia" w:ascii="宋体" w:hAnsi="宋体" w:cs="宋体"/>
          <w:color w:val="auto"/>
          <w:highlight w:val="none"/>
        </w:rPr>
        <w:t>三、质疑基本情况</w:t>
      </w:r>
    </w:p>
    <w:p w14:paraId="0B9C3874">
      <w:pPr>
        <w:spacing w:line="360" w:lineRule="auto"/>
        <w:ind w:firstLine="480" w:firstLineChars="200"/>
        <w:rPr>
          <w:rFonts w:hint="eastAsia" w:ascii="宋体" w:hAnsi="宋体" w:cs="宋体"/>
          <w:color w:val="auto"/>
          <w:highlight w:val="none"/>
          <w:u w:val="dotted"/>
        </w:rPr>
      </w:pPr>
      <w:r>
        <w:rPr>
          <w:rFonts w:hint="eastAsia" w:ascii="宋体" w:hAnsi="宋体" w:cs="宋体"/>
          <w:color w:val="auto"/>
          <w:highlight w:val="none"/>
        </w:rPr>
        <w:t>投诉人于</w:t>
      </w:r>
      <w:r>
        <w:rPr>
          <w:rFonts w:hint="eastAsia" w:ascii="宋体" w:hAnsi="宋体" w:cs="宋体"/>
          <w:color w:val="auto"/>
          <w:highlight w:val="none"/>
          <w:u w:val="dotted"/>
        </w:rPr>
        <w:t xml:space="preserve">   </w:t>
      </w:r>
      <w:r>
        <w:rPr>
          <w:rFonts w:hint="eastAsia" w:ascii="宋体" w:hAnsi="宋体" w:cs="宋体"/>
          <w:color w:val="auto"/>
          <w:highlight w:val="none"/>
        </w:rPr>
        <w:t>年</w:t>
      </w:r>
      <w:r>
        <w:rPr>
          <w:rFonts w:hint="eastAsia" w:ascii="宋体" w:hAnsi="宋体" w:cs="宋体"/>
          <w:color w:val="auto"/>
          <w:highlight w:val="none"/>
          <w:u w:val="dotted"/>
        </w:rPr>
        <w:t xml:space="preserve">   </w:t>
      </w:r>
      <w:r>
        <w:rPr>
          <w:rFonts w:hint="eastAsia" w:ascii="宋体" w:hAnsi="宋体" w:cs="宋体"/>
          <w:color w:val="auto"/>
          <w:highlight w:val="none"/>
        </w:rPr>
        <w:t>月</w:t>
      </w:r>
      <w:r>
        <w:rPr>
          <w:rFonts w:hint="eastAsia" w:ascii="宋体" w:hAnsi="宋体" w:cs="宋体"/>
          <w:color w:val="auto"/>
          <w:highlight w:val="none"/>
          <w:u w:val="dotted"/>
        </w:rPr>
        <w:t xml:space="preserve">  </w:t>
      </w:r>
      <w:r>
        <w:rPr>
          <w:rFonts w:hint="eastAsia" w:ascii="宋体" w:hAnsi="宋体" w:cs="宋体"/>
          <w:color w:val="auto"/>
          <w:highlight w:val="none"/>
        </w:rPr>
        <w:t>日,向</w:t>
      </w:r>
      <w:r>
        <w:rPr>
          <w:rFonts w:hint="eastAsia" w:ascii="宋体" w:hAnsi="宋体" w:cs="宋体"/>
          <w:color w:val="auto"/>
          <w:highlight w:val="none"/>
          <w:u w:val="dotted"/>
        </w:rPr>
        <w:t xml:space="preserve">                   </w:t>
      </w:r>
      <w:r>
        <w:rPr>
          <w:rFonts w:hint="eastAsia" w:ascii="宋体" w:hAnsi="宋体" w:cs="宋体"/>
          <w:color w:val="auto"/>
          <w:highlight w:val="none"/>
        </w:rPr>
        <w:t>提出质疑，质疑事项为：</w:t>
      </w:r>
      <w:r>
        <w:rPr>
          <w:rFonts w:hint="eastAsia" w:ascii="宋体" w:hAnsi="宋体" w:cs="宋体"/>
          <w:color w:val="auto"/>
          <w:highlight w:val="none"/>
          <w:u w:val="dotted"/>
        </w:rPr>
        <w:t xml:space="preserve">                                </w:t>
      </w:r>
    </w:p>
    <w:p w14:paraId="032E5E69">
      <w:pPr>
        <w:spacing w:line="360" w:lineRule="auto"/>
        <w:rPr>
          <w:rFonts w:hint="eastAsia" w:ascii="宋体" w:hAnsi="宋体" w:cs="宋体"/>
          <w:color w:val="auto"/>
          <w:highlight w:val="none"/>
          <w:u w:val="dotted"/>
        </w:rPr>
      </w:pP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24E89253">
      <w:pPr>
        <w:spacing w:line="360" w:lineRule="auto"/>
        <w:ind w:firstLine="360" w:firstLineChars="150"/>
        <w:rPr>
          <w:rFonts w:hint="eastAsia" w:ascii="宋体" w:hAnsi="宋体" w:cs="宋体"/>
          <w:color w:val="auto"/>
          <w:highlight w:val="none"/>
        </w:rPr>
      </w:pPr>
      <w:r>
        <w:rPr>
          <w:rFonts w:hint="eastAsia" w:ascii="宋体" w:hAnsi="宋体" w:cs="宋体"/>
          <w:color w:val="auto"/>
          <w:highlight w:val="none"/>
          <w:u w:val="dotted"/>
        </w:rPr>
        <w:t>采购人/代理机构</w:t>
      </w:r>
      <w:r>
        <w:rPr>
          <w:rFonts w:hint="eastAsia" w:ascii="宋体" w:hAnsi="宋体" w:cs="宋体"/>
          <w:color w:val="auto"/>
          <w:highlight w:val="none"/>
        </w:rPr>
        <w:t>于</w:t>
      </w:r>
      <w:r>
        <w:rPr>
          <w:rFonts w:hint="eastAsia" w:ascii="宋体" w:hAnsi="宋体" w:cs="宋体"/>
          <w:color w:val="auto"/>
          <w:highlight w:val="none"/>
          <w:u w:val="dotted"/>
        </w:rPr>
        <w:t xml:space="preserve">   </w:t>
      </w:r>
      <w:r>
        <w:rPr>
          <w:rFonts w:hint="eastAsia" w:ascii="宋体" w:hAnsi="宋体" w:cs="宋体"/>
          <w:color w:val="auto"/>
          <w:highlight w:val="none"/>
        </w:rPr>
        <w:t>年</w:t>
      </w:r>
      <w:r>
        <w:rPr>
          <w:rFonts w:hint="eastAsia" w:ascii="宋体" w:hAnsi="宋体" w:cs="宋体"/>
          <w:color w:val="auto"/>
          <w:highlight w:val="none"/>
          <w:u w:val="dotted"/>
        </w:rPr>
        <w:t xml:space="preserve">   </w:t>
      </w:r>
      <w:r>
        <w:rPr>
          <w:rFonts w:hint="eastAsia" w:ascii="宋体" w:hAnsi="宋体" w:cs="宋体"/>
          <w:color w:val="auto"/>
          <w:highlight w:val="none"/>
        </w:rPr>
        <w:t>月</w:t>
      </w:r>
      <w:r>
        <w:rPr>
          <w:rFonts w:hint="eastAsia" w:ascii="宋体" w:hAnsi="宋体" w:cs="宋体"/>
          <w:color w:val="auto"/>
          <w:highlight w:val="none"/>
          <w:u w:val="dotted"/>
        </w:rPr>
        <w:t xml:space="preserve">   </w:t>
      </w:r>
      <w:r>
        <w:rPr>
          <w:rFonts w:hint="eastAsia" w:ascii="宋体" w:hAnsi="宋体" w:cs="宋体"/>
          <w:color w:val="auto"/>
          <w:highlight w:val="none"/>
        </w:rPr>
        <w:t>日,就质疑事项作出了答复/没有在期限内作出答复。</w:t>
      </w:r>
    </w:p>
    <w:p w14:paraId="09424C21">
      <w:pPr>
        <w:spacing w:line="360" w:lineRule="auto"/>
        <w:rPr>
          <w:rFonts w:hint="eastAsia" w:ascii="宋体" w:hAnsi="宋体" w:cs="宋体"/>
          <w:color w:val="auto"/>
          <w:highlight w:val="none"/>
        </w:rPr>
      </w:pPr>
      <w:r>
        <w:rPr>
          <w:rFonts w:hint="eastAsia" w:ascii="宋体" w:hAnsi="宋体" w:cs="宋体"/>
          <w:color w:val="auto"/>
          <w:highlight w:val="none"/>
        </w:rPr>
        <w:t>四、投诉事项具体内容</w:t>
      </w:r>
    </w:p>
    <w:p w14:paraId="4F6F4D87">
      <w:pPr>
        <w:spacing w:line="360" w:lineRule="auto"/>
        <w:rPr>
          <w:rFonts w:hint="eastAsia" w:ascii="宋体" w:hAnsi="宋体" w:cs="宋体"/>
          <w:color w:val="auto"/>
          <w:highlight w:val="none"/>
          <w:u w:val="single"/>
        </w:rPr>
      </w:pPr>
      <w:r>
        <w:rPr>
          <w:rFonts w:hint="eastAsia" w:ascii="宋体" w:hAnsi="宋体" w:cs="宋体"/>
          <w:color w:val="auto"/>
          <w:highlight w:val="none"/>
        </w:rPr>
        <w:t>投诉事项 1：</w:t>
      </w:r>
      <w:r>
        <w:rPr>
          <w:rFonts w:hint="eastAsia" w:ascii="宋体" w:hAnsi="宋体" w:cs="宋体"/>
          <w:color w:val="auto"/>
          <w:highlight w:val="none"/>
          <w:u w:val="dotted"/>
        </w:rPr>
        <w:t xml:space="preserve">                                       </w:t>
      </w:r>
    </w:p>
    <w:p w14:paraId="7BFE0F14">
      <w:pPr>
        <w:spacing w:line="360" w:lineRule="auto"/>
        <w:rPr>
          <w:rFonts w:hint="eastAsia" w:ascii="宋体" w:hAnsi="宋体" w:cs="宋体"/>
          <w:color w:val="auto"/>
          <w:highlight w:val="none"/>
        </w:rPr>
      </w:pPr>
      <w:r>
        <w:rPr>
          <w:rFonts w:hint="eastAsia" w:ascii="宋体" w:hAnsi="宋体" w:cs="宋体"/>
          <w:strike/>
          <w:color w:val="auto"/>
          <w:highlight w:val="none"/>
        </w:rPr>
        <w:t>事实</w:t>
      </w:r>
      <w:r>
        <w:rPr>
          <w:rFonts w:hint="eastAsia" w:ascii="宋体" w:hAnsi="宋体" w:cs="宋体"/>
          <w:color w:val="auto"/>
          <w:highlight w:val="none"/>
        </w:rPr>
        <w:t>依据：</w:t>
      </w:r>
      <w:r>
        <w:rPr>
          <w:rFonts w:hint="eastAsia" w:ascii="宋体" w:hAnsi="宋体" w:cs="宋体"/>
          <w:color w:val="auto"/>
          <w:highlight w:val="none"/>
          <w:u w:val="dotted"/>
        </w:rPr>
        <w:t xml:space="preserve">                                         </w:t>
      </w:r>
    </w:p>
    <w:p w14:paraId="5C9566B4">
      <w:pPr>
        <w:spacing w:line="360" w:lineRule="auto"/>
        <w:rPr>
          <w:rFonts w:hint="eastAsia" w:ascii="宋体" w:hAnsi="宋体" w:cs="宋体"/>
          <w:color w:val="auto"/>
          <w:highlight w:val="none"/>
          <w:u w:val="dotted"/>
        </w:rPr>
      </w:pPr>
      <w:r>
        <w:rPr>
          <w:rFonts w:hint="eastAsia" w:ascii="宋体" w:hAnsi="宋体" w:cs="宋体"/>
          <w:color w:val="auto"/>
          <w:highlight w:val="none"/>
          <w:u w:val="dotted"/>
        </w:rPr>
        <w:t xml:space="preserve">                                                      </w:t>
      </w:r>
    </w:p>
    <w:p w14:paraId="6A91EBB8">
      <w:pPr>
        <w:spacing w:line="360" w:lineRule="auto"/>
        <w:rPr>
          <w:rFonts w:hint="eastAsia" w:ascii="宋体" w:hAnsi="宋体" w:cs="宋体"/>
          <w:color w:val="auto"/>
          <w:highlight w:val="none"/>
        </w:rPr>
      </w:pPr>
      <w:r>
        <w:rPr>
          <w:rFonts w:hint="eastAsia" w:ascii="宋体" w:hAnsi="宋体" w:cs="宋体"/>
          <w:color w:val="auto"/>
          <w:highlight w:val="none"/>
        </w:rPr>
        <w:t>投诉事项2</w:t>
      </w:r>
    </w:p>
    <w:p w14:paraId="7B0CD3FF">
      <w:pPr>
        <w:spacing w:line="360" w:lineRule="auto"/>
        <w:rPr>
          <w:rFonts w:hint="eastAsia" w:ascii="宋体" w:hAnsi="宋体" w:cs="宋体"/>
          <w:color w:val="auto"/>
          <w:highlight w:val="none"/>
          <w:u w:val="dotted"/>
        </w:rPr>
      </w:pPr>
      <w:r>
        <w:rPr>
          <w:rFonts w:hint="eastAsia" w:ascii="宋体" w:hAnsi="宋体" w:cs="宋体"/>
          <w:color w:val="auto"/>
          <w:highlight w:val="none"/>
        </w:rPr>
        <w:t>……</w:t>
      </w:r>
    </w:p>
    <w:p w14:paraId="362DDBE4">
      <w:pPr>
        <w:spacing w:line="360" w:lineRule="auto"/>
        <w:rPr>
          <w:rFonts w:hint="eastAsia" w:ascii="宋体" w:hAnsi="宋体" w:cs="宋体"/>
          <w:color w:val="auto"/>
          <w:highlight w:val="none"/>
        </w:rPr>
      </w:pPr>
      <w:r>
        <w:rPr>
          <w:rFonts w:hint="eastAsia" w:ascii="宋体" w:hAnsi="宋体" w:cs="宋体"/>
          <w:color w:val="auto"/>
          <w:highlight w:val="none"/>
        </w:rPr>
        <w:t>五、与投诉事项相关的投诉请求</w:t>
      </w:r>
    </w:p>
    <w:p w14:paraId="18599638">
      <w:pPr>
        <w:spacing w:line="360" w:lineRule="auto"/>
        <w:rPr>
          <w:rFonts w:hint="eastAsia" w:ascii="宋体" w:hAnsi="宋体" w:cs="宋体"/>
          <w:color w:val="auto"/>
          <w:highlight w:val="none"/>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3FE49465">
      <w:pPr>
        <w:spacing w:line="360" w:lineRule="auto"/>
        <w:rPr>
          <w:rFonts w:hint="eastAsia" w:ascii="宋体" w:hAnsi="宋体" w:cs="宋体"/>
          <w:color w:val="auto"/>
          <w:highlight w:val="none"/>
          <w:u w:val="single"/>
        </w:rPr>
      </w:pPr>
      <w:r>
        <w:rPr>
          <w:rFonts w:hint="eastAsia" w:ascii="宋体" w:hAnsi="宋体" w:cs="宋体"/>
          <w:color w:val="auto"/>
          <w:highlight w:val="none"/>
        </w:rPr>
        <w:t xml:space="preserve">                                                                                                    </w:t>
      </w:r>
    </w:p>
    <w:p w14:paraId="3F1DCD6B">
      <w:pPr>
        <w:spacing w:line="360" w:lineRule="auto"/>
        <w:rPr>
          <w:rFonts w:hint="eastAsia" w:ascii="宋体" w:hAnsi="宋体" w:cs="宋体"/>
          <w:color w:val="auto"/>
          <w:highlight w:val="none"/>
        </w:rPr>
      </w:pPr>
      <w:r>
        <w:rPr>
          <w:rFonts w:hint="eastAsia" w:ascii="宋体" w:hAnsi="宋体" w:cs="宋体"/>
          <w:color w:val="auto"/>
          <w:highlight w:val="none"/>
        </w:rPr>
        <w:t xml:space="preserve">签字(签章)：                   公章：                      </w:t>
      </w:r>
    </w:p>
    <w:p w14:paraId="755E5CD5">
      <w:pPr>
        <w:spacing w:line="360" w:lineRule="auto"/>
        <w:rPr>
          <w:rFonts w:hint="eastAsia" w:ascii="宋体" w:hAnsi="宋体" w:cs="宋体"/>
          <w:color w:val="auto"/>
          <w:highlight w:val="none"/>
        </w:rPr>
      </w:pPr>
      <w:r>
        <w:rPr>
          <w:rFonts w:hint="eastAsia" w:ascii="宋体" w:hAnsi="宋体" w:cs="宋体"/>
          <w:color w:val="auto"/>
          <w:highlight w:val="none"/>
        </w:rPr>
        <w:t xml:space="preserve">日期：    </w:t>
      </w:r>
    </w:p>
    <w:p w14:paraId="401C44D9">
      <w:pPr>
        <w:spacing w:line="360" w:lineRule="auto"/>
        <w:rPr>
          <w:rFonts w:hint="eastAsia" w:ascii="宋体" w:hAnsi="宋体" w:cs="宋体"/>
          <w:b/>
          <w:color w:val="auto"/>
          <w:highlight w:val="none"/>
        </w:rPr>
      </w:pPr>
    </w:p>
    <w:p w14:paraId="178A2136">
      <w:pPr>
        <w:spacing w:line="360" w:lineRule="auto"/>
        <w:rPr>
          <w:rFonts w:hint="eastAsia" w:ascii="宋体" w:hAnsi="宋体" w:cs="宋体"/>
          <w:b/>
          <w:color w:val="auto"/>
          <w:highlight w:val="none"/>
        </w:rPr>
      </w:pPr>
    </w:p>
    <w:p w14:paraId="2928C912">
      <w:pPr>
        <w:spacing w:line="360" w:lineRule="auto"/>
        <w:rPr>
          <w:rFonts w:hint="eastAsia" w:ascii="宋体" w:hAnsi="宋体" w:cs="宋体"/>
          <w:b/>
          <w:color w:val="auto"/>
          <w:highlight w:val="none"/>
        </w:rPr>
      </w:pPr>
      <w:r>
        <w:rPr>
          <w:rFonts w:hint="eastAsia" w:ascii="宋体" w:hAnsi="宋体" w:cs="宋体"/>
          <w:b/>
          <w:color w:val="auto"/>
          <w:highlight w:val="none"/>
        </w:rPr>
        <w:t>投诉书制作说明：</w:t>
      </w:r>
    </w:p>
    <w:p w14:paraId="1CB670B6">
      <w:pPr>
        <w:widowControl/>
        <w:spacing w:line="360" w:lineRule="auto"/>
        <w:ind w:firstLine="480" w:firstLineChars="200"/>
        <w:rPr>
          <w:rFonts w:hint="eastAsia" w:ascii="宋体" w:hAnsi="宋体" w:cs="宋体"/>
          <w:color w:val="auto"/>
          <w:kern w:val="0"/>
          <w:highlight w:val="none"/>
        </w:rPr>
      </w:pPr>
      <w:r>
        <w:rPr>
          <w:rFonts w:hint="eastAsia" w:ascii="宋体" w:hAnsi="宋体" w:cs="宋体"/>
          <w:color w:val="auto"/>
          <w:highlight w:val="none"/>
        </w:rPr>
        <w:t>1.投诉人提起投诉时，应当提交投诉书和必要的证明材料，并按照被投诉人和与投诉事项有关的供应商数量提供投诉书副本。</w:t>
      </w:r>
    </w:p>
    <w:p w14:paraId="1E0EC04C">
      <w:pPr>
        <w:widowControl/>
        <w:spacing w:line="360" w:lineRule="auto"/>
        <w:ind w:firstLine="480" w:firstLineChars="200"/>
        <w:jc w:val="left"/>
        <w:rPr>
          <w:rFonts w:hint="eastAsia" w:ascii="宋体" w:hAnsi="宋体" w:cs="宋体"/>
          <w:color w:val="auto"/>
          <w:kern w:val="0"/>
          <w:highlight w:val="none"/>
        </w:rPr>
      </w:pPr>
      <w:r>
        <w:rPr>
          <w:rFonts w:hint="eastAsia" w:ascii="宋体" w:hAnsi="宋体" w:cs="宋体"/>
          <w:color w:val="auto"/>
          <w:highlight w:val="none"/>
        </w:rPr>
        <w:t>2.投诉人若委托代理人进行投诉的，投诉书应按照要求列明“授权代表”的有关内容，并在附件中提交由</w:t>
      </w:r>
      <w:r>
        <w:rPr>
          <w:rFonts w:hint="eastAsia" w:ascii="宋体" w:hAnsi="宋体" w:cs="宋体"/>
          <w:color w:val="auto"/>
          <w:kern w:val="0"/>
          <w:highlight w:val="none"/>
        </w:rPr>
        <w:t>投诉人签署的授权委托书。授权委托书应当载明代理人的姓名或者名称、代理事项、具体权限、期限和相关事项。</w:t>
      </w:r>
    </w:p>
    <w:p w14:paraId="36F3F6B5">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3.投诉人若对项目的某一分包进行投诉，投诉书应列明具体分包号。</w:t>
      </w:r>
    </w:p>
    <w:p w14:paraId="484C4217">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4.投诉书应简要列明质疑事项，质疑函、质疑答复等作为附件材料提供。</w:t>
      </w:r>
    </w:p>
    <w:p w14:paraId="30903902">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5.投诉书的投诉事项应具体、明确，并有必要的事实依据和法律依据。</w:t>
      </w:r>
    </w:p>
    <w:p w14:paraId="27E7D499">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6.投诉书的投诉请求应与投诉事项相关。</w:t>
      </w:r>
    </w:p>
    <w:p w14:paraId="03D3C761">
      <w:pPr>
        <w:widowControl/>
        <w:spacing w:line="360" w:lineRule="auto"/>
        <w:ind w:firstLine="480" w:firstLineChars="200"/>
        <w:jc w:val="left"/>
        <w:rPr>
          <w:rFonts w:hint="eastAsia" w:ascii="宋体" w:hAnsi="宋体" w:cs="宋体"/>
          <w:color w:val="auto"/>
          <w:kern w:val="0"/>
          <w:highlight w:val="none"/>
        </w:rPr>
      </w:pPr>
      <w:r>
        <w:rPr>
          <w:rFonts w:hint="eastAsia" w:ascii="宋体" w:hAnsi="宋体" w:cs="宋体"/>
          <w:color w:val="auto"/>
          <w:highlight w:val="none"/>
        </w:rPr>
        <w:t>7.投诉书应当由法定代表人、主要负责人，或者其授权代表签字或者盖章，并加盖公章。</w:t>
      </w:r>
    </w:p>
    <w:p w14:paraId="6E9486E3">
      <w:pPr>
        <w:autoSpaceDE w:val="0"/>
        <w:autoSpaceDN w:val="0"/>
        <w:jc w:val="center"/>
        <w:rPr>
          <w:rFonts w:hint="eastAsia" w:ascii="宋体" w:hAnsi="宋体" w:cs="宋体"/>
          <w:b/>
          <w:color w:val="auto"/>
          <w:spacing w:val="6"/>
          <w:sz w:val="32"/>
          <w:szCs w:val="32"/>
          <w:highlight w:val="none"/>
        </w:rPr>
      </w:pPr>
    </w:p>
    <w:p w14:paraId="5307AA93">
      <w:pPr>
        <w:autoSpaceDE w:val="0"/>
        <w:autoSpaceDN w:val="0"/>
        <w:jc w:val="center"/>
        <w:rPr>
          <w:rFonts w:hint="eastAsia" w:ascii="宋体" w:hAnsi="宋体" w:cs="宋体"/>
          <w:b/>
          <w:color w:val="auto"/>
          <w:spacing w:val="6"/>
          <w:sz w:val="32"/>
          <w:szCs w:val="32"/>
          <w:highlight w:val="none"/>
        </w:rPr>
      </w:pPr>
    </w:p>
    <w:p w14:paraId="6827A9D5">
      <w:pPr>
        <w:autoSpaceDE w:val="0"/>
        <w:autoSpaceDN w:val="0"/>
        <w:jc w:val="center"/>
        <w:rPr>
          <w:rFonts w:hint="eastAsia" w:ascii="宋体" w:hAnsi="宋体" w:cs="宋体"/>
          <w:b/>
          <w:color w:val="auto"/>
          <w:spacing w:val="6"/>
          <w:sz w:val="32"/>
          <w:szCs w:val="32"/>
          <w:highlight w:val="none"/>
        </w:rPr>
      </w:pPr>
    </w:p>
    <w:p w14:paraId="54AB47D0">
      <w:pPr>
        <w:pStyle w:val="3"/>
        <w:rPr>
          <w:rFonts w:hint="eastAsia"/>
          <w:color w:val="auto"/>
          <w:highlight w:val="none"/>
        </w:rPr>
      </w:pPr>
      <w:r>
        <w:rPr>
          <w:rFonts w:hint="eastAsia"/>
          <w:color w:val="auto"/>
          <w:highlight w:val="none"/>
        </w:rPr>
        <w:t>附件</w:t>
      </w:r>
      <w:r>
        <w:rPr>
          <w:rFonts w:hint="eastAsia"/>
          <w:color w:val="auto"/>
          <w:highlight w:val="none"/>
          <w:lang w:val="en-US"/>
        </w:rPr>
        <w:t>3</w:t>
      </w:r>
      <w:r>
        <w:rPr>
          <w:rFonts w:hint="eastAsia"/>
          <w:color w:val="auto"/>
          <w:highlight w:val="none"/>
        </w:rPr>
        <w:t>：业务专用章使用说明函</w:t>
      </w:r>
    </w:p>
    <w:p w14:paraId="49EEE4EE">
      <w:pPr>
        <w:spacing w:line="360" w:lineRule="auto"/>
        <w:rPr>
          <w:rFonts w:hint="eastAsia" w:ascii="宋体" w:hAnsi="宋体" w:cs="宋体"/>
          <w:color w:val="auto"/>
          <w:highlight w:val="none"/>
          <w:u w:val="single"/>
        </w:rPr>
      </w:pPr>
    </w:p>
    <w:p w14:paraId="6CD16DA7">
      <w:pPr>
        <w:spacing w:line="360" w:lineRule="auto"/>
        <w:rPr>
          <w:rFonts w:hint="eastAsia" w:ascii="宋体" w:hAnsi="宋体" w:cs="宋体"/>
          <w:color w:val="auto"/>
          <w:highlight w:val="none"/>
        </w:rPr>
      </w:pPr>
      <w:r>
        <w:rPr>
          <w:rFonts w:hint="eastAsia" w:ascii="宋体" w:hAnsi="宋体" w:cs="宋体"/>
          <w:color w:val="auto"/>
          <w:highlight w:val="none"/>
          <w:u w:val="single"/>
        </w:rPr>
        <w:t>（采购人）、（采购代理机构）：</w:t>
      </w:r>
    </w:p>
    <w:p w14:paraId="39688ECA">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highlight w:val="none"/>
          <w:lang w:val="zh-CN"/>
        </w:rPr>
        <w:t>我方</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(供应商全称)是中华人民共和国依法登记注册的合法企业，</w:t>
      </w:r>
      <w:r>
        <w:rPr>
          <w:rFonts w:hint="eastAsia" w:ascii="宋体" w:hAnsi="宋体" w:cs="宋体"/>
          <w:bCs/>
          <w:color w:val="auto"/>
          <w:highlight w:val="none"/>
        </w:rPr>
        <w:t>在参加</w:t>
      </w:r>
      <w:r>
        <w:rPr>
          <w:rFonts w:hint="eastAsia" w:ascii="宋体" w:hAnsi="宋体" w:cs="宋体"/>
          <w:color w:val="auto"/>
          <w:highlight w:val="none"/>
        </w:rPr>
        <w:t>你方组织的杭州市拱墅区半山街道杭玻阔板桥社区物业管理服务项目【采购编号：杭州市拱墅区半山街道杭玻阔板桥社区物业管理服务项目】</w:t>
      </w:r>
      <w:r>
        <w:rPr>
          <w:rFonts w:hint="eastAsia" w:ascii="宋体" w:hAnsi="宋体" w:cs="宋体"/>
          <w:bCs/>
          <w:color w:val="auto"/>
          <w:highlight w:val="none"/>
        </w:rPr>
        <w:t>采购活动中作如下说明：</w:t>
      </w:r>
      <w:r>
        <w:rPr>
          <w:rFonts w:hint="eastAsia" w:ascii="宋体" w:hAnsi="宋体" w:cs="宋体"/>
          <w:color w:val="auto"/>
          <w:highlight w:val="none"/>
        </w:rPr>
        <w:t xml:space="preserve">我方所使用的“XX专用章”与法定名称章具有同等的法律效力，对使用“XX专用章”的行为予以完全承认，并愿意承担相应责任。   </w:t>
      </w:r>
    </w:p>
    <w:p w14:paraId="7B3A9D3E">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特此说明。</w:t>
      </w:r>
    </w:p>
    <w:p w14:paraId="12AF46C4">
      <w:pPr>
        <w:spacing w:line="360" w:lineRule="auto"/>
        <w:ind w:firstLine="494"/>
        <w:rPr>
          <w:rFonts w:hint="eastAsia" w:ascii="宋体" w:hAnsi="宋体" w:cs="宋体"/>
          <w:color w:val="auto"/>
          <w:highlight w:val="none"/>
        </w:rPr>
      </w:pPr>
    </w:p>
    <w:p w14:paraId="693A8EC3">
      <w:pPr>
        <w:spacing w:line="360" w:lineRule="auto"/>
        <w:ind w:firstLine="494"/>
        <w:rPr>
          <w:rFonts w:hint="eastAsia" w:ascii="宋体" w:hAnsi="宋体" w:cs="宋体"/>
          <w:color w:val="auto"/>
          <w:highlight w:val="none"/>
        </w:rPr>
      </w:pPr>
    </w:p>
    <w:p w14:paraId="0683CC93">
      <w:pPr>
        <w:spacing w:line="360" w:lineRule="auto"/>
        <w:ind w:firstLine="494"/>
        <w:rPr>
          <w:rFonts w:hint="eastAsia" w:ascii="宋体" w:hAnsi="宋体" w:cs="宋体"/>
          <w:color w:val="auto"/>
          <w:highlight w:val="none"/>
        </w:rPr>
      </w:pPr>
    </w:p>
    <w:p w14:paraId="094BCEF0">
      <w:pPr>
        <w:spacing w:line="360" w:lineRule="auto"/>
        <w:ind w:right="480" w:firstLine="4080" w:firstLineChars="1700"/>
        <w:rPr>
          <w:rFonts w:hint="eastAsia" w:ascii="宋体" w:hAnsi="宋体" w:cs="宋体"/>
          <w:color w:val="auto"/>
          <w:highlight w:val="none"/>
        </w:rPr>
      </w:pPr>
      <w:r>
        <w:rPr>
          <w:rFonts w:hint="eastAsia" w:ascii="宋体" w:hAnsi="宋体" w:cs="宋体"/>
          <w:color w:val="auto"/>
          <w:highlight w:val="none"/>
        </w:rPr>
        <w:t>供应商单位（法定名称章）：</w:t>
      </w:r>
    </w:p>
    <w:p w14:paraId="3C4E951F">
      <w:pPr>
        <w:ind w:right="1440" w:firstLine="494"/>
        <w:jc w:val="center"/>
        <w:rPr>
          <w:rFonts w:hint="eastAsia" w:ascii="宋体" w:hAnsi="宋体" w:cs="宋体"/>
          <w:color w:val="auto"/>
          <w:highlight w:val="none"/>
        </w:rPr>
      </w:pPr>
      <w:r>
        <w:rPr>
          <w:rFonts w:hint="eastAsia" w:ascii="宋体" w:hAnsi="宋体" w:cs="宋体"/>
          <w:color w:val="auto"/>
          <w:highlight w:val="none"/>
        </w:rPr>
        <w:t xml:space="preserve">                              日期：       年     月     日</w:t>
      </w:r>
    </w:p>
    <w:p w14:paraId="2DBB8820">
      <w:pPr>
        <w:rPr>
          <w:rFonts w:hint="eastAsia" w:ascii="宋体" w:hAnsi="宋体" w:cs="宋体"/>
          <w:color w:val="auto"/>
          <w:highlight w:val="none"/>
        </w:rPr>
      </w:pPr>
      <w:r>
        <w:rPr>
          <w:rFonts w:hint="eastAsia" w:ascii="宋体" w:hAnsi="宋体" w:cs="宋体"/>
          <w:b/>
          <w:bCs/>
          <w:color w:val="auto"/>
          <w:highlight w:val="none"/>
        </w:rPr>
        <w:t>附：</w:t>
      </w:r>
    </w:p>
    <w:p w14:paraId="0E620081">
      <w:pPr>
        <w:spacing w:line="360" w:lineRule="auto"/>
        <w:rPr>
          <w:rFonts w:hint="eastAsia"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highlight w:val="none"/>
        </w:rPr>
        <w:t>供应商法定名称章（印模）                供应商“XX专用章”（印模）</w:t>
      </w:r>
    </w:p>
    <w:p w14:paraId="60BA1646">
      <w:pPr>
        <w:autoSpaceDE w:val="0"/>
        <w:autoSpaceDN w:val="0"/>
        <w:jc w:val="center"/>
        <w:rPr>
          <w:rFonts w:hint="eastAsia" w:ascii="宋体" w:hAnsi="宋体" w:cs="宋体"/>
          <w:b/>
          <w:color w:val="auto"/>
          <w:spacing w:val="6"/>
          <w:sz w:val="32"/>
          <w:szCs w:val="32"/>
          <w:highlight w:val="none"/>
        </w:rPr>
      </w:pPr>
    </w:p>
    <w:p w14:paraId="5DF56B39">
      <w:pPr>
        <w:autoSpaceDE w:val="0"/>
        <w:autoSpaceDN w:val="0"/>
        <w:jc w:val="center"/>
        <w:rPr>
          <w:rFonts w:hint="eastAsia" w:ascii="宋体" w:hAnsi="宋体" w:cs="宋体"/>
          <w:b/>
          <w:color w:val="auto"/>
          <w:spacing w:val="6"/>
          <w:sz w:val="32"/>
          <w:szCs w:val="32"/>
          <w:highlight w:val="none"/>
        </w:rPr>
      </w:pPr>
    </w:p>
    <w:p w14:paraId="2B1F43D9">
      <w:pPr>
        <w:autoSpaceDE w:val="0"/>
        <w:autoSpaceDN w:val="0"/>
        <w:jc w:val="center"/>
        <w:rPr>
          <w:rFonts w:hint="eastAsia" w:ascii="宋体" w:hAnsi="宋体" w:cs="宋体"/>
          <w:b/>
          <w:color w:val="auto"/>
          <w:spacing w:val="6"/>
          <w:sz w:val="32"/>
          <w:szCs w:val="32"/>
          <w:highlight w:val="none"/>
        </w:rPr>
      </w:pPr>
    </w:p>
    <w:p w14:paraId="697AA303">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CC995C">
      <w:pPr>
        <w:pStyle w:val="3"/>
        <w:rPr>
          <w:rFonts w:hint="eastAsia"/>
          <w:color w:val="auto"/>
          <w:highlight w:val="none"/>
        </w:rPr>
      </w:pPr>
      <w:r>
        <w:rPr>
          <w:rFonts w:hint="eastAsia"/>
          <w:color w:val="auto"/>
          <w:highlight w:val="none"/>
        </w:rPr>
        <w:t>附件</w:t>
      </w:r>
      <w:r>
        <w:rPr>
          <w:rFonts w:hint="eastAsia"/>
          <w:color w:val="auto"/>
          <w:highlight w:val="none"/>
          <w:lang w:val="en-US"/>
        </w:rPr>
        <w:t>4</w:t>
      </w:r>
      <w:r>
        <w:rPr>
          <w:rFonts w:hint="eastAsia"/>
          <w:color w:val="auto"/>
          <w:highlight w:val="none"/>
        </w:rPr>
        <w:t>：联合协议</w:t>
      </w:r>
    </w:p>
    <w:p w14:paraId="64242E25">
      <w:pPr>
        <w:widowControl/>
        <w:spacing w:line="360" w:lineRule="auto"/>
        <w:ind w:firstLine="482" w:firstLineChars="200"/>
        <w:jc w:val="left"/>
        <w:rPr>
          <w:rFonts w:hint="eastAsia" w:ascii="宋体" w:hAnsi="宋体" w:cs="宋体"/>
          <w:b/>
          <w:color w:val="auto"/>
          <w:highlight w:val="none"/>
        </w:rPr>
      </w:pPr>
      <w:r>
        <w:rPr>
          <w:rFonts w:hint="eastAsia" w:ascii="宋体" w:hAnsi="宋体" w:cs="宋体"/>
          <w:b/>
          <w:color w:val="auto"/>
          <w:highlight w:val="none"/>
        </w:rPr>
        <w:t>（以联合体形式参与本项目的，提供联合协议；本项目不接受联合体或者供应商不以联合体形式的，则不需要提供）</w:t>
      </w:r>
    </w:p>
    <w:p w14:paraId="5B0B2578">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u w:val="single"/>
        </w:rPr>
        <w:t>（联合体所有成员名称）</w:t>
      </w:r>
      <w:r>
        <w:rPr>
          <w:rFonts w:hint="eastAsia" w:ascii="宋体" w:hAnsi="宋体" w:cs="宋体"/>
          <w:color w:val="auto"/>
          <w:kern w:val="0"/>
          <w:highlight w:val="none"/>
        </w:rPr>
        <w:t>自愿</w:t>
      </w:r>
      <w:r>
        <w:rPr>
          <w:rFonts w:hint="eastAsia" w:ascii="宋体" w:hAnsi="宋体" w:cs="宋体"/>
          <w:color w:val="auto"/>
          <w:kern w:val="0"/>
          <w:highlight w:val="none"/>
          <w:lang w:val="zh-CN"/>
        </w:rPr>
        <w:t>组成一个联合体，以一个供应商的身份</w:t>
      </w:r>
      <w:r>
        <w:rPr>
          <w:rFonts w:hint="eastAsia" w:ascii="宋体" w:hAnsi="宋体" w:cs="宋体"/>
          <w:color w:val="auto"/>
          <w:kern w:val="0"/>
          <w:highlight w:val="none"/>
        </w:rPr>
        <w:t>参加</w:t>
      </w:r>
      <w:r>
        <w:rPr>
          <w:rFonts w:hint="eastAsia" w:ascii="宋体" w:hAnsi="宋体" w:cs="宋体"/>
          <w:color w:val="auto"/>
          <w:highlight w:val="none"/>
        </w:rPr>
        <w:t>杭州市拱墅区半山街道杭玻阔板桥社区物业管理服务项目【采购编号：杭州市拱墅区半山街道杭玻阔板桥社区物业管理服务项目】</w:t>
      </w:r>
      <w:r>
        <w:rPr>
          <w:rFonts w:hint="eastAsia" w:ascii="宋体" w:hAnsi="宋体" w:cs="宋体"/>
          <w:color w:val="auto"/>
          <w:kern w:val="0"/>
          <w:highlight w:val="none"/>
          <w:lang w:val="zh-CN"/>
        </w:rPr>
        <w:t xml:space="preserve">。 </w:t>
      </w:r>
    </w:p>
    <w:p w14:paraId="55A9593D">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一、各方一致决定，</w:t>
      </w:r>
      <w:r>
        <w:rPr>
          <w:rFonts w:hint="eastAsia" w:ascii="宋体" w:hAnsi="宋体" w:cs="宋体"/>
          <w:color w:val="auto"/>
          <w:kern w:val="0"/>
          <w:highlight w:val="none"/>
          <w:u w:val="single"/>
        </w:rPr>
        <w:t>（某联合体成员名称）</w:t>
      </w:r>
      <w:r>
        <w:rPr>
          <w:rFonts w:hint="eastAsia" w:ascii="宋体" w:hAnsi="宋体" w:cs="宋体"/>
          <w:color w:val="auto"/>
          <w:kern w:val="0"/>
          <w:highlight w:val="none"/>
        </w:rPr>
        <w:t>为联合体</w:t>
      </w:r>
      <w:r>
        <w:rPr>
          <w:rFonts w:hint="eastAsia" w:ascii="宋体" w:hAnsi="宋体" w:cs="宋体"/>
          <w:color w:val="auto"/>
          <w:kern w:val="0"/>
          <w:highlight w:val="none"/>
          <w:lang w:val="zh-CN"/>
        </w:rPr>
        <w:t>牵头人</w:t>
      </w:r>
      <w:r>
        <w:rPr>
          <w:rFonts w:hint="eastAsia" w:ascii="宋体" w:hAnsi="宋体" w:cs="宋体"/>
          <w:color w:val="auto"/>
          <w:highlight w:val="none"/>
        </w:rPr>
        <w:t>，代表所有联合体成员负责供应商和合同实施阶段的主办、协调工作</w:t>
      </w:r>
      <w:r>
        <w:rPr>
          <w:rFonts w:hint="eastAsia" w:ascii="宋体" w:hAnsi="宋体" w:cs="宋体"/>
          <w:color w:val="auto"/>
          <w:kern w:val="0"/>
          <w:highlight w:val="none"/>
          <w:lang w:val="zh-CN"/>
        </w:rPr>
        <w:t>。</w:t>
      </w:r>
    </w:p>
    <w:p w14:paraId="5CD16189">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二、</w:t>
      </w:r>
      <w:r>
        <w:rPr>
          <w:rFonts w:hint="eastAsia" w:ascii="宋体" w:hAnsi="宋体" w:cs="宋体"/>
          <w:color w:val="auto"/>
          <w:highlight w:val="none"/>
        </w:rPr>
        <w:t>所有联合体成员各方签署授权书，授权书载明的</w:t>
      </w:r>
      <w:r>
        <w:rPr>
          <w:rFonts w:hint="eastAsia" w:ascii="宋体" w:hAnsi="宋体" w:cs="宋体"/>
          <w:color w:val="auto"/>
          <w:kern w:val="0"/>
          <w:highlight w:val="none"/>
          <w:lang w:val="zh-CN"/>
        </w:rPr>
        <w:t>授权代表根据</w:t>
      </w:r>
      <w:r>
        <w:rPr>
          <w:rFonts w:hint="eastAsia" w:ascii="宋体" w:hAnsi="宋体" w:cs="宋体"/>
          <w:color w:val="auto"/>
          <w:kern w:val="0"/>
          <w:highlight w:val="none"/>
        </w:rPr>
        <w:t>采购</w:t>
      </w:r>
      <w:r>
        <w:rPr>
          <w:rFonts w:hint="eastAsia" w:ascii="宋体" w:hAnsi="宋体" w:cs="宋体"/>
          <w:color w:val="auto"/>
          <w:kern w:val="0"/>
          <w:highlight w:val="none"/>
          <w:lang w:val="zh-CN"/>
        </w:rPr>
        <w:t>文件规定及</w:t>
      </w:r>
      <w:r>
        <w:rPr>
          <w:rFonts w:hint="eastAsia" w:ascii="宋体" w:hAnsi="宋体" w:cs="宋体"/>
          <w:color w:val="auto"/>
          <w:kern w:val="0"/>
          <w:highlight w:val="none"/>
        </w:rPr>
        <w:t>投标</w:t>
      </w:r>
      <w:r>
        <w:rPr>
          <w:rFonts w:hint="eastAsia" w:ascii="宋体" w:hAnsi="宋体" w:cs="宋体"/>
          <w:color w:val="auto"/>
          <w:kern w:val="0"/>
          <w:highlight w:val="none"/>
          <w:lang w:val="zh-CN"/>
        </w:rPr>
        <w:t>内容而对采购人、采购代理机构所作的任何合法承诺，包括书面澄清及相应</w:t>
      </w:r>
      <w:r>
        <w:rPr>
          <w:rFonts w:hint="eastAsia" w:ascii="宋体" w:hAnsi="宋体" w:cs="宋体"/>
          <w:color w:val="auto"/>
          <w:kern w:val="0"/>
          <w:highlight w:val="none"/>
        </w:rPr>
        <w:t>声明</w:t>
      </w:r>
      <w:r>
        <w:rPr>
          <w:rFonts w:hint="eastAsia" w:ascii="宋体" w:hAnsi="宋体" w:cs="宋体"/>
          <w:color w:val="auto"/>
          <w:kern w:val="0"/>
          <w:highlight w:val="none"/>
          <w:lang w:val="zh-CN"/>
        </w:rPr>
        <w:t>等均对联合</w:t>
      </w:r>
      <w:r>
        <w:rPr>
          <w:rFonts w:hint="eastAsia" w:ascii="宋体" w:hAnsi="宋体" w:cs="宋体"/>
          <w:color w:val="auto"/>
          <w:kern w:val="0"/>
          <w:highlight w:val="none"/>
        </w:rPr>
        <w:t>参与</w:t>
      </w:r>
      <w:r>
        <w:rPr>
          <w:rFonts w:hint="eastAsia" w:ascii="宋体" w:hAnsi="宋体" w:cs="宋体"/>
          <w:color w:val="auto"/>
          <w:kern w:val="0"/>
          <w:highlight w:val="none"/>
          <w:lang w:val="zh-CN"/>
        </w:rPr>
        <w:t>各方产生约束力。</w:t>
      </w:r>
    </w:p>
    <w:p w14:paraId="67979F95">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三、本次联合</w:t>
      </w:r>
      <w:r>
        <w:rPr>
          <w:rFonts w:hint="eastAsia" w:ascii="宋体" w:hAnsi="宋体" w:cs="宋体"/>
          <w:color w:val="auto"/>
          <w:kern w:val="0"/>
          <w:highlight w:val="none"/>
        </w:rPr>
        <w:t>投标</w:t>
      </w:r>
      <w:r>
        <w:rPr>
          <w:rFonts w:hint="eastAsia" w:ascii="宋体" w:hAnsi="宋体" w:cs="宋体"/>
          <w:color w:val="auto"/>
          <w:kern w:val="0"/>
          <w:highlight w:val="none"/>
          <w:lang w:val="zh-CN"/>
        </w:rPr>
        <w:t>中，分工如下：</w:t>
      </w:r>
    </w:p>
    <w:p w14:paraId="3ED1F6AA">
      <w:pPr>
        <w:snapToGrid w:val="0"/>
        <w:spacing w:line="360" w:lineRule="auto"/>
        <w:ind w:firstLine="576"/>
        <w:rPr>
          <w:rFonts w:hint="eastAsia" w:ascii="宋体" w:hAnsi="宋体" w:cs="宋体"/>
          <w:color w:val="auto"/>
          <w:kern w:val="0"/>
          <w:highlight w:val="none"/>
          <w:lang w:val="zh-CN"/>
        </w:rPr>
      </w:pPr>
      <w:bookmarkStart w:id="18" w:name="_Hlk101134295"/>
      <w:r>
        <w:rPr>
          <w:rFonts w:hint="eastAsia" w:ascii="宋体" w:hAnsi="宋体" w:cs="宋体"/>
          <w:color w:val="auto"/>
          <w:kern w:val="0"/>
          <w:highlight w:val="none"/>
          <w:u w:val="single"/>
        </w:rPr>
        <w:t>（联合体成员1）</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17F0A1F1">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u w:val="single"/>
        </w:rPr>
        <w:t>（联合体成员</w:t>
      </w:r>
      <w:r>
        <w:rPr>
          <w:rFonts w:ascii="宋体" w:hAnsi="宋体" w:cs="宋体"/>
          <w:color w:val="auto"/>
          <w:kern w:val="0"/>
          <w:highlight w:val="none"/>
          <w:u w:val="single"/>
        </w:rPr>
        <w:t>2</w:t>
      </w:r>
      <w:r>
        <w:rPr>
          <w:rFonts w:hint="eastAsia" w:ascii="宋体" w:hAnsi="宋体" w:cs="宋体"/>
          <w:color w:val="auto"/>
          <w:kern w:val="0"/>
          <w:highlight w:val="none"/>
          <w:u w:val="single"/>
        </w:rPr>
        <w:t>）</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05814749">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p>
    <w:bookmarkEnd w:id="18"/>
    <w:p w14:paraId="4B987FDB">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四、联合体成员中小企业合同份额。</w:t>
      </w:r>
    </w:p>
    <w:p w14:paraId="346DC136">
      <w:pPr>
        <w:snapToGrid w:val="0"/>
        <w:spacing w:line="360" w:lineRule="auto"/>
        <w:ind w:firstLine="576"/>
        <w:rPr>
          <w:rFonts w:hint="eastAsia" w:ascii="宋体" w:hAnsi="宋体" w:cs="宋体"/>
          <w:strike/>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u w:val="single"/>
        </w:rPr>
        <w:t>（联合体成员</w:t>
      </w:r>
      <w:r>
        <w:rPr>
          <w:rFonts w:ascii="宋体" w:hAnsi="宋体" w:cs="宋体"/>
          <w:color w:val="auto"/>
          <w:kern w:val="0"/>
          <w:highlight w:val="none"/>
          <w:u w:val="single"/>
        </w:rPr>
        <w:t>X,</w:t>
      </w:r>
      <w:r>
        <w:rPr>
          <w:rFonts w:hint="eastAsia" w:ascii="宋体" w:hAnsi="宋体" w:cs="宋体"/>
          <w:color w:val="auto"/>
          <w:kern w:val="0"/>
          <w:highlight w:val="none"/>
          <w:u w:val="single"/>
        </w:rPr>
        <w:t>……）</w:t>
      </w:r>
      <w:r>
        <w:rPr>
          <w:rFonts w:hint="eastAsia" w:ascii="宋体" w:hAnsi="宋体" w:cs="宋体"/>
          <w:color w:val="auto"/>
          <w:kern w:val="0"/>
          <w:highlight w:val="none"/>
        </w:rPr>
        <w:t>提供的全部货物由小微企业制造，其合同份额占到合同总金额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kern w:val="0"/>
          <w:highlight w:val="none"/>
          <w:lang w:val="zh-CN"/>
        </w:rPr>
        <w:t>……。</w:t>
      </w:r>
    </w:p>
    <w:p w14:paraId="719A077C">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五、</w:t>
      </w:r>
      <w:r>
        <w:rPr>
          <w:rFonts w:hint="eastAsia" w:ascii="宋体" w:hAnsi="宋体" w:cs="宋体"/>
          <w:color w:val="auto"/>
          <w:highlight w:val="none"/>
        </w:rPr>
        <w:t>联合体各成员方共同与采购人签订合同，并就采购合同约定的事项对采购人承担连带责任。</w:t>
      </w:r>
    </w:p>
    <w:p w14:paraId="3D1E1C34">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六、有关本次联合</w:t>
      </w:r>
      <w:r>
        <w:rPr>
          <w:rFonts w:hint="eastAsia" w:ascii="宋体" w:hAnsi="宋体" w:cs="宋体"/>
          <w:color w:val="auto"/>
          <w:kern w:val="0"/>
          <w:highlight w:val="none"/>
        </w:rPr>
        <w:t>投标</w:t>
      </w:r>
      <w:r>
        <w:rPr>
          <w:rFonts w:hint="eastAsia" w:ascii="宋体" w:hAnsi="宋体" w:cs="宋体"/>
          <w:color w:val="auto"/>
          <w:kern w:val="0"/>
          <w:highlight w:val="none"/>
          <w:lang w:val="zh-CN"/>
        </w:rPr>
        <w:t>的其他事宜：</w:t>
      </w:r>
    </w:p>
    <w:p w14:paraId="472CCFFB">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1、联合体各方不再单独参加或者与其他供应商另外组成联合体参加同一合同项下的采购活动。</w:t>
      </w:r>
    </w:p>
    <w:p w14:paraId="1D33A8E7">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2、联合体中有同类资质的各方按照联合体分工承担相同工作的，按照资质等级较低的供应商确定资质等级。</w:t>
      </w:r>
    </w:p>
    <w:p w14:paraId="61E35BCA">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3、本协议提交采购人、采购代理机构后，联合体各方不得以任何形式对上述内容进行修改或撤销。</w:t>
      </w:r>
    </w:p>
    <w:p w14:paraId="6A454539">
      <w:pPr>
        <w:snapToGrid w:val="0"/>
        <w:spacing w:line="360" w:lineRule="auto"/>
        <w:ind w:firstLine="4800" w:firstLineChars="20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7E7D8AAC">
      <w:pPr>
        <w:snapToGrid w:val="0"/>
        <w:spacing w:line="360" w:lineRule="auto"/>
        <w:ind w:firstLine="4800" w:firstLineChars="20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313DE910">
      <w:pPr>
        <w:snapToGrid w:val="0"/>
        <w:spacing w:line="360" w:lineRule="auto"/>
        <w:ind w:right="96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2F22D8F7">
      <w:pPr>
        <w:snapToGrid w:val="0"/>
        <w:spacing w:line="360" w:lineRule="auto"/>
        <w:jc w:val="right"/>
        <w:rPr>
          <w:rFonts w:hint="eastAsia" w:ascii="宋体" w:hAnsi="宋体" w:cs="宋体"/>
          <w:color w:val="auto"/>
          <w:kern w:val="0"/>
          <w:highlight w:val="none"/>
          <w:lang w:val="zh-CN"/>
        </w:rPr>
      </w:pPr>
      <w:r>
        <w:rPr>
          <w:rFonts w:hint="eastAsia" w:ascii="宋体" w:hAnsi="宋体" w:cs="宋体"/>
          <w:color w:val="auto"/>
          <w:kern w:val="0"/>
          <w:highlight w:val="none"/>
          <w:lang w:val="zh-CN"/>
        </w:rPr>
        <w:t>日期：  年  月   日</w:t>
      </w:r>
    </w:p>
    <w:p w14:paraId="66EA4083">
      <w:pPr>
        <w:jc w:val="left"/>
        <w:rPr>
          <w:rFonts w:hint="eastAsia" w:ascii="宋体" w:hAnsi="宋体" w:cs="宋体"/>
          <w:b/>
          <w:color w:val="auto"/>
          <w:kern w:val="0"/>
          <w:sz w:val="32"/>
          <w:szCs w:val="32"/>
          <w:highlight w:val="none"/>
        </w:rPr>
      </w:pPr>
      <w:r>
        <w:rPr>
          <w:rFonts w:hint="eastAsia" w:ascii="宋体" w:hAnsi="宋体" w:cs="宋体"/>
          <w:color w:val="auto"/>
          <w:highlight w:val="none"/>
        </w:rPr>
        <w:t>注：按本格式和要求提供。</w:t>
      </w:r>
    </w:p>
    <w:p w14:paraId="43B9D80D">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BA24B3B">
      <w:pPr>
        <w:pStyle w:val="3"/>
        <w:rPr>
          <w:rFonts w:hint="eastAsia"/>
          <w:color w:val="auto"/>
          <w:highlight w:val="none"/>
        </w:rPr>
      </w:pPr>
      <w:r>
        <w:rPr>
          <w:rFonts w:hint="eastAsia"/>
          <w:color w:val="auto"/>
          <w:highlight w:val="none"/>
        </w:rPr>
        <w:t>附件</w:t>
      </w:r>
      <w:r>
        <w:rPr>
          <w:rFonts w:hint="eastAsia"/>
          <w:color w:val="auto"/>
          <w:highlight w:val="none"/>
          <w:lang w:val="en-US"/>
        </w:rPr>
        <w:t>5</w:t>
      </w:r>
      <w:r>
        <w:rPr>
          <w:rFonts w:hint="eastAsia"/>
          <w:color w:val="auto"/>
          <w:highlight w:val="none"/>
        </w:rPr>
        <w:t>：分包意向协议</w:t>
      </w:r>
    </w:p>
    <w:p w14:paraId="2C2CEE7A">
      <w:pPr>
        <w:widowControl/>
        <w:spacing w:line="360" w:lineRule="auto"/>
        <w:ind w:firstLine="120" w:firstLineChars="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中标后以分包方式履行合同的，提供分包意向协议；采购人不同意分包或者供应商中标后不以分包方式履行合同的，则不需要提供。</w:t>
      </w:r>
      <w:r>
        <w:rPr>
          <w:rFonts w:hint="eastAsia" w:ascii="宋体" w:hAnsi="宋体" w:cs="宋体"/>
          <w:color w:val="auto"/>
          <w:highlight w:val="none"/>
        </w:rPr>
        <w:t>）</w:t>
      </w:r>
    </w:p>
    <w:p w14:paraId="52C58234">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u w:val="single"/>
        </w:rPr>
        <w:t>（供应商名称）</w:t>
      </w:r>
      <w:r>
        <w:rPr>
          <w:rFonts w:hint="eastAsia" w:ascii="宋体" w:hAnsi="宋体" w:cs="宋体"/>
          <w:color w:val="auto"/>
          <w:kern w:val="0"/>
          <w:highlight w:val="none"/>
          <w:lang w:val="zh-CN"/>
        </w:rPr>
        <w:t>若成为</w:t>
      </w:r>
      <w:r>
        <w:rPr>
          <w:rFonts w:hint="eastAsia" w:ascii="宋体" w:hAnsi="宋体" w:cs="宋体"/>
          <w:color w:val="auto"/>
          <w:highlight w:val="none"/>
        </w:rPr>
        <w:t>杭州市拱墅区半山街道杭玻阔板桥社区物业管理服务项目【采购编号：杭州市拱墅区半山街道杭玻阔板桥社区物业管理服务项目】</w:t>
      </w:r>
      <w:r>
        <w:rPr>
          <w:rFonts w:hint="eastAsia" w:ascii="宋体" w:hAnsi="宋体" w:cs="宋体"/>
          <w:color w:val="auto"/>
          <w:kern w:val="0"/>
          <w:highlight w:val="none"/>
          <w:lang w:val="zh-CN"/>
        </w:rPr>
        <w:t>的中标供应商，将依法采取分包方式履行合同。</w:t>
      </w:r>
      <w:r>
        <w:rPr>
          <w:rFonts w:hint="eastAsia" w:ascii="宋体" w:hAnsi="宋体" w:cs="宋体"/>
          <w:color w:val="auto"/>
          <w:kern w:val="0"/>
          <w:highlight w:val="none"/>
          <w:u w:val="single"/>
        </w:rPr>
        <w:t>（供应商名称）</w:t>
      </w:r>
      <w:r>
        <w:rPr>
          <w:rFonts w:hint="eastAsia" w:ascii="宋体" w:hAnsi="宋体" w:cs="宋体"/>
          <w:color w:val="auto"/>
          <w:kern w:val="0"/>
          <w:highlight w:val="none"/>
        </w:rPr>
        <w:t>与</w:t>
      </w:r>
      <w:r>
        <w:rPr>
          <w:rFonts w:hint="eastAsia" w:ascii="宋体" w:hAnsi="宋体" w:cs="宋体"/>
          <w:color w:val="auto"/>
          <w:kern w:val="0"/>
          <w:highlight w:val="none"/>
          <w:u w:val="single"/>
        </w:rPr>
        <w:t>（所有分包供应商名称）</w:t>
      </w:r>
      <w:r>
        <w:rPr>
          <w:rFonts w:hint="eastAsia" w:ascii="宋体" w:hAnsi="宋体" w:cs="宋体"/>
          <w:color w:val="auto"/>
          <w:kern w:val="0"/>
          <w:highlight w:val="none"/>
        </w:rPr>
        <w:t>达成分包意向协议</w:t>
      </w:r>
      <w:r>
        <w:rPr>
          <w:rFonts w:hint="eastAsia" w:ascii="宋体" w:hAnsi="宋体" w:cs="宋体"/>
          <w:color w:val="auto"/>
          <w:kern w:val="0"/>
          <w:highlight w:val="none"/>
          <w:lang w:val="zh-CN"/>
        </w:rPr>
        <w:t xml:space="preserve">。 </w:t>
      </w:r>
    </w:p>
    <w:p w14:paraId="7E20F475">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一、分包标的及数量</w:t>
      </w:r>
    </w:p>
    <w:p w14:paraId="514F181A">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u w:val="single"/>
        </w:rPr>
        <w:t>（供应商名称）</w:t>
      </w:r>
      <w:r>
        <w:rPr>
          <w:rFonts w:hint="eastAsia" w:ascii="宋体" w:hAnsi="宋体" w:cs="宋体"/>
          <w:color w:val="auto"/>
          <w:kern w:val="0"/>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highlight w:val="none"/>
          <w:u w:val="single"/>
        </w:rPr>
        <w:t xml:space="preserve">  XX工作内容   </w:t>
      </w:r>
      <w:r>
        <w:rPr>
          <w:rFonts w:hint="eastAsia" w:ascii="宋体" w:hAnsi="宋体" w:cs="宋体"/>
          <w:color w:val="auto"/>
          <w:highlight w:val="none"/>
        </w:rPr>
        <w:t>分包给</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具备承</w:t>
      </w:r>
      <w:r>
        <w:rPr>
          <w:rFonts w:hint="eastAsia" w:ascii="宋体" w:hAnsi="宋体" w:cs="宋体"/>
          <w:color w:val="auto"/>
          <w:kern w:val="0"/>
          <w:highlight w:val="none"/>
        </w:rPr>
        <w:t>担</w:t>
      </w:r>
      <w:r>
        <w:rPr>
          <w:rFonts w:hint="eastAsia" w:ascii="宋体" w:hAnsi="宋体" w:cs="宋体"/>
          <w:color w:val="auto"/>
          <w:kern w:val="0"/>
          <w:highlight w:val="none"/>
          <w:u w:val="single"/>
          <w:lang w:val="zh-CN"/>
        </w:rPr>
        <w:t>XX工作内容</w:t>
      </w:r>
      <w:r>
        <w:rPr>
          <w:rFonts w:hint="eastAsia" w:ascii="宋体" w:hAnsi="宋体" w:cs="宋体"/>
          <w:color w:val="auto"/>
          <w:kern w:val="0"/>
          <w:highlight w:val="none"/>
          <w:lang w:val="zh-CN"/>
        </w:rPr>
        <w:t>相应资质条件且不得再次分包；</w:t>
      </w:r>
    </w:p>
    <w:p w14:paraId="625C70FD">
      <w:pPr>
        <w:snapToGrid w:val="0"/>
        <w:ind w:firstLine="576"/>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p>
    <w:p w14:paraId="0F67880F">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rPr>
        <w:t>二</w:t>
      </w:r>
      <w:r>
        <w:rPr>
          <w:rFonts w:hint="eastAsia" w:ascii="宋体" w:hAnsi="宋体" w:cs="宋体"/>
          <w:color w:val="auto"/>
          <w:kern w:val="0"/>
          <w:highlight w:val="none"/>
          <w:lang w:val="zh-CN"/>
        </w:rPr>
        <w:t>、分包工作履行期限、地点、方式</w:t>
      </w:r>
    </w:p>
    <w:p w14:paraId="11DB5B6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74D46FF">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rPr>
        <w:t>三</w:t>
      </w:r>
      <w:r>
        <w:rPr>
          <w:rFonts w:hint="eastAsia" w:ascii="宋体" w:hAnsi="宋体" w:cs="宋体"/>
          <w:color w:val="auto"/>
          <w:kern w:val="0"/>
          <w:highlight w:val="none"/>
          <w:lang w:val="zh-CN"/>
        </w:rPr>
        <w:t>、质量</w:t>
      </w:r>
    </w:p>
    <w:p w14:paraId="5AA9654C">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2FA00B72">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rPr>
        <w:t>四</w:t>
      </w:r>
      <w:r>
        <w:rPr>
          <w:rFonts w:hint="eastAsia" w:ascii="宋体" w:hAnsi="宋体" w:cs="宋体"/>
          <w:color w:val="auto"/>
          <w:kern w:val="0"/>
          <w:highlight w:val="none"/>
          <w:lang w:val="zh-CN"/>
        </w:rPr>
        <w:t>、价款或者报酬</w:t>
      </w:r>
    </w:p>
    <w:p w14:paraId="29E3F167">
      <w:pPr>
        <w:snapToGrid w:val="0"/>
        <w:spacing w:line="360" w:lineRule="auto"/>
        <w:ind w:left="655" w:leftChars="273"/>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28B0BFDB">
      <w:pPr>
        <w:snapToGrid w:val="0"/>
        <w:spacing w:line="360" w:lineRule="auto"/>
        <w:ind w:left="655" w:leftChars="273"/>
        <w:rPr>
          <w:rFonts w:hint="eastAsia" w:ascii="宋体" w:hAnsi="宋体" w:cs="宋体"/>
          <w:color w:val="auto"/>
          <w:kern w:val="0"/>
          <w:highlight w:val="none"/>
          <w:lang w:val="zh-CN"/>
        </w:rPr>
      </w:pPr>
      <w:r>
        <w:rPr>
          <w:rFonts w:hint="eastAsia" w:ascii="宋体" w:hAnsi="宋体" w:cs="宋体"/>
          <w:color w:val="auto"/>
          <w:kern w:val="0"/>
          <w:highlight w:val="none"/>
        </w:rPr>
        <w:t>五</w:t>
      </w:r>
      <w:r>
        <w:rPr>
          <w:rFonts w:hint="eastAsia" w:ascii="宋体" w:hAnsi="宋体" w:cs="宋体"/>
          <w:color w:val="auto"/>
          <w:kern w:val="0"/>
          <w:highlight w:val="none"/>
          <w:lang w:val="zh-CN"/>
        </w:rPr>
        <w:t>、违约责任</w:t>
      </w:r>
    </w:p>
    <w:p w14:paraId="1FBCFA52">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2FDBD363">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kern w:val="0"/>
          <w:highlight w:val="none"/>
        </w:rPr>
        <w:t>六</w:t>
      </w:r>
      <w:r>
        <w:rPr>
          <w:rFonts w:hint="eastAsia" w:ascii="宋体" w:hAnsi="宋体" w:cs="宋体"/>
          <w:color w:val="auto"/>
          <w:kern w:val="0"/>
          <w:highlight w:val="none"/>
          <w:lang w:val="zh-CN"/>
        </w:rPr>
        <w:t>、争议解决的办法</w:t>
      </w:r>
    </w:p>
    <w:p w14:paraId="1F494E44">
      <w:pPr>
        <w:snapToGrid w:val="0"/>
        <w:spacing w:line="360" w:lineRule="auto"/>
        <w:ind w:firstLine="576"/>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5A4C3D40">
      <w:pPr>
        <w:snapToGrid w:val="0"/>
        <w:spacing w:line="360" w:lineRule="auto"/>
        <w:ind w:left="5861" w:leftChars="342" w:hanging="5040" w:hangingChars="210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供应商名称(电子签名)：</w:t>
      </w:r>
    </w:p>
    <w:p w14:paraId="39D6A315">
      <w:pPr>
        <w:snapToGrid w:val="0"/>
        <w:spacing w:line="360" w:lineRule="auto"/>
        <w:jc w:val="right"/>
        <w:rPr>
          <w:rFonts w:hint="eastAsia" w:ascii="宋体" w:hAnsi="宋体" w:cs="宋体"/>
          <w:color w:val="auto"/>
          <w:kern w:val="0"/>
          <w:highlight w:val="none"/>
          <w:lang w:val="zh-CN"/>
        </w:rPr>
      </w:pPr>
      <w:r>
        <w:rPr>
          <w:rFonts w:hint="eastAsia" w:ascii="宋体" w:hAnsi="宋体" w:cs="宋体"/>
          <w:color w:val="auto"/>
          <w:kern w:val="0"/>
          <w:highlight w:val="none"/>
          <w:lang w:val="zh-CN"/>
        </w:rPr>
        <w:t>分包供应商名称(电子签名/公章)：</w:t>
      </w:r>
    </w:p>
    <w:p w14:paraId="7A3B268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highlight w:val="none"/>
          <w:lang w:val="zh-CN"/>
        </w:rPr>
        <w:t>……</w:t>
      </w:r>
    </w:p>
    <w:p w14:paraId="4A4126D0">
      <w:pPr>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407ACE75">
      <w:pPr>
        <w:spacing w:line="360" w:lineRule="auto"/>
        <w:ind w:right="420"/>
        <w:rPr>
          <w:rFonts w:hint="eastAsia" w:ascii="宋体" w:hAnsi="宋体" w:cs="宋体"/>
          <w:color w:val="auto"/>
          <w:highlight w:val="none"/>
        </w:rPr>
      </w:pPr>
      <w:r>
        <w:rPr>
          <w:rFonts w:hint="eastAsia" w:ascii="宋体" w:hAnsi="宋体" w:cs="宋体"/>
          <w:color w:val="auto"/>
          <w:highlight w:val="none"/>
        </w:rPr>
        <w:t>注：按本格式和要求提供。</w:t>
      </w:r>
    </w:p>
    <w:p w14:paraId="424F30A0">
      <w:pPr>
        <w:pStyle w:val="39"/>
        <w:spacing w:before="0"/>
        <w:ind w:firstLine="0" w:firstLineChars="0"/>
        <w:rPr>
          <w:rFonts w:hint="eastAsia" w:ascii="宋体" w:hAnsi="宋体" w:cs="宋体"/>
          <w:color w:val="auto"/>
          <w:kern w:val="0"/>
          <w:highlight w:val="none"/>
        </w:rPr>
      </w:pPr>
    </w:p>
    <w:p w14:paraId="730946F5">
      <w:pPr>
        <w:rPr>
          <w:color w:val="auto"/>
          <w:highlight w:val="none"/>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E8AA">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B2B9BA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A08E">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2F134A5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ACC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7A234E5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CECA">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663C1E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F280">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ADF9F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F85D">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693DD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C9A7">
    <w:pPr>
      <w:pStyle w:val="12"/>
      <w:tabs>
        <w:tab w:val="right" w:pos="9901"/>
      </w:tabs>
      <w:ind w:right="105"/>
      <w:jc w:val="center"/>
      <w:rPr>
        <w:sz w:val="21"/>
      </w:rPr>
    </w:pPr>
    <w:r>
      <w:fldChar w:fldCharType="begin"/>
    </w:r>
    <w:r>
      <w:rPr>
        <w:rStyle w:val="22"/>
      </w:rPr>
      <w:instrText xml:space="preserve"> PAGE </w:instrText>
    </w:r>
    <w:r>
      <w:fldChar w:fldCharType="separate"/>
    </w:r>
    <w:r>
      <w:rPr>
        <w:rStyle w:val="22"/>
      </w:rPr>
      <w:t>95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CE86">
    <w:pPr>
      <w:pStyle w:val="13"/>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16E6">
    <w:pPr>
      <w:pStyle w:val="13"/>
    </w:pPr>
    <w:r>
      <w:t></w:t>
    </w:r>
    <w:r>
      <w:rPr>
        <w:rFonts w:hint="eastAsia"/>
      </w:rPr>
      <w:t xml:space="preserve">         </w:t>
    </w:r>
  </w:p>
  <w:p w14:paraId="4DFE1DCA">
    <w:pPr>
      <w:pStyle w:val="1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9D72">
    <w:pPr>
      <w:pStyle w:val="13"/>
      <w:rPr>
        <w:rFonts w:ascii="仿宋_GB2312" w:eastAsia="仿宋_GB2312"/>
        <w:b/>
        <w:i/>
        <w:u w:val="single"/>
      </w:rPr>
    </w:pPr>
    <w:r>
      <w:t></w:t>
    </w:r>
    <w:r>
      <w:rPr>
        <w:rFonts w:hint="eastAsia"/>
      </w:rPr>
      <w:t xml:space="preserve">                                                </w:t>
    </w:r>
  </w:p>
  <w:p w14:paraId="5DFAF2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1DCE">
    <w:pPr>
      <w:pStyle w:val="13"/>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5F25">
    <w:pPr>
      <w:pStyle w:val="13"/>
      <w:jc w:val="right"/>
      <w:rPr>
        <w:rFonts w:ascii="仿宋_GB2312" w:eastAsia="仿宋_GB2312"/>
        <w:b/>
        <w:i/>
        <w:u w:val="single"/>
      </w:rPr>
    </w:pPr>
    <w:r>
      <w:rPr>
        <w:rFonts w:hint="eastAsia"/>
      </w:rPr>
      <w:t xml:space="preserve">                                 </w:t>
    </w:r>
  </w:p>
  <w:p w14:paraId="01BBE78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3F09">
    <w:pPr>
      <w:pStyle w:val="13"/>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CDB3">
    <w:pPr>
      <w:pStyle w:val="13"/>
      <w:pBdr>
        <w:bottom w:val="single" w:color="auto" w:sz="6" w:space="2"/>
      </w:pBdr>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2337A52"/>
    <w:multiLevelType w:val="singleLevel"/>
    <w:tmpl w:val="D2337A52"/>
    <w:lvl w:ilvl="0" w:tentative="0">
      <w:start w:val="1"/>
      <w:numFmt w:val="decimal"/>
      <w:lvlText w:val="%1."/>
      <w:lvlJc w:val="left"/>
      <w:pPr>
        <w:tabs>
          <w:tab w:val="left" w:pos="312"/>
        </w:tabs>
      </w:pPr>
    </w:lvl>
  </w:abstractNum>
  <w:abstractNum w:abstractNumId="2">
    <w:nsid w:val="D58809BC"/>
    <w:multiLevelType w:val="singleLevel"/>
    <w:tmpl w:val="D58809BC"/>
    <w:lvl w:ilvl="0" w:tentative="0">
      <w:start w:val="8"/>
      <w:numFmt w:val="chineseCounting"/>
      <w:suff w:val="space"/>
      <w:lvlText w:val="第%1条"/>
      <w:lvlJc w:val="left"/>
      <w:pPr>
        <w:ind w:left="0" w:firstLine="0"/>
      </w:pPr>
    </w:lvl>
  </w:abstractNum>
  <w:abstractNum w:abstractNumId="3">
    <w:nsid w:val="D8BFA51B"/>
    <w:multiLevelType w:val="singleLevel"/>
    <w:tmpl w:val="D8BFA51B"/>
    <w:lvl w:ilvl="0" w:tentative="0">
      <w:start w:val="1"/>
      <w:numFmt w:val="decimal"/>
      <w:suff w:val="nothing"/>
      <w:lvlText w:val="（%1）"/>
      <w:lvlJc w:val="left"/>
    </w:lvl>
  </w:abstractNum>
  <w:abstractNum w:abstractNumId="4">
    <w:nsid w:val="1EE89D3A"/>
    <w:multiLevelType w:val="singleLevel"/>
    <w:tmpl w:val="1EE89D3A"/>
    <w:lvl w:ilvl="0" w:tentative="0">
      <w:start w:val="2"/>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3"/>
  </w:num>
  <w:num w:numId="3">
    <w:abstractNumId w:val="1"/>
    <w:lvlOverride w:ilvl="0">
      <w:startOverride w:val="1"/>
    </w:lvlOverride>
  </w:num>
  <w:num w:numId="4">
    <w:abstractNumId w:val="2"/>
    <w:lvlOverride w:ilvl="0">
      <w:startOverride w:val="8"/>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B8"/>
    <w:rsid w:val="00245E13"/>
    <w:rsid w:val="00290BCB"/>
    <w:rsid w:val="00307F81"/>
    <w:rsid w:val="006B34DC"/>
    <w:rsid w:val="006D6B5E"/>
    <w:rsid w:val="006F4AB8"/>
    <w:rsid w:val="00767774"/>
    <w:rsid w:val="00B82CB9"/>
    <w:rsid w:val="00C9701B"/>
    <w:rsid w:val="00CE6909"/>
    <w:rsid w:val="00D31E13"/>
    <w:rsid w:val="086D760D"/>
    <w:rsid w:val="2B974BFD"/>
    <w:rsid w:val="47052266"/>
    <w:rsid w:val="5BA5499C"/>
    <w:rsid w:val="5CDC6591"/>
    <w:rsid w:val="65D96240"/>
    <w:rsid w:val="6F98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5"/>
    <w:qFormat/>
    <w:uiPriority w:val="0"/>
    <w:pPr>
      <w:keepNext/>
      <w:spacing w:line="360" w:lineRule="auto"/>
      <w:jc w:val="center"/>
      <w:outlineLvl w:val="0"/>
    </w:pPr>
    <w:rPr>
      <w:b/>
      <w:color w:val="000000"/>
      <w:sz w:val="32"/>
    </w:rPr>
  </w:style>
  <w:style w:type="paragraph" w:styleId="3">
    <w:name w:val="heading 2"/>
    <w:basedOn w:val="1"/>
    <w:next w:val="1"/>
    <w:link w:val="26"/>
    <w:qFormat/>
    <w:uiPriority w:val="0"/>
    <w:pPr>
      <w:keepNext/>
      <w:keepLines/>
      <w:tabs>
        <w:tab w:val="left" w:pos="432"/>
      </w:tabs>
      <w:adjustRightInd/>
      <w:spacing w:line="360" w:lineRule="auto"/>
      <w:ind w:left="432" w:hanging="432"/>
      <w:jc w:val="left"/>
      <w:outlineLvl w:val="1"/>
    </w:pPr>
    <w:rPr>
      <w:rFonts w:ascii="仿宋_GB2312" w:hAnsi="仿宋_GB2312"/>
      <w:b/>
      <w:bCs/>
      <w:sz w:val="32"/>
      <w:szCs w:val="32"/>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link w:val="27"/>
    <w:qFormat/>
    <w:uiPriority w:val="0"/>
    <w:pPr>
      <w:jc w:val="left"/>
    </w:pPr>
  </w:style>
  <w:style w:type="paragraph" w:styleId="6">
    <w:name w:val="Body Text"/>
    <w:basedOn w:val="1"/>
    <w:link w:val="28"/>
    <w:qFormat/>
    <w:uiPriority w:val="0"/>
    <w:pPr>
      <w:spacing w:line="315" w:lineRule="atLeast"/>
      <w:jc w:val="left"/>
      <w:textAlignment w:val="baseline"/>
    </w:pPr>
    <w:rPr>
      <w:rFonts w:ascii="仿宋_GB2312" w:eastAsia="仿宋_GB2312"/>
      <w:kern w:val="0"/>
      <w:sz w:val="28"/>
      <w:szCs w:val="20"/>
    </w:rPr>
  </w:style>
  <w:style w:type="paragraph" w:styleId="7">
    <w:name w:val="Body Text Indent"/>
    <w:basedOn w:val="1"/>
    <w:next w:val="1"/>
    <w:link w:val="29"/>
    <w:qFormat/>
    <w:uiPriority w:val="0"/>
    <w:pPr>
      <w:spacing w:line="480" w:lineRule="exact"/>
      <w:ind w:firstLine="480" w:firstLineChars="200"/>
    </w:pPr>
    <w:rPr>
      <w:rFonts w:ascii="宋体" w:hAnsi="宋体"/>
    </w:rPr>
  </w:style>
  <w:style w:type="paragraph" w:styleId="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9">
    <w:name w:val="Plain Text"/>
    <w:basedOn w:val="1"/>
    <w:link w:val="30"/>
    <w:qFormat/>
    <w:uiPriority w:val="0"/>
    <w:rPr>
      <w:rFonts w:ascii="宋体" w:hAnsi="Courier New" w:cs="Arial"/>
      <w:snapToGrid w:val="0"/>
      <w:szCs w:val="21"/>
    </w:rPr>
  </w:style>
  <w:style w:type="paragraph" w:styleId="10">
    <w:name w:val="Body Text Indent 2"/>
    <w:basedOn w:val="1"/>
    <w:link w:val="31"/>
    <w:qFormat/>
    <w:uiPriority w:val="0"/>
    <w:pPr>
      <w:widowControl/>
      <w:spacing w:line="480" w:lineRule="atLeast"/>
      <w:ind w:firstLine="480"/>
    </w:pPr>
    <w:rPr>
      <w:rFonts w:ascii="宋体"/>
      <w:kern w:val="0"/>
      <w:szCs w:val="20"/>
    </w:rPr>
  </w:style>
  <w:style w:type="paragraph" w:styleId="11">
    <w:name w:val="Balloon Text"/>
    <w:basedOn w:val="8"/>
    <w:link w:val="32"/>
    <w:qFormat/>
    <w:uiPriority w:val="0"/>
    <w:rPr>
      <w:sz w:val="18"/>
      <w:szCs w:val="18"/>
    </w:rPr>
  </w:style>
  <w:style w:type="paragraph" w:styleId="12">
    <w:name w:val="footer"/>
    <w:basedOn w:val="1"/>
    <w:link w:val="33"/>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34"/>
    <w:qFormat/>
    <w:uiPriority w:val="0"/>
    <w:pPr>
      <w:tabs>
        <w:tab w:val="center" w:pos="4153"/>
        <w:tab w:val="right" w:pos="8306"/>
      </w:tabs>
      <w:snapToGrid w:val="0"/>
      <w:jc w:val="center"/>
    </w:pPr>
    <w:rPr>
      <w:rFonts w:asciiTheme="minorHAnsi" w:hAnsiTheme="minorHAnsi" w:cstheme="minorBidi"/>
      <w:sz w:val="18"/>
      <w:szCs w:val="18"/>
    </w:rPr>
  </w:style>
  <w:style w:type="paragraph" w:styleId="14">
    <w:name w:val="toc 1"/>
    <w:basedOn w:val="1"/>
    <w:next w:val="1"/>
    <w:qFormat/>
    <w:uiPriority w:val="39"/>
    <w:pPr>
      <w:tabs>
        <w:tab w:val="right" w:leader="dot" w:pos="9403"/>
      </w:tabs>
      <w:snapToGrid w:val="0"/>
      <w:spacing w:line="360" w:lineRule="auto"/>
    </w:pPr>
    <w:rPr>
      <w:b/>
      <w:bCs/>
      <w:caps/>
    </w:rPr>
  </w:style>
  <w:style w:type="paragraph" w:styleId="15">
    <w:name w:val="Body Text Indent 3"/>
    <w:basedOn w:val="1"/>
    <w:link w:val="35"/>
    <w:qFormat/>
    <w:uiPriority w:val="0"/>
    <w:pPr>
      <w:autoSpaceDE w:val="0"/>
      <w:autoSpaceDN w:val="0"/>
      <w:spacing w:line="400" w:lineRule="atLeast"/>
      <w:ind w:firstLine="443" w:firstLineChars="200"/>
      <w:textAlignment w:val="bottom"/>
    </w:pPr>
    <w:rPr>
      <w:rFonts w:eastAsia="黑体"/>
      <w:color w:val="000000"/>
    </w:rPr>
  </w:style>
  <w:style w:type="paragraph" w:styleId="16">
    <w:name w:val="toc 2"/>
    <w:basedOn w:val="1"/>
    <w:next w:val="1"/>
    <w:qFormat/>
    <w:uiPriority w:val="39"/>
    <w:pPr>
      <w:tabs>
        <w:tab w:val="right" w:leader="dot" w:pos="9403"/>
      </w:tabs>
      <w:snapToGrid w:val="0"/>
      <w:spacing w:line="360" w:lineRule="auto"/>
      <w:ind w:firstLine="200" w:firstLineChars="200"/>
    </w:pPr>
    <w:rPr>
      <w:smallCaps/>
    </w:rPr>
  </w:style>
  <w:style w:type="paragraph" w:styleId="17">
    <w:name w:val="Body Text First Indent 2"/>
    <w:basedOn w:val="7"/>
    <w:link w:val="36"/>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rPr>
      <w:rFonts w:eastAsia="Arial"/>
    </w:r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qFormat/>
    <w:uiPriority w:val="99"/>
    <w:rPr>
      <w:sz w:val="21"/>
      <w:szCs w:val="21"/>
    </w:rPr>
  </w:style>
  <w:style w:type="character" w:customStyle="1" w:styleId="25">
    <w:name w:val="标题 1 字符"/>
    <w:basedOn w:val="20"/>
    <w:link w:val="2"/>
    <w:qFormat/>
    <w:uiPriority w:val="0"/>
    <w:rPr>
      <w:rFonts w:ascii="Times New Roman" w:hAnsi="Times New Roman" w:eastAsia="宋体" w:cs="Times New Roman"/>
      <w:b/>
      <w:color w:val="000000"/>
      <w:sz w:val="32"/>
      <w:szCs w:val="24"/>
    </w:rPr>
  </w:style>
  <w:style w:type="character" w:customStyle="1" w:styleId="26">
    <w:name w:val="标题 2 字符"/>
    <w:basedOn w:val="20"/>
    <w:link w:val="3"/>
    <w:qFormat/>
    <w:uiPriority w:val="0"/>
    <w:rPr>
      <w:rFonts w:ascii="仿宋_GB2312" w:hAnsi="仿宋_GB2312" w:eastAsia="宋体" w:cs="Times New Roman"/>
      <w:b/>
      <w:bCs/>
      <w:sz w:val="32"/>
      <w:szCs w:val="32"/>
      <w:lang w:val="zh-CN"/>
    </w:rPr>
  </w:style>
  <w:style w:type="character" w:customStyle="1" w:styleId="27">
    <w:name w:val="批注文字 字符"/>
    <w:basedOn w:val="20"/>
    <w:link w:val="5"/>
    <w:qFormat/>
    <w:uiPriority w:val="0"/>
    <w:rPr>
      <w:rFonts w:ascii="Times New Roman" w:hAnsi="Times New Roman" w:eastAsia="宋体" w:cs="Times New Roman"/>
      <w:sz w:val="24"/>
      <w:szCs w:val="24"/>
    </w:rPr>
  </w:style>
  <w:style w:type="character" w:customStyle="1" w:styleId="28">
    <w:name w:val="正文文本 字符"/>
    <w:basedOn w:val="20"/>
    <w:link w:val="6"/>
    <w:qFormat/>
    <w:uiPriority w:val="0"/>
    <w:rPr>
      <w:rFonts w:ascii="仿宋_GB2312" w:hAnsi="Times New Roman" w:eastAsia="仿宋_GB2312" w:cs="Times New Roman"/>
      <w:kern w:val="0"/>
      <w:sz w:val="28"/>
      <w:szCs w:val="20"/>
    </w:rPr>
  </w:style>
  <w:style w:type="character" w:customStyle="1" w:styleId="29">
    <w:name w:val="正文文本缩进 字符"/>
    <w:basedOn w:val="20"/>
    <w:link w:val="7"/>
    <w:qFormat/>
    <w:uiPriority w:val="0"/>
    <w:rPr>
      <w:rFonts w:ascii="宋体" w:hAnsi="宋体" w:eastAsia="宋体" w:cs="Times New Roman"/>
      <w:sz w:val="24"/>
      <w:szCs w:val="24"/>
    </w:rPr>
  </w:style>
  <w:style w:type="character" w:customStyle="1" w:styleId="30">
    <w:name w:val="纯文本 字符"/>
    <w:basedOn w:val="20"/>
    <w:link w:val="9"/>
    <w:qFormat/>
    <w:uiPriority w:val="0"/>
    <w:rPr>
      <w:rFonts w:ascii="宋体" w:hAnsi="Courier New" w:eastAsia="宋体" w:cs="Arial"/>
      <w:snapToGrid w:val="0"/>
      <w:sz w:val="24"/>
      <w:szCs w:val="21"/>
    </w:rPr>
  </w:style>
  <w:style w:type="character" w:customStyle="1" w:styleId="31">
    <w:name w:val="正文文本缩进 2 字符"/>
    <w:basedOn w:val="20"/>
    <w:link w:val="10"/>
    <w:qFormat/>
    <w:uiPriority w:val="0"/>
    <w:rPr>
      <w:rFonts w:ascii="宋体" w:hAnsi="Times New Roman" w:eastAsia="宋体" w:cs="Times New Roman"/>
      <w:kern w:val="0"/>
      <w:sz w:val="24"/>
      <w:szCs w:val="20"/>
    </w:rPr>
  </w:style>
  <w:style w:type="character" w:customStyle="1" w:styleId="32">
    <w:name w:val="批注框文本 字符"/>
    <w:basedOn w:val="20"/>
    <w:link w:val="11"/>
    <w:qFormat/>
    <w:uiPriority w:val="0"/>
    <w:rPr>
      <w:rFonts w:ascii="仿宋_GB2312" w:hAnsi="Times New Roman" w:eastAsia="仿宋_GB2312" w:cs="Times New Roman"/>
      <w:sz w:val="18"/>
      <w:szCs w:val="18"/>
    </w:rPr>
  </w:style>
  <w:style w:type="character" w:customStyle="1" w:styleId="33">
    <w:name w:val="页脚 字符"/>
    <w:basedOn w:val="20"/>
    <w:link w:val="12"/>
    <w:qFormat/>
    <w:uiPriority w:val="99"/>
    <w:rPr>
      <w:rFonts w:eastAsia="宋体"/>
      <w:sz w:val="18"/>
      <w:szCs w:val="18"/>
    </w:rPr>
  </w:style>
  <w:style w:type="character" w:customStyle="1" w:styleId="34">
    <w:name w:val="页眉 字符"/>
    <w:basedOn w:val="20"/>
    <w:link w:val="13"/>
    <w:qFormat/>
    <w:uiPriority w:val="0"/>
    <w:rPr>
      <w:rFonts w:eastAsia="宋体"/>
      <w:sz w:val="18"/>
      <w:szCs w:val="18"/>
    </w:rPr>
  </w:style>
  <w:style w:type="character" w:customStyle="1" w:styleId="35">
    <w:name w:val="正文文本缩进 3 字符"/>
    <w:basedOn w:val="20"/>
    <w:link w:val="15"/>
    <w:qFormat/>
    <w:uiPriority w:val="0"/>
    <w:rPr>
      <w:rFonts w:ascii="Times New Roman" w:hAnsi="Times New Roman" w:eastAsia="黑体" w:cs="Times New Roman"/>
      <w:color w:val="000000"/>
      <w:sz w:val="24"/>
      <w:szCs w:val="24"/>
    </w:rPr>
  </w:style>
  <w:style w:type="character" w:customStyle="1" w:styleId="36">
    <w:name w:val="正文文本首行缩进 2 字符"/>
    <w:basedOn w:val="29"/>
    <w:link w:val="17"/>
    <w:qFormat/>
    <w:uiPriority w:val="0"/>
    <w:rPr>
      <w:rFonts w:ascii="宋体" w:hAnsi="宋体" w:eastAsia="宋体" w:cs="Times New Roman"/>
      <w:sz w:val="24"/>
      <w:szCs w:val="24"/>
    </w:rPr>
  </w:style>
  <w:style w:type="paragraph" w:customStyle="1" w:styleId="37">
    <w:name w:val="正文空2字"/>
    <w:basedOn w:val="3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8">
    <w:name w:val="左对齐正文"/>
    <w:qFormat/>
    <w:uiPriority w:val="99"/>
    <w:rPr>
      <w:rFonts w:ascii="Calibri" w:hAnsi="Calibri" w:eastAsia="仿宋_GB2312" w:cs="Calibri"/>
      <w:kern w:val="2"/>
      <w:sz w:val="32"/>
      <w:szCs w:val="32"/>
      <w:lang w:val="en-US" w:eastAsia="zh-CN" w:bidi="ar-SA"/>
    </w:rPr>
  </w:style>
  <w:style w:type="paragraph" w:customStyle="1" w:styleId="39">
    <w:name w:val="正文2"/>
    <w:basedOn w:val="1"/>
    <w:qFormat/>
    <w:uiPriority w:val="0"/>
    <w:pPr>
      <w:spacing w:before="156" w:line="360" w:lineRule="auto"/>
      <w:ind w:firstLine="510" w:firstLineChars="200"/>
    </w:pPr>
    <w:rPr>
      <w:szCs w:val="20"/>
    </w:rPr>
  </w:style>
  <w:style w:type="paragraph" w:customStyle="1" w:styleId="40">
    <w:name w:val="样式1"/>
    <w:basedOn w:val="1"/>
    <w:qFormat/>
    <w:uiPriority w:val="0"/>
    <w:pPr>
      <w:spacing w:line="360" w:lineRule="exact"/>
      <w:ind w:firstLine="200" w:firstLineChars="200"/>
    </w:pPr>
    <w:rPr>
      <w:rFonts w:ascii="Arial" w:hAnsi="Arial" w:cstheme="minorBidi"/>
    </w:rPr>
  </w:style>
  <w:style w:type="character" w:customStyle="1" w:styleId="41">
    <w:name w:val="font41"/>
    <w:qFormat/>
    <w:uiPriority w:val="0"/>
    <w:rPr>
      <w:rFonts w:hint="eastAsia" w:ascii="宋体" w:hAnsi="宋体" w:eastAsia="宋体" w:cs="宋体"/>
      <w:color w:val="000000"/>
      <w:sz w:val="24"/>
      <w:szCs w:val="24"/>
      <w:u w:val="none"/>
    </w:rPr>
  </w:style>
  <w:style w:type="paragraph" w:customStyle="1" w:styleId="42">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4">
    <w:name w:val="纯文本_0_0"/>
    <w:basedOn w:val="45"/>
    <w:qFormat/>
    <w:uiPriority w:val="0"/>
    <w:rPr>
      <w:rFonts w:ascii="宋体" w:hAnsi="Courier New"/>
      <w:szCs w:val="21"/>
    </w:rPr>
  </w:style>
  <w:style w:type="paragraph" w:customStyle="1" w:styleId="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7">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688</Words>
  <Characters>775</Characters>
  <Lines>2026</Lines>
  <Paragraphs>1863</Paragraphs>
  <TotalTime>5</TotalTime>
  <ScaleCrop>false</ScaleCrop>
  <LinksUpToDate>false</LinksUpToDate>
  <CharactersWithSpaces>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2025-06-10T08:59:00Z</dcterms:created>
  <dc:creator>xb21cn</dc:creator>
  <cp:lastModifiedBy>打不过快跑</cp:lastModifiedBy>
  <dcterms:modified xsi:type="dcterms:W3CDTF">2025-07-01T03:38:26Z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eyJoZGlkIjoiOTYwYWM0ZWVmOWVlNGEwNjdlZTVhOTM1YzRmM2VmNTUiLCJ1c2VySWQiOiIxMjE0NzQxNTc1In0=</vt:lpwstr>
  </property>
  <property fmtid="{D5CDD505-2E9C-101B-9397-08002B2CF9AE}" pid="3" name="KSOProductBuildVer">
    <vt:lpwstr>2052-12.1.0.21541</vt:lpwstr>
  </property>
  <property fmtid="{D5CDD505-2E9C-101B-9397-08002B2CF9AE}" pid="4" name="ICV">
    <vt:lpwstr>259AF39D9B30409B90D4B3CD269A3892_12</vt:lpwstr>
  </property>
</Properties>
</file>